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03774" w14:textId="77777777" w:rsidR="00370DA5" w:rsidRDefault="00A2045D" w:rsidP="00A01C3F">
      <w:pPr>
        <w:spacing w:line="480" w:lineRule="auto"/>
        <w:jc w:val="both"/>
        <w:rPr>
          <w:rFonts w:cstheme="minorHAnsi"/>
          <w:sz w:val="24"/>
          <w:szCs w:val="24"/>
        </w:rPr>
      </w:pPr>
      <w:r w:rsidRPr="00A01C3F">
        <w:rPr>
          <w:rFonts w:cstheme="minorHAnsi"/>
          <w:sz w:val="24"/>
          <w:szCs w:val="24"/>
        </w:rPr>
        <w:t xml:space="preserve">Throughout the development of equity, there has been an attempt by the courts to ensure that fairness prevails, </w:t>
      </w:r>
      <w:r w:rsidR="00670656" w:rsidRPr="00A01C3F">
        <w:rPr>
          <w:rFonts w:cstheme="minorHAnsi"/>
          <w:sz w:val="24"/>
          <w:szCs w:val="24"/>
        </w:rPr>
        <w:t xml:space="preserve">not only </w:t>
      </w:r>
      <w:r w:rsidRPr="00A01C3F">
        <w:rPr>
          <w:rFonts w:cstheme="minorHAnsi"/>
          <w:sz w:val="24"/>
          <w:szCs w:val="24"/>
        </w:rPr>
        <w:t>when making decisions both in an interim situation but also when</w:t>
      </w:r>
      <w:r w:rsidR="00670656" w:rsidRPr="00A01C3F">
        <w:rPr>
          <w:rFonts w:cstheme="minorHAnsi"/>
          <w:sz w:val="24"/>
          <w:szCs w:val="24"/>
        </w:rPr>
        <w:t xml:space="preserve"> </w:t>
      </w:r>
      <w:r w:rsidRPr="00A01C3F">
        <w:rPr>
          <w:rFonts w:cstheme="minorHAnsi"/>
          <w:sz w:val="24"/>
          <w:szCs w:val="24"/>
        </w:rPr>
        <w:t>making judgments</w:t>
      </w:r>
      <w:r w:rsidR="003C424B" w:rsidRPr="00A01C3F">
        <w:rPr>
          <w:rFonts w:cstheme="minorHAnsi"/>
          <w:sz w:val="24"/>
          <w:szCs w:val="24"/>
        </w:rPr>
        <w:t>. With this in mind, the court can use two areas of interim action to seek to balance the needs of both the claimants and defendants</w:t>
      </w:r>
      <w:r w:rsidR="007C0818" w:rsidRPr="00A01C3F">
        <w:rPr>
          <w:rFonts w:cstheme="minorHAnsi"/>
          <w:sz w:val="24"/>
          <w:szCs w:val="24"/>
        </w:rPr>
        <w:t xml:space="preserve"> under analysis here, namely the freezing orders and search orders. It is noted that both of these are interim options that are available to the court to ensure that the needs of the parties are adequately balanced and to prevent actions taking place in the short term that would then have an inequitable result in the future. The paper here will look at both of these in turn with a view to </w:t>
      </w:r>
      <w:r w:rsidR="00494DF9" w:rsidRPr="00A01C3F">
        <w:rPr>
          <w:rFonts w:cstheme="minorHAnsi"/>
          <w:sz w:val="24"/>
          <w:szCs w:val="24"/>
        </w:rPr>
        <w:t xml:space="preserve">ascertaining the way in which the court deals with the application of rules and requirements associated with each of these </w:t>
      </w:r>
      <w:r w:rsidR="007004F8" w:rsidRPr="00A01C3F">
        <w:rPr>
          <w:rFonts w:cstheme="minorHAnsi"/>
          <w:sz w:val="24"/>
          <w:szCs w:val="24"/>
        </w:rPr>
        <w:t>interests’</w:t>
      </w:r>
      <w:r w:rsidR="00494DF9" w:rsidRPr="00A01C3F">
        <w:rPr>
          <w:rFonts w:cstheme="minorHAnsi"/>
          <w:sz w:val="24"/>
          <w:szCs w:val="24"/>
        </w:rPr>
        <w:t xml:space="preserve"> orders and, in particular, how the court seeks to balance the interests of both claimants and the defendants with the consideration of whether or not this is truly achieved in either or both of the situations noted below</w:t>
      </w:r>
      <w:r w:rsidR="00D31989" w:rsidRPr="00A01C3F">
        <w:rPr>
          <w:rFonts w:cstheme="minorHAnsi"/>
          <w:sz w:val="24"/>
          <w:szCs w:val="24"/>
        </w:rPr>
        <w:t xml:space="preserve"> (Alexander, 1996)</w:t>
      </w:r>
      <w:r w:rsidR="00494DF9" w:rsidRPr="00A01C3F">
        <w:rPr>
          <w:rFonts w:cstheme="minorHAnsi"/>
          <w:sz w:val="24"/>
          <w:szCs w:val="24"/>
        </w:rPr>
        <w:t>. Conclusions will then be drawn as to the general operation of these interim orders and a statement of how and if a balance is truly achieved.</w:t>
      </w:r>
    </w:p>
    <w:p w14:paraId="07BB7153" w14:textId="04374A76" w:rsidR="00670656" w:rsidRPr="00370DA5" w:rsidRDefault="00670656" w:rsidP="00A01C3F">
      <w:pPr>
        <w:spacing w:line="480" w:lineRule="auto"/>
        <w:jc w:val="both"/>
        <w:rPr>
          <w:rFonts w:cstheme="minorHAnsi"/>
          <w:sz w:val="24"/>
          <w:szCs w:val="24"/>
        </w:rPr>
      </w:pPr>
      <w:r w:rsidRPr="00A01C3F">
        <w:rPr>
          <w:rFonts w:cstheme="minorHAnsi"/>
          <w:i/>
          <w:iCs/>
          <w:sz w:val="24"/>
          <w:szCs w:val="24"/>
        </w:rPr>
        <w:t>“Freezing injunctions are awarded to prevent the respondent from removing assets from</w:t>
      </w:r>
    </w:p>
    <w:p w14:paraId="3CF73067" w14:textId="77777777" w:rsidR="00670656" w:rsidRPr="00A01C3F" w:rsidRDefault="00670656" w:rsidP="00A01C3F">
      <w:pPr>
        <w:spacing w:line="480" w:lineRule="auto"/>
        <w:jc w:val="both"/>
        <w:rPr>
          <w:rFonts w:cstheme="minorHAnsi"/>
          <w:i/>
          <w:iCs/>
          <w:sz w:val="24"/>
          <w:szCs w:val="24"/>
        </w:rPr>
      </w:pPr>
      <w:r w:rsidRPr="00A01C3F">
        <w:rPr>
          <w:rFonts w:cstheme="minorHAnsi"/>
          <w:i/>
          <w:iCs/>
          <w:sz w:val="24"/>
          <w:szCs w:val="24"/>
        </w:rPr>
        <w:t>the English jurisdiction before the completion of litigation to avoid settlement of a</w:t>
      </w:r>
    </w:p>
    <w:p w14:paraId="703CE6EC" w14:textId="3F1F189A" w:rsidR="00494DF9" w:rsidRPr="00A01C3F" w:rsidRDefault="00670656" w:rsidP="00A01C3F">
      <w:pPr>
        <w:spacing w:line="480" w:lineRule="auto"/>
        <w:jc w:val="both"/>
        <w:rPr>
          <w:rFonts w:cstheme="minorHAnsi"/>
          <w:sz w:val="24"/>
          <w:szCs w:val="24"/>
        </w:rPr>
      </w:pPr>
      <w:r w:rsidRPr="00A01C3F">
        <w:rPr>
          <w:rFonts w:cstheme="minorHAnsi"/>
          <w:i/>
          <w:iCs/>
          <w:sz w:val="24"/>
          <w:szCs w:val="24"/>
        </w:rPr>
        <w:t>final judgment</w:t>
      </w:r>
      <w:r w:rsidRPr="00A01C3F">
        <w:rPr>
          <w:rFonts w:cstheme="minorHAnsi"/>
          <w:sz w:val="24"/>
          <w:szCs w:val="24"/>
        </w:rPr>
        <w:t xml:space="preserve">” (Hudson, A </w:t>
      </w:r>
      <w:r w:rsidR="00EC6005" w:rsidRPr="00A01C3F">
        <w:rPr>
          <w:rFonts w:cstheme="minorHAnsi"/>
          <w:sz w:val="24"/>
          <w:szCs w:val="24"/>
        </w:rPr>
        <w:t xml:space="preserve">2007). </w:t>
      </w:r>
      <w:r w:rsidR="00A2045D" w:rsidRPr="00A01C3F">
        <w:rPr>
          <w:rFonts w:cstheme="minorHAnsi"/>
          <w:sz w:val="24"/>
          <w:szCs w:val="24"/>
        </w:rPr>
        <w:t xml:space="preserve">Freezing orders, as noted above, are interim injunctions and have previously been referred to as Mareva injunctions due to the fact that they were established in the leading case of Mareva in 1975. The operation of a freezing order is now dealt with under the Civil Procedure </w:t>
      </w:r>
      <w:r w:rsidR="00D31989" w:rsidRPr="00A01C3F">
        <w:rPr>
          <w:rFonts w:cstheme="minorHAnsi"/>
          <w:sz w:val="24"/>
          <w:szCs w:val="24"/>
        </w:rPr>
        <w:t>R</w:t>
      </w:r>
      <w:r w:rsidR="00A2045D" w:rsidRPr="00A01C3F">
        <w:rPr>
          <w:rFonts w:cstheme="minorHAnsi"/>
          <w:sz w:val="24"/>
          <w:szCs w:val="24"/>
        </w:rPr>
        <w:t>ules and specifically, rule 25. A freezing order works as an interim injunction and prevents one of the parties from dealing with assets or disposing of assets while the full trial is being prepared and before the trial has been heard.</w:t>
      </w:r>
      <w:r w:rsidR="007B2ADF" w:rsidRPr="00A01C3F">
        <w:rPr>
          <w:rFonts w:cstheme="minorHAnsi"/>
          <w:sz w:val="24"/>
          <w:szCs w:val="24"/>
        </w:rPr>
        <w:t xml:space="preserve"> “</w:t>
      </w:r>
      <w:r w:rsidR="007B2ADF" w:rsidRPr="00A01C3F">
        <w:rPr>
          <w:rFonts w:cstheme="minorHAnsi"/>
          <w:i/>
          <w:iCs/>
          <w:sz w:val="24"/>
          <w:szCs w:val="24"/>
        </w:rPr>
        <w:t xml:space="preserve">The ownership of the assets does not change. All that changes is the right to deal with them” (per </w:t>
      </w:r>
      <w:r w:rsidR="007B2ADF" w:rsidRPr="00A01C3F">
        <w:rPr>
          <w:rFonts w:cstheme="minorHAnsi"/>
          <w:i/>
          <w:iCs/>
          <w:sz w:val="24"/>
          <w:szCs w:val="24"/>
        </w:rPr>
        <w:lastRenderedPageBreak/>
        <w:t>Lord Bingham in Customs and Excise Commissioners v Barclays Bank plc (2006))</w:t>
      </w:r>
      <w:r w:rsidR="005E7342" w:rsidRPr="00A01C3F">
        <w:rPr>
          <w:rFonts w:cstheme="minorHAnsi"/>
          <w:sz w:val="24"/>
          <w:szCs w:val="24"/>
        </w:rPr>
        <w:t xml:space="preserve">. </w:t>
      </w:r>
      <w:r w:rsidR="00A2045D" w:rsidRPr="00A01C3F">
        <w:rPr>
          <w:rFonts w:cstheme="minorHAnsi"/>
          <w:sz w:val="24"/>
          <w:szCs w:val="24"/>
        </w:rPr>
        <w:t>For this reason, a freezing order is not seen as a remedy but rather a way of maintaining the current position while the trial occurs</w:t>
      </w:r>
      <w:r w:rsidR="005E7342" w:rsidRPr="00A01C3F">
        <w:rPr>
          <w:rFonts w:cstheme="minorHAnsi"/>
          <w:sz w:val="24"/>
          <w:szCs w:val="24"/>
        </w:rPr>
        <w:t xml:space="preserve">. </w:t>
      </w:r>
    </w:p>
    <w:p w14:paraId="411BB329" w14:textId="20A87E6E" w:rsidR="00494DF9" w:rsidRPr="00A01C3F" w:rsidRDefault="00A2045D" w:rsidP="00A01C3F">
      <w:pPr>
        <w:spacing w:line="480" w:lineRule="auto"/>
        <w:jc w:val="both"/>
        <w:rPr>
          <w:rFonts w:cstheme="minorHAnsi"/>
          <w:sz w:val="24"/>
          <w:szCs w:val="24"/>
        </w:rPr>
      </w:pPr>
      <w:r w:rsidRPr="00A01C3F">
        <w:rPr>
          <w:rFonts w:cstheme="minorHAnsi"/>
          <w:sz w:val="24"/>
          <w:szCs w:val="24"/>
        </w:rPr>
        <w:t>Crucially</w:t>
      </w:r>
      <w:r w:rsidR="00EC6005" w:rsidRPr="00A01C3F">
        <w:rPr>
          <w:rFonts w:cstheme="minorHAnsi"/>
          <w:sz w:val="24"/>
          <w:szCs w:val="24"/>
        </w:rPr>
        <w:t>,</w:t>
      </w:r>
      <w:r w:rsidRPr="00A01C3F">
        <w:rPr>
          <w:rFonts w:cstheme="minorHAnsi"/>
          <w:sz w:val="24"/>
          <w:szCs w:val="24"/>
        </w:rPr>
        <w:t xml:space="preserve"> and based on case law, a freezing order does not have the effect of creating security over the assets; it simply prevents the individual from disposing or using their assets in a way that would remove them from the claimant's control in the event that they were then successful in the future. It is not a charge on the assets and cannot be treated as such</w:t>
      </w:r>
      <w:r w:rsidR="00D31989" w:rsidRPr="00A01C3F">
        <w:rPr>
          <w:rFonts w:cstheme="minorHAnsi"/>
          <w:sz w:val="24"/>
          <w:szCs w:val="24"/>
        </w:rPr>
        <w:t xml:space="preserve"> (Crowther, 2020)</w:t>
      </w:r>
      <w:r w:rsidRPr="00A01C3F">
        <w:rPr>
          <w:rFonts w:cstheme="minorHAnsi"/>
          <w:sz w:val="24"/>
          <w:szCs w:val="24"/>
        </w:rPr>
        <w:t>.</w:t>
      </w:r>
    </w:p>
    <w:p w14:paraId="26DBF05E" w14:textId="17B86408" w:rsidR="00D348CA" w:rsidRPr="00A01C3F" w:rsidRDefault="00D348CA" w:rsidP="00A01C3F">
      <w:pPr>
        <w:spacing w:line="480" w:lineRule="auto"/>
        <w:jc w:val="both"/>
        <w:rPr>
          <w:rFonts w:cstheme="minorHAnsi"/>
          <w:sz w:val="24"/>
          <w:szCs w:val="24"/>
        </w:rPr>
      </w:pPr>
      <w:r w:rsidRPr="00A01C3F">
        <w:rPr>
          <w:rFonts w:cstheme="minorHAnsi"/>
          <w:sz w:val="24"/>
          <w:szCs w:val="24"/>
        </w:rPr>
        <w:t xml:space="preserve">Given the extensive scope of the Mareva injunction it is unsurprising that the courts have looked towards attempting to offer certainty as to what would qualify for a freezing order and what would not. </w:t>
      </w:r>
      <w:r w:rsidR="00A77376" w:rsidRPr="00A01C3F">
        <w:rPr>
          <w:rFonts w:cstheme="minorHAnsi"/>
          <w:sz w:val="24"/>
          <w:szCs w:val="24"/>
        </w:rPr>
        <w:t xml:space="preserve">The core requirements for granting a freezing order are given in </w:t>
      </w:r>
      <w:r w:rsidRPr="00A01C3F">
        <w:rPr>
          <w:rFonts w:cstheme="minorHAnsi"/>
          <w:sz w:val="24"/>
          <w:szCs w:val="24"/>
        </w:rPr>
        <w:t xml:space="preserve">Third Chandris in 1979 </w:t>
      </w:r>
      <w:r w:rsidR="00A77376" w:rsidRPr="00A01C3F">
        <w:rPr>
          <w:rFonts w:cstheme="minorHAnsi"/>
          <w:sz w:val="24"/>
          <w:szCs w:val="24"/>
        </w:rPr>
        <w:t xml:space="preserve">which will be discussed below. </w:t>
      </w:r>
    </w:p>
    <w:p w14:paraId="610B78B3" w14:textId="7243350F" w:rsidR="00F54311" w:rsidRPr="00A01C3F" w:rsidRDefault="00A77376" w:rsidP="00A01C3F">
      <w:pPr>
        <w:spacing w:line="480" w:lineRule="auto"/>
        <w:jc w:val="both"/>
        <w:rPr>
          <w:rFonts w:cstheme="minorHAnsi"/>
          <w:sz w:val="24"/>
          <w:szCs w:val="24"/>
        </w:rPr>
      </w:pPr>
      <w:r w:rsidRPr="00A01C3F">
        <w:rPr>
          <w:rFonts w:cstheme="minorHAnsi"/>
          <w:sz w:val="24"/>
          <w:szCs w:val="24"/>
        </w:rPr>
        <w:t>First</w:t>
      </w:r>
      <w:r w:rsidR="004C1C62" w:rsidRPr="00A01C3F">
        <w:rPr>
          <w:rFonts w:cstheme="minorHAnsi"/>
          <w:sz w:val="24"/>
          <w:szCs w:val="24"/>
        </w:rPr>
        <w:t>ly</w:t>
      </w:r>
      <w:r w:rsidRPr="00A01C3F">
        <w:rPr>
          <w:rFonts w:cstheme="minorHAnsi"/>
          <w:sz w:val="24"/>
          <w:szCs w:val="24"/>
        </w:rPr>
        <w:t>, the claimant must prove that he has a strong, arguable case which has a good chance of being successful</w:t>
      </w:r>
      <w:r w:rsidR="00AC501B" w:rsidRPr="00A01C3F">
        <w:rPr>
          <w:rFonts w:cstheme="minorHAnsi"/>
          <w:sz w:val="24"/>
          <w:szCs w:val="24"/>
        </w:rPr>
        <w:t xml:space="preserve"> (Andoh, 2010)</w:t>
      </w:r>
      <w:r w:rsidRPr="00A01C3F">
        <w:rPr>
          <w:rFonts w:cstheme="minorHAnsi"/>
          <w:sz w:val="24"/>
          <w:szCs w:val="24"/>
        </w:rPr>
        <w:t>. In Alliance Bank JSC v Baglan, there arose confusion between a good arguable case and the serious issue which needed to be tried</w:t>
      </w:r>
      <w:r w:rsidR="004C1C62" w:rsidRPr="00A01C3F">
        <w:rPr>
          <w:rFonts w:cstheme="minorHAnsi"/>
          <w:sz w:val="24"/>
          <w:szCs w:val="24"/>
        </w:rPr>
        <w:t>.</w:t>
      </w:r>
      <w:r w:rsidRPr="00A01C3F">
        <w:rPr>
          <w:rFonts w:cstheme="minorHAnsi"/>
          <w:sz w:val="24"/>
          <w:szCs w:val="24"/>
        </w:rPr>
        <w:t xml:space="preserve"> </w:t>
      </w:r>
      <w:r w:rsidR="004C1C62" w:rsidRPr="00A01C3F">
        <w:rPr>
          <w:rFonts w:cstheme="minorHAnsi"/>
          <w:sz w:val="24"/>
          <w:szCs w:val="24"/>
        </w:rPr>
        <w:t>Accordingly,</w:t>
      </w:r>
      <w:r w:rsidRPr="00A01C3F">
        <w:rPr>
          <w:rFonts w:cstheme="minorHAnsi"/>
          <w:sz w:val="24"/>
          <w:szCs w:val="24"/>
        </w:rPr>
        <w:t xml:space="preserve"> </w:t>
      </w:r>
      <w:r w:rsidR="004C1C62" w:rsidRPr="00A01C3F">
        <w:rPr>
          <w:rFonts w:cstheme="minorHAnsi"/>
          <w:sz w:val="24"/>
          <w:szCs w:val="24"/>
        </w:rPr>
        <w:t xml:space="preserve">because the claimant had already suffered material harm, the courts granted a freezing order. The point to note here is that not only was a freezing order granted, but it was granted out of jurisdiction; for a bank situated in Kazakhstan. Such indicates that the courts are willing to go an extra mile in order to protect the claimant by way of freezing orders. The equitable maxim ‘equity will not suffer a wrong without a remedy’ is seen in play here.  For the purposes of further analysis, in Allen v White Eagle, continuation of a freezing order was in question. here, the courts were faced with the claimant having a good arguable case along with real risk of dissipation thus, a freezing order was granted. It was further held that the </w:t>
      </w:r>
      <w:r w:rsidR="004C1C62" w:rsidRPr="00A01C3F">
        <w:rPr>
          <w:rFonts w:cstheme="minorHAnsi"/>
          <w:i/>
          <w:iCs/>
          <w:sz w:val="24"/>
          <w:szCs w:val="24"/>
        </w:rPr>
        <w:t xml:space="preserve">American Cyanamid </w:t>
      </w:r>
      <w:r w:rsidR="004C1C62" w:rsidRPr="00A01C3F">
        <w:rPr>
          <w:rFonts w:cstheme="minorHAnsi"/>
          <w:sz w:val="24"/>
          <w:szCs w:val="24"/>
        </w:rPr>
        <w:lastRenderedPageBreak/>
        <w:t>test was inappropriate for cases relating to freezing orders</w:t>
      </w:r>
      <w:r w:rsidR="00F54311" w:rsidRPr="00A01C3F">
        <w:rPr>
          <w:rFonts w:cstheme="minorHAnsi"/>
          <w:sz w:val="24"/>
          <w:szCs w:val="24"/>
        </w:rPr>
        <w:t xml:space="preserve"> since it included seriousness of the claim, inadequacy of damages and status quo. This test is difficult to apply and irrelevant for freezing orders since freezing orders require a deeper analysis and merits of the facts. Conclusively, freezing orders are not subject to the ordinary requirements of interim injunctions. </w:t>
      </w:r>
    </w:p>
    <w:p w14:paraId="04AA904A" w14:textId="5BEC8A5F" w:rsidR="00F54311" w:rsidRPr="00A01C3F" w:rsidRDefault="00F54311" w:rsidP="00A01C3F">
      <w:pPr>
        <w:spacing w:line="480" w:lineRule="auto"/>
        <w:jc w:val="both"/>
        <w:rPr>
          <w:rFonts w:cstheme="minorHAnsi"/>
          <w:sz w:val="24"/>
          <w:szCs w:val="24"/>
        </w:rPr>
      </w:pPr>
      <w:r w:rsidRPr="00A01C3F">
        <w:rPr>
          <w:rFonts w:cstheme="minorHAnsi"/>
          <w:sz w:val="24"/>
          <w:szCs w:val="24"/>
        </w:rPr>
        <w:t xml:space="preserve">The second requirement concerns risk of dissipation. This is where </w:t>
      </w:r>
      <w:r w:rsidR="00802687" w:rsidRPr="00A01C3F">
        <w:rPr>
          <w:rFonts w:cstheme="minorHAnsi"/>
          <w:sz w:val="24"/>
          <w:szCs w:val="24"/>
        </w:rPr>
        <w:t xml:space="preserve">the claimant fears that the assets may be lost or dissolved by the defendant, leading to </w:t>
      </w:r>
      <w:r w:rsidR="009C0078" w:rsidRPr="00A01C3F">
        <w:rPr>
          <w:rFonts w:cstheme="minorHAnsi"/>
          <w:sz w:val="24"/>
          <w:szCs w:val="24"/>
        </w:rPr>
        <w:t>less or no damages in the future. In SPL Private Finance v Arch, the claimant attempted to prove a real risk of dissipation as he relied on the respondent’s dishonest assistance in breach. However, the responded pleaded that there was no breach since all the trust funds were used in matters that the claimant knew of. Furthermore, the respondent had a good history of being financially credible and sophisticated. Resultantly, the court held that mere accusation of dishonest assistance was insufficient and therefore, there was no risk of dissipation (Burrows, A. (2002) This case highlights that the claimant must have reasonable and solid grounds to believe a ‘real risk’ and anything short will be irrelevant. As per the question, such indicates that the courts have been trying to strike a balance between rights of both parties. They do not wish to burden the respondent by the claimant’s frivolous claims while also protecting the claimant where needed.</w:t>
      </w:r>
    </w:p>
    <w:p w14:paraId="0E7F2166" w14:textId="70601839" w:rsidR="00F54311" w:rsidRPr="00A01C3F" w:rsidRDefault="009C0078" w:rsidP="00A01C3F">
      <w:pPr>
        <w:spacing w:line="480" w:lineRule="auto"/>
        <w:jc w:val="both"/>
        <w:rPr>
          <w:rFonts w:cstheme="minorHAnsi"/>
          <w:sz w:val="24"/>
          <w:szCs w:val="24"/>
        </w:rPr>
      </w:pPr>
      <w:r w:rsidRPr="00A01C3F">
        <w:rPr>
          <w:rFonts w:cstheme="minorHAnsi"/>
          <w:sz w:val="24"/>
          <w:szCs w:val="24"/>
        </w:rPr>
        <w:t xml:space="preserve">The third core requirement </w:t>
      </w:r>
      <w:r w:rsidR="00CA13EE" w:rsidRPr="00A01C3F">
        <w:rPr>
          <w:rFonts w:cstheme="minorHAnsi"/>
          <w:sz w:val="24"/>
          <w:szCs w:val="24"/>
        </w:rPr>
        <w:t xml:space="preserve">is where the applicant has to prove that </w:t>
      </w:r>
      <w:r w:rsidR="00454E06" w:rsidRPr="00A01C3F">
        <w:rPr>
          <w:rFonts w:cstheme="minorHAnsi"/>
          <w:sz w:val="24"/>
          <w:szCs w:val="24"/>
        </w:rPr>
        <w:t>the defendant has assets within the jurisdiction (or without, where an extra- territorial order is sought)</w:t>
      </w:r>
      <w:r w:rsidR="00CA13EE" w:rsidRPr="00A01C3F">
        <w:rPr>
          <w:rFonts w:cstheme="minorHAnsi"/>
          <w:sz w:val="24"/>
          <w:szCs w:val="24"/>
        </w:rPr>
        <w:t xml:space="preserve">. This is where the party is located in England or Wales and as such, there is no difficulty faced by the courts when granting freezing orders. However, where the party is located outside of the territory, then the courts are required to carefully examine the foreign law in order to uncover potential </w:t>
      </w:r>
      <w:r w:rsidR="00CA13EE" w:rsidRPr="00A01C3F">
        <w:rPr>
          <w:rFonts w:cstheme="minorHAnsi"/>
          <w:sz w:val="24"/>
          <w:szCs w:val="24"/>
        </w:rPr>
        <w:lastRenderedPageBreak/>
        <w:t>legal issues which may hinder the effectiveness of the English Freezing order (</w:t>
      </w:r>
      <w:r w:rsidR="005E7342" w:rsidRPr="00A01C3F">
        <w:rPr>
          <w:rFonts w:cstheme="minorHAnsi"/>
          <w:sz w:val="24"/>
          <w:szCs w:val="24"/>
        </w:rPr>
        <w:t xml:space="preserve">Mary. A, 1999). This has been seen in Ras Al Khaimah Investment Authority v Bestfort. </w:t>
      </w:r>
    </w:p>
    <w:p w14:paraId="24917D71" w14:textId="548808C6" w:rsidR="00F54311" w:rsidRPr="00A01C3F" w:rsidRDefault="00F54311" w:rsidP="00A01C3F">
      <w:pPr>
        <w:spacing w:line="480" w:lineRule="auto"/>
        <w:jc w:val="both"/>
        <w:rPr>
          <w:rFonts w:cstheme="minorHAnsi"/>
          <w:sz w:val="24"/>
          <w:szCs w:val="24"/>
        </w:rPr>
      </w:pPr>
      <w:r w:rsidRPr="00A01C3F">
        <w:rPr>
          <w:rFonts w:cstheme="minorHAnsi"/>
          <w:sz w:val="24"/>
          <w:szCs w:val="24"/>
        </w:rPr>
        <w:t xml:space="preserve">While it may seem that the courts are favouring the claimant in most situations, it must be noted that a freezing injunction will not be awarded where such an injunction would displace remedies which might be ordered at full trial of the issue </w:t>
      </w:r>
      <w:r w:rsidR="00454E06" w:rsidRPr="00A01C3F">
        <w:rPr>
          <w:rFonts w:cstheme="minorHAnsi"/>
          <w:sz w:val="24"/>
          <w:szCs w:val="24"/>
        </w:rPr>
        <w:t>(</w:t>
      </w:r>
      <w:r w:rsidR="00454E06" w:rsidRPr="00A01C3F">
        <w:rPr>
          <w:rFonts w:cstheme="minorHAnsi"/>
          <w:i/>
          <w:iCs/>
          <w:sz w:val="24"/>
          <w:szCs w:val="24"/>
          <w:lang/>
        </w:rPr>
        <w:t xml:space="preserve">Derby &amp; Co v </w:t>
      </w:r>
      <w:r w:rsidR="00370DA5" w:rsidRPr="00A01C3F">
        <w:rPr>
          <w:rFonts w:cstheme="minorHAnsi"/>
          <w:i/>
          <w:iCs/>
          <w:sz w:val="24"/>
          <w:szCs w:val="24"/>
          <w:lang/>
        </w:rPr>
        <w:t>Weldon [</w:t>
      </w:r>
      <w:r w:rsidR="00454E06" w:rsidRPr="00A01C3F">
        <w:rPr>
          <w:rFonts w:cstheme="minorHAnsi"/>
          <w:sz w:val="24"/>
          <w:szCs w:val="24"/>
          <w:lang/>
        </w:rPr>
        <w:t>1990] Ch 65</w:t>
      </w:r>
      <w:r w:rsidR="00454E06" w:rsidRPr="00A01C3F">
        <w:rPr>
          <w:rFonts w:cstheme="minorHAnsi"/>
          <w:sz w:val="24"/>
          <w:szCs w:val="24"/>
        </w:rPr>
        <w:t xml:space="preserve"> </w:t>
      </w:r>
      <w:r w:rsidRPr="00A01C3F">
        <w:rPr>
          <w:rFonts w:cstheme="minorHAnsi"/>
          <w:sz w:val="24"/>
          <w:szCs w:val="24"/>
        </w:rPr>
        <w:t>(Hudson, A 2007).</w:t>
      </w:r>
    </w:p>
    <w:p w14:paraId="7CFCEB0E" w14:textId="0E2ACF14" w:rsidR="00942368" w:rsidRPr="00A01C3F" w:rsidRDefault="005E7342" w:rsidP="00A01C3F">
      <w:pPr>
        <w:spacing w:line="480" w:lineRule="auto"/>
        <w:jc w:val="both"/>
        <w:rPr>
          <w:rFonts w:cstheme="minorHAnsi"/>
          <w:sz w:val="24"/>
          <w:szCs w:val="24"/>
        </w:rPr>
      </w:pPr>
      <w:r w:rsidRPr="00A01C3F">
        <w:rPr>
          <w:rFonts w:cstheme="minorHAnsi"/>
          <w:sz w:val="24"/>
          <w:szCs w:val="24"/>
        </w:rPr>
        <w:t>Extraordinarily, the English courts have concluded that in certain necessary circumstances, they have the power to grant freezing orders outside the jurisdiction of England and Wales. This is because</w:t>
      </w:r>
      <w:r w:rsidR="000C4593" w:rsidRPr="00A01C3F">
        <w:rPr>
          <w:rFonts w:cstheme="minorHAnsi"/>
          <w:sz w:val="24"/>
          <w:szCs w:val="24"/>
        </w:rPr>
        <w:t xml:space="preserve"> there is an obligation on third parties within the jurisdiction to comply with the worldwide orders even where the assets are likely to be outside of the jurisdiction as per YS GM Marfin II LLC in 2020</w:t>
      </w:r>
      <w:r w:rsidR="00A2045D" w:rsidRPr="00A01C3F">
        <w:rPr>
          <w:rFonts w:cstheme="minorHAnsi"/>
          <w:sz w:val="24"/>
          <w:szCs w:val="24"/>
        </w:rPr>
        <w:t xml:space="preserve">. </w:t>
      </w:r>
      <w:r w:rsidRPr="00A01C3F">
        <w:rPr>
          <w:rFonts w:cstheme="minorHAnsi"/>
          <w:sz w:val="24"/>
          <w:szCs w:val="24"/>
        </w:rPr>
        <w:t>This power is derived from S.37 of the Supreme Court Act 1981.</w:t>
      </w:r>
      <w:r w:rsidR="00942368" w:rsidRPr="00A01C3F">
        <w:rPr>
          <w:rFonts w:cstheme="minorHAnsi"/>
          <w:sz w:val="24"/>
          <w:szCs w:val="24"/>
        </w:rPr>
        <w:t xml:space="preserve"> In Derby v Weldon, the Court of Appeal realised the defendants knew the procedure of putting the assets beyond the reach of the applicant. Therefore, the court held, exceptionally, that the freeze on the defendants’ assets </w:t>
      </w:r>
      <w:r w:rsidR="00370DA5" w:rsidRPr="00A01C3F">
        <w:rPr>
          <w:rFonts w:cstheme="minorHAnsi"/>
          <w:sz w:val="24"/>
          <w:szCs w:val="24"/>
        </w:rPr>
        <w:t>was</w:t>
      </w:r>
      <w:r w:rsidR="00942368" w:rsidRPr="00A01C3F">
        <w:rPr>
          <w:rFonts w:cstheme="minorHAnsi"/>
          <w:sz w:val="24"/>
          <w:szCs w:val="24"/>
        </w:rPr>
        <w:t xml:space="preserve"> required to be global in its scope in order for the applicant to be certain of receiving adequate compensation in the event of being successful in the case.</w:t>
      </w:r>
      <w:r w:rsidRPr="00A01C3F">
        <w:rPr>
          <w:rFonts w:cstheme="minorHAnsi"/>
          <w:sz w:val="24"/>
          <w:szCs w:val="24"/>
        </w:rPr>
        <w:t xml:space="preserve"> </w:t>
      </w:r>
      <w:r w:rsidR="00942368" w:rsidRPr="00A01C3F">
        <w:rPr>
          <w:rFonts w:cstheme="minorHAnsi"/>
          <w:sz w:val="24"/>
          <w:szCs w:val="24"/>
        </w:rPr>
        <w:t xml:space="preserve">Furthermore, in Re Bank of Credit and Commerce International, Rattee J generously provided a worldwide freezing order on the basis </w:t>
      </w:r>
      <w:r w:rsidR="00942368" w:rsidRPr="00A01C3F">
        <w:rPr>
          <w:rFonts w:cstheme="minorHAnsi"/>
          <w:i/>
          <w:iCs/>
          <w:sz w:val="24"/>
          <w:szCs w:val="24"/>
        </w:rPr>
        <w:t>that ‘the complex international nature of the financial dealings</w:t>
      </w:r>
      <w:r w:rsidR="00942368" w:rsidRPr="00A01C3F">
        <w:rPr>
          <w:rFonts w:cstheme="minorHAnsi"/>
          <w:sz w:val="24"/>
          <w:szCs w:val="24"/>
        </w:rPr>
        <w:t>’ must not deprive the applicant of being certain of the assets. Moreover, in Credit Suisse Fides Trust v Cuoghi, the court relaxed the approach even further, stating that a worldwide freezing order would be provided in circumstances in which “</w:t>
      </w:r>
      <w:r w:rsidR="00942368" w:rsidRPr="00A01C3F">
        <w:rPr>
          <w:rFonts w:cstheme="minorHAnsi"/>
          <w:i/>
          <w:iCs/>
          <w:sz w:val="24"/>
          <w:szCs w:val="24"/>
        </w:rPr>
        <w:t>it would be expedient</w:t>
      </w:r>
      <w:r w:rsidR="00942368" w:rsidRPr="00A01C3F">
        <w:rPr>
          <w:rFonts w:cstheme="minorHAnsi"/>
          <w:sz w:val="24"/>
          <w:szCs w:val="24"/>
        </w:rPr>
        <w:t>” rather than only giving in exceptional situations. This expansion of worldwide freezing injunctions highlights the court’s willingness to provide protection to the claimant</w:t>
      </w:r>
      <w:r w:rsidR="00962B3A" w:rsidRPr="00A01C3F">
        <w:rPr>
          <w:rFonts w:cstheme="minorHAnsi"/>
          <w:sz w:val="24"/>
          <w:szCs w:val="24"/>
        </w:rPr>
        <w:t xml:space="preserve"> (Re BCCI SA (No 9) (1994). </w:t>
      </w:r>
      <w:r w:rsidR="00942368" w:rsidRPr="00A01C3F">
        <w:rPr>
          <w:rFonts w:cstheme="minorHAnsi"/>
          <w:sz w:val="24"/>
          <w:szCs w:val="24"/>
        </w:rPr>
        <w:t xml:space="preserve"> </w:t>
      </w:r>
    </w:p>
    <w:p w14:paraId="4DDF18E4" w14:textId="6490321C" w:rsidR="00494DF9" w:rsidRPr="00A01C3F" w:rsidRDefault="00A2045D" w:rsidP="00A01C3F">
      <w:pPr>
        <w:spacing w:line="480" w:lineRule="auto"/>
        <w:jc w:val="both"/>
        <w:rPr>
          <w:rFonts w:cstheme="minorHAnsi"/>
          <w:sz w:val="24"/>
          <w:szCs w:val="24"/>
        </w:rPr>
      </w:pPr>
      <w:r w:rsidRPr="00A01C3F">
        <w:rPr>
          <w:rFonts w:cstheme="minorHAnsi"/>
          <w:sz w:val="24"/>
          <w:szCs w:val="24"/>
        </w:rPr>
        <w:lastRenderedPageBreak/>
        <w:t xml:space="preserve">It seems </w:t>
      </w:r>
      <w:r w:rsidR="00AC501B" w:rsidRPr="00A01C3F">
        <w:rPr>
          <w:rFonts w:cstheme="minorHAnsi"/>
          <w:i/>
          <w:iCs/>
          <w:sz w:val="24"/>
          <w:szCs w:val="24"/>
        </w:rPr>
        <w:t>prima facie</w:t>
      </w:r>
      <w:r w:rsidRPr="00A01C3F">
        <w:rPr>
          <w:rFonts w:cstheme="minorHAnsi"/>
          <w:sz w:val="24"/>
          <w:szCs w:val="24"/>
        </w:rPr>
        <w:t xml:space="preserve">, therefore, that the balance is very much in favour of the claimant and that an individual who is subject to a freezing order could find themselves severely restricted in the way that they undertake their </w:t>
      </w:r>
      <w:r w:rsidR="007004F8" w:rsidRPr="00A01C3F">
        <w:rPr>
          <w:rFonts w:cstheme="minorHAnsi"/>
          <w:sz w:val="24"/>
          <w:szCs w:val="24"/>
        </w:rPr>
        <w:t>day-to-day</w:t>
      </w:r>
      <w:r w:rsidRPr="00A01C3F">
        <w:rPr>
          <w:rFonts w:cstheme="minorHAnsi"/>
          <w:sz w:val="24"/>
          <w:szCs w:val="24"/>
        </w:rPr>
        <w:t xml:space="preserve"> life and the way in which they manage their assets even where there has been no culpability shown.</w:t>
      </w:r>
      <w:r w:rsidR="00AC501B" w:rsidRPr="00A01C3F">
        <w:rPr>
          <w:rFonts w:cstheme="minorHAnsi"/>
          <w:sz w:val="24"/>
          <w:szCs w:val="24"/>
        </w:rPr>
        <w:t xml:space="preserve"> Nonetheless, the courts are careful with granting it as freezing injunction has been labelled as ‘nuclear weapon’ in Mellat 1985.</w:t>
      </w:r>
    </w:p>
    <w:p w14:paraId="627870E9" w14:textId="65566210" w:rsidR="00C34571" w:rsidRPr="00A01C3F" w:rsidRDefault="00AC501B" w:rsidP="00A01C3F">
      <w:pPr>
        <w:spacing w:line="480" w:lineRule="auto"/>
        <w:jc w:val="both"/>
        <w:rPr>
          <w:rFonts w:cstheme="minorHAnsi"/>
          <w:sz w:val="24"/>
          <w:szCs w:val="24"/>
        </w:rPr>
      </w:pPr>
      <w:r w:rsidRPr="00A01C3F">
        <w:rPr>
          <w:rFonts w:cstheme="minorHAnsi"/>
          <w:sz w:val="24"/>
          <w:szCs w:val="24"/>
        </w:rPr>
        <w:t xml:space="preserve">S.37 of Supreme Court Act further states that </w:t>
      </w:r>
      <w:r w:rsidR="00A2045D" w:rsidRPr="00A01C3F">
        <w:rPr>
          <w:rFonts w:cstheme="minorHAnsi"/>
          <w:sz w:val="24"/>
          <w:szCs w:val="24"/>
        </w:rPr>
        <w:t>an application for a freezing order will be refused where the inconvenience that is going to be suffered by the defendant far outweighs the potential benefit that the claimant would gain</w:t>
      </w:r>
      <w:r w:rsidRPr="00A01C3F">
        <w:rPr>
          <w:rFonts w:cstheme="minorHAnsi"/>
          <w:sz w:val="24"/>
          <w:szCs w:val="24"/>
        </w:rPr>
        <w:t xml:space="preserve"> </w:t>
      </w:r>
      <w:r w:rsidR="00D31989" w:rsidRPr="00A01C3F">
        <w:rPr>
          <w:rFonts w:cstheme="minorHAnsi"/>
          <w:sz w:val="24"/>
          <w:szCs w:val="24"/>
        </w:rPr>
        <w:t>(Fabano, 2002)</w:t>
      </w:r>
      <w:r w:rsidR="00A2045D" w:rsidRPr="00A01C3F">
        <w:rPr>
          <w:rFonts w:cstheme="minorHAnsi"/>
          <w:sz w:val="24"/>
          <w:szCs w:val="24"/>
        </w:rPr>
        <w:t xml:space="preserve">. </w:t>
      </w:r>
    </w:p>
    <w:p w14:paraId="289E1C95" w14:textId="510F37A2" w:rsidR="009016CC" w:rsidRPr="00A01C3F" w:rsidRDefault="00A2045D" w:rsidP="00A01C3F">
      <w:pPr>
        <w:spacing w:line="480" w:lineRule="auto"/>
        <w:jc w:val="both"/>
        <w:rPr>
          <w:rFonts w:cstheme="minorHAnsi"/>
          <w:sz w:val="24"/>
          <w:szCs w:val="24"/>
        </w:rPr>
      </w:pPr>
      <w:r w:rsidRPr="00A01C3F">
        <w:rPr>
          <w:rFonts w:cstheme="minorHAnsi"/>
          <w:sz w:val="24"/>
          <w:szCs w:val="24"/>
        </w:rPr>
        <w:t xml:space="preserve">The actual procedures for applying for a freezing order is contained in the Civil Procedure Rules 23 and 25, and when an application is made, this is typically done without notice to the respondent as clearly a respondent on notice of a potential freezing order is likely to act to dissipate their assets prior to the freezing order coming into place. This set of provisions ensures that the claimant maintains the opportunity to ensure that assets are not dissipated but also the fact that an undertaking for damages has to be provided does then offer the respondent some security that in the event that they win the underlying case, they could potentially achieve damages for any losses that they've incurred as a result of this freezing order. </w:t>
      </w:r>
      <w:r w:rsidR="009016CC" w:rsidRPr="00A01C3F">
        <w:rPr>
          <w:rFonts w:cstheme="minorHAnsi"/>
          <w:sz w:val="24"/>
          <w:szCs w:val="24"/>
        </w:rPr>
        <w:t xml:space="preserve">The courts have also shown a willingness to consider claims in aggravated damages where the order has been deemed to be </w:t>
      </w:r>
      <w:r w:rsidR="0003175A" w:rsidRPr="00A01C3F">
        <w:rPr>
          <w:rFonts w:cstheme="minorHAnsi"/>
          <w:sz w:val="24"/>
          <w:szCs w:val="24"/>
        </w:rPr>
        <w:t>excessive and the defendant could not have known the scope of the injunction, recognising that there may be situations where the target of an order could claim damages, a further, vital safeguard (Columbia Pictures Industries Inc v Robinson: ChD, 1986).</w:t>
      </w:r>
    </w:p>
    <w:p w14:paraId="0608F4A6" w14:textId="509EFE72" w:rsidR="00204C53" w:rsidRPr="00A01C3F" w:rsidRDefault="00A2045D" w:rsidP="00A01C3F">
      <w:pPr>
        <w:spacing w:line="480" w:lineRule="auto"/>
        <w:jc w:val="both"/>
        <w:rPr>
          <w:rFonts w:cstheme="minorHAnsi"/>
          <w:sz w:val="24"/>
          <w:szCs w:val="24"/>
        </w:rPr>
      </w:pPr>
      <w:r w:rsidRPr="00A01C3F">
        <w:rPr>
          <w:rFonts w:cstheme="minorHAnsi"/>
          <w:sz w:val="24"/>
          <w:szCs w:val="24"/>
        </w:rPr>
        <w:t xml:space="preserve">As well as the important undertaking for damages, there are some limitations on the scope for a freezing order, for example, there are limits on the assets that can be frozen with </w:t>
      </w:r>
      <w:r w:rsidRPr="00A01C3F">
        <w:rPr>
          <w:rFonts w:cstheme="minorHAnsi"/>
          <w:sz w:val="24"/>
          <w:szCs w:val="24"/>
        </w:rPr>
        <w:lastRenderedPageBreak/>
        <w:t>particular carve-outs being offered for the ordinary course of business common living in legal expenses and of course there is judiciary discretion to exclude assets that would have a particularly detrimental impact on the defendant</w:t>
      </w:r>
      <w:r w:rsidR="00AC501B" w:rsidRPr="00A01C3F">
        <w:rPr>
          <w:rFonts w:cstheme="minorHAnsi"/>
          <w:sz w:val="24"/>
          <w:szCs w:val="24"/>
        </w:rPr>
        <w:t xml:space="preserve"> (Practice Direction</w:t>
      </w:r>
      <w:r w:rsidR="00582B72" w:rsidRPr="00A01C3F">
        <w:rPr>
          <w:rFonts w:cstheme="minorHAnsi"/>
          <w:sz w:val="24"/>
          <w:szCs w:val="24"/>
        </w:rPr>
        <w:t xml:space="preserve"> 1</w:t>
      </w:r>
      <w:r w:rsidR="00AC501B" w:rsidRPr="00A01C3F">
        <w:rPr>
          <w:rFonts w:cstheme="minorHAnsi"/>
          <w:sz w:val="24"/>
          <w:szCs w:val="24"/>
        </w:rPr>
        <w:t>994).</w:t>
      </w:r>
      <w:r w:rsidRPr="00A01C3F">
        <w:rPr>
          <w:rFonts w:cstheme="minorHAnsi"/>
          <w:sz w:val="24"/>
          <w:szCs w:val="24"/>
        </w:rPr>
        <w:t xml:space="preserve"> Although the concept of the ordinary course of business should be relatively narrowly construed, it does offer an opportunity for the corporate respondent to ensure that they are able to continue to operate their business and do not suffer losses to such an extent that their business itself may collapse as a result of the freezing order</w:t>
      </w:r>
      <w:r w:rsidR="00D31989" w:rsidRPr="00A01C3F">
        <w:rPr>
          <w:rFonts w:cstheme="minorHAnsi"/>
          <w:sz w:val="24"/>
          <w:szCs w:val="24"/>
        </w:rPr>
        <w:t xml:space="preserve"> (JSC BTA, 2010)</w:t>
      </w:r>
      <w:r w:rsidRPr="00A01C3F">
        <w:rPr>
          <w:rFonts w:cstheme="minorHAnsi"/>
          <w:sz w:val="24"/>
          <w:szCs w:val="24"/>
        </w:rPr>
        <w:t>.</w:t>
      </w:r>
    </w:p>
    <w:p w14:paraId="68F69292" w14:textId="77777777" w:rsidR="00370DA5" w:rsidRDefault="00A2045D" w:rsidP="00A01C3F">
      <w:pPr>
        <w:spacing w:line="480" w:lineRule="auto"/>
        <w:jc w:val="both"/>
        <w:rPr>
          <w:rFonts w:cstheme="minorHAnsi"/>
          <w:sz w:val="24"/>
          <w:szCs w:val="24"/>
        </w:rPr>
      </w:pPr>
      <w:r w:rsidRPr="00A01C3F">
        <w:rPr>
          <w:rFonts w:cstheme="minorHAnsi"/>
          <w:sz w:val="24"/>
          <w:szCs w:val="24"/>
        </w:rPr>
        <w:t>It is argued here that on balance freezing orders, although recognises being a particularly draconian and method of ensuring that assets are not removed from the jurisdiction or dissipated, there are checks and balances in place to ensure that freezing orders are not issued without due consideration and are only issued where it is entirely reasonable to do so. In particular, the existence of undertaking for damages provides a specific level of support for the defendants.</w:t>
      </w:r>
    </w:p>
    <w:p w14:paraId="6794F4D9" w14:textId="69EA9F85" w:rsidR="00962B3A" w:rsidRPr="00A01C3F" w:rsidRDefault="00A2045D" w:rsidP="00A01C3F">
      <w:pPr>
        <w:spacing w:line="480" w:lineRule="auto"/>
        <w:jc w:val="both"/>
        <w:rPr>
          <w:rFonts w:cstheme="minorHAnsi"/>
          <w:sz w:val="24"/>
          <w:szCs w:val="24"/>
        </w:rPr>
      </w:pPr>
      <w:r w:rsidRPr="00A01C3F">
        <w:rPr>
          <w:rFonts w:cstheme="minorHAnsi"/>
          <w:sz w:val="24"/>
          <w:szCs w:val="24"/>
        </w:rPr>
        <w:t>A search order, by extension, is a mandatory interim injunction and allows the claimant or their representative to enter into a defendant's premises to search, copy and potentially remove material and documents that are linked to the case in question. Interestingly, and despite the recognition that a freezing order can be extremely powerful, it is argued here that the search order is one of the strictest orders that a court can make; it was established in the leading case of Anton Piller; hence a search and seizure border often being referred to as an Anton Piller order</w:t>
      </w:r>
      <w:r w:rsidR="00D31989" w:rsidRPr="00A01C3F">
        <w:rPr>
          <w:rFonts w:cstheme="minorHAnsi"/>
          <w:sz w:val="24"/>
          <w:szCs w:val="24"/>
        </w:rPr>
        <w:t>, 1975</w:t>
      </w:r>
      <w:r w:rsidRPr="00A01C3F">
        <w:rPr>
          <w:rFonts w:cstheme="minorHAnsi"/>
          <w:sz w:val="24"/>
          <w:szCs w:val="24"/>
        </w:rPr>
        <w:t xml:space="preserve">. The search and seizure order </w:t>
      </w:r>
      <w:r w:rsidR="00582B72" w:rsidRPr="00A01C3F">
        <w:rPr>
          <w:rFonts w:cstheme="minorHAnsi"/>
          <w:sz w:val="24"/>
          <w:szCs w:val="24"/>
        </w:rPr>
        <w:t>were</w:t>
      </w:r>
      <w:r w:rsidRPr="00A01C3F">
        <w:rPr>
          <w:rFonts w:cstheme="minorHAnsi"/>
          <w:sz w:val="24"/>
          <w:szCs w:val="24"/>
        </w:rPr>
        <w:t xml:space="preserve"> established in this case despite the recognition that an individual has the legal power to prevent individuals from entering into their property in order to inspect papers or documents without the appropriate order in place</w:t>
      </w:r>
      <w:r w:rsidR="00D31989" w:rsidRPr="00A01C3F">
        <w:rPr>
          <w:rFonts w:cstheme="minorHAnsi"/>
          <w:sz w:val="24"/>
          <w:szCs w:val="24"/>
        </w:rPr>
        <w:t xml:space="preserve"> (Entick, 1765)</w:t>
      </w:r>
      <w:r w:rsidRPr="00A01C3F">
        <w:rPr>
          <w:rFonts w:cstheme="minorHAnsi"/>
          <w:sz w:val="24"/>
          <w:szCs w:val="24"/>
        </w:rPr>
        <w:t xml:space="preserve">. Notwithstanding this recognition, the judge in the Anton pillar case noted </w:t>
      </w:r>
      <w:r w:rsidRPr="00A01C3F">
        <w:rPr>
          <w:rFonts w:cstheme="minorHAnsi"/>
          <w:sz w:val="24"/>
          <w:szCs w:val="24"/>
        </w:rPr>
        <w:lastRenderedPageBreak/>
        <w:t>that a search and seizure order might be appropriate where there are three preconditions in place</w:t>
      </w:r>
      <w:r w:rsidR="00D31989" w:rsidRPr="00A01C3F">
        <w:rPr>
          <w:rFonts w:cstheme="minorHAnsi"/>
          <w:sz w:val="24"/>
          <w:szCs w:val="24"/>
        </w:rPr>
        <w:t xml:space="preserve"> (Hayhurst, 1981)</w:t>
      </w:r>
      <w:r w:rsidRPr="00A01C3F">
        <w:rPr>
          <w:rFonts w:cstheme="minorHAnsi"/>
          <w:sz w:val="24"/>
          <w:szCs w:val="24"/>
        </w:rPr>
        <w:t xml:space="preserve">. </w:t>
      </w:r>
      <w:r w:rsidR="007004F8" w:rsidRPr="00A01C3F">
        <w:rPr>
          <w:rFonts w:cstheme="minorHAnsi"/>
          <w:sz w:val="24"/>
          <w:szCs w:val="24"/>
        </w:rPr>
        <w:t>Firstly,</w:t>
      </w:r>
      <w:r w:rsidRPr="00A01C3F">
        <w:rPr>
          <w:rFonts w:cstheme="minorHAnsi"/>
          <w:sz w:val="24"/>
          <w:szCs w:val="24"/>
        </w:rPr>
        <w:t xml:space="preserve"> there is a requirement for the party to show that they have a very strong prima facie case. </w:t>
      </w:r>
      <w:r w:rsidR="00582B72" w:rsidRPr="00A01C3F">
        <w:rPr>
          <w:rFonts w:cstheme="minorHAnsi"/>
          <w:sz w:val="24"/>
          <w:szCs w:val="24"/>
        </w:rPr>
        <w:t xml:space="preserve">Lord Hoffman in Lock plc v Beswick claimed that while the three-requirement test is essential, it must not be outright be assumed that the respondent has intended to destroy the evidence or documents. Therefore, it remains highly crucial to build a strong, solid case on which the applicant can comfortably rely on. </w:t>
      </w:r>
      <w:r w:rsidRPr="00A01C3F">
        <w:rPr>
          <w:rFonts w:cstheme="minorHAnsi"/>
          <w:sz w:val="24"/>
          <w:szCs w:val="24"/>
        </w:rPr>
        <w:t xml:space="preserve">Secondly, it will be necessary for the claimant to show that the damage of not being able to search for materials or documents would be extremely serious, and thirdly there must be real and credible evidence in place to ensure that the defendant actually has these documents, it cannot simply be at the whim of the claimant who believes there may be documents present. </w:t>
      </w:r>
      <w:r w:rsidR="00337355" w:rsidRPr="00A01C3F">
        <w:rPr>
          <w:rFonts w:cstheme="minorHAnsi"/>
          <w:sz w:val="24"/>
          <w:szCs w:val="24"/>
        </w:rPr>
        <w:t xml:space="preserve">Therefore, it is immediately apparent that the courts place a very high burden on an applicant seeking such a search and seizure order. </w:t>
      </w:r>
      <w:r w:rsidR="00962B3A" w:rsidRPr="00A01C3F">
        <w:rPr>
          <w:rFonts w:cstheme="minorHAnsi"/>
          <w:sz w:val="24"/>
          <w:szCs w:val="24"/>
        </w:rPr>
        <w:t>The execution guidelines for search orders have been provided under Universal Thermosensors Ltd v Hibben [1992] where it is necessary that the search order is supervised and signed by a solicitor, the search must be carried out of during office hours and that the party serving the order must include a woman in the event of that a woman is alone on the premises (Vneshprombank, 2021)</w:t>
      </w:r>
    </w:p>
    <w:p w14:paraId="18DF985D" w14:textId="21522653" w:rsidR="00582B72" w:rsidRPr="00A01C3F" w:rsidRDefault="00337355" w:rsidP="00A01C3F">
      <w:pPr>
        <w:spacing w:line="480" w:lineRule="auto"/>
        <w:jc w:val="both"/>
        <w:rPr>
          <w:rFonts w:cstheme="minorHAnsi"/>
          <w:sz w:val="24"/>
          <w:szCs w:val="24"/>
        </w:rPr>
      </w:pPr>
      <w:r w:rsidRPr="00A01C3F">
        <w:rPr>
          <w:rFonts w:cstheme="minorHAnsi"/>
          <w:sz w:val="24"/>
          <w:szCs w:val="24"/>
        </w:rPr>
        <w:t>The power that the court has to issue these orders is contained within the Civil Procedure act 1997 Section 7 as well as within rule 25 of the Civil Procedure Rules.</w:t>
      </w:r>
    </w:p>
    <w:p w14:paraId="2FB77336" w14:textId="548DA978" w:rsidR="00254843" w:rsidRPr="00A01C3F" w:rsidRDefault="00337355" w:rsidP="00A01C3F">
      <w:pPr>
        <w:spacing w:line="480" w:lineRule="auto"/>
        <w:jc w:val="both"/>
        <w:rPr>
          <w:rFonts w:cstheme="minorHAnsi"/>
          <w:sz w:val="24"/>
          <w:szCs w:val="24"/>
        </w:rPr>
      </w:pPr>
      <w:r w:rsidRPr="00A01C3F">
        <w:rPr>
          <w:rFonts w:cstheme="minorHAnsi"/>
          <w:sz w:val="24"/>
          <w:szCs w:val="24"/>
        </w:rPr>
        <w:t xml:space="preserve">It is helpful to consider the underlying reasons that a search order may be issued. This approach will typically be to preserve evidence or to preserve property that may otherwise be destroyed and is fundamental to the case at hand. This order operates on a very </w:t>
      </w:r>
      <w:r w:rsidR="007004F8" w:rsidRPr="00A01C3F">
        <w:rPr>
          <w:rFonts w:cstheme="minorHAnsi"/>
          <w:sz w:val="24"/>
          <w:szCs w:val="24"/>
        </w:rPr>
        <w:t>short-term</w:t>
      </w:r>
      <w:r w:rsidRPr="00A01C3F">
        <w:rPr>
          <w:rFonts w:cstheme="minorHAnsi"/>
          <w:sz w:val="24"/>
          <w:szCs w:val="24"/>
        </w:rPr>
        <w:t xml:space="preserve"> agenda, and once the documents or assets have been placed in safekeeping, the need for the search order diminishes.</w:t>
      </w:r>
      <w:r w:rsidR="00BB2720" w:rsidRPr="00A01C3F">
        <w:rPr>
          <w:rFonts w:cstheme="minorHAnsi"/>
          <w:sz w:val="24"/>
          <w:szCs w:val="24"/>
        </w:rPr>
        <w:t xml:space="preserve"> Therefore, the key issue is to preserve evidence in the form </w:t>
      </w:r>
      <w:r w:rsidR="00BB2720" w:rsidRPr="00A01C3F">
        <w:rPr>
          <w:rFonts w:cstheme="minorHAnsi"/>
          <w:sz w:val="24"/>
          <w:szCs w:val="24"/>
        </w:rPr>
        <w:lastRenderedPageBreak/>
        <w:t>of documents and is not a way of obtaining the evidence or a method by which disclosure can be enforced</w:t>
      </w:r>
      <w:r w:rsidR="00D31989" w:rsidRPr="00A01C3F">
        <w:rPr>
          <w:rFonts w:cstheme="minorHAnsi"/>
          <w:sz w:val="24"/>
          <w:szCs w:val="24"/>
        </w:rPr>
        <w:t xml:space="preserve"> (Kyriakides, 2012)</w:t>
      </w:r>
      <w:r w:rsidR="00EE3EA5" w:rsidRPr="00A01C3F">
        <w:rPr>
          <w:rFonts w:cstheme="minorHAnsi"/>
          <w:sz w:val="24"/>
          <w:szCs w:val="24"/>
        </w:rPr>
        <w:t>.</w:t>
      </w:r>
      <w:r w:rsidR="00254843" w:rsidRPr="00A01C3F">
        <w:rPr>
          <w:rFonts w:cstheme="minorHAnsi"/>
          <w:sz w:val="24"/>
          <w:szCs w:val="24"/>
        </w:rPr>
        <w:t xml:space="preserve"> Despite this it is noted that there is a degree of interaction to consider with the case of Den Norske in 1999 where it was held that there is a privilege that allows individuals not to self-incriminate even where disclosure was ordered under a freezing order. This restriction and limitation on the scope of an order having already been considered in the context of disclosure and </w:t>
      </w:r>
      <w:r w:rsidR="007004F8" w:rsidRPr="00A01C3F">
        <w:rPr>
          <w:rFonts w:cstheme="minorHAnsi"/>
          <w:sz w:val="24"/>
          <w:szCs w:val="24"/>
        </w:rPr>
        <w:t>self-incrimination</w:t>
      </w:r>
      <w:r w:rsidR="00254843" w:rsidRPr="00A01C3F">
        <w:rPr>
          <w:rFonts w:cstheme="minorHAnsi"/>
          <w:sz w:val="24"/>
          <w:szCs w:val="24"/>
        </w:rPr>
        <w:t xml:space="preserve"> where it was held that even if the aim was not to incriminate it could be the natural consequence of an order and judges should be alert to this when looking at freezing orders, offering a further potential safeguard</w:t>
      </w:r>
      <w:r w:rsidR="008356E8" w:rsidRPr="00A01C3F">
        <w:rPr>
          <w:rFonts w:cstheme="minorHAnsi"/>
          <w:sz w:val="24"/>
          <w:szCs w:val="24"/>
        </w:rPr>
        <w:t xml:space="preserve"> (Rank Film Distributors 1982).</w:t>
      </w:r>
      <w:r w:rsidR="00962B3A" w:rsidRPr="00A01C3F">
        <w:rPr>
          <w:rFonts w:cstheme="minorHAnsi"/>
          <w:sz w:val="24"/>
          <w:szCs w:val="24"/>
        </w:rPr>
        <w:t xml:space="preserve"> In order to protect the respondent further, in Columbia Picture Industries Inc v Robinson, </w:t>
      </w:r>
      <w:r w:rsidR="001629AE" w:rsidRPr="00A01C3F">
        <w:rPr>
          <w:rFonts w:cstheme="minorHAnsi"/>
          <w:sz w:val="24"/>
          <w:szCs w:val="24"/>
        </w:rPr>
        <w:t xml:space="preserve">once the claimant obtained the search order, he may not abuse his power or position during the execution of the order. Therefore, any sort of an oppressive act is prohibited by the courts. This allows autonomy and protection of the respondent. </w:t>
      </w:r>
    </w:p>
    <w:p w14:paraId="674211B6" w14:textId="73F7C649" w:rsidR="006C3EE5" w:rsidRPr="00A01C3F" w:rsidRDefault="00A2045D" w:rsidP="00A01C3F">
      <w:pPr>
        <w:spacing w:line="480" w:lineRule="auto"/>
        <w:jc w:val="both"/>
        <w:rPr>
          <w:rFonts w:cstheme="minorHAnsi"/>
          <w:sz w:val="24"/>
          <w:szCs w:val="24"/>
        </w:rPr>
      </w:pPr>
      <w:r w:rsidRPr="00A01C3F">
        <w:rPr>
          <w:rFonts w:cstheme="minorHAnsi"/>
          <w:sz w:val="24"/>
          <w:szCs w:val="24"/>
        </w:rPr>
        <w:t xml:space="preserve">Further practical limitations that may impact the desirability of a search order include the fact that obtaining a search order and executing a search order is a reasonably expensive process and, therefore, not something to be undertaken lightly by the claimant. Furthermore, even where a search order is provided, this does not allow the representative to gain forcible entry into the property, so therefore a defendant who is being particularly resistant may still continue to be resistant, and the defendant may seek to disobey the order. Finally, even where the representative was able to gain access to the premises, there is no guarantee that they will be able to find the documents that they are looking for. Arguably, however, the greatest issue for the claimant is that if a search order is set aside, it may well be the case that the defendant can then obtain damages from the claimant. </w:t>
      </w:r>
    </w:p>
    <w:p w14:paraId="037ED1D7" w14:textId="243BF032" w:rsidR="00BA59B3" w:rsidRPr="00A01C3F" w:rsidRDefault="00A2045D" w:rsidP="00A01C3F">
      <w:pPr>
        <w:spacing w:line="480" w:lineRule="auto"/>
        <w:jc w:val="both"/>
        <w:rPr>
          <w:rFonts w:cstheme="minorHAnsi"/>
          <w:sz w:val="24"/>
          <w:szCs w:val="24"/>
        </w:rPr>
      </w:pPr>
      <w:r w:rsidRPr="00A01C3F">
        <w:rPr>
          <w:rFonts w:cstheme="minorHAnsi"/>
          <w:sz w:val="24"/>
          <w:szCs w:val="24"/>
        </w:rPr>
        <w:lastRenderedPageBreak/>
        <w:t>Given the potential challenges associated with the search order, they're typically only used in very limited cases such as those relating to intellectual property</w:t>
      </w:r>
      <w:r w:rsidR="00D31989" w:rsidRPr="00A01C3F">
        <w:rPr>
          <w:rFonts w:cstheme="minorHAnsi"/>
          <w:sz w:val="24"/>
          <w:szCs w:val="24"/>
        </w:rPr>
        <w:t xml:space="preserve"> (Sahai and Bora, 2008)</w:t>
      </w:r>
      <w:r w:rsidRPr="00A01C3F">
        <w:rPr>
          <w:rFonts w:cstheme="minorHAnsi"/>
          <w:sz w:val="24"/>
          <w:szCs w:val="24"/>
        </w:rPr>
        <w:t>, fraud, or breach of confidence cases will stop there is also a use of these orders in matrimonial cases although commonly they are more associated with commercial undertakings due to the costs associated with such an order</w:t>
      </w:r>
      <w:r w:rsidR="00D31989" w:rsidRPr="00A01C3F">
        <w:rPr>
          <w:rFonts w:cstheme="minorHAnsi"/>
          <w:sz w:val="24"/>
          <w:szCs w:val="24"/>
        </w:rPr>
        <w:t xml:space="preserve"> (Rademeyer 1994)</w:t>
      </w:r>
      <w:r w:rsidRPr="00A01C3F">
        <w:rPr>
          <w:rFonts w:cstheme="minorHAnsi"/>
          <w:sz w:val="24"/>
          <w:szCs w:val="24"/>
        </w:rPr>
        <w:t>.</w:t>
      </w:r>
    </w:p>
    <w:p w14:paraId="1BD9C2A6" w14:textId="0A6A60F6" w:rsidR="00CF7EA4" w:rsidRPr="00A01C3F" w:rsidRDefault="00A2045D" w:rsidP="00A01C3F">
      <w:pPr>
        <w:spacing w:line="480" w:lineRule="auto"/>
        <w:jc w:val="both"/>
        <w:rPr>
          <w:rFonts w:cstheme="minorHAnsi"/>
          <w:sz w:val="24"/>
          <w:szCs w:val="24"/>
        </w:rPr>
      </w:pPr>
      <w:r w:rsidRPr="00A01C3F">
        <w:rPr>
          <w:rFonts w:cstheme="minorHAnsi"/>
          <w:sz w:val="24"/>
          <w:szCs w:val="24"/>
        </w:rPr>
        <w:t>In summary, when looking at the way in which the courts have dealt with applications for search orders, it is argued here that it is relatively limited situations in which a search order will be deemed to be the most appropriate way forwards</w:t>
      </w:r>
      <w:r w:rsidR="00D31989" w:rsidRPr="00A01C3F">
        <w:rPr>
          <w:rFonts w:cstheme="minorHAnsi"/>
          <w:sz w:val="24"/>
          <w:szCs w:val="24"/>
        </w:rPr>
        <w:t xml:space="preserve"> (Folarin, 2020)</w:t>
      </w:r>
      <w:r w:rsidRPr="00A01C3F">
        <w:rPr>
          <w:rFonts w:cstheme="minorHAnsi"/>
          <w:sz w:val="24"/>
          <w:szCs w:val="24"/>
        </w:rPr>
        <w:t>. Alternative orders such as doorstep orders will always be considered an alternative, and the search order is viewed largely as a last resort. From the claimant's point of view, there are additional challenges associated with proving the necessary elements to obtain the search order, and there is a very realistic risk that they will be required to pay damages if the search order is then set aside. All of these aspects are likely to mean that a claimant will only use a search order where they are in a very strong position and where they are relatively certain that the search order will be successful. Essentially the difficulties being faced by the claimant seeking to obtain a search order act as a means of protecting the defendant from spurious applications, with search orders being relatively exceptional and certainly not commonplace</w:t>
      </w:r>
      <w:r w:rsidR="00D31989" w:rsidRPr="00A01C3F">
        <w:rPr>
          <w:rFonts w:cstheme="minorHAnsi"/>
          <w:sz w:val="24"/>
          <w:szCs w:val="24"/>
        </w:rPr>
        <w:t xml:space="preserve"> (Yousif, 1980)</w:t>
      </w:r>
      <w:r w:rsidRPr="00A01C3F">
        <w:rPr>
          <w:rFonts w:cstheme="minorHAnsi"/>
          <w:sz w:val="24"/>
          <w:szCs w:val="24"/>
        </w:rPr>
        <w:t>.</w:t>
      </w:r>
    </w:p>
    <w:p w14:paraId="3AFF2EC9" w14:textId="6BD3656E" w:rsidR="003570E6" w:rsidRPr="00370DA5" w:rsidRDefault="00A2045D" w:rsidP="00A01C3F">
      <w:pPr>
        <w:spacing w:line="480" w:lineRule="auto"/>
        <w:jc w:val="both"/>
        <w:rPr>
          <w:rFonts w:cstheme="minorHAnsi"/>
          <w:sz w:val="24"/>
          <w:szCs w:val="24"/>
        </w:rPr>
      </w:pPr>
      <w:r w:rsidRPr="00A01C3F">
        <w:rPr>
          <w:rFonts w:cstheme="minorHAnsi"/>
          <w:sz w:val="24"/>
          <w:szCs w:val="24"/>
        </w:rPr>
        <w:t xml:space="preserve">When an application comes before the court, if the court looks at the likely harm that will be created to the defendant and considers this to be disproportionate based on the likely documents that are going to be obtained, the search order will not be issued, and instead, the court will likely look at alternative orders that if it could use in order to achieve the same result. </w:t>
      </w:r>
      <w:r w:rsidR="00D31989" w:rsidRPr="00A01C3F">
        <w:rPr>
          <w:rFonts w:cstheme="minorHAnsi"/>
          <w:sz w:val="24"/>
          <w:szCs w:val="24"/>
        </w:rPr>
        <w:t>T</w:t>
      </w:r>
      <w:r w:rsidRPr="00A01C3F">
        <w:rPr>
          <w:rFonts w:cstheme="minorHAnsi"/>
          <w:sz w:val="24"/>
          <w:szCs w:val="24"/>
        </w:rPr>
        <w:t xml:space="preserve">he existence of these lesser orders makes for a particularly strong safeguard for the </w:t>
      </w:r>
      <w:r w:rsidRPr="00A01C3F">
        <w:rPr>
          <w:rFonts w:cstheme="minorHAnsi"/>
          <w:sz w:val="24"/>
          <w:szCs w:val="24"/>
        </w:rPr>
        <w:lastRenderedPageBreak/>
        <w:t>defendants.  Finally, in the case of the search order, there is also the requirement to have a supervising solicitor, and this again offers an opportunity to ensure that the process of issuing that search order and executing the search order is done fairly.</w:t>
      </w:r>
    </w:p>
    <w:p w14:paraId="1C4F2054" w14:textId="09C3BC98" w:rsidR="009166DF" w:rsidRPr="00A01C3F" w:rsidRDefault="00A2045D" w:rsidP="00A01C3F">
      <w:pPr>
        <w:spacing w:line="480" w:lineRule="auto"/>
        <w:jc w:val="both"/>
        <w:rPr>
          <w:rFonts w:cstheme="minorHAnsi"/>
          <w:sz w:val="24"/>
          <w:szCs w:val="24"/>
        </w:rPr>
      </w:pPr>
      <w:r w:rsidRPr="00A01C3F">
        <w:rPr>
          <w:rFonts w:cstheme="minorHAnsi"/>
          <w:sz w:val="24"/>
          <w:szCs w:val="24"/>
        </w:rPr>
        <w:t>When looking at the equitable remedies of the freezing order and search orders, which are interim in nature, it is clear to see that the courts have made a strong attempt to ensure that the needs of both parties are balanced and that there are safeguards put in place to prevent an applicant putting forward situations that could place the defendant at a particular disadvantage even though the underlying cause has not yet been determined</w:t>
      </w:r>
      <w:r w:rsidR="00D31989" w:rsidRPr="00A01C3F">
        <w:rPr>
          <w:rFonts w:cstheme="minorHAnsi"/>
          <w:sz w:val="24"/>
          <w:szCs w:val="24"/>
        </w:rPr>
        <w:t xml:space="preserve"> (Yadav, 2018)</w:t>
      </w:r>
      <w:r w:rsidRPr="00A01C3F">
        <w:rPr>
          <w:rFonts w:cstheme="minorHAnsi"/>
          <w:sz w:val="24"/>
          <w:szCs w:val="24"/>
        </w:rPr>
        <w:t xml:space="preserve">. </w:t>
      </w:r>
    </w:p>
    <w:p w14:paraId="4312FE58" w14:textId="1D189810" w:rsidR="009166DF" w:rsidRDefault="00A2045D" w:rsidP="00A01C3F">
      <w:pPr>
        <w:spacing w:line="480" w:lineRule="auto"/>
        <w:jc w:val="both"/>
        <w:rPr>
          <w:rFonts w:cstheme="minorHAnsi"/>
          <w:sz w:val="24"/>
          <w:szCs w:val="24"/>
        </w:rPr>
      </w:pPr>
      <w:r w:rsidRPr="00A01C3F">
        <w:rPr>
          <w:rFonts w:cstheme="minorHAnsi"/>
          <w:sz w:val="24"/>
          <w:szCs w:val="24"/>
        </w:rPr>
        <w:t xml:space="preserve">Of particular use is the need for the applicant to provide an undertaking for damages such that if they are in a position that the orders are unsuccessful or there are any losses as a result of a spurious application, they would be required to provide </w:t>
      </w:r>
      <w:r w:rsidR="00033907" w:rsidRPr="00A01C3F">
        <w:rPr>
          <w:rFonts w:cstheme="minorHAnsi"/>
          <w:sz w:val="24"/>
          <w:szCs w:val="24"/>
        </w:rPr>
        <w:t>damages</w:t>
      </w:r>
      <w:r w:rsidRPr="00A01C3F">
        <w:rPr>
          <w:rFonts w:cstheme="minorHAnsi"/>
          <w:sz w:val="24"/>
          <w:szCs w:val="24"/>
        </w:rPr>
        <w:t xml:space="preserve"> to the respondent. The courts have typically taken a very cautious approach in issuing both of these orders, recognising just how draconian they can potentially be to the defendant who is likely to face the order without notice. Alternative orders will always be considered. As such, there are suitable safeguards to ensure that these orders are only used in the most extreme of situations and where it is just and equitable to do so.</w:t>
      </w:r>
    </w:p>
    <w:p w14:paraId="538E5901" w14:textId="16F9683D" w:rsidR="00A01C3F" w:rsidRDefault="00A01C3F" w:rsidP="00A01C3F">
      <w:pPr>
        <w:spacing w:line="480" w:lineRule="auto"/>
        <w:jc w:val="both"/>
        <w:rPr>
          <w:rFonts w:cstheme="minorHAnsi"/>
          <w:sz w:val="24"/>
          <w:szCs w:val="24"/>
        </w:rPr>
      </w:pPr>
    </w:p>
    <w:p w14:paraId="79209CB6" w14:textId="77777777" w:rsidR="00A01C3F" w:rsidRPr="00A01C3F" w:rsidRDefault="00A01C3F" w:rsidP="00A01C3F">
      <w:pPr>
        <w:spacing w:line="480" w:lineRule="auto"/>
        <w:jc w:val="both"/>
        <w:rPr>
          <w:rFonts w:cstheme="minorHAnsi"/>
          <w:sz w:val="24"/>
          <w:szCs w:val="24"/>
        </w:rPr>
      </w:pPr>
    </w:p>
    <w:p w14:paraId="04D217D8" w14:textId="2E9F16DE" w:rsidR="00A2045D" w:rsidRPr="00A01C3F" w:rsidRDefault="00A2045D" w:rsidP="00A01C3F">
      <w:pPr>
        <w:spacing w:line="480" w:lineRule="auto"/>
        <w:jc w:val="both"/>
        <w:rPr>
          <w:rFonts w:cstheme="minorHAnsi"/>
          <w:b/>
          <w:bCs/>
          <w:color w:val="0070C0"/>
          <w:sz w:val="24"/>
          <w:szCs w:val="24"/>
        </w:rPr>
      </w:pPr>
      <w:r w:rsidRPr="00A01C3F">
        <w:rPr>
          <w:rFonts w:cstheme="minorHAnsi"/>
          <w:b/>
          <w:bCs/>
          <w:color w:val="0070C0"/>
          <w:sz w:val="24"/>
          <w:szCs w:val="24"/>
        </w:rPr>
        <w:t>References</w:t>
      </w:r>
    </w:p>
    <w:p w14:paraId="283D02B7" w14:textId="41AEA7E5" w:rsidR="00454E06" w:rsidRPr="00A01C3F" w:rsidRDefault="00454E06" w:rsidP="00A01C3F">
      <w:pPr>
        <w:spacing w:line="480" w:lineRule="auto"/>
        <w:jc w:val="both"/>
        <w:rPr>
          <w:rFonts w:cstheme="minorHAnsi"/>
          <w:b/>
          <w:bCs/>
          <w:color w:val="0070C0"/>
          <w:sz w:val="24"/>
          <w:szCs w:val="24"/>
        </w:rPr>
      </w:pPr>
      <w:r w:rsidRPr="00A01C3F">
        <w:rPr>
          <w:rFonts w:cstheme="minorHAnsi"/>
          <w:b/>
          <w:bCs/>
          <w:color w:val="0070C0"/>
          <w:sz w:val="24"/>
          <w:szCs w:val="24"/>
        </w:rPr>
        <w:t>Primary Sources</w:t>
      </w:r>
    </w:p>
    <w:p w14:paraId="646BC35F" w14:textId="733A8890" w:rsidR="00454E06" w:rsidRPr="00A01C3F" w:rsidRDefault="00454E06" w:rsidP="00A01C3F">
      <w:pPr>
        <w:spacing w:line="480" w:lineRule="auto"/>
        <w:jc w:val="both"/>
        <w:rPr>
          <w:rFonts w:cstheme="minorHAnsi"/>
          <w:b/>
          <w:bCs/>
          <w:sz w:val="24"/>
          <w:szCs w:val="24"/>
        </w:rPr>
      </w:pPr>
      <w:r w:rsidRPr="00A01C3F">
        <w:rPr>
          <w:rFonts w:cstheme="minorHAnsi"/>
          <w:b/>
          <w:bCs/>
          <w:color w:val="0070C0"/>
          <w:sz w:val="24"/>
          <w:szCs w:val="24"/>
        </w:rPr>
        <w:t>Cases:</w:t>
      </w:r>
    </w:p>
    <w:p w14:paraId="22F69369"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Allen v White Eagle Modern Building Solutions Ltd [2015] EWHC 2359 (QB).</w:t>
      </w:r>
    </w:p>
    <w:p w14:paraId="6881E767"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lastRenderedPageBreak/>
        <w:t xml:space="preserve">Alliance Bank JSC v Baglan Abdullayevich Zhunus (formerly Baglan Abdullayevich Zhunusov) [2015] EWHC 714 (Comm). </w:t>
      </w:r>
    </w:p>
    <w:p w14:paraId="5A974677"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 xml:space="preserve">American Cyanamid Co (No 1) v Ethicon Ltd [1975] UKHL 1. </w:t>
      </w:r>
    </w:p>
    <w:p w14:paraId="78771A38"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Anton Piller KG v Manufacturing Processes Ltd &amp; Ors [1975] EWCA Civ 12</w:t>
      </w:r>
    </w:p>
    <w:p w14:paraId="0C35D221"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Bank Mellat v Nikpour [1985] FSR 87</w:t>
      </w:r>
    </w:p>
    <w:p w14:paraId="07CAF22A"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Columbia Picture Industries Inc v Robinson [1987] Ch 38</w:t>
      </w:r>
    </w:p>
    <w:p w14:paraId="0FB8F540"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Columbia Pictures Industries Inc v Robinson: ChD [1986] 3 WLR 542</w:t>
      </w:r>
    </w:p>
    <w:p w14:paraId="45A5505F"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 xml:space="preserve">Commissioners of Customs and Excise v Barclays Bank Plc [2006] UKHL 28. </w:t>
      </w:r>
    </w:p>
    <w:p w14:paraId="72092839"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Crowther v Crowther [2020] EWCA Civ 762</w:t>
      </w:r>
    </w:p>
    <w:p w14:paraId="6458F922"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Den Norske Bank ASA v Antonatos [1999] Q.B. 271</w:t>
      </w:r>
    </w:p>
    <w:p w14:paraId="445A72E1"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Derby &amp; Co v Weldon (Nos 3 and 4) [1990] Ch 65</w:t>
      </w:r>
    </w:p>
    <w:p w14:paraId="5CF6004C"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Entick v Carrington &amp; Ors [1765] EWHC J98 (KB)</w:t>
      </w:r>
    </w:p>
    <w:p w14:paraId="6476464A"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EWHC 3383 (Ch)</w:t>
      </w:r>
    </w:p>
    <w:p w14:paraId="28736731"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JSC BTA Bank v Ablyazov (No 3) [2010] EWCA Civ 1141</w:t>
      </w:r>
    </w:p>
    <w:p w14:paraId="6E4A8243"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Lock plc v Beswick [1989] 1 WLR 1268.</w:t>
      </w:r>
    </w:p>
    <w:p w14:paraId="3B743EC6"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Mareva Compania Naviera SA v. International Bulkcarriers SA, [1975] 2 Lloyd's Rep 509</w:t>
      </w:r>
    </w:p>
    <w:p w14:paraId="75990446"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Practice Direction [1994] 4 All ER 52.</w:t>
      </w:r>
    </w:p>
    <w:p w14:paraId="0A45E32D"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Rank Film Distributors Ltd v Video Information Centre [1982] A.C. 380</w:t>
      </w:r>
    </w:p>
    <w:p w14:paraId="3628DEA2"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Ras Al Khaimah Investment Authority v Bestfort Development LLP [2015]</w:t>
      </w:r>
    </w:p>
    <w:p w14:paraId="58F1C9E9"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lastRenderedPageBreak/>
        <w:t>Re Bank of Credit and Commerce International SA (No 9) [1994] 3 All ER 764.</w:t>
      </w:r>
    </w:p>
    <w:p w14:paraId="4EDBE069"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 xml:space="preserve">Re BCCI SA (No 9) (1994). </w:t>
      </w:r>
    </w:p>
    <w:p w14:paraId="643D0425"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SPL Private Finance (PF1) IC Ltd v Arch Financial Products LLP [2015] EWHC 1124</w:t>
      </w:r>
    </w:p>
    <w:p w14:paraId="13D4DDC7"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Third Chandris Shipping Corporation v Unmarine SA [1979] QB 645</w:t>
      </w:r>
    </w:p>
    <w:p w14:paraId="684CE911"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Universal Thermosensors Ltd v Hibben [1992] 3 All ER 257.</w:t>
      </w:r>
    </w:p>
    <w:p w14:paraId="69961FD8"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 xml:space="preserve">Vneshprombank LLC v Bedzhamov &amp; Ors [2021] EWHC 1360 (Ch) </w:t>
      </w:r>
    </w:p>
    <w:p w14:paraId="3F50862C"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 xml:space="preserve">Yousif v Salama [1980] 1 WLR 1540 </w:t>
      </w:r>
    </w:p>
    <w:p w14:paraId="0F38249F" w14:textId="77777777" w:rsidR="000047E5" w:rsidRPr="00A01C3F" w:rsidRDefault="000047E5" w:rsidP="00A01C3F">
      <w:pPr>
        <w:spacing w:line="480" w:lineRule="auto"/>
        <w:jc w:val="both"/>
        <w:rPr>
          <w:rFonts w:cstheme="minorHAnsi"/>
          <w:i/>
          <w:iCs/>
          <w:sz w:val="24"/>
          <w:szCs w:val="24"/>
        </w:rPr>
      </w:pPr>
      <w:r w:rsidRPr="00A01C3F">
        <w:rPr>
          <w:rFonts w:cstheme="minorHAnsi"/>
          <w:i/>
          <w:iCs/>
          <w:sz w:val="24"/>
          <w:szCs w:val="24"/>
        </w:rPr>
        <w:t>YS GM Marfin II LLC and ors v Muhammad Ali Lakhani and ors [2020] EWHC 2629 (Comm)</w:t>
      </w:r>
    </w:p>
    <w:p w14:paraId="3AB0F4B7" w14:textId="32F15429" w:rsidR="00454E06" w:rsidRPr="00A01C3F" w:rsidRDefault="00454E06" w:rsidP="00A01C3F">
      <w:pPr>
        <w:spacing w:line="480" w:lineRule="auto"/>
        <w:rPr>
          <w:rFonts w:cstheme="minorHAnsi"/>
          <w:color w:val="0070C0"/>
          <w:sz w:val="24"/>
          <w:szCs w:val="24"/>
        </w:rPr>
      </w:pPr>
      <w:r w:rsidRPr="00A01C3F">
        <w:rPr>
          <w:rFonts w:cstheme="minorHAnsi"/>
          <w:color w:val="0070C0"/>
          <w:sz w:val="24"/>
          <w:szCs w:val="24"/>
        </w:rPr>
        <w:t>Statute:</w:t>
      </w:r>
    </w:p>
    <w:p w14:paraId="5873D467" w14:textId="4A19C21E" w:rsidR="000047E5" w:rsidRPr="00A01C3F" w:rsidRDefault="000047E5" w:rsidP="00A01C3F">
      <w:pPr>
        <w:spacing w:line="480" w:lineRule="auto"/>
        <w:rPr>
          <w:rFonts w:cstheme="minorHAnsi"/>
          <w:sz w:val="24"/>
          <w:szCs w:val="24"/>
        </w:rPr>
      </w:pPr>
      <w:r w:rsidRPr="00A01C3F">
        <w:rPr>
          <w:rFonts w:cstheme="minorHAnsi"/>
          <w:sz w:val="24"/>
          <w:szCs w:val="24"/>
        </w:rPr>
        <w:t xml:space="preserve">Civil Procedure Act 1997. Available at </w:t>
      </w:r>
      <w:hyperlink r:id="rId8" w:history="1">
        <w:r w:rsidRPr="00A01C3F">
          <w:rPr>
            <w:rStyle w:val="Hyperlink"/>
            <w:rFonts w:cstheme="minorHAnsi"/>
            <w:sz w:val="24"/>
            <w:szCs w:val="24"/>
          </w:rPr>
          <w:t>https://www.legislation.gov.uk/ukpga/1997/12/contents</w:t>
        </w:r>
      </w:hyperlink>
      <w:r w:rsidRPr="00A01C3F">
        <w:rPr>
          <w:rFonts w:cstheme="minorHAnsi"/>
          <w:sz w:val="24"/>
          <w:szCs w:val="24"/>
        </w:rPr>
        <w:t xml:space="preserve"> </w:t>
      </w:r>
    </w:p>
    <w:p w14:paraId="6EA85CD7" w14:textId="17DAF8FC" w:rsidR="000047E5" w:rsidRPr="00A01C3F" w:rsidRDefault="000047E5" w:rsidP="00A01C3F">
      <w:pPr>
        <w:spacing w:line="480" w:lineRule="auto"/>
        <w:rPr>
          <w:rFonts w:cstheme="minorHAnsi"/>
          <w:sz w:val="24"/>
          <w:szCs w:val="24"/>
        </w:rPr>
      </w:pPr>
      <w:r w:rsidRPr="00A01C3F">
        <w:rPr>
          <w:rFonts w:cstheme="minorHAnsi"/>
          <w:sz w:val="24"/>
          <w:szCs w:val="24"/>
        </w:rPr>
        <w:t xml:space="preserve">Civil Procedure Rules 1998. Available at </w:t>
      </w:r>
      <w:hyperlink r:id="rId9" w:history="1">
        <w:r w:rsidRPr="00A01C3F">
          <w:rPr>
            <w:rStyle w:val="Hyperlink"/>
            <w:rFonts w:cstheme="minorHAnsi"/>
            <w:sz w:val="24"/>
            <w:szCs w:val="24"/>
          </w:rPr>
          <w:t>https://www.justice.gov.uk/courts/procedure-rules/civil</w:t>
        </w:r>
      </w:hyperlink>
      <w:r w:rsidRPr="00A01C3F">
        <w:rPr>
          <w:rFonts w:cstheme="minorHAnsi"/>
          <w:sz w:val="24"/>
          <w:szCs w:val="24"/>
        </w:rPr>
        <w:t xml:space="preserve"> </w:t>
      </w:r>
    </w:p>
    <w:p w14:paraId="4BFE93C0" w14:textId="77777777" w:rsidR="000047E5" w:rsidRPr="00A01C3F" w:rsidRDefault="000047E5" w:rsidP="00A01C3F">
      <w:pPr>
        <w:spacing w:line="480" w:lineRule="auto"/>
        <w:jc w:val="both"/>
        <w:rPr>
          <w:rFonts w:cstheme="minorHAnsi"/>
          <w:sz w:val="24"/>
          <w:szCs w:val="24"/>
        </w:rPr>
      </w:pPr>
      <w:r w:rsidRPr="00A01C3F">
        <w:rPr>
          <w:rFonts w:cstheme="minorHAnsi"/>
          <w:sz w:val="24"/>
          <w:szCs w:val="24"/>
        </w:rPr>
        <w:t>Supreme Court Act 1981</w:t>
      </w:r>
    </w:p>
    <w:p w14:paraId="6646C3F9" w14:textId="53EB50B5" w:rsidR="00454E06" w:rsidRPr="00A01C3F" w:rsidRDefault="00454E06" w:rsidP="00A01C3F">
      <w:pPr>
        <w:spacing w:line="480" w:lineRule="auto"/>
        <w:jc w:val="both"/>
        <w:rPr>
          <w:rFonts w:cstheme="minorHAnsi"/>
          <w:color w:val="0070C0"/>
          <w:sz w:val="24"/>
          <w:szCs w:val="24"/>
        </w:rPr>
      </w:pPr>
      <w:r w:rsidRPr="00A01C3F">
        <w:rPr>
          <w:rFonts w:cstheme="minorHAnsi"/>
          <w:color w:val="0070C0"/>
          <w:sz w:val="24"/>
          <w:szCs w:val="24"/>
        </w:rPr>
        <w:t>Secondary Sources</w:t>
      </w:r>
    </w:p>
    <w:p w14:paraId="05840FBE" w14:textId="3BC04292" w:rsidR="000047E5" w:rsidRPr="00A01C3F" w:rsidRDefault="000047E5" w:rsidP="00A01C3F">
      <w:pPr>
        <w:spacing w:line="480" w:lineRule="auto"/>
        <w:jc w:val="both"/>
        <w:rPr>
          <w:rFonts w:cstheme="minorHAnsi"/>
          <w:color w:val="0070C0"/>
          <w:sz w:val="24"/>
          <w:szCs w:val="24"/>
        </w:rPr>
      </w:pPr>
      <w:r w:rsidRPr="00A01C3F">
        <w:rPr>
          <w:rFonts w:cstheme="minorHAnsi"/>
          <w:color w:val="0070C0"/>
          <w:sz w:val="24"/>
          <w:szCs w:val="24"/>
        </w:rPr>
        <w:t>Books:</w:t>
      </w:r>
    </w:p>
    <w:p w14:paraId="0C5F76A3" w14:textId="77777777" w:rsidR="000047E5" w:rsidRPr="00A01C3F" w:rsidRDefault="000047E5" w:rsidP="00A01C3F">
      <w:pPr>
        <w:spacing w:line="480" w:lineRule="auto"/>
        <w:jc w:val="both"/>
        <w:rPr>
          <w:rFonts w:cstheme="minorHAnsi"/>
          <w:color w:val="000000" w:themeColor="text1"/>
          <w:sz w:val="24"/>
          <w:szCs w:val="24"/>
        </w:rPr>
      </w:pPr>
      <w:r w:rsidRPr="00A01C3F">
        <w:rPr>
          <w:rFonts w:cstheme="minorHAnsi"/>
          <w:color w:val="000000" w:themeColor="text1"/>
          <w:sz w:val="24"/>
          <w:szCs w:val="24"/>
        </w:rPr>
        <w:t>Hudson. A, (2007) ‘</w:t>
      </w:r>
      <w:r w:rsidRPr="00A01C3F">
        <w:rPr>
          <w:rFonts w:cstheme="minorHAnsi"/>
          <w:i/>
          <w:iCs/>
          <w:color w:val="000000" w:themeColor="text1"/>
          <w:sz w:val="24"/>
          <w:szCs w:val="24"/>
        </w:rPr>
        <w:t>Equity and Trusts’</w:t>
      </w:r>
      <w:r w:rsidRPr="00A01C3F">
        <w:rPr>
          <w:rFonts w:cstheme="minorHAnsi"/>
          <w:color w:val="000000" w:themeColor="text1"/>
          <w:sz w:val="24"/>
          <w:szCs w:val="24"/>
        </w:rPr>
        <w:t xml:space="preserve"> (6</w:t>
      </w:r>
      <w:r w:rsidRPr="00A01C3F">
        <w:rPr>
          <w:rFonts w:cstheme="minorHAnsi"/>
          <w:color w:val="000000" w:themeColor="text1"/>
          <w:sz w:val="24"/>
          <w:szCs w:val="24"/>
          <w:vertAlign w:val="superscript"/>
        </w:rPr>
        <w:t>th</w:t>
      </w:r>
      <w:r w:rsidRPr="00A01C3F">
        <w:rPr>
          <w:rFonts w:cstheme="minorHAnsi"/>
          <w:color w:val="000000" w:themeColor="text1"/>
          <w:sz w:val="24"/>
          <w:szCs w:val="24"/>
        </w:rPr>
        <w:t xml:space="preserve"> edn, Routledge)</w:t>
      </w:r>
    </w:p>
    <w:p w14:paraId="455705F5" w14:textId="77777777" w:rsidR="000047E5" w:rsidRPr="00A01C3F" w:rsidRDefault="000047E5" w:rsidP="00A01C3F">
      <w:pPr>
        <w:spacing w:line="480" w:lineRule="auto"/>
        <w:jc w:val="both"/>
        <w:rPr>
          <w:rFonts w:cstheme="minorHAnsi"/>
          <w:color w:val="000000" w:themeColor="text1"/>
          <w:sz w:val="24"/>
          <w:szCs w:val="24"/>
        </w:rPr>
      </w:pPr>
      <w:r w:rsidRPr="00A01C3F">
        <w:rPr>
          <w:rFonts w:cstheme="minorHAnsi"/>
          <w:color w:val="000000" w:themeColor="text1"/>
          <w:sz w:val="24"/>
          <w:szCs w:val="24"/>
        </w:rPr>
        <w:t>Penner. J, (2019) ‘</w:t>
      </w:r>
      <w:r w:rsidRPr="00A01C3F">
        <w:rPr>
          <w:rFonts w:cstheme="minorHAnsi"/>
          <w:i/>
          <w:iCs/>
          <w:color w:val="000000" w:themeColor="text1"/>
          <w:sz w:val="24"/>
          <w:szCs w:val="24"/>
        </w:rPr>
        <w:t>The Law of Trusts’</w:t>
      </w:r>
      <w:r w:rsidRPr="00A01C3F">
        <w:rPr>
          <w:rFonts w:cstheme="minorHAnsi"/>
          <w:color w:val="000000" w:themeColor="text1"/>
          <w:sz w:val="24"/>
          <w:szCs w:val="24"/>
        </w:rPr>
        <w:t xml:space="preserve"> (11th edn, Oxford University Press)</w:t>
      </w:r>
    </w:p>
    <w:p w14:paraId="368C716E" w14:textId="77777777" w:rsidR="000047E5" w:rsidRPr="00A01C3F" w:rsidRDefault="000047E5" w:rsidP="00A01C3F">
      <w:pPr>
        <w:spacing w:line="480" w:lineRule="auto"/>
        <w:jc w:val="both"/>
        <w:rPr>
          <w:rFonts w:cstheme="minorHAnsi"/>
          <w:sz w:val="24"/>
          <w:szCs w:val="24"/>
          <w:lang w:val="en-US"/>
        </w:rPr>
      </w:pPr>
      <w:r w:rsidRPr="00A01C3F">
        <w:rPr>
          <w:rFonts w:cstheme="minorHAnsi"/>
          <w:sz w:val="24"/>
          <w:szCs w:val="24"/>
          <w:lang w:val="en-US"/>
        </w:rPr>
        <w:t>Ramjohn, M., (2015) ‘</w:t>
      </w:r>
      <w:r w:rsidRPr="00A01C3F">
        <w:rPr>
          <w:rFonts w:cstheme="minorHAnsi"/>
          <w:i/>
          <w:iCs/>
          <w:sz w:val="24"/>
          <w:szCs w:val="24"/>
          <w:lang w:val="en-US"/>
        </w:rPr>
        <w:t>Unlocking Equity and Trusts’</w:t>
      </w:r>
      <w:r w:rsidRPr="00A01C3F">
        <w:rPr>
          <w:rFonts w:cstheme="minorHAnsi"/>
          <w:sz w:val="24"/>
          <w:szCs w:val="24"/>
          <w:lang w:val="en-US"/>
        </w:rPr>
        <w:t xml:space="preserve"> (5</w:t>
      </w:r>
      <w:r w:rsidRPr="00A01C3F">
        <w:rPr>
          <w:rFonts w:cstheme="minorHAnsi"/>
          <w:sz w:val="24"/>
          <w:szCs w:val="24"/>
          <w:vertAlign w:val="superscript"/>
          <w:lang w:val="en-US"/>
        </w:rPr>
        <w:t>th</w:t>
      </w:r>
      <w:r w:rsidRPr="00A01C3F">
        <w:rPr>
          <w:rFonts w:cstheme="minorHAnsi"/>
          <w:sz w:val="24"/>
          <w:szCs w:val="24"/>
          <w:lang w:val="en-US"/>
        </w:rPr>
        <w:t xml:space="preserve"> edn, Routledge)</w:t>
      </w:r>
    </w:p>
    <w:p w14:paraId="082741C3" w14:textId="77777777" w:rsidR="000047E5" w:rsidRPr="00A01C3F" w:rsidRDefault="000047E5" w:rsidP="00A01C3F">
      <w:pPr>
        <w:spacing w:line="480" w:lineRule="auto"/>
        <w:jc w:val="both"/>
        <w:rPr>
          <w:rFonts w:cstheme="minorHAnsi"/>
          <w:color w:val="000000" w:themeColor="text1"/>
          <w:sz w:val="24"/>
          <w:szCs w:val="24"/>
        </w:rPr>
      </w:pPr>
    </w:p>
    <w:p w14:paraId="4EA5819B" w14:textId="1EA7994E" w:rsidR="00454E06" w:rsidRPr="00A01C3F" w:rsidRDefault="00454E06" w:rsidP="00A01C3F">
      <w:pPr>
        <w:spacing w:line="480" w:lineRule="auto"/>
        <w:jc w:val="both"/>
        <w:rPr>
          <w:rFonts w:cstheme="minorHAnsi"/>
          <w:color w:val="0070C0"/>
          <w:sz w:val="24"/>
          <w:szCs w:val="24"/>
        </w:rPr>
      </w:pPr>
      <w:r w:rsidRPr="00A01C3F">
        <w:rPr>
          <w:rFonts w:cstheme="minorHAnsi"/>
          <w:color w:val="0070C0"/>
          <w:sz w:val="24"/>
          <w:szCs w:val="24"/>
        </w:rPr>
        <w:t>Articles/Journals:</w:t>
      </w:r>
    </w:p>
    <w:p w14:paraId="718702F7" w14:textId="77777777" w:rsidR="000047E5" w:rsidRPr="00A01C3F" w:rsidRDefault="000047E5" w:rsidP="00A01C3F">
      <w:pPr>
        <w:spacing w:line="480" w:lineRule="auto"/>
        <w:jc w:val="both"/>
        <w:rPr>
          <w:rFonts w:cstheme="minorHAnsi"/>
          <w:sz w:val="24"/>
          <w:szCs w:val="24"/>
        </w:rPr>
      </w:pPr>
    </w:p>
    <w:p w14:paraId="6389BC95"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Alexander, K. (1996). The Mareva Injunction and Anton Piller Order: The Nuclear Weapons of English Commercial Litigation. Fla. J. Int'l L., 11, 487.</w:t>
      </w:r>
    </w:p>
    <w:p w14:paraId="36148DE6"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Andoh, B. (2010). The Freezing Injunction Today. Business Law Review, 31(2).</w:t>
      </w:r>
    </w:p>
    <w:p w14:paraId="4D948E5D"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Burrows, A. (2002) ‘</w:t>
      </w:r>
      <w:r w:rsidRPr="00A01C3F">
        <w:rPr>
          <w:rFonts w:cstheme="minorHAnsi"/>
          <w:i/>
          <w:iCs/>
          <w:sz w:val="24"/>
          <w:szCs w:val="24"/>
        </w:rPr>
        <w:t>We Do This At Common Law But That In Equity’</w:t>
      </w:r>
      <w:r w:rsidRPr="00A01C3F">
        <w:rPr>
          <w:rFonts w:cstheme="minorHAnsi"/>
          <w:sz w:val="24"/>
          <w:szCs w:val="24"/>
        </w:rPr>
        <w:t>, 22 Oxford Journal of Legal Studies 1</w:t>
      </w:r>
    </w:p>
    <w:p w14:paraId="57266F82"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Fabano, C. (2002). Maximizing Plaintiff Protection in the World of Asset Freezing and Bypassing the Due Process Requirement of Notice: The Mareva Injunction as an Alternative to the American Legal Remedies. ILSA J. Int'l &amp; Comp. L., 9, 131.</w:t>
      </w:r>
    </w:p>
    <w:p w14:paraId="7890B360"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Folarin, A. (2020). Evaluating the Scope of the Mareva and Anton Piller Injunctions and the Rights of Parties. Available at SSRN 3643983.</w:t>
      </w:r>
    </w:p>
    <w:p w14:paraId="623E7251"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Hayhurst, W. L. (1981). The Anton Piller Order. Can. Bus. LJ, 6, 2.</w:t>
      </w:r>
    </w:p>
    <w:p w14:paraId="10B484CA"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Kyriakides, N. (2012). Search orders and Anton Piller relief: Past, present, and future (Doctoral dissertation, Oxford University, UK).</w:t>
      </w:r>
    </w:p>
    <w:p w14:paraId="7856FA6B"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Mary A. Nation (1999), Comment, Granting a Preliminary Injunction Freezing Assets Not Part of the Pending Litigation: Abuse of Discretion or an Important Advance in Creditors' Rights?, 7 TUL. J. INT'L &amp; COMP. L. 367, 400.</w:t>
      </w:r>
    </w:p>
    <w:p w14:paraId="3BD1CE30"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Michael Bundock, The Onward March of the Mareva, 139 NEW L.J. 496 (1989)</w:t>
      </w:r>
    </w:p>
    <w:p w14:paraId="7ADFCFE4"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N. H. Andrews (1989) ‘</w:t>
      </w:r>
      <w:r w:rsidRPr="00A01C3F">
        <w:rPr>
          <w:rFonts w:cstheme="minorHAnsi"/>
          <w:i/>
          <w:iCs/>
          <w:sz w:val="24"/>
          <w:szCs w:val="24"/>
        </w:rPr>
        <w:t xml:space="preserve">Freezing Foreign Assets by Mareva Injunctions’ </w:t>
      </w:r>
      <w:r w:rsidRPr="00A01C3F">
        <w:rPr>
          <w:rFonts w:cstheme="minorHAnsi"/>
          <w:sz w:val="24"/>
          <w:szCs w:val="24"/>
        </w:rPr>
        <w:t>The Cambridge Law Journal Vol. 48, No. 2 pp. 199-201. Published by Cambridge University Press.</w:t>
      </w:r>
    </w:p>
    <w:p w14:paraId="77375077"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Rademeyer, G. (1994). The Life and Hard Times of Anton Piller. Juta's Bus. L., 2, 180.</w:t>
      </w:r>
    </w:p>
    <w:p w14:paraId="2016E223"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lastRenderedPageBreak/>
        <w:t>Sahai, S., &amp; Bora, N. (2008). Perspectives of Anton Piller Injunctions in Intellectual Property Infringement Cases. GNLU L. Rev., 1, 95.</w:t>
      </w:r>
    </w:p>
    <w:p w14:paraId="28EE2AC3" w14:textId="77777777" w:rsidR="000047E5" w:rsidRPr="00A01C3F" w:rsidRDefault="000047E5" w:rsidP="00A01C3F">
      <w:pPr>
        <w:pStyle w:val="ListParagraph"/>
        <w:numPr>
          <w:ilvl w:val="0"/>
          <w:numId w:val="2"/>
        </w:numPr>
        <w:spacing w:line="480" w:lineRule="auto"/>
        <w:rPr>
          <w:rFonts w:cstheme="minorHAnsi"/>
          <w:sz w:val="24"/>
          <w:szCs w:val="24"/>
        </w:rPr>
      </w:pPr>
      <w:r w:rsidRPr="00A01C3F">
        <w:rPr>
          <w:rFonts w:cstheme="minorHAnsi"/>
          <w:sz w:val="24"/>
          <w:szCs w:val="24"/>
        </w:rPr>
        <w:t>Yadav, D. V. (2018). Judicial response to Anton Piller order: a critical appraisal. International Journal of Basic and Applied Research, 8(10).</w:t>
      </w:r>
    </w:p>
    <w:p w14:paraId="67295611" w14:textId="77777777" w:rsidR="00454E06" w:rsidRPr="00A01C3F" w:rsidRDefault="00454E06" w:rsidP="00A01C3F">
      <w:pPr>
        <w:spacing w:line="480" w:lineRule="auto"/>
        <w:jc w:val="both"/>
        <w:rPr>
          <w:rFonts w:cstheme="minorHAnsi"/>
          <w:sz w:val="24"/>
          <w:szCs w:val="24"/>
        </w:rPr>
      </w:pPr>
    </w:p>
    <w:p w14:paraId="60474D4A" w14:textId="77777777" w:rsidR="00454E06" w:rsidRPr="00A01C3F" w:rsidRDefault="00454E06" w:rsidP="00A01C3F">
      <w:pPr>
        <w:spacing w:line="480" w:lineRule="auto"/>
        <w:jc w:val="both"/>
        <w:rPr>
          <w:rFonts w:cstheme="minorHAnsi"/>
          <w:sz w:val="24"/>
          <w:szCs w:val="24"/>
        </w:rPr>
      </w:pPr>
    </w:p>
    <w:p w14:paraId="462FC78E" w14:textId="77777777" w:rsidR="00454E06" w:rsidRPr="00A01C3F" w:rsidRDefault="00454E06" w:rsidP="00A01C3F">
      <w:pPr>
        <w:spacing w:line="480" w:lineRule="auto"/>
        <w:jc w:val="both"/>
        <w:rPr>
          <w:rFonts w:cstheme="minorHAnsi"/>
          <w:sz w:val="24"/>
          <w:szCs w:val="24"/>
        </w:rPr>
      </w:pPr>
    </w:p>
    <w:p w14:paraId="7A7CFEA2" w14:textId="77777777" w:rsidR="00454E06" w:rsidRPr="00A01C3F" w:rsidRDefault="00454E06" w:rsidP="00A01C3F">
      <w:pPr>
        <w:spacing w:line="480" w:lineRule="auto"/>
        <w:jc w:val="both"/>
        <w:rPr>
          <w:rFonts w:cstheme="minorHAnsi"/>
          <w:sz w:val="24"/>
          <w:szCs w:val="24"/>
        </w:rPr>
      </w:pPr>
    </w:p>
    <w:p w14:paraId="31885791" w14:textId="77777777" w:rsidR="00454E06" w:rsidRPr="00A01C3F" w:rsidRDefault="00454E06" w:rsidP="00A01C3F">
      <w:pPr>
        <w:spacing w:line="480" w:lineRule="auto"/>
        <w:jc w:val="both"/>
        <w:rPr>
          <w:rFonts w:cstheme="minorHAnsi"/>
          <w:sz w:val="24"/>
          <w:szCs w:val="24"/>
        </w:rPr>
      </w:pPr>
    </w:p>
    <w:p w14:paraId="2D848CF6" w14:textId="4F309E60" w:rsidR="00A2045D" w:rsidRPr="00A01C3F" w:rsidRDefault="00A2045D" w:rsidP="00A01C3F">
      <w:pPr>
        <w:spacing w:line="480" w:lineRule="auto"/>
        <w:jc w:val="both"/>
        <w:rPr>
          <w:rFonts w:cstheme="minorHAnsi"/>
          <w:sz w:val="24"/>
          <w:szCs w:val="24"/>
        </w:rPr>
      </w:pPr>
    </w:p>
    <w:sectPr w:rsidR="00A2045D" w:rsidRPr="00A01C3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144C9" w14:textId="77777777" w:rsidR="00174E21" w:rsidRDefault="00174E21">
      <w:pPr>
        <w:spacing w:after="0" w:line="240" w:lineRule="auto"/>
      </w:pPr>
      <w:r>
        <w:separator/>
      </w:r>
    </w:p>
  </w:endnote>
  <w:endnote w:type="continuationSeparator" w:id="0">
    <w:p w14:paraId="590D8911" w14:textId="77777777" w:rsidR="00174E21" w:rsidRDefault="0017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033166"/>
      <w:docPartObj>
        <w:docPartGallery w:val="Page Numbers (Bottom of Page)"/>
        <w:docPartUnique/>
      </w:docPartObj>
    </w:sdtPr>
    <w:sdtEndPr>
      <w:rPr>
        <w:noProof/>
      </w:rPr>
    </w:sdtEndPr>
    <w:sdtContent>
      <w:p w14:paraId="0AED327E" w14:textId="287FED25" w:rsidR="007004F8" w:rsidRDefault="007004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FE82D" w14:textId="77777777" w:rsidR="007004F8" w:rsidRDefault="00700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4CB43" w14:textId="77777777" w:rsidR="00174E21" w:rsidRDefault="00174E21" w:rsidP="00494DF9">
      <w:pPr>
        <w:spacing w:after="0" w:line="240" w:lineRule="auto"/>
      </w:pPr>
      <w:r>
        <w:separator/>
      </w:r>
    </w:p>
  </w:footnote>
  <w:footnote w:type="continuationSeparator" w:id="0">
    <w:p w14:paraId="0C9CFBDF" w14:textId="77777777" w:rsidR="00174E21" w:rsidRDefault="00174E21" w:rsidP="00494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F35E3"/>
    <w:multiLevelType w:val="hybridMultilevel"/>
    <w:tmpl w:val="15000D3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ADD59A0"/>
    <w:multiLevelType w:val="hybridMultilevel"/>
    <w:tmpl w:val="15EAF8D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D7E"/>
    <w:rsid w:val="000047E5"/>
    <w:rsid w:val="000105BD"/>
    <w:rsid w:val="0003175A"/>
    <w:rsid w:val="00033907"/>
    <w:rsid w:val="000C4593"/>
    <w:rsid w:val="0011502E"/>
    <w:rsid w:val="001629AE"/>
    <w:rsid w:val="00174E21"/>
    <w:rsid w:val="001A4A73"/>
    <w:rsid w:val="001B7A25"/>
    <w:rsid w:val="00204C53"/>
    <w:rsid w:val="00254843"/>
    <w:rsid w:val="002F7F46"/>
    <w:rsid w:val="00337355"/>
    <w:rsid w:val="003570E6"/>
    <w:rsid w:val="00361B20"/>
    <w:rsid w:val="00370DA5"/>
    <w:rsid w:val="003731B2"/>
    <w:rsid w:val="003C424B"/>
    <w:rsid w:val="003E68BB"/>
    <w:rsid w:val="00454E06"/>
    <w:rsid w:val="00494DF9"/>
    <w:rsid w:val="004C1C62"/>
    <w:rsid w:val="00582B72"/>
    <w:rsid w:val="005E7342"/>
    <w:rsid w:val="00602175"/>
    <w:rsid w:val="00670656"/>
    <w:rsid w:val="006C3EE5"/>
    <w:rsid w:val="007004F8"/>
    <w:rsid w:val="00756BA2"/>
    <w:rsid w:val="007A1D7E"/>
    <w:rsid w:val="007B2ADF"/>
    <w:rsid w:val="007C0818"/>
    <w:rsid w:val="00802687"/>
    <w:rsid w:val="008356E8"/>
    <w:rsid w:val="009016CC"/>
    <w:rsid w:val="009166DF"/>
    <w:rsid w:val="00924E00"/>
    <w:rsid w:val="00942368"/>
    <w:rsid w:val="00962B3A"/>
    <w:rsid w:val="009C0078"/>
    <w:rsid w:val="00A01C3F"/>
    <w:rsid w:val="00A2045D"/>
    <w:rsid w:val="00A77376"/>
    <w:rsid w:val="00AC501B"/>
    <w:rsid w:val="00BA1737"/>
    <w:rsid w:val="00BA59B3"/>
    <w:rsid w:val="00BB2720"/>
    <w:rsid w:val="00C03865"/>
    <w:rsid w:val="00C34571"/>
    <w:rsid w:val="00CA13EE"/>
    <w:rsid w:val="00CF0D12"/>
    <w:rsid w:val="00CF7EA4"/>
    <w:rsid w:val="00D31989"/>
    <w:rsid w:val="00D348CA"/>
    <w:rsid w:val="00E108E6"/>
    <w:rsid w:val="00EC6005"/>
    <w:rsid w:val="00ED019C"/>
    <w:rsid w:val="00EE3EA5"/>
    <w:rsid w:val="00F54311"/>
    <w:rsid w:val="00FF6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89270"/>
  <w15:chartTrackingRefBased/>
  <w15:docId w15:val="{CB781D9A-68E4-4479-9D55-B016C8EFC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4D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4DF9"/>
    <w:rPr>
      <w:sz w:val="20"/>
      <w:szCs w:val="20"/>
    </w:rPr>
  </w:style>
  <w:style w:type="character" w:styleId="FootnoteReference">
    <w:name w:val="footnote reference"/>
    <w:basedOn w:val="DefaultParagraphFont"/>
    <w:uiPriority w:val="99"/>
    <w:semiHidden/>
    <w:unhideWhenUsed/>
    <w:rsid w:val="00494DF9"/>
    <w:rPr>
      <w:vertAlign w:val="superscript"/>
    </w:rPr>
  </w:style>
  <w:style w:type="paragraph" w:styleId="Header">
    <w:name w:val="header"/>
    <w:basedOn w:val="Normal"/>
    <w:link w:val="HeaderChar"/>
    <w:uiPriority w:val="99"/>
    <w:unhideWhenUsed/>
    <w:rsid w:val="00204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C53"/>
  </w:style>
  <w:style w:type="paragraph" w:styleId="Footer">
    <w:name w:val="footer"/>
    <w:basedOn w:val="Normal"/>
    <w:link w:val="FooterChar"/>
    <w:uiPriority w:val="99"/>
    <w:unhideWhenUsed/>
    <w:rsid w:val="00204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C53"/>
  </w:style>
  <w:style w:type="paragraph" w:styleId="ListParagraph">
    <w:name w:val="List Paragraph"/>
    <w:basedOn w:val="Normal"/>
    <w:uiPriority w:val="34"/>
    <w:qFormat/>
    <w:rsid w:val="00454E06"/>
    <w:pPr>
      <w:ind w:left="720"/>
      <w:contextualSpacing/>
    </w:pPr>
  </w:style>
  <w:style w:type="character" w:styleId="Hyperlink">
    <w:name w:val="Hyperlink"/>
    <w:basedOn w:val="DefaultParagraphFont"/>
    <w:uiPriority w:val="99"/>
    <w:unhideWhenUsed/>
    <w:rsid w:val="000047E5"/>
    <w:rPr>
      <w:color w:val="0563C1" w:themeColor="hyperlink"/>
      <w:u w:val="single"/>
    </w:rPr>
  </w:style>
  <w:style w:type="character" w:styleId="UnresolvedMention">
    <w:name w:val="Unresolved Mention"/>
    <w:basedOn w:val="DefaultParagraphFont"/>
    <w:uiPriority w:val="99"/>
    <w:rsid w:val="000047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947739">
      <w:bodyDiv w:val="1"/>
      <w:marLeft w:val="0"/>
      <w:marRight w:val="0"/>
      <w:marTop w:val="0"/>
      <w:marBottom w:val="0"/>
      <w:divBdr>
        <w:top w:val="none" w:sz="0" w:space="0" w:color="auto"/>
        <w:left w:val="none" w:sz="0" w:space="0" w:color="auto"/>
        <w:bottom w:val="none" w:sz="0" w:space="0" w:color="auto"/>
        <w:right w:val="none" w:sz="0" w:space="0" w:color="auto"/>
      </w:divBdr>
      <w:divsChild>
        <w:div w:id="351877435">
          <w:marLeft w:val="0"/>
          <w:marRight w:val="0"/>
          <w:marTop w:val="0"/>
          <w:marBottom w:val="0"/>
          <w:divBdr>
            <w:top w:val="none" w:sz="0" w:space="0" w:color="auto"/>
            <w:left w:val="none" w:sz="0" w:space="0" w:color="auto"/>
            <w:bottom w:val="none" w:sz="0" w:space="0" w:color="auto"/>
            <w:right w:val="none" w:sz="0" w:space="0" w:color="auto"/>
          </w:divBdr>
        </w:div>
        <w:div w:id="874197723">
          <w:marLeft w:val="0"/>
          <w:marRight w:val="0"/>
          <w:marTop w:val="0"/>
          <w:marBottom w:val="0"/>
          <w:divBdr>
            <w:top w:val="none" w:sz="0" w:space="0" w:color="auto"/>
            <w:left w:val="none" w:sz="0" w:space="0" w:color="auto"/>
            <w:bottom w:val="none" w:sz="0" w:space="0" w:color="auto"/>
            <w:right w:val="none" w:sz="0" w:space="0" w:color="auto"/>
          </w:divBdr>
        </w:div>
        <w:div w:id="2168606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7/12/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ustice.gov.uk/courts/procedure-rules/civ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1B2B9-8838-4E97-86B5-2D379FA7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3501</Words>
  <Characters>19956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Naima Tasnim</cp:lastModifiedBy>
  <cp:revision>2</cp:revision>
  <dcterms:created xsi:type="dcterms:W3CDTF">2021-11-05T20:56:00Z</dcterms:created>
  <dcterms:modified xsi:type="dcterms:W3CDTF">2021-11-05T20:56:00Z</dcterms:modified>
</cp:coreProperties>
</file>