
<file path=[Content_Types].xml><?xml version="1.0" encoding="utf-8"?>
<Types xmlns="http://schemas.openxmlformats.org/package/2006/content-types">
  <Default Extension="emf" ContentType="image/x-emf"/>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01D79" w:rsidR="00080C66" w:rsidRDefault="00080C66" w14:paraId="042818BB" w14:textId="77777777">
      <w:pPr>
        <w:spacing w:line="259" w:lineRule="auto"/>
        <w:rPr>
          <w:b/>
          <w:bCs/>
          <w:lang w:val="en-GB"/>
        </w:rPr>
      </w:pPr>
    </w:p>
    <w:p w:rsidRPr="00701D79" w:rsidR="00CD4364" w:rsidP="00080C66" w:rsidRDefault="00CD4364" w14:paraId="1D3B50B7" w14:textId="77777777">
      <w:pPr>
        <w:spacing w:line="259" w:lineRule="auto"/>
        <w:jc w:val="center"/>
        <w:rPr>
          <w:b/>
          <w:bCs/>
          <w:lang w:val="en-GB"/>
        </w:rPr>
      </w:pPr>
    </w:p>
    <w:p w:rsidRPr="00701D79" w:rsidR="004B495B" w:rsidP="00080C66" w:rsidRDefault="00080C66" w14:paraId="04031044" w14:textId="0BFA527E">
      <w:pPr>
        <w:spacing w:line="259" w:lineRule="auto"/>
        <w:jc w:val="center"/>
        <w:rPr>
          <w:b/>
          <w:bCs/>
          <w:lang w:val="en-GB"/>
        </w:rPr>
      </w:pPr>
      <w:r w:rsidRPr="00701D79">
        <w:rPr>
          <w:b/>
          <w:bCs/>
          <w:noProof/>
          <w:lang w:val="en-GB"/>
        </w:rPr>
        <w:drawing>
          <wp:inline distT="0" distB="0" distL="0" distR="0" wp14:anchorId="0F2C7E15" wp14:editId="0BFD79AC">
            <wp:extent cx="2545080" cy="999378"/>
            <wp:effectExtent l="0" t="0" r="7620" b="0"/>
            <wp:docPr id="15564278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57079" cy="1004089"/>
                    </a:xfrm>
                    <a:prstGeom prst="rect">
                      <a:avLst/>
                    </a:prstGeom>
                    <a:noFill/>
                    <a:ln>
                      <a:noFill/>
                    </a:ln>
                  </pic:spPr>
                </pic:pic>
              </a:graphicData>
            </a:graphic>
          </wp:inline>
        </w:drawing>
      </w:r>
    </w:p>
    <w:p w:rsidRPr="00701D79" w:rsidR="004B495B" w:rsidRDefault="004B495B" w14:paraId="0493B1B6" w14:textId="77777777">
      <w:pPr>
        <w:spacing w:line="259" w:lineRule="auto"/>
        <w:rPr>
          <w:b/>
          <w:bCs/>
          <w:lang w:val="en-GB"/>
        </w:rPr>
      </w:pPr>
    </w:p>
    <w:p w:rsidRPr="00701D79" w:rsidR="004B495B" w:rsidRDefault="00667F25" w14:paraId="1711549A" w14:textId="0738CB7C">
      <w:pPr>
        <w:jc w:val="center"/>
        <w:rPr>
          <w:b/>
          <w:bCs/>
          <w:u w:val="single"/>
          <w:lang w:val="en-GB"/>
        </w:rPr>
      </w:pPr>
      <w:r w:rsidRPr="00701D79">
        <w:rPr>
          <w:b/>
          <w:bCs/>
          <w:u w:val="single"/>
          <w:lang w:val="en-GB"/>
        </w:rPr>
        <w:t>Tuberculosis: measurement, monitoring, control, determinants, consequences and support</w:t>
      </w:r>
      <w:r w:rsidRPr="00701D79" w:rsidR="00CB4338">
        <w:rPr>
          <w:b/>
          <w:bCs/>
          <w:u w:val="single"/>
          <w:lang w:val="en-GB"/>
        </w:rPr>
        <w:t xml:space="preserve"> </w:t>
      </w:r>
    </w:p>
    <w:p w:rsidRPr="00701D79" w:rsidR="004B495B" w:rsidRDefault="004B495B" w14:paraId="0EE759D0" w14:textId="77777777">
      <w:pPr>
        <w:spacing w:line="259" w:lineRule="auto"/>
        <w:jc w:val="center"/>
        <w:rPr>
          <w:b/>
          <w:bCs/>
          <w:lang w:val="en-GB"/>
        </w:rPr>
      </w:pPr>
    </w:p>
    <w:p w:rsidRPr="00701D79" w:rsidR="004B495B" w:rsidRDefault="004B495B" w14:paraId="5C6D2713" w14:textId="77777777">
      <w:pPr>
        <w:spacing w:line="259" w:lineRule="auto"/>
        <w:jc w:val="center"/>
        <w:rPr>
          <w:b/>
          <w:bCs/>
          <w:lang w:val="en-GB"/>
        </w:rPr>
      </w:pPr>
    </w:p>
    <w:p w:rsidRPr="00701D79" w:rsidR="001B3195" w:rsidRDefault="001B3195" w14:paraId="6D6ABC56" w14:textId="77777777">
      <w:pPr>
        <w:spacing w:line="259" w:lineRule="auto"/>
        <w:jc w:val="center"/>
        <w:rPr>
          <w:b/>
          <w:bCs/>
          <w:lang w:val="en-GB"/>
        </w:rPr>
      </w:pPr>
    </w:p>
    <w:p w:rsidRPr="00701D79" w:rsidR="00080C66" w:rsidRDefault="00080C66" w14:paraId="709808AC" w14:textId="77777777">
      <w:pPr>
        <w:spacing w:line="259" w:lineRule="auto"/>
        <w:jc w:val="center"/>
        <w:rPr>
          <w:b/>
          <w:bCs/>
          <w:lang w:val="en-GB"/>
        </w:rPr>
      </w:pPr>
    </w:p>
    <w:p w:rsidRPr="00701D79" w:rsidR="004B495B" w:rsidRDefault="004B495B" w14:paraId="6280EBAD" w14:textId="77777777">
      <w:pPr>
        <w:spacing w:line="259" w:lineRule="auto"/>
        <w:jc w:val="center"/>
        <w:rPr>
          <w:b/>
          <w:bCs/>
          <w:lang w:val="en-GB"/>
        </w:rPr>
      </w:pPr>
    </w:p>
    <w:p w:rsidRPr="00701D79" w:rsidR="00CB4338" w:rsidP="1B9E2A6F" w:rsidRDefault="00CB4338" w14:paraId="328CBC93" w14:textId="4FBB963A">
      <w:pPr>
        <w:spacing w:line="259" w:lineRule="auto"/>
        <w:jc w:val="both"/>
        <w:rPr>
          <w:b w:val="1"/>
          <w:bCs w:val="1"/>
          <w:sz w:val="28"/>
          <w:szCs w:val="28"/>
          <w:lang w:val="en-GB"/>
        </w:rPr>
      </w:pPr>
      <w:r w:rsidRPr="1B9E2A6F" w:rsidR="3CFE8BB7">
        <w:rPr>
          <w:b w:val="1"/>
          <w:bCs w:val="1"/>
          <w:sz w:val="28"/>
          <w:szCs w:val="28"/>
          <w:lang w:val="en-GB"/>
        </w:rPr>
        <w:t>Student name: Cynthia D Costa E Afonso</w:t>
      </w:r>
    </w:p>
    <w:p w:rsidRPr="00701D79" w:rsidR="00CB4338" w:rsidP="1B9E2A6F" w:rsidRDefault="00CB4338" w14:paraId="3D07FA92" w14:textId="2541F5A7">
      <w:pPr>
        <w:spacing w:line="259" w:lineRule="auto"/>
        <w:jc w:val="both"/>
        <w:rPr>
          <w:b w:val="1"/>
          <w:bCs w:val="1"/>
          <w:sz w:val="28"/>
          <w:szCs w:val="28"/>
          <w:lang w:val="en-GB"/>
        </w:rPr>
      </w:pPr>
      <w:r w:rsidRPr="1B9E2A6F" w:rsidR="3CFE8BB7">
        <w:rPr>
          <w:b w:val="1"/>
          <w:bCs w:val="1"/>
          <w:sz w:val="28"/>
          <w:szCs w:val="28"/>
          <w:lang w:val="en-GB"/>
        </w:rPr>
        <w:t>Student ID:</w:t>
      </w:r>
      <w:r w:rsidRPr="1B9E2A6F" w:rsidR="204054BC">
        <w:rPr>
          <w:b w:val="1"/>
          <w:bCs w:val="1"/>
          <w:sz w:val="28"/>
          <w:szCs w:val="28"/>
          <w:lang w:val="en-GB"/>
        </w:rPr>
        <w:t xml:space="preserve"> </w:t>
      </w:r>
      <w:r w:rsidRPr="1B9E2A6F" w:rsidR="3CFE8BB7">
        <w:rPr>
          <w:b w:val="1"/>
          <w:bCs w:val="1"/>
          <w:sz w:val="28"/>
          <w:szCs w:val="28"/>
          <w:lang w:val="en-GB"/>
        </w:rPr>
        <w:t>2437224</w:t>
      </w:r>
    </w:p>
    <w:p w:rsidRPr="00701D79" w:rsidR="00CB4338" w:rsidP="1B9E2A6F" w:rsidRDefault="00CB4338" w14:paraId="4EE53594" w14:textId="70E5DD4B">
      <w:pPr>
        <w:spacing w:line="259" w:lineRule="auto"/>
        <w:jc w:val="both"/>
        <w:rPr>
          <w:b w:val="1"/>
          <w:bCs w:val="1"/>
          <w:sz w:val="28"/>
          <w:szCs w:val="28"/>
          <w:lang w:val="en-GB"/>
        </w:rPr>
      </w:pPr>
      <w:r w:rsidRPr="1B9E2A6F" w:rsidR="00CB4338">
        <w:rPr>
          <w:b w:val="1"/>
          <w:bCs w:val="1"/>
          <w:sz w:val="28"/>
          <w:szCs w:val="28"/>
          <w:lang w:val="en-GB"/>
        </w:rPr>
        <w:t>Module name:</w:t>
      </w:r>
      <w:r w:rsidRPr="1B9E2A6F" w:rsidR="659FFA97">
        <w:rPr>
          <w:b w:val="1"/>
          <w:bCs w:val="1"/>
          <w:sz w:val="28"/>
          <w:szCs w:val="28"/>
          <w:lang w:val="en-GB"/>
        </w:rPr>
        <w:t xml:space="preserve"> Introduction to Public Health</w:t>
      </w:r>
    </w:p>
    <w:p w:rsidRPr="00701D79" w:rsidR="00CB4338" w:rsidP="1B9E2A6F" w:rsidRDefault="00CB4338" w14:paraId="4A455830" w14:textId="1E0D599B">
      <w:pPr>
        <w:spacing w:line="259" w:lineRule="auto"/>
        <w:jc w:val="both"/>
        <w:rPr>
          <w:b w:val="1"/>
          <w:bCs w:val="1"/>
          <w:sz w:val="28"/>
          <w:szCs w:val="28"/>
          <w:lang w:val="en-GB"/>
        </w:rPr>
      </w:pPr>
      <w:r w:rsidRPr="1B9E2A6F" w:rsidR="00CB4338">
        <w:rPr>
          <w:b w:val="1"/>
          <w:bCs w:val="1"/>
          <w:sz w:val="28"/>
          <w:szCs w:val="28"/>
          <w:lang w:val="en-GB"/>
        </w:rPr>
        <w:t>Module code:</w:t>
      </w:r>
      <w:r w:rsidRPr="1B9E2A6F" w:rsidR="48E2E95D">
        <w:rPr>
          <w:b w:val="1"/>
          <w:bCs w:val="1"/>
          <w:sz w:val="28"/>
          <w:szCs w:val="28"/>
          <w:lang w:val="en-GB"/>
        </w:rPr>
        <w:t xml:space="preserve"> LCHS4008</w:t>
      </w:r>
    </w:p>
    <w:p w:rsidRPr="00701D79" w:rsidR="004B495B" w:rsidP="1B9E2A6F" w:rsidRDefault="00CB4338" w14:paraId="472F8E27" w14:textId="4D7FD941">
      <w:pPr>
        <w:pStyle w:val="Normal"/>
        <w:spacing w:line="259" w:lineRule="auto"/>
        <w:jc w:val="both"/>
        <w:rPr>
          <w:b w:val="1"/>
          <w:bCs w:val="1"/>
          <w:sz w:val="28"/>
          <w:szCs w:val="28"/>
          <w:lang w:val="en-GB"/>
        </w:rPr>
      </w:pPr>
      <w:r w:rsidRPr="1B9E2A6F" w:rsidR="00CB4338">
        <w:rPr>
          <w:b w:val="1"/>
          <w:bCs w:val="1"/>
          <w:sz w:val="28"/>
          <w:szCs w:val="28"/>
          <w:lang w:val="en-GB"/>
        </w:rPr>
        <w:t xml:space="preserve">Lecturer’s name: </w:t>
      </w:r>
      <w:r w:rsidRPr="1B9E2A6F" w:rsidR="2A61EBF3">
        <w:rPr>
          <w:b w:val="1"/>
          <w:bCs w:val="1"/>
          <w:sz w:val="28"/>
          <w:szCs w:val="28"/>
          <w:lang w:val="en-GB"/>
        </w:rPr>
        <w:t>Shepherd Ziko</w:t>
      </w:r>
    </w:p>
    <w:p w:rsidRPr="00701D79" w:rsidR="004B495B" w:rsidRDefault="004B495B" w14:paraId="066D38BA" w14:textId="77777777">
      <w:pPr>
        <w:rPr>
          <w:lang w:val="en-GB"/>
        </w:rPr>
      </w:pPr>
    </w:p>
    <w:p w:rsidRPr="00701D79" w:rsidR="004B495B" w:rsidRDefault="004B495B" w14:paraId="2725E0C8" w14:textId="77777777">
      <w:pPr>
        <w:rPr>
          <w:lang w:val="en-GB"/>
        </w:rPr>
      </w:pPr>
    </w:p>
    <w:p w:rsidRPr="00701D79" w:rsidR="004B495B" w:rsidRDefault="004B495B" w14:paraId="732D2EBF" w14:textId="77777777">
      <w:pPr>
        <w:rPr>
          <w:lang w:val="en-GB"/>
        </w:rPr>
      </w:pPr>
    </w:p>
    <w:p w:rsidRPr="00701D79" w:rsidR="004B495B" w:rsidRDefault="004B495B" w14:paraId="27674A47" w14:textId="77777777">
      <w:pPr>
        <w:rPr>
          <w:lang w:val="en-GB"/>
        </w:rPr>
      </w:pPr>
    </w:p>
    <w:p w:rsidRPr="00701D79" w:rsidR="004B495B" w:rsidRDefault="00000000" w14:paraId="4099470E" w14:textId="77777777">
      <w:pPr>
        <w:spacing w:line="278" w:lineRule="auto"/>
        <w:rPr>
          <w:rFonts w:eastAsiaTheme="majorEastAsia" w:cstheme="majorBidi"/>
          <w:b/>
          <w:color w:val="000000" w:themeColor="text1"/>
          <w:sz w:val="28"/>
          <w:szCs w:val="40"/>
          <w:lang w:val="en-GB"/>
        </w:rPr>
      </w:pPr>
      <w:bookmarkStart w:name="_Toc221360886" w:id="0"/>
      <w:r w:rsidRPr="00701D79">
        <w:rPr>
          <w:lang w:val="en-GB"/>
        </w:rPr>
        <w:br w:type="page"/>
      </w:r>
      <w:bookmarkEnd w:id="0"/>
    </w:p>
    <w:bookmarkStart w:name="_Toc221360901" w:displacedByCustomXml="next" w:id="1"/>
    <w:sdt>
      <w:sdtPr>
        <w:id w:val="757563242"/>
        <w:docPartObj>
          <w:docPartGallery w:val="Table of Contents"/>
          <w:docPartUnique/>
        </w:docPartObj>
        <w:rPr>
          <w:rFonts w:ascii="Arial" w:hAnsi="Arial" w:eastAsia="Calibri" w:cs="" w:eastAsiaTheme="minorAscii" w:cstheme="minorBidi"/>
          <w:color w:val="auto"/>
          <w:sz w:val="22"/>
          <w:szCs w:val="22"/>
          <w:lang w:val="en-GB"/>
        </w:rPr>
      </w:sdtPr>
      <w:sdtEndPr>
        <w:rPr>
          <w:rFonts w:ascii="Arial" w:hAnsi="Arial" w:eastAsia="Calibri" w:cs="" w:eastAsiaTheme="minorAscii" w:cstheme="minorBidi"/>
          <w:b w:val="1"/>
          <w:bCs w:val="1"/>
          <w:color w:val="auto"/>
          <w:sz w:val="22"/>
          <w:szCs w:val="22"/>
          <w:lang w:val="en-GB"/>
        </w:rPr>
      </w:sdtEndPr>
      <w:sdtContent>
        <w:p w:rsidRPr="00701D79" w:rsidR="00CB4338" w:rsidP="00CB4338" w:rsidRDefault="00CB4338" w14:paraId="14AF82F1" w14:textId="5563668F">
          <w:pPr>
            <w:pStyle w:val="TOCHeading"/>
            <w:jc w:val="center"/>
            <w:rPr>
              <w:rFonts w:ascii="Arial" w:hAnsi="Arial" w:cs="Arial"/>
              <w:b/>
              <w:bCs/>
              <w:color w:val="auto"/>
              <w:sz w:val="28"/>
              <w:szCs w:val="28"/>
              <w:lang w:val="en-GB"/>
            </w:rPr>
          </w:pPr>
          <w:r w:rsidRPr="00701D79">
            <w:rPr>
              <w:rFonts w:ascii="Arial" w:hAnsi="Arial" w:cs="Arial"/>
              <w:b/>
              <w:bCs/>
              <w:color w:val="auto"/>
              <w:sz w:val="28"/>
              <w:szCs w:val="28"/>
              <w:lang w:val="en-GB"/>
            </w:rPr>
            <w:t>Table of Contents</w:t>
          </w:r>
        </w:p>
        <w:p w:rsidR="005C1619" w:rsidP="005C1619" w:rsidRDefault="00CB4338" w14:paraId="3CB1081D" w14:textId="0969A703">
          <w:pPr>
            <w:pStyle w:val="TOC1"/>
            <w:rPr>
              <w:rFonts w:asciiTheme="minorHAnsi" w:hAnsiTheme="minorHAnsi" w:eastAsiaTheme="minorEastAsia"/>
              <w:noProof/>
              <w:kern w:val="2"/>
              <w:sz w:val="24"/>
              <w:szCs w:val="24"/>
              <w:lang w:val="en-GB" w:eastAsia="en-GB"/>
              <w14:ligatures w14:val="standardContextual"/>
            </w:rPr>
          </w:pPr>
          <w:r w:rsidRPr="00701D79">
            <w:rPr>
              <w:lang w:val="en-GB"/>
            </w:rPr>
            <w:fldChar w:fldCharType="begin"/>
          </w:r>
          <w:r w:rsidRPr="00701D79">
            <w:rPr>
              <w:lang w:val="en-GB"/>
            </w:rPr>
            <w:instrText xml:space="preserve"> TOC \o "1-3" \h \z \u </w:instrText>
          </w:r>
          <w:r w:rsidRPr="00701D79">
            <w:rPr>
              <w:lang w:val="en-GB"/>
            </w:rPr>
            <w:fldChar w:fldCharType="separate"/>
          </w:r>
          <w:hyperlink w:history="1" w:anchor="_Toc227565641">
            <w:r w:rsidRPr="003674CB" w:rsidR="005C1619">
              <w:rPr>
                <w:rStyle w:val="Hyperlink"/>
                <w:noProof/>
                <w:lang w:val="en-GB"/>
              </w:rPr>
              <w:t>Introduction</w:t>
            </w:r>
            <w:r w:rsidR="005C1619">
              <w:rPr>
                <w:noProof/>
                <w:webHidden/>
              </w:rPr>
              <w:tab/>
            </w:r>
            <w:r w:rsidR="005C1619">
              <w:rPr>
                <w:noProof/>
                <w:webHidden/>
              </w:rPr>
              <w:fldChar w:fldCharType="begin"/>
            </w:r>
            <w:r w:rsidR="005C1619">
              <w:rPr>
                <w:noProof/>
                <w:webHidden/>
              </w:rPr>
              <w:instrText xml:space="preserve"> PAGEREF _Toc227565641 \h </w:instrText>
            </w:r>
            <w:r w:rsidR="005C1619">
              <w:rPr>
                <w:noProof/>
                <w:webHidden/>
              </w:rPr>
            </w:r>
            <w:r w:rsidR="005C1619">
              <w:rPr>
                <w:noProof/>
                <w:webHidden/>
              </w:rPr>
              <w:fldChar w:fldCharType="separate"/>
            </w:r>
            <w:r w:rsidR="005C1619">
              <w:rPr>
                <w:noProof/>
                <w:webHidden/>
              </w:rPr>
              <w:t>3</w:t>
            </w:r>
            <w:r w:rsidR="005C1619">
              <w:rPr>
                <w:noProof/>
                <w:webHidden/>
              </w:rPr>
              <w:fldChar w:fldCharType="end"/>
            </w:r>
          </w:hyperlink>
        </w:p>
        <w:p w:rsidR="005C1619" w:rsidP="005C1619" w:rsidRDefault="005C1619" w14:paraId="6E9116BD" w14:textId="5E7388DD">
          <w:pPr>
            <w:pStyle w:val="TOC1"/>
            <w:rPr>
              <w:rFonts w:asciiTheme="minorHAnsi" w:hAnsiTheme="minorHAnsi" w:eastAsiaTheme="minorEastAsia"/>
              <w:noProof/>
              <w:kern w:val="2"/>
              <w:sz w:val="24"/>
              <w:szCs w:val="24"/>
              <w:lang w:val="en-GB" w:eastAsia="en-GB"/>
              <w14:ligatures w14:val="standardContextual"/>
            </w:rPr>
          </w:pPr>
          <w:hyperlink w:history="1" w:anchor="_Toc227565642">
            <w:r w:rsidRPr="003674CB">
              <w:rPr>
                <w:rStyle w:val="Hyperlink"/>
                <w:noProof/>
                <w:lang w:val="en-GB"/>
              </w:rPr>
              <w:t>Discussion</w:t>
            </w:r>
            <w:r>
              <w:rPr>
                <w:noProof/>
                <w:webHidden/>
              </w:rPr>
              <w:tab/>
            </w:r>
            <w:r>
              <w:rPr>
                <w:noProof/>
                <w:webHidden/>
              </w:rPr>
              <w:fldChar w:fldCharType="begin"/>
            </w:r>
            <w:r>
              <w:rPr>
                <w:noProof/>
                <w:webHidden/>
              </w:rPr>
              <w:instrText xml:space="preserve"> PAGEREF _Toc227565642 \h </w:instrText>
            </w:r>
            <w:r>
              <w:rPr>
                <w:noProof/>
                <w:webHidden/>
              </w:rPr>
            </w:r>
            <w:r>
              <w:rPr>
                <w:noProof/>
                <w:webHidden/>
              </w:rPr>
              <w:fldChar w:fldCharType="separate"/>
            </w:r>
            <w:r>
              <w:rPr>
                <w:noProof/>
                <w:webHidden/>
              </w:rPr>
              <w:t>4</w:t>
            </w:r>
            <w:r>
              <w:rPr>
                <w:noProof/>
                <w:webHidden/>
              </w:rPr>
              <w:fldChar w:fldCharType="end"/>
            </w:r>
          </w:hyperlink>
        </w:p>
        <w:p w:rsidR="005C1619" w:rsidRDefault="005C1619" w14:paraId="4F223CDB" w14:textId="3EC0031A">
          <w:pPr>
            <w:pStyle w:val="TOC2"/>
            <w:tabs>
              <w:tab w:val="right" w:leader="dot" w:pos="9016"/>
            </w:tabs>
            <w:rPr>
              <w:rFonts w:asciiTheme="minorHAnsi" w:hAnsiTheme="minorHAnsi" w:eastAsiaTheme="minorEastAsia"/>
              <w:noProof/>
              <w:kern w:val="2"/>
              <w:sz w:val="24"/>
              <w:szCs w:val="24"/>
              <w:lang w:val="en-GB" w:eastAsia="en-GB"/>
              <w14:ligatures w14:val="standardContextual"/>
            </w:rPr>
          </w:pPr>
          <w:hyperlink w:history="1" w:anchor="_Toc227565643">
            <w:r w:rsidRPr="003674CB">
              <w:rPr>
                <w:rStyle w:val="Hyperlink"/>
                <w:noProof/>
                <w:lang w:val="en-GB"/>
              </w:rPr>
              <w:t>Measuring, monitoring and controlling tuberculosis</w:t>
            </w:r>
            <w:r>
              <w:rPr>
                <w:noProof/>
                <w:webHidden/>
              </w:rPr>
              <w:tab/>
            </w:r>
            <w:r>
              <w:rPr>
                <w:noProof/>
                <w:webHidden/>
              </w:rPr>
              <w:fldChar w:fldCharType="begin"/>
            </w:r>
            <w:r>
              <w:rPr>
                <w:noProof/>
                <w:webHidden/>
              </w:rPr>
              <w:instrText xml:space="preserve"> PAGEREF _Toc227565643 \h </w:instrText>
            </w:r>
            <w:r>
              <w:rPr>
                <w:noProof/>
                <w:webHidden/>
              </w:rPr>
            </w:r>
            <w:r>
              <w:rPr>
                <w:noProof/>
                <w:webHidden/>
              </w:rPr>
              <w:fldChar w:fldCharType="separate"/>
            </w:r>
            <w:r>
              <w:rPr>
                <w:noProof/>
                <w:webHidden/>
              </w:rPr>
              <w:t>4</w:t>
            </w:r>
            <w:r>
              <w:rPr>
                <w:noProof/>
                <w:webHidden/>
              </w:rPr>
              <w:fldChar w:fldCharType="end"/>
            </w:r>
          </w:hyperlink>
        </w:p>
        <w:p w:rsidR="005C1619" w:rsidRDefault="005C1619" w14:paraId="6F85827C" w14:textId="2E7B1779">
          <w:pPr>
            <w:pStyle w:val="TOC2"/>
            <w:tabs>
              <w:tab w:val="right" w:leader="dot" w:pos="9016"/>
            </w:tabs>
            <w:rPr>
              <w:rFonts w:asciiTheme="minorHAnsi" w:hAnsiTheme="minorHAnsi" w:eastAsiaTheme="minorEastAsia"/>
              <w:noProof/>
              <w:kern w:val="2"/>
              <w:sz w:val="24"/>
              <w:szCs w:val="24"/>
              <w:lang w:val="en-GB" w:eastAsia="en-GB"/>
              <w14:ligatures w14:val="standardContextual"/>
            </w:rPr>
          </w:pPr>
          <w:hyperlink w:history="1" w:anchor="_Toc227565644">
            <w:r w:rsidRPr="003674CB">
              <w:rPr>
                <w:rStyle w:val="Hyperlink"/>
                <w:noProof/>
                <w:lang w:val="en-GB"/>
              </w:rPr>
              <w:t>Key determinants and risk factors</w:t>
            </w:r>
            <w:r>
              <w:rPr>
                <w:noProof/>
                <w:webHidden/>
              </w:rPr>
              <w:tab/>
            </w:r>
            <w:r>
              <w:rPr>
                <w:noProof/>
                <w:webHidden/>
              </w:rPr>
              <w:fldChar w:fldCharType="begin"/>
            </w:r>
            <w:r>
              <w:rPr>
                <w:noProof/>
                <w:webHidden/>
              </w:rPr>
              <w:instrText xml:space="preserve"> PAGEREF _Toc227565644 \h </w:instrText>
            </w:r>
            <w:r>
              <w:rPr>
                <w:noProof/>
                <w:webHidden/>
              </w:rPr>
            </w:r>
            <w:r>
              <w:rPr>
                <w:noProof/>
                <w:webHidden/>
              </w:rPr>
              <w:fldChar w:fldCharType="separate"/>
            </w:r>
            <w:r>
              <w:rPr>
                <w:noProof/>
                <w:webHidden/>
              </w:rPr>
              <w:t>5</w:t>
            </w:r>
            <w:r>
              <w:rPr>
                <w:noProof/>
                <w:webHidden/>
              </w:rPr>
              <w:fldChar w:fldCharType="end"/>
            </w:r>
          </w:hyperlink>
        </w:p>
        <w:p w:rsidR="005C1619" w:rsidRDefault="005C1619" w14:paraId="6FEBC295" w14:textId="126C0E88">
          <w:pPr>
            <w:pStyle w:val="TOC2"/>
            <w:tabs>
              <w:tab w:val="right" w:leader="dot" w:pos="9016"/>
            </w:tabs>
            <w:rPr>
              <w:rFonts w:asciiTheme="minorHAnsi" w:hAnsiTheme="minorHAnsi" w:eastAsiaTheme="minorEastAsia"/>
              <w:noProof/>
              <w:kern w:val="2"/>
              <w:sz w:val="24"/>
              <w:szCs w:val="24"/>
              <w:lang w:val="en-GB" w:eastAsia="en-GB"/>
              <w14:ligatures w14:val="standardContextual"/>
            </w:rPr>
          </w:pPr>
          <w:hyperlink w:history="1" w:anchor="_Toc227565645">
            <w:r w:rsidRPr="003674CB">
              <w:rPr>
                <w:rStyle w:val="Hyperlink"/>
                <w:noProof/>
                <w:lang w:val="en-GB"/>
              </w:rPr>
              <w:t>Consequences and support needs</w:t>
            </w:r>
            <w:r>
              <w:rPr>
                <w:noProof/>
                <w:webHidden/>
              </w:rPr>
              <w:tab/>
            </w:r>
            <w:r>
              <w:rPr>
                <w:noProof/>
                <w:webHidden/>
              </w:rPr>
              <w:fldChar w:fldCharType="begin"/>
            </w:r>
            <w:r>
              <w:rPr>
                <w:noProof/>
                <w:webHidden/>
              </w:rPr>
              <w:instrText xml:space="preserve"> PAGEREF _Toc227565645 \h </w:instrText>
            </w:r>
            <w:r>
              <w:rPr>
                <w:noProof/>
                <w:webHidden/>
              </w:rPr>
            </w:r>
            <w:r>
              <w:rPr>
                <w:noProof/>
                <w:webHidden/>
              </w:rPr>
              <w:fldChar w:fldCharType="separate"/>
            </w:r>
            <w:r>
              <w:rPr>
                <w:noProof/>
                <w:webHidden/>
              </w:rPr>
              <w:t>6</w:t>
            </w:r>
            <w:r>
              <w:rPr>
                <w:noProof/>
                <w:webHidden/>
              </w:rPr>
              <w:fldChar w:fldCharType="end"/>
            </w:r>
          </w:hyperlink>
        </w:p>
        <w:p w:rsidR="005C1619" w:rsidP="005C1619" w:rsidRDefault="005C1619" w14:paraId="4294D1EE" w14:textId="0F3DE76E">
          <w:pPr>
            <w:pStyle w:val="TOC1"/>
            <w:rPr>
              <w:rFonts w:asciiTheme="minorHAnsi" w:hAnsiTheme="minorHAnsi" w:eastAsiaTheme="minorEastAsia"/>
              <w:noProof/>
              <w:kern w:val="2"/>
              <w:sz w:val="24"/>
              <w:szCs w:val="24"/>
              <w:lang w:val="en-GB" w:eastAsia="en-GB"/>
              <w14:ligatures w14:val="standardContextual"/>
            </w:rPr>
          </w:pPr>
          <w:hyperlink w:history="1" w:anchor="_Toc227565646">
            <w:r w:rsidRPr="003674CB">
              <w:rPr>
                <w:rStyle w:val="Hyperlink"/>
                <w:noProof/>
                <w:lang w:val="en-GB"/>
              </w:rPr>
              <w:t>Conclusion</w:t>
            </w:r>
            <w:r>
              <w:rPr>
                <w:noProof/>
                <w:webHidden/>
              </w:rPr>
              <w:tab/>
            </w:r>
            <w:r>
              <w:rPr>
                <w:noProof/>
                <w:webHidden/>
              </w:rPr>
              <w:fldChar w:fldCharType="begin"/>
            </w:r>
            <w:r>
              <w:rPr>
                <w:noProof/>
                <w:webHidden/>
              </w:rPr>
              <w:instrText xml:space="preserve"> PAGEREF _Toc227565646 \h </w:instrText>
            </w:r>
            <w:r>
              <w:rPr>
                <w:noProof/>
                <w:webHidden/>
              </w:rPr>
            </w:r>
            <w:r>
              <w:rPr>
                <w:noProof/>
                <w:webHidden/>
              </w:rPr>
              <w:fldChar w:fldCharType="separate"/>
            </w:r>
            <w:r>
              <w:rPr>
                <w:noProof/>
                <w:webHidden/>
              </w:rPr>
              <w:t>7</w:t>
            </w:r>
            <w:r>
              <w:rPr>
                <w:noProof/>
                <w:webHidden/>
              </w:rPr>
              <w:fldChar w:fldCharType="end"/>
            </w:r>
          </w:hyperlink>
        </w:p>
        <w:p w:rsidR="005C1619" w:rsidP="005C1619" w:rsidRDefault="005C1619" w14:paraId="62465E6B" w14:textId="501BB23C">
          <w:pPr>
            <w:pStyle w:val="TOC1"/>
            <w:rPr>
              <w:rFonts w:asciiTheme="minorHAnsi" w:hAnsiTheme="minorHAnsi" w:eastAsiaTheme="minorEastAsia"/>
              <w:noProof/>
              <w:kern w:val="2"/>
              <w:sz w:val="24"/>
              <w:szCs w:val="24"/>
              <w:lang w:val="en-GB" w:eastAsia="en-GB"/>
              <w14:ligatures w14:val="standardContextual"/>
            </w:rPr>
          </w:pPr>
          <w:hyperlink w:history="1" w:anchor="_Toc227565647">
            <w:r w:rsidRPr="003674CB">
              <w:rPr>
                <w:rStyle w:val="Hyperlink"/>
                <w:noProof/>
                <w:lang w:val="en-GB"/>
              </w:rPr>
              <w:t>Reference List:</w:t>
            </w:r>
            <w:r>
              <w:rPr>
                <w:noProof/>
                <w:webHidden/>
              </w:rPr>
              <w:tab/>
            </w:r>
            <w:r>
              <w:rPr>
                <w:noProof/>
                <w:webHidden/>
              </w:rPr>
              <w:fldChar w:fldCharType="begin"/>
            </w:r>
            <w:r>
              <w:rPr>
                <w:noProof/>
                <w:webHidden/>
              </w:rPr>
              <w:instrText xml:space="preserve"> PAGEREF _Toc227565647 \h </w:instrText>
            </w:r>
            <w:r>
              <w:rPr>
                <w:noProof/>
                <w:webHidden/>
              </w:rPr>
            </w:r>
            <w:r>
              <w:rPr>
                <w:noProof/>
                <w:webHidden/>
              </w:rPr>
              <w:fldChar w:fldCharType="separate"/>
            </w:r>
            <w:r>
              <w:rPr>
                <w:noProof/>
                <w:webHidden/>
              </w:rPr>
              <w:t>8</w:t>
            </w:r>
            <w:r>
              <w:rPr>
                <w:noProof/>
                <w:webHidden/>
              </w:rPr>
              <w:fldChar w:fldCharType="end"/>
            </w:r>
          </w:hyperlink>
        </w:p>
        <w:p w:rsidRPr="00701D79" w:rsidR="00CB4338" w:rsidRDefault="00CB4338" w14:paraId="2C3F0855" w14:textId="40A1093C">
          <w:pPr>
            <w:rPr>
              <w:lang w:val="en-GB"/>
            </w:rPr>
          </w:pPr>
          <w:r w:rsidRPr="00701D79">
            <w:rPr>
              <w:b/>
              <w:bCs/>
              <w:lang w:val="en-GB"/>
            </w:rPr>
            <w:fldChar w:fldCharType="end"/>
          </w:r>
        </w:p>
      </w:sdtContent>
    </w:sdt>
    <w:p w:rsidR="000A4CDB" w:rsidRDefault="000A4CDB" w14:paraId="74955DD6" w14:textId="77777777">
      <w:pPr>
        <w:spacing w:after="0" w:line="240" w:lineRule="auto"/>
        <w:jc w:val="left"/>
        <w:rPr>
          <w:lang w:val="en-GB"/>
        </w:rPr>
      </w:pPr>
    </w:p>
    <w:p w:rsidRPr="000A4CDB" w:rsidR="000A4CDB" w:rsidP="000A4CDB" w:rsidRDefault="000A4CDB" w14:paraId="754D8FA4" w14:textId="77777777">
      <w:pPr>
        <w:spacing w:after="0"/>
        <w:jc w:val="center"/>
        <w:rPr>
          <w:rFonts w:cs="Arial" w:eastAsiaTheme="majorEastAsia"/>
          <w:b/>
          <w:bCs/>
          <w:sz w:val="28"/>
          <w:szCs w:val="28"/>
          <w:lang w:val="en-GB"/>
        </w:rPr>
      </w:pPr>
      <w:r w:rsidRPr="000A4CDB">
        <w:rPr>
          <w:rFonts w:cs="Arial" w:eastAsiaTheme="majorEastAsia"/>
          <w:b/>
          <w:bCs/>
          <w:sz w:val="28"/>
          <w:szCs w:val="28"/>
          <w:lang w:val="en-GB"/>
        </w:rPr>
        <w:t>List of Figures</w:t>
      </w:r>
    </w:p>
    <w:p w:rsidR="005C1619" w:rsidRDefault="000A4CDB" w14:paraId="03B8219B" w14:textId="7F5FA8DC">
      <w:pPr>
        <w:pStyle w:val="TableofFigures"/>
        <w:tabs>
          <w:tab w:val="right" w:leader="dot" w:pos="9016"/>
        </w:tabs>
        <w:rPr>
          <w:rFonts w:asciiTheme="minorHAnsi" w:hAnsiTheme="minorHAnsi" w:eastAsiaTheme="minorEastAsia"/>
          <w:noProof/>
          <w:kern w:val="2"/>
          <w:sz w:val="24"/>
          <w:szCs w:val="24"/>
          <w:lang w:val="en-GB" w:eastAsia="en-GB"/>
          <w14:ligatures w14:val="standardContextual"/>
        </w:rPr>
      </w:pPr>
      <w:r>
        <w:rPr>
          <w:lang w:val="en-GB"/>
        </w:rPr>
        <w:fldChar w:fldCharType="begin"/>
      </w:r>
      <w:r>
        <w:rPr>
          <w:lang w:val="en-GB"/>
        </w:rPr>
        <w:instrText xml:space="preserve"> TOC \h \z \c "Figure" </w:instrText>
      </w:r>
      <w:r>
        <w:rPr>
          <w:lang w:val="en-GB"/>
        </w:rPr>
        <w:fldChar w:fldCharType="separate"/>
      </w:r>
      <w:hyperlink w:history="1" w:anchor="_Toc227565625">
        <w:r w:rsidRPr="0068469A" w:rsidR="005C1619">
          <w:rPr>
            <w:rStyle w:val="Hyperlink"/>
            <w:b/>
            <w:bCs/>
            <w:noProof/>
            <w:lang w:val="en-GB"/>
          </w:rPr>
          <w:t>Figure 1:</w:t>
        </w:r>
        <w:r w:rsidRPr="0068469A" w:rsidR="005C1619">
          <w:rPr>
            <w:rStyle w:val="Hyperlink"/>
            <w:noProof/>
            <w:lang w:val="en-GB"/>
          </w:rPr>
          <w:t xml:space="preserve"> Estimated tuberculosis incidence rates per 100,000 population by country, 2024</w:t>
        </w:r>
        <w:r w:rsidR="005C1619">
          <w:rPr>
            <w:noProof/>
            <w:webHidden/>
          </w:rPr>
          <w:tab/>
        </w:r>
        <w:r w:rsidR="005C1619">
          <w:rPr>
            <w:noProof/>
            <w:webHidden/>
          </w:rPr>
          <w:fldChar w:fldCharType="begin"/>
        </w:r>
        <w:r w:rsidR="005C1619">
          <w:rPr>
            <w:noProof/>
            <w:webHidden/>
          </w:rPr>
          <w:instrText xml:space="preserve"> PAGEREF _Toc227565625 \h </w:instrText>
        </w:r>
        <w:r w:rsidR="005C1619">
          <w:rPr>
            <w:noProof/>
            <w:webHidden/>
          </w:rPr>
        </w:r>
        <w:r w:rsidR="005C1619">
          <w:rPr>
            <w:noProof/>
            <w:webHidden/>
          </w:rPr>
          <w:fldChar w:fldCharType="separate"/>
        </w:r>
        <w:r w:rsidR="005C1619">
          <w:rPr>
            <w:noProof/>
            <w:webHidden/>
          </w:rPr>
          <w:t>3</w:t>
        </w:r>
        <w:r w:rsidR="005C1619">
          <w:rPr>
            <w:noProof/>
            <w:webHidden/>
          </w:rPr>
          <w:fldChar w:fldCharType="end"/>
        </w:r>
      </w:hyperlink>
    </w:p>
    <w:p w:rsidR="005C1619" w:rsidRDefault="005C1619" w14:paraId="49EDD8CD" w14:textId="44C9339E">
      <w:pPr>
        <w:pStyle w:val="TableofFigures"/>
        <w:tabs>
          <w:tab w:val="right" w:leader="dot" w:pos="9016"/>
        </w:tabs>
        <w:rPr>
          <w:rFonts w:asciiTheme="minorHAnsi" w:hAnsiTheme="minorHAnsi" w:eastAsiaTheme="minorEastAsia"/>
          <w:noProof/>
          <w:kern w:val="2"/>
          <w:sz w:val="24"/>
          <w:szCs w:val="24"/>
          <w:lang w:val="en-GB" w:eastAsia="en-GB"/>
          <w14:ligatures w14:val="standardContextual"/>
        </w:rPr>
      </w:pPr>
      <w:hyperlink w:history="1" w:anchor="_Toc227565626">
        <w:r w:rsidRPr="0068469A">
          <w:rPr>
            <w:rStyle w:val="Hyperlink"/>
            <w:b/>
            <w:bCs/>
            <w:noProof/>
            <w:lang w:val="en-GB"/>
          </w:rPr>
          <w:t>Figure 2:</w:t>
        </w:r>
        <w:r w:rsidRPr="0068469A">
          <w:rPr>
            <w:rStyle w:val="Hyperlink"/>
            <w:noProof/>
            <w:lang w:val="en-GB"/>
          </w:rPr>
          <w:t xml:space="preserve"> Social determinants of health model illustrating individual, social and structural influences on health outcomes</w:t>
        </w:r>
        <w:r>
          <w:rPr>
            <w:noProof/>
            <w:webHidden/>
          </w:rPr>
          <w:tab/>
        </w:r>
        <w:r>
          <w:rPr>
            <w:noProof/>
            <w:webHidden/>
          </w:rPr>
          <w:fldChar w:fldCharType="begin"/>
        </w:r>
        <w:r>
          <w:rPr>
            <w:noProof/>
            <w:webHidden/>
          </w:rPr>
          <w:instrText xml:space="preserve"> PAGEREF _Toc227565626 \h </w:instrText>
        </w:r>
        <w:r>
          <w:rPr>
            <w:noProof/>
            <w:webHidden/>
          </w:rPr>
        </w:r>
        <w:r>
          <w:rPr>
            <w:noProof/>
            <w:webHidden/>
          </w:rPr>
          <w:fldChar w:fldCharType="separate"/>
        </w:r>
        <w:r>
          <w:rPr>
            <w:noProof/>
            <w:webHidden/>
          </w:rPr>
          <w:t>5</w:t>
        </w:r>
        <w:r>
          <w:rPr>
            <w:noProof/>
            <w:webHidden/>
          </w:rPr>
          <w:fldChar w:fldCharType="end"/>
        </w:r>
      </w:hyperlink>
    </w:p>
    <w:p w:rsidRPr="00701D79" w:rsidR="00CB4338" w:rsidP="000A4CDB" w:rsidRDefault="000A4CDB" w14:paraId="54A297FB" w14:textId="44A311BB">
      <w:pPr>
        <w:rPr>
          <w:rFonts w:eastAsiaTheme="majorEastAsia" w:cstheme="majorBidi"/>
          <w:color w:val="000000" w:themeColor="text1"/>
          <w:sz w:val="24"/>
          <w:szCs w:val="40"/>
          <w:lang w:val="en-GB"/>
        </w:rPr>
      </w:pPr>
      <w:r>
        <w:rPr>
          <w:lang w:val="en-GB"/>
        </w:rPr>
        <w:fldChar w:fldCharType="end"/>
      </w:r>
      <w:r w:rsidRPr="00701D79" w:rsidR="00CB4338">
        <w:rPr>
          <w:lang w:val="en-GB"/>
        </w:rPr>
        <w:br w:type="page"/>
      </w:r>
    </w:p>
    <w:p w:rsidRPr="00701D79" w:rsidR="004B495B" w:rsidP="00CB4338" w:rsidRDefault="00701888" w14:paraId="5347C5F1" w14:textId="5217AC1F">
      <w:pPr>
        <w:pStyle w:val="Heading1"/>
        <w:rPr>
          <w:lang w:val="en-GB"/>
        </w:rPr>
      </w:pPr>
      <w:bookmarkStart w:name="_Toc227565641" w:id="2"/>
      <w:r w:rsidRPr="00701D79">
        <w:rPr>
          <w:lang w:val="en-GB"/>
        </w:rPr>
        <w:lastRenderedPageBreak/>
        <w:t>Introduction</w:t>
      </w:r>
      <w:bookmarkEnd w:id="2"/>
    </w:p>
    <w:p w:rsidRPr="00701D79" w:rsidR="008064A5" w:rsidP="008064A5" w:rsidRDefault="006F0EEA" w14:paraId="58951B8E" w14:textId="28087372">
      <w:pPr>
        <w:spacing w:after="80"/>
        <w:rPr>
          <w:lang w:val="en-GB"/>
        </w:rPr>
      </w:pPr>
      <w:r w:rsidRPr="00701D79">
        <w:rPr>
          <w:lang w:val="en-GB"/>
        </w:rPr>
        <w:t>Tuberculosis (TB), a</w:t>
      </w:r>
      <w:r w:rsidRPr="00701D79" w:rsidR="008064A5">
        <w:rPr>
          <w:lang w:val="en-GB"/>
        </w:rPr>
        <w:t xml:space="preserve"> communicable disease caused by </w:t>
      </w:r>
      <w:r w:rsidRPr="00701D79" w:rsidR="008064A5">
        <w:rPr>
          <w:i/>
          <w:iCs/>
          <w:lang w:val="en-GB"/>
        </w:rPr>
        <w:t>Mycobacterium tuberculosis</w:t>
      </w:r>
      <w:r w:rsidRPr="00701D79" w:rsidR="008064A5">
        <w:rPr>
          <w:lang w:val="en-GB"/>
        </w:rPr>
        <w:t xml:space="preserve">, primarily affects the lungs but can also affect other organs and it is transmitted through airborne droplets which released when an infected individual coughs, sneezes or speaks (World Health Organization, 2025). </w:t>
      </w:r>
      <w:r w:rsidRPr="00701D79" w:rsidR="005D2BAF">
        <w:rPr>
          <w:lang w:val="en-GB"/>
        </w:rPr>
        <w:t>Data presented by</w:t>
      </w:r>
      <w:r w:rsidRPr="00701D79" w:rsidR="00353C01">
        <w:rPr>
          <w:lang w:val="en-GB"/>
        </w:rPr>
        <w:t xml:space="preserve"> </w:t>
      </w:r>
      <w:r w:rsidRPr="00701D79" w:rsidR="008064A5">
        <w:rPr>
          <w:lang w:val="en-GB"/>
        </w:rPr>
        <w:t>World Health Organization</w:t>
      </w:r>
      <w:r w:rsidRPr="00701D79" w:rsidR="005D2BAF">
        <w:rPr>
          <w:lang w:val="en-GB"/>
        </w:rPr>
        <w:t xml:space="preserve"> demonstrates that </w:t>
      </w:r>
      <w:r w:rsidRPr="00701D79">
        <w:rPr>
          <w:lang w:val="en-GB"/>
        </w:rPr>
        <w:t xml:space="preserve">nearly </w:t>
      </w:r>
      <w:r w:rsidRPr="00701D79" w:rsidR="008064A5">
        <w:rPr>
          <w:lang w:val="en-GB"/>
        </w:rPr>
        <w:t xml:space="preserve">10.7 million </w:t>
      </w:r>
      <w:r w:rsidRPr="00701D79" w:rsidR="005D2BAF">
        <w:rPr>
          <w:lang w:val="en-GB"/>
        </w:rPr>
        <w:t>affected with</w:t>
      </w:r>
      <w:r w:rsidRPr="00701D79" w:rsidR="008064A5">
        <w:rPr>
          <w:lang w:val="en-GB"/>
        </w:rPr>
        <w:t xml:space="preserve"> tuberculosis in 2024</w:t>
      </w:r>
      <w:r w:rsidRPr="00701D79" w:rsidR="00353C01">
        <w:rPr>
          <w:lang w:val="en-GB"/>
        </w:rPr>
        <w:t xml:space="preserve"> while </w:t>
      </w:r>
      <w:r w:rsidRPr="00701D79" w:rsidR="008064A5">
        <w:rPr>
          <w:lang w:val="en-GB"/>
        </w:rPr>
        <w:t xml:space="preserve">1.23 million </w:t>
      </w:r>
      <w:r w:rsidRPr="00701D79" w:rsidR="00353C01">
        <w:rPr>
          <w:lang w:val="en-GB"/>
        </w:rPr>
        <w:t xml:space="preserve">people </w:t>
      </w:r>
      <w:r w:rsidRPr="00701D79">
        <w:rPr>
          <w:lang w:val="en-GB"/>
        </w:rPr>
        <w:t>perished</w:t>
      </w:r>
      <w:r w:rsidRPr="00701D79" w:rsidR="008064A5">
        <w:rPr>
          <w:lang w:val="en-GB"/>
        </w:rPr>
        <w:t xml:space="preserve"> and in England, there were 5,490 notifications of tuberculosis </w:t>
      </w:r>
      <w:r w:rsidRPr="00701D79" w:rsidR="005D2BAF">
        <w:rPr>
          <w:lang w:val="en-GB"/>
        </w:rPr>
        <w:t xml:space="preserve">with </w:t>
      </w:r>
      <w:r w:rsidRPr="00701D79" w:rsidR="00953A14">
        <w:rPr>
          <w:lang w:val="en-GB"/>
        </w:rPr>
        <w:t>an</w:t>
      </w:r>
      <w:r w:rsidRPr="00701D79" w:rsidR="005D2BAF">
        <w:rPr>
          <w:lang w:val="en-GB"/>
        </w:rPr>
        <w:t xml:space="preserve"> </w:t>
      </w:r>
      <w:r w:rsidRPr="00057BCD" w:rsidR="00057BCD">
        <w:rPr>
          <w:lang w:val="en-GB"/>
        </w:rPr>
        <w:t>incidence</w:t>
      </w:r>
      <w:r w:rsidRPr="00701D79" w:rsidR="005D2BAF">
        <w:rPr>
          <w:lang w:val="en-GB"/>
        </w:rPr>
        <w:t xml:space="preserve"> rate</w:t>
      </w:r>
      <w:r w:rsidRPr="00701D79" w:rsidR="008064A5">
        <w:rPr>
          <w:lang w:val="en-GB"/>
        </w:rPr>
        <w:t xml:space="preserve"> of 9.4 per 100,000 people. Interestingly, 81.9% of the cases reported were </w:t>
      </w:r>
      <w:r w:rsidRPr="00701D79" w:rsidR="00353C01">
        <w:rPr>
          <w:lang w:val="en-GB"/>
        </w:rPr>
        <w:t>among</w:t>
      </w:r>
      <w:r w:rsidRPr="00701D79" w:rsidR="008064A5">
        <w:rPr>
          <w:lang w:val="en-GB"/>
        </w:rPr>
        <w:t xml:space="preserve"> people who were born outside the UK </w:t>
      </w:r>
      <w:r w:rsidRPr="00701D79" w:rsidR="00884A5E">
        <w:rPr>
          <w:lang w:val="en-GB"/>
        </w:rPr>
        <w:t xml:space="preserve">which demonstrates that TB remains a </w:t>
      </w:r>
      <w:r w:rsidRPr="00701D79" w:rsidR="00617D0E">
        <w:rPr>
          <w:lang w:val="en-GB"/>
        </w:rPr>
        <w:t>significant</w:t>
      </w:r>
      <w:r w:rsidRPr="00701D79" w:rsidR="00884A5E">
        <w:rPr>
          <w:lang w:val="en-GB"/>
        </w:rPr>
        <w:t xml:space="preserve"> public health issue in England</w:t>
      </w:r>
      <w:r w:rsidRPr="00701D79">
        <w:rPr>
          <w:lang w:val="en-GB"/>
        </w:rPr>
        <w:t xml:space="preserve"> while indicating </w:t>
      </w:r>
      <w:r w:rsidRPr="00701D79" w:rsidR="00884A5E">
        <w:rPr>
          <w:lang w:val="en-GB"/>
        </w:rPr>
        <w:t xml:space="preserve">unequal access to diagnosis </w:t>
      </w:r>
      <w:r w:rsidRPr="00701D79">
        <w:rPr>
          <w:lang w:val="en-GB"/>
        </w:rPr>
        <w:t>and</w:t>
      </w:r>
      <w:r w:rsidRPr="00701D79" w:rsidR="00884A5E">
        <w:rPr>
          <w:lang w:val="en-GB"/>
        </w:rPr>
        <w:t xml:space="preserve"> care </w:t>
      </w:r>
      <w:r w:rsidRPr="00701D79">
        <w:rPr>
          <w:lang w:val="en-GB"/>
        </w:rPr>
        <w:t>instead of</w:t>
      </w:r>
      <w:r w:rsidRPr="00701D79" w:rsidR="00884A5E">
        <w:rPr>
          <w:lang w:val="en-GB"/>
        </w:rPr>
        <w:t xml:space="preserve"> infection burden alone </w:t>
      </w:r>
      <w:r w:rsidRPr="00701D79" w:rsidR="008064A5">
        <w:rPr>
          <w:lang w:val="en-GB"/>
        </w:rPr>
        <w:t>(World Health Organization, 2025; UK Health Security Agency, 2026).</w:t>
      </w:r>
    </w:p>
    <w:p w:rsidRPr="00701D79" w:rsidR="004B495B" w:rsidP="008064A5" w:rsidRDefault="004C1A2C" w14:paraId="69C18038" w14:textId="47A81E5A">
      <w:pPr>
        <w:spacing w:after="80"/>
        <w:rPr>
          <w:lang w:val="en-GB"/>
        </w:rPr>
      </w:pPr>
      <w:r w:rsidRPr="00701D79">
        <w:rPr>
          <w:lang w:val="en-GB"/>
        </w:rPr>
        <w:t xml:space="preserve">A persistent cough, fever, night sweats, weight loss and fatigue are typical symptoms of tuberculosis, although latent infection may not develop symptoms </w:t>
      </w:r>
      <w:r w:rsidRPr="00701D79" w:rsidR="008064A5">
        <w:rPr>
          <w:lang w:val="en-GB"/>
        </w:rPr>
        <w:t xml:space="preserve">(World Health Organization, 2025) and </w:t>
      </w:r>
      <w:r w:rsidR="00C9328D">
        <w:rPr>
          <w:lang w:val="en-GB"/>
        </w:rPr>
        <w:t>t</w:t>
      </w:r>
      <w:r w:rsidRPr="00057BCD" w:rsidR="00057BCD">
        <w:rPr>
          <w:lang w:val="en-GB"/>
        </w:rPr>
        <w:t>his paper critically evaluates TB monitoring, control, determinants, implications, and support requirements.</w:t>
      </w:r>
      <w:r w:rsidRPr="00701D79" w:rsidR="008064A5">
        <w:rPr>
          <w:lang w:val="en-GB"/>
        </w:rPr>
        <w:t xml:space="preserve"> </w:t>
      </w:r>
      <w:r w:rsidRPr="00701D79" w:rsidR="005D2BAF">
        <w:rPr>
          <w:lang w:val="en-GB"/>
        </w:rPr>
        <w:t>Furthermore</w:t>
      </w:r>
      <w:r w:rsidRPr="00701D79" w:rsidR="008064A5">
        <w:rPr>
          <w:lang w:val="en-GB"/>
        </w:rPr>
        <w:t xml:space="preserve">, as distribution of TB </w:t>
      </w:r>
      <w:r w:rsidRPr="00701D79" w:rsidR="005D2BAF">
        <w:rPr>
          <w:lang w:val="en-GB"/>
        </w:rPr>
        <w:t>mirrors</w:t>
      </w:r>
      <w:r w:rsidRPr="00701D79" w:rsidR="008064A5">
        <w:rPr>
          <w:lang w:val="en-GB"/>
        </w:rPr>
        <w:t xml:space="preserve"> </w:t>
      </w:r>
      <w:r w:rsidRPr="00701D79" w:rsidR="005D2BAF">
        <w:rPr>
          <w:lang w:val="en-GB"/>
        </w:rPr>
        <w:t>wider</w:t>
      </w:r>
      <w:r w:rsidRPr="00701D79" w:rsidR="008064A5">
        <w:rPr>
          <w:lang w:val="en-GB"/>
        </w:rPr>
        <w:t xml:space="preserve"> social inequalities rather than biological exposure alone, Patwardhan, </w:t>
      </w:r>
      <w:proofErr w:type="spellStart"/>
      <w:r w:rsidRPr="00701D79" w:rsidR="008064A5">
        <w:rPr>
          <w:lang w:val="en-GB"/>
        </w:rPr>
        <w:t>Mutalik</w:t>
      </w:r>
      <w:proofErr w:type="spellEnd"/>
      <w:r w:rsidRPr="00701D79" w:rsidR="008064A5">
        <w:rPr>
          <w:lang w:val="en-GB"/>
        </w:rPr>
        <w:t xml:space="preserve">, and </w:t>
      </w:r>
      <w:proofErr w:type="spellStart"/>
      <w:r w:rsidRPr="00701D79" w:rsidR="008064A5">
        <w:rPr>
          <w:lang w:val="en-GB"/>
        </w:rPr>
        <w:t>Tillu</w:t>
      </w:r>
      <w:proofErr w:type="spellEnd"/>
      <w:r w:rsidRPr="00701D79" w:rsidR="008064A5">
        <w:rPr>
          <w:lang w:val="en-GB"/>
        </w:rPr>
        <w:t xml:space="preserve"> (2015) argue that disease </w:t>
      </w:r>
      <w:r w:rsidRPr="00701D79" w:rsidR="005D2BAF">
        <w:rPr>
          <w:lang w:val="en-GB"/>
        </w:rPr>
        <w:t>ought</w:t>
      </w:r>
      <w:r w:rsidRPr="00701D79" w:rsidR="008064A5">
        <w:rPr>
          <w:lang w:val="en-GB"/>
        </w:rPr>
        <w:t xml:space="preserve"> </w:t>
      </w:r>
      <w:r w:rsidRPr="00701D79" w:rsidR="005D2BAF">
        <w:rPr>
          <w:lang w:val="en-GB"/>
        </w:rPr>
        <w:t>to be</w:t>
      </w:r>
      <w:r w:rsidRPr="00701D79" w:rsidR="008064A5">
        <w:rPr>
          <w:lang w:val="en-GB"/>
        </w:rPr>
        <w:t xml:space="preserve"> considered a</w:t>
      </w:r>
      <w:r w:rsidRPr="00701D79" w:rsidR="005D2BAF">
        <w:rPr>
          <w:lang w:val="en-GB"/>
        </w:rPr>
        <w:t>s</w:t>
      </w:r>
      <w:r w:rsidRPr="00701D79" w:rsidR="008064A5">
        <w:rPr>
          <w:lang w:val="en-GB"/>
        </w:rPr>
        <w:t xml:space="preserve"> consequence of </w:t>
      </w:r>
      <w:r w:rsidRPr="00701D79" w:rsidR="005D2BAF">
        <w:rPr>
          <w:lang w:val="en-GB"/>
        </w:rPr>
        <w:t xml:space="preserve">both </w:t>
      </w:r>
      <w:r w:rsidRPr="00701D79" w:rsidR="008064A5">
        <w:rPr>
          <w:lang w:val="en-GB"/>
        </w:rPr>
        <w:t>bio</w:t>
      </w:r>
      <w:r w:rsidRPr="00701D79" w:rsidR="005D2BAF">
        <w:rPr>
          <w:lang w:val="en-GB"/>
        </w:rPr>
        <w:t>medical</w:t>
      </w:r>
      <w:r w:rsidRPr="00701D79" w:rsidR="008064A5">
        <w:rPr>
          <w:lang w:val="en-GB"/>
        </w:rPr>
        <w:t xml:space="preserve"> and environmental </w:t>
      </w:r>
      <w:r w:rsidRPr="00701D79" w:rsidR="005D2BAF">
        <w:rPr>
          <w:lang w:val="en-GB"/>
        </w:rPr>
        <w:t>factors.</w:t>
      </w:r>
    </w:p>
    <w:p w:rsidRPr="00701D79" w:rsidR="00DD315F" w:rsidP="00DD315F" w:rsidRDefault="00DD315F" w14:paraId="43360108" w14:textId="77777777">
      <w:pPr>
        <w:keepNext/>
        <w:spacing w:after="80"/>
        <w:jc w:val="center"/>
        <w:rPr>
          <w:lang w:val="en-GB"/>
        </w:rPr>
      </w:pPr>
      <w:r w:rsidRPr="00701D79">
        <w:rPr>
          <w:noProof/>
          <w:lang w:val="en-GB"/>
        </w:rPr>
        <w:drawing>
          <wp:inline distT="0" distB="0" distL="0" distR="0" wp14:anchorId="468B450A" wp14:editId="560E3EA8">
            <wp:extent cx="5731510" cy="3112770"/>
            <wp:effectExtent l="19050" t="19050" r="21590" b="11430"/>
            <wp:docPr id="688547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547089" name=""/>
                    <pic:cNvPicPr/>
                  </pic:nvPicPr>
                  <pic:blipFill>
                    <a:blip r:embed="rId8"/>
                    <a:stretch>
                      <a:fillRect/>
                    </a:stretch>
                  </pic:blipFill>
                  <pic:spPr>
                    <a:xfrm>
                      <a:off x="0" y="0"/>
                      <a:ext cx="5731510" cy="3112770"/>
                    </a:xfrm>
                    <a:prstGeom prst="rect">
                      <a:avLst/>
                    </a:prstGeom>
                    <a:ln>
                      <a:solidFill>
                        <a:schemeClr val="tx1"/>
                      </a:solidFill>
                    </a:ln>
                  </pic:spPr>
                </pic:pic>
              </a:graphicData>
            </a:graphic>
          </wp:inline>
        </w:drawing>
      </w:r>
    </w:p>
    <w:p w:rsidR="00CB78B8" w:rsidP="00DD315F" w:rsidRDefault="00DD315F" w14:paraId="21A85608" w14:textId="77777777">
      <w:pPr>
        <w:jc w:val="center"/>
        <w:rPr>
          <w:lang w:val="en-GB"/>
        </w:rPr>
      </w:pPr>
      <w:bookmarkStart w:name="_Toc227565625" w:id="3"/>
      <w:r w:rsidRPr="00701D79">
        <w:rPr>
          <w:b/>
          <w:bCs/>
          <w:lang w:val="en-GB"/>
        </w:rPr>
        <w:t xml:space="preserve">Figure </w:t>
      </w:r>
      <w:r w:rsidRPr="00701D79">
        <w:rPr>
          <w:b/>
          <w:bCs/>
          <w:lang w:val="en-GB"/>
        </w:rPr>
        <w:fldChar w:fldCharType="begin"/>
      </w:r>
      <w:r w:rsidRPr="00701D79">
        <w:rPr>
          <w:b/>
          <w:bCs/>
          <w:lang w:val="en-GB"/>
        </w:rPr>
        <w:instrText xml:space="preserve"> SEQ Figure \* ARABIC </w:instrText>
      </w:r>
      <w:r w:rsidRPr="00701D79">
        <w:rPr>
          <w:b/>
          <w:bCs/>
          <w:lang w:val="en-GB"/>
        </w:rPr>
        <w:fldChar w:fldCharType="separate"/>
      </w:r>
      <w:r w:rsidRPr="00701D79" w:rsidR="00A61461">
        <w:rPr>
          <w:b/>
          <w:bCs/>
          <w:lang w:val="en-GB"/>
        </w:rPr>
        <w:t>1</w:t>
      </w:r>
      <w:r w:rsidRPr="00701D79">
        <w:rPr>
          <w:b/>
          <w:bCs/>
          <w:lang w:val="en-GB"/>
        </w:rPr>
        <w:fldChar w:fldCharType="end"/>
      </w:r>
      <w:r w:rsidRPr="00701D79">
        <w:rPr>
          <w:b/>
          <w:bCs/>
          <w:lang w:val="en-GB"/>
        </w:rPr>
        <w:t>:</w:t>
      </w:r>
      <w:r w:rsidRPr="00701D79">
        <w:rPr>
          <w:lang w:val="en-GB"/>
        </w:rPr>
        <w:t xml:space="preserve"> Estimated tuberculosis incidence rates per 100,000 population by country, 2024</w:t>
      </w:r>
      <w:bookmarkEnd w:id="3"/>
    </w:p>
    <w:p w:rsidRPr="00701D79" w:rsidR="00DD315F" w:rsidP="00DD315F" w:rsidRDefault="00DD315F" w14:paraId="32319E77" w14:textId="6EAAEE93">
      <w:pPr>
        <w:jc w:val="center"/>
        <w:rPr>
          <w:lang w:val="en-GB"/>
        </w:rPr>
      </w:pPr>
      <w:r w:rsidRPr="00701D79">
        <w:rPr>
          <w:lang w:val="en-GB"/>
        </w:rPr>
        <w:t>(</w:t>
      </w:r>
      <w:r w:rsidR="00CB78B8">
        <w:rPr>
          <w:lang w:val="en-GB"/>
        </w:rPr>
        <w:t xml:space="preserve">Source: </w:t>
      </w:r>
      <w:r w:rsidRPr="00701D79">
        <w:rPr>
          <w:lang w:val="en-GB"/>
        </w:rPr>
        <w:t>World Health Organization, 2025).</w:t>
      </w:r>
    </w:p>
    <w:p w:rsidRPr="00701D79" w:rsidR="000F0AD5" w:rsidP="005C0803" w:rsidRDefault="001F0023" w14:paraId="658C489F" w14:textId="11B4CEC8">
      <w:pPr>
        <w:spacing w:after="0"/>
        <w:rPr>
          <w:lang w:val="en-GB"/>
        </w:rPr>
      </w:pPr>
      <w:r w:rsidRPr="001F0023">
        <w:rPr>
          <w:lang w:val="en-GB"/>
        </w:rPr>
        <w:lastRenderedPageBreak/>
        <w:t xml:space="preserve">As </w:t>
      </w:r>
      <w:r>
        <w:rPr>
          <w:lang w:val="en-GB"/>
        </w:rPr>
        <w:t>depicted</w:t>
      </w:r>
      <w:r w:rsidRPr="001F0023">
        <w:rPr>
          <w:lang w:val="en-GB"/>
        </w:rPr>
        <w:t xml:space="preserve"> in Figure 1 above, healthcare accessibility and structural inequalities have contributed to greater tuberculosis incidence in specific parts of Africa and Asia.</w:t>
      </w:r>
    </w:p>
    <w:p w:rsidRPr="00701D79" w:rsidR="000A21F4" w:rsidP="000A21F4" w:rsidRDefault="000A21F4" w14:paraId="0C8E75E0" w14:textId="161E51BE">
      <w:pPr>
        <w:pStyle w:val="Heading1"/>
        <w:rPr>
          <w:lang w:val="en-GB"/>
        </w:rPr>
      </w:pPr>
      <w:bookmarkStart w:name="_Toc227565642" w:id="4"/>
      <w:r w:rsidRPr="00701D79">
        <w:rPr>
          <w:lang w:val="en-GB"/>
        </w:rPr>
        <w:t>Discussion</w:t>
      </w:r>
      <w:bookmarkEnd w:id="4"/>
    </w:p>
    <w:p w:rsidRPr="00701D79" w:rsidR="000A21F4" w:rsidP="000A21F4" w:rsidRDefault="000A21F4" w14:paraId="0459B5C5" w14:textId="504CBE48">
      <w:pPr>
        <w:pStyle w:val="Heading2"/>
        <w:rPr>
          <w:lang w:val="en-GB"/>
        </w:rPr>
      </w:pPr>
      <w:bookmarkStart w:name="_Toc227565643" w:id="5"/>
      <w:r w:rsidRPr="00701D79">
        <w:rPr>
          <w:lang w:val="en-GB"/>
        </w:rPr>
        <w:t>Measuring, monitoring and controlling tuberculosis</w:t>
      </w:r>
      <w:bookmarkEnd w:id="5"/>
    </w:p>
    <w:p w:rsidRPr="00701D79" w:rsidR="00A005B7" w:rsidP="00A005B7" w:rsidRDefault="00840BAB" w14:paraId="4C64B333" w14:textId="63E1D336">
      <w:pPr>
        <w:rPr>
          <w:lang w:val="en-GB"/>
        </w:rPr>
      </w:pPr>
      <w:r w:rsidRPr="00840BAB">
        <w:rPr>
          <w:lang w:val="en-GB"/>
        </w:rPr>
        <w:t xml:space="preserve">To evaluate the efficacy of public health initiatives, </w:t>
      </w:r>
      <w:r>
        <w:rPr>
          <w:lang w:val="en-GB"/>
        </w:rPr>
        <w:t>TB</w:t>
      </w:r>
      <w:r w:rsidRPr="00840BAB">
        <w:rPr>
          <w:lang w:val="en-GB"/>
        </w:rPr>
        <w:t xml:space="preserve"> is monitored via surveillance systems which document key indicators such as drug resistance, treatment results, mortality as well as prevalence rate (World Health Organization, 2025)</w:t>
      </w:r>
      <w:r>
        <w:rPr>
          <w:lang w:val="en-GB"/>
        </w:rPr>
        <w:t xml:space="preserve"> and t</w:t>
      </w:r>
      <w:r w:rsidRPr="00840BAB">
        <w:rPr>
          <w:lang w:val="en-GB"/>
        </w:rPr>
        <w:t xml:space="preserve">here could be inadequacies in existing control efforts including persistent transmission of </w:t>
      </w:r>
      <w:r>
        <w:rPr>
          <w:lang w:val="en-GB"/>
        </w:rPr>
        <w:t>TB</w:t>
      </w:r>
      <w:r w:rsidRPr="00840BAB">
        <w:rPr>
          <w:lang w:val="en-GB"/>
        </w:rPr>
        <w:t xml:space="preserve">, especially in high-risk populations, since the UK Health Security Agency (2026) reported an increase in tuberculosis notifications in 2024. </w:t>
      </w:r>
      <w:r w:rsidR="00DC241A">
        <w:rPr>
          <w:lang w:val="en-GB"/>
        </w:rPr>
        <w:t>However, s</w:t>
      </w:r>
      <w:r w:rsidRPr="00DC241A" w:rsidR="00DC241A">
        <w:rPr>
          <w:lang w:val="en-GB"/>
        </w:rPr>
        <w:t xml:space="preserve">urveillance data should be interpreted with caution, as increases could also indicate </w:t>
      </w:r>
      <w:r w:rsidRPr="00DC241A" w:rsidR="00DC241A">
        <w:rPr>
          <w:lang w:val="en-GB"/>
        </w:rPr>
        <w:t>improved</w:t>
      </w:r>
      <w:r w:rsidRPr="00DC241A" w:rsidR="00DC241A">
        <w:rPr>
          <w:lang w:val="en-GB"/>
        </w:rPr>
        <w:t xml:space="preserve"> case detection</w:t>
      </w:r>
      <w:r w:rsidR="00DC241A">
        <w:rPr>
          <w:lang w:val="en-GB"/>
        </w:rPr>
        <w:t xml:space="preserve"> alongside persistent difficulties</w:t>
      </w:r>
      <w:r w:rsidRPr="00840BAB">
        <w:rPr>
          <w:lang w:val="en-GB"/>
        </w:rPr>
        <w:t xml:space="preserve"> in disease control.</w:t>
      </w:r>
    </w:p>
    <w:p w:rsidRPr="00701D79" w:rsidR="000A21F4" w:rsidP="00A005B7" w:rsidRDefault="00F243CE" w14:paraId="430CA29F" w14:textId="0AA67AD6">
      <w:pPr>
        <w:rPr>
          <w:lang w:val="en-GB"/>
        </w:rPr>
      </w:pPr>
      <w:r w:rsidRPr="00F243CE">
        <w:rPr>
          <w:lang w:val="en-GB"/>
        </w:rPr>
        <w:t>Surveillance data also demonstrate that TB is not uniformly distributed, with greater rates among people who were born outside the UK alongside those who live in the most impoverished areas (UK Health Security Agency, 2026)</w:t>
      </w:r>
      <w:r w:rsidR="007A355A">
        <w:rPr>
          <w:lang w:val="en-GB"/>
        </w:rPr>
        <w:t xml:space="preserve"> and b</w:t>
      </w:r>
      <w:r w:rsidRPr="00F243CE">
        <w:rPr>
          <w:lang w:val="en-GB"/>
        </w:rPr>
        <w:t xml:space="preserve">ased on this trend, it appears that surveillance can be beneficial for estimating illness burden as well as identifying structural and socioeconomic disparities. </w:t>
      </w:r>
      <w:r w:rsidR="007A355A">
        <w:rPr>
          <w:lang w:val="en-GB"/>
        </w:rPr>
        <w:t xml:space="preserve">Thus, </w:t>
      </w:r>
      <w:r w:rsidR="005162F3">
        <w:rPr>
          <w:lang w:val="en-GB"/>
        </w:rPr>
        <w:t>t</w:t>
      </w:r>
      <w:r w:rsidRPr="005162F3" w:rsidR="005162F3">
        <w:rPr>
          <w:lang w:val="en-GB"/>
        </w:rPr>
        <w:t>he limitations of clinical interventions are highlighted by TB which represents more of a reflection of socioeconomic level, healthcare access including timely detection as opposed to biology alone.</w:t>
      </w:r>
    </w:p>
    <w:p w:rsidR="005C0803" w:rsidP="009E46A9" w:rsidRDefault="0041296B" w14:paraId="342DD510" w14:textId="130039B1">
      <w:pPr>
        <w:rPr>
          <w:lang w:val="en-GB"/>
        </w:rPr>
      </w:pPr>
      <w:r w:rsidRPr="0041296B">
        <w:rPr>
          <w:lang w:val="en-GB"/>
        </w:rPr>
        <w:t>Utilisation of sputum microscopy, culture, radiography including molecular techniques in diagnosis and monitoring facilitates the confirmation of disease as well as information on drug resistance</w:t>
      </w:r>
      <w:r>
        <w:rPr>
          <w:lang w:val="en-GB"/>
        </w:rPr>
        <w:t xml:space="preserve"> and i</w:t>
      </w:r>
      <w:r w:rsidRPr="0041296B">
        <w:rPr>
          <w:lang w:val="en-GB"/>
        </w:rPr>
        <w:t>n their 2025 study, Shrivas and Singh emphasised the need of early and precise identification in minimising transmission</w:t>
      </w:r>
      <w:r>
        <w:rPr>
          <w:lang w:val="en-GB"/>
        </w:rPr>
        <w:t xml:space="preserve"> whereas </w:t>
      </w:r>
      <w:r w:rsidRPr="0041296B">
        <w:rPr>
          <w:lang w:val="en-GB"/>
        </w:rPr>
        <w:t xml:space="preserve">Ghosh </w:t>
      </w:r>
      <w:r w:rsidRPr="00570E55">
        <w:rPr>
          <w:i/>
          <w:iCs/>
          <w:lang w:val="en-GB"/>
        </w:rPr>
        <w:t>et al</w:t>
      </w:r>
      <w:r w:rsidRPr="0041296B">
        <w:rPr>
          <w:lang w:val="en-GB"/>
        </w:rPr>
        <w:t>.</w:t>
      </w:r>
      <w:r>
        <w:rPr>
          <w:lang w:val="en-GB"/>
        </w:rPr>
        <w:t xml:space="preserve"> (2025)</w:t>
      </w:r>
      <w:r w:rsidRPr="0041296B">
        <w:rPr>
          <w:lang w:val="en-GB"/>
        </w:rPr>
        <w:t xml:space="preserve"> also highlight</w:t>
      </w:r>
      <w:r>
        <w:rPr>
          <w:lang w:val="en-GB"/>
        </w:rPr>
        <w:t>ed</w:t>
      </w:r>
      <w:r w:rsidRPr="0041296B">
        <w:rPr>
          <w:lang w:val="en-GB"/>
        </w:rPr>
        <w:t xml:space="preserve"> advancements in detection, such as biosensor-based and molecular technologies. Similarly, new biomarkers may improve diagnostic accuracy in the future, as indicated by Yang </w:t>
      </w:r>
      <w:r w:rsidRPr="002C590A">
        <w:rPr>
          <w:i/>
          <w:iCs/>
          <w:lang w:val="en-GB"/>
        </w:rPr>
        <w:t>et al</w:t>
      </w:r>
      <w:r w:rsidRPr="0041296B">
        <w:rPr>
          <w:lang w:val="en-GB"/>
        </w:rPr>
        <w:t>. (2025)</w:t>
      </w:r>
      <w:r w:rsidR="002C590A">
        <w:rPr>
          <w:lang w:val="en-GB"/>
        </w:rPr>
        <w:t xml:space="preserve"> alongside </w:t>
      </w:r>
      <w:r w:rsidRPr="002C590A" w:rsidR="002C590A">
        <w:rPr>
          <w:lang w:val="en-GB"/>
        </w:rPr>
        <w:t xml:space="preserve">Alonzi </w:t>
      </w:r>
      <w:r w:rsidRPr="002C590A" w:rsidR="002C590A">
        <w:rPr>
          <w:i/>
          <w:iCs/>
          <w:lang w:val="en-GB"/>
        </w:rPr>
        <w:t>et al</w:t>
      </w:r>
      <w:r w:rsidRPr="002C590A" w:rsidR="002C590A">
        <w:rPr>
          <w:lang w:val="en-GB"/>
        </w:rPr>
        <w:t xml:space="preserve">., </w:t>
      </w:r>
      <w:r w:rsidR="002C590A">
        <w:rPr>
          <w:lang w:val="en-GB"/>
        </w:rPr>
        <w:t>(</w:t>
      </w:r>
      <w:r w:rsidRPr="002C590A" w:rsidR="002C590A">
        <w:rPr>
          <w:lang w:val="en-GB"/>
        </w:rPr>
        <w:t>2025</w:t>
      </w:r>
      <w:r w:rsidR="002C590A">
        <w:rPr>
          <w:lang w:val="en-GB"/>
        </w:rPr>
        <w:t>)</w:t>
      </w:r>
      <w:r w:rsidRPr="0041296B">
        <w:rPr>
          <w:lang w:val="en-GB"/>
        </w:rPr>
        <w:t>, however, there are still obstacles to implementation, accessibility in addition to affordability with these technologies. This indicates that fair and equitable healthcare systems are vital to complement technological progress.</w:t>
      </w:r>
    </w:p>
    <w:p w:rsidRPr="00701D79" w:rsidR="009E46A9" w:rsidP="009E46A9" w:rsidRDefault="00552392" w14:paraId="4797D11E" w14:textId="39D4CF9F">
      <w:pPr>
        <w:rPr>
          <w:lang w:val="en-GB"/>
        </w:rPr>
      </w:pPr>
      <w:r>
        <w:rPr>
          <w:lang w:val="en-GB"/>
        </w:rPr>
        <w:t>T</w:t>
      </w:r>
      <w:r w:rsidRPr="00701D79" w:rsidR="009E46A9">
        <w:rPr>
          <w:lang w:val="en-GB"/>
        </w:rPr>
        <w:t xml:space="preserve">he </w:t>
      </w:r>
      <w:r w:rsidRPr="00701D79">
        <w:rPr>
          <w:lang w:val="en-GB"/>
        </w:rPr>
        <w:t>basis</w:t>
      </w:r>
      <w:r w:rsidRPr="00701D79" w:rsidR="009E46A9">
        <w:rPr>
          <w:lang w:val="en-GB"/>
        </w:rPr>
        <w:t xml:space="preserve"> of </w:t>
      </w:r>
      <w:r>
        <w:rPr>
          <w:lang w:val="en-GB"/>
        </w:rPr>
        <w:t>the p</w:t>
      </w:r>
      <w:r w:rsidRPr="00701D79">
        <w:rPr>
          <w:lang w:val="en-GB"/>
        </w:rPr>
        <w:t xml:space="preserve">ublic health interventions </w:t>
      </w:r>
      <w:r>
        <w:rPr>
          <w:lang w:val="en-GB"/>
        </w:rPr>
        <w:t>for TB</w:t>
      </w:r>
      <w:r w:rsidRPr="00701D79" w:rsidR="009E46A9">
        <w:rPr>
          <w:lang w:val="en-GB"/>
        </w:rPr>
        <w:t xml:space="preserve"> control </w:t>
      </w:r>
      <w:r>
        <w:rPr>
          <w:lang w:val="en-GB"/>
        </w:rPr>
        <w:t xml:space="preserve">measures </w:t>
      </w:r>
      <w:r w:rsidR="0041296B">
        <w:rPr>
          <w:lang w:val="en-GB"/>
        </w:rPr>
        <w:t>is</w:t>
      </w:r>
      <w:r>
        <w:rPr>
          <w:lang w:val="en-GB"/>
        </w:rPr>
        <w:t xml:space="preserve"> </w:t>
      </w:r>
      <w:r w:rsidRPr="00552392">
        <w:rPr>
          <w:lang w:val="en-GB"/>
        </w:rPr>
        <w:t>founded on prevention, protection, and promotion</w:t>
      </w:r>
      <w:r>
        <w:rPr>
          <w:lang w:val="en-GB"/>
        </w:rPr>
        <w:t xml:space="preserve"> whereas</w:t>
      </w:r>
      <w:r w:rsidRPr="00701D79" w:rsidR="009E46A9">
        <w:rPr>
          <w:lang w:val="en-GB"/>
        </w:rPr>
        <w:t xml:space="preserve"> vaccination and </w:t>
      </w:r>
      <w:r>
        <w:rPr>
          <w:lang w:val="en-GB"/>
        </w:rPr>
        <w:t>handling</w:t>
      </w:r>
      <w:r w:rsidRPr="00701D79" w:rsidR="009E46A9">
        <w:rPr>
          <w:lang w:val="en-GB"/>
        </w:rPr>
        <w:t xml:space="preserve"> latent infections are part of prevention, infection control and contact tracing are part of protection</w:t>
      </w:r>
      <w:r>
        <w:rPr>
          <w:lang w:val="en-GB"/>
        </w:rPr>
        <w:t xml:space="preserve"> whilst </w:t>
      </w:r>
      <w:r w:rsidRPr="00701D79" w:rsidR="009E46A9">
        <w:rPr>
          <w:lang w:val="en-GB"/>
        </w:rPr>
        <w:t xml:space="preserve">raising awareness and encouraging early help-seeking behaviour are part of promotion. Over one million people die each year from TB, even though the disease is both curable as well as preventable (World Health Organization, 2025) which implies an imbalance between available interventions and </w:t>
      </w:r>
      <w:r w:rsidRPr="00701D79" w:rsidR="009E46A9">
        <w:rPr>
          <w:lang w:val="en-GB"/>
        </w:rPr>
        <w:lastRenderedPageBreak/>
        <w:t xml:space="preserve">their effective implementation. Improvements in medication development along with shorter treatment regimens will be limited, as pointed out by Zhao </w:t>
      </w:r>
      <w:r w:rsidRPr="00570E55" w:rsidR="009E46A9">
        <w:rPr>
          <w:i/>
          <w:iCs/>
          <w:lang w:val="en-GB"/>
        </w:rPr>
        <w:t>et al</w:t>
      </w:r>
      <w:r w:rsidRPr="00701D79" w:rsidR="009E46A9">
        <w:rPr>
          <w:lang w:val="en-GB"/>
        </w:rPr>
        <w:t>. (2025), if healthcare systems fail to ensure treatment completion along with accessibility and therefore, TB control necessitates new medical innovation, well-coordinated service delivery alongside continuous public health funding.</w:t>
      </w:r>
    </w:p>
    <w:p w:rsidRPr="00701D79" w:rsidR="009E46A9" w:rsidP="009E46A9" w:rsidRDefault="009E46A9" w14:paraId="4ACD8359" w14:textId="6B0BDA71">
      <w:pPr>
        <w:pStyle w:val="Heading2"/>
        <w:rPr>
          <w:lang w:val="en-GB"/>
        </w:rPr>
      </w:pPr>
      <w:bookmarkStart w:name="_Toc227565644" w:id="6"/>
      <w:r w:rsidRPr="00701D79">
        <w:rPr>
          <w:lang w:val="en-GB"/>
        </w:rPr>
        <w:t>Key determinants and risk factors</w:t>
      </w:r>
      <w:bookmarkEnd w:id="6"/>
    </w:p>
    <w:p w:rsidR="000D3C59" w:rsidP="00042A4F" w:rsidRDefault="00042A4F" w14:paraId="431FCCE8" w14:textId="77777777">
      <w:pPr>
        <w:rPr>
          <w:lang w:val="en-GB"/>
        </w:rPr>
      </w:pPr>
      <w:r w:rsidRPr="00701D79">
        <w:rPr>
          <w:lang w:val="en-GB"/>
        </w:rPr>
        <w:t xml:space="preserve">It is not possible to attribute TB outcomes solely to exposure because of the complex interplay between biological </w:t>
      </w:r>
      <w:r w:rsidRPr="00701D79" w:rsidR="005F0F0E">
        <w:rPr>
          <w:lang w:val="en-GB"/>
        </w:rPr>
        <w:t>as well as</w:t>
      </w:r>
      <w:r w:rsidRPr="00701D79">
        <w:rPr>
          <w:lang w:val="en-GB"/>
        </w:rPr>
        <w:t xml:space="preserve"> social factors which influence TB risk</w:t>
      </w:r>
      <w:r w:rsidRPr="00701D79" w:rsidR="005F0F0E">
        <w:rPr>
          <w:lang w:val="en-GB"/>
        </w:rPr>
        <w:t xml:space="preserve"> and w</w:t>
      </w:r>
      <w:r w:rsidRPr="00701D79">
        <w:rPr>
          <w:lang w:val="en-GB"/>
        </w:rPr>
        <w:t>hile the World Health Organization (2022) highlights that people</w:t>
      </w:r>
      <w:r w:rsidR="00570E55">
        <w:rPr>
          <w:lang w:val="en-GB"/>
        </w:rPr>
        <w:t>’</w:t>
      </w:r>
      <w:r w:rsidRPr="00701D79">
        <w:rPr>
          <w:lang w:val="en-GB"/>
        </w:rPr>
        <w:t xml:space="preserve">s susceptibility to disease is determined by their living conditions, the World Health Organization (2024) suggests that environmental, social, and economic variables </w:t>
      </w:r>
      <w:r w:rsidRPr="00701D79" w:rsidR="005F0F0E">
        <w:rPr>
          <w:lang w:val="en-GB"/>
        </w:rPr>
        <w:t>influence</w:t>
      </w:r>
      <w:r w:rsidRPr="00701D79">
        <w:rPr>
          <w:lang w:val="en-GB"/>
        </w:rPr>
        <w:t xml:space="preserve"> health</w:t>
      </w:r>
      <w:r w:rsidRPr="00701D79" w:rsidR="005F0F0E">
        <w:rPr>
          <w:lang w:val="en-GB"/>
        </w:rPr>
        <w:t xml:space="preserve"> outcomes</w:t>
      </w:r>
      <w:r w:rsidRPr="00701D79">
        <w:rPr>
          <w:lang w:val="en-GB"/>
        </w:rPr>
        <w:t xml:space="preserve">. This is supported by the work of Patwardhan, </w:t>
      </w:r>
      <w:proofErr w:type="spellStart"/>
      <w:r w:rsidRPr="00701D79">
        <w:rPr>
          <w:lang w:val="en-GB"/>
        </w:rPr>
        <w:t>Mutalik</w:t>
      </w:r>
      <w:proofErr w:type="spellEnd"/>
      <w:r w:rsidRPr="00701D79">
        <w:rPr>
          <w:lang w:val="en-GB"/>
        </w:rPr>
        <w:t xml:space="preserve">, and </w:t>
      </w:r>
      <w:proofErr w:type="spellStart"/>
      <w:r w:rsidRPr="00701D79">
        <w:rPr>
          <w:lang w:val="en-GB"/>
        </w:rPr>
        <w:t>Tillu</w:t>
      </w:r>
      <w:proofErr w:type="spellEnd"/>
      <w:r w:rsidRPr="00701D79">
        <w:rPr>
          <w:lang w:val="en-GB"/>
        </w:rPr>
        <w:t xml:space="preserve"> (2015), who indicate that health is the result of a complex interplay between internal and external factors</w:t>
      </w:r>
      <w:r w:rsidRPr="00701D79" w:rsidR="005F0F0E">
        <w:rPr>
          <w:lang w:val="en-GB"/>
        </w:rPr>
        <w:t xml:space="preserve"> and t</w:t>
      </w:r>
      <w:r w:rsidRPr="00701D79">
        <w:rPr>
          <w:lang w:val="en-GB"/>
        </w:rPr>
        <w:t>his is especially true in the case of TB, where the development of the disease is influenced by both immune and environmental factors.</w:t>
      </w:r>
      <w:r w:rsidRPr="00701D79" w:rsidR="00A61461">
        <w:rPr>
          <w:lang w:val="en-GB"/>
        </w:rPr>
        <w:t xml:space="preserve"> </w:t>
      </w:r>
    </w:p>
    <w:p w:rsidRPr="00701D79" w:rsidR="00042A4F" w:rsidP="00042A4F" w:rsidRDefault="0093326C" w14:paraId="723644AA" w14:textId="567AE13D">
      <w:pPr>
        <w:rPr>
          <w:lang w:val="en-GB"/>
        </w:rPr>
      </w:pPr>
      <w:r w:rsidRPr="00701D79">
        <w:rPr>
          <w:lang w:val="en-GB"/>
        </w:rPr>
        <w:t>Figure 2 below demonstrate that housing, unemployment, and healthcare accessibility are layered determinants of tuberculosis risk which in turn affects exposure, diagnosis along with treatment rates and thus, TB is believed to be both a biological condition as well as an indicator of systemic inequity</w:t>
      </w:r>
      <w:r w:rsidRPr="00701D79" w:rsidR="00A61461">
        <w:rPr>
          <w:lang w:val="en-GB"/>
        </w:rPr>
        <w:t xml:space="preserve"> (World Health Organization, 2022; Abdi </w:t>
      </w:r>
      <w:r w:rsidRPr="00570E55" w:rsidR="00A61461">
        <w:rPr>
          <w:i/>
          <w:iCs/>
          <w:lang w:val="en-GB"/>
        </w:rPr>
        <w:t>et al</w:t>
      </w:r>
      <w:r w:rsidRPr="00701D79" w:rsidR="00A61461">
        <w:rPr>
          <w:lang w:val="en-GB"/>
        </w:rPr>
        <w:t>., 2025).</w:t>
      </w:r>
    </w:p>
    <w:p w:rsidRPr="00701D79" w:rsidR="00A61461" w:rsidP="00A61461" w:rsidRDefault="00A61461" w14:paraId="129252BD" w14:textId="77777777">
      <w:pPr>
        <w:keepNext/>
        <w:jc w:val="center"/>
        <w:rPr>
          <w:lang w:val="en-GB"/>
        </w:rPr>
      </w:pPr>
      <w:r w:rsidRPr="00701D79">
        <w:rPr>
          <w:noProof/>
          <w:lang w:val="en-GB"/>
        </w:rPr>
        <w:drawing>
          <wp:inline distT="0" distB="0" distL="0" distR="0" wp14:anchorId="28830382" wp14:editId="19E3563E">
            <wp:extent cx="4886527" cy="2636520"/>
            <wp:effectExtent l="0" t="0" r="9525" b="0"/>
            <wp:docPr id="1499639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39218" name="Picture 149963921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05177" cy="2754492"/>
                    </a:xfrm>
                    <a:prstGeom prst="rect">
                      <a:avLst/>
                    </a:prstGeom>
                    <a:ln>
                      <a:noFill/>
                    </a:ln>
                  </pic:spPr>
                </pic:pic>
              </a:graphicData>
            </a:graphic>
          </wp:inline>
        </w:drawing>
      </w:r>
    </w:p>
    <w:p w:rsidR="009A6B88" w:rsidP="00A61461" w:rsidRDefault="00A61461" w14:paraId="79A4322E" w14:textId="77777777">
      <w:pPr>
        <w:jc w:val="center"/>
        <w:rPr>
          <w:lang w:val="en-GB"/>
        </w:rPr>
      </w:pPr>
      <w:bookmarkStart w:name="_Toc227565626" w:id="7"/>
      <w:r w:rsidRPr="00701D79">
        <w:rPr>
          <w:b/>
          <w:bCs/>
          <w:lang w:val="en-GB"/>
        </w:rPr>
        <w:t xml:space="preserve">Figure </w:t>
      </w:r>
      <w:r w:rsidRPr="00701D79">
        <w:rPr>
          <w:b/>
          <w:bCs/>
          <w:lang w:val="en-GB"/>
        </w:rPr>
        <w:fldChar w:fldCharType="begin"/>
      </w:r>
      <w:r w:rsidRPr="00701D79">
        <w:rPr>
          <w:b/>
          <w:bCs/>
          <w:lang w:val="en-GB"/>
        </w:rPr>
        <w:instrText xml:space="preserve"> SEQ Figure \* ARABIC </w:instrText>
      </w:r>
      <w:r w:rsidRPr="00701D79">
        <w:rPr>
          <w:b/>
          <w:bCs/>
          <w:lang w:val="en-GB"/>
        </w:rPr>
        <w:fldChar w:fldCharType="separate"/>
      </w:r>
      <w:r w:rsidRPr="00701D79">
        <w:rPr>
          <w:b/>
          <w:bCs/>
          <w:lang w:val="en-GB"/>
        </w:rPr>
        <w:t>2</w:t>
      </w:r>
      <w:r w:rsidRPr="00701D79">
        <w:rPr>
          <w:b/>
          <w:bCs/>
          <w:lang w:val="en-GB"/>
        </w:rPr>
        <w:fldChar w:fldCharType="end"/>
      </w:r>
      <w:r w:rsidRPr="00701D79">
        <w:rPr>
          <w:b/>
          <w:bCs/>
          <w:lang w:val="en-GB"/>
        </w:rPr>
        <w:t>:</w:t>
      </w:r>
      <w:r w:rsidRPr="00701D79">
        <w:rPr>
          <w:lang w:val="en-GB"/>
        </w:rPr>
        <w:t xml:space="preserve"> Social determinants of health model illustrating individual, social and structural influences on health outcomes</w:t>
      </w:r>
      <w:bookmarkEnd w:id="7"/>
      <w:r w:rsidRPr="00701D79">
        <w:rPr>
          <w:lang w:val="en-GB"/>
        </w:rPr>
        <w:t xml:space="preserve"> </w:t>
      </w:r>
    </w:p>
    <w:p w:rsidRPr="00701D79" w:rsidR="00A61461" w:rsidP="00A61461" w:rsidRDefault="008A7DBD" w14:paraId="3BE8DED6" w14:textId="04EAFFA6">
      <w:pPr>
        <w:jc w:val="center"/>
        <w:rPr>
          <w:lang w:val="en-GB"/>
        </w:rPr>
      </w:pPr>
      <w:r w:rsidRPr="00701D79">
        <w:rPr>
          <w:lang w:val="en-GB"/>
        </w:rPr>
        <w:t>(</w:t>
      </w:r>
      <w:r w:rsidR="009A6B88">
        <w:rPr>
          <w:lang w:val="en-GB"/>
        </w:rPr>
        <w:t xml:space="preserve">Source: </w:t>
      </w:r>
      <w:r w:rsidRPr="00701D79">
        <w:rPr>
          <w:lang w:val="en-GB"/>
        </w:rPr>
        <w:t>Emerson and Hatton, 2013)</w:t>
      </w:r>
    </w:p>
    <w:p w:rsidRPr="00701D79" w:rsidR="009E46A9" w:rsidP="00042A4F" w:rsidRDefault="00042A4F" w14:paraId="5460BE05" w14:textId="2E30FE73">
      <w:pPr>
        <w:rPr>
          <w:lang w:val="en-GB"/>
        </w:rPr>
      </w:pPr>
      <w:r w:rsidRPr="00701D79">
        <w:rPr>
          <w:lang w:val="en-GB"/>
        </w:rPr>
        <w:lastRenderedPageBreak/>
        <w:t>Some modifiable risk factors which might decrease the immune response and increase the likelihood of disease progression include smoking, alcohol misuse, undernutrition, and delayed healthcare access (World Health Organization, 2025)</w:t>
      </w:r>
      <w:r w:rsidRPr="00701D79" w:rsidR="005F0F0E">
        <w:rPr>
          <w:lang w:val="en-GB"/>
        </w:rPr>
        <w:t xml:space="preserve"> and a</w:t>
      </w:r>
      <w:r w:rsidRPr="00701D79">
        <w:rPr>
          <w:lang w:val="en-GB"/>
        </w:rPr>
        <w:t>ccording to the World Health Organization, people who have tuberculosis have a 5-10% chance of acquiring active disease over their lives. However, this risk increases significantly when other health conditions, including diabetes or HIV, are existent</w:t>
      </w:r>
      <w:r w:rsidRPr="00701D79" w:rsidR="005F0F0E">
        <w:rPr>
          <w:lang w:val="en-GB"/>
        </w:rPr>
        <w:t xml:space="preserve"> and hence, i</w:t>
      </w:r>
      <w:r w:rsidRPr="00701D79">
        <w:rPr>
          <w:lang w:val="en-GB"/>
        </w:rPr>
        <w:t>nstead of concentrating just on infection management, preventative programs should aim to address both behaviours along with underlying vulnerability.</w:t>
      </w:r>
    </w:p>
    <w:p w:rsidRPr="00701D79" w:rsidR="005F0F0E" w:rsidP="005F0F0E" w:rsidRDefault="005F0F0E" w14:paraId="0CD021BE" w14:textId="6466FD0A">
      <w:pPr>
        <w:rPr>
          <w:lang w:val="en-GB"/>
        </w:rPr>
      </w:pPr>
      <w:r w:rsidRPr="00701D79">
        <w:rPr>
          <w:lang w:val="en-GB"/>
        </w:rPr>
        <w:t xml:space="preserve">Factors such as age, immune status, migration from countries with a high prevalence, overcrowding in housing, and deprivation are structural and cannot be modified while data from the UK Health Security Agency (2026) demonstrates that TB is more common in disadvantaged urban regions and among migrant communities in England. On the other hand, Abdi </w:t>
      </w:r>
      <w:r w:rsidRPr="00570E55">
        <w:rPr>
          <w:i/>
          <w:iCs/>
          <w:lang w:val="en-GB"/>
        </w:rPr>
        <w:t>et al</w:t>
      </w:r>
      <w:r w:rsidRPr="00701D79">
        <w:rPr>
          <w:lang w:val="en-GB"/>
        </w:rPr>
        <w:t xml:space="preserve">. (2025) argues that health inequities result from uneven distribution of resources or opportunity and </w:t>
      </w:r>
      <w:r w:rsidRPr="00701D79" w:rsidR="00B93001">
        <w:rPr>
          <w:lang w:val="en-GB"/>
        </w:rPr>
        <w:t>since TB disproportionately affects populations dealing with overcrowding, poverty, and limited access to healthcare, it can be regarded as both a health condition as well as a manifestation of social inequality.</w:t>
      </w:r>
    </w:p>
    <w:p w:rsidRPr="00701D79" w:rsidR="00B263D7" w:rsidP="005F0F0E" w:rsidRDefault="005F0F0E" w14:paraId="207F5766" w14:textId="77777777">
      <w:pPr>
        <w:rPr>
          <w:lang w:val="en-GB"/>
        </w:rPr>
      </w:pPr>
      <w:r w:rsidRPr="00701D79">
        <w:rPr>
          <w:lang w:val="en-GB"/>
        </w:rPr>
        <w:t>Reducing poverty, improving living conditions, and promoting health equity are three of the United Nations Sustainable Development Goals which are relevant to tuberculosis risk (United Nations, 2022) and this, in combination with the social determinants model proposed by the World Health Organization in 2022, emphasises the need for upstream interventions to tackle root causes of susceptibility to effectively reduce TB, as opposed to depending just on downstream medical therapy.</w:t>
      </w:r>
    </w:p>
    <w:p w:rsidRPr="00701D79" w:rsidR="00B263D7" w:rsidP="00B263D7" w:rsidRDefault="00B263D7" w14:paraId="093FB5E7" w14:textId="77777777">
      <w:pPr>
        <w:pStyle w:val="Heading2"/>
        <w:rPr>
          <w:lang w:val="en-GB"/>
        </w:rPr>
      </w:pPr>
      <w:bookmarkStart w:name="_Toc227565645" w:id="8"/>
      <w:r w:rsidRPr="00701D79">
        <w:rPr>
          <w:lang w:val="en-GB"/>
        </w:rPr>
        <w:t>Consequences and support needs</w:t>
      </w:r>
      <w:bookmarkEnd w:id="8"/>
    </w:p>
    <w:p w:rsidRPr="00701D79" w:rsidR="00B263D7" w:rsidP="00B263D7" w:rsidRDefault="00B263D7" w14:paraId="1EDB8DE7" w14:textId="3E9EDBD0">
      <w:pPr>
        <w:rPr>
          <w:lang w:val="en-GB"/>
        </w:rPr>
      </w:pPr>
      <w:r w:rsidRPr="00701D79">
        <w:rPr>
          <w:lang w:val="en-GB"/>
        </w:rPr>
        <w:t>Physical health, mental health, and social functioning are all impacted by tuberculosis, which in turn has a lasting impact on communities, health systems including individuals whereas postponed diagnosis increases the risk of transmission in communities including households</w:t>
      </w:r>
      <w:r w:rsidR="00425DD1">
        <w:rPr>
          <w:lang w:val="en-GB"/>
        </w:rPr>
        <w:t xml:space="preserve"> </w:t>
      </w:r>
      <w:r w:rsidRPr="00701D79">
        <w:rPr>
          <w:lang w:val="en-GB"/>
        </w:rPr>
        <w:t>(</w:t>
      </w:r>
      <w:proofErr w:type="spellStart"/>
      <w:r w:rsidRPr="00BA7B40" w:rsidR="00BA7B40">
        <w:t>Anindhita</w:t>
      </w:r>
      <w:proofErr w:type="spellEnd"/>
      <w:r w:rsidRPr="00BA7B40" w:rsidR="00BA7B40">
        <w:t xml:space="preserve"> </w:t>
      </w:r>
      <w:r w:rsidRPr="00BA7B40" w:rsidR="00BA7B40">
        <w:rPr>
          <w:i/>
          <w:iCs/>
        </w:rPr>
        <w:t>et al</w:t>
      </w:r>
      <w:r w:rsidRPr="00BA7B40" w:rsidR="00BA7B40">
        <w:t>., 2024</w:t>
      </w:r>
      <w:r w:rsidR="00BA7B40">
        <w:t xml:space="preserve">; </w:t>
      </w:r>
      <w:r w:rsidRPr="00701D79">
        <w:rPr>
          <w:lang w:val="en-GB"/>
        </w:rPr>
        <w:t xml:space="preserve">World Health Organization, 2025). Thus, </w:t>
      </w:r>
      <w:r w:rsidRPr="00701D79" w:rsidR="008B2B4F">
        <w:rPr>
          <w:lang w:val="en-GB"/>
        </w:rPr>
        <w:t>household transmission increases owing to delayed diagnosis while treatment also requires contact tracing, monitoring and social support, thereby rendering TB a clinical and public health issue.</w:t>
      </w:r>
    </w:p>
    <w:p w:rsidRPr="00701D79" w:rsidR="00B263D7" w:rsidP="00B263D7" w:rsidRDefault="00B263D7" w14:paraId="686D8D1C" w14:textId="06356070">
      <w:pPr>
        <w:rPr>
          <w:lang w:val="en-GB"/>
        </w:rPr>
      </w:pPr>
      <w:r w:rsidRPr="00701D79">
        <w:rPr>
          <w:lang w:val="en-GB"/>
        </w:rPr>
        <w:t>The necessity for long-term treatment, monitoring, contact tracing along with follow-up adds systemic strain on healthcare facilities caused by TB while the increased demand on local health services is a direct result of the higher rates in disadvantaged regions, which necessitate specific public health initiatives (</w:t>
      </w:r>
      <w:proofErr w:type="spellStart"/>
      <w:r w:rsidRPr="002C590A" w:rsidR="002C590A">
        <w:rPr>
          <w:lang w:val="en-GB"/>
        </w:rPr>
        <w:t>Dretzke</w:t>
      </w:r>
      <w:proofErr w:type="spellEnd"/>
      <w:r w:rsidRPr="002C590A" w:rsidR="002C590A">
        <w:rPr>
          <w:lang w:val="en-GB"/>
        </w:rPr>
        <w:t xml:space="preserve"> </w:t>
      </w:r>
      <w:r w:rsidRPr="002C590A" w:rsidR="002C590A">
        <w:rPr>
          <w:i/>
          <w:iCs/>
          <w:lang w:val="en-GB"/>
        </w:rPr>
        <w:t>et al</w:t>
      </w:r>
      <w:r w:rsidRPr="002C590A" w:rsidR="002C590A">
        <w:rPr>
          <w:lang w:val="en-GB"/>
        </w:rPr>
        <w:t xml:space="preserve">., 2024; </w:t>
      </w:r>
      <w:proofErr w:type="spellStart"/>
      <w:r w:rsidRPr="002C590A" w:rsidR="002C590A">
        <w:rPr>
          <w:lang w:val="en-GB"/>
        </w:rPr>
        <w:t>Zary</w:t>
      </w:r>
      <w:proofErr w:type="spellEnd"/>
      <w:r w:rsidRPr="002C590A" w:rsidR="002C590A">
        <w:rPr>
          <w:lang w:val="en-GB"/>
        </w:rPr>
        <w:t xml:space="preserve"> </w:t>
      </w:r>
      <w:r w:rsidRPr="002C590A" w:rsidR="002C590A">
        <w:rPr>
          <w:i/>
          <w:iCs/>
          <w:lang w:val="en-GB"/>
        </w:rPr>
        <w:t>et al</w:t>
      </w:r>
      <w:r w:rsidRPr="002C590A" w:rsidR="002C590A">
        <w:rPr>
          <w:lang w:val="en-GB"/>
        </w:rPr>
        <w:t>., 2024</w:t>
      </w:r>
      <w:r w:rsidR="002C590A">
        <w:rPr>
          <w:lang w:val="en-GB"/>
        </w:rPr>
        <w:t xml:space="preserve">; </w:t>
      </w:r>
      <w:r w:rsidRPr="00701D79">
        <w:rPr>
          <w:lang w:val="en-GB"/>
        </w:rPr>
        <w:t xml:space="preserve">UK Health Security Agency, 2026). </w:t>
      </w:r>
      <w:r w:rsidRPr="00701D79" w:rsidR="00F64A4B">
        <w:rPr>
          <w:lang w:val="en-GB"/>
        </w:rPr>
        <w:t>Nonetheless</w:t>
      </w:r>
      <w:r w:rsidRPr="00701D79" w:rsidR="00242859">
        <w:rPr>
          <w:lang w:val="en-GB"/>
        </w:rPr>
        <w:t xml:space="preserve">, fragmented service delivery </w:t>
      </w:r>
      <w:r w:rsidR="00204D40">
        <w:rPr>
          <w:lang w:val="en-GB"/>
        </w:rPr>
        <w:t xml:space="preserve">has the ability to reduce </w:t>
      </w:r>
      <w:r w:rsidR="00204D40">
        <w:rPr>
          <w:lang w:val="en-GB"/>
        </w:rPr>
        <w:lastRenderedPageBreak/>
        <w:t>the efficacy</w:t>
      </w:r>
      <w:r w:rsidRPr="00701D79" w:rsidR="00242859">
        <w:rPr>
          <w:lang w:val="en-GB"/>
        </w:rPr>
        <w:t xml:space="preserve"> </w:t>
      </w:r>
      <w:r w:rsidR="00204D40">
        <w:rPr>
          <w:lang w:val="en-GB"/>
        </w:rPr>
        <w:t>if</w:t>
      </w:r>
      <w:r w:rsidRPr="00701D79" w:rsidR="00242859">
        <w:rPr>
          <w:lang w:val="en-GB"/>
        </w:rPr>
        <w:t xml:space="preserve"> clinical care is not incorporated with social support</w:t>
      </w:r>
      <w:r w:rsidR="00204D40">
        <w:rPr>
          <w:lang w:val="en-GB"/>
        </w:rPr>
        <w:t xml:space="preserve"> and it illustrates the prevailing </w:t>
      </w:r>
      <w:r w:rsidRPr="00701D79" w:rsidR="00242859">
        <w:rPr>
          <w:lang w:val="en-GB"/>
        </w:rPr>
        <w:t xml:space="preserve">limitation in TB management </w:t>
      </w:r>
      <w:r w:rsidR="00204D40">
        <w:rPr>
          <w:lang w:val="en-GB"/>
        </w:rPr>
        <w:t>approaches</w:t>
      </w:r>
      <w:r w:rsidR="00BA7B40">
        <w:rPr>
          <w:lang w:val="en-GB"/>
        </w:rPr>
        <w:t xml:space="preserve"> (</w:t>
      </w:r>
      <w:proofErr w:type="spellStart"/>
      <w:r w:rsidRPr="00BA7B40" w:rsidR="00BA7B40">
        <w:t>Dretzke</w:t>
      </w:r>
      <w:proofErr w:type="spellEnd"/>
      <w:r w:rsidRPr="00BA7B40" w:rsidR="00BA7B40">
        <w:t xml:space="preserve"> </w:t>
      </w:r>
      <w:r w:rsidRPr="00BA7B40" w:rsidR="00BA7B40">
        <w:rPr>
          <w:i/>
          <w:iCs/>
        </w:rPr>
        <w:t>et al.</w:t>
      </w:r>
      <w:r w:rsidRPr="00BA7B40" w:rsidR="00BA7B40">
        <w:t>, 2024</w:t>
      </w:r>
      <w:r w:rsidR="00BA7B40">
        <w:t>)</w:t>
      </w:r>
      <w:r w:rsidRPr="00701D79" w:rsidR="00242859">
        <w:rPr>
          <w:lang w:val="en-GB"/>
        </w:rPr>
        <w:t>.</w:t>
      </w:r>
    </w:p>
    <w:p w:rsidRPr="00701D79" w:rsidR="009B4EED" w:rsidP="00B263D7" w:rsidRDefault="000C2DC9" w14:paraId="399D97D7" w14:textId="439A709A">
      <w:pPr>
        <w:rPr>
          <w:lang w:val="en-GB"/>
        </w:rPr>
      </w:pPr>
      <w:r>
        <w:rPr>
          <w:lang w:val="en-GB"/>
        </w:rPr>
        <w:t>Thus</w:t>
      </w:r>
      <w:r w:rsidR="00F1786F">
        <w:rPr>
          <w:lang w:val="en-GB"/>
        </w:rPr>
        <w:t>, a</w:t>
      </w:r>
      <w:r w:rsidRPr="00F1786F" w:rsidR="00F1786F">
        <w:rPr>
          <w:lang w:val="en-GB"/>
        </w:rPr>
        <w:t>ppropriate assistance necessitates a coordinated effort which integrates public health follow-up, adherence support, specialised treatment</w:t>
      </w:r>
      <w:r w:rsidR="00F1786F">
        <w:rPr>
          <w:lang w:val="en-GB"/>
        </w:rPr>
        <w:t xml:space="preserve"> alongside </w:t>
      </w:r>
      <w:r w:rsidRPr="00F1786F" w:rsidR="00F1786F">
        <w:rPr>
          <w:lang w:val="en-GB"/>
        </w:rPr>
        <w:t>early diagnosis</w:t>
      </w:r>
      <w:r w:rsidR="003321C3">
        <w:rPr>
          <w:lang w:val="en-GB"/>
        </w:rPr>
        <w:t xml:space="preserve"> </w:t>
      </w:r>
      <w:r w:rsidRPr="003321C3" w:rsidR="003321C3">
        <w:rPr>
          <w:lang w:val="en-GB"/>
        </w:rPr>
        <w:t>(</w:t>
      </w:r>
      <w:proofErr w:type="spellStart"/>
      <w:r w:rsidRPr="003321C3" w:rsidR="003321C3">
        <w:rPr>
          <w:lang w:val="en-GB"/>
        </w:rPr>
        <w:t>Dretzke</w:t>
      </w:r>
      <w:proofErr w:type="spellEnd"/>
      <w:r w:rsidRPr="003321C3" w:rsidR="003321C3">
        <w:rPr>
          <w:lang w:val="en-GB"/>
        </w:rPr>
        <w:t xml:space="preserve"> </w:t>
      </w:r>
      <w:r w:rsidRPr="003321C3" w:rsidR="003321C3">
        <w:rPr>
          <w:i/>
          <w:iCs/>
          <w:lang w:val="en-GB"/>
        </w:rPr>
        <w:t>et al</w:t>
      </w:r>
      <w:r w:rsidRPr="003321C3" w:rsidR="003321C3">
        <w:rPr>
          <w:lang w:val="en-GB"/>
        </w:rPr>
        <w:t xml:space="preserve">., 2024; </w:t>
      </w:r>
      <w:proofErr w:type="spellStart"/>
      <w:r w:rsidRPr="003321C3" w:rsidR="003321C3">
        <w:rPr>
          <w:lang w:val="en-GB"/>
        </w:rPr>
        <w:t>Zary</w:t>
      </w:r>
      <w:proofErr w:type="spellEnd"/>
      <w:r w:rsidRPr="003321C3" w:rsidR="003321C3">
        <w:rPr>
          <w:lang w:val="en-GB"/>
        </w:rPr>
        <w:t xml:space="preserve"> </w:t>
      </w:r>
      <w:r w:rsidRPr="003321C3" w:rsidR="003321C3">
        <w:rPr>
          <w:i/>
          <w:iCs/>
          <w:lang w:val="en-GB"/>
        </w:rPr>
        <w:t>et al</w:t>
      </w:r>
      <w:r w:rsidRPr="003321C3" w:rsidR="003321C3">
        <w:rPr>
          <w:lang w:val="en-GB"/>
        </w:rPr>
        <w:t>., 2024)</w:t>
      </w:r>
      <w:r w:rsidR="00F1786F">
        <w:rPr>
          <w:lang w:val="en-GB"/>
        </w:rPr>
        <w:t xml:space="preserve"> and w</w:t>
      </w:r>
      <w:r w:rsidRPr="00F1786F" w:rsidR="00F1786F">
        <w:rPr>
          <w:lang w:val="en-GB"/>
        </w:rPr>
        <w:t xml:space="preserve">hile Shrivas and Singh (2025) emphasise the significance of therapy monitoring, Zhao </w:t>
      </w:r>
      <w:r w:rsidRPr="00570E55" w:rsidR="00F1786F">
        <w:rPr>
          <w:i/>
          <w:iCs/>
          <w:lang w:val="en-GB"/>
        </w:rPr>
        <w:t>et al</w:t>
      </w:r>
      <w:r w:rsidRPr="00F1786F" w:rsidR="00F1786F">
        <w:rPr>
          <w:lang w:val="en-GB"/>
        </w:rPr>
        <w:t xml:space="preserve">. (2025) bring attention to the necessity for optimised treatment approaches. Additionally, it is recommended that accessible services </w:t>
      </w:r>
      <w:r w:rsidR="00F1786F">
        <w:rPr>
          <w:lang w:val="en-GB"/>
        </w:rPr>
        <w:t>along with</w:t>
      </w:r>
      <w:r w:rsidRPr="00F1786F" w:rsidR="00F1786F">
        <w:rPr>
          <w:lang w:val="en-GB"/>
        </w:rPr>
        <w:t xml:space="preserve"> social support </w:t>
      </w:r>
      <w:r w:rsidR="00F1786F">
        <w:rPr>
          <w:lang w:val="en-GB"/>
        </w:rPr>
        <w:t xml:space="preserve">should </w:t>
      </w:r>
      <w:r w:rsidRPr="00F1786F" w:rsidR="00F1786F">
        <w:rPr>
          <w:lang w:val="en-GB"/>
        </w:rPr>
        <w:t xml:space="preserve">be associated with better diagnostic methods to </w:t>
      </w:r>
      <w:r w:rsidR="00F1786F">
        <w:rPr>
          <w:lang w:val="en-GB"/>
        </w:rPr>
        <w:t>augment</w:t>
      </w:r>
      <w:r w:rsidRPr="00F1786F" w:rsidR="00F1786F">
        <w:rPr>
          <w:lang w:val="en-GB"/>
        </w:rPr>
        <w:t xml:space="preserve"> early detection (Ghosh </w:t>
      </w:r>
      <w:r w:rsidRPr="00570E55" w:rsidR="00F1786F">
        <w:rPr>
          <w:i/>
          <w:iCs/>
          <w:lang w:val="en-GB"/>
        </w:rPr>
        <w:t>et al</w:t>
      </w:r>
      <w:r w:rsidRPr="00F1786F" w:rsidR="00F1786F">
        <w:rPr>
          <w:lang w:val="en-GB"/>
        </w:rPr>
        <w:t xml:space="preserve">., 2025; Yang </w:t>
      </w:r>
      <w:r w:rsidRPr="00570E55" w:rsidR="00F1786F">
        <w:rPr>
          <w:i/>
          <w:iCs/>
          <w:lang w:val="en-GB"/>
        </w:rPr>
        <w:t>et al</w:t>
      </w:r>
      <w:r w:rsidRPr="00F1786F" w:rsidR="00F1786F">
        <w:rPr>
          <w:lang w:val="en-GB"/>
        </w:rPr>
        <w:t>., 2025)</w:t>
      </w:r>
      <w:r w:rsidR="00F1786F">
        <w:rPr>
          <w:lang w:val="en-GB"/>
        </w:rPr>
        <w:t xml:space="preserve"> as it</w:t>
      </w:r>
      <w:r w:rsidRPr="00F1786F" w:rsidR="00F1786F">
        <w:rPr>
          <w:lang w:val="en-GB"/>
        </w:rPr>
        <w:t xml:space="preserve"> will elevate the likelihood that patients will complete their treatment</w:t>
      </w:r>
      <w:r w:rsidR="00F1786F">
        <w:rPr>
          <w:lang w:val="en-GB"/>
        </w:rPr>
        <w:t xml:space="preserve"> and i</w:t>
      </w:r>
      <w:r w:rsidRPr="00F1786F" w:rsidR="00F1786F">
        <w:rPr>
          <w:lang w:val="en-GB"/>
        </w:rPr>
        <w:t>n particular</w:t>
      </w:r>
      <w:r w:rsidR="00F1786F">
        <w:rPr>
          <w:lang w:val="en-GB"/>
        </w:rPr>
        <w:t>,</w:t>
      </w:r>
      <w:r w:rsidRPr="00F1786F" w:rsidR="00F1786F">
        <w:rPr>
          <w:lang w:val="en-GB"/>
        </w:rPr>
        <w:t xml:space="preserve"> for populations affected by poverty or migration barriers, this suggests that healthcare delivery and social care systems ought to be incorporated for TB management to be effective.</w:t>
      </w:r>
    </w:p>
    <w:p w:rsidRPr="00701D79" w:rsidR="009B4EED" w:rsidP="009B4EED" w:rsidRDefault="009B4EED" w14:paraId="1FECFE69" w14:textId="77777777">
      <w:pPr>
        <w:pStyle w:val="Heading1"/>
        <w:rPr>
          <w:lang w:val="en-GB"/>
        </w:rPr>
      </w:pPr>
      <w:bookmarkStart w:name="_Toc227565646" w:id="9"/>
      <w:r w:rsidRPr="00701D79">
        <w:rPr>
          <w:lang w:val="en-GB"/>
        </w:rPr>
        <w:t>Conclusion</w:t>
      </w:r>
      <w:bookmarkEnd w:id="9"/>
    </w:p>
    <w:p w:rsidRPr="00701D79" w:rsidR="00701D79" w:rsidP="00701D79" w:rsidRDefault="002A0D31" w14:paraId="7832BECE" w14:textId="71C683D1">
      <w:pPr>
        <w:rPr>
          <w:lang w:val="en-GB"/>
        </w:rPr>
      </w:pPr>
      <w:r w:rsidRPr="002A0D31">
        <w:t>As a leading cause of mortality with persistent inequalities in countries such as England</w:t>
      </w:r>
      <w:r w:rsidRPr="00701D79" w:rsidR="00701D79">
        <w:rPr>
          <w:lang w:val="en-GB"/>
        </w:rPr>
        <w:t xml:space="preserve">, </w:t>
      </w:r>
      <w:r w:rsidR="00701D79">
        <w:rPr>
          <w:lang w:val="en-GB"/>
        </w:rPr>
        <w:t>TB</w:t>
      </w:r>
      <w:r w:rsidRPr="00701D79" w:rsidR="00701D79">
        <w:rPr>
          <w:lang w:val="en-GB"/>
        </w:rPr>
        <w:t xml:space="preserve"> </w:t>
      </w:r>
      <w:r w:rsidR="00FD11BA">
        <w:rPr>
          <w:lang w:val="en-GB"/>
        </w:rPr>
        <w:t>remains</w:t>
      </w:r>
      <w:r w:rsidRPr="00701D79" w:rsidR="00701D79">
        <w:rPr>
          <w:lang w:val="en-GB"/>
        </w:rPr>
        <w:t xml:space="preserve"> a major public health</w:t>
      </w:r>
      <w:r w:rsidR="00FD11BA">
        <w:rPr>
          <w:lang w:val="en-GB"/>
        </w:rPr>
        <w:t xml:space="preserve"> issue</w:t>
      </w:r>
      <w:r w:rsidR="00701D79">
        <w:rPr>
          <w:lang w:val="en-GB"/>
        </w:rPr>
        <w:t xml:space="preserve"> and b</w:t>
      </w:r>
      <w:r w:rsidRPr="00701D79" w:rsidR="00701D79">
        <w:rPr>
          <w:lang w:val="en-GB"/>
        </w:rPr>
        <w:t xml:space="preserve">ased on </w:t>
      </w:r>
      <w:r w:rsidR="00701D79">
        <w:rPr>
          <w:lang w:val="en-GB"/>
        </w:rPr>
        <w:t>this analysis</w:t>
      </w:r>
      <w:r w:rsidRPr="00701D79" w:rsidR="00701D79">
        <w:rPr>
          <w:lang w:val="en-GB"/>
        </w:rPr>
        <w:t>, tuberculosis control initiatives should prioritise early diagnosis, effective surveillance, treatment completion along with preventative measures</w:t>
      </w:r>
      <w:r w:rsidR="00701D79">
        <w:rPr>
          <w:lang w:val="en-GB"/>
        </w:rPr>
        <w:t xml:space="preserve"> </w:t>
      </w:r>
      <w:r w:rsidRPr="00701D79" w:rsidR="00701D79">
        <w:rPr>
          <w:lang w:val="en-GB"/>
        </w:rPr>
        <w:t xml:space="preserve">while simultaneously </w:t>
      </w:r>
      <w:r w:rsidR="00701D79">
        <w:rPr>
          <w:lang w:val="en-GB"/>
        </w:rPr>
        <w:t>considering</w:t>
      </w:r>
      <w:r w:rsidRPr="00701D79" w:rsidR="00701D79">
        <w:rPr>
          <w:lang w:val="en-GB"/>
        </w:rPr>
        <w:t xml:space="preserve"> the importance of social factors. </w:t>
      </w:r>
      <w:r w:rsidR="00701D79">
        <w:rPr>
          <w:lang w:val="en-GB"/>
        </w:rPr>
        <w:t>Furthermore, t</w:t>
      </w:r>
      <w:r w:rsidRPr="00701D79" w:rsidR="00701D79">
        <w:rPr>
          <w:lang w:val="en-GB"/>
        </w:rPr>
        <w:t xml:space="preserve">he World Health Organization (2025) and the UK Health Security Agency (2026) both recognise that improving diagnostic and treatment strategies is just one aspect of the </w:t>
      </w:r>
      <w:r w:rsidR="00701D79">
        <w:rPr>
          <w:lang w:val="en-GB"/>
        </w:rPr>
        <w:t>solution as e</w:t>
      </w:r>
      <w:r w:rsidRPr="00701D79" w:rsidR="00701D79">
        <w:rPr>
          <w:lang w:val="en-GB"/>
        </w:rPr>
        <w:t>qual access to healthcare and coordinated delivery of care are also essential.</w:t>
      </w:r>
    </w:p>
    <w:p w:rsidRPr="00570E55" w:rsidR="00DF6C2A" w:rsidP="00701D79" w:rsidRDefault="00701D79" w14:paraId="144DEA47" w14:textId="38BC6DBB">
      <w:pPr>
        <w:rPr>
          <w:i/>
          <w:iCs/>
          <w:lang w:val="en-GB"/>
        </w:rPr>
      </w:pPr>
      <w:r w:rsidRPr="00701D79">
        <w:rPr>
          <w:lang w:val="en-GB"/>
        </w:rPr>
        <w:t>H</w:t>
      </w:r>
      <w:r>
        <w:rPr>
          <w:lang w:val="en-GB"/>
        </w:rPr>
        <w:t>ence, t</w:t>
      </w:r>
      <w:r w:rsidRPr="00701D79">
        <w:rPr>
          <w:lang w:val="en-GB"/>
        </w:rPr>
        <w:t xml:space="preserve">he most effective way to ensure that interventions reach the populations most at risk is to incorporate clinical care with public health efforts </w:t>
      </w:r>
      <w:r>
        <w:rPr>
          <w:lang w:val="en-GB"/>
        </w:rPr>
        <w:t xml:space="preserve">as well as </w:t>
      </w:r>
      <w:r w:rsidRPr="00701D79">
        <w:rPr>
          <w:lang w:val="en-GB"/>
        </w:rPr>
        <w:t>social support</w:t>
      </w:r>
      <w:r>
        <w:rPr>
          <w:lang w:val="en-GB"/>
        </w:rPr>
        <w:t xml:space="preserve"> and a</w:t>
      </w:r>
      <w:r w:rsidRPr="00701D79">
        <w:rPr>
          <w:lang w:val="en-GB"/>
        </w:rPr>
        <w:t xml:space="preserve">ddressing </w:t>
      </w:r>
      <w:r>
        <w:rPr>
          <w:lang w:val="en-GB"/>
        </w:rPr>
        <w:t xml:space="preserve">these </w:t>
      </w:r>
      <w:r w:rsidRPr="00701D79">
        <w:rPr>
          <w:lang w:val="en-GB"/>
        </w:rPr>
        <w:t xml:space="preserve">underlying inequalities is crucial to improving health outcomes as emphasised by the United Nations Sustainable Development Goals and the World Health Organization's determinants framework. </w:t>
      </w:r>
      <w:r>
        <w:rPr>
          <w:lang w:val="en-GB"/>
        </w:rPr>
        <w:t>Moreover, i</w:t>
      </w:r>
      <w:r w:rsidRPr="00701D79">
        <w:rPr>
          <w:lang w:val="en-GB"/>
        </w:rPr>
        <w:t xml:space="preserve">n their demonstration of the centrality of inequality to global health trends, Abdi </w:t>
      </w:r>
      <w:r w:rsidRPr="00570E55">
        <w:rPr>
          <w:i/>
          <w:iCs/>
          <w:lang w:val="en-GB"/>
        </w:rPr>
        <w:t>et al</w:t>
      </w:r>
      <w:r w:rsidRPr="00701D79">
        <w:rPr>
          <w:lang w:val="en-GB"/>
        </w:rPr>
        <w:t xml:space="preserve">. (2025) reinforce this notion, and TB serves as a prime illustration of how </w:t>
      </w:r>
      <w:r>
        <w:rPr>
          <w:lang w:val="en-GB"/>
        </w:rPr>
        <w:t xml:space="preserve">both </w:t>
      </w:r>
      <w:r w:rsidRPr="00701D79">
        <w:rPr>
          <w:lang w:val="en-GB"/>
        </w:rPr>
        <w:t>medical and social interventions are vital for disease control.</w:t>
      </w:r>
      <w:r w:rsidRPr="00701D79" w:rsidR="00DF6C2A">
        <w:rPr>
          <w:lang w:val="en-GB"/>
        </w:rPr>
        <w:br w:type="page"/>
      </w:r>
    </w:p>
    <w:p w:rsidRPr="00701D79" w:rsidR="00ED6E16" w:rsidP="00CB4338" w:rsidRDefault="00000000" w14:paraId="0B6353C1" w14:textId="20ED26F8">
      <w:pPr>
        <w:pStyle w:val="Heading1"/>
        <w:rPr>
          <w:lang w:val="en-GB"/>
        </w:rPr>
      </w:pPr>
      <w:bookmarkStart w:name="_Toc227565647" w:id="10"/>
      <w:r w:rsidRPr="00701D79">
        <w:rPr>
          <w:lang w:val="en-GB"/>
        </w:rPr>
        <w:lastRenderedPageBreak/>
        <w:t>Reference List:</w:t>
      </w:r>
      <w:bookmarkEnd w:id="1"/>
      <w:bookmarkEnd w:id="10"/>
    </w:p>
    <w:p w:rsidRPr="00701D79" w:rsidR="00715222" w:rsidP="007678E4" w:rsidRDefault="00715222" w14:paraId="3B467B78" w14:textId="77777777">
      <w:pPr>
        <w:rPr>
          <w:lang w:val="en-GB"/>
        </w:rPr>
      </w:pPr>
      <w:r w:rsidRPr="00701D79">
        <w:rPr>
          <w:lang w:val="en-GB"/>
        </w:rPr>
        <w:t xml:space="preserve">Abdi, Y.H., Abdi, M.S., Bashir, S.G., Ahmed, N.I. and Abdullahi, Y.B. (2025) “Understanding Global Health Inequality and inequity: causes, consequences, and the path toward justice in healthcare,” </w:t>
      </w:r>
      <w:r w:rsidRPr="00701D79">
        <w:rPr>
          <w:i/>
          <w:iCs/>
          <w:lang w:val="en-GB"/>
        </w:rPr>
        <w:t>Public Health Challenges</w:t>
      </w:r>
      <w:r w:rsidRPr="00701D79">
        <w:rPr>
          <w:lang w:val="en-GB"/>
        </w:rPr>
        <w:t xml:space="preserve">, 4(4), p. e70156. Available at: </w:t>
      </w:r>
      <w:hyperlink w:history="1" r:id="rId10">
        <w:r w:rsidRPr="00701D79">
          <w:rPr>
            <w:rStyle w:val="Hyperlink"/>
            <w:lang w:val="en-GB"/>
          </w:rPr>
          <w:t>https://doi.org/10.1002/puh2.70156</w:t>
        </w:r>
      </w:hyperlink>
      <w:r w:rsidRPr="00701D79">
        <w:rPr>
          <w:lang w:val="en-GB"/>
        </w:rPr>
        <w:t>.</w:t>
      </w:r>
    </w:p>
    <w:p w:rsidR="00715222" w:rsidP="007678E4" w:rsidRDefault="00715222" w14:paraId="19FB8E2D" w14:textId="77777777">
      <w:pPr>
        <w:rPr>
          <w:lang w:val="en-GB"/>
        </w:rPr>
      </w:pPr>
      <w:r w:rsidRPr="002C590A">
        <w:rPr>
          <w:lang w:val="en-GB"/>
        </w:rPr>
        <w:t xml:space="preserve">Alonzi, T., </w:t>
      </w:r>
      <w:proofErr w:type="spellStart"/>
      <w:r w:rsidRPr="002C590A">
        <w:rPr>
          <w:lang w:val="en-GB"/>
        </w:rPr>
        <w:t>Petruccioli</w:t>
      </w:r>
      <w:proofErr w:type="spellEnd"/>
      <w:r w:rsidRPr="002C590A">
        <w:rPr>
          <w:lang w:val="en-GB"/>
        </w:rPr>
        <w:t xml:space="preserve">, E., Aiello, A., </w:t>
      </w:r>
      <w:proofErr w:type="spellStart"/>
      <w:r w:rsidRPr="002C590A">
        <w:rPr>
          <w:lang w:val="en-GB"/>
        </w:rPr>
        <w:t>Repele</w:t>
      </w:r>
      <w:proofErr w:type="spellEnd"/>
      <w:r w:rsidRPr="002C590A">
        <w:rPr>
          <w:lang w:val="en-GB"/>
        </w:rPr>
        <w:t xml:space="preserve">, F. and </w:t>
      </w:r>
      <w:proofErr w:type="spellStart"/>
      <w:r w:rsidRPr="002C590A">
        <w:rPr>
          <w:lang w:val="en-GB"/>
        </w:rPr>
        <w:t>Goletti</w:t>
      </w:r>
      <w:proofErr w:type="spellEnd"/>
      <w:r w:rsidRPr="002C590A">
        <w:rPr>
          <w:lang w:val="en-GB"/>
        </w:rPr>
        <w:t xml:space="preserve">, D. (2025) “Diagnostic tests for tuberculosis infection and predictive indicators of disease progression: Utilizing host and pathogen biomarkers to enhance the tuberculosis elimination strategies,” </w:t>
      </w:r>
      <w:r w:rsidRPr="002C590A">
        <w:rPr>
          <w:i/>
          <w:iCs/>
          <w:lang w:val="en-GB"/>
        </w:rPr>
        <w:t>International Journal of Infectious Diseases</w:t>
      </w:r>
      <w:r w:rsidRPr="002C590A">
        <w:rPr>
          <w:lang w:val="en-GB"/>
        </w:rPr>
        <w:t xml:space="preserve">, 155, p. 107880. Available at: </w:t>
      </w:r>
      <w:hyperlink w:history="1" r:id="rId11">
        <w:r w:rsidRPr="002C590A">
          <w:rPr>
            <w:rStyle w:val="Hyperlink"/>
            <w:lang w:val="en-GB"/>
          </w:rPr>
          <w:t>https://doi.org/10.1016/j.ijid.2025.107880</w:t>
        </w:r>
      </w:hyperlink>
      <w:r w:rsidRPr="002C590A">
        <w:rPr>
          <w:lang w:val="en-GB"/>
        </w:rPr>
        <w:t>.</w:t>
      </w:r>
    </w:p>
    <w:p w:rsidR="00715222" w:rsidP="007678E4" w:rsidRDefault="00715222" w14:paraId="628A172F" w14:textId="77777777">
      <w:pPr>
        <w:rPr>
          <w:lang w:val="en-GB"/>
        </w:rPr>
      </w:pPr>
      <w:proofErr w:type="spellStart"/>
      <w:r w:rsidRPr="002C590A">
        <w:rPr>
          <w:lang w:val="en-GB"/>
        </w:rPr>
        <w:t>Anindhita</w:t>
      </w:r>
      <w:proofErr w:type="spellEnd"/>
      <w:r w:rsidRPr="002C590A">
        <w:rPr>
          <w:lang w:val="en-GB"/>
        </w:rPr>
        <w:t xml:space="preserve">, M., Haniifah, M., Putri, A.M.N., </w:t>
      </w:r>
      <w:proofErr w:type="spellStart"/>
      <w:r w:rsidRPr="002C590A">
        <w:rPr>
          <w:lang w:val="en-GB"/>
        </w:rPr>
        <w:t>Karnasih</w:t>
      </w:r>
      <w:proofErr w:type="spellEnd"/>
      <w:r w:rsidRPr="002C590A">
        <w:rPr>
          <w:lang w:val="en-GB"/>
        </w:rPr>
        <w:t xml:space="preserve">, A., </w:t>
      </w:r>
      <w:proofErr w:type="spellStart"/>
      <w:r w:rsidRPr="002C590A">
        <w:rPr>
          <w:lang w:val="en-GB"/>
        </w:rPr>
        <w:t>Agiananda</w:t>
      </w:r>
      <w:proofErr w:type="spellEnd"/>
      <w:r w:rsidRPr="002C590A">
        <w:rPr>
          <w:lang w:val="en-GB"/>
        </w:rPr>
        <w:t xml:space="preserve">, F., Yani, F.F., Haya, M.A.N., </w:t>
      </w:r>
      <w:proofErr w:type="spellStart"/>
      <w:r w:rsidRPr="002C590A">
        <w:rPr>
          <w:lang w:val="en-GB"/>
        </w:rPr>
        <w:t>Pakasi</w:t>
      </w:r>
      <w:proofErr w:type="spellEnd"/>
      <w:r w:rsidRPr="002C590A">
        <w:rPr>
          <w:lang w:val="en-GB"/>
        </w:rPr>
        <w:t xml:space="preserve">, T.A., </w:t>
      </w:r>
      <w:proofErr w:type="spellStart"/>
      <w:r w:rsidRPr="002C590A">
        <w:rPr>
          <w:lang w:val="en-GB"/>
        </w:rPr>
        <w:t>Widyahening</w:t>
      </w:r>
      <w:proofErr w:type="spellEnd"/>
      <w:r w:rsidRPr="002C590A">
        <w:rPr>
          <w:lang w:val="en-GB"/>
        </w:rPr>
        <w:t xml:space="preserve">, I.S., </w:t>
      </w:r>
      <w:proofErr w:type="spellStart"/>
      <w:r w:rsidRPr="002C590A">
        <w:rPr>
          <w:lang w:val="en-GB"/>
        </w:rPr>
        <w:t>Fuady</w:t>
      </w:r>
      <w:proofErr w:type="spellEnd"/>
      <w:r w:rsidRPr="002C590A">
        <w:rPr>
          <w:lang w:val="en-GB"/>
        </w:rPr>
        <w:t xml:space="preserve">, A. and Wingfield, T. (2024) “Community-based psychosocial support interventions to reduce stigma and improve mental health of people with infectious diseases: a scoping review,” </w:t>
      </w:r>
      <w:r w:rsidRPr="002C590A">
        <w:rPr>
          <w:i/>
          <w:iCs/>
          <w:lang w:val="en-GB"/>
        </w:rPr>
        <w:t>Infectious Diseases of Poverty</w:t>
      </w:r>
      <w:r w:rsidRPr="002C590A">
        <w:rPr>
          <w:lang w:val="en-GB"/>
        </w:rPr>
        <w:t xml:space="preserve">, 13(1), p. 90. Available at: </w:t>
      </w:r>
      <w:hyperlink w:history="1" r:id="rId12">
        <w:r w:rsidRPr="002C590A">
          <w:rPr>
            <w:rStyle w:val="Hyperlink"/>
            <w:lang w:val="en-GB"/>
          </w:rPr>
          <w:t>https://doi.org/10.1186/s40249-024-01257-6</w:t>
        </w:r>
      </w:hyperlink>
      <w:r w:rsidRPr="002C590A">
        <w:rPr>
          <w:lang w:val="en-GB"/>
        </w:rPr>
        <w:t>.</w:t>
      </w:r>
    </w:p>
    <w:p w:rsidR="00715222" w:rsidP="007678E4" w:rsidRDefault="00715222" w14:paraId="66A840CF" w14:textId="77777777">
      <w:pPr>
        <w:rPr>
          <w:lang w:val="en-GB"/>
        </w:rPr>
      </w:pPr>
      <w:proofErr w:type="spellStart"/>
      <w:r w:rsidRPr="002C590A">
        <w:rPr>
          <w:lang w:val="en-GB"/>
        </w:rPr>
        <w:t>Dretzke</w:t>
      </w:r>
      <w:proofErr w:type="spellEnd"/>
      <w:r w:rsidRPr="002C590A">
        <w:rPr>
          <w:lang w:val="en-GB"/>
        </w:rPr>
        <w:t xml:space="preserve">, J., Hobart, C., Basu, A., </w:t>
      </w:r>
      <w:proofErr w:type="spellStart"/>
      <w:r w:rsidRPr="002C590A">
        <w:rPr>
          <w:lang w:val="en-GB"/>
        </w:rPr>
        <w:t>Ahyow</w:t>
      </w:r>
      <w:proofErr w:type="spellEnd"/>
      <w:r w:rsidRPr="002C590A">
        <w:rPr>
          <w:lang w:val="en-GB"/>
        </w:rPr>
        <w:t xml:space="preserve">, L., </w:t>
      </w:r>
      <w:proofErr w:type="spellStart"/>
      <w:r w:rsidRPr="002C590A">
        <w:rPr>
          <w:lang w:val="en-GB"/>
        </w:rPr>
        <w:t>Nagasivam</w:t>
      </w:r>
      <w:proofErr w:type="spellEnd"/>
      <w:r w:rsidRPr="002C590A">
        <w:rPr>
          <w:lang w:val="en-GB"/>
        </w:rPr>
        <w:t xml:space="preserve">, A., Moore, D.J., Gajraj, R. and Roy, A. (2024) “Interventions to improve latent and active tuberculosis treatment completion rates in underserved groups in low incidence countries: a scoping review,” </w:t>
      </w:r>
      <w:r w:rsidRPr="002C590A">
        <w:rPr>
          <w:i/>
          <w:iCs/>
          <w:lang w:val="en-GB"/>
        </w:rPr>
        <w:t>BMJ Open</w:t>
      </w:r>
      <w:r w:rsidRPr="002C590A">
        <w:rPr>
          <w:lang w:val="en-GB"/>
        </w:rPr>
        <w:t xml:space="preserve">, 14(3), p. e080827. Available at: </w:t>
      </w:r>
      <w:hyperlink w:history="1" r:id="rId13">
        <w:r w:rsidRPr="002C590A">
          <w:rPr>
            <w:rStyle w:val="Hyperlink"/>
            <w:lang w:val="en-GB"/>
          </w:rPr>
          <w:t>https://doi.org/10.1136/bmjopen-2023-080827</w:t>
        </w:r>
      </w:hyperlink>
      <w:r w:rsidRPr="002C590A">
        <w:rPr>
          <w:lang w:val="en-GB"/>
        </w:rPr>
        <w:t>.</w:t>
      </w:r>
    </w:p>
    <w:p w:rsidR="00715222" w:rsidP="007678E4" w:rsidRDefault="00715222" w14:paraId="5FCB4420" w14:textId="77777777">
      <w:pPr>
        <w:rPr>
          <w:lang w:val="en-GB"/>
        </w:rPr>
      </w:pPr>
      <w:r w:rsidRPr="0095184F">
        <w:rPr>
          <w:lang w:val="en-GB"/>
        </w:rPr>
        <w:t xml:space="preserve">Emerson, E. and Hatton, C. (2013) “Applying a health inequalities perspective,” in </w:t>
      </w:r>
      <w:r w:rsidRPr="0095184F">
        <w:rPr>
          <w:i/>
          <w:iCs/>
          <w:lang w:val="en-GB"/>
        </w:rPr>
        <w:t>Health Inequalities and People with Intellectual Disabilities</w:t>
      </w:r>
      <w:r w:rsidRPr="0095184F">
        <w:rPr>
          <w:lang w:val="en-GB"/>
        </w:rPr>
        <w:t xml:space="preserve">. Cambridge University Press, pp. 66–82. Available at: </w:t>
      </w:r>
      <w:hyperlink w:history="1" r:id="rId14">
        <w:r w:rsidRPr="0095184F">
          <w:rPr>
            <w:rStyle w:val="Hyperlink"/>
            <w:lang w:val="en-GB"/>
          </w:rPr>
          <w:t>https://doi.org/10.1017/cbo9781139192484.004</w:t>
        </w:r>
      </w:hyperlink>
      <w:r w:rsidRPr="0095184F">
        <w:rPr>
          <w:lang w:val="en-GB"/>
        </w:rPr>
        <w:t>.</w:t>
      </w:r>
    </w:p>
    <w:p w:rsidRPr="00701D79" w:rsidR="00715222" w:rsidP="007678E4" w:rsidRDefault="00715222" w14:paraId="1401744B" w14:textId="77777777">
      <w:pPr>
        <w:rPr>
          <w:lang w:val="en-GB"/>
        </w:rPr>
      </w:pPr>
      <w:r w:rsidRPr="00701D79">
        <w:rPr>
          <w:lang w:val="en-GB"/>
        </w:rPr>
        <w:t xml:space="preserve">Ghosh, M., Lahiri, M., Dalal, A., Parida, K.K. and Kalia, N.P. (2025) “Advancements in tuberculosis diagnostics: An update,” </w:t>
      </w:r>
      <w:r w:rsidRPr="00701D79">
        <w:rPr>
          <w:i/>
          <w:iCs/>
          <w:lang w:val="en-GB"/>
        </w:rPr>
        <w:t>Microbial Pathogenesis</w:t>
      </w:r>
      <w:r w:rsidRPr="00701D79">
        <w:rPr>
          <w:lang w:val="en-GB"/>
        </w:rPr>
        <w:t xml:space="preserve">, 207, p. 107843. Available at: </w:t>
      </w:r>
      <w:hyperlink w:history="1" r:id="rId15">
        <w:r w:rsidRPr="00701D79">
          <w:rPr>
            <w:rStyle w:val="Hyperlink"/>
            <w:lang w:val="en-GB"/>
          </w:rPr>
          <w:t>https://doi.org/10.1016/j.micpath.2025.107843</w:t>
        </w:r>
      </w:hyperlink>
      <w:r w:rsidRPr="00701D79">
        <w:rPr>
          <w:lang w:val="en-GB"/>
        </w:rPr>
        <w:t>.</w:t>
      </w:r>
    </w:p>
    <w:p w:rsidRPr="00701D79" w:rsidR="00715222" w:rsidP="007678E4" w:rsidRDefault="00715222" w14:paraId="16D70D9B" w14:textId="77777777">
      <w:pPr>
        <w:rPr>
          <w:lang w:val="en-GB"/>
        </w:rPr>
      </w:pPr>
      <w:r w:rsidRPr="00701D79">
        <w:rPr>
          <w:lang w:val="en-GB"/>
        </w:rPr>
        <w:t xml:space="preserve">Patwardhan, B., </w:t>
      </w:r>
      <w:proofErr w:type="spellStart"/>
      <w:r w:rsidRPr="00701D79">
        <w:rPr>
          <w:lang w:val="en-GB"/>
        </w:rPr>
        <w:t>Mutalik</w:t>
      </w:r>
      <w:proofErr w:type="spellEnd"/>
      <w:r w:rsidRPr="00701D79">
        <w:rPr>
          <w:lang w:val="en-GB"/>
        </w:rPr>
        <w:t xml:space="preserve">, G. and </w:t>
      </w:r>
      <w:proofErr w:type="spellStart"/>
      <w:r w:rsidRPr="00701D79">
        <w:rPr>
          <w:lang w:val="en-GB"/>
        </w:rPr>
        <w:t>Tillu</w:t>
      </w:r>
      <w:proofErr w:type="spellEnd"/>
      <w:r w:rsidRPr="00701D79">
        <w:rPr>
          <w:lang w:val="en-GB"/>
        </w:rPr>
        <w:t xml:space="preserve">, G. (2015) “Concepts of health and disease,” in </w:t>
      </w:r>
      <w:r w:rsidRPr="00701D79">
        <w:rPr>
          <w:i/>
          <w:iCs/>
          <w:lang w:val="en-GB"/>
        </w:rPr>
        <w:t>Integrative Approaches for Health</w:t>
      </w:r>
      <w:r w:rsidRPr="00701D79">
        <w:rPr>
          <w:lang w:val="en-GB"/>
        </w:rPr>
        <w:t xml:space="preserve">. Academic Press, pp. 53–78. Available at: </w:t>
      </w:r>
      <w:hyperlink w:history="1" r:id="rId16">
        <w:r w:rsidRPr="00701D79">
          <w:rPr>
            <w:rStyle w:val="Hyperlink"/>
            <w:lang w:val="en-GB"/>
          </w:rPr>
          <w:t>https://doi.org/10.1016/b978-0-12-801282-6.00003-6</w:t>
        </w:r>
      </w:hyperlink>
      <w:r w:rsidRPr="00701D79">
        <w:rPr>
          <w:lang w:val="en-GB"/>
        </w:rPr>
        <w:t>.</w:t>
      </w:r>
    </w:p>
    <w:p w:rsidRPr="00701D79" w:rsidR="00715222" w:rsidP="007678E4" w:rsidRDefault="00715222" w14:paraId="5331BB2A" w14:textId="77777777">
      <w:pPr>
        <w:rPr>
          <w:lang w:val="en-GB"/>
        </w:rPr>
      </w:pPr>
      <w:r w:rsidRPr="00701D79">
        <w:rPr>
          <w:lang w:val="en-GB"/>
        </w:rPr>
        <w:t xml:space="preserve">Shrivas, A. and Singh, S. (2025) “Tuberculosis Diagnosis and Management: Recent advances,” </w:t>
      </w:r>
      <w:r w:rsidRPr="00701D79">
        <w:rPr>
          <w:i/>
          <w:iCs/>
          <w:lang w:val="en-GB"/>
        </w:rPr>
        <w:t>Journal of Global Infectious Diseases</w:t>
      </w:r>
      <w:r w:rsidRPr="00701D79">
        <w:rPr>
          <w:lang w:val="en-GB"/>
        </w:rPr>
        <w:t xml:space="preserve">, 17(1), pp. 3–9. Available at: </w:t>
      </w:r>
      <w:hyperlink w:history="1" r:id="rId17">
        <w:r w:rsidRPr="00701D79">
          <w:rPr>
            <w:rStyle w:val="Hyperlink"/>
            <w:lang w:val="en-GB"/>
          </w:rPr>
          <w:t>https://doi.org/10.4103/jgid.jgid_112_24</w:t>
        </w:r>
      </w:hyperlink>
      <w:r w:rsidRPr="00701D79">
        <w:rPr>
          <w:lang w:val="en-GB"/>
        </w:rPr>
        <w:t>.</w:t>
      </w:r>
    </w:p>
    <w:p w:rsidRPr="00701D79" w:rsidR="00715222" w:rsidP="007678E4" w:rsidRDefault="00715222" w14:paraId="35E61B84" w14:textId="77777777">
      <w:pPr>
        <w:rPr>
          <w:lang w:val="en-GB"/>
        </w:rPr>
      </w:pPr>
      <w:r w:rsidRPr="00701D79">
        <w:rPr>
          <w:lang w:val="en-GB"/>
        </w:rPr>
        <w:t xml:space="preserve">UK Health Security Agency (2026) </w:t>
      </w:r>
      <w:r w:rsidRPr="00701D79">
        <w:rPr>
          <w:i/>
          <w:iCs/>
          <w:lang w:val="en-GB"/>
        </w:rPr>
        <w:t>Tuberculosis Incidence and Epidemiology, England, 2024</w:t>
      </w:r>
      <w:r w:rsidRPr="00701D79">
        <w:rPr>
          <w:lang w:val="en-GB"/>
        </w:rPr>
        <w:t xml:space="preserve">, </w:t>
      </w:r>
      <w:r w:rsidRPr="00701D79">
        <w:rPr>
          <w:i/>
          <w:iCs/>
          <w:lang w:val="en-GB"/>
        </w:rPr>
        <w:t>GOV.UK</w:t>
      </w:r>
      <w:r w:rsidRPr="00701D79">
        <w:rPr>
          <w:lang w:val="en-GB"/>
        </w:rPr>
        <w:t xml:space="preserve">. Available at: </w:t>
      </w:r>
      <w:hyperlink w:history="1" r:id="rId18">
        <w:r w:rsidRPr="00701D79">
          <w:rPr>
            <w:rStyle w:val="Hyperlink"/>
            <w:lang w:val="en-GB"/>
          </w:rPr>
          <w:t>https://www.gov.uk/government/publications/tuberculosis-in-england-</w:t>
        </w:r>
        <w:r w:rsidRPr="00701D79">
          <w:rPr>
            <w:rStyle w:val="Hyperlink"/>
            <w:lang w:val="en-GB"/>
          </w:rPr>
          <w:lastRenderedPageBreak/>
          <w:t>2025-report/1-tuberculosis-incidence-and-epidemiology-england-2024</w:t>
        </w:r>
      </w:hyperlink>
      <w:r w:rsidRPr="00701D79">
        <w:rPr>
          <w:lang w:val="en-GB"/>
        </w:rPr>
        <w:t xml:space="preserve"> (Accessed: April 12, 2026).</w:t>
      </w:r>
    </w:p>
    <w:p w:rsidRPr="00701D79" w:rsidR="00715222" w:rsidP="007678E4" w:rsidRDefault="00715222" w14:paraId="57BA67F3" w14:textId="77777777">
      <w:pPr>
        <w:rPr>
          <w:lang w:val="en-GB"/>
        </w:rPr>
      </w:pPr>
      <w:r w:rsidRPr="00701D79">
        <w:rPr>
          <w:lang w:val="en-GB"/>
        </w:rPr>
        <w:t xml:space="preserve">United Nation (2022) Take Action for the Sustainable Development Goals. Available at: </w:t>
      </w:r>
      <w:hyperlink w:history="1" r:id="rId19">
        <w:r w:rsidRPr="00701D79">
          <w:rPr>
            <w:rStyle w:val="Hyperlink"/>
            <w:lang w:val="en-GB"/>
          </w:rPr>
          <w:t>https://www.un.org/sustainabledevelopment/sustainable-development-goals/</w:t>
        </w:r>
      </w:hyperlink>
      <w:r w:rsidRPr="00701D79">
        <w:rPr>
          <w:lang w:val="en-GB"/>
        </w:rPr>
        <w:t xml:space="preserve"> (Accessed: April 12, 2026).</w:t>
      </w:r>
    </w:p>
    <w:p w:rsidRPr="00701D79" w:rsidR="00715222" w:rsidP="007678E4" w:rsidRDefault="00715222" w14:paraId="2532BCAE" w14:textId="77777777">
      <w:pPr>
        <w:rPr>
          <w:lang w:val="en-GB"/>
        </w:rPr>
      </w:pPr>
      <w:r w:rsidRPr="00701D79">
        <w:rPr>
          <w:lang w:val="en-GB"/>
        </w:rPr>
        <w:t xml:space="preserve">World Health Organisation (2022) Social determinants of health Available at </w:t>
      </w:r>
      <w:hyperlink w:history="1" r:id="rId20">
        <w:r w:rsidRPr="00701D79">
          <w:rPr>
            <w:rStyle w:val="Hyperlink"/>
            <w:lang w:val="en-GB"/>
          </w:rPr>
          <w:t>https://www.who.int/health-topics/social-determinants-of-health#tab=tab_1</w:t>
        </w:r>
      </w:hyperlink>
      <w:r w:rsidRPr="00701D79">
        <w:rPr>
          <w:lang w:val="en-GB"/>
        </w:rPr>
        <w:t xml:space="preserve">. (Accessed: April 12, 2026). </w:t>
      </w:r>
    </w:p>
    <w:p w:rsidRPr="00701D79" w:rsidR="00715222" w:rsidP="007678E4" w:rsidRDefault="00715222" w14:paraId="267D2C2A" w14:textId="77777777">
      <w:pPr>
        <w:rPr>
          <w:lang w:val="en-GB"/>
        </w:rPr>
      </w:pPr>
      <w:r w:rsidRPr="00701D79">
        <w:rPr>
          <w:lang w:val="en-GB"/>
        </w:rPr>
        <w:t xml:space="preserve">World Health Organisation (2024) </w:t>
      </w:r>
      <w:r w:rsidRPr="00701D79">
        <w:rPr>
          <w:i/>
          <w:iCs/>
          <w:lang w:val="en-GB"/>
        </w:rPr>
        <w:t>Determinants of health</w:t>
      </w:r>
      <w:r w:rsidRPr="00701D79">
        <w:rPr>
          <w:lang w:val="en-GB"/>
        </w:rPr>
        <w:t xml:space="preserve">. Available at: </w:t>
      </w:r>
      <w:hyperlink w:history="1" r:id="rId21">
        <w:r w:rsidRPr="00701D79">
          <w:rPr>
            <w:rStyle w:val="Hyperlink"/>
            <w:lang w:val="en-GB"/>
          </w:rPr>
          <w:t>https://www.who.int/news-room/questions-and-answers/item/determinants-of-health</w:t>
        </w:r>
      </w:hyperlink>
      <w:r w:rsidRPr="00701D79">
        <w:rPr>
          <w:lang w:val="en-GB"/>
        </w:rPr>
        <w:t xml:space="preserve"> (Accessed: April 12, 2026).</w:t>
      </w:r>
    </w:p>
    <w:p w:rsidRPr="00701D79" w:rsidR="00715222" w:rsidP="007678E4" w:rsidRDefault="00715222" w14:paraId="2B140FA4" w14:textId="77777777">
      <w:pPr>
        <w:rPr>
          <w:lang w:val="en-GB"/>
        </w:rPr>
      </w:pPr>
      <w:r w:rsidRPr="00701D79">
        <w:rPr>
          <w:lang w:val="en-GB"/>
        </w:rPr>
        <w:t xml:space="preserve">World Health Organization (2025) </w:t>
      </w:r>
      <w:r w:rsidRPr="00701D79">
        <w:rPr>
          <w:i/>
          <w:iCs/>
          <w:lang w:val="en-GB"/>
        </w:rPr>
        <w:t>Global Tuberculosis Report 2025</w:t>
      </w:r>
      <w:r w:rsidRPr="00701D79">
        <w:rPr>
          <w:lang w:val="en-GB"/>
        </w:rPr>
        <w:t xml:space="preserve">. Available at: </w:t>
      </w:r>
      <w:hyperlink w:history="1" r:id="rId22">
        <w:r w:rsidRPr="00701D79">
          <w:rPr>
            <w:rStyle w:val="Hyperlink"/>
            <w:lang w:val="en-GB"/>
          </w:rPr>
          <w:t>https://iris.who.int/server/api/core/bitstreams/e97dd6f4-b567-4396-8680-717bac6869a9/content</w:t>
        </w:r>
      </w:hyperlink>
      <w:r w:rsidRPr="00701D79">
        <w:rPr>
          <w:lang w:val="en-GB"/>
        </w:rPr>
        <w:t xml:space="preserve"> (Accessed: April 12, 2026).</w:t>
      </w:r>
    </w:p>
    <w:p w:rsidRPr="00701D79" w:rsidR="00715222" w:rsidP="007678E4" w:rsidRDefault="00715222" w14:paraId="3BA8CBE3" w14:textId="77777777">
      <w:pPr>
        <w:rPr>
          <w:lang w:val="en-GB"/>
        </w:rPr>
      </w:pPr>
      <w:r w:rsidRPr="00701D79">
        <w:rPr>
          <w:lang w:val="en-GB"/>
        </w:rPr>
        <w:t xml:space="preserve">Yang, Z., Li, Jingjing, Shen, J., Cao, H., Wang, Yuhan, Hu, S., Du, Y., Wang, </w:t>
      </w:r>
      <w:proofErr w:type="spellStart"/>
      <w:r w:rsidRPr="00701D79">
        <w:rPr>
          <w:lang w:val="en-GB"/>
        </w:rPr>
        <w:t>Yange</w:t>
      </w:r>
      <w:proofErr w:type="spellEnd"/>
      <w:r w:rsidRPr="00701D79">
        <w:rPr>
          <w:lang w:val="en-GB"/>
        </w:rPr>
        <w:t xml:space="preserve">, Yan, Z., Xie, L., Li, Q., Gomaa, S.E., Liu, S., Li, X. and Li, </w:t>
      </w:r>
      <w:proofErr w:type="spellStart"/>
      <w:r w:rsidRPr="00701D79">
        <w:rPr>
          <w:lang w:val="en-GB"/>
        </w:rPr>
        <w:t>Jicheng</w:t>
      </w:r>
      <w:proofErr w:type="spellEnd"/>
      <w:r w:rsidRPr="00701D79">
        <w:rPr>
          <w:lang w:val="en-GB"/>
        </w:rPr>
        <w:t xml:space="preserve"> (2025) “Recent progress in tuberculosis diagnosis: insights into blood-based biomarkers and emerging technologies,” </w:t>
      </w:r>
      <w:r w:rsidRPr="00701D79">
        <w:rPr>
          <w:i/>
          <w:iCs/>
          <w:lang w:val="en-GB"/>
        </w:rPr>
        <w:t>Frontiers in Cellular and Infection Microbiology</w:t>
      </w:r>
      <w:r w:rsidRPr="00701D79">
        <w:rPr>
          <w:lang w:val="en-GB"/>
        </w:rPr>
        <w:t xml:space="preserve">, 15, p. 1567592. Available at: </w:t>
      </w:r>
      <w:hyperlink w:history="1" r:id="rId23">
        <w:r w:rsidRPr="00701D79">
          <w:rPr>
            <w:rStyle w:val="Hyperlink"/>
            <w:lang w:val="en-GB"/>
          </w:rPr>
          <w:t>https://doi.org/10.3389/fcimb.2025.1567592</w:t>
        </w:r>
      </w:hyperlink>
      <w:r w:rsidRPr="00701D79">
        <w:rPr>
          <w:lang w:val="en-GB"/>
        </w:rPr>
        <w:t>.</w:t>
      </w:r>
    </w:p>
    <w:p w:rsidR="00715222" w:rsidP="007678E4" w:rsidRDefault="00715222" w14:paraId="55A29DFA" w14:textId="77777777">
      <w:pPr>
        <w:rPr>
          <w:lang w:val="en-GB"/>
        </w:rPr>
      </w:pPr>
      <w:proofErr w:type="spellStart"/>
      <w:r w:rsidRPr="002C590A">
        <w:rPr>
          <w:lang w:val="en-GB"/>
        </w:rPr>
        <w:t>Zary</w:t>
      </w:r>
      <w:proofErr w:type="spellEnd"/>
      <w:r w:rsidRPr="002C590A">
        <w:rPr>
          <w:lang w:val="en-GB"/>
        </w:rPr>
        <w:t xml:space="preserve">, M., Mohamed, M.S., Kafie, C., Chilala, C.I., </w:t>
      </w:r>
      <w:proofErr w:type="spellStart"/>
      <w:r w:rsidRPr="002C590A">
        <w:rPr>
          <w:lang w:val="en-GB"/>
        </w:rPr>
        <w:t>Bahukudumbi</w:t>
      </w:r>
      <w:proofErr w:type="spellEnd"/>
      <w:r w:rsidRPr="002C590A">
        <w:rPr>
          <w:lang w:val="en-GB"/>
        </w:rPr>
        <w:t xml:space="preserve">, S., Foster, N., Gore, G., Fielding, K.L., Subbaraman, R. and Schwartzman, K. (2024) “The performance of digital technologies for measuring tuberculosis medication adherence: a systematic review,” </w:t>
      </w:r>
      <w:r w:rsidRPr="002C590A">
        <w:rPr>
          <w:i/>
          <w:iCs/>
          <w:lang w:val="en-GB"/>
        </w:rPr>
        <w:t>BMJ Global Health</w:t>
      </w:r>
      <w:r w:rsidRPr="002C590A">
        <w:rPr>
          <w:lang w:val="en-GB"/>
        </w:rPr>
        <w:t xml:space="preserve">, 9(7), p. e015633. Available at: </w:t>
      </w:r>
      <w:hyperlink w:history="1" r:id="rId24">
        <w:r w:rsidRPr="002C590A">
          <w:rPr>
            <w:rStyle w:val="Hyperlink"/>
            <w:lang w:val="en-GB"/>
          </w:rPr>
          <w:t>https://doi.org/10.1136/bmjgh-2024-015633</w:t>
        </w:r>
      </w:hyperlink>
      <w:r w:rsidRPr="002C590A">
        <w:rPr>
          <w:lang w:val="en-GB"/>
        </w:rPr>
        <w:t>.</w:t>
      </w:r>
    </w:p>
    <w:p w:rsidR="00715222" w:rsidP="007678E4" w:rsidRDefault="00715222" w14:paraId="5A9369D8" w14:textId="77777777">
      <w:pPr>
        <w:rPr>
          <w:lang w:val="en-GB"/>
        </w:rPr>
      </w:pPr>
      <w:r w:rsidRPr="00701D79">
        <w:rPr>
          <w:lang w:val="en-GB"/>
        </w:rPr>
        <w:t xml:space="preserve">Zhao, C.-Y., Song, C., Lu, Y.-B., Huang, A.-C., Zeng, C.-M., Liu, R.-H., Li, W.-W., Xie, Z.-H. and Zhu, Q.-D. (2025) “A New era in Tuberculosis Prevention and treatment: Breakthroughs in drug development and future prospects,” </w:t>
      </w:r>
      <w:r w:rsidRPr="00701D79">
        <w:rPr>
          <w:i/>
          <w:iCs/>
          <w:lang w:val="en-GB"/>
        </w:rPr>
        <w:t>Infectious Diseases and Therapy</w:t>
      </w:r>
      <w:r w:rsidRPr="00701D79">
        <w:rPr>
          <w:lang w:val="en-GB"/>
        </w:rPr>
        <w:t xml:space="preserve">, 14(10), pp. 2205–2219. Available at: </w:t>
      </w:r>
      <w:hyperlink w:history="1" r:id="rId25">
        <w:r w:rsidRPr="00701D79">
          <w:rPr>
            <w:rStyle w:val="Hyperlink"/>
            <w:lang w:val="en-GB"/>
          </w:rPr>
          <w:t>https://doi.org/10.1007/s40121-025-01221-3</w:t>
        </w:r>
      </w:hyperlink>
      <w:r w:rsidRPr="00701D79">
        <w:rPr>
          <w:lang w:val="en-GB"/>
        </w:rPr>
        <w:t>.</w:t>
      </w:r>
    </w:p>
    <w:p w:rsidRPr="00701D79" w:rsidR="002C590A" w:rsidP="007678E4" w:rsidRDefault="002C590A" w14:paraId="779DB6BC" w14:textId="77777777">
      <w:pPr>
        <w:rPr>
          <w:lang w:val="en-GB"/>
        </w:rPr>
      </w:pPr>
    </w:p>
    <w:p w:rsidRPr="00701D79" w:rsidR="00732F1D" w:rsidP="007678E4" w:rsidRDefault="00732F1D" w14:paraId="1A119EB4" w14:textId="77777777">
      <w:pPr>
        <w:rPr>
          <w:lang w:val="en-GB"/>
        </w:rPr>
      </w:pPr>
    </w:p>
    <w:sectPr w:rsidRPr="00701D79" w:rsidR="00732F1D">
      <w:headerReference w:type="default" r:id="rId2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35A30" w:rsidRDefault="00335A30" w14:paraId="7C4F4C7A" w14:textId="77777777">
      <w:pPr>
        <w:spacing w:line="240" w:lineRule="auto"/>
      </w:pPr>
      <w:r>
        <w:separator/>
      </w:r>
    </w:p>
  </w:endnote>
  <w:endnote w:type="continuationSeparator" w:id="0">
    <w:p w:rsidR="00335A30" w:rsidRDefault="00335A30" w14:paraId="71EECD0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35A30" w:rsidRDefault="00335A30" w14:paraId="3AC31DA0" w14:textId="77777777">
      <w:pPr>
        <w:spacing w:after="0"/>
      </w:pPr>
      <w:r>
        <w:separator/>
      </w:r>
    </w:p>
  </w:footnote>
  <w:footnote w:type="continuationSeparator" w:id="0">
    <w:p w:rsidR="00335A30" w:rsidRDefault="00335A30" w14:paraId="3F48FAE1" w14:textId="7777777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148903"/>
      <w:docPartObj>
        <w:docPartGallery w:val="AutoText"/>
      </w:docPartObj>
    </w:sdtPr>
    <w:sdtContent>
      <w:p w:rsidR="004B495B" w:rsidRDefault="00000000" w14:paraId="393C2753" w14:textId="77777777">
        <w:pPr>
          <w:pStyle w:val="Header"/>
          <w:jc w:val="right"/>
        </w:pPr>
        <w:r>
          <w:fldChar w:fldCharType="begin"/>
        </w:r>
        <w:r>
          <w:instrText xml:space="preserve"> PAGE   \* MERGEFORMAT </w:instrText>
        </w:r>
        <w:r>
          <w:fldChar w:fldCharType="separate"/>
        </w:r>
        <w:r>
          <w:t>2</w:t>
        </w:r>
        <w:r>
          <w:fldChar w:fldCharType="end"/>
        </w:r>
      </w:p>
    </w:sdtContent>
  </w:sdt>
  <w:p w:rsidR="004B495B" w:rsidRDefault="004B495B" w14:paraId="53BD604F"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7ED"/>
    <w:rsid w:val="00000000"/>
    <w:rsid w:val="00002FB1"/>
    <w:rsid w:val="00006A01"/>
    <w:rsid w:val="000134AB"/>
    <w:rsid w:val="000220BE"/>
    <w:rsid w:val="00022F2A"/>
    <w:rsid w:val="000314B5"/>
    <w:rsid w:val="00032D21"/>
    <w:rsid w:val="00034768"/>
    <w:rsid w:val="00042A4F"/>
    <w:rsid w:val="00042A88"/>
    <w:rsid w:val="00044CEA"/>
    <w:rsid w:val="00050F40"/>
    <w:rsid w:val="000522E5"/>
    <w:rsid w:val="00053208"/>
    <w:rsid w:val="00055C8E"/>
    <w:rsid w:val="00057BCD"/>
    <w:rsid w:val="00060149"/>
    <w:rsid w:val="00060EE6"/>
    <w:rsid w:val="00064E37"/>
    <w:rsid w:val="00065AC3"/>
    <w:rsid w:val="0008060D"/>
    <w:rsid w:val="00080C66"/>
    <w:rsid w:val="00084867"/>
    <w:rsid w:val="00086AD3"/>
    <w:rsid w:val="00090CF0"/>
    <w:rsid w:val="000938F2"/>
    <w:rsid w:val="000A10C0"/>
    <w:rsid w:val="000A21F4"/>
    <w:rsid w:val="000A4CDB"/>
    <w:rsid w:val="000A5FBC"/>
    <w:rsid w:val="000B0FDD"/>
    <w:rsid w:val="000B2766"/>
    <w:rsid w:val="000B336E"/>
    <w:rsid w:val="000C0776"/>
    <w:rsid w:val="000C2DC9"/>
    <w:rsid w:val="000C2EBA"/>
    <w:rsid w:val="000C321E"/>
    <w:rsid w:val="000C3AEF"/>
    <w:rsid w:val="000D0E96"/>
    <w:rsid w:val="000D17AB"/>
    <w:rsid w:val="000D3C59"/>
    <w:rsid w:val="000D4C18"/>
    <w:rsid w:val="000E3D4B"/>
    <w:rsid w:val="000E6BB2"/>
    <w:rsid w:val="000F0AD5"/>
    <w:rsid w:val="000F58F5"/>
    <w:rsid w:val="00100F33"/>
    <w:rsid w:val="00105F71"/>
    <w:rsid w:val="00110DE0"/>
    <w:rsid w:val="00125B12"/>
    <w:rsid w:val="00126E59"/>
    <w:rsid w:val="0012701C"/>
    <w:rsid w:val="00135D44"/>
    <w:rsid w:val="00146ECF"/>
    <w:rsid w:val="001652D0"/>
    <w:rsid w:val="00170F5C"/>
    <w:rsid w:val="00171E89"/>
    <w:rsid w:val="00183496"/>
    <w:rsid w:val="00183FCF"/>
    <w:rsid w:val="0018454C"/>
    <w:rsid w:val="00184AFA"/>
    <w:rsid w:val="00187C3B"/>
    <w:rsid w:val="00192356"/>
    <w:rsid w:val="001A43A8"/>
    <w:rsid w:val="001A51CB"/>
    <w:rsid w:val="001B04B1"/>
    <w:rsid w:val="001B06B3"/>
    <w:rsid w:val="001B3195"/>
    <w:rsid w:val="001B70E0"/>
    <w:rsid w:val="001C22F9"/>
    <w:rsid w:val="001C2AD4"/>
    <w:rsid w:val="001D4A67"/>
    <w:rsid w:val="001E0B49"/>
    <w:rsid w:val="001E1756"/>
    <w:rsid w:val="001E7F90"/>
    <w:rsid w:val="001F0023"/>
    <w:rsid w:val="001F48B2"/>
    <w:rsid w:val="001F5920"/>
    <w:rsid w:val="00200EE2"/>
    <w:rsid w:val="00204D40"/>
    <w:rsid w:val="00205F01"/>
    <w:rsid w:val="00206A33"/>
    <w:rsid w:val="0021114E"/>
    <w:rsid w:val="00212BE9"/>
    <w:rsid w:val="00215E0E"/>
    <w:rsid w:val="00216B9E"/>
    <w:rsid w:val="002170CD"/>
    <w:rsid w:val="00220B35"/>
    <w:rsid w:val="00221E09"/>
    <w:rsid w:val="00233C8A"/>
    <w:rsid w:val="00234321"/>
    <w:rsid w:val="0023581E"/>
    <w:rsid w:val="00240CDB"/>
    <w:rsid w:val="00242859"/>
    <w:rsid w:val="0024759B"/>
    <w:rsid w:val="00255F67"/>
    <w:rsid w:val="0025618E"/>
    <w:rsid w:val="002569E3"/>
    <w:rsid w:val="00257468"/>
    <w:rsid w:val="00260817"/>
    <w:rsid w:val="00273F5F"/>
    <w:rsid w:val="00277F48"/>
    <w:rsid w:val="00287705"/>
    <w:rsid w:val="00287720"/>
    <w:rsid w:val="00291935"/>
    <w:rsid w:val="002A0D31"/>
    <w:rsid w:val="002A1C92"/>
    <w:rsid w:val="002A5919"/>
    <w:rsid w:val="002A64D9"/>
    <w:rsid w:val="002C363C"/>
    <w:rsid w:val="002C4149"/>
    <w:rsid w:val="002C590A"/>
    <w:rsid w:val="002C5D65"/>
    <w:rsid w:val="002C62A5"/>
    <w:rsid w:val="002C662A"/>
    <w:rsid w:val="002D1F4C"/>
    <w:rsid w:val="002D375C"/>
    <w:rsid w:val="002D5788"/>
    <w:rsid w:val="002D7D9F"/>
    <w:rsid w:val="002E41E1"/>
    <w:rsid w:val="002E6AE7"/>
    <w:rsid w:val="002F1F86"/>
    <w:rsid w:val="002F409E"/>
    <w:rsid w:val="002F565C"/>
    <w:rsid w:val="002F6BE6"/>
    <w:rsid w:val="003006BA"/>
    <w:rsid w:val="003022B1"/>
    <w:rsid w:val="00304F36"/>
    <w:rsid w:val="00305022"/>
    <w:rsid w:val="003066CE"/>
    <w:rsid w:val="0031646A"/>
    <w:rsid w:val="00316879"/>
    <w:rsid w:val="003169BE"/>
    <w:rsid w:val="003321C3"/>
    <w:rsid w:val="003323C5"/>
    <w:rsid w:val="003343AA"/>
    <w:rsid w:val="00335A30"/>
    <w:rsid w:val="00346D17"/>
    <w:rsid w:val="00353C01"/>
    <w:rsid w:val="003545AD"/>
    <w:rsid w:val="003560EE"/>
    <w:rsid w:val="003628FE"/>
    <w:rsid w:val="003630A3"/>
    <w:rsid w:val="00363B3E"/>
    <w:rsid w:val="00364BDC"/>
    <w:rsid w:val="00364C0A"/>
    <w:rsid w:val="003653B6"/>
    <w:rsid w:val="00367986"/>
    <w:rsid w:val="00367BBC"/>
    <w:rsid w:val="0037733A"/>
    <w:rsid w:val="00385700"/>
    <w:rsid w:val="003857E5"/>
    <w:rsid w:val="00386D5F"/>
    <w:rsid w:val="003901C1"/>
    <w:rsid w:val="00393D3A"/>
    <w:rsid w:val="00396C55"/>
    <w:rsid w:val="0039730A"/>
    <w:rsid w:val="00397C97"/>
    <w:rsid w:val="003A0158"/>
    <w:rsid w:val="003A21C2"/>
    <w:rsid w:val="003A2D82"/>
    <w:rsid w:val="003A4FCE"/>
    <w:rsid w:val="003B5594"/>
    <w:rsid w:val="003B7AF7"/>
    <w:rsid w:val="003B7DB6"/>
    <w:rsid w:val="003C0075"/>
    <w:rsid w:val="003C181F"/>
    <w:rsid w:val="003C5D55"/>
    <w:rsid w:val="003C6E92"/>
    <w:rsid w:val="003D4CB3"/>
    <w:rsid w:val="003E3304"/>
    <w:rsid w:val="003E4FBE"/>
    <w:rsid w:val="003E5002"/>
    <w:rsid w:val="003E798C"/>
    <w:rsid w:val="003F41FD"/>
    <w:rsid w:val="004043B9"/>
    <w:rsid w:val="00407EFB"/>
    <w:rsid w:val="00410E53"/>
    <w:rsid w:val="0041296B"/>
    <w:rsid w:val="00415536"/>
    <w:rsid w:val="00424BA6"/>
    <w:rsid w:val="00425DD1"/>
    <w:rsid w:val="00430529"/>
    <w:rsid w:val="0044095A"/>
    <w:rsid w:val="0044711A"/>
    <w:rsid w:val="0045015C"/>
    <w:rsid w:val="00452AB4"/>
    <w:rsid w:val="00461A20"/>
    <w:rsid w:val="00463375"/>
    <w:rsid w:val="00466D2F"/>
    <w:rsid w:val="0047241F"/>
    <w:rsid w:val="004730A9"/>
    <w:rsid w:val="00475BEF"/>
    <w:rsid w:val="004812AE"/>
    <w:rsid w:val="00490530"/>
    <w:rsid w:val="00490D4B"/>
    <w:rsid w:val="004A1A92"/>
    <w:rsid w:val="004A216D"/>
    <w:rsid w:val="004A79C3"/>
    <w:rsid w:val="004B28B5"/>
    <w:rsid w:val="004B495B"/>
    <w:rsid w:val="004C1A2C"/>
    <w:rsid w:val="004C481A"/>
    <w:rsid w:val="004C5C21"/>
    <w:rsid w:val="004C6A1F"/>
    <w:rsid w:val="004D67B8"/>
    <w:rsid w:val="004D6CE9"/>
    <w:rsid w:val="004E56A8"/>
    <w:rsid w:val="004E7D72"/>
    <w:rsid w:val="004F3314"/>
    <w:rsid w:val="004F5E94"/>
    <w:rsid w:val="004F5FC5"/>
    <w:rsid w:val="00511E7E"/>
    <w:rsid w:val="005162F3"/>
    <w:rsid w:val="00534CFF"/>
    <w:rsid w:val="00537896"/>
    <w:rsid w:val="00550C6D"/>
    <w:rsid w:val="00552392"/>
    <w:rsid w:val="00556F2C"/>
    <w:rsid w:val="005612B0"/>
    <w:rsid w:val="00561853"/>
    <w:rsid w:val="0056221B"/>
    <w:rsid w:val="0057037E"/>
    <w:rsid w:val="00570E55"/>
    <w:rsid w:val="00574A15"/>
    <w:rsid w:val="00574AFA"/>
    <w:rsid w:val="00581BC4"/>
    <w:rsid w:val="0059138D"/>
    <w:rsid w:val="005938D7"/>
    <w:rsid w:val="005947D2"/>
    <w:rsid w:val="00595B65"/>
    <w:rsid w:val="00596D77"/>
    <w:rsid w:val="0059779D"/>
    <w:rsid w:val="005A02E1"/>
    <w:rsid w:val="005A1FB0"/>
    <w:rsid w:val="005A5079"/>
    <w:rsid w:val="005A574C"/>
    <w:rsid w:val="005A7E60"/>
    <w:rsid w:val="005B243B"/>
    <w:rsid w:val="005B3D59"/>
    <w:rsid w:val="005B4536"/>
    <w:rsid w:val="005B7536"/>
    <w:rsid w:val="005C0803"/>
    <w:rsid w:val="005C1619"/>
    <w:rsid w:val="005C4C99"/>
    <w:rsid w:val="005C5743"/>
    <w:rsid w:val="005D04A3"/>
    <w:rsid w:val="005D0B7A"/>
    <w:rsid w:val="005D2BAF"/>
    <w:rsid w:val="005E2D69"/>
    <w:rsid w:val="005E6C42"/>
    <w:rsid w:val="005F0539"/>
    <w:rsid w:val="005F06A9"/>
    <w:rsid w:val="005F0F0E"/>
    <w:rsid w:val="005F1678"/>
    <w:rsid w:val="00603090"/>
    <w:rsid w:val="00613A28"/>
    <w:rsid w:val="00614015"/>
    <w:rsid w:val="00617D0E"/>
    <w:rsid w:val="006220BB"/>
    <w:rsid w:val="00625403"/>
    <w:rsid w:val="006356AF"/>
    <w:rsid w:val="00636F7C"/>
    <w:rsid w:val="0064545F"/>
    <w:rsid w:val="00650F98"/>
    <w:rsid w:val="00651A37"/>
    <w:rsid w:val="00656161"/>
    <w:rsid w:val="00665438"/>
    <w:rsid w:val="00667124"/>
    <w:rsid w:val="00667F25"/>
    <w:rsid w:val="00672D10"/>
    <w:rsid w:val="006751C5"/>
    <w:rsid w:val="00681DD9"/>
    <w:rsid w:val="0069265A"/>
    <w:rsid w:val="006951F9"/>
    <w:rsid w:val="00695BF6"/>
    <w:rsid w:val="006A3A33"/>
    <w:rsid w:val="006A740C"/>
    <w:rsid w:val="006B718B"/>
    <w:rsid w:val="006D3957"/>
    <w:rsid w:val="006D6502"/>
    <w:rsid w:val="006E4C4A"/>
    <w:rsid w:val="006F01AB"/>
    <w:rsid w:val="006F0EEA"/>
    <w:rsid w:val="006F1C7A"/>
    <w:rsid w:val="00701888"/>
    <w:rsid w:val="00701D79"/>
    <w:rsid w:val="00702D3D"/>
    <w:rsid w:val="007076C1"/>
    <w:rsid w:val="00712E48"/>
    <w:rsid w:val="00713473"/>
    <w:rsid w:val="00714358"/>
    <w:rsid w:val="00715222"/>
    <w:rsid w:val="00721F61"/>
    <w:rsid w:val="007247E1"/>
    <w:rsid w:val="00724809"/>
    <w:rsid w:val="00725D56"/>
    <w:rsid w:val="0072725A"/>
    <w:rsid w:val="00727296"/>
    <w:rsid w:val="00731B8E"/>
    <w:rsid w:val="00732932"/>
    <w:rsid w:val="00732F1D"/>
    <w:rsid w:val="00733D4F"/>
    <w:rsid w:val="00744E90"/>
    <w:rsid w:val="00753195"/>
    <w:rsid w:val="00757DC6"/>
    <w:rsid w:val="007647ED"/>
    <w:rsid w:val="007678E4"/>
    <w:rsid w:val="00771101"/>
    <w:rsid w:val="007776E3"/>
    <w:rsid w:val="00780E89"/>
    <w:rsid w:val="007848D7"/>
    <w:rsid w:val="00786EA9"/>
    <w:rsid w:val="007955C3"/>
    <w:rsid w:val="007969E9"/>
    <w:rsid w:val="007A0C07"/>
    <w:rsid w:val="007A32DD"/>
    <w:rsid w:val="007A355A"/>
    <w:rsid w:val="007A37B4"/>
    <w:rsid w:val="007A3F70"/>
    <w:rsid w:val="007B249B"/>
    <w:rsid w:val="007C38D3"/>
    <w:rsid w:val="007C5BDF"/>
    <w:rsid w:val="007E1653"/>
    <w:rsid w:val="007F4B9B"/>
    <w:rsid w:val="00804E13"/>
    <w:rsid w:val="008064A5"/>
    <w:rsid w:val="0081020A"/>
    <w:rsid w:val="00817B8C"/>
    <w:rsid w:val="00820FBF"/>
    <w:rsid w:val="00821725"/>
    <w:rsid w:val="00822A59"/>
    <w:rsid w:val="00825B6B"/>
    <w:rsid w:val="008300D9"/>
    <w:rsid w:val="00830DB7"/>
    <w:rsid w:val="00831DAA"/>
    <w:rsid w:val="008329D9"/>
    <w:rsid w:val="00835918"/>
    <w:rsid w:val="00836197"/>
    <w:rsid w:val="008401A3"/>
    <w:rsid w:val="00840BAB"/>
    <w:rsid w:val="00844EB3"/>
    <w:rsid w:val="00855F28"/>
    <w:rsid w:val="00860136"/>
    <w:rsid w:val="00860D9C"/>
    <w:rsid w:val="00861A2A"/>
    <w:rsid w:val="00862137"/>
    <w:rsid w:val="00864BFB"/>
    <w:rsid w:val="0086640A"/>
    <w:rsid w:val="008710AE"/>
    <w:rsid w:val="00871A2B"/>
    <w:rsid w:val="0087732A"/>
    <w:rsid w:val="00884276"/>
    <w:rsid w:val="00884A5E"/>
    <w:rsid w:val="00894903"/>
    <w:rsid w:val="00895132"/>
    <w:rsid w:val="00895564"/>
    <w:rsid w:val="00896DA6"/>
    <w:rsid w:val="008A0FF8"/>
    <w:rsid w:val="008A3D80"/>
    <w:rsid w:val="008A7DBD"/>
    <w:rsid w:val="008B25D5"/>
    <w:rsid w:val="008B2B4F"/>
    <w:rsid w:val="008B6C38"/>
    <w:rsid w:val="008B7E7F"/>
    <w:rsid w:val="008D1375"/>
    <w:rsid w:val="008D56DE"/>
    <w:rsid w:val="008D5E1C"/>
    <w:rsid w:val="008E01CF"/>
    <w:rsid w:val="008E2040"/>
    <w:rsid w:val="008F3C07"/>
    <w:rsid w:val="008F5912"/>
    <w:rsid w:val="00913C90"/>
    <w:rsid w:val="0091433D"/>
    <w:rsid w:val="0091496F"/>
    <w:rsid w:val="00921C1B"/>
    <w:rsid w:val="00924A51"/>
    <w:rsid w:val="0093326C"/>
    <w:rsid w:val="0093743E"/>
    <w:rsid w:val="00940910"/>
    <w:rsid w:val="009409A4"/>
    <w:rsid w:val="00942129"/>
    <w:rsid w:val="00945897"/>
    <w:rsid w:val="00947632"/>
    <w:rsid w:val="00950E93"/>
    <w:rsid w:val="0095184F"/>
    <w:rsid w:val="00952648"/>
    <w:rsid w:val="00953571"/>
    <w:rsid w:val="00953A14"/>
    <w:rsid w:val="009560B6"/>
    <w:rsid w:val="009612A9"/>
    <w:rsid w:val="009818AE"/>
    <w:rsid w:val="00986437"/>
    <w:rsid w:val="00987B5C"/>
    <w:rsid w:val="00991CE2"/>
    <w:rsid w:val="0099287E"/>
    <w:rsid w:val="0099460B"/>
    <w:rsid w:val="009A10BE"/>
    <w:rsid w:val="009A2455"/>
    <w:rsid w:val="009A3560"/>
    <w:rsid w:val="009A6B88"/>
    <w:rsid w:val="009B2410"/>
    <w:rsid w:val="009B4B24"/>
    <w:rsid w:val="009B4EED"/>
    <w:rsid w:val="009B7521"/>
    <w:rsid w:val="009B75C9"/>
    <w:rsid w:val="009C4F46"/>
    <w:rsid w:val="009D09E8"/>
    <w:rsid w:val="009D2A50"/>
    <w:rsid w:val="009D4809"/>
    <w:rsid w:val="009E3E37"/>
    <w:rsid w:val="009E4142"/>
    <w:rsid w:val="009E46A9"/>
    <w:rsid w:val="009E56EE"/>
    <w:rsid w:val="009E78A3"/>
    <w:rsid w:val="009F48CF"/>
    <w:rsid w:val="009F5E6A"/>
    <w:rsid w:val="00A005B7"/>
    <w:rsid w:val="00A0656F"/>
    <w:rsid w:val="00A07361"/>
    <w:rsid w:val="00A10F8F"/>
    <w:rsid w:val="00A164F5"/>
    <w:rsid w:val="00A17AFB"/>
    <w:rsid w:val="00A20A39"/>
    <w:rsid w:val="00A21370"/>
    <w:rsid w:val="00A22629"/>
    <w:rsid w:val="00A25399"/>
    <w:rsid w:val="00A31EA9"/>
    <w:rsid w:val="00A32AE8"/>
    <w:rsid w:val="00A340F6"/>
    <w:rsid w:val="00A363BB"/>
    <w:rsid w:val="00A41183"/>
    <w:rsid w:val="00A4142B"/>
    <w:rsid w:val="00A42769"/>
    <w:rsid w:val="00A50524"/>
    <w:rsid w:val="00A559C9"/>
    <w:rsid w:val="00A602B0"/>
    <w:rsid w:val="00A61461"/>
    <w:rsid w:val="00A63B05"/>
    <w:rsid w:val="00A67323"/>
    <w:rsid w:val="00A84AB9"/>
    <w:rsid w:val="00A84C0D"/>
    <w:rsid w:val="00A84D18"/>
    <w:rsid w:val="00A87630"/>
    <w:rsid w:val="00A92F7D"/>
    <w:rsid w:val="00AA1038"/>
    <w:rsid w:val="00AA3F42"/>
    <w:rsid w:val="00AA490E"/>
    <w:rsid w:val="00AA5E09"/>
    <w:rsid w:val="00AA6F81"/>
    <w:rsid w:val="00AB080D"/>
    <w:rsid w:val="00AB1D87"/>
    <w:rsid w:val="00AB315C"/>
    <w:rsid w:val="00AB3210"/>
    <w:rsid w:val="00AB69D5"/>
    <w:rsid w:val="00AC12F2"/>
    <w:rsid w:val="00AC72EA"/>
    <w:rsid w:val="00AC7774"/>
    <w:rsid w:val="00AD5283"/>
    <w:rsid w:val="00AE1140"/>
    <w:rsid w:val="00AE3664"/>
    <w:rsid w:val="00AF4BCB"/>
    <w:rsid w:val="00B01372"/>
    <w:rsid w:val="00B01945"/>
    <w:rsid w:val="00B126A4"/>
    <w:rsid w:val="00B229C9"/>
    <w:rsid w:val="00B2366D"/>
    <w:rsid w:val="00B23E6B"/>
    <w:rsid w:val="00B2440E"/>
    <w:rsid w:val="00B253E9"/>
    <w:rsid w:val="00B263D7"/>
    <w:rsid w:val="00B26A4D"/>
    <w:rsid w:val="00B314B2"/>
    <w:rsid w:val="00B31F00"/>
    <w:rsid w:val="00B3415C"/>
    <w:rsid w:val="00B34E89"/>
    <w:rsid w:val="00B35FE9"/>
    <w:rsid w:val="00B376DE"/>
    <w:rsid w:val="00B440BC"/>
    <w:rsid w:val="00B51D83"/>
    <w:rsid w:val="00B5234C"/>
    <w:rsid w:val="00B6108D"/>
    <w:rsid w:val="00B6261A"/>
    <w:rsid w:val="00B66AD0"/>
    <w:rsid w:val="00B754A4"/>
    <w:rsid w:val="00B76578"/>
    <w:rsid w:val="00B77BE2"/>
    <w:rsid w:val="00B83F8A"/>
    <w:rsid w:val="00B8540D"/>
    <w:rsid w:val="00B93001"/>
    <w:rsid w:val="00B93480"/>
    <w:rsid w:val="00B951AC"/>
    <w:rsid w:val="00BA1505"/>
    <w:rsid w:val="00BA7B40"/>
    <w:rsid w:val="00BB68FA"/>
    <w:rsid w:val="00BB759A"/>
    <w:rsid w:val="00BC0633"/>
    <w:rsid w:val="00BC213B"/>
    <w:rsid w:val="00BC2BAA"/>
    <w:rsid w:val="00BD7D8E"/>
    <w:rsid w:val="00BE0D37"/>
    <w:rsid w:val="00BE70B2"/>
    <w:rsid w:val="00BF21C0"/>
    <w:rsid w:val="00BF2205"/>
    <w:rsid w:val="00BF41D0"/>
    <w:rsid w:val="00C0510E"/>
    <w:rsid w:val="00C11784"/>
    <w:rsid w:val="00C12CB1"/>
    <w:rsid w:val="00C12CD7"/>
    <w:rsid w:val="00C24257"/>
    <w:rsid w:val="00C2674C"/>
    <w:rsid w:val="00C3088C"/>
    <w:rsid w:val="00C32944"/>
    <w:rsid w:val="00C340B9"/>
    <w:rsid w:val="00C423A1"/>
    <w:rsid w:val="00C44034"/>
    <w:rsid w:val="00C53D56"/>
    <w:rsid w:val="00C54596"/>
    <w:rsid w:val="00C57F09"/>
    <w:rsid w:val="00C60FFD"/>
    <w:rsid w:val="00C64FE9"/>
    <w:rsid w:val="00C65DEB"/>
    <w:rsid w:val="00C661EF"/>
    <w:rsid w:val="00C673F8"/>
    <w:rsid w:val="00C71B3B"/>
    <w:rsid w:val="00C723D9"/>
    <w:rsid w:val="00C72B19"/>
    <w:rsid w:val="00C74247"/>
    <w:rsid w:val="00C75032"/>
    <w:rsid w:val="00C756FD"/>
    <w:rsid w:val="00C90840"/>
    <w:rsid w:val="00C90F42"/>
    <w:rsid w:val="00C915BA"/>
    <w:rsid w:val="00C91D1F"/>
    <w:rsid w:val="00C9328D"/>
    <w:rsid w:val="00C976B1"/>
    <w:rsid w:val="00C97B30"/>
    <w:rsid w:val="00CA4AAA"/>
    <w:rsid w:val="00CA54C7"/>
    <w:rsid w:val="00CB11DF"/>
    <w:rsid w:val="00CB4338"/>
    <w:rsid w:val="00CB78B8"/>
    <w:rsid w:val="00CC612A"/>
    <w:rsid w:val="00CC61EA"/>
    <w:rsid w:val="00CD3B18"/>
    <w:rsid w:val="00CD4364"/>
    <w:rsid w:val="00CE127E"/>
    <w:rsid w:val="00CE1CCB"/>
    <w:rsid w:val="00CE2434"/>
    <w:rsid w:val="00CE4122"/>
    <w:rsid w:val="00CE5DEE"/>
    <w:rsid w:val="00D10CD0"/>
    <w:rsid w:val="00D13B74"/>
    <w:rsid w:val="00D20B9E"/>
    <w:rsid w:val="00D23ED2"/>
    <w:rsid w:val="00D23FD7"/>
    <w:rsid w:val="00D31976"/>
    <w:rsid w:val="00D34B1F"/>
    <w:rsid w:val="00D401CD"/>
    <w:rsid w:val="00D45129"/>
    <w:rsid w:val="00D50636"/>
    <w:rsid w:val="00D50BCD"/>
    <w:rsid w:val="00D6068F"/>
    <w:rsid w:val="00D65D41"/>
    <w:rsid w:val="00D76CEA"/>
    <w:rsid w:val="00D773BA"/>
    <w:rsid w:val="00D77F06"/>
    <w:rsid w:val="00D92D5D"/>
    <w:rsid w:val="00D95121"/>
    <w:rsid w:val="00DA0116"/>
    <w:rsid w:val="00DA760D"/>
    <w:rsid w:val="00DB49AB"/>
    <w:rsid w:val="00DB70A2"/>
    <w:rsid w:val="00DC241A"/>
    <w:rsid w:val="00DC3B53"/>
    <w:rsid w:val="00DC6242"/>
    <w:rsid w:val="00DD13FB"/>
    <w:rsid w:val="00DD315F"/>
    <w:rsid w:val="00DD4B84"/>
    <w:rsid w:val="00DE35B5"/>
    <w:rsid w:val="00DF6C2A"/>
    <w:rsid w:val="00E0369F"/>
    <w:rsid w:val="00E104BC"/>
    <w:rsid w:val="00E14BCF"/>
    <w:rsid w:val="00E25EF2"/>
    <w:rsid w:val="00E3025F"/>
    <w:rsid w:val="00E350B1"/>
    <w:rsid w:val="00E3613F"/>
    <w:rsid w:val="00E43CB5"/>
    <w:rsid w:val="00E44217"/>
    <w:rsid w:val="00E44B22"/>
    <w:rsid w:val="00E453EB"/>
    <w:rsid w:val="00E510FF"/>
    <w:rsid w:val="00E54C12"/>
    <w:rsid w:val="00E55993"/>
    <w:rsid w:val="00E5660E"/>
    <w:rsid w:val="00E6189A"/>
    <w:rsid w:val="00E646CE"/>
    <w:rsid w:val="00E70A53"/>
    <w:rsid w:val="00E712AD"/>
    <w:rsid w:val="00E72F2B"/>
    <w:rsid w:val="00E73779"/>
    <w:rsid w:val="00E80E39"/>
    <w:rsid w:val="00E82FF4"/>
    <w:rsid w:val="00E9235C"/>
    <w:rsid w:val="00E92548"/>
    <w:rsid w:val="00E940D5"/>
    <w:rsid w:val="00E95A79"/>
    <w:rsid w:val="00EA67B8"/>
    <w:rsid w:val="00EA6E44"/>
    <w:rsid w:val="00EA785B"/>
    <w:rsid w:val="00EB0582"/>
    <w:rsid w:val="00EB1279"/>
    <w:rsid w:val="00EB721B"/>
    <w:rsid w:val="00EC38D2"/>
    <w:rsid w:val="00EC653C"/>
    <w:rsid w:val="00EC6A2B"/>
    <w:rsid w:val="00EC6D7B"/>
    <w:rsid w:val="00ED035C"/>
    <w:rsid w:val="00ED147C"/>
    <w:rsid w:val="00ED6E16"/>
    <w:rsid w:val="00EE407D"/>
    <w:rsid w:val="00EE5EB5"/>
    <w:rsid w:val="00EE6BD4"/>
    <w:rsid w:val="00EE6E05"/>
    <w:rsid w:val="00EF0F31"/>
    <w:rsid w:val="00EF3AD4"/>
    <w:rsid w:val="00EF7935"/>
    <w:rsid w:val="00F02622"/>
    <w:rsid w:val="00F06DC2"/>
    <w:rsid w:val="00F10DDB"/>
    <w:rsid w:val="00F14026"/>
    <w:rsid w:val="00F1429E"/>
    <w:rsid w:val="00F15D09"/>
    <w:rsid w:val="00F1786F"/>
    <w:rsid w:val="00F21377"/>
    <w:rsid w:val="00F243CE"/>
    <w:rsid w:val="00F32C53"/>
    <w:rsid w:val="00F3409E"/>
    <w:rsid w:val="00F37694"/>
    <w:rsid w:val="00F40215"/>
    <w:rsid w:val="00F428C5"/>
    <w:rsid w:val="00F52882"/>
    <w:rsid w:val="00F57101"/>
    <w:rsid w:val="00F64A4B"/>
    <w:rsid w:val="00F70D40"/>
    <w:rsid w:val="00F716E5"/>
    <w:rsid w:val="00F74921"/>
    <w:rsid w:val="00F74C60"/>
    <w:rsid w:val="00F75F37"/>
    <w:rsid w:val="00F776BF"/>
    <w:rsid w:val="00F85C71"/>
    <w:rsid w:val="00F87B05"/>
    <w:rsid w:val="00FA41B8"/>
    <w:rsid w:val="00FA5027"/>
    <w:rsid w:val="00FB049B"/>
    <w:rsid w:val="00FB0D28"/>
    <w:rsid w:val="00FC27EF"/>
    <w:rsid w:val="00FD11BA"/>
    <w:rsid w:val="00FD196D"/>
    <w:rsid w:val="00FD467A"/>
    <w:rsid w:val="00FE232A"/>
    <w:rsid w:val="00FE5C53"/>
    <w:rsid w:val="00FE7B89"/>
    <w:rsid w:val="00FF1710"/>
    <w:rsid w:val="00FF352F"/>
    <w:rsid w:val="00FF3703"/>
    <w:rsid w:val="00FF7231"/>
    <w:rsid w:val="00FF7CBB"/>
    <w:rsid w:val="053E59B6"/>
    <w:rsid w:val="1B9E2A6F"/>
    <w:rsid w:val="204054BC"/>
    <w:rsid w:val="2A61EBF3"/>
    <w:rsid w:val="3CFE8BB7"/>
    <w:rsid w:val="41E26B07"/>
    <w:rsid w:val="48E2E95D"/>
    <w:rsid w:val="659FFA97"/>
    <w:rsid w:val="7765B94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8AA6C"/>
  <w15:docId w15:val="{75EB3976-F6A4-4963-A523-1E80FC948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B4338"/>
    <w:pPr>
      <w:spacing w:after="160" w:line="360" w:lineRule="auto"/>
      <w:jc w:val="both"/>
    </w:pPr>
    <w:rPr>
      <w:rFonts w:ascii="Arial" w:hAnsi="Arial"/>
      <w:sz w:val="22"/>
      <w:szCs w:val="22"/>
      <w:lang w:val="en-US" w:eastAsia="en-US"/>
    </w:rPr>
  </w:style>
  <w:style w:type="paragraph" w:styleId="Heading1">
    <w:name w:val="heading 1"/>
    <w:basedOn w:val="Normal"/>
    <w:next w:val="Normal"/>
    <w:link w:val="Heading1Char"/>
    <w:uiPriority w:val="9"/>
    <w:qFormat/>
    <w:rsid w:val="00CB4338"/>
    <w:pPr>
      <w:keepNext/>
      <w:keepLines/>
      <w:spacing w:before="360" w:after="80"/>
      <w:jc w:val="left"/>
      <w:outlineLvl w:val="0"/>
    </w:pPr>
    <w:rPr>
      <w:rFonts w:eastAsiaTheme="majorEastAsia" w:cstheme="majorBidi"/>
      <w:b/>
      <w:color w:val="000000" w:themeColor="text1"/>
      <w:sz w:val="24"/>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eastAsiaTheme="majorEastAsia" w:cstheme="majorBidi"/>
      <w:b/>
      <w:color w:val="000000" w:themeColor="text1"/>
      <w:kern w:val="2"/>
      <w:szCs w:val="32"/>
      <w:lang w:val="en-IN"/>
      <w14:ligatures w14:val="standardContextual"/>
    </w:rPr>
  </w:style>
  <w:style w:type="paragraph" w:styleId="Heading3">
    <w:name w:val="heading 3"/>
    <w:basedOn w:val="Normal"/>
    <w:next w:val="Normal"/>
    <w:link w:val="Heading3Char"/>
    <w:uiPriority w:val="9"/>
    <w:semiHidden/>
    <w:unhideWhenUsed/>
    <w:qFormat/>
    <w:pPr>
      <w:keepNext/>
      <w:keepLines/>
      <w:spacing w:before="40" w:after="0"/>
      <w:outlineLvl w:val="2"/>
    </w:pPr>
    <w:rPr>
      <w:rFonts w:eastAsiaTheme="majorEastAsia" w:cstheme="majorBidi"/>
      <w:b/>
      <w:color w:val="000000" w:themeColor="text1"/>
      <w:szCs w:val="30"/>
      <w:lang w:bidi="bn-IN"/>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asciiTheme="minorHAnsi" w:hAnsiTheme="minorHAnsi"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asciiTheme="minorHAnsi" w:hAnsiTheme="minorHAnsi" w:eastAsiaTheme="majorEastAsia" w:cstheme="majorBidi"/>
      <w:color w:val="262626" w:themeColor="text1" w:themeTint="D9"/>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Subtitle">
    <w:name w:val="Subtitle"/>
    <w:basedOn w:val="Normal"/>
    <w:next w:val="Normal"/>
    <w:link w:val="SubtitleChar"/>
    <w:uiPriority w:val="11"/>
    <w:qFormat/>
    <w:rPr>
      <w:rFonts w:asciiTheme="minorHAnsi" w:hAnsiTheme="minorHAnsi"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paragraph" w:styleId="TOC1">
    <w:name w:val="toc 1"/>
    <w:basedOn w:val="Normal"/>
    <w:next w:val="Normal"/>
    <w:autoRedefine/>
    <w:uiPriority w:val="39"/>
    <w:unhideWhenUsed/>
    <w:qFormat/>
    <w:rsid w:val="005C1619"/>
    <w:pPr>
      <w:tabs>
        <w:tab w:val="right" w:leader="dot" w:pos="9016"/>
      </w:tabs>
      <w:spacing w:after="100"/>
    </w:pPr>
  </w:style>
  <w:style w:type="paragraph" w:styleId="TOC2">
    <w:name w:val="toc 2"/>
    <w:basedOn w:val="Normal"/>
    <w:next w:val="Normal"/>
    <w:autoRedefine/>
    <w:uiPriority w:val="39"/>
    <w:unhideWhenUsed/>
    <w:qFormat/>
    <w:pPr>
      <w:spacing w:after="100"/>
      <w:ind w:left="240"/>
    </w:pPr>
  </w:style>
  <w:style w:type="character" w:styleId="Heading1Char" w:customStyle="1">
    <w:name w:val="Heading 1 Char"/>
    <w:basedOn w:val="DefaultParagraphFont"/>
    <w:link w:val="Heading1"/>
    <w:uiPriority w:val="9"/>
    <w:qFormat/>
    <w:rsid w:val="00CB4338"/>
    <w:rPr>
      <w:rFonts w:ascii="Arial" w:hAnsi="Arial" w:eastAsiaTheme="majorEastAsia" w:cstheme="majorBidi"/>
      <w:b/>
      <w:color w:val="000000" w:themeColor="text1"/>
      <w:sz w:val="24"/>
      <w:szCs w:val="40"/>
      <w:lang w:val="en-US" w:eastAsia="en-US"/>
    </w:rPr>
  </w:style>
  <w:style w:type="character" w:styleId="Heading2Char" w:customStyle="1">
    <w:name w:val="Heading 2 Char"/>
    <w:basedOn w:val="DefaultParagraphFont"/>
    <w:link w:val="Heading2"/>
    <w:uiPriority w:val="9"/>
    <w:qFormat/>
    <w:rPr>
      <w:rFonts w:ascii="Times New Roman" w:hAnsi="Times New Roman" w:eastAsiaTheme="majorEastAsia" w:cstheme="majorBidi"/>
      <w:b/>
      <w:color w:val="000000" w:themeColor="text1"/>
      <w:szCs w:val="32"/>
    </w:rPr>
  </w:style>
  <w:style w:type="character" w:styleId="Heading3Char" w:customStyle="1">
    <w:name w:val="Heading 3 Char"/>
    <w:basedOn w:val="DefaultParagraphFont"/>
    <w:link w:val="Heading3"/>
    <w:uiPriority w:val="9"/>
    <w:semiHidden/>
    <w:qFormat/>
    <w:rPr>
      <w:rFonts w:ascii="Times New Roman" w:hAnsi="Times New Roman" w:eastAsiaTheme="majorEastAsia" w:cstheme="majorBidi"/>
      <w:b/>
      <w:color w:val="000000" w:themeColor="text1"/>
      <w:szCs w:val="30"/>
      <w:lang w:bidi="bn-IN"/>
    </w:rPr>
  </w:style>
  <w:style w:type="character" w:styleId="Heading4Char" w:customStyle="1">
    <w:name w:val="Heading 4 Char"/>
    <w:basedOn w:val="DefaultParagraphFont"/>
    <w:link w:val="Heading4"/>
    <w:uiPriority w:val="9"/>
    <w:semiHidden/>
    <w:qFormat/>
    <w:rPr>
      <w:rFonts w:eastAsiaTheme="majorEastAsia" w:cstheme="majorBidi"/>
      <w:i/>
      <w:iCs/>
      <w:color w:val="2F5496" w:themeColor="accent1" w:themeShade="BF"/>
      <w:kern w:val="0"/>
      <w:szCs w:val="22"/>
      <w:lang w:val="en-US"/>
      <w14:ligatures w14:val="none"/>
    </w:rPr>
  </w:style>
  <w:style w:type="character" w:styleId="Heading5Char" w:customStyle="1">
    <w:name w:val="Heading 5 Char"/>
    <w:basedOn w:val="DefaultParagraphFont"/>
    <w:link w:val="Heading5"/>
    <w:uiPriority w:val="9"/>
    <w:semiHidden/>
    <w:qFormat/>
    <w:rPr>
      <w:rFonts w:eastAsiaTheme="majorEastAsia" w:cstheme="majorBidi"/>
      <w:color w:val="2F5496" w:themeColor="accent1" w:themeShade="BF"/>
      <w:kern w:val="0"/>
      <w:szCs w:val="22"/>
      <w:lang w:val="en-US"/>
      <w14:ligatures w14:val="none"/>
    </w:rPr>
  </w:style>
  <w:style w:type="character" w:styleId="Heading6Char" w:customStyle="1">
    <w:name w:val="Heading 6 Char"/>
    <w:basedOn w:val="DefaultParagraphFont"/>
    <w:link w:val="Heading6"/>
    <w:uiPriority w:val="9"/>
    <w:semiHidden/>
    <w:qFormat/>
    <w:rPr>
      <w:rFonts w:eastAsiaTheme="majorEastAsia" w:cstheme="majorBidi"/>
      <w:i/>
      <w:iCs/>
      <w:color w:val="595959" w:themeColor="text1" w:themeTint="A6"/>
      <w:kern w:val="0"/>
      <w:szCs w:val="22"/>
      <w:lang w:val="en-US"/>
      <w14:ligatures w14:val="none"/>
    </w:rPr>
  </w:style>
  <w:style w:type="character" w:styleId="Heading7Char" w:customStyle="1">
    <w:name w:val="Heading 7 Char"/>
    <w:basedOn w:val="DefaultParagraphFont"/>
    <w:link w:val="Heading7"/>
    <w:uiPriority w:val="9"/>
    <w:semiHidden/>
    <w:qFormat/>
    <w:rPr>
      <w:rFonts w:eastAsiaTheme="majorEastAsia" w:cstheme="majorBidi"/>
      <w:color w:val="595959" w:themeColor="text1" w:themeTint="A6"/>
      <w:kern w:val="0"/>
      <w:szCs w:val="22"/>
      <w:lang w:val="en-US"/>
      <w14:ligatures w14:val="none"/>
    </w:rPr>
  </w:style>
  <w:style w:type="character" w:styleId="Heading8Char" w:customStyle="1">
    <w:name w:val="Heading 8 Char"/>
    <w:basedOn w:val="DefaultParagraphFont"/>
    <w:link w:val="Heading8"/>
    <w:uiPriority w:val="9"/>
    <w:semiHidden/>
    <w:qFormat/>
    <w:rPr>
      <w:rFonts w:eastAsiaTheme="majorEastAsia" w:cstheme="majorBidi"/>
      <w:i/>
      <w:iCs/>
      <w:color w:val="262626" w:themeColor="text1" w:themeTint="D9"/>
      <w:kern w:val="0"/>
      <w:szCs w:val="22"/>
      <w:lang w:val="en-US"/>
      <w14:ligatures w14:val="none"/>
    </w:rPr>
  </w:style>
  <w:style w:type="character" w:styleId="Heading9Char" w:customStyle="1">
    <w:name w:val="Heading 9 Char"/>
    <w:basedOn w:val="DefaultParagraphFont"/>
    <w:link w:val="Heading9"/>
    <w:uiPriority w:val="9"/>
    <w:semiHidden/>
    <w:qFormat/>
    <w:rPr>
      <w:rFonts w:eastAsiaTheme="majorEastAsia" w:cstheme="majorBidi"/>
      <w:color w:val="262626" w:themeColor="text1" w:themeTint="D9"/>
      <w:kern w:val="0"/>
      <w:szCs w:val="22"/>
      <w:lang w:val="en-US"/>
      <w14:ligatures w14:val="none"/>
    </w:rPr>
  </w:style>
  <w:style w:type="character" w:styleId="TitleChar" w:customStyle="1">
    <w:name w:val="Title Char"/>
    <w:basedOn w:val="DefaultParagraphFont"/>
    <w:link w:val="Title"/>
    <w:uiPriority w:val="10"/>
    <w:qFormat/>
    <w:rPr>
      <w:rFonts w:asciiTheme="majorHAnsi" w:hAnsiTheme="majorHAnsi" w:eastAsiaTheme="majorEastAsia" w:cstheme="majorBidi"/>
      <w:spacing w:val="-10"/>
      <w:kern w:val="28"/>
      <w:sz w:val="56"/>
      <w:szCs w:val="56"/>
      <w:lang w:val="en-US"/>
      <w14:ligatures w14:val="none"/>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kern w:val="0"/>
      <w:sz w:val="28"/>
      <w:szCs w:val="28"/>
      <w:lang w:val="en-US"/>
      <w14:ligatures w14:val="none"/>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qFormat/>
    <w:rPr>
      <w:rFonts w:ascii="Times New Roman" w:hAnsi="Times New Roman"/>
      <w:i/>
      <w:iCs/>
      <w:color w:val="404040" w:themeColor="text1" w:themeTint="BF"/>
      <w:kern w:val="0"/>
      <w:szCs w:val="22"/>
      <w:lang w:val="en-US"/>
      <w14:ligatures w14:val="none"/>
    </w:rPr>
  </w:style>
  <w:style w:type="paragraph" w:styleId="ListParagraph">
    <w:name w:val="List Paragraph"/>
    <w:basedOn w:val="Normal"/>
    <w:uiPriority w:val="34"/>
    <w:qFormat/>
    <w:pPr>
      <w:ind w:left="720"/>
      <w:contextualSpacing/>
    </w:pPr>
  </w:style>
  <w:style w:type="character" w:styleId="IntenseEmphasis1" w:customStyle="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qFormat/>
    <w:rPr>
      <w:rFonts w:ascii="Times New Roman" w:hAnsi="Times New Roman"/>
      <w:i/>
      <w:iCs/>
      <w:color w:val="2F5496" w:themeColor="accent1" w:themeShade="BF"/>
      <w:kern w:val="0"/>
      <w:szCs w:val="22"/>
      <w:lang w:val="en-US"/>
      <w14:ligatures w14:val="none"/>
    </w:rPr>
  </w:style>
  <w:style w:type="character" w:styleId="IntenseReference1" w:customStyle="1">
    <w:name w:val="Intense Reference1"/>
    <w:basedOn w:val="DefaultParagraphFont"/>
    <w:uiPriority w:val="32"/>
    <w:qFormat/>
    <w:rPr>
      <w:b/>
      <w:bCs/>
      <w:smallCaps/>
      <w:color w:val="2F5496" w:themeColor="accent1" w:themeShade="BF"/>
      <w:spacing w:val="5"/>
    </w:rPr>
  </w:style>
  <w:style w:type="character" w:styleId="UnresolvedMention1" w:customStyle="1">
    <w:name w:val="Unresolved Mention1"/>
    <w:basedOn w:val="DefaultParagraphFont"/>
    <w:uiPriority w:val="99"/>
    <w:semiHidden/>
    <w:unhideWhenUsed/>
    <w:qFormat/>
    <w:rPr>
      <w:color w:val="605E5C"/>
      <w:shd w:val="clear" w:color="auto" w:fill="E1DFDD"/>
    </w:rPr>
  </w:style>
  <w:style w:type="character" w:styleId="HeaderChar" w:customStyle="1">
    <w:name w:val="Header Char"/>
    <w:basedOn w:val="DefaultParagraphFont"/>
    <w:link w:val="Header"/>
    <w:uiPriority w:val="99"/>
    <w:qFormat/>
    <w:rPr>
      <w:rFonts w:ascii="Times New Roman" w:hAnsi="Times New Roman"/>
      <w:kern w:val="0"/>
      <w:szCs w:val="22"/>
      <w:lang w:val="en-US"/>
      <w14:ligatures w14:val="none"/>
    </w:rPr>
  </w:style>
  <w:style w:type="character" w:styleId="FooterChar" w:customStyle="1">
    <w:name w:val="Footer Char"/>
    <w:basedOn w:val="DefaultParagraphFont"/>
    <w:link w:val="Footer"/>
    <w:uiPriority w:val="99"/>
    <w:qFormat/>
    <w:rPr>
      <w:rFonts w:ascii="Times New Roman" w:hAnsi="Times New Roman"/>
      <w:kern w:val="0"/>
      <w:szCs w:val="22"/>
      <w:lang w:val="en-US"/>
      <w14:ligatures w14:val="none"/>
    </w:rPr>
  </w:style>
  <w:style w:type="paragraph" w:styleId="TOCHeading1" w:customStyle="1">
    <w:name w:val="TOC Heading1"/>
    <w:basedOn w:val="Heading1"/>
    <w:next w:val="Normal"/>
    <w:uiPriority w:val="39"/>
    <w:unhideWhenUsed/>
    <w:qFormat/>
    <w:pPr>
      <w:spacing w:before="240" w:after="0"/>
      <w:outlineLvl w:val="9"/>
    </w:pPr>
    <w:rPr>
      <w:rFonts w:asciiTheme="majorHAnsi" w:hAnsiTheme="majorHAnsi"/>
      <w:b w:val="0"/>
      <w:color w:val="2F5496" w:themeColor="accent1" w:themeShade="BF"/>
      <w:sz w:val="32"/>
      <w:szCs w:val="32"/>
    </w:rPr>
  </w:style>
  <w:style w:type="paragraph" w:styleId="TOCHeading">
    <w:name w:val="TOC Heading"/>
    <w:basedOn w:val="Heading1"/>
    <w:next w:val="Normal"/>
    <w:uiPriority w:val="39"/>
    <w:unhideWhenUsed/>
    <w:qFormat/>
    <w:rsid w:val="00CB4338"/>
    <w:pPr>
      <w:spacing w:before="240" w:after="0" w:line="259" w:lineRule="auto"/>
      <w:outlineLvl w:val="9"/>
    </w:pPr>
    <w:rPr>
      <w:rFonts w:asciiTheme="majorHAnsi" w:hAnsiTheme="majorHAnsi"/>
      <w:b w:val="0"/>
      <w:color w:val="2F5496" w:themeColor="accent1" w:themeShade="BF"/>
      <w:sz w:val="32"/>
      <w:szCs w:val="32"/>
    </w:rPr>
  </w:style>
  <w:style w:type="character" w:styleId="UnresolvedMention">
    <w:name w:val="Unresolved Mention"/>
    <w:basedOn w:val="DefaultParagraphFont"/>
    <w:uiPriority w:val="99"/>
    <w:semiHidden/>
    <w:unhideWhenUsed/>
    <w:rsid w:val="00064E37"/>
    <w:rPr>
      <w:color w:val="605E5C"/>
      <w:shd w:val="clear" w:color="auto" w:fill="E1DFDD"/>
    </w:rPr>
  </w:style>
  <w:style w:type="paragraph" w:styleId="Caption">
    <w:name w:val="caption"/>
    <w:basedOn w:val="Normal"/>
    <w:next w:val="Normal"/>
    <w:uiPriority w:val="35"/>
    <w:unhideWhenUsed/>
    <w:qFormat/>
    <w:rsid w:val="00DD315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A4CD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doi.org/10.1136/bmjopen-2023-080827" TargetMode="External" Id="rId13" /><Relationship Type="http://schemas.openxmlformats.org/officeDocument/2006/relationships/hyperlink" Target="https://www.gov.uk/government/publications/tuberculosis-in-england-2025-report/1-tuberculosis-incidence-and-epidemiology-england-2024" TargetMode="External" Id="rId18" /><Relationship Type="http://schemas.openxmlformats.org/officeDocument/2006/relationships/header" Target="header1.xml" Id="rId26" /><Relationship Type="http://schemas.openxmlformats.org/officeDocument/2006/relationships/settings" Target="settings.xml" Id="rId3" /><Relationship Type="http://schemas.openxmlformats.org/officeDocument/2006/relationships/hyperlink" Target="https://www.who.int/news-room/questions-and-answers/item/determinants-of-health" TargetMode="External" Id="rId21" /><Relationship Type="http://schemas.openxmlformats.org/officeDocument/2006/relationships/image" Target="media/image1.emf" Id="rId7" /><Relationship Type="http://schemas.openxmlformats.org/officeDocument/2006/relationships/hyperlink" Target="https://doi.org/10.1186/s40249-024-01257-6" TargetMode="External" Id="rId12" /><Relationship Type="http://schemas.openxmlformats.org/officeDocument/2006/relationships/hyperlink" Target="https://doi.org/10.4103/jgid.jgid_112_24" TargetMode="External" Id="rId17" /><Relationship Type="http://schemas.openxmlformats.org/officeDocument/2006/relationships/hyperlink" Target="https://doi.org/10.1007/s40121-025-01221-3" TargetMode="External" Id="rId25" /><Relationship Type="http://schemas.openxmlformats.org/officeDocument/2006/relationships/styles" Target="styles.xml" Id="rId2" /><Relationship Type="http://schemas.openxmlformats.org/officeDocument/2006/relationships/hyperlink" Target="https://doi.org/10.1016/b978-0-12-801282-6.00003-6" TargetMode="External" Id="rId16" /><Relationship Type="http://schemas.openxmlformats.org/officeDocument/2006/relationships/hyperlink" Target="https://www.who.int/health-topics/social-determinants-of-health" TargetMode="Externa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doi.org/10.1016/j.ijid.2025.107880" TargetMode="External" Id="rId11" /><Relationship Type="http://schemas.openxmlformats.org/officeDocument/2006/relationships/hyperlink" Target="https://doi.org/10.1136/bmjgh-2024-015633" TargetMode="External" Id="rId24" /><Relationship Type="http://schemas.openxmlformats.org/officeDocument/2006/relationships/footnotes" Target="footnotes.xml" Id="rId5" /><Relationship Type="http://schemas.openxmlformats.org/officeDocument/2006/relationships/hyperlink" Target="https://doi.org/10.1016/j.micpath.2025.107843" TargetMode="External" Id="rId15" /><Relationship Type="http://schemas.openxmlformats.org/officeDocument/2006/relationships/hyperlink" Target="https://doi.org/10.3389/fcimb.2025.1567592" TargetMode="External" Id="rId23" /><Relationship Type="http://schemas.openxmlformats.org/officeDocument/2006/relationships/theme" Target="theme/theme1.xml" Id="rId28" /><Relationship Type="http://schemas.openxmlformats.org/officeDocument/2006/relationships/hyperlink" Target="https://doi.org/10.1002/puh2.70156" TargetMode="External" Id="rId10" /><Relationship Type="http://schemas.openxmlformats.org/officeDocument/2006/relationships/hyperlink" Target="https://www.un.org/sustainabledevelopment/sustainable-development-goals/" TargetMode="External" Id="rId19" /><Relationship Type="http://schemas.openxmlformats.org/officeDocument/2006/relationships/webSettings" Target="webSettings.xml" Id="rId4" /><Relationship Type="http://schemas.openxmlformats.org/officeDocument/2006/relationships/image" Target="media/image3.jfif" Id="rId9" /><Relationship Type="http://schemas.openxmlformats.org/officeDocument/2006/relationships/hyperlink" Target="https://doi.org/10.1017/cbo9781139192484.004" TargetMode="External" Id="rId14" /><Relationship Type="http://schemas.openxmlformats.org/officeDocument/2006/relationships/hyperlink" Target="https://iris.who.int/server/api/core/bitstreams/e97dd6f4-b567-4396-8680-717bac6869a9/content" TargetMode="External" Id="rId22" /><Relationship Type="http://schemas.openxmlformats.org/officeDocument/2006/relationships/fontTable" Target="fontTable.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2EFB3-3195-4BFA-8D01-79F3FCD0C46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2025-12-08T03:47:00.0000000Z</dcterms:created>
  <dcterms:modified xsi:type="dcterms:W3CDTF">2026-04-20T19:48:58.2416919Z</dcterms:modified>
  <lastModifiedBy>Cynthia Philip D Costa E Afonso (2437224)</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B32015ACF5F844B38F9BD2468203B175_12</vt:lpwstr>
  </property>
</Properties>
</file>