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5128" w:rsidRDefault="005F5128" w:rsidP="005F5128">
      <w:r w:rsidRPr="00F0191E">
        <w:rPr>
          <w:noProof/>
        </w:rPr>
        <w:drawing>
          <wp:inline distT="0" distB="0" distL="0" distR="0">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5F5128" w:rsidRDefault="005F5128" w:rsidP="005F5128"/>
    <w:p w:rsidR="005F5128" w:rsidRPr="00427418" w:rsidRDefault="005F5128" w:rsidP="005F5128">
      <w:pPr>
        <w:rPr>
          <w:lang w:val="bg-BG"/>
        </w:rPr>
      </w:pPr>
    </w:p>
    <w:p w:rsidR="005F5128" w:rsidRDefault="005F5128" w:rsidP="005F5128"/>
    <w:p w:rsidR="005F5128" w:rsidRPr="00803A21" w:rsidRDefault="005F5128" w:rsidP="005F5128">
      <w:pPr>
        <w:jc w:val="center"/>
        <w:rPr>
          <w:rFonts w:ascii="Arial" w:hAnsi="Arial" w:cs="Arial"/>
          <w:b/>
          <w:bCs/>
        </w:rPr>
      </w:pPr>
      <w:r w:rsidRPr="00803A21">
        <w:rPr>
          <w:rFonts w:ascii="Arial" w:hAnsi="Arial" w:cs="Arial"/>
          <w:b/>
          <w:bCs/>
        </w:rPr>
        <w:t>BA BUSINESS MANAGEMENT</w:t>
      </w:r>
    </w:p>
    <w:p w:rsidR="005F5128" w:rsidRPr="00803A21" w:rsidRDefault="005F5128" w:rsidP="005F5128">
      <w:pPr>
        <w:jc w:val="center"/>
        <w:rPr>
          <w:rFonts w:ascii="Arial" w:hAnsi="Arial" w:cs="Arial"/>
          <w:b/>
          <w:bCs/>
        </w:rPr>
      </w:pPr>
      <w:r w:rsidRPr="00803A21">
        <w:rPr>
          <w:rFonts w:ascii="Arial" w:hAnsi="Arial" w:cs="Arial"/>
          <w:b/>
          <w:bCs/>
        </w:rPr>
        <w:t>Assignment 1</w:t>
      </w:r>
    </w:p>
    <w:p w:rsidR="005F5128" w:rsidRPr="00803A21" w:rsidRDefault="005F5128" w:rsidP="005F5128">
      <w:pPr>
        <w:rPr>
          <w:rFonts w:ascii="Arial" w:hAnsi="Arial" w:cs="Arial"/>
        </w:rPr>
      </w:pPr>
    </w:p>
    <w:p w:rsidR="005F5128" w:rsidRPr="00803A21" w:rsidRDefault="005F5128" w:rsidP="005F5128">
      <w:pPr>
        <w:rPr>
          <w:rFonts w:ascii="Arial" w:hAnsi="Arial" w:cs="Arial"/>
        </w:rPr>
      </w:pPr>
    </w:p>
    <w:p w:rsidR="005F5128" w:rsidRPr="00803A21" w:rsidRDefault="005F5128" w:rsidP="005F5128">
      <w:pPr>
        <w:rPr>
          <w:rFonts w:ascii="Arial" w:hAnsi="Arial" w:cs="Arial"/>
        </w:rPr>
      </w:pPr>
    </w:p>
    <w:p w:rsidR="005F5128" w:rsidRPr="00803A21" w:rsidRDefault="005F5128" w:rsidP="005F5128">
      <w:pPr>
        <w:rPr>
          <w:rFonts w:ascii="Arial" w:hAnsi="Arial" w:cs="Arial"/>
        </w:rPr>
      </w:pPr>
    </w:p>
    <w:p w:rsidR="005F5128" w:rsidRPr="00803A21" w:rsidRDefault="005F5128" w:rsidP="005F5128">
      <w:pPr>
        <w:rPr>
          <w:rFonts w:ascii="Arial" w:hAnsi="Arial" w:cs="Arial"/>
        </w:rPr>
      </w:pPr>
      <w:r w:rsidRPr="00803A21">
        <w:rPr>
          <w:rFonts w:ascii="Arial" w:hAnsi="Arial" w:cs="Arial"/>
          <w:b/>
          <w:bCs/>
        </w:rPr>
        <w:t>Module</w:t>
      </w:r>
      <w:r w:rsidRPr="00803A21">
        <w:rPr>
          <w:rFonts w:ascii="Arial" w:hAnsi="Arial" w:cs="Arial"/>
        </w:rPr>
        <w:t xml:space="preserve">: </w:t>
      </w:r>
      <w:r w:rsidRPr="005F5128">
        <w:rPr>
          <w:rFonts w:ascii="Arial" w:hAnsi="Arial" w:cs="Arial"/>
          <w:bCs/>
        </w:rPr>
        <w:t>International Business Communication</w:t>
      </w:r>
    </w:p>
    <w:p w:rsidR="005F5128" w:rsidRPr="00803A21" w:rsidRDefault="005F5128" w:rsidP="005F5128">
      <w:pPr>
        <w:rPr>
          <w:rFonts w:ascii="Arial" w:hAnsi="Arial" w:cs="Arial"/>
        </w:rPr>
      </w:pPr>
      <w:r w:rsidRPr="00803A21">
        <w:rPr>
          <w:rFonts w:ascii="Arial" w:hAnsi="Arial" w:cs="Arial"/>
          <w:b/>
          <w:bCs/>
        </w:rPr>
        <w:t>Code</w:t>
      </w:r>
      <w:r w:rsidRPr="00803A21">
        <w:rPr>
          <w:rFonts w:ascii="Arial" w:hAnsi="Arial" w:cs="Arial"/>
        </w:rPr>
        <w:t>: LCBB</w:t>
      </w:r>
      <w:r>
        <w:rPr>
          <w:rFonts w:ascii="Arial" w:hAnsi="Arial" w:cs="Arial"/>
        </w:rPr>
        <w:t>6001</w:t>
      </w:r>
    </w:p>
    <w:p w:rsidR="005F5128" w:rsidRPr="00803A21" w:rsidRDefault="005F5128" w:rsidP="005F5128">
      <w:pPr>
        <w:rPr>
          <w:rFonts w:ascii="Arial" w:hAnsi="Arial" w:cs="Arial"/>
        </w:rPr>
      </w:pPr>
      <w:r w:rsidRPr="00803A21">
        <w:rPr>
          <w:rFonts w:ascii="Arial" w:hAnsi="Arial" w:cs="Arial"/>
          <w:b/>
          <w:bCs/>
        </w:rPr>
        <w:t>Lecturer</w:t>
      </w:r>
      <w:r w:rsidRPr="00803A21">
        <w:rPr>
          <w:rFonts w:ascii="Arial" w:hAnsi="Arial" w:cs="Arial"/>
        </w:rPr>
        <w:t>:</w:t>
      </w:r>
      <w:r w:rsidR="007C193F">
        <w:rPr>
          <w:rFonts w:ascii="Arial" w:hAnsi="Arial" w:cs="Arial"/>
        </w:rPr>
        <w:t xml:space="preserve"> Mr.</w:t>
      </w:r>
      <w:r w:rsidRPr="00803A21">
        <w:rPr>
          <w:rFonts w:ascii="Arial" w:hAnsi="Arial" w:cs="Arial"/>
        </w:rPr>
        <w:t xml:space="preserve"> </w:t>
      </w:r>
      <w:r w:rsidRPr="005F5128">
        <w:rPr>
          <w:rFonts w:ascii="Arial" w:hAnsi="Arial" w:cs="Arial"/>
          <w:lang w:val="en-US"/>
        </w:rPr>
        <w:t xml:space="preserve">Afzal Munna </w:t>
      </w:r>
    </w:p>
    <w:p w:rsidR="005F5128" w:rsidRPr="00803A21" w:rsidRDefault="005F5128" w:rsidP="005F5128">
      <w:pPr>
        <w:rPr>
          <w:rFonts w:ascii="Arial" w:hAnsi="Arial" w:cs="Arial"/>
          <w:b/>
          <w:bCs/>
        </w:rPr>
      </w:pPr>
      <w:r w:rsidRPr="00803A21">
        <w:rPr>
          <w:rFonts w:ascii="Arial" w:hAnsi="Arial" w:cs="Arial"/>
          <w:b/>
          <w:bCs/>
        </w:rPr>
        <w:t xml:space="preserve">Name: </w:t>
      </w:r>
      <w:r w:rsidRPr="00803A21">
        <w:rPr>
          <w:rFonts w:ascii="Arial" w:hAnsi="Arial" w:cs="Arial"/>
        </w:rPr>
        <w:t>Borislav Nenkov</w:t>
      </w:r>
    </w:p>
    <w:p w:rsidR="005F5128" w:rsidRPr="00803A21" w:rsidRDefault="005F5128" w:rsidP="005F5128">
      <w:pPr>
        <w:rPr>
          <w:rFonts w:ascii="Arial" w:hAnsi="Arial" w:cs="Arial"/>
          <w:b/>
          <w:bCs/>
        </w:rPr>
      </w:pPr>
      <w:r w:rsidRPr="00803A21">
        <w:rPr>
          <w:rFonts w:ascii="Arial" w:hAnsi="Arial" w:cs="Arial"/>
          <w:b/>
          <w:bCs/>
        </w:rPr>
        <w:t xml:space="preserve">Student </w:t>
      </w:r>
      <w:r w:rsidRPr="00803A21">
        <w:rPr>
          <w:rFonts w:ascii="Arial" w:hAnsi="Arial" w:cs="Arial"/>
        </w:rPr>
        <w:t>ID:2242940</w:t>
      </w:r>
    </w:p>
    <w:p w:rsidR="005F5128" w:rsidRPr="00803A21" w:rsidRDefault="005F5128" w:rsidP="005F5128">
      <w:pPr>
        <w:jc w:val="center"/>
        <w:rPr>
          <w:rFonts w:ascii="Arial" w:hAnsi="Arial" w:cs="Arial"/>
          <w:b/>
          <w:bCs/>
        </w:rPr>
      </w:pPr>
    </w:p>
    <w:p w:rsidR="005F5128" w:rsidRPr="00803A21" w:rsidRDefault="005F5128" w:rsidP="005F5128">
      <w:pPr>
        <w:jc w:val="center"/>
        <w:rPr>
          <w:rFonts w:ascii="Arial" w:hAnsi="Arial" w:cs="Arial"/>
          <w:b/>
          <w:bCs/>
        </w:rPr>
      </w:pPr>
    </w:p>
    <w:p w:rsidR="005F5128" w:rsidRPr="00803A21" w:rsidRDefault="005F5128" w:rsidP="005F5128">
      <w:pPr>
        <w:rPr>
          <w:rFonts w:ascii="Arial" w:hAnsi="Arial" w:cs="Arial"/>
          <w:b/>
          <w:bCs/>
        </w:rPr>
      </w:pPr>
    </w:p>
    <w:p w:rsidR="005F5128" w:rsidRPr="00803A21" w:rsidRDefault="005F5128" w:rsidP="005F5128">
      <w:pPr>
        <w:rPr>
          <w:rFonts w:ascii="Arial" w:hAnsi="Arial" w:cs="Arial"/>
          <w:b/>
          <w:bCs/>
        </w:rPr>
      </w:pPr>
    </w:p>
    <w:p w:rsidR="005F5128" w:rsidRPr="00803A21" w:rsidRDefault="005F5128" w:rsidP="005F5128">
      <w:pPr>
        <w:rPr>
          <w:rFonts w:ascii="Arial" w:hAnsi="Arial" w:cs="Arial"/>
          <w:b/>
          <w:bCs/>
        </w:rPr>
      </w:pPr>
    </w:p>
    <w:p w:rsidR="005F5128" w:rsidRPr="00803A21" w:rsidRDefault="005F5128" w:rsidP="005F5128">
      <w:pPr>
        <w:rPr>
          <w:rFonts w:ascii="Arial" w:hAnsi="Arial" w:cs="Arial"/>
          <w:b/>
          <w:bCs/>
        </w:rPr>
      </w:pPr>
    </w:p>
    <w:p w:rsidR="005F5128" w:rsidRPr="00803A21" w:rsidRDefault="005F5128" w:rsidP="005F5128">
      <w:pPr>
        <w:rPr>
          <w:rFonts w:ascii="Arial" w:hAnsi="Arial" w:cs="Arial"/>
          <w:b/>
          <w:bCs/>
        </w:rPr>
      </w:pPr>
    </w:p>
    <w:p w:rsidR="005F5128" w:rsidRPr="00803A21" w:rsidRDefault="005F5128" w:rsidP="005F5128">
      <w:pPr>
        <w:rPr>
          <w:rFonts w:ascii="Arial" w:hAnsi="Arial" w:cs="Arial"/>
          <w:b/>
          <w:bCs/>
        </w:rPr>
      </w:pPr>
    </w:p>
    <w:p w:rsidR="005F5128" w:rsidRDefault="005F5128" w:rsidP="005F5128">
      <w:pPr>
        <w:jc w:val="center"/>
        <w:rPr>
          <w:rFonts w:ascii="Arial" w:hAnsi="Arial" w:cs="Arial"/>
          <w:b/>
          <w:bCs/>
        </w:rPr>
      </w:pPr>
      <w:r w:rsidRPr="00803A21">
        <w:rPr>
          <w:rFonts w:ascii="Arial" w:hAnsi="Arial" w:cs="Arial"/>
          <w:b/>
          <w:bCs/>
        </w:rPr>
        <w:t xml:space="preserve">SUBMITTED ON THE </w:t>
      </w:r>
      <w:r>
        <w:rPr>
          <w:rFonts w:ascii="Arial" w:hAnsi="Arial" w:cs="Arial"/>
          <w:b/>
          <w:bCs/>
        </w:rPr>
        <w:t>2</w:t>
      </w:r>
      <w:r w:rsidR="004707D5">
        <w:rPr>
          <w:rFonts w:ascii="Arial" w:hAnsi="Arial" w:cs="Arial"/>
          <w:b/>
          <w:bCs/>
        </w:rPr>
        <w:t>3</w:t>
      </w:r>
      <w:r w:rsidR="000856D0">
        <w:rPr>
          <w:rFonts w:ascii="Arial" w:hAnsi="Arial" w:cs="Arial"/>
          <w:b/>
          <w:bCs/>
          <w:vertAlign w:val="superscript"/>
        </w:rPr>
        <w:t>t</w:t>
      </w:r>
      <w:r>
        <w:rPr>
          <w:rFonts w:ascii="Arial" w:hAnsi="Arial" w:cs="Arial"/>
          <w:b/>
          <w:bCs/>
          <w:vertAlign w:val="superscript"/>
        </w:rPr>
        <w:t>h</w:t>
      </w:r>
      <w:r w:rsidRPr="00803A21">
        <w:rPr>
          <w:rFonts w:ascii="Arial" w:hAnsi="Arial" w:cs="Arial"/>
          <w:b/>
          <w:bCs/>
        </w:rPr>
        <w:t xml:space="preserve"> </w:t>
      </w:r>
      <w:r w:rsidR="000856D0">
        <w:rPr>
          <w:rFonts w:ascii="Arial" w:hAnsi="Arial" w:cs="Arial"/>
          <w:b/>
          <w:bCs/>
        </w:rPr>
        <w:t>July</w:t>
      </w:r>
      <w:r>
        <w:rPr>
          <w:rFonts w:ascii="Arial" w:hAnsi="Arial" w:cs="Arial"/>
          <w:b/>
          <w:bCs/>
        </w:rPr>
        <w:t xml:space="preserve"> 2025</w:t>
      </w:r>
      <w:r w:rsidRPr="00803A21">
        <w:rPr>
          <w:rFonts w:ascii="Arial" w:hAnsi="Arial" w:cs="Arial"/>
          <w:b/>
          <w:bCs/>
        </w:rPr>
        <w:t xml:space="preserve"> </w:t>
      </w:r>
    </w:p>
    <w:p w:rsidR="00E3763B" w:rsidRDefault="00E3763B"/>
    <w:sdt>
      <w:sdtPr>
        <w:id w:val="1436711691"/>
        <w:docPartObj>
          <w:docPartGallery w:val="Table of Contents"/>
          <w:docPartUnique/>
        </w:docPartObj>
      </w:sdtPr>
      <w:sdtEndPr>
        <w:rPr>
          <w:b/>
          <w:bCs/>
        </w:rPr>
      </w:sdtEndPr>
      <w:sdtContent>
        <w:sdt>
          <w:sdtPr>
            <w:id w:val="1016920"/>
            <w:docPartObj>
              <w:docPartGallery w:val="Table of Contents"/>
              <w:docPartUnique/>
            </w:docPartObj>
          </w:sdtPr>
          <w:sdtEndPr>
            <w:rPr>
              <w:b/>
              <w:bCs/>
            </w:rPr>
          </w:sdtEndPr>
          <w:sdtContent>
            <w:p w:rsidR="000856D0" w:rsidRPr="00EA6F9F" w:rsidRDefault="000856D0" w:rsidP="000856D0">
              <w:r w:rsidRPr="000D4211">
                <w:rPr>
                  <w:rFonts w:ascii="Arial" w:hAnsi="Arial" w:cs="Arial"/>
                  <w:b/>
                  <w:sz w:val="32"/>
                  <w:szCs w:val="32"/>
                </w:rPr>
                <w:t>Table of Contents</w:t>
              </w:r>
            </w:p>
            <w:p w:rsidR="000856D0" w:rsidRDefault="0093731B" w:rsidP="000856D0">
              <w:pPr>
                <w:pStyle w:val="TOC1"/>
                <w:tabs>
                  <w:tab w:val="right" w:leader="dot" w:pos="9016"/>
                </w:tabs>
              </w:pPr>
              <w:r w:rsidRPr="0093731B">
                <w:fldChar w:fldCharType="begin"/>
              </w:r>
              <w:r w:rsidR="000856D0">
                <w:instrText xml:space="preserve"> TOC \o "1-3" \h \z \u </w:instrText>
              </w:r>
              <w:r w:rsidRPr="0093731B">
                <w:fldChar w:fldCharType="separate"/>
              </w:r>
              <w:hyperlink w:anchor="_Toc193138381" w:history="1">
                <w:r w:rsidR="000856D0" w:rsidRPr="00807AF5">
                  <w:rPr>
                    <w:rStyle w:val="Hyperlink"/>
                    <w:rFonts w:ascii="Arial" w:hAnsi="Arial" w:cs="Arial"/>
                    <w:noProof/>
                  </w:rPr>
                  <w:t>Introduction</w:t>
                </w:r>
                <w:r w:rsidR="000856D0" w:rsidRPr="00807AF5">
                  <w:rPr>
                    <w:rFonts w:ascii="Arial" w:hAnsi="Arial" w:cs="Arial"/>
                    <w:noProof/>
                    <w:webHidden/>
                  </w:rPr>
                  <w:tab/>
                </w:r>
                <w:r w:rsidR="000856D0">
                  <w:rPr>
                    <w:rFonts w:ascii="Arial" w:hAnsi="Arial" w:cs="Arial"/>
                    <w:noProof/>
                    <w:webHidden/>
                  </w:rPr>
                  <w:t>3</w:t>
                </w:r>
              </w:hyperlink>
            </w:p>
            <w:p w:rsidR="00856707" w:rsidRPr="00807AF5" w:rsidRDefault="0093731B" w:rsidP="00856707">
              <w:pPr>
                <w:pStyle w:val="TOC1"/>
                <w:tabs>
                  <w:tab w:val="right" w:leader="dot" w:pos="9016"/>
                </w:tabs>
                <w:rPr>
                  <w:rFonts w:ascii="Arial" w:hAnsi="Arial" w:cs="Arial"/>
                  <w:noProof/>
                </w:rPr>
              </w:pPr>
              <w:hyperlink w:anchor="_Toc193138385" w:history="1">
                <w:r w:rsidR="00856707">
                  <w:rPr>
                    <w:rStyle w:val="Hyperlink"/>
                    <w:rFonts w:ascii="Arial" w:hAnsi="Arial" w:cs="Arial"/>
                    <w:noProof/>
                  </w:rPr>
                  <w:t>Background of the spirits market in UK and Japan</w:t>
                </w:r>
                <w:r w:rsidR="00856707" w:rsidRPr="00807AF5">
                  <w:rPr>
                    <w:rFonts w:ascii="Arial" w:hAnsi="Arial" w:cs="Arial"/>
                    <w:noProof/>
                    <w:webHidden/>
                  </w:rPr>
                  <w:tab/>
                </w:r>
                <w:r w:rsidR="008619D1">
                  <w:rPr>
                    <w:rFonts w:ascii="Arial" w:hAnsi="Arial" w:cs="Arial"/>
                    <w:noProof/>
                    <w:webHidden/>
                  </w:rPr>
                  <w:t>3</w:t>
                </w:r>
              </w:hyperlink>
            </w:p>
            <w:p w:rsidR="000856D0" w:rsidRPr="00807AF5" w:rsidRDefault="0093731B" w:rsidP="000856D0">
              <w:pPr>
                <w:pStyle w:val="TOC1"/>
                <w:tabs>
                  <w:tab w:val="right" w:leader="dot" w:pos="9016"/>
                </w:tabs>
                <w:rPr>
                  <w:rFonts w:ascii="Arial" w:hAnsi="Arial" w:cs="Arial"/>
                  <w:noProof/>
                </w:rPr>
              </w:pPr>
              <w:hyperlink w:anchor="_Toc193138383" w:history="1">
                <w:r w:rsidR="00856707">
                  <w:rPr>
                    <w:rStyle w:val="Hyperlink"/>
                    <w:rFonts w:ascii="Arial" w:hAnsi="Arial" w:cs="Arial"/>
                    <w:noProof/>
                  </w:rPr>
                  <w:t>Communication</w:t>
                </w:r>
                <w:r w:rsidR="000856D0" w:rsidRPr="00807AF5">
                  <w:rPr>
                    <w:rFonts w:ascii="Arial" w:hAnsi="Arial" w:cs="Arial"/>
                    <w:noProof/>
                    <w:webHidden/>
                  </w:rPr>
                  <w:tab/>
                </w:r>
                <w:r w:rsidRPr="00807AF5">
                  <w:rPr>
                    <w:rFonts w:ascii="Arial" w:hAnsi="Arial" w:cs="Arial"/>
                    <w:noProof/>
                    <w:webHidden/>
                  </w:rPr>
                  <w:fldChar w:fldCharType="begin"/>
                </w:r>
                <w:r w:rsidR="000856D0" w:rsidRPr="00807AF5">
                  <w:rPr>
                    <w:rFonts w:ascii="Arial" w:hAnsi="Arial" w:cs="Arial"/>
                    <w:noProof/>
                    <w:webHidden/>
                  </w:rPr>
                  <w:instrText xml:space="preserve"> PAGEREF _Toc193138383 \h </w:instrText>
                </w:r>
                <w:r w:rsidRPr="00807AF5">
                  <w:rPr>
                    <w:rFonts w:ascii="Arial" w:hAnsi="Arial" w:cs="Arial"/>
                    <w:noProof/>
                    <w:webHidden/>
                  </w:rPr>
                </w:r>
                <w:r w:rsidRPr="00807AF5">
                  <w:rPr>
                    <w:rFonts w:ascii="Arial" w:hAnsi="Arial" w:cs="Arial"/>
                    <w:noProof/>
                    <w:webHidden/>
                  </w:rPr>
                  <w:fldChar w:fldCharType="separate"/>
                </w:r>
                <w:r w:rsidR="000856D0" w:rsidRPr="00807AF5">
                  <w:rPr>
                    <w:rFonts w:ascii="Arial" w:hAnsi="Arial" w:cs="Arial"/>
                    <w:noProof/>
                    <w:webHidden/>
                  </w:rPr>
                  <w:t>4</w:t>
                </w:r>
                <w:r w:rsidRPr="00807AF5">
                  <w:rPr>
                    <w:rFonts w:ascii="Arial" w:hAnsi="Arial" w:cs="Arial"/>
                    <w:noProof/>
                    <w:webHidden/>
                  </w:rPr>
                  <w:fldChar w:fldCharType="end"/>
                </w:r>
              </w:hyperlink>
            </w:p>
            <w:p w:rsidR="000856D0" w:rsidRPr="00356F40" w:rsidRDefault="0093731B" w:rsidP="000856D0">
              <w:pPr>
                <w:pStyle w:val="TOC1"/>
                <w:tabs>
                  <w:tab w:val="right" w:leader="dot" w:pos="9016"/>
                </w:tabs>
                <w:rPr>
                  <w:rFonts w:ascii="Arial" w:hAnsi="Arial" w:cs="Arial"/>
                  <w:noProof/>
                  <w:lang w:val="bg-BG"/>
                </w:rPr>
              </w:pPr>
              <w:hyperlink w:anchor="_Toc193138384" w:history="1">
                <w:r w:rsidR="00856707">
                  <w:rPr>
                    <w:rStyle w:val="Hyperlink"/>
                    <w:rFonts w:ascii="Arial" w:hAnsi="Arial" w:cs="Arial"/>
                    <w:noProof/>
                  </w:rPr>
                  <w:t>Strategies for Successful Cross-Cultural Communication</w:t>
                </w:r>
                <w:r w:rsidR="000856D0" w:rsidRPr="00807AF5">
                  <w:rPr>
                    <w:rFonts w:ascii="Arial" w:hAnsi="Arial" w:cs="Arial"/>
                    <w:noProof/>
                    <w:webHidden/>
                  </w:rPr>
                  <w:tab/>
                </w:r>
                <w:r w:rsidR="008619D1">
                  <w:rPr>
                    <w:rFonts w:ascii="Arial" w:hAnsi="Arial" w:cs="Arial"/>
                    <w:noProof/>
                    <w:webHidden/>
                  </w:rPr>
                  <w:t>7</w:t>
                </w:r>
              </w:hyperlink>
            </w:p>
            <w:p w:rsidR="000856D0" w:rsidRPr="00807AF5" w:rsidRDefault="0093731B" w:rsidP="000856D0">
              <w:pPr>
                <w:pStyle w:val="TOC1"/>
                <w:tabs>
                  <w:tab w:val="right" w:leader="dot" w:pos="9016"/>
                </w:tabs>
                <w:rPr>
                  <w:rFonts w:ascii="Arial" w:hAnsi="Arial" w:cs="Arial"/>
                </w:rPr>
              </w:pPr>
              <w:hyperlink w:anchor="_Toc193138389" w:history="1">
                <w:r w:rsidR="000856D0" w:rsidRPr="00807AF5">
                  <w:rPr>
                    <w:rStyle w:val="Hyperlink"/>
                    <w:rFonts w:ascii="Arial" w:hAnsi="Arial" w:cs="Arial"/>
                    <w:noProof/>
                  </w:rPr>
                  <w:t>Conclusion</w:t>
                </w:r>
                <w:r w:rsidR="000856D0" w:rsidRPr="00807AF5">
                  <w:rPr>
                    <w:rFonts w:ascii="Arial" w:hAnsi="Arial" w:cs="Arial"/>
                    <w:noProof/>
                    <w:webHidden/>
                  </w:rPr>
                  <w:tab/>
                </w:r>
                <w:r w:rsidR="00A4665B">
                  <w:rPr>
                    <w:rFonts w:ascii="Arial" w:hAnsi="Arial" w:cs="Arial"/>
                    <w:noProof/>
                    <w:webHidden/>
                    <w:lang w:val="bg-BG"/>
                  </w:rPr>
                  <w:t>9</w:t>
                </w:r>
              </w:hyperlink>
            </w:p>
            <w:p w:rsidR="000856D0" w:rsidRPr="00807AF5" w:rsidRDefault="0093731B" w:rsidP="000856D0">
              <w:pPr>
                <w:pStyle w:val="TOC1"/>
                <w:tabs>
                  <w:tab w:val="right" w:leader="dot" w:pos="9016"/>
                </w:tabs>
                <w:rPr>
                  <w:rFonts w:ascii="Arial" w:hAnsi="Arial" w:cs="Arial"/>
                </w:rPr>
              </w:pPr>
              <w:hyperlink w:anchor="_Toc193138389" w:history="1">
                <w:r w:rsidR="000856D0">
                  <w:rPr>
                    <w:rStyle w:val="Hyperlink"/>
                    <w:rFonts w:ascii="Arial" w:hAnsi="Arial" w:cs="Arial"/>
                    <w:noProof/>
                  </w:rPr>
                  <w:t>References</w:t>
                </w:r>
                <w:r w:rsidR="000856D0" w:rsidRPr="00807AF5">
                  <w:rPr>
                    <w:rFonts w:ascii="Arial" w:hAnsi="Arial" w:cs="Arial"/>
                    <w:noProof/>
                    <w:webHidden/>
                  </w:rPr>
                  <w:tab/>
                </w:r>
                <w:r w:rsidR="00223D0C">
                  <w:rPr>
                    <w:rFonts w:ascii="Arial" w:hAnsi="Arial" w:cs="Arial"/>
                    <w:noProof/>
                    <w:webHidden/>
                    <w:lang w:val="bg-BG"/>
                  </w:rPr>
                  <w:t>10</w:t>
                </w:r>
              </w:hyperlink>
            </w:p>
            <w:p w:rsidR="000856D0" w:rsidRDefault="0093731B" w:rsidP="000856D0">
              <w:pPr>
                <w:rPr>
                  <w:b/>
                  <w:bCs/>
                </w:rPr>
              </w:pPr>
              <w:r>
                <w:rPr>
                  <w:b/>
                  <w:bCs/>
                </w:rPr>
                <w:fldChar w:fldCharType="end"/>
              </w:r>
            </w:p>
          </w:sdtContent>
        </w:sdt>
        <w:p w:rsidR="000856D0" w:rsidRDefault="0093731B" w:rsidP="000856D0">
          <w:pPr>
            <w:rPr>
              <w:b/>
              <w:bCs/>
              <w:lang w:val="bg-BG"/>
            </w:rPr>
          </w:pPr>
        </w:p>
      </w:sdtContent>
    </w:sdt>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0856D0" w:rsidRDefault="000856D0">
      <w:pPr>
        <w:rPr>
          <w:rFonts w:ascii="Arial" w:hAnsi="Arial" w:cs="Arial"/>
        </w:rPr>
      </w:pPr>
    </w:p>
    <w:p w:rsidR="00856707" w:rsidRDefault="00856707">
      <w:pPr>
        <w:rPr>
          <w:rFonts w:ascii="Arial" w:hAnsi="Arial" w:cs="Arial"/>
        </w:rPr>
      </w:pPr>
    </w:p>
    <w:p w:rsidR="008619D1" w:rsidRDefault="008619D1">
      <w:pPr>
        <w:rPr>
          <w:rFonts w:ascii="Arial" w:hAnsi="Arial" w:cs="Arial"/>
        </w:rPr>
      </w:pPr>
    </w:p>
    <w:p w:rsidR="008619D1" w:rsidRDefault="008619D1">
      <w:pPr>
        <w:rPr>
          <w:rFonts w:ascii="Arial" w:hAnsi="Arial" w:cs="Arial"/>
        </w:rPr>
      </w:pPr>
    </w:p>
    <w:p w:rsidR="000856D0" w:rsidRDefault="000856D0" w:rsidP="000856D0">
      <w:pPr>
        <w:jc w:val="both"/>
        <w:rPr>
          <w:rFonts w:ascii="Arial" w:hAnsi="Arial" w:cs="Arial"/>
          <w:b/>
          <w:sz w:val="28"/>
          <w:szCs w:val="28"/>
        </w:rPr>
      </w:pPr>
      <w:r w:rsidRPr="00B74C1A">
        <w:rPr>
          <w:rFonts w:ascii="Arial" w:hAnsi="Arial" w:cs="Arial"/>
          <w:b/>
          <w:sz w:val="28"/>
          <w:szCs w:val="28"/>
        </w:rPr>
        <w:lastRenderedPageBreak/>
        <w:t xml:space="preserve">Introduction </w:t>
      </w:r>
    </w:p>
    <w:p w:rsidR="002C2759" w:rsidRPr="002C2759" w:rsidRDefault="002C2759" w:rsidP="00DB2738">
      <w:pPr>
        <w:spacing w:line="360" w:lineRule="auto"/>
        <w:jc w:val="both"/>
        <w:rPr>
          <w:rFonts w:ascii="Arial" w:hAnsi="Arial" w:cs="Arial"/>
          <w:lang w:val="bg-BG"/>
        </w:rPr>
      </w:pPr>
      <w:r w:rsidRPr="002C2759">
        <w:rPr>
          <w:rFonts w:ascii="Arial" w:hAnsi="Arial" w:cs="Arial"/>
          <w:lang w:val="bg-BG"/>
        </w:rPr>
        <w:t>In today’s global economy, multinational corporations increasingly rely on international partnerships to gain easier and faster access to new markets and, consequently, to achieve sustainable development and growth. However, international and cross-cultural cooperation presents many challenges related to different communication styles, management, staff motivation, understanding of company growth and added value for societies. These differences can lead to misunderstandings, conflicts and project inefficiency.</w:t>
      </w:r>
    </w:p>
    <w:p w:rsidR="000856D0" w:rsidRDefault="002C2759" w:rsidP="00DB2738">
      <w:pPr>
        <w:spacing w:line="360" w:lineRule="auto"/>
        <w:jc w:val="both"/>
        <w:rPr>
          <w:rFonts w:ascii="Arial" w:hAnsi="Arial" w:cs="Arial"/>
          <w:lang w:val="bg-BG"/>
        </w:rPr>
      </w:pPr>
      <w:r w:rsidRPr="002C2759">
        <w:rPr>
          <w:rFonts w:ascii="Arial" w:hAnsi="Arial" w:cs="Arial"/>
          <w:lang w:val="bg-BG"/>
        </w:rPr>
        <w:t>This essay assesses communication differences between teams from the UK and Japan in the context of a strategic collaboration between Diageo, a mu</w:t>
      </w:r>
      <w:r w:rsidR="007B2C92">
        <w:rPr>
          <w:rFonts w:ascii="Arial" w:hAnsi="Arial" w:cs="Arial"/>
          <w:lang w:val="bg-BG"/>
        </w:rPr>
        <w:t>ltinational spirits corporation</w:t>
      </w:r>
      <w:r w:rsidRPr="002C2759">
        <w:rPr>
          <w:rFonts w:ascii="Arial" w:hAnsi="Arial" w:cs="Arial"/>
          <w:lang w:val="bg-BG"/>
        </w:rPr>
        <w:t xml:space="preserve"> and Suntory Holdings Limited. As a director and responsible for leading an international team between the UK and Japan, challenges related to cultural differences and communication will be analyzed, using Hofstede’s cultural dimensions and Hall’s high/low context communication theory.</w:t>
      </w:r>
    </w:p>
    <w:p w:rsidR="002A2A3D" w:rsidRDefault="001F1A15" w:rsidP="002C2759">
      <w:pPr>
        <w:jc w:val="both"/>
        <w:rPr>
          <w:rFonts w:ascii="Arial" w:hAnsi="Arial" w:cs="Arial"/>
          <w:b/>
          <w:sz w:val="28"/>
          <w:szCs w:val="28"/>
        </w:rPr>
      </w:pPr>
      <w:r w:rsidRPr="00B55F6A">
        <w:rPr>
          <w:rFonts w:ascii="Arial" w:hAnsi="Arial" w:cs="Arial"/>
          <w:b/>
          <w:sz w:val="28"/>
          <w:szCs w:val="28"/>
        </w:rPr>
        <w:t>Background</w:t>
      </w:r>
      <w:r w:rsidR="00B55F6A" w:rsidRPr="00B55F6A">
        <w:rPr>
          <w:rFonts w:ascii="Arial" w:hAnsi="Arial" w:cs="Arial"/>
          <w:b/>
          <w:sz w:val="28"/>
          <w:szCs w:val="28"/>
        </w:rPr>
        <w:t xml:space="preserve"> of the spirits market in UK and Japan</w:t>
      </w:r>
    </w:p>
    <w:p w:rsidR="006B6E56" w:rsidRPr="0024082C" w:rsidRDefault="00B55F6A" w:rsidP="0024082C">
      <w:pPr>
        <w:spacing w:line="360" w:lineRule="auto"/>
        <w:jc w:val="both"/>
        <w:rPr>
          <w:rFonts w:ascii="Arial" w:hAnsi="Arial" w:cs="Arial"/>
          <w:lang w:val="bg-BG"/>
        </w:rPr>
      </w:pPr>
      <w:r w:rsidRPr="00B55F6A">
        <w:rPr>
          <w:rFonts w:ascii="Arial" w:hAnsi="Arial" w:cs="Arial"/>
        </w:rPr>
        <w:t>The spirits market comprises alcoholic drinks derived from the distillation of wine, fermented fruits, or grains. Because of the distillation process, spirits have a substantially greater alcohol concentration than most wines and beers, often ranging from 20% to 50% alcohol by volume.</w:t>
      </w:r>
      <w:r>
        <w:rPr>
          <w:rFonts w:ascii="Arial" w:hAnsi="Arial" w:cs="Arial"/>
        </w:rPr>
        <w:t xml:space="preserve"> </w:t>
      </w:r>
      <w:r w:rsidR="006B6E56" w:rsidRPr="006B6E56">
        <w:rPr>
          <w:rFonts w:ascii="Arial" w:hAnsi="Arial" w:cs="Arial"/>
        </w:rPr>
        <w:t>The UK spirits market is expected to be worth $16.8bn in revenue by 2024, with Diageo Plc leading the market with a 30% market</w:t>
      </w:r>
      <w:r w:rsidR="006B6E56">
        <w:rPr>
          <w:rFonts w:ascii="Arial" w:hAnsi="Arial" w:cs="Arial"/>
        </w:rPr>
        <w:t xml:space="preserve"> share</w:t>
      </w:r>
      <w:r w:rsidR="006B6E56" w:rsidRPr="006B6E56">
        <w:rPr>
          <w:rFonts w:ascii="Arial" w:hAnsi="Arial" w:cs="Arial"/>
        </w:rPr>
        <w:t xml:space="preserve"> (</w:t>
      </w:r>
      <w:r w:rsidR="006B6E56">
        <w:rPr>
          <w:rFonts w:ascii="Arial" w:hAnsi="Arial" w:cs="Arial"/>
        </w:rPr>
        <w:t>Conway, 2024</w:t>
      </w:r>
      <w:r w:rsidR="006B6E56" w:rsidRPr="006B6E56">
        <w:rPr>
          <w:rFonts w:ascii="Arial" w:hAnsi="Arial" w:cs="Arial"/>
        </w:rPr>
        <w:t>)</w:t>
      </w:r>
      <w:r w:rsidR="006B6E56">
        <w:rPr>
          <w:rFonts w:ascii="Arial" w:hAnsi="Arial" w:cs="Arial"/>
        </w:rPr>
        <w:t>.</w:t>
      </w:r>
      <w:r w:rsidR="006B6E56" w:rsidRPr="006B6E56">
        <w:rPr>
          <w:rFonts w:ascii="Arial" w:hAnsi="Arial" w:cs="Arial"/>
        </w:rPr>
        <w:t xml:space="preserve"> The company has over 200 brands and sells in 180 countries worldwide (</w:t>
      </w:r>
      <w:r w:rsidR="006B6E56">
        <w:rPr>
          <w:rFonts w:ascii="Arial" w:hAnsi="Arial" w:cs="Arial"/>
        </w:rPr>
        <w:t>Diageo, 2025</w:t>
      </w:r>
      <w:r w:rsidR="006B6E56" w:rsidRPr="006B6E56">
        <w:rPr>
          <w:rFonts w:ascii="Arial" w:hAnsi="Arial" w:cs="Arial"/>
        </w:rPr>
        <w:t>).</w:t>
      </w:r>
      <w:r w:rsidR="000C7A04">
        <w:rPr>
          <w:rFonts w:ascii="Arial" w:hAnsi="Arial" w:cs="Arial"/>
        </w:rPr>
        <w:t xml:space="preserve"> </w:t>
      </w:r>
      <w:r w:rsidR="000C7A04" w:rsidRPr="000C7A04">
        <w:rPr>
          <w:rFonts w:ascii="Arial" w:hAnsi="Arial" w:cs="Arial"/>
        </w:rPr>
        <w:t>For comparison, according to Statista</w:t>
      </w:r>
      <w:r w:rsidR="000C7A04">
        <w:rPr>
          <w:rFonts w:ascii="Arial" w:hAnsi="Arial" w:cs="Arial"/>
        </w:rPr>
        <w:t xml:space="preserve"> (2024)</w:t>
      </w:r>
      <w:r w:rsidR="000C7A04" w:rsidRPr="000C7A04">
        <w:rPr>
          <w:rFonts w:ascii="Arial" w:hAnsi="Arial" w:cs="Arial"/>
        </w:rPr>
        <w:t>, the spirits market in Japan is estimated at $58 billion in sales revenue from stores, bars, and restaurants, making this market extremely attractive for major global players like Diageo.</w:t>
      </w:r>
      <w:r w:rsidR="0024082C">
        <w:rPr>
          <w:rFonts w:ascii="Arial" w:hAnsi="Arial" w:cs="Arial"/>
          <w:lang w:val="bg-BG"/>
        </w:rPr>
        <w:t xml:space="preserve"> </w:t>
      </w:r>
      <w:r w:rsidR="0024082C" w:rsidRPr="0024082C">
        <w:rPr>
          <w:rFonts w:ascii="Arial" w:hAnsi="Arial" w:cs="Arial"/>
          <w:lang w:val="bg-BG"/>
        </w:rPr>
        <w:t>The market leader in Japan in the spirits market is Suntory Holdings Ltd, which is a prerequisite for partnering with this company and developing relationships for quick and easy market penetration. As can be seen from Figure 1</w:t>
      </w:r>
      <w:r w:rsidR="00AB3B41">
        <w:rPr>
          <w:rFonts w:ascii="Arial" w:hAnsi="Arial" w:cs="Arial"/>
        </w:rPr>
        <w:t xml:space="preserve"> (Globaldata ,2022)</w:t>
      </w:r>
      <w:r w:rsidR="0024082C" w:rsidRPr="0024082C">
        <w:rPr>
          <w:rFonts w:ascii="Arial" w:hAnsi="Arial" w:cs="Arial"/>
          <w:lang w:val="bg-BG"/>
        </w:rPr>
        <w:t>, their market share is over 50 percent, making th</w:t>
      </w:r>
      <w:r w:rsidR="00AB3B41">
        <w:rPr>
          <w:rFonts w:ascii="Arial" w:hAnsi="Arial" w:cs="Arial"/>
          <w:lang w:val="bg-BG"/>
        </w:rPr>
        <w:t xml:space="preserve">em an unavoidable factor </w:t>
      </w:r>
      <w:r w:rsidR="00AB3B41" w:rsidRPr="00AB3B41">
        <w:rPr>
          <w:rFonts w:ascii="Arial" w:hAnsi="Arial" w:cs="Arial"/>
          <w:lang w:val="bg-BG"/>
        </w:rPr>
        <w:t>and a potential good partner in establishing relationships for market development.</w:t>
      </w:r>
    </w:p>
    <w:p w:rsidR="006B6E56" w:rsidRPr="0024082C" w:rsidRDefault="00D9496D" w:rsidP="0024082C">
      <w:pPr>
        <w:jc w:val="center"/>
        <w:rPr>
          <w:rFonts w:ascii="Arial" w:hAnsi="Arial" w:cs="Arial"/>
          <w:lang w:val="bg-BG"/>
        </w:rPr>
      </w:pPr>
      <w:r>
        <w:rPr>
          <w:rFonts w:ascii="Arial" w:hAnsi="Arial" w:cs="Arial"/>
          <w:noProof/>
        </w:rPr>
        <w:lastRenderedPageBreak/>
        <w:drawing>
          <wp:inline distT="0" distB="0" distL="0" distR="0">
            <wp:extent cx="5870303" cy="236349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882938" cy="2368579"/>
                    </a:xfrm>
                    <a:prstGeom prst="rect">
                      <a:avLst/>
                    </a:prstGeom>
                    <a:noFill/>
                    <a:ln w="9525">
                      <a:noFill/>
                      <a:miter lim="800000"/>
                      <a:headEnd/>
                      <a:tailEnd/>
                    </a:ln>
                  </pic:spPr>
                </pic:pic>
              </a:graphicData>
            </a:graphic>
          </wp:inline>
        </w:drawing>
      </w:r>
    </w:p>
    <w:p w:rsidR="0024082C" w:rsidRPr="00702AE8" w:rsidRDefault="0024082C" w:rsidP="0024082C">
      <w:pPr>
        <w:spacing w:line="360" w:lineRule="auto"/>
        <w:jc w:val="center"/>
        <w:rPr>
          <w:rFonts w:ascii="Arial" w:hAnsi="Arial" w:cs="Arial"/>
          <w:bCs/>
          <w:sz w:val="16"/>
          <w:szCs w:val="16"/>
        </w:rPr>
      </w:pPr>
      <w:r>
        <w:rPr>
          <w:rFonts w:ascii="Arial" w:hAnsi="Arial" w:cs="Arial"/>
          <w:bCs/>
          <w:sz w:val="16"/>
          <w:szCs w:val="16"/>
        </w:rPr>
        <w:t>Figure 1: Japan spirits market leading companies</w:t>
      </w:r>
    </w:p>
    <w:p w:rsidR="007C193F" w:rsidRDefault="007C193F" w:rsidP="007C193F">
      <w:pPr>
        <w:jc w:val="both"/>
        <w:rPr>
          <w:rFonts w:ascii="Arial" w:hAnsi="Arial" w:cs="Arial"/>
        </w:rPr>
      </w:pPr>
    </w:p>
    <w:p w:rsidR="007C193F" w:rsidRPr="007C193F" w:rsidRDefault="007C193F" w:rsidP="007C193F">
      <w:pPr>
        <w:jc w:val="both"/>
        <w:rPr>
          <w:rFonts w:ascii="Arial" w:hAnsi="Arial" w:cs="Arial"/>
          <w:b/>
          <w:sz w:val="28"/>
          <w:szCs w:val="28"/>
        </w:rPr>
      </w:pPr>
      <w:r w:rsidRPr="007C193F">
        <w:rPr>
          <w:rFonts w:ascii="Arial" w:hAnsi="Arial" w:cs="Arial"/>
          <w:b/>
          <w:sz w:val="28"/>
          <w:szCs w:val="28"/>
        </w:rPr>
        <w:t>Communication</w:t>
      </w:r>
    </w:p>
    <w:p w:rsidR="007C193F" w:rsidRDefault="007C193F" w:rsidP="00970A3B">
      <w:pPr>
        <w:spacing w:line="360" w:lineRule="auto"/>
        <w:jc w:val="both"/>
        <w:rPr>
          <w:rFonts w:ascii="Arial" w:hAnsi="Arial" w:cs="Arial"/>
          <w:lang w:val="bg-BG"/>
        </w:rPr>
      </w:pPr>
      <w:r>
        <w:rPr>
          <w:rFonts w:ascii="Arial" w:hAnsi="Arial" w:cs="Arial"/>
        </w:rPr>
        <w:t>C</w:t>
      </w:r>
      <w:r w:rsidRPr="007C193F">
        <w:rPr>
          <w:rFonts w:ascii="Arial" w:hAnsi="Arial" w:cs="Arial"/>
        </w:rPr>
        <w:t>ommunication refers to the activity of conveying meaning by transferring messages via media such as words, behaviour, or tangible artefacts. Managers interact to coordinate tasks, convey information, inspire employees, and discuss future strategies. It is critical, then, for a receiver to understand the meaning of a certain message in the way the sender intended</w:t>
      </w:r>
      <w:r>
        <w:rPr>
          <w:rFonts w:ascii="Arial" w:hAnsi="Arial" w:cs="Arial"/>
        </w:rPr>
        <w:t xml:space="preserve"> (</w:t>
      </w:r>
      <w:r w:rsidRPr="007C193F">
        <w:rPr>
          <w:rFonts w:ascii="Arial" w:hAnsi="Arial" w:cs="Arial"/>
        </w:rPr>
        <w:t>Deresky</w:t>
      </w:r>
      <w:r>
        <w:rPr>
          <w:rFonts w:ascii="Arial" w:hAnsi="Arial" w:cs="Arial"/>
        </w:rPr>
        <w:t>,</w:t>
      </w:r>
      <w:r w:rsidR="00970A3B">
        <w:rPr>
          <w:rFonts w:ascii="Arial" w:hAnsi="Arial" w:cs="Arial"/>
          <w:lang w:val="bg-BG"/>
        </w:rPr>
        <w:t xml:space="preserve"> </w:t>
      </w:r>
      <w:r>
        <w:rPr>
          <w:rFonts w:ascii="Arial" w:hAnsi="Arial" w:cs="Arial"/>
        </w:rPr>
        <w:t>2016)</w:t>
      </w:r>
      <w:r w:rsidRPr="007C193F">
        <w:rPr>
          <w:rFonts w:ascii="Arial" w:hAnsi="Arial" w:cs="Arial"/>
        </w:rPr>
        <w:t>.</w:t>
      </w:r>
      <w:r>
        <w:rPr>
          <w:rFonts w:ascii="Arial" w:hAnsi="Arial" w:cs="Arial"/>
        </w:rPr>
        <w:t xml:space="preserve"> </w:t>
      </w:r>
      <w:r w:rsidR="00970A3B" w:rsidRPr="00970A3B">
        <w:rPr>
          <w:rFonts w:ascii="Arial" w:hAnsi="Arial" w:cs="Arial"/>
        </w:rPr>
        <w:t>Unfortunately, the receiver does not always interpret the meaning of the message, which is usually related to differences in culture, language, traditions, religion, and so on.</w:t>
      </w:r>
      <w:r w:rsidR="00970A3B" w:rsidRPr="00970A3B">
        <w:t xml:space="preserve"> </w:t>
      </w:r>
      <w:r w:rsidR="00970A3B" w:rsidRPr="00970A3B">
        <w:rPr>
          <w:rFonts w:ascii="Arial" w:hAnsi="Arial" w:cs="Arial"/>
        </w:rPr>
        <w:t>That is why, when talking about international speaking in business environments, all the differences between countries and understandings of business in general, working with customers, and dealing with staff must be taken into account.</w:t>
      </w:r>
      <w:r w:rsidR="009B25FB">
        <w:rPr>
          <w:rFonts w:ascii="Arial" w:hAnsi="Arial" w:cs="Arial"/>
          <w:lang w:val="bg-BG"/>
        </w:rPr>
        <w:t xml:space="preserve"> </w:t>
      </w:r>
      <w:r w:rsidR="009B25FB" w:rsidRPr="009B25FB">
        <w:rPr>
          <w:rFonts w:ascii="Arial" w:hAnsi="Arial" w:cs="Arial"/>
          <w:lang w:val="bg-BG"/>
        </w:rPr>
        <w:t xml:space="preserve">In order to avoid misunderstanding and lack of communication, these cultural differences can be analyzed with the Hofstede model, which helps to deal with cultural differences in the context of management and communication. This framework for understanding cross-cultural differences in values and social behavior identifies six key dimensions along which cultures can be compared: </w:t>
      </w:r>
      <w:r w:rsidR="009B25FB" w:rsidRPr="00842E24">
        <w:rPr>
          <w:rFonts w:ascii="Arial" w:hAnsi="Arial" w:cs="Arial"/>
          <w:b/>
          <w:lang w:val="bg-BG"/>
        </w:rPr>
        <w:t>power distance</w:t>
      </w:r>
      <w:r w:rsidR="009B25FB" w:rsidRPr="009B25FB">
        <w:rPr>
          <w:rFonts w:ascii="Arial" w:hAnsi="Arial" w:cs="Arial"/>
          <w:lang w:val="bg-BG"/>
        </w:rPr>
        <w:t xml:space="preserve">, </w:t>
      </w:r>
      <w:r w:rsidR="009B25FB" w:rsidRPr="00842E24">
        <w:rPr>
          <w:rFonts w:ascii="Arial" w:hAnsi="Arial" w:cs="Arial"/>
          <w:b/>
          <w:lang w:val="bg-BG"/>
        </w:rPr>
        <w:t>individualism versus collectivism</w:t>
      </w:r>
      <w:r w:rsidR="009B25FB" w:rsidRPr="009B25FB">
        <w:rPr>
          <w:rFonts w:ascii="Arial" w:hAnsi="Arial" w:cs="Arial"/>
          <w:lang w:val="bg-BG"/>
        </w:rPr>
        <w:t xml:space="preserve">, </w:t>
      </w:r>
      <w:r w:rsidR="009B25FB" w:rsidRPr="00842E24">
        <w:rPr>
          <w:rFonts w:ascii="Arial" w:hAnsi="Arial" w:cs="Arial"/>
          <w:b/>
          <w:lang w:val="bg-BG"/>
        </w:rPr>
        <w:t>masculinity versus femininity</w:t>
      </w:r>
      <w:r w:rsidR="009B25FB" w:rsidRPr="009B25FB">
        <w:rPr>
          <w:rFonts w:ascii="Arial" w:hAnsi="Arial" w:cs="Arial"/>
          <w:lang w:val="bg-BG"/>
        </w:rPr>
        <w:t xml:space="preserve">, </w:t>
      </w:r>
      <w:r w:rsidR="009B25FB" w:rsidRPr="00842E24">
        <w:rPr>
          <w:rFonts w:ascii="Arial" w:hAnsi="Arial" w:cs="Arial"/>
          <w:b/>
          <w:lang w:val="bg-BG"/>
        </w:rPr>
        <w:t>uncertainty avoidance</w:t>
      </w:r>
      <w:r w:rsidR="009B25FB" w:rsidRPr="009B25FB">
        <w:rPr>
          <w:rFonts w:ascii="Arial" w:hAnsi="Arial" w:cs="Arial"/>
          <w:lang w:val="bg-BG"/>
        </w:rPr>
        <w:t xml:space="preserve">, </w:t>
      </w:r>
      <w:r w:rsidR="009B25FB" w:rsidRPr="00842E24">
        <w:rPr>
          <w:rFonts w:ascii="Arial" w:hAnsi="Arial" w:cs="Arial"/>
          <w:b/>
          <w:lang w:val="bg-BG"/>
        </w:rPr>
        <w:t>long-term versus short-term orientation</w:t>
      </w:r>
      <w:r w:rsidR="009B25FB" w:rsidRPr="009B25FB">
        <w:rPr>
          <w:rFonts w:ascii="Arial" w:hAnsi="Arial" w:cs="Arial"/>
          <w:lang w:val="bg-BG"/>
        </w:rPr>
        <w:t xml:space="preserve">, and </w:t>
      </w:r>
      <w:r w:rsidR="009B25FB" w:rsidRPr="00842E24">
        <w:rPr>
          <w:rFonts w:ascii="Arial" w:hAnsi="Arial" w:cs="Arial"/>
          <w:b/>
          <w:lang w:val="bg-BG"/>
        </w:rPr>
        <w:t>indulgence versus restraint</w:t>
      </w:r>
      <w:r w:rsidR="009B25FB">
        <w:rPr>
          <w:rFonts w:ascii="Arial" w:hAnsi="Arial" w:cs="Arial"/>
          <w:lang w:val="bg-BG"/>
        </w:rPr>
        <w:t xml:space="preserve"> </w:t>
      </w:r>
      <w:r w:rsidR="009B25FB">
        <w:rPr>
          <w:rFonts w:ascii="Arial" w:hAnsi="Arial" w:cs="Arial"/>
        </w:rPr>
        <w:t>(Żemojtel-Piotrowska</w:t>
      </w:r>
      <w:r w:rsidR="009B25FB" w:rsidRPr="009B25FB">
        <w:rPr>
          <w:rFonts w:ascii="Arial" w:hAnsi="Arial" w:cs="Arial"/>
        </w:rPr>
        <w:t xml:space="preserve"> and Piotrowski</w:t>
      </w:r>
      <w:r w:rsidR="009B25FB">
        <w:rPr>
          <w:rFonts w:ascii="Arial" w:hAnsi="Arial" w:cs="Arial"/>
        </w:rPr>
        <w:t>, 2023)</w:t>
      </w:r>
      <w:r w:rsidR="0033258B">
        <w:rPr>
          <w:rFonts w:ascii="Arial" w:hAnsi="Arial" w:cs="Arial"/>
        </w:rPr>
        <w:t>.</w:t>
      </w:r>
    </w:p>
    <w:p w:rsidR="008146B4" w:rsidRDefault="008146B4" w:rsidP="00970A3B">
      <w:pPr>
        <w:spacing w:line="360" w:lineRule="auto"/>
        <w:jc w:val="both"/>
        <w:rPr>
          <w:rFonts w:ascii="Arial" w:hAnsi="Arial" w:cs="Arial"/>
          <w:lang w:val="bg-BG"/>
        </w:rPr>
      </w:pPr>
      <w:r w:rsidRPr="008146B4">
        <w:rPr>
          <w:rFonts w:ascii="Arial" w:hAnsi="Arial" w:cs="Arial"/>
          <w:lang w:val="bg-BG"/>
        </w:rPr>
        <w:t>For ease of understanding, each factor will be considered separately, clearly showing the different levels of factors in the UK and Japan. This comparison is shown in Figure 2</w:t>
      </w:r>
      <w:r>
        <w:rPr>
          <w:rFonts w:ascii="Arial" w:hAnsi="Arial" w:cs="Arial"/>
          <w:lang w:val="bg-BG"/>
        </w:rPr>
        <w:t xml:space="preserve"> </w:t>
      </w:r>
      <w:r>
        <w:rPr>
          <w:rFonts w:ascii="Arial" w:hAnsi="Arial" w:cs="Arial"/>
        </w:rPr>
        <w:t>(The Culture Factor, 2025)</w:t>
      </w:r>
      <w:r w:rsidRPr="008146B4">
        <w:rPr>
          <w:rFonts w:ascii="Arial" w:hAnsi="Arial" w:cs="Arial"/>
          <w:lang w:val="bg-BG"/>
        </w:rPr>
        <w:t>.</w:t>
      </w:r>
    </w:p>
    <w:p w:rsidR="008146B4" w:rsidRDefault="008146B4" w:rsidP="00970A3B">
      <w:pPr>
        <w:spacing w:line="360" w:lineRule="auto"/>
        <w:jc w:val="both"/>
        <w:rPr>
          <w:rFonts w:ascii="Arial" w:hAnsi="Arial" w:cs="Arial"/>
        </w:rPr>
      </w:pPr>
    </w:p>
    <w:p w:rsidR="008146B4" w:rsidRDefault="008146B4" w:rsidP="00970A3B">
      <w:pPr>
        <w:spacing w:line="360" w:lineRule="auto"/>
        <w:jc w:val="both"/>
        <w:rPr>
          <w:rFonts w:ascii="Arial" w:hAnsi="Arial" w:cs="Arial"/>
        </w:rPr>
      </w:pPr>
    </w:p>
    <w:p w:rsidR="008146B4" w:rsidRDefault="008146B4" w:rsidP="00970A3B">
      <w:pPr>
        <w:spacing w:line="360" w:lineRule="auto"/>
        <w:jc w:val="both"/>
        <w:rPr>
          <w:rFonts w:ascii="Arial" w:hAnsi="Arial" w:cs="Arial"/>
        </w:rPr>
      </w:pPr>
      <w:r>
        <w:rPr>
          <w:rFonts w:ascii="Arial" w:hAnsi="Arial" w:cs="Arial"/>
          <w:noProof/>
        </w:rPr>
        <w:lastRenderedPageBreak/>
        <w:drawing>
          <wp:inline distT="0" distB="0" distL="0" distR="0">
            <wp:extent cx="5725106" cy="3330375"/>
            <wp:effectExtent l="19050" t="0" r="8944"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731510" cy="3334100"/>
                    </a:xfrm>
                    <a:prstGeom prst="rect">
                      <a:avLst/>
                    </a:prstGeom>
                    <a:noFill/>
                    <a:ln w="9525">
                      <a:noFill/>
                      <a:miter lim="800000"/>
                      <a:headEnd/>
                      <a:tailEnd/>
                    </a:ln>
                  </pic:spPr>
                </pic:pic>
              </a:graphicData>
            </a:graphic>
          </wp:inline>
        </w:drawing>
      </w:r>
    </w:p>
    <w:p w:rsidR="008146B4" w:rsidRPr="00702AE8" w:rsidRDefault="008146B4" w:rsidP="008146B4">
      <w:pPr>
        <w:spacing w:line="360" w:lineRule="auto"/>
        <w:jc w:val="center"/>
        <w:rPr>
          <w:rFonts w:ascii="Arial" w:hAnsi="Arial" w:cs="Arial"/>
          <w:bCs/>
          <w:sz w:val="16"/>
          <w:szCs w:val="16"/>
        </w:rPr>
      </w:pPr>
      <w:r>
        <w:rPr>
          <w:rFonts w:ascii="Arial" w:hAnsi="Arial" w:cs="Arial"/>
          <w:bCs/>
          <w:sz w:val="16"/>
          <w:szCs w:val="16"/>
        </w:rPr>
        <w:t>Figure 2</w:t>
      </w:r>
      <w:r w:rsidR="00A40C40">
        <w:rPr>
          <w:rFonts w:ascii="Arial" w:hAnsi="Arial" w:cs="Arial"/>
          <w:bCs/>
          <w:sz w:val="16"/>
          <w:szCs w:val="16"/>
        </w:rPr>
        <w:t xml:space="preserve"> </w:t>
      </w:r>
      <w:r>
        <w:rPr>
          <w:rFonts w:ascii="Arial" w:hAnsi="Arial" w:cs="Arial"/>
          <w:bCs/>
          <w:sz w:val="16"/>
          <w:szCs w:val="16"/>
        </w:rPr>
        <w:t xml:space="preserve">: </w:t>
      </w:r>
      <w:r w:rsidR="00104A57" w:rsidRPr="00104A57">
        <w:rPr>
          <w:rFonts w:ascii="Arial" w:hAnsi="Arial" w:cs="Arial"/>
          <w:bCs/>
          <w:sz w:val="16"/>
          <w:szCs w:val="16"/>
        </w:rPr>
        <w:t>Hofstede’s Cultural Dimensions</w:t>
      </w:r>
      <w:r w:rsidR="00104A57">
        <w:rPr>
          <w:rFonts w:ascii="Arial" w:hAnsi="Arial" w:cs="Arial"/>
          <w:bCs/>
          <w:sz w:val="16"/>
          <w:szCs w:val="16"/>
        </w:rPr>
        <w:t xml:space="preserve"> Japan and UK</w:t>
      </w:r>
    </w:p>
    <w:p w:rsidR="008146B4" w:rsidRPr="008146B4" w:rsidRDefault="008146B4" w:rsidP="00970A3B">
      <w:pPr>
        <w:spacing w:line="360" w:lineRule="auto"/>
        <w:jc w:val="both"/>
        <w:rPr>
          <w:rFonts w:ascii="Arial" w:hAnsi="Arial" w:cs="Arial"/>
        </w:rPr>
      </w:pPr>
    </w:p>
    <w:p w:rsidR="008146B4" w:rsidRPr="003F580C" w:rsidRDefault="008146B4" w:rsidP="008146B4">
      <w:pPr>
        <w:spacing w:line="360" w:lineRule="auto"/>
        <w:jc w:val="both"/>
        <w:rPr>
          <w:rFonts w:ascii="Arial" w:hAnsi="Arial" w:cs="Arial"/>
        </w:rPr>
      </w:pPr>
      <w:r w:rsidRPr="008146B4">
        <w:rPr>
          <w:rFonts w:ascii="Arial" w:hAnsi="Arial" w:cs="Arial"/>
          <w:b/>
        </w:rPr>
        <w:t>Power distance</w:t>
      </w:r>
      <w:r>
        <w:rPr>
          <w:rFonts w:ascii="Arial" w:hAnsi="Arial" w:cs="Arial"/>
          <w:b/>
        </w:rPr>
        <w:t xml:space="preserve"> </w:t>
      </w:r>
      <w:r w:rsidRPr="008146B4">
        <w:rPr>
          <w:rFonts w:ascii="Arial" w:hAnsi="Arial" w:cs="Arial"/>
        </w:rPr>
        <w:t xml:space="preserve">deals with the fact </w:t>
      </w:r>
      <w:r w:rsidR="003F580C" w:rsidRPr="003F580C">
        <w:rPr>
          <w:rFonts w:ascii="Arial" w:hAnsi="Arial" w:cs="Arial"/>
        </w:rPr>
        <w:t>that not all individuals in societies are equal, reflecting the culture's attitude towards our differences. The power gap is defined as the extent to which less significant members of a country's institutions and organisations anticipate and tolerate unequal power allocation</w:t>
      </w:r>
      <w:r>
        <w:rPr>
          <w:rFonts w:ascii="Arial" w:hAnsi="Arial" w:cs="Arial"/>
          <w:lang w:val="bg-BG"/>
        </w:rPr>
        <w:t xml:space="preserve"> </w:t>
      </w:r>
      <w:r>
        <w:rPr>
          <w:rFonts w:ascii="Arial" w:hAnsi="Arial" w:cs="Arial"/>
        </w:rPr>
        <w:t>(The Culture Factor, 2025)</w:t>
      </w:r>
      <w:r w:rsidRPr="008146B4">
        <w:rPr>
          <w:rFonts w:ascii="Arial" w:hAnsi="Arial" w:cs="Arial"/>
        </w:rPr>
        <w:t>.</w:t>
      </w:r>
      <w:r w:rsidR="00104A57">
        <w:rPr>
          <w:rFonts w:ascii="Arial" w:hAnsi="Arial" w:cs="Arial"/>
          <w:lang w:val="bg-BG"/>
        </w:rPr>
        <w:t xml:space="preserve"> </w:t>
      </w:r>
      <w:r w:rsidR="00104A57" w:rsidRPr="00104A57">
        <w:rPr>
          <w:rFonts w:ascii="Arial" w:hAnsi="Arial" w:cs="Arial"/>
          <w:lang w:val="bg-BG"/>
        </w:rPr>
        <w:t>The United Kingdom has relatively low power distance scores of around 35, indicating a relatively fair and equitable approach to hierarchy. Managers are often seen as mediators, rather than despots or dictators. Their distance from subordinates is shorter, meaning they may even be friends, go out after work and have fun with their subordinates. On the other hand, Japan, although more structured, also has a relatively moderate power distance score of 54. However, it shows a strong hierarchical organizational behavior, with a clear division of ranks within the organization. That is, Japanese employees are not inclined to openly challenge authority and express disagreement with the manager's decisions, while British employees can and are even expected to openly debate their ideas and disagreement with management.</w:t>
      </w:r>
    </w:p>
    <w:p w:rsidR="00E17320" w:rsidRDefault="00E17320" w:rsidP="00E17320">
      <w:pPr>
        <w:spacing w:line="360" w:lineRule="auto"/>
        <w:jc w:val="both"/>
        <w:rPr>
          <w:rFonts w:ascii="Arial" w:hAnsi="Arial" w:cs="Arial"/>
        </w:rPr>
      </w:pPr>
      <w:r w:rsidRPr="00E17320">
        <w:rPr>
          <w:rFonts w:ascii="Arial" w:hAnsi="Arial" w:cs="Arial"/>
          <w:b/>
        </w:rPr>
        <w:t xml:space="preserve">Individualism </w:t>
      </w:r>
      <w:r w:rsidRPr="00E17320">
        <w:rPr>
          <w:rFonts w:ascii="Arial" w:hAnsi="Arial" w:cs="Arial"/>
        </w:rPr>
        <w:t>is characterised by a strong sense of independence and concentration on oneself and immediate family members, as well as a self-defined "I." Collectivism emphasises strong social relationships among the community. In collectivistic societies, individuals rely heavily on others for decision-making and actions</w:t>
      </w:r>
      <w:r>
        <w:rPr>
          <w:rFonts w:ascii="Arial" w:hAnsi="Arial" w:cs="Arial"/>
          <w:lang w:val="bg-BG"/>
        </w:rPr>
        <w:t xml:space="preserve"> </w:t>
      </w:r>
      <w:r>
        <w:rPr>
          <w:rFonts w:ascii="Arial" w:hAnsi="Arial" w:cs="Arial"/>
        </w:rPr>
        <w:t>(Żemojtel-Piotrowska</w:t>
      </w:r>
      <w:r w:rsidRPr="009B25FB">
        <w:rPr>
          <w:rFonts w:ascii="Arial" w:hAnsi="Arial" w:cs="Arial"/>
        </w:rPr>
        <w:t xml:space="preserve"> and Piotrowski</w:t>
      </w:r>
      <w:r>
        <w:rPr>
          <w:rFonts w:ascii="Arial" w:hAnsi="Arial" w:cs="Arial"/>
        </w:rPr>
        <w:t>, 2023)</w:t>
      </w:r>
      <w:r w:rsidRPr="00E17320">
        <w:rPr>
          <w:rFonts w:ascii="Arial" w:hAnsi="Arial" w:cs="Arial"/>
        </w:rPr>
        <w:t>.</w:t>
      </w:r>
      <w:r>
        <w:rPr>
          <w:rFonts w:ascii="Arial" w:hAnsi="Arial" w:cs="Arial"/>
          <w:lang w:val="bg-BG"/>
        </w:rPr>
        <w:t xml:space="preserve"> </w:t>
      </w:r>
      <w:r w:rsidRPr="00E17320">
        <w:rPr>
          <w:rFonts w:ascii="Arial" w:hAnsi="Arial" w:cs="Arial"/>
          <w:lang w:val="bg-BG"/>
        </w:rPr>
        <w:t xml:space="preserve">The UK scores high at 76, indicating a society characterized by individualism, where personal achievement and direct communication between members of </w:t>
      </w:r>
      <w:r w:rsidRPr="00E17320">
        <w:rPr>
          <w:rFonts w:ascii="Arial" w:hAnsi="Arial" w:cs="Arial"/>
          <w:lang w:val="bg-BG"/>
        </w:rPr>
        <w:lastRenderedPageBreak/>
        <w:t>the organization are valued. Japan, on the other hand, scores lower at 62, which is also a relatively high score.</w:t>
      </w:r>
      <w:r>
        <w:rPr>
          <w:rFonts w:ascii="Arial" w:hAnsi="Arial" w:cs="Arial"/>
        </w:rPr>
        <w:t xml:space="preserve"> </w:t>
      </w:r>
      <w:r w:rsidRPr="00E17320">
        <w:rPr>
          <w:rFonts w:ascii="Arial" w:hAnsi="Arial" w:cs="Arial"/>
        </w:rPr>
        <w:t>Japanese society is individualistic, and unlike China and Korea, it lacks an extended family system</w:t>
      </w:r>
      <w:r>
        <w:rPr>
          <w:rFonts w:ascii="Arial" w:hAnsi="Arial" w:cs="Arial"/>
        </w:rPr>
        <w:t xml:space="preserve"> (The Culture Factor, 2025)</w:t>
      </w:r>
      <w:r w:rsidRPr="00E17320">
        <w:rPr>
          <w:rFonts w:ascii="Arial" w:hAnsi="Arial" w:cs="Arial"/>
        </w:rPr>
        <w:t>. Japan has always been a paternalistic country, with the family name and assets passed down from father to son.</w:t>
      </w:r>
      <w:r w:rsidR="001E36B4" w:rsidRPr="001E36B4">
        <w:t xml:space="preserve"> </w:t>
      </w:r>
      <w:r w:rsidR="001E36B4" w:rsidRPr="001E36B4">
        <w:rPr>
          <w:rFonts w:ascii="Arial" w:hAnsi="Arial" w:cs="Arial"/>
        </w:rPr>
        <w:t>In this regard, the countries are relatively similar, but of course it should be borne in mind that Western societies are generally more individualistic.</w:t>
      </w:r>
    </w:p>
    <w:p w:rsidR="001E36B4" w:rsidRPr="003F580C" w:rsidRDefault="00D33459" w:rsidP="003F580C">
      <w:pPr>
        <w:spacing w:line="360" w:lineRule="auto"/>
        <w:jc w:val="both"/>
        <w:rPr>
          <w:rFonts w:ascii="Arial" w:hAnsi="Arial" w:cs="Arial"/>
        </w:rPr>
      </w:pPr>
      <w:r w:rsidRPr="00D33459">
        <w:rPr>
          <w:rFonts w:ascii="Arial" w:hAnsi="Arial" w:cs="Arial"/>
          <w:lang w:val="bg-BG"/>
        </w:rPr>
        <w:t>The dimension “</w:t>
      </w:r>
      <w:r w:rsidRPr="00D33459">
        <w:rPr>
          <w:rFonts w:ascii="Arial" w:hAnsi="Arial" w:cs="Arial"/>
          <w:b/>
          <w:lang w:val="bg-BG"/>
        </w:rPr>
        <w:t>Motivation for Achievement and Success</w:t>
      </w:r>
      <w:r w:rsidRPr="00D33459">
        <w:rPr>
          <w:rFonts w:ascii="Arial" w:hAnsi="Arial" w:cs="Arial"/>
          <w:lang w:val="bg-BG"/>
        </w:rPr>
        <w:t>” reflects the extent to which a culture strives for “living t</w:t>
      </w:r>
      <w:r>
        <w:rPr>
          <w:rFonts w:ascii="Arial" w:hAnsi="Arial" w:cs="Arial"/>
          <w:lang w:val="bg-BG"/>
        </w:rPr>
        <w:t xml:space="preserve">o work” or “working to live”. </w:t>
      </w:r>
      <w:r w:rsidR="003F580C" w:rsidRPr="003F580C">
        <w:rPr>
          <w:rFonts w:ascii="Arial" w:hAnsi="Arial" w:cs="Arial"/>
        </w:rPr>
        <w:t>A high score on this dimension suggests that society is motivated by rivalry, accomplis</w:t>
      </w:r>
      <w:r w:rsidR="003F580C">
        <w:rPr>
          <w:rFonts w:ascii="Arial" w:hAnsi="Arial" w:cs="Arial"/>
        </w:rPr>
        <w:t>hment, and success. A low score</w:t>
      </w:r>
      <w:r w:rsidR="003F580C" w:rsidRPr="003F580C">
        <w:rPr>
          <w:rFonts w:ascii="Arial" w:hAnsi="Arial" w:cs="Arial"/>
          <w:lang w:val="bg-BG"/>
        </w:rPr>
        <w:t xml:space="preserve"> </w:t>
      </w:r>
      <w:r w:rsidRPr="00D33459">
        <w:rPr>
          <w:rFonts w:ascii="Arial" w:hAnsi="Arial" w:cs="Arial"/>
          <w:lang w:val="bg-BG"/>
        </w:rPr>
        <w:t>indicates that society is oriented towards quality of life, therefore the sign of success is how we stand out with personal belongings, a car, a house and others, and not by being the best in the field in which we work</w:t>
      </w:r>
      <w:r>
        <w:rPr>
          <w:rFonts w:ascii="Arial" w:hAnsi="Arial" w:cs="Arial"/>
        </w:rPr>
        <w:t xml:space="preserve"> (The Culture Factor, 2025)</w:t>
      </w:r>
      <w:r w:rsidRPr="00D33459">
        <w:rPr>
          <w:rFonts w:ascii="Arial" w:hAnsi="Arial" w:cs="Arial"/>
          <w:lang w:val="bg-BG"/>
        </w:rPr>
        <w:t>. According to this criterion, a large distinction is seen between Japan and the UK, with the Asians’ score being 95, which indicates that for them success is achievement at work and this is their motivating force - to be the best, in their workplace, while in the UK it is only 66, which indicates that the understanding of success is the quality of life or its material expression.</w:t>
      </w:r>
    </w:p>
    <w:p w:rsidR="003457C8" w:rsidRDefault="003457C8" w:rsidP="003457C8">
      <w:pPr>
        <w:spacing w:line="360" w:lineRule="auto"/>
        <w:jc w:val="both"/>
        <w:rPr>
          <w:rFonts w:ascii="Arial" w:hAnsi="Arial" w:cs="Arial"/>
        </w:rPr>
      </w:pPr>
      <w:r w:rsidRPr="003457C8">
        <w:rPr>
          <w:rFonts w:ascii="Arial" w:hAnsi="Arial" w:cs="Arial"/>
          <w:b/>
        </w:rPr>
        <w:t>Uncertainty Avoidance</w:t>
      </w:r>
      <w:r>
        <w:rPr>
          <w:rFonts w:ascii="Arial" w:hAnsi="Arial" w:cs="Arial"/>
        </w:rPr>
        <w:t xml:space="preserve"> - t</w:t>
      </w:r>
      <w:r w:rsidRPr="003457C8">
        <w:rPr>
          <w:rFonts w:ascii="Arial" w:hAnsi="Arial" w:cs="Arial"/>
        </w:rPr>
        <w:t>his dimension focusses on dealing with uncertainty and ambiguity. High uncertainty avoidance leads to a desire for organised environments and strict adherence to behavioural standards, regulations, and rules, as well as a belief in ultimate truth (dogmatism)</w:t>
      </w:r>
      <w:r>
        <w:rPr>
          <w:rFonts w:ascii="Arial" w:hAnsi="Arial" w:cs="Arial"/>
        </w:rPr>
        <w:t xml:space="preserve"> (Hofstede, </w:t>
      </w:r>
      <w:r w:rsidRPr="003457C8">
        <w:rPr>
          <w:rFonts w:ascii="Arial" w:hAnsi="Arial" w:cs="Arial"/>
        </w:rPr>
        <w:t>2011</w:t>
      </w:r>
      <w:r>
        <w:rPr>
          <w:rFonts w:ascii="Arial" w:hAnsi="Arial" w:cs="Arial"/>
        </w:rPr>
        <w:t>)</w:t>
      </w:r>
      <w:r w:rsidRPr="003457C8">
        <w:rPr>
          <w:rFonts w:ascii="Arial" w:hAnsi="Arial" w:cs="Arial"/>
        </w:rPr>
        <w:t>.</w:t>
      </w:r>
      <w:r>
        <w:rPr>
          <w:rFonts w:ascii="Arial" w:hAnsi="Arial" w:cs="Arial"/>
        </w:rPr>
        <w:t xml:space="preserve"> </w:t>
      </w:r>
      <w:r w:rsidR="00CA6F36" w:rsidRPr="00CA6F36">
        <w:rPr>
          <w:rFonts w:ascii="Arial" w:hAnsi="Arial" w:cs="Arial"/>
        </w:rPr>
        <w:t xml:space="preserve">The UK has a low score on this indicator - 35, which indicates openness to change, taking more risks and flexibility in communication and negotiation. Japan on the other hand has a high score of 92 points, which reflects strong predictability, strong structure and formal rules. Higher levels of uncertainty avoidance are associated with </w:t>
      </w:r>
      <w:r w:rsidR="003F580C" w:rsidRPr="003F580C">
        <w:rPr>
          <w:rFonts w:ascii="Arial" w:hAnsi="Arial" w:cs="Arial"/>
        </w:rPr>
        <w:t>Increased stress, decreased subjective well-being, and intolerance for ab</w:t>
      </w:r>
      <w:r w:rsidR="003F580C">
        <w:rPr>
          <w:rFonts w:ascii="Arial" w:hAnsi="Arial" w:cs="Arial"/>
        </w:rPr>
        <w:t>errant persons or ideas. R</w:t>
      </w:r>
      <w:r w:rsidR="003F580C" w:rsidRPr="003F580C">
        <w:rPr>
          <w:rFonts w:ascii="Arial" w:hAnsi="Arial" w:cs="Arial"/>
        </w:rPr>
        <w:t>educed levels of uncertainty avoidance are connected with more subjective well-being, reduced stress, greater tolerance of deviant persons or ideas, increased relativism, and less rules</w:t>
      </w:r>
      <w:r w:rsidR="00CA6F36">
        <w:rPr>
          <w:rFonts w:ascii="Arial" w:hAnsi="Arial" w:cs="Arial"/>
          <w:lang w:val="bg-BG"/>
        </w:rPr>
        <w:t xml:space="preserve"> </w:t>
      </w:r>
      <w:r w:rsidR="00CA6F36">
        <w:rPr>
          <w:rFonts w:ascii="Arial" w:hAnsi="Arial" w:cs="Arial"/>
        </w:rPr>
        <w:t>(Minkov and</w:t>
      </w:r>
      <w:r w:rsidR="00CA6F36" w:rsidRPr="00CA6F36">
        <w:rPr>
          <w:rFonts w:ascii="Arial" w:hAnsi="Arial" w:cs="Arial"/>
        </w:rPr>
        <w:t xml:space="preserve"> Kaasa, 2022</w:t>
      </w:r>
      <w:r w:rsidR="00CA6F36">
        <w:rPr>
          <w:rFonts w:ascii="Arial" w:hAnsi="Arial" w:cs="Arial"/>
        </w:rPr>
        <w:t xml:space="preserve">). </w:t>
      </w:r>
    </w:p>
    <w:p w:rsidR="00E21473" w:rsidRDefault="00E21473" w:rsidP="00E21473">
      <w:pPr>
        <w:spacing w:line="360" w:lineRule="auto"/>
        <w:jc w:val="both"/>
        <w:rPr>
          <w:rFonts w:ascii="Arial" w:hAnsi="Arial" w:cs="Arial"/>
          <w:lang w:val="bg-BG"/>
        </w:rPr>
      </w:pPr>
      <w:r>
        <w:rPr>
          <w:rFonts w:ascii="Arial" w:hAnsi="Arial" w:cs="Arial"/>
        </w:rPr>
        <w:t>According to Hofstede (2011)</w:t>
      </w:r>
      <w:r w:rsidRPr="00E21473">
        <w:rPr>
          <w:rFonts w:ascii="Arial" w:hAnsi="Arial" w:cs="Arial"/>
        </w:rPr>
        <w:t xml:space="preserve"> cultural aspects theory, </w:t>
      </w:r>
      <w:r w:rsidRPr="00E21473">
        <w:rPr>
          <w:rFonts w:ascii="Arial" w:hAnsi="Arial" w:cs="Arial"/>
          <w:b/>
        </w:rPr>
        <w:t>long-term orientation</w:t>
      </w:r>
      <w:r w:rsidRPr="00E21473">
        <w:rPr>
          <w:rFonts w:ascii="Arial" w:hAnsi="Arial" w:cs="Arial"/>
        </w:rPr>
        <w:t xml:space="preserve"> refers to a society's inclination to prioritise future-oriented ideals and delayed satisfaction, emphasising characteristics such as persistence, thrift, and long-term progress.</w:t>
      </w:r>
      <w:r>
        <w:rPr>
          <w:rFonts w:ascii="Arial" w:hAnsi="Arial" w:cs="Arial"/>
        </w:rPr>
        <w:t xml:space="preserve"> </w:t>
      </w:r>
      <w:r w:rsidR="0082495A" w:rsidRPr="0082495A">
        <w:rPr>
          <w:rFonts w:ascii="Arial" w:hAnsi="Arial" w:cs="Arial"/>
        </w:rPr>
        <w:t xml:space="preserve">Japan gets the highest score of 100, indicating an exceptionally strong long-term orientation, valuing persistence and adaptability to achieve goals. On the other hand, the UK gets a lower score of 60, indicating short- and medium-term pragmatism that focuses on measurable results. For example, a 5 percent increase in sales must be achieved within 3 months. This can greatly </w:t>
      </w:r>
      <w:r w:rsidR="0082495A" w:rsidRPr="0082495A">
        <w:rPr>
          <w:rFonts w:ascii="Arial" w:hAnsi="Arial" w:cs="Arial"/>
        </w:rPr>
        <w:lastRenderedPageBreak/>
        <w:t>influence the way communication is structured, as presentations in Japan need to be methodical, in-depth and looking to future results.</w:t>
      </w:r>
    </w:p>
    <w:p w:rsidR="0082495A" w:rsidRDefault="0082495A" w:rsidP="0082495A">
      <w:pPr>
        <w:spacing w:line="360" w:lineRule="auto"/>
        <w:jc w:val="both"/>
        <w:rPr>
          <w:rFonts w:ascii="Arial" w:hAnsi="Arial" w:cs="Arial"/>
          <w:lang w:val="bg-BG"/>
        </w:rPr>
      </w:pPr>
      <w:r w:rsidRPr="0082495A">
        <w:rPr>
          <w:rFonts w:ascii="Arial" w:hAnsi="Arial" w:cs="Arial"/>
          <w:b/>
        </w:rPr>
        <w:t>Indulgence</w:t>
      </w:r>
      <w:r w:rsidRPr="0082495A">
        <w:rPr>
          <w:rFonts w:ascii="Arial" w:hAnsi="Arial" w:cs="Arial"/>
        </w:rPr>
        <w:t xml:space="preserve"> is reflected in attitudes towards satisfying or controlling human needs related to enjoying life. Indulgence cultures prioritise unrestricted pleasure and delight, whereas restraint cultures rely on rigid control to satisfy demands</w:t>
      </w:r>
      <w:r>
        <w:rPr>
          <w:rFonts w:ascii="Arial" w:hAnsi="Arial" w:cs="Arial"/>
        </w:rPr>
        <w:t xml:space="preserve"> (Żemojtel-Piotrowska</w:t>
      </w:r>
      <w:r w:rsidRPr="009B25FB">
        <w:rPr>
          <w:rFonts w:ascii="Arial" w:hAnsi="Arial" w:cs="Arial"/>
        </w:rPr>
        <w:t xml:space="preserve"> and Piotrowski</w:t>
      </w:r>
      <w:r>
        <w:rPr>
          <w:rFonts w:ascii="Arial" w:hAnsi="Arial" w:cs="Arial"/>
        </w:rPr>
        <w:t>, 2023)</w:t>
      </w:r>
      <w:r w:rsidRPr="0082495A">
        <w:rPr>
          <w:rFonts w:ascii="Arial" w:hAnsi="Arial" w:cs="Arial"/>
        </w:rPr>
        <w:t>.</w:t>
      </w:r>
      <w:r w:rsidR="0016391A">
        <w:rPr>
          <w:rFonts w:ascii="Arial" w:hAnsi="Arial" w:cs="Arial"/>
        </w:rPr>
        <w:t xml:space="preserve"> </w:t>
      </w:r>
      <w:r w:rsidR="0016391A" w:rsidRPr="0016391A">
        <w:rPr>
          <w:rFonts w:ascii="Arial" w:hAnsi="Arial" w:cs="Arial"/>
        </w:rPr>
        <w:t>The high score of 69, which is reflected in the UK, indicates a culture that allows for relatively free satisfaction of desires and emotions. This indicator is lower in Japan, which indicates a relatively restrained Japanese society, valuing social norms and self-discipline. This can lead to misunderstandings between the two countries, as Japanese teams would be more reserved and moderate in their relationships, while British teams are more informal.</w:t>
      </w:r>
    </w:p>
    <w:p w:rsidR="00394C33" w:rsidRDefault="00394C33" w:rsidP="004C6D44">
      <w:pPr>
        <w:spacing w:line="360" w:lineRule="auto"/>
        <w:jc w:val="both"/>
        <w:rPr>
          <w:rFonts w:ascii="Arial" w:hAnsi="Arial" w:cs="Arial"/>
        </w:rPr>
      </w:pPr>
      <w:r w:rsidRPr="00E2047D">
        <w:rPr>
          <w:rFonts w:ascii="Arial" w:hAnsi="Arial" w:cs="Arial"/>
          <w:b/>
          <w:lang w:val="bg-BG"/>
        </w:rPr>
        <w:t>Hall's theory</w:t>
      </w:r>
      <w:r w:rsidRPr="00394C33">
        <w:rPr>
          <w:rFonts w:ascii="Arial" w:hAnsi="Arial" w:cs="Arial"/>
          <w:lang w:val="bg-BG"/>
        </w:rPr>
        <w:t xml:space="preserve"> complements Hofstede's by offering insight into communication style rather than core values.</w:t>
      </w:r>
      <w:r>
        <w:rPr>
          <w:rFonts w:ascii="Arial" w:hAnsi="Arial" w:cs="Arial"/>
          <w:lang w:val="bg-BG"/>
        </w:rPr>
        <w:t xml:space="preserve"> </w:t>
      </w:r>
      <w:r w:rsidRPr="00394C33">
        <w:rPr>
          <w:rFonts w:ascii="Arial" w:hAnsi="Arial" w:cs="Arial"/>
          <w:lang w:val="bg-BG"/>
        </w:rPr>
        <w:t>Cultures differ not only in how they communicate, but also in how much of the message is embedded in the context of communication</w:t>
      </w:r>
      <w:r>
        <w:rPr>
          <w:rFonts w:ascii="Arial" w:hAnsi="Arial" w:cs="Arial"/>
          <w:lang w:val="bg-BG"/>
        </w:rPr>
        <w:t xml:space="preserve"> </w:t>
      </w:r>
      <w:r>
        <w:rPr>
          <w:rFonts w:ascii="Arial" w:hAnsi="Arial" w:cs="Arial"/>
        </w:rPr>
        <w:t xml:space="preserve">(Nguyen, Heeler and Taran, </w:t>
      </w:r>
      <w:r w:rsidRPr="00394C33">
        <w:rPr>
          <w:rFonts w:ascii="Arial" w:hAnsi="Arial" w:cs="Arial"/>
        </w:rPr>
        <w:t>2007</w:t>
      </w:r>
      <w:r>
        <w:rPr>
          <w:rFonts w:ascii="Arial" w:hAnsi="Arial" w:cs="Arial"/>
        </w:rPr>
        <w:t>)</w:t>
      </w:r>
      <w:r w:rsidRPr="00394C33">
        <w:rPr>
          <w:rFonts w:ascii="Arial" w:hAnsi="Arial" w:cs="Arial"/>
          <w:lang w:val="bg-BG"/>
        </w:rPr>
        <w:t>. This distinction is crucial when managing cross-cultural teams.</w:t>
      </w:r>
      <w:r>
        <w:rPr>
          <w:rFonts w:ascii="Arial" w:hAnsi="Arial" w:cs="Arial"/>
        </w:rPr>
        <w:t xml:space="preserve"> </w:t>
      </w:r>
      <w:r w:rsidR="004C6D44">
        <w:rPr>
          <w:rFonts w:ascii="Arial" w:hAnsi="Arial" w:cs="Arial"/>
          <w:lang w:val="bg-BG"/>
        </w:rPr>
        <w:t xml:space="preserve"> </w:t>
      </w:r>
      <w:r w:rsidR="004C6D44" w:rsidRPr="004C6D44">
        <w:rPr>
          <w:rFonts w:ascii="Arial" w:hAnsi="Arial" w:cs="Arial"/>
          <w:b/>
          <w:lang w:val="bg-BG"/>
        </w:rPr>
        <w:t>High-context cultures</w:t>
      </w:r>
      <w:r w:rsidR="004C6D44" w:rsidRPr="004C6D44">
        <w:rPr>
          <w:rFonts w:ascii="Arial" w:hAnsi="Arial" w:cs="Arial"/>
          <w:lang w:val="bg-BG"/>
        </w:rPr>
        <w:t>, such as Japan, are indirect and implicit in their communication. Messages are conveyed through nonverbal cues, shared understanding, and relationships.</w:t>
      </w:r>
      <w:r w:rsidR="004C6D44">
        <w:rPr>
          <w:rFonts w:ascii="Arial" w:hAnsi="Arial" w:cs="Arial"/>
          <w:lang w:val="bg-BG"/>
        </w:rPr>
        <w:t xml:space="preserve"> </w:t>
      </w:r>
      <w:r w:rsidR="004C6D44" w:rsidRPr="004C6D44">
        <w:rPr>
          <w:rFonts w:ascii="Arial" w:hAnsi="Arial" w:cs="Arial"/>
          <w:lang w:val="bg-BG"/>
        </w:rPr>
        <w:t>Silence, body language, tone of voice, and the position of the interlocutors when sitting at the negotiating table are meaningful and extremely important</w:t>
      </w:r>
      <w:r w:rsidR="004C6D44">
        <w:rPr>
          <w:rFonts w:ascii="Arial" w:hAnsi="Arial" w:cs="Arial"/>
        </w:rPr>
        <w:t xml:space="preserve"> (</w:t>
      </w:r>
      <w:r w:rsidR="004C6D44" w:rsidRPr="004C6D44">
        <w:rPr>
          <w:rFonts w:ascii="Arial" w:hAnsi="Arial" w:cs="Arial"/>
        </w:rPr>
        <w:t>Sheposh</w:t>
      </w:r>
      <w:r w:rsidR="004C6D44">
        <w:rPr>
          <w:rFonts w:ascii="Arial" w:hAnsi="Arial" w:cs="Arial"/>
        </w:rPr>
        <w:t>, 2025)</w:t>
      </w:r>
      <w:r w:rsidR="004C6D44" w:rsidRPr="004C6D44">
        <w:rPr>
          <w:rFonts w:ascii="Arial" w:hAnsi="Arial" w:cs="Arial"/>
          <w:lang w:val="bg-BG"/>
        </w:rPr>
        <w:t>. Trust and long-term relationships are a prerequisite for open communication, and of course refusal and saying "no" directly are very often avoided, often silence fulfills this function.</w:t>
      </w:r>
      <w:r w:rsidR="004C6D44">
        <w:rPr>
          <w:rFonts w:ascii="Arial" w:hAnsi="Arial" w:cs="Arial"/>
          <w:lang w:val="bg-BG"/>
        </w:rPr>
        <w:t xml:space="preserve"> </w:t>
      </w:r>
      <w:r w:rsidR="004C6D44" w:rsidRPr="004C6D44">
        <w:rPr>
          <w:rFonts w:ascii="Arial" w:hAnsi="Arial" w:cs="Arial"/>
          <w:lang w:val="bg-BG"/>
        </w:rPr>
        <w:t xml:space="preserve">In </w:t>
      </w:r>
      <w:r w:rsidR="004C6D44" w:rsidRPr="004C6D44">
        <w:rPr>
          <w:rFonts w:ascii="Arial" w:hAnsi="Arial" w:cs="Arial"/>
          <w:b/>
          <w:lang w:val="bg-BG"/>
        </w:rPr>
        <w:t>low-context cultures</w:t>
      </w:r>
      <w:r w:rsidR="004C6D44" w:rsidRPr="004C6D44">
        <w:rPr>
          <w:rFonts w:ascii="Arial" w:hAnsi="Arial" w:cs="Arial"/>
          <w:lang w:val="bg-BG"/>
        </w:rPr>
        <w:t xml:space="preserve"> like the UK, communication is direct, unambiguous, and clear. Verbal precision is preferred, with people saying exactly what they mean. Written documentation is preferred as a means of accountability, including emails and contracts</w:t>
      </w:r>
      <w:r w:rsidR="004C6D44">
        <w:rPr>
          <w:rFonts w:ascii="Arial" w:hAnsi="Arial" w:cs="Arial"/>
        </w:rPr>
        <w:t xml:space="preserve"> (</w:t>
      </w:r>
      <w:r w:rsidR="004C6D44" w:rsidRPr="004C6D44">
        <w:rPr>
          <w:rFonts w:ascii="Arial" w:hAnsi="Arial" w:cs="Arial"/>
        </w:rPr>
        <w:t>Sheposh</w:t>
      </w:r>
      <w:r w:rsidR="004C6D44">
        <w:rPr>
          <w:rFonts w:ascii="Arial" w:hAnsi="Arial" w:cs="Arial"/>
        </w:rPr>
        <w:t>, 2025)</w:t>
      </w:r>
      <w:r w:rsidR="004C6D44" w:rsidRPr="004C6D44">
        <w:rPr>
          <w:rFonts w:ascii="Arial" w:hAnsi="Arial" w:cs="Arial"/>
          <w:lang w:val="bg-BG"/>
        </w:rPr>
        <w:t>. Feedback is open, clear, and direct.</w:t>
      </w:r>
      <w:r w:rsidR="00BE53B0">
        <w:rPr>
          <w:rFonts w:ascii="Arial" w:hAnsi="Arial" w:cs="Arial"/>
          <w:lang w:val="bg-BG"/>
        </w:rPr>
        <w:t xml:space="preserve"> </w:t>
      </w:r>
      <w:r w:rsidR="00BE53B0" w:rsidRPr="00BE53B0">
        <w:rPr>
          <w:rFonts w:ascii="Arial" w:hAnsi="Arial" w:cs="Arial"/>
          <w:lang w:val="bg-BG"/>
        </w:rPr>
        <w:t>In a high-context environment like Japan, British team members may misinterpret indirect feedback or silence as approval. The reverse is also true, Japanese colleagues may perceive British directness as rude. Virtual communication, especially in remote environments, exacerbates these problems. Without body language, high-context messages can be completely lost and confusing to low-context recipients, and vice versa.</w:t>
      </w:r>
    </w:p>
    <w:p w:rsidR="00856707" w:rsidRPr="00856707" w:rsidRDefault="00856707" w:rsidP="004C6D44">
      <w:pPr>
        <w:spacing w:line="360" w:lineRule="auto"/>
        <w:jc w:val="both"/>
        <w:rPr>
          <w:rFonts w:ascii="Arial" w:hAnsi="Arial" w:cs="Arial"/>
          <w:b/>
          <w:sz w:val="28"/>
          <w:szCs w:val="28"/>
        </w:rPr>
      </w:pPr>
      <w:r w:rsidRPr="00856707">
        <w:rPr>
          <w:rFonts w:ascii="Arial" w:hAnsi="Arial" w:cs="Arial"/>
          <w:b/>
          <w:sz w:val="28"/>
          <w:szCs w:val="28"/>
        </w:rPr>
        <w:t>Strategies for Successful Cross-Cultural Communication</w:t>
      </w:r>
    </w:p>
    <w:p w:rsidR="00D14A96" w:rsidRPr="00D14A96" w:rsidRDefault="005876D8" w:rsidP="00D14A96">
      <w:pPr>
        <w:spacing w:line="360" w:lineRule="auto"/>
        <w:jc w:val="both"/>
        <w:rPr>
          <w:rFonts w:ascii="Arial" w:hAnsi="Arial" w:cs="Arial"/>
          <w:lang w:val="bg-BG"/>
        </w:rPr>
      </w:pPr>
      <w:r w:rsidRPr="005876D8">
        <w:rPr>
          <w:rFonts w:ascii="Arial" w:hAnsi="Arial" w:cs="Arial"/>
          <w:lang w:val="bg-BG"/>
        </w:rPr>
        <w:t>Directness versus indirectness, feedback provision, decision-making styles, nonverbal and contextual misunderstandings, as well as written communication and email tone, can all lead to misunderstandings and challenges in leading teams. As cultural misunderstandings can lead to project delays, low morale and even failure, implementing thoughtful and evidence-</w:t>
      </w:r>
      <w:r w:rsidRPr="005876D8">
        <w:rPr>
          <w:rFonts w:ascii="Arial" w:hAnsi="Arial" w:cs="Arial"/>
          <w:lang w:val="bg-BG"/>
        </w:rPr>
        <w:lastRenderedPageBreak/>
        <w:t>based strategies is crucial. A set of practical, theoretically sound strategies for facilitating communication between UK and Japanese teams, based on best practices in cross-cultural management, can be extracted below.</w:t>
      </w:r>
      <w:r>
        <w:rPr>
          <w:rFonts w:ascii="Arial" w:hAnsi="Arial" w:cs="Arial"/>
          <w:lang w:val="bg-BG"/>
        </w:rPr>
        <w:t xml:space="preserve"> </w:t>
      </w:r>
      <w:r w:rsidR="00D14A96" w:rsidRPr="00856707">
        <w:rPr>
          <w:rFonts w:ascii="Arial" w:hAnsi="Arial" w:cs="Arial"/>
          <w:b/>
          <w:lang w:val="bg-BG"/>
        </w:rPr>
        <w:t>Cultural awareness and team training</w:t>
      </w:r>
      <w:r w:rsidR="00D14A96" w:rsidRPr="00D14A96">
        <w:rPr>
          <w:rFonts w:ascii="Arial" w:hAnsi="Arial" w:cs="Arial"/>
          <w:lang w:val="bg-BG"/>
        </w:rPr>
        <w:t xml:space="preserve"> - Diageo and Suntory should invest in cross-cultural training with simulations and workshops. Employees should learn different perspectives and understandings of the hierarchy in the organization. Training would help to improve feedback, empathy for the other team and reduce misunderstandings.</w:t>
      </w:r>
    </w:p>
    <w:p w:rsidR="00D14A96" w:rsidRDefault="00D14A96" w:rsidP="00D14A96">
      <w:pPr>
        <w:spacing w:line="360" w:lineRule="auto"/>
        <w:jc w:val="both"/>
        <w:rPr>
          <w:rFonts w:ascii="Arial" w:hAnsi="Arial" w:cs="Arial"/>
          <w:lang w:val="bg-BG"/>
        </w:rPr>
      </w:pPr>
      <w:r w:rsidRPr="00856707">
        <w:rPr>
          <w:rFonts w:ascii="Arial" w:hAnsi="Arial" w:cs="Arial"/>
          <w:b/>
          <w:lang w:val="bg-BG"/>
        </w:rPr>
        <w:t>Establish shared norms</w:t>
      </w:r>
      <w:r w:rsidRPr="00D14A96">
        <w:rPr>
          <w:rFonts w:ascii="Arial" w:hAnsi="Arial" w:cs="Arial"/>
          <w:lang w:val="bg-BG"/>
        </w:rPr>
        <w:t xml:space="preserve"> that should be developed together by teams in both countries, and these norms could include: behavior during meetings, how and when to use silence or remove it as a form of communication. Document decisions in shared emails between decision-makers.</w:t>
      </w:r>
    </w:p>
    <w:p w:rsidR="006C0FB6" w:rsidRPr="00D14A96" w:rsidRDefault="006C0FB6" w:rsidP="00D14A96">
      <w:pPr>
        <w:spacing w:line="360" w:lineRule="auto"/>
        <w:jc w:val="both"/>
        <w:rPr>
          <w:rFonts w:ascii="Arial" w:hAnsi="Arial" w:cs="Arial"/>
          <w:lang w:val="bg-BG"/>
        </w:rPr>
      </w:pPr>
      <w:r w:rsidRPr="006C0FB6">
        <w:rPr>
          <w:rFonts w:ascii="Arial" w:hAnsi="Arial" w:cs="Arial"/>
          <w:lang w:val="bg-BG"/>
        </w:rPr>
        <w:t xml:space="preserve">Using </w:t>
      </w:r>
      <w:r w:rsidRPr="006C0FB6">
        <w:rPr>
          <w:rFonts w:ascii="Arial" w:hAnsi="Arial" w:cs="Arial"/>
          <w:b/>
          <w:lang w:val="bg-BG"/>
        </w:rPr>
        <w:t>culturally sensitive</w:t>
      </w:r>
      <w:r w:rsidRPr="006C0FB6">
        <w:rPr>
          <w:rFonts w:ascii="Arial" w:hAnsi="Arial" w:cs="Arial"/>
          <w:lang w:val="bg-BG"/>
        </w:rPr>
        <w:t xml:space="preserve"> technologies like Zoom, Teams, are designed with low-context communication norms to avoid misunderstandings. Encouraging video calls allows nonverbal cues to aid communication. Creating bilingual whiteboards, visual aids, and diagrams also helps improve communication and reduces the likelihood of misunderstandings within teams.</w:t>
      </w:r>
    </w:p>
    <w:p w:rsidR="006C0FB6" w:rsidRDefault="00127158" w:rsidP="00D14A96">
      <w:pPr>
        <w:spacing w:line="360" w:lineRule="auto"/>
        <w:jc w:val="both"/>
        <w:rPr>
          <w:rFonts w:ascii="Arial" w:hAnsi="Arial" w:cs="Arial"/>
          <w:lang w:val="bg-BG"/>
        </w:rPr>
      </w:pPr>
      <w:r w:rsidRPr="00127158">
        <w:rPr>
          <w:rFonts w:ascii="Arial" w:hAnsi="Arial" w:cs="Arial"/>
          <w:lang w:val="bg-BG"/>
        </w:rPr>
        <w:t xml:space="preserve">Appointing </w:t>
      </w:r>
      <w:r w:rsidRPr="00223D0C">
        <w:rPr>
          <w:rFonts w:ascii="Arial" w:hAnsi="Arial" w:cs="Arial"/>
          <w:b/>
          <w:lang w:val="bg-BG"/>
        </w:rPr>
        <w:t>bilingual liaison officers</w:t>
      </w:r>
      <w:r w:rsidRPr="00127158">
        <w:rPr>
          <w:rFonts w:ascii="Arial" w:hAnsi="Arial" w:cs="Arial"/>
          <w:lang w:val="bg-BG"/>
        </w:rPr>
        <w:t xml:space="preserve"> within project teams can significantly improve communication flow and reduce misunderstandings. These individuals act as cultural interpreters, helping to clarify both the content and context of messages. For example, a Japanese liaison officer can explain why a vague response from his team may actually signal strong disagreement, while a British liaison officer can help Japanese staff interpret direct feedback from the UK as constructive rather than confrontational.</w:t>
      </w:r>
    </w:p>
    <w:p w:rsidR="006C0FB6" w:rsidRDefault="006C0FB6" w:rsidP="00D14A96">
      <w:pPr>
        <w:spacing w:line="360" w:lineRule="auto"/>
        <w:jc w:val="both"/>
        <w:rPr>
          <w:rFonts w:ascii="Arial" w:hAnsi="Arial" w:cs="Arial"/>
          <w:lang w:val="bg-BG"/>
        </w:rPr>
      </w:pPr>
      <w:r w:rsidRPr="006C0FB6">
        <w:rPr>
          <w:rFonts w:ascii="Arial" w:hAnsi="Arial" w:cs="Arial"/>
          <w:b/>
          <w:lang w:val="bg-BG"/>
        </w:rPr>
        <w:t>Feedback delivery</w:t>
      </w:r>
      <w:r w:rsidRPr="006C0FB6">
        <w:rPr>
          <w:rFonts w:ascii="Arial" w:hAnsi="Arial" w:cs="Arial"/>
          <w:lang w:val="bg-BG"/>
        </w:rPr>
        <w:t xml:space="preserve"> needs to be adapted to ensure that it is culturally appropriate. In the UK, feedback can be given openly, focusing on clarity and effectiveness, in Japan, on the other hand, feedback needs to be offered in a private setting, using a positive - constructive - positive technique to preserve the employee’s reputation. A successful method is to adopt a two-channel feedback approach, using written performance reports with follow-up meetings. This allows Japanese employees to reflect privately and respond thoughtfully.</w:t>
      </w:r>
    </w:p>
    <w:p w:rsidR="00D14A96" w:rsidRDefault="00223D0C" w:rsidP="00D14A96">
      <w:pPr>
        <w:spacing w:line="360" w:lineRule="auto"/>
        <w:jc w:val="both"/>
        <w:rPr>
          <w:rFonts w:ascii="Arial" w:hAnsi="Arial" w:cs="Arial"/>
          <w:lang w:val="bg-BG"/>
        </w:rPr>
      </w:pPr>
      <w:r w:rsidRPr="00223D0C">
        <w:rPr>
          <w:rFonts w:ascii="Arial" w:hAnsi="Arial" w:cs="Arial"/>
          <w:lang w:val="bg-BG"/>
        </w:rPr>
        <w:t xml:space="preserve">In high-context cultures like Japan, </w:t>
      </w:r>
      <w:r w:rsidRPr="00223D0C">
        <w:rPr>
          <w:rFonts w:ascii="Arial" w:hAnsi="Arial" w:cs="Arial"/>
          <w:b/>
          <w:lang w:val="bg-BG"/>
        </w:rPr>
        <w:t>trust and familiarity</w:t>
      </w:r>
      <w:r w:rsidRPr="00223D0C">
        <w:rPr>
          <w:rFonts w:ascii="Arial" w:hAnsi="Arial" w:cs="Arial"/>
          <w:lang w:val="bg-BG"/>
        </w:rPr>
        <w:t xml:space="preserve"> are prerequisites for open communication. Diageo should invest in relationship-building activities, especially in the early stages of collaboration. This can take the form of face-to-face meetings, ideally in Japan, to demonstrate commitment, interest and respect. Informal events such as team dinners or lunches, as well as sessions for cultural exchange and developing personal relationships.</w:t>
      </w:r>
      <w:r w:rsidR="00D14A96" w:rsidRPr="00D14A96">
        <w:rPr>
          <w:rFonts w:ascii="Arial" w:hAnsi="Arial" w:cs="Arial"/>
          <w:lang w:val="bg-BG"/>
        </w:rPr>
        <w:t>.</w:t>
      </w:r>
    </w:p>
    <w:p w:rsidR="00856707" w:rsidRDefault="00856707" w:rsidP="00D14A96">
      <w:pPr>
        <w:spacing w:line="360" w:lineRule="auto"/>
        <w:jc w:val="both"/>
        <w:rPr>
          <w:rFonts w:ascii="Arial" w:hAnsi="Arial" w:cs="Arial"/>
          <w:b/>
          <w:sz w:val="28"/>
          <w:szCs w:val="28"/>
          <w:lang w:val="bg-BG"/>
        </w:rPr>
      </w:pPr>
      <w:r w:rsidRPr="00856707">
        <w:rPr>
          <w:rFonts w:ascii="Arial" w:hAnsi="Arial" w:cs="Arial"/>
          <w:b/>
          <w:sz w:val="28"/>
          <w:szCs w:val="28"/>
        </w:rPr>
        <w:lastRenderedPageBreak/>
        <w:t>Conclusion</w:t>
      </w:r>
    </w:p>
    <w:p w:rsidR="00856707" w:rsidRPr="00856707" w:rsidRDefault="00856707" w:rsidP="00D14A96">
      <w:pPr>
        <w:spacing w:line="360" w:lineRule="auto"/>
        <w:jc w:val="both"/>
        <w:rPr>
          <w:rFonts w:ascii="Arial" w:hAnsi="Arial" w:cs="Arial"/>
          <w:lang w:val="bg-BG"/>
        </w:rPr>
      </w:pPr>
      <w:r w:rsidRPr="00856707">
        <w:rPr>
          <w:rFonts w:ascii="Arial" w:hAnsi="Arial" w:cs="Arial"/>
          <w:lang w:val="bg-BG"/>
        </w:rPr>
        <w:t>The partnership between Diageo and Suntory demonstrates both the opportunities and challenges inherent in international and cross-cultural collaboration. Although the companies bring many strengths, different communication styles, which are embedded in different cultural values, can hinder mutual understanding and smooth entry into markets. Contrasts in directness, hierarchy, feedback within teams and silence as non-verbal communication can lead to incorrect and incomprehensible communication between teams. However, active leadership with a clear understanding of cultural peculiarities and addressing them through training, adaptive protocols, seminars and more, can smooth out these differences and lead to the success of global business partnerships.</w:t>
      </w:r>
    </w:p>
    <w:p w:rsidR="00856707" w:rsidRPr="00856707" w:rsidRDefault="00856707" w:rsidP="00D14A96">
      <w:pPr>
        <w:spacing w:line="360" w:lineRule="auto"/>
        <w:jc w:val="both"/>
        <w:rPr>
          <w:rFonts w:ascii="Arial" w:hAnsi="Arial" w:cs="Arial"/>
        </w:rPr>
      </w:pPr>
    </w:p>
    <w:p w:rsidR="0016391A" w:rsidRPr="00394C33" w:rsidRDefault="0016391A" w:rsidP="0082495A">
      <w:pPr>
        <w:spacing w:line="360" w:lineRule="auto"/>
        <w:jc w:val="both"/>
        <w:rPr>
          <w:rFonts w:ascii="Arial" w:hAnsi="Arial" w:cs="Arial"/>
          <w:b/>
        </w:rPr>
      </w:pPr>
    </w:p>
    <w:p w:rsidR="0082495A" w:rsidRPr="0082495A" w:rsidRDefault="0082495A" w:rsidP="00E21473">
      <w:pPr>
        <w:spacing w:line="360" w:lineRule="auto"/>
        <w:jc w:val="both"/>
        <w:rPr>
          <w:rFonts w:ascii="Arial" w:hAnsi="Arial" w:cs="Arial"/>
          <w:lang w:val="bg-BG"/>
        </w:rPr>
      </w:pPr>
    </w:p>
    <w:p w:rsidR="00E21473" w:rsidRDefault="00E21473" w:rsidP="003457C8">
      <w:pPr>
        <w:spacing w:line="360" w:lineRule="auto"/>
        <w:jc w:val="both"/>
        <w:rPr>
          <w:rFonts w:ascii="Arial" w:hAnsi="Arial" w:cs="Arial"/>
          <w:lang w:val="bg-BG"/>
        </w:rPr>
      </w:pPr>
    </w:p>
    <w:p w:rsidR="00223D0C" w:rsidRDefault="00223D0C" w:rsidP="003457C8">
      <w:pPr>
        <w:spacing w:line="360" w:lineRule="auto"/>
        <w:jc w:val="both"/>
        <w:rPr>
          <w:rFonts w:ascii="Arial" w:hAnsi="Arial" w:cs="Arial"/>
          <w:lang w:val="bg-BG"/>
        </w:rPr>
      </w:pPr>
    </w:p>
    <w:p w:rsidR="00223D0C" w:rsidRDefault="00223D0C" w:rsidP="003457C8">
      <w:pPr>
        <w:spacing w:line="360" w:lineRule="auto"/>
        <w:jc w:val="both"/>
        <w:rPr>
          <w:rFonts w:ascii="Arial" w:hAnsi="Arial" w:cs="Arial"/>
          <w:lang w:val="bg-BG"/>
        </w:rPr>
      </w:pPr>
    </w:p>
    <w:p w:rsidR="00223D0C" w:rsidRPr="00223D0C" w:rsidRDefault="00223D0C" w:rsidP="003457C8">
      <w:pPr>
        <w:spacing w:line="360" w:lineRule="auto"/>
        <w:jc w:val="both"/>
        <w:rPr>
          <w:rFonts w:ascii="Arial" w:hAnsi="Arial" w:cs="Arial"/>
          <w:lang w:val="bg-BG"/>
        </w:rPr>
      </w:pPr>
    </w:p>
    <w:p w:rsidR="006B6E56" w:rsidRDefault="006B6E56" w:rsidP="002C2759">
      <w:pPr>
        <w:jc w:val="both"/>
        <w:rPr>
          <w:rFonts w:ascii="Arial" w:hAnsi="Arial" w:cs="Arial"/>
          <w:lang w:val="bg-BG"/>
        </w:rPr>
      </w:pPr>
    </w:p>
    <w:p w:rsidR="00856707" w:rsidRDefault="00856707"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223D0C" w:rsidRDefault="00223D0C" w:rsidP="002C2759">
      <w:pPr>
        <w:jc w:val="both"/>
        <w:rPr>
          <w:rFonts w:ascii="Arial" w:hAnsi="Arial" w:cs="Arial"/>
          <w:lang w:val="bg-BG"/>
        </w:rPr>
      </w:pPr>
    </w:p>
    <w:p w:rsidR="00A4665B" w:rsidRPr="00856707" w:rsidRDefault="00A4665B" w:rsidP="002C2759">
      <w:pPr>
        <w:jc w:val="both"/>
        <w:rPr>
          <w:rFonts w:ascii="Arial" w:hAnsi="Arial" w:cs="Arial"/>
          <w:lang w:val="bg-BG"/>
        </w:rPr>
      </w:pPr>
    </w:p>
    <w:p w:rsidR="006B6E56" w:rsidRPr="006B6E56" w:rsidRDefault="006B6E56" w:rsidP="006B6E56">
      <w:pPr>
        <w:spacing w:line="360" w:lineRule="auto"/>
        <w:jc w:val="both"/>
        <w:rPr>
          <w:rFonts w:ascii="Arial" w:hAnsi="Arial" w:cs="Arial"/>
          <w:b/>
          <w:sz w:val="28"/>
          <w:szCs w:val="28"/>
        </w:rPr>
      </w:pPr>
      <w:r w:rsidRPr="000C4A5F">
        <w:rPr>
          <w:rFonts w:ascii="Arial" w:hAnsi="Arial" w:cs="Arial"/>
          <w:b/>
          <w:sz w:val="28"/>
          <w:szCs w:val="28"/>
        </w:rPr>
        <w:lastRenderedPageBreak/>
        <w:t>References</w:t>
      </w:r>
    </w:p>
    <w:p w:rsidR="00815D04" w:rsidRDefault="00815D04" w:rsidP="006B6E56">
      <w:pPr>
        <w:spacing w:line="360" w:lineRule="auto"/>
        <w:jc w:val="both"/>
        <w:rPr>
          <w:rFonts w:ascii="Arial" w:hAnsi="Arial" w:cs="Arial"/>
        </w:rPr>
      </w:pPr>
      <w:r w:rsidRPr="006B6E56">
        <w:rPr>
          <w:rFonts w:ascii="Arial" w:hAnsi="Arial" w:cs="Arial"/>
        </w:rPr>
        <w:t>Conway, J. (2024) </w:t>
      </w:r>
      <w:r w:rsidRPr="006B6E56">
        <w:rPr>
          <w:rFonts w:ascii="Arial" w:hAnsi="Arial" w:cs="Arial"/>
          <w:i/>
          <w:iCs/>
        </w:rPr>
        <w:t>Market share of spirits companies in UK </w:t>
      </w:r>
      <w:r w:rsidRPr="006B6E56">
        <w:rPr>
          <w:rFonts w:ascii="Arial" w:hAnsi="Arial" w:cs="Arial"/>
        </w:rPr>
        <w:t>. Available at: https://www.statista.com/statistics/1428745/spirits-company-market-share-uk/ (Accessed: 22.07.2025).</w:t>
      </w:r>
    </w:p>
    <w:p w:rsidR="00815D04" w:rsidRDefault="00815D04" w:rsidP="006B6E56">
      <w:pPr>
        <w:spacing w:line="360" w:lineRule="auto"/>
        <w:jc w:val="both"/>
        <w:rPr>
          <w:rFonts w:ascii="Arial" w:hAnsi="Arial" w:cs="Arial"/>
        </w:rPr>
      </w:pPr>
      <w:r w:rsidRPr="007C193F">
        <w:rPr>
          <w:rFonts w:ascii="Arial" w:hAnsi="Arial" w:cs="Arial"/>
        </w:rPr>
        <w:t>Deresky, H</w:t>
      </w:r>
      <w:r>
        <w:rPr>
          <w:rFonts w:ascii="Arial" w:hAnsi="Arial" w:cs="Arial"/>
        </w:rPr>
        <w:t>.</w:t>
      </w:r>
      <w:r w:rsidRPr="007C193F">
        <w:rPr>
          <w:rFonts w:ascii="Arial" w:hAnsi="Arial" w:cs="Arial"/>
        </w:rPr>
        <w:t xml:space="preserve"> </w:t>
      </w:r>
      <w:r>
        <w:rPr>
          <w:rFonts w:ascii="Arial" w:hAnsi="Arial" w:cs="Arial"/>
        </w:rPr>
        <w:t>(</w:t>
      </w:r>
      <w:r w:rsidRPr="007C193F">
        <w:rPr>
          <w:rFonts w:ascii="Arial" w:hAnsi="Arial" w:cs="Arial"/>
        </w:rPr>
        <w:t>2016</w:t>
      </w:r>
      <w:r>
        <w:rPr>
          <w:rFonts w:ascii="Arial" w:hAnsi="Arial" w:cs="Arial"/>
        </w:rPr>
        <w:t>)</w:t>
      </w:r>
      <w:r w:rsidRPr="007C193F">
        <w:rPr>
          <w:rFonts w:ascii="Arial" w:hAnsi="Arial" w:cs="Arial"/>
        </w:rPr>
        <w:t>, International Management: Managing Across Borders and Cultures, Text and Cases, Global Edition, Pearson Education, Limited, Harlow. Available</w:t>
      </w:r>
      <w:r>
        <w:rPr>
          <w:rFonts w:ascii="Arial" w:hAnsi="Arial" w:cs="Arial"/>
        </w:rPr>
        <w:t xml:space="preserve"> from: ProQuest Ebook Central. (22.07.2025)</w:t>
      </w:r>
      <w:r w:rsidRPr="007C193F">
        <w:rPr>
          <w:rFonts w:ascii="Arial" w:hAnsi="Arial" w:cs="Arial"/>
        </w:rPr>
        <w:t>.</w:t>
      </w:r>
    </w:p>
    <w:p w:rsidR="00815D04" w:rsidRDefault="00815D04" w:rsidP="006B6E56">
      <w:pPr>
        <w:spacing w:line="360" w:lineRule="auto"/>
        <w:jc w:val="both"/>
        <w:rPr>
          <w:rFonts w:ascii="Arial" w:hAnsi="Arial" w:cs="Arial"/>
        </w:rPr>
      </w:pPr>
      <w:r w:rsidRPr="006B6E56">
        <w:rPr>
          <w:rFonts w:ascii="Arial" w:hAnsi="Arial" w:cs="Arial"/>
        </w:rPr>
        <w:t>Diageo (2025) </w:t>
      </w:r>
      <w:r w:rsidRPr="006B6E56">
        <w:rPr>
          <w:rFonts w:ascii="Arial" w:hAnsi="Arial" w:cs="Arial"/>
          <w:i/>
          <w:iCs/>
        </w:rPr>
        <w:t>Global leader in premium drinks</w:t>
      </w:r>
      <w:r w:rsidRPr="006B6E56">
        <w:rPr>
          <w:rFonts w:ascii="Arial" w:hAnsi="Arial" w:cs="Arial"/>
        </w:rPr>
        <w:t>. Available at: https://www.diageo.com/en/our-business (Accessed: 22.07.2025).</w:t>
      </w:r>
    </w:p>
    <w:p w:rsidR="00815D04" w:rsidRDefault="00815D04" w:rsidP="006B6E56">
      <w:pPr>
        <w:spacing w:line="360" w:lineRule="auto"/>
        <w:jc w:val="both"/>
        <w:rPr>
          <w:rFonts w:ascii="Arial" w:hAnsi="Arial" w:cs="Arial"/>
        </w:rPr>
      </w:pPr>
      <w:r w:rsidRPr="00AB3B41">
        <w:rPr>
          <w:rFonts w:ascii="Arial" w:hAnsi="Arial" w:cs="Arial"/>
        </w:rPr>
        <w:t>GlobalData (2022) </w:t>
      </w:r>
      <w:r w:rsidRPr="00AB3B41">
        <w:rPr>
          <w:rFonts w:ascii="Arial" w:hAnsi="Arial" w:cs="Arial"/>
          <w:i/>
          <w:iCs/>
        </w:rPr>
        <w:t>Japan spirits market size</w:t>
      </w:r>
      <w:r w:rsidRPr="00AB3B41">
        <w:rPr>
          <w:rFonts w:ascii="Arial" w:hAnsi="Arial" w:cs="Arial"/>
        </w:rPr>
        <w:t>. Available at: https://www.globaldata.com/store/report/japan-spirits-market-analysis/ (Accessed: 22.07.2025).</w:t>
      </w:r>
    </w:p>
    <w:p w:rsidR="00815D04" w:rsidRDefault="00815D04" w:rsidP="006B6E56">
      <w:pPr>
        <w:spacing w:line="360" w:lineRule="auto"/>
        <w:jc w:val="both"/>
        <w:rPr>
          <w:rFonts w:ascii="Arial" w:hAnsi="Arial" w:cs="Arial"/>
        </w:rPr>
      </w:pPr>
      <w:r w:rsidRPr="003457C8">
        <w:rPr>
          <w:rFonts w:ascii="Arial" w:hAnsi="Arial" w:cs="Arial"/>
        </w:rPr>
        <w:t xml:space="preserve">Hofstede, G. (2011). Dimensionalizing cultures: The Hofstede model in context. Online Readings in Psychology and Culture, 2(1). </w:t>
      </w:r>
      <w:hyperlink r:id="rId9" w:history="1">
        <w:r w:rsidRPr="003457C8">
          <w:rPr>
            <w:rStyle w:val="Hyperlink"/>
            <w:rFonts w:ascii="Arial" w:hAnsi="Arial" w:cs="Arial"/>
          </w:rPr>
          <w:t>https://doi.org/10.9707/2307-0919.1014</w:t>
        </w:r>
      </w:hyperlink>
    </w:p>
    <w:p w:rsidR="00815D04" w:rsidRDefault="00815D04" w:rsidP="006B6E56">
      <w:pPr>
        <w:spacing w:line="360" w:lineRule="auto"/>
        <w:jc w:val="both"/>
        <w:rPr>
          <w:rFonts w:ascii="Arial" w:hAnsi="Arial" w:cs="Arial"/>
        </w:rPr>
      </w:pPr>
      <w:r w:rsidRPr="00CA6F36">
        <w:rPr>
          <w:rFonts w:ascii="Arial" w:hAnsi="Arial" w:cs="Arial"/>
        </w:rPr>
        <w:t>Minkov, M., &amp; Kaasa, A. (2022). Do dimensions of culture exist objectively? A validation of the revised MinkovHofstede model of culture with world values survey items and scores for 102 countries. Journal of International Management, 28(</w:t>
      </w:r>
      <w:r>
        <w:rPr>
          <w:rFonts w:ascii="Arial" w:hAnsi="Arial" w:cs="Arial"/>
        </w:rPr>
        <w:t xml:space="preserve">4), 100971. </w:t>
      </w:r>
      <w:hyperlink r:id="rId10" w:tgtFrame="_blank" w:tooltip="Persistent link using digital object identifier" w:history="1">
        <w:r w:rsidRPr="00CA6F36">
          <w:rPr>
            <w:rStyle w:val="Hyperlink"/>
            <w:rFonts w:ascii="Arial" w:hAnsi="Arial" w:cs="Arial"/>
          </w:rPr>
          <w:t>https://doi.org/10.1016/j.intman.2022.100971</w:t>
        </w:r>
      </w:hyperlink>
    </w:p>
    <w:p w:rsidR="00815D04" w:rsidRDefault="00815D04" w:rsidP="006B6E56">
      <w:pPr>
        <w:spacing w:line="360" w:lineRule="auto"/>
        <w:jc w:val="both"/>
        <w:rPr>
          <w:rFonts w:ascii="Arial" w:hAnsi="Arial" w:cs="Arial"/>
        </w:rPr>
      </w:pPr>
      <w:r>
        <w:rPr>
          <w:rFonts w:ascii="Arial" w:hAnsi="Arial" w:cs="Arial"/>
        </w:rPr>
        <w:t>Nguyen, A., Heeler</w:t>
      </w:r>
      <w:r w:rsidRPr="00394C33">
        <w:rPr>
          <w:rFonts w:ascii="Arial" w:hAnsi="Arial" w:cs="Arial"/>
        </w:rPr>
        <w:t>, R.M</w:t>
      </w:r>
      <w:r>
        <w:rPr>
          <w:rFonts w:ascii="Arial" w:hAnsi="Arial" w:cs="Arial"/>
        </w:rPr>
        <w:t>. and Taran, Z.</w:t>
      </w:r>
      <w:r w:rsidRPr="00394C33">
        <w:rPr>
          <w:rFonts w:ascii="Arial" w:hAnsi="Arial" w:cs="Arial"/>
        </w:rPr>
        <w:t xml:space="preserve"> </w:t>
      </w:r>
      <w:r>
        <w:rPr>
          <w:rFonts w:ascii="Arial" w:hAnsi="Arial" w:cs="Arial"/>
        </w:rPr>
        <w:t>(</w:t>
      </w:r>
      <w:r w:rsidRPr="00394C33">
        <w:rPr>
          <w:rFonts w:ascii="Arial" w:hAnsi="Arial" w:cs="Arial"/>
        </w:rPr>
        <w:t>2007</w:t>
      </w:r>
      <w:r>
        <w:rPr>
          <w:rFonts w:ascii="Arial" w:hAnsi="Arial" w:cs="Arial"/>
        </w:rPr>
        <w:t>)</w:t>
      </w:r>
      <w:r w:rsidRPr="00394C33">
        <w:rPr>
          <w:rFonts w:ascii="Arial" w:hAnsi="Arial" w:cs="Arial"/>
        </w:rPr>
        <w:t xml:space="preserve"> High-low context cultures and price-ending practices. </w:t>
      </w:r>
      <w:r w:rsidRPr="00394C33">
        <w:rPr>
          <w:rFonts w:ascii="Arial" w:hAnsi="Arial" w:cs="Arial"/>
          <w:i/>
          <w:iCs/>
        </w:rPr>
        <w:t>The Journal of Product and Brand Management, </w:t>
      </w:r>
      <w:r w:rsidRPr="00394C33">
        <w:rPr>
          <w:rFonts w:ascii="Arial" w:hAnsi="Arial" w:cs="Arial"/>
          <w:b/>
          <w:bCs/>
        </w:rPr>
        <w:t>16</w:t>
      </w:r>
      <w:r w:rsidRPr="00394C33">
        <w:rPr>
          <w:rFonts w:ascii="Arial" w:hAnsi="Arial" w:cs="Arial"/>
        </w:rPr>
        <w:t>(3), pp. 206-214.</w:t>
      </w:r>
    </w:p>
    <w:p w:rsidR="00815D04" w:rsidRPr="00CA6F36" w:rsidRDefault="00815D04" w:rsidP="006B6E56">
      <w:pPr>
        <w:spacing w:line="360" w:lineRule="auto"/>
        <w:jc w:val="both"/>
        <w:rPr>
          <w:rFonts w:ascii="Arial" w:hAnsi="Arial" w:cs="Arial"/>
        </w:rPr>
      </w:pPr>
      <w:r w:rsidRPr="0098375D">
        <w:rPr>
          <w:rFonts w:ascii="Arial" w:hAnsi="Arial" w:cs="Arial"/>
        </w:rPr>
        <w:t>Sheposh, R. (2025) </w:t>
      </w:r>
      <w:r w:rsidRPr="0098375D">
        <w:rPr>
          <w:rFonts w:ascii="Arial" w:hAnsi="Arial" w:cs="Arial"/>
          <w:i/>
          <w:iCs/>
        </w:rPr>
        <w:t>High-context and low-context cultures</w:t>
      </w:r>
      <w:r w:rsidRPr="0098375D">
        <w:rPr>
          <w:rFonts w:ascii="Arial" w:hAnsi="Arial" w:cs="Arial"/>
        </w:rPr>
        <w:t>. Available at: https://www.ebsco.com/research-starters/communication-and-mass-media/high-context-and-low-cont (Accessed: 23.07.2025).</w:t>
      </w:r>
    </w:p>
    <w:p w:rsidR="00815D04" w:rsidRDefault="00815D04" w:rsidP="006B6E56">
      <w:pPr>
        <w:spacing w:line="360" w:lineRule="auto"/>
        <w:jc w:val="both"/>
        <w:rPr>
          <w:rFonts w:ascii="Arial" w:hAnsi="Arial" w:cs="Arial"/>
        </w:rPr>
      </w:pPr>
      <w:r w:rsidRPr="00D9496D">
        <w:rPr>
          <w:rFonts w:ascii="Arial" w:hAnsi="Arial" w:cs="Arial"/>
        </w:rPr>
        <w:t>Statista (2024) </w:t>
      </w:r>
      <w:r w:rsidRPr="00D9496D">
        <w:rPr>
          <w:rFonts w:ascii="Arial" w:hAnsi="Arial" w:cs="Arial"/>
          <w:i/>
          <w:iCs/>
        </w:rPr>
        <w:t>Spirits - Japan</w:t>
      </w:r>
      <w:r w:rsidRPr="00D9496D">
        <w:rPr>
          <w:rFonts w:ascii="Arial" w:hAnsi="Arial" w:cs="Arial"/>
        </w:rPr>
        <w:t>. Available at: https://www.statista.com/outlook/cmo/alcoholic-drinks/spirits/japan?currency=USD#revenue_116645 (Accessed: 22.07.2025).</w:t>
      </w:r>
    </w:p>
    <w:p w:rsidR="00815D04" w:rsidRDefault="00815D04" w:rsidP="006B6E56">
      <w:pPr>
        <w:spacing w:line="360" w:lineRule="auto"/>
        <w:jc w:val="both"/>
        <w:rPr>
          <w:rFonts w:ascii="Arial" w:hAnsi="Arial" w:cs="Arial"/>
        </w:rPr>
      </w:pPr>
      <w:r w:rsidRPr="008146B4">
        <w:rPr>
          <w:rFonts w:ascii="Arial" w:hAnsi="Arial" w:cs="Arial"/>
        </w:rPr>
        <w:t>The Culture Factor (2025) </w:t>
      </w:r>
      <w:r w:rsidRPr="008146B4">
        <w:rPr>
          <w:rFonts w:ascii="Arial" w:hAnsi="Arial" w:cs="Arial"/>
          <w:i/>
          <w:iCs/>
        </w:rPr>
        <w:t>Country Comparison Tool</w:t>
      </w:r>
      <w:r w:rsidRPr="008146B4">
        <w:rPr>
          <w:rFonts w:ascii="Arial" w:hAnsi="Arial" w:cs="Arial"/>
        </w:rPr>
        <w:t>. Available at: https://www.theculturefactor.com/country-comparison-tool?countries=japan%2Cunited+kingdom (Accessed: 23.07.2025).</w:t>
      </w:r>
    </w:p>
    <w:p w:rsidR="00815D04" w:rsidRDefault="00815D04" w:rsidP="006B6E56">
      <w:pPr>
        <w:spacing w:line="360" w:lineRule="auto"/>
        <w:jc w:val="both"/>
        <w:rPr>
          <w:rFonts w:ascii="Arial" w:hAnsi="Arial" w:cs="Arial"/>
        </w:rPr>
      </w:pPr>
      <w:r w:rsidRPr="009B25FB">
        <w:rPr>
          <w:rFonts w:ascii="Arial" w:hAnsi="Arial" w:cs="Arial"/>
        </w:rPr>
        <w:t xml:space="preserve">Żemojtel-Piotrowska, M. and Piotrowski, J., </w:t>
      </w:r>
      <w:r>
        <w:rPr>
          <w:rFonts w:ascii="Arial" w:hAnsi="Arial" w:cs="Arial"/>
        </w:rPr>
        <w:t>(</w:t>
      </w:r>
      <w:r w:rsidRPr="009B25FB">
        <w:rPr>
          <w:rFonts w:ascii="Arial" w:hAnsi="Arial" w:cs="Arial"/>
        </w:rPr>
        <w:t>2023</w:t>
      </w:r>
      <w:r>
        <w:rPr>
          <w:rFonts w:ascii="Arial" w:hAnsi="Arial" w:cs="Arial"/>
        </w:rPr>
        <w:t>)</w:t>
      </w:r>
      <w:r w:rsidRPr="009B25FB">
        <w:rPr>
          <w:rFonts w:ascii="Arial" w:hAnsi="Arial" w:cs="Arial"/>
        </w:rPr>
        <w:t xml:space="preserve"> Hofstede’s cultural dimensions theory. In </w:t>
      </w:r>
      <w:r w:rsidRPr="009B25FB">
        <w:rPr>
          <w:rFonts w:ascii="Arial" w:hAnsi="Arial" w:cs="Arial"/>
          <w:i/>
          <w:iCs/>
        </w:rPr>
        <w:t>Encyclopedia of sexual psychology and behavior</w:t>
      </w:r>
      <w:r w:rsidRPr="009B25FB">
        <w:rPr>
          <w:rFonts w:ascii="Arial" w:hAnsi="Arial" w:cs="Arial"/>
        </w:rPr>
        <w:t> (pp. 1-4). Cham: Springer International Publishing.</w:t>
      </w:r>
    </w:p>
    <w:sectPr w:rsidR="00815D04" w:rsidSect="0085670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6B3B" w:rsidRDefault="00636B3B" w:rsidP="00856707">
      <w:pPr>
        <w:spacing w:after="0" w:line="240" w:lineRule="auto"/>
      </w:pPr>
      <w:r>
        <w:separator/>
      </w:r>
    </w:p>
  </w:endnote>
  <w:endnote w:type="continuationSeparator" w:id="1">
    <w:p w:rsidR="00636B3B" w:rsidRDefault="00636B3B" w:rsidP="008567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5312329"/>
      <w:docPartObj>
        <w:docPartGallery w:val="Page Numbers (Bottom of Page)"/>
        <w:docPartUnique/>
      </w:docPartObj>
    </w:sdtPr>
    <w:sdtContent>
      <w:p w:rsidR="00856707" w:rsidRDefault="0093731B">
        <w:pPr>
          <w:pStyle w:val="Footer"/>
          <w:jc w:val="center"/>
        </w:pPr>
        <w:fldSimple w:instr=" PAGE   \* MERGEFORMAT ">
          <w:r w:rsidR="00A4665B">
            <w:rPr>
              <w:noProof/>
            </w:rPr>
            <w:t>2</w:t>
          </w:r>
        </w:fldSimple>
      </w:p>
    </w:sdtContent>
  </w:sdt>
  <w:p w:rsidR="00856707" w:rsidRDefault="008567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6B3B" w:rsidRDefault="00636B3B" w:rsidP="00856707">
      <w:pPr>
        <w:spacing w:after="0" w:line="240" w:lineRule="auto"/>
      </w:pPr>
      <w:r>
        <w:separator/>
      </w:r>
    </w:p>
  </w:footnote>
  <w:footnote w:type="continuationSeparator" w:id="1">
    <w:p w:rsidR="00636B3B" w:rsidRDefault="00636B3B" w:rsidP="0085670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5F5128"/>
    <w:rsid w:val="000856D0"/>
    <w:rsid w:val="000C7A04"/>
    <w:rsid w:val="00104A57"/>
    <w:rsid w:val="00127158"/>
    <w:rsid w:val="0016391A"/>
    <w:rsid w:val="001E36B4"/>
    <w:rsid w:val="001F1A15"/>
    <w:rsid w:val="00223D0C"/>
    <w:rsid w:val="0024082C"/>
    <w:rsid w:val="002A2A3D"/>
    <w:rsid w:val="002C2759"/>
    <w:rsid w:val="0033258B"/>
    <w:rsid w:val="003457C8"/>
    <w:rsid w:val="00394C33"/>
    <w:rsid w:val="003F580C"/>
    <w:rsid w:val="004707D5"/>
    <w:rsid w:val="004C6D44"/>
    <w:rsid w:val="005876D8"/>
    <w:rsid w:val="005F5128"/>
    <w:rsid w:val="00636B3B"/>
    <w:rsid w:val="0066038E"/>
    <w:rsid w:val="006B6E56"/>
    <w:rsid w:val="006C0FB6"/>
    <w:rsid w:val="007B2C92"/>
    <w:rsid w:val="007C193F"/>
    <w:rsid w:val="008146B4"/>
    <w:rsid w:val="00815D04"/>
    <w:rsid w:val="0082495A"/>
    <w:rsid w:val="00842E24"/>
    <w:rsid w:val="00856707"/>
    <w:rsid w:val="008619D1"/>
    <w:rsid w:val="0093731B"/>
    <w:rsid w:val="00970A3B"/>
    <w:rsid w:val="0098375D"/>
    <w:rsid w:val="009B25FB"/>
    <w:rsid w:val="00A0659F"/>
    <w:rsid w:val="00A40C40"/>
    <w:rsid w:val="00A4665B"/>
    <w:rsid w:val="00AB3B41"/>
    <w:rsid w:val="00AD3964"/>
    <w:rsid w:val="00B55F6A"/>
    <w:rsid w:val="00BE53B0"/>
    <w:rsid w:val="00CA6F36"/>
    <w:rsid w:val="00D14A96"/>
    <w:rsid w:val="00D33459"/>
    <w:rsid w:val="00D9496D"/>
    <w:rsid w:val="00DB2738"/>
    <w:rsid w:val="00E17320"/>
    <w:rsid w:val="00E2047D"/>
    <w:rsid w:val="00E21473"/>
    <w:rsid w:val="00E3763B"/>
    <w:rsid w:val="00E706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63B"/>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51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128"/>
    <w:rPr>
      <w:rFonts w:ascii="Tahoma" w:hAnsi="Tahoma" w:cs="Tahoma"/>
      <w:sz w:val="16"/>
      <w:szCs w:val="16"/>
    </w:rPr>
  </w:style>
  <w:style w:type="paragraph" w:styleId="NormalWeb">
    <w:name w:val="Normal (Web)"/>
    <w:basedOn w:val="Normal"/>
    <w:uiPriority w:val="99"/>
    <w:semiHidden/>
    <w:unhideWhenUsed/>
    <w:rsid w:val="005F512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856D0"/>
    <w:rPr>
      <w:color w:val="0000FF" w:themeColor="hyperlink"/>
      <w:u w:val="single"/>
    </w:rPr>
  </w:style>
  <w:style w:type="paragraph" w:styleId="TOC1">
    <w:name w:val="toc 1"/>
    <w:basedOn w:val="Normal"/>
    <w:next w:val="Normal"/>
    <w:autoRedefine/>
    <w:uiPriority w:val="39"/>
    <w:unhideWhenUsed/>
    <w:rsid w:val="000856D0"/>
    <w:pPr>
      <w:spacing w:after="100"/>
    </w:pPr>
    <w:rPr>
      <w:rFonts w:ascii="Times New Roman" w:eastAsiaTheme="minorHAnsi" w:hAnsi="Times New Roman"/>
      <w:kern w:val="2"/>
      <w:sz w:val="24"/>
      <w:lang w:eastAsia="en-US"/>
    </w:rPr>
  </w:style>
  <w:style w:type="character" w:styleId="FollowedHyperlink">
    <w:name w:val="FollowedHyperlink"/>
    <w:basedOn w:val="DefaultParagraphFont"/>
    <w:uiPriority w:val="99"/>
    <w:semiHidden/>
    <w:unhideWhenUsed/>
    <w:rsid w:val="003457C8"/>
    <w:rPr>
      <w:color w:val="800080" w:themeColor="followedHyperlink"/>
      <w:u w:val="single"/>
    </w:rPr>
  </w:style>
  <w:style w:type="paragraph" w:styleId="Header">
    <w:name w:val="header"/>
    <w:basedOn w:val="Normal"/>
    <w:link w:val="HeaderChar"/>
    <w:uiPriority w:val="99"/>
    <w:semiHidden/>
    <w:unhideWhenUsed/>
    <w:rsid w:val="0085670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56707"/>
  </w:style>
  <w:style w:type="paragraph" w:styleId="Footer">
    <w:name w:val="footer"/>
    <w:basedOn w:val="Normal"/>
    <w:link w:val="FooterChar"/>
    <w:uiPriority w:val="99"/>
    <w:unhideWhenUsed/>
    <w:rsid w:val="00856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707"/>
  </w:style>
</w:styles>
</file>

<file path=word/webSettings.xml><?xml version="1.0" encoding="utf-8"?>
<w:webSettings xmlns:r="http://schemas.openxmlformats.org/officeDocument/2006/relationships" xmlns:w="http://schemas.openxmlformats.org/wordprocessingml/2006/main">
  <w:divs>
    <w:div w:id="8023496">
      <w:bodyDiv w:val="1"/>
      <w:marLeft w:val="0"/>
      <w:marRight w:val="0"/>
      <w:marTop w:val="0"/>
      <w:marBottom w:val="0"/>
      <w:divBdr>
        <w:top w:val="none" w:sz="0" w:space="0" w:color="auto"/>
        <w:left w:val="none" w:sz="0" w:space="0" w:color="auto"/>
        <w:bottom w:val="none" w:sz="0" w:space="0" w:color="auto"/>
        <w:right w:val="none" w:sz="0" w:space="0" w:color="auto"/>
      </w:divBdr>
    </w:div>
    <w:div w:id="84617737">
      <w:bodyDiv w:val="1"/>
      <w:marLeft w:val="0"/>
      <w:marRight w:val="0"/>
      <w:marTop w:val="0"/>
      <w:marBottom w:val="0"/>
      <w:divBdr>
        <w:top w:val="none" w:sz="0" w:space="0" w:color="auto"/>
        <w:left w:val="none" w:sz="0" w:space="0" w:color="auto"/>
        <w:bottom w:val="none" w:sz="0" w:space="0" w:color="auto"/>
        <w:right w:val="none" w:sz="0" w:space="0" w:color="auto"/>
      </w:divBdr>
    </w:div>
    <w:div w:id="132912886">
      <w:bodyDiv w:val="1"/>
      <w:marLeft w:val="0"/>
      <w:marRight w:val="0"/>
      <w:marTop w:val="0"/>
      <w:marBottom w:val="0"/>
      <w:divBdr>
        <w:top w:val="none" w:sz="0" w:space="0" w:color="auto"/>
        <w:left w:val="none" w:sz="0" w:space="0" w:color="auto"/>
        <w:bottom w:val="none" w:sz="0" w:space="0" w:color="auto"/>
        <w:right w:val="none" w:sz="0" w:space="0" w:color="auto"/>
      </w:divBdr>
    </w:div>
    <w:div w:id="150564751">
      <w:bodyDiv w:val="1"/>
      <w:marLeft w:val="0"/>
      <w:marRight w:val="0"/>
      <w:marTop w:val="0"/>
      <w:marBottom w:val="0"/>
      <w:divBdr>
        <w:top w:val="none" w:sz="0" w:space="0" w:color="auto"/>
        <w:left w:val="none" w:sz="0" w:space="0" w:color="auto"/>
        <w:bottom w:val="none" w:sz="0" w:space="0" w:color="auto"/>
        <w:right w:val="none" w:sz="0" w:space="0" w:color="auto"/>
      </w:divBdr>
    </w:div>
    <w:div w:id="359475210">
      <w:bodyDiv w:val="1"/>
      <w:marLeft w:val="0"/>
      <w:marRight w:val="0"/>
      <w:marTop w:val="0"/>
      <w:marBottom w:val="0"/>
      <w:divBdr>
        <w:top w:val="none" w:sz="0" w:space="0" w:color="auto"/>
        <w:left w:val="none" w:sz="0" w:space="0" w:color="auto"/>
        <w:bottom w:val="none" w:sz="0" w:space="0" w:color="auto"/>
        <w:right w:val="none" w:sz="0" w:space="0" w:color="auto"/>
      </w:divBdr>
    </w:div>
    <w:div w:id="368771957">
      <w:bodyDiv w:val="1"/>
      <w:marLeft w:val="0"/>
      <w:marRight w:val="0"/>
      <w:marTop w:val="0"/>
      <w:marBottom w:val="0"/>
      <w:divBdr>
        <w:top w:val="none" w:sz="0" w:space="0" w:color="auto"/>
        <w:left w:val="none" w:sz="0" w:space="0" w:color="auto"/>
        <w:bottom w:val="none" w:sz="0" w:space="0" w:color="auto"/>
        <w:right w:val="none" w:sz="0" w:space="0" w:color="auto"/>
      </w:divBdr>
    </w:div>
    <w:div w:id="453524916">
      <w:bodyDiv w:val="1"/>
      <w:marLeft w:val="0"/>
      <w:marRight w:val="0"/>
      <w:marTop w:val="0"/>
      <w:marBottom w:val="0"/>
      <w:divBdr>
        <w:top w:val="none" w:sz="0" w:space="0" w:color="auto"/>
        <w:left w:val="none" w:sz="0" w:space="0" w:color="auto"/>
        <w:bottom w:val="none" w:sz="0" w:space="0" w:color="auto"/>
        <w:right w:val="none" w:sz="0" w:space="0" w:color="auto"/>
      </w:divBdr>
    </w:div>
    <w:div w:id="468548819">
      <w:bodyDiv w:val="1"/>
      <w:marLeft w:val="0"/>
      <w:marRight w:val="0"/>
      <w:marTop w:val="0"/>
      <w:marBottom w:val="0"/>
      <w:divBdr>
        <w:top w:val="none" w:sz="0" w:space="0" w:color="auto"/>
        <w:left w:val="none" w:sz="0" w:space="0" w:color="auto"/>
        <w:bottom w:val="none" w:sz="0" w:space="0" w:color="auto"/>
        <w:right w:val="none" w:sz="0" w:space="0" w:color="auto"/>
      </w:divBdr>
    </w:div>
    <w:div w:id="515848632">
      <w:bodyDiv w:val="1"/>
      <w:marLeft w:val="0"/>
      <w:marRight w:val="0"/>
      <w:marTop w:val="0"/>
      <w:marBottom w:val="0"/>
      <w:divBdr>
        <w:top w:val="none" w:sz="0" w:space="0" w:color="auto"/>
        <w:left w:val="none" w:sz="0" w:space="0" w:color="auto"/>
        <w:bottom w:val="none" w:sz="0" w:space="0" w:color="auto"/>
        <w:right w:val="none" w:sz="0" w:space="0" w:color="auto"/>
      </w:divBdr>
    </w:div>
    <w:div w:id="737168277">
      <w:bodyDiv w:val="1"/>
      <w:marLeft w:val="0"/>
      <w:marRight w:val="0"/>
      <w:marTop w:val="0"/>
      <w:marBottom w:val="0"/>
      <w:divBdr>
        <w:top w:val="none" w:sz="0" w:space="0" w:color="auto"/>
        <w:left w:val="none" w:sz="0" w:space="0" w:color="auto"/>
        <w:bottom w:val="none" w:sz="0" w:space="0" w:color="auto"/>
        <w:right w:val="none" w:sz="0" w:space="0" w:color="auto"/>
      </w:divBdr>
    </w:div>
    <w:div w:id="742609095">
      <w:bodyDiv w:val="1"/>
      <w:marLeft w:val="0"/>
      <w:marRight w:val="0"/>
      <w:marTop w:val="0"/>
      <w:marBottom w:val="0"/>
      <w:divBdr>
        <w:top w:val="none" w:sz="0" w:space="0" w:color="auto"/>
        <w:left w:val="none" w:sz="0" w:space="0" w:color="auto"/>
        <w:bottom w:val="none" w:sz="0" w:space="0" w:color="auto"/>
        <w:right w:val="none" w:sz="0" w:space="0" w:color="auto"/>
      </w:divBdr>
    </w:div>
    <w:div w:id="750393131">
      <w:bodyDiv w:val="1"/>
      <w:marLeft w:val="0"/>
      <w:marRight w:val="0"/>
      <w:marTop w:val="0"/>
      <w:marBottom w:val="0"/>
      <w:divBdr>
        <w:top w:val="none" w:sz="0" w:space="0" w:color="auto"/>
        <w:left w:val="none" w:sz="0" w:space="0" w:color="auto"/>
        <w:bottom w:val="none" w:sz="0" w:space="0" w:color="auto"/>
        <w:right w:val="none" w:sz="0" w:space="0" w:color="auto"/>
      </w:divBdr>
    </w:div>
    <w:div w:id="839975245">
      <w:bodyDiv w:val="1"/>
      <w:marLeft w:val="0"/>
      <w:marRight w:val="0"/>
      <w:marTop w:val="0"/>
      <w:marBottom w:val="0"/>
      <w:divBdr>
        <w:top w:val="none" w:sz="0" w:space="0" w:color="auto"/>
        <w:left w:val="none" w:sz="0" w:space="0" w:color="auto"/>
        <w:bottom w:val="none" w:sz="0" w:space="0" w:color="auto"/>
        <w:right w:val="none" w:sz="0" w:space="0" w:color="auto"/>
      </w:divBdr>
    </w:div>
    <w:div w:id="1141966648">
      <w:bodyDiv w:val="1"/>
      <w:marLeft w:val="0"/>
      <w:marRight w:val="0"/>
      <w:marTop w:val="0"/>
      <w:marBottom w:val="0"/>
      <w:divBdr>
        <w:top w:val="none" w:sz="0" w:space="0" w:color="auto"/>
        <w:left w:val="none" w:sz="0" w:space="0" w:color="auto"/>
        <w:bottom w:val="none" w:sz="0" w:space="0" w:color="auto"/>
        <w:right w:val="none" w:sz="0" w:space="0" w:color="auto"/>
      </w:divBdr>
    </w:div>
    <w:div w:id="1220895211">
      <w:bodyDiv w:val="1"/>
      <w:marLeft w:val="0"/>
      <w:marRight w:val="0"/>
      <w:marTop w:val="0"/>
      <w:marBottom w:val="0"/>
      <w:divBdr>
        <w:top w:val="none" w:sz="0" w:space="0" w:color="auto"/>
        <w:left w:val="none" w:sz="0" w:space="0" w:color="auto"/>
        <w:bottom w:val="none" w:sz="0" w:space="0" w:color="auto"/>
        <w:right w:val="none" w:sz="0" w:space="0" w:color="auto"/>
      </w:divBdr>
    </w:div>
    <w:div w:id="1250577399">
      <w:bodyDiv w:val="1"/>
      <w:marLeft w:val="0"/>
      <w:marRight w:val="0"/>
      <w:marTop w:val="0"/>
      <w:marBottom w:val="0"/>
      <w:divBdr>
        <w:top w:val="none" w:sz="0" w:space="0" w:color="auto"/>
        <w:left w:val="none" w:sz="0" w:space="0" w:color="auto"/>
        <w:bottom w:val="none" w:sz="0" w:space="0" w:color="auto"/>
        <w:right w:val="none" w:sz="0" w:space="0" w:color="auto"/>
      </w:divBdr>
    </w:div>
    <w:div w:id="1330867627">
      <w:bodyDiv w:val="1"/>
      <w:marLeft w:val="0"/>
      <w:marRight w:val="0"/>
      <w:marTop w:val="0"/>
      <w:marBottom w:val="0"/>
      <w:divBdr>
        <w:top w:val="none" w:sz="0" w:space="0" w:color="auto"/>
        <w:left w:val="none" w:sz="0" w:space="0" w:color="auto"/>
        <w:bottom w:val="none" w:sz="0" w:space="0" w:color="auto"/>
        <w:right w:val="none" w:sz="0" w:space="0" w:color="auto"/>
      </w:divBdr>
    </w:div>
    <w:div w:id="1391147922">
      <w:bodyDiv w:val="1"/>
      <w:marLeft w:val="0"/>
      <w:marRight w:val="0"/>
      <w:marTop w:val="0"/>
      <w:marBottom w:val="0"/>
      <w:divBdr>
        <w:top w:val="none" w:sz="0" w:space="0" w:color="auto"/>
        <w:left w:val="none" w:sz="0" w:space="0" w:color="auto"/>
        <w:bottom w:val="none" w:sz="0" w:space="0" w:color="auto"/>
        <w:right w:val="none" w:sz="0" w:space="0" w:color="auto"/>
      </w:divBdr>
    </w:div>
    <w:div w:id="1414936287">
      <w:bodyDiv w:val="1"/>
      <w:marLeft w:val="0"/>
      <w:marRight w:val="0"/>
      <w:marTop w:val="0"/>
      <w:marBottom w:val="0"/>
      <w:divBdr>
        <w:top w:val="none" w:sz="0" w:space="0" w:color="auto"/>
        <w:left w:val="none" w:sz="0" w:space="0" w:color="auto"/>
        <w:bottom w:val="none" w:sz="0" w:space="0" w:color="auto"/>
        <w:right w:val="none" w:sz="0" w:space="0" w:color="auto"/>
      </w:divBdr>
    </w:div>
    <w:div w:id="1753309932">
      <w:bodyDiv w:val="1"/>
      <w:marLeft w:val="0"/>
      <w:marRight w:val="0"/>
      <w:marTop w:val="0"/>
      <w:marBottom w:val="0"/>
      <w:divBdr>
        <w:top w:val="none" w:sz="0" w:space="0" w:color="auto"/>
        <w:left w:val="none" w:sz="0" w:space="0" w:color="auto"/>
        <w:bottom w:val="none" w:sz="0" w:space="0" w:color="auto"/>
        <w:right w:val="none" w:sz="0" w:space="0" w:color="auto"/>
      </w:divBdr>
    </w:div>
    <w:div w:id="1761681811">
      <w:bodyDiv w:val="1"/>
      <w:marLeft w:val="0"/>
      <w:marRight w:val="0"/>
      <w:marTop w:val="0"/>
      <w:marBottom w:val="0"/>
      <w:divBdr>
        <w:top w:val="none" w:sz="0" w:space="0" w:color="auto"/>
        <w:left w:val="none" w:sz="0" w:space="0" w:color="auto"/>
        <w:bottom w:val="none" w:sz="0" w:space="0" w:color="auto"/>
        <w:right w:val="none" w:sz="0" w:space="0" w:color="auto"/>
      </w:divBdr>
    </w:div>
    <w:div w:id="1828669117">
      <w:bodyDiv w:val="1"/>
      <w:marLeft w:val="0"/>
      <w:marRight w:val="0"/>
      <w:marTop w:val="0"/>
      <w:marBottom w:val="0"/>
      <w:divBdr>
        <w:top w:val="none" w:sz="0" w:space="0" w:color="auto"/>
        <w:left w:val="none" w:sz="0" w:space="0" w:color="auto"/>
        <w:bottom w:val="none" w:sz="0" w:space="0" w:color="auto"/>
        <w:right w:val="none" w:sz="0" w:space="0" w:color="auto"/>
      </w:divBdr>
    </w:div>
    <w:div w:id="1956062258">
      <w:bodyDiv w:val="1"/>
      <w:marLeft w:val="0"/>
      <w:marRight w:val="0"/>
      <w:marTop w:val="0"/>
      <w:marBottom w:val="0"/>
      <w:divBdr>
        <w:top w:val="none" w:sz="0" w:space="0" w:color="auto"/>
        <w:left w:val="none" w:sz="0" w:space="0" w:color="auto"/>
        <w:bottom w:val="none" w:sz="0" w:space="0" w:color="auto"/>
        <w:right w:val="none" w:sz="0" w:space="0" w:color="auto"/>
      </w:divBdr>
    </w:div>
    <w:div w:id="2028754337">
      <w:bodyDiv w:val="1"/>
      <w:marLeft w:val="0"/>
      <w:marRight w:val="0"/>
      <w:marTop w:val="0"/>
      <w:marBottom w:val="0"/>
      <w:divBdr>
        <w:top w:val="none" w:sz="0" w:space="0" w:color="auto"/>
        <w:left w:val="none" w:sz="0" w:space="0" w:color="auto"/>
        <w:bottom w:val="none" w:sz="0" w:space="0" w:color="auto"/>
        <w:right w:val="none" w:sz="0" w:space="0" w:color="auto"/>
      </w:divBdr>
    </w:div>
    <w:div w:id="206683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1016/j.intman.2022.100971" TargetMode="External"/><Relationship Id="rId4" Type="http://schemas.openxmlformats.org/officeDocument/2006/relationships/footnotes" Target="footnotes.xml"/><Relationship Id="rId9" Type="http://schemas.openxmlformats.org/officeDocument/2006/relationships/hyperlink" Target="https://doi.org/10.9707/2307-0919.1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712</TotalTime>
  <Pages>10</Pages>
  <Words>2660</Words>
  <Characters>15165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30</cp:revision>
  <dcterms:created xsi:type="dcterms:W3CDTF">2025-07-23T10:06:00Z</dcterms:created>
  <dcterms:modified xsi:type="dcterms:W3CDTF">2025-07-23T22:10:00Z</dcterms:modified>
</cp:coreProperties>
</file>