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DBF03B" w14:textId="303C0443" w:rsidR="00323E1C" w:rsidRPr="00833F5A" w:rsidRDefault="00A23FE6" w:rsidP="00833F5A">
      <w:pPr>
        <w:pStyle w:val="Heading1"/>
        <w:jc w:val="center"/>
        <w:rPr>
          <w:rFonts w:ascii="Times New Roman" w:eastAsia="Times New Roman" w:hAnsi="Times New Roman" w:cs="Times New Roman"/>
          <w:b/>
          <w:sz w:val="28"/>
          <w:szCs w:val="28"/>
          <w:lang w:val="en-GB"/>
        </w:rPr>
      </w:pPr>
      <w:bookmarkStart w:id="0" w:name="_heading=h.gjdgxs" w:colFirst="0" w:colLast="0"/>
      <w:bookmarkEnd w:id="0"/>
      <w:r w:rsidRPr="00611589">
        <w:rPr>
          <w:rFonts w:ascii="Times New Roman" w:eastAsia="Times New Roman" w:hAnsi="Times New Roman" w:cs="Times New Roman"/>
          <w:b/>
          <w:noProof/>
          <w:sz w:val="28"/>
          <w:szCs w:val="28"/>
          <w:lang w:val="en-GB"/>
        </w:rPr>
        <w:drawing>
          <wp:inline distT="114300" distB="114300" distL="114300" distR="114300" wp14:anchorId="1D2CB16E" wp14:editId="569F802F">
            <wp:extent cx="3024188" cy="1512094"/>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024188" cy="1512094"/>
                    </a:xfrm>
                    <a:prstGeom prst="rect">
                      <a:avLst/>
                    </a:prstGeom>
                    <a:ln/>
                  </pic:spPr>
                </pic:pic>
              </a:graphicData>
            </a:graphic>
          </wp:inline>
        </w:drawing>
      </w:r>
      <w:r w:rsidRPr="00611589">
        <w:rPr>
          <w:lang w:val="en-GB"/>
        </w:rPr>
        <w:br w:type="page"/>
      </w:r>
    </w:p>
    <w:p w14:paraId="7D9BF367" w14:textId="16F1F507" w:rsidR="00323E1C" w:rsidRDefault="00833F5A">
      <w:pPr>
        <w:jc w:val="center"/>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lastRenderedPageBreak/>
        <w:t xml:space="preserve">Diminished Responsibility </w:t>
      </w:r>
    </w:p>
    <w:p w14:paraId="5B51D001" w14:textId="7A6AEB39" w:rsidR="00833F5A" w:rsidRDefault="00833F5A">
      <w:pPr>
        <w:jc w:val="center"/>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t>BMPL4009</w:t>
      </w:r>
    </w:p>
    <w:p w14:paraId="72CED4ED" w14:textId="77777777" w:rsidR="00833F5A" w:rsidRPr="00611589" w:rsidRDefault="00833F5A">
      <w:pPr>
        <w:jc w:val="center"/>
        <w:rPr>
          <w:rFonts w:ascii="Times New Roman" w:eastAsia="Times New Roman" w:hAnsi="Times New Roman" w:cs="Times New Roman"/>
          <w:b/>
          <w:sz w:val="28"/>
          <w:szCs w:val="28"/>
          <w:lang w:val="en-GB"/>
        </w:rPr>
      </w:pPr>
    </w:p>
    <w:p w14:paraId="1D8C98CC" w14:textId="77777777" w:rsidR="00323E1C" w:rsidRPr="00611589" w:rsidRDefault="00A23FE6">
      <w:pPr>
        <w:pStyle w:val="Heading1"/>
        <w:rPr>
          <w:rFonts w:ascii="Times New Roman" w:eastAsia="Times New Roman" w:hAnsi="Times New Roman" w:cs="Times New Roman"/>
          <w:b/>
          <w:sz w:val="28"/>
          <w:szCs w:val="28"/>
          <w:lang w:val="en-GB"/>
        </w:rPr>
      </w:pPr>
      <w:bookmarkStart w:id="1" w:name="_heading=h.30j0zll" w:colFirst="0" w:colLast="0"/>
      <w:bookmarkEnd w:id="1"/>
      <w:r w:rsidRPr="00611589">
        <w:rPr>
          <w:lang w:val="en-GB"/>
        </w:rPr>
        <w:br w:type="page"/>
      </w:r>
    </w:p>
    <w:p w14:paraId="35CE963D" w14:textId="77777777" w:rsidR="00323E1C" w:rsidRPr="00833F5A" w:rsidRDefault="00A23FE6">
      <w:pPr>
        <w:pStyle w:val="Heading1"/>
        <w:rPr>
          <w:rFonts w:ascii="Times New Roman" w:eastAsia="Times New Roman" w:hAnsi="Times New Roman" w:cs="Times New Roman"/>
          <w:bCs/>
          <w:sz w:val="28"/>
          <w:szCs w:val="28"/>
          <w:lang w:val="en-GB"/>
        </w:rPr>
      </w:pPr>
      <w:r w:rsidRPr="00833F5A">
        <w:rPr>
          <w:rFonts w:ascii="Times New Roman" w:eastAsia="Times New Roman" w:hAnsi="Times New Roman" w:cs="Times New Roman"/>
          <w:bCs/>
          <w:sz w:val="28"/>
          <w:szCs w:val="28"/>
          <w:lang w:val="en-GB"/>
        </w:rPr>
        <w:lastRenderedPageBreak/>
        <w:t xml:space="preserve">Introduction </w:t>
      </w:r>
    </w:p>
    <w:p w14:paraId="51666A9D" w14:textId="77777777" w:rsidR="00323E1C" w:rsidRPr="00611589" w:rsidRDefault="00323E1C">
      <w:pPr>
        <w:rPr>
          <w:lang w:val="en-GB"/>
        </w:rPr>
      </w:pPr>
    </w:p>
    <w:p w14:paraId="7D07F23D" w14:textId="18F2C942" w:rsidR="00323E1C" w:rsidRDefault="00A23FE6" w:rsidP="00833F5A">
      <w:pPr>
        <w:spacing w:line="360" w:lineRule="auto"/>
        <w:jc w:val="both"/>
        <w:rPr>
          <w:rFonts w:ascii="Times New Roman" w:eastAsia="Times New Roman" w:hAnsi="Times New Roman" w:cs="Times New Roman"/>
          <w:sz w:val="24"/>
          <w:szCs w:val="24"/>
          <w:lang w:val="en-GB"/>
        </w:rPr>
      </w:pPr>
      <w:r w:rsidRPr="00611589">
        <w:rPr>
          <w:rFonts w:ascii="Times New Roman" w:eastAsia="Times New Roman" w:hAnsi="Times New Roman" w:cs="Times New Roman"/>
          <w:sz w:val="24"/>
          <w:szCs w:val="24"/>
          <w:lang w:val="en-GB"/>
        </w:rPr>
        <w:t xml:space="preserve">Diminished responsibility is a major </w:t>
      </w:r>
      <w:r w:rsidR="00611589" w:rsidRPr="00611589">
        <w:rPr>
          <w:rFonts w:ascii="Times New Roman" w:eastAsia="Times New Roman" w:hAnsi="Times New Roman" w:cs="Times New Roman"/>
          <w:sz w:val="24"/>
          <w:szCs w:val="24"/>
          <w:lang w:val="en-GB"/>
        </w:rPr>
        <w:t>defence</w:t>
      </w:r>
      <w:r w:rsidRPr="00611589">
        <w:rPr>
          <w:rFonts w:ascii="Times New Roman" w:eastAsia="Times New Roman" w:hAnsi="Times New Roman" w:cs="Times New Roman"/>
          <w:sz w:val="24"/>
          <w:szCs w:val="24"/>
          <w:lang w:val="en-GB"/>
        </w:rPr>
        <w:t xml:space="preserve"> where an individual is </w:t>
      </w:r>
      <w:r w:rsidR="00833F5A">
        <w:rPr>
          <w:rFonts w:ascii="Times New Roman" w:eastAsia="Times New Roman" w:hAnsi="Times New Roman" w:cs="Times New Roman"/>
          <w:sz w:val="24"/>
          <w:szCs w:val="24"/>
          <w:lang w:val="en-GB"/>
        </w:rPr>
        <w:t xml:space="preserve">intellectually disabled </w:t>
      </w:r>
      <w:r w:rsidR="00C52773">
        <w:rPr>
          <w:rFonts w:ascii="Times New Roman" w:eastAsia="Times New Roman" w:hAnsi="Times New Roman" w:cs="Times New Roman"/>
          <w:sz w:val="24"/>
          <w:szCs w:val="24"/>
          <w:lang w:val="en-GB"/>
        </w:rPr>
        <w:t xml:space="preserve"> </w:t>
      </w:r>
      <w:r w:rsidRPr="00611589">
        <w:rPr>
          <w:rFonts w:ascii="Times New Roman" w:eastAsia="Times New Roman" w:hAnsi="Times New Roman" w:cs="Times New Roman"/>
          <w:sz w:val="24"/>
          <w:szCs w:val="24"/>
          <w:lang w:val="en-GB"/>
        </w:rPr>
        <w:t xml:space="preserve"> to be responsible for the crime (McPherson, 2019). </w:t>
      </w:r>
      <w:r w:rsidR="00611589" w:rsidRPr="00611589">
        <w:rPr>
          <w:rFonts w:ascii="Times New Roman" w:hAnsi="Times New Roman" w:cs="Times New Roman"/>
          <w:color w:val="000000"/>
          <w:sz w:val="24"/>
          <w:szCs w:val="24"/>
          <w:lang w:val="en-GB"/>
        </w:rPr>
        <w:t xml:space="preserve">Criminal liability includes actus rea, mens rea and crime in absence of legal defence. Diminished responsibility is a defence that arises from absence from mens rea. </w:t>
      </w:r>
      <w:r w:rsidRPr="00611589">
        <w:rPr>
          <w:rFonts w:ascii="Times New Roman" w:eastAsia="Times New Roman" w:hAnsi="Times New Roman" w:cs="Times New Roman"/>
          <w:sz w:val="24"/>
          <w:szCs w:val="24"/>
          <w:lang w:val="en-GB"/>
        </w:rPr>
        <w:t xml:space="preserve">In this regard, the changes made by the Coroners and Justice Act (2009) of diminished responsibility in terms of the Homicide Act 1957 will also be provided. Further, a critical analysis of the need for changes in the law will also be reflected in this assignment. Additionally, the change of law by a.52 Coroners and Justice Act 2009 will be reflected upon. </w:t>
      </w:r>
      <w:r w:rsidR="00833F5A">
        <w:rPr>
          <w:rFonts w:ascii="Times New Roman" w:eastAsia="Times New Roman" w:hAnsi="Times New Roman" w:cs="Times New Roman"/>
          <w:sz w:val="24"/>
          <w:szCs w:val="24"/>
          <w:lang w:val="en-GB"/>
        </w:rPr>
        <w:t>T</w:t>
      </w:r>
      <w:r w:rsidRPr="00611589">
        <w:rPr>
          <w:rFonts w:ascii="Times New Roman" w:eastAsia="Times New Roman" w:hAnsi="Times New Roman" w:cs="Times New Roman"/>
          <w:sz w:val="24"/>
          <w:szCs w:val="24"/>
          <w:lang w:val="en-GB"/>
        </w:rPr>
        <w:t>h</w:t>
      </w:r>
      <w:r w:rsidR="00833F5A">
        <w:rPr>
          <w:rFonts w:ascii="Times New Roman" w:eastAsia="Times New Roman" w:hAnsi="Times New Roman" w:cs="Times New Roman"/>
          <w:sz w:val="24"/>
          <w:szCs w:val="24"/>
          <w:lang w:val="en-GB"/>
        </w:rPr>
        <w:t xml:space="preserve">is assignment will provide both the </w:t>
      </w:r>
      <w:r w:rsidRPr="00611589">
        <w:rPr>
          <w:rFonts w:ascii="Times New Roman" w:eastAsia="Times New Roman" w:hAnsi="Times New Roman" w:cs="Times New Roman"/>
          <w:sz w:val="24"/>
          <w:szCs w:val="24"/>
          <w:lang w:val="en-GB"/>
        </w:rPr>
        <w:t xml:space="preserve"> advantages and disadvantages of  these changes</w:t>
      </w:r>
      <w:r w:rsidR="00833F5A">
        <w:rPr>
          <w:rFonts w:ascii="Times New Roman" w:eastAsia="Times New Roman" w:hAnsi="Times New Roman" w:cs="Times New Roman"/>
          <w:sz w:val="24"/>
          <w:szCs w:val="24"/>
          <w:lang w:val="en-GB"/>
        </w:rPr>
        <w:t xml:space="preserve">, </w:t>
      </w:r>
      <w:r w:rsidRPr="00611589">
        <w:rPr>
          <w:rFonts w:ascii="Times New Roman" w:eastAsia="Times New Roman" w:hAnsi="Times New Roman" w:cs="Times New Roman"/>
          <w:sz w:val="24"/>
          <w:szCs w:val="24"/>
          <w:lang w:val="en-GB"/>
        </w:rPr>
        <w:t xml:space="preserve"> </w:t>
      </w:r>
      <w:r w:rsidR="00833F5A">
        <w:rPr>
          <w:rFonts w:ascii="Times New Roman" w:eastAsia="Times New Roman" w:hAnsi="Times New Roman" w:cs="Times New Roman"/>
          <w:sz w:val="24"/>
          <w:szCs w:val="24"/>
          <w:lang w:val="en-GB"/>
        </w:rPr>
        <w:t xml:space="preserve">as well  as   the  most  important  recommendations  to  consider. </w:t>
      </w:r>
      <w:r w:rsidRPr="00611589">
        <w:rPr>
          <w:rFonts w:ascii="Times New Roman" w:eastAsia="Times New Roman" w:hAnsi="Times New Roman" w:cs="Times New Roman"/>
          <w:sz w:val="24"/>
          <w:szCs w:val="24"/>
          <w:lang w:val="en-GB"/>
        </w:rPr>
        <w:t xml:space="preserve"> </w:t>
      </w:r>
    </w:p>
    <w:p w14:paraId="351F9868" w14:textId="77777777" w:rsidR="00833F5A" w:rsidRPr="00833F5A" w:rsidRDefault="00833F5A" w:rsidP="00833F5A">
      <w:pPr>
        <w:spacing w:line="360" w:lineRule="auto"/>
        <w:jc w:val="both"/>
        <w:rPr>
          <w:rFonts w:ascii="Times New Roman" w:eastAsia="Times New Roman" w:hAnsi="Times New Roman" w:cs="Times New Roman"/>
          <w:sz w:val="24"/>
          <w:szCs w:val="24"/>
          <w:lang w:val="en-GB"/>
        </w:rPr>
      </w:pPr>
    </w:p>
    <w:p w14:paraId="34E4F88F" w14:textId="77777777" w:rsidR="00323E1C" w:rsidRPr="00611589" w:rsidRDefault="00A23FE6">
      <w:pPr>
        <w:pStyle w:val="Heading2"/>
        <w:rPr>
          <w:rFonts w:ascii="Times New Roman" w:eastAsia="Times New Roman" w:hAnsi="Times New Roman" w:cs="Times New Roman"/>
          <w:b/>
          <w:sz w:val="24"/>
          <w:szCs w:val="24"/>
          <w:lang w:val="en-GB"/>
        </w:rPr>
      </w:pPr>
      <w:r w:rsidRPr="00611589">
        <w:rPr>
          <w:rFonts w:ascii="Times New Roman" w:eastAsia="Times New Roman" w:hAnsi="Times New Roman" w:cs="Times New Roman"/>
          <w:b/>
          <w:sz w:val="24"/>
          <w:szCs w:val="24"/>
          <w:lang w:val="en-GB"/>
        </w:rPr>
        <w:t xml:space="preserve">Homicide Act 1957: Requirements of Diminished Responsibility </w:t>
      </w:r>
    </w:p>
    <w:p w14:paraId="4F205D17" w14:textId="77777777" w:rsidR="00323E1C" w:rsidRPr="00611589" w:rsidRDefault="00323E1C">
      <w:pPr>
        <w:rPr>
          <w:rFonts w:ascii="Times New Roman" w:hAnsi="Times New Roman" w:cs="Times New Roman"/>
          <w:sz w:val="24"/>
          <w:szCs w:val="24"/>
          <w:lang w:val="en-GB"/>
        </w:rPr>
      </w:pPr>
    </w:p>
    <w:p w14:paraId="27A01EB6" w14:textId="6531E3DA" w:rsidR="00323E1C" w:rsidRPr="00611589" w:rsidRDefault="00775485">
      <w:pPr>
        <w:spacing w:line="360" w:lineRule="auto"/>
        <w:jc w:val="both"/>
        <w:rPr>
          <w:rFonts w:ascii="Times New Roman" w:eastAsia="Times New Roman" w:hAnsi="Times New Roman" w:cs="Times New Roman"/>
          <w:sz w:val="24"/>
          <w:szCs w:val="24"/>
          <w:lang w:val="en-GB"/>
        </w:rPr>
      </w:pPr>
      <w:r w:rsidRPr="00611589">
        <w:rPr>
          <w:rFonts w:ascii="Times New Roman" w:eastAsia="Times New Roman" w:hAnsi="Times New Roman" w:cs="Times New Roman"/>
          <w:sz w:val="24"/>
          <w:szCs w:val="24"/>
          <w:lang w:val="en-GB"/>
        </w:rPr>
        <w:t>The</w:t>
      </w:r>
      <w:r w:rsidR="00833F5A">
        <w:rPr>
          <w:rFonts w:ascii="Times New Roman" w:eastAsia="Times New Roman" w:hAnsi="Times New Roman" w:cs="Times New Roman"/>
          <w:sz w:val="24"/>
          <w:szCs w:val="24"/>
          <w:lang w:val="en-GB"/>
        </w:rPr>
        <w:t xml:space="preserve">  key  </w:t>
      </w:r>
      <w:r w:rsidRPr="00611589">
        <w:rPr>
          <w:rFonts w:ascii="Times New Roman" w:eastAsia="Times New Roman" w:hAnsi="Times New Roman" w:cs="Times New Roman"/>
          <w:sz w:val="24"/>
          <w:szCs w:val="24"/>
          <w:lang w:val="en-GB"/>
        </w:rPr>
        <w:t>requirement</w:t>
      </w:r>
      <w:r w:rsidR="00833F5A">
        <w:rPr>
          <w:rFonts w:ascii="Times New Roman" w:eastAsia="Times New Roman" w:hAnsi="Times New Roman" w:cs="Times New Roman"/>
          <w:sz w:val="24"/>
          <w:szCs w:val="24"/>
          <w:lang w:val="en-GB"/>
        </w:rPr>
        <w:t xml:space="preserve"> </w:t>
      </w:r>
      <w:r w:rsidRPr="00611589">
        <w:rPr>
          <w:rFonts w:ascii="Times New Roman" w:eastAsia="Times New Roman" w:hAnsi="Times New Roman" w:cs="Times New Roman"/>
          <w:sz w:val="24"/>
          <w:szCs w:val="24"/>
          <w:lang w:val="en-GB"/>
        </w:rPr>
        <w:t xml:space="preserve"> of diminished responsibility under the Section 2 of the Homicide Act, 1957 </w:t>
      </w:r>
      <w:r w:rsidR="00833F5A">
        <w:rPr>
          <w:rFonts w:ascii="Times New Roman" w:eastAsia="Times New Roman" w:hAnsi="Times New Roman" w:cs="Times New Roman"/>
          <w:sz w:val="24"/>
          <w:szCs w:val="24"/>
          <w:lang w:val="en-GB"/>
        </w:rPr>
        <w:t xml:space="preserve">are  </w:t>
      </w:r>
      <w:r w:rsidRPr="00611589">
        <w:rPr>
          <w:rFonts w:ascii="Times New Roman" w:eastAsia="Times New Roman" w:hAnsi="Times New Roman" w:cs="Times New Roman"/>
          <w:sz w:val="24"/>
          <w:szCs w:val="24"/>
          <w:lang w:val="en-GB"/>
        </w:rPr>
        <w:t xml:space="preserve">that when an individual kills or is a witness of the murder then he should not be convicted of murder in case that individual is suffering from any kind of mental illness or has a </w:t>
      </w:r>
      <w:r w:rsidR="00591E2D">
        <w:rPr>
          <w:rFonts w:ascii="Times New Roman" w:eastAsia="Times New Roman" w:hAnsi="Times New Roman" w:cs="Times New Roman"/>
          <w:sz w:val="24"/>
          <w:szCs w:val="24"/>
          <w:lang w:val="en-GB"/>
        </w:rPr>
        <w:t xml:space="preserve"> developmental  disability  </w:t>
      </w:r>
      <w:r w:rsidRPr="00611589">
        <w:rPr>
          <w:rFonts w:ascii="Times New Roman" w:eastAsia="Times New Roman" w:hAnsi="Times New Roman" w:cs="Times New Roman"/>
          <w:sz w:val="24"/>
          <w:szCs w:val="24"/>
          <w:lang w:val="en-GB"/>
        </w:rPr>
        <w:t xml:space="preserve"> (</w:t>
      </w:r>
      <w:proofErr w:type="spellStart"/>
      <w:r w:rsidRPr="00611589">
        <w:rPr>
          <w:rFonts w:ascii="Times New Roman" w:eastAsia="Times New Roman" w:hAnsi="Times New Roman" w:cs="Times New Roman"/>
          <w:sz w:val="24"/>
          <w:szCs w:val="24"/>
          <w:lang w:val="en-GB"/>
        </w:rPr>
        <w:t>Catley</w:t>
      </w:r>
      <w:proofErr w:type="spellEnd"/>
      <w:r w:rsidRPr="00611589">
        <w:rPr>
          <w:rFonts w:ascii="Times New Roman" w:eastAsia="Times New Roman" w:hAnsi="Times New Roman" w:cs="Times New Roman"/>
          <w:sz w:val="24"/>
          <w:szCs w:val="24"/>
          <w:lang w:val="en-GB"/>
        </w:rPr>
        <w:t xml:space="preserve">, 2019). Furthermore, another requirement was that on a murder charge, it shall be for the defensive party to prove that the individual charged is not liable to be known as a murder convict. It can be stated that these requirements were valid enough at that time to avoid death penalty by the defence party. This also binds the judgments given by a judge in a murder case which makes these requirements much more questionable. Besides, a person under the s.2 of the Homicide Act, 1957 can be liable as an accessory or a principal instead of being deemed as manslaughter. Additionally, the last requirement is the fact that one party of killing is not liable to be convicted as a murderer under section 2 of this Act (Newburn, 2013). Moreover, it could be said that there is need of more requirements for claiming defense of diminished responsibilities as also observed in </w:t>
      </w:r>
      <w:r w:rsidRPr="00611589">
        <w:rPr>
          <w:rFonts w:ascii="Times New Roman" w:eastAsia="Times New Roman" w:hAnsi="Times New Roman" w:cs="Times New Roman"/>
          <w:i/>
          <w:iCs/>
          <w:sz w:val="24"/>
          <w:szCs w:val="24"/>
          <w:lang w:val="en-GB"/>
        </w:rPr>
        <w:t>R v Cobley</w:t>
      </w:r>
      <w:r w:rsidRPr="00611589">
        <w:rPr>
          <w:rFonts w:ascii="Times New Roman" w:eastAsia="Times New Roman" w:hAnsi="Times New Roman" w:cs="Times New Roman"/>
          <w:sz w:val="24"/>
          <w:szCs w:val="24"/>
          <w:lang w:val="en-GB"/>
        </w:rPr>
        <w:t xml:space="preserve"> [2021] EWCA Crim 954 where the applicant was convicted of murdering her newly born baby without considering psychiatric evidence from the psychotherapist. This case further provided a need for a new approach or a change in the law while needing a partial defense for proving a diminished responsibility in cases of </w:t>
      </w:r>
      <w:r w:rsidR="00591E2D">
        <w:rPr>
          <w:rFonts w:ascii="Times New Roman" w:eastAsia="Times New Roman" w:hAnsi="Times New Roman" w:cs="Times New Roman"/>
          <w:sz w:val="24"/>
          <w:szCs w:val="24"/>
          <w:lang w:val="en-GB"/>
        </w:rPr>
        <w:t xml:space="preserve">expectant  mothers  </w:t>
      </w:r>
      <w:r w:rsidRPr="00611589">
        <w:rPr>
          <w:rFonts w:ascii="Times New Roman" w:eastAsia="Times New Roman" w:hAnsi="Times New Roman" w:cs="Times New Roman"/>
          <w:sz w:val="24"/>
          <w:szCs w:val="24"/>
          <w:lang w:val="en-GB"/>
        </w:rPr>
        <w:t xml:space="preserve"> who are alone and giving birth as it creates a mental instability automatically. </w:t>
      </w:r>
    </w:p>
    <w:p w14:paraId="44C70069" w14:textId="77777777" w:rsidR="00323E1C" w:rsidRPr="00611589" w:rsidRDefault="00323E1C">
      <w:pPr>
        <w:spacing w:line="360" w:lineRule="auto"/>
        <w:jc w:val="both"/>
        <w:rPr>
          <w:rFonts w:ascii="Times New Roman" w:eastAsia="Times New Roman" w:hAnsi="Times New Roman" w:cs="Times New Roman"/>
          <w:sz w:val="24"/>
          <w:szCs w:val="24"/>
          <w:lang w:val="en-GB"/>
        </w:rPr>
      </w:pPr>
    </w:p>
    <w:p w14:paraId="2167A340" w14:textId="77777777" w:rsidR="00323E1C" w:rsidRPr="00611589" w:rsidRDefault="00A23FE6">
      <w:pPr>
        <w:pStyle w:val="Heading2"/>
        <w:spacing w:line="360" w:lineRule="auto"/>
        <w:jc w:val="both"/>
        <w:rPr>
          <w:rFonts w:ascii="Times New Roman" w:eastAsia="Times New Roman" w:hAnsi="Times New Roman" w:cs="Times New Roman"/>
          <w:b/>
          <w:sz w:val="24"/>
          <w:szCs w:val="24"/>
          <w:lang w:val="en-GB"/>
        </w:rPr>
      </w:pPr>
      <w:bookmarkStart w:id="2" w:name="_heading=h.tyjcwt" w:colFirst="0" w:colLast="0"/>
      <w:bookmarkEnd w:id="2"/>
      <w:r w:rsidRPr="00611589">
        <w:rPr>
          <w:rFonts w:ascii="Times New Roman" w:eastAsia="Times New Roman" w:hAnsi="Times New Roman" w:cs="Times New Roman"/>
          <w:b/>
          <w:sz w:val="24"/>
          <w:szCs w:val="24"/>
          <w:lang w:val="en-GB"/>
        </w:rPr>
        <w:t xml:space="preserve">Need for Change </w:t>
      </w:r>
    </w:p>
    <w:p w14:paraId="1FEE7F55" w14:textId="77777777" w:rsidR="00323E1C" w:rsidRPr="00611589" w:rsidRDefault="00323E1C">
      <w:pPr>
        <w:rPr>
          <w:rFonts w:ascii="Times New Roman" w:hAnsi="Times New Roman" w:cs="Times New Roman"/>
          <w:sz w:val="24"/>
          <w:szCs w:val="24"/>
          <w:lang w:val="en-GB"/>
        </w:rPr>
      </w:pPr>
    </w:p>
    <w:p w14:paraId="1B979262" w14:textId="67F28CDC" w:rsidR="00323E1C" w:rsidRPr="00611589" w:rsidRDefault="00A23FE6">
      <w:pPr>
        <w:spacing w:line="360" w:lineRule="auto"/>
        <w:jc w:val="both"/>
        <w:rPr>
          <w:rFonts w:ascii="Times New Roman" w:eastAsia="Times New Roman" w:hAnsi="Times New Roman" w:cs="Times New Roman"/>
          <w:sz w:val="24"/>
          <w:szCs w:val="24"/>
          <w:lang w:val="en-GB"/>
        </w:rPr>
      </w:pPr>
      <w:r w:rsidRPr="00611589">
        <w:rPr>
          <w:rFonts w:ascii="Times New Roman" w:eastAsia="Times New Roman" w:hAnsi="Times New Roman" w:cs="Times New Roman"/>
          <w:sz w:val="24"/>
          <w:szCs w:val="24"/>
          <w:lang w:val="en-GB"/>
        </w:rPr>
        <w:t xml:space="preserve">The need for change with respect to the law of diminished responsibility was to supplement the plea for insanity for understanding and covering all those cases in which the assisted murderer, although mentally </w:t>
      </w:r>
      <w:r w:rsidR="00591E2D">
        <w:rPr>
          <w:rFonts w:ascii="Times New Roman" w:eastAsia="Times New Roman" w:hAnsi="Times New Roman" w:cs="Times New Roman"/>
          <w:sz w:val="24"/>
          <w:szCs w:val="24"/>
          <w:lang w:val="en-GB"/>
        </w:rPr>
        <w:t xml:space="preserve">disabled </w:t>
      </w:r>
      <w:r w:rsidRPr="00611589">
        <w:rPr>
          <w:rFonts w:ascii="Times New Roman" w:eastAsia="Times New Roman" w:hAnsi="Times New Roman" w:cs="Times New Roman"/>
          <w:sz w:val="24"/>
          <w:szCs w:val="24"/>
          <w:lang w:val="en-GB"/>
        </w:rPr>
        <w:t xml:space="preserve"> did not come up with strict regulations associated with insanity (Bettinson, 2019). For example, the case of </w:t>
      </w:r>
      <w:r w:rsidRPr="00611589">
        <w:rPr>
          <w:rFonts w:ascii="Times New Roman" w:eastAsia="Times New Roman" w:hAnsi="Times New Roman" w:cs="Times New Roman"/>
          <w:i/>
          <w:sz w:val="24"/>
          <w:szCs w:val="24"/>
          <w:lang w:val="en-GB"/>
        </w:rPr>
        <w:t>‘R v Cobley EWCA Crim 954</w:t>
      </w:r>
      <w:r w:rsidRPr="00611589">
        <w:rPr>
          <w:rFonts w:ascii="Times New Roman" w:eastAsia="Times New Roman" w:hAnsi="Times New Roman" w:cs="Times New Roman"/>
          <w:sz w:val="24"/>
          <w:szCs w:val="24"/>
          <w:lang w:val="en-GB"/>
        </w:rPr>
        <w:t xml:space="preserve">’ (2021) proves that there was a need for partial defense. Therefore, the need for change was to understand the offender’s nature of misconduct while providing a rational judgment for exercising self-control for individuals or convicts who are impaired. Further, the three major defenses which differ from other defenses in the criminal law associated with the Homicide Act, of 1957 as they are only applicable to murder and are important because it reduces criminal liability rather than simply absolving the defendant from the liability under this law completely (Reed, Wake and Simpson, 2021). </w:t>
      </w:r>
    </w:p>
    <w:p w14:paraId="20D77D6A" w14:textId="77777777" w:rsidR="00323E1C" w:rsidRPr="00611589" w:rsidRDefault="00323E1C">
      <w:pPr>
        <w:spacing w:line="360" w:lineRule="auto"/>
        <w:jc w:val="both"/>
        <w:rPr>
          <w:rFonts w:ascii="Times New Roman" w:eastAsia="Times New Roman" w:hAnsi="Times New Roman" w:cs="Times New Roman"/>
          <w:sz w:val="24"/>
          <w:szCs w:val="24"/>
          <w:lang w:val="en-GB"/>
        </w:rPr>
      </w:pPr>
    </w:p>
    <w:p w14:paraId="05F30DC0" w14:textId="77777777" w:rsidR="00323E1C" w:rsidRPr="00611589" w:rsidRDefault="00A23FE6">
      <w:pPr>
        <w:spacing w:line="360" w:lineRule="auto"/>
        <w:jc w:val="both"/>
        <w:rPr>
          <w:rFonts w:ascii="Times New Roman" w:eastAsia="Times New Roman" w:hAnsi="Times New Roman" w:cs="Times New Roman"/>
          <w:sz w:val="24"/>
          <w:szCs w:val="24"/>
          <w:lang w:val="en-GB"/>
        </w:rPr>
      </w:pPr>
      <w:r w:rsidRPr="00611589">
        <w:rPr>
          <w:rFonts w:ascii="Times New Roman" w:eastAsia="Times New Roman" w:hAnsi="Times New Roman" w:cs="Times New Roman"/>
          <w:sz w:val="24"/>
          <w:szCs w:val="24"/>
          <w:lang w:val="en-GB"/>
        </w:rPr>
        <w:t xml:space="preserve">The justice in the case of </w:t>
      </w:r>
      <w:r w:rsidRPr="00611589">
        <w:rPr>
          <w:rFonts w:ascii="Times New Roman" w:eastAsia="Times New Roman" w:hAnsi="Times New Roman" w:cs="Times New Roman"/>
          <w:i/>
          <w:sz w:val="24"/>
          <w:szCs w:val="24"/>
          <w:lang w:val="en-GB"/>
        </w:rPr>
        <w:t>‘R v Cobley EWCA Crim 954</w:t>
      </w:r>
      <w:r w:rsidRPr="00611589">
        <w:rPr>
          <w:rFonts w:ascii="Times New Roman" w:eastAsia="Times New Roman" w:hAnsi="Times New Roman" w:cs="Times New Roman"/>
          <w:sz w:val="24"/>
          <w:szCs w:val="24"/>
          <w:lang w:val="en-GB"/>
        </w:rPr>
        <w:t xml:space="preserve">’ (2021) provided that an amendment in the diminished responsibility in the Homicide Act, 1957 will provide an opportunity to the accused for partial  defense and that the current law needs to be amended. Conversely, it can also be asserted that the need for change is highly substantial with regard to the doctrine of the law which is solely focused on mitigating defense in a number of cases where a mental defect is not much higher as compared to the criminal responsibility altogether (Crofts and Wake, 2021). </w:t>
      </w:r>
      <w:r w:rsidR="00C33CE3" w:rsidRPr="00611589">
        <w:rPr>
          <w:rFonts w:ascii="Times New Roman" w:eastAsia="Times New Roman" w:hAnsi="Times New Roman" w:cs="Times New Roman"/>
          <w:sz w:val="24"/>
          <w:szCs w:val="24"/>
          <w:lang w:val="en-GB"/>
        </w:rPr>
        <w:t>Another important point raised in ‘</w:t>
      </w:r>
      <w:r w:rsidR="00C33CE3" w:rsidRPr="00611589">
        <w:rPr>
          <w:rStyle w:val="Emphasis"/>
          <w:rFonts w:ascii="Times New Roman" w:hAnsi="Times New Roman" w:cs="Times New Roman"/>
          <w:sz w:val="24"/>
          <w:szCs w:val="24"/>
          <w:lang w:val="en-GB"/>
        </w:rPr>
        <w:t xml:space="preserve">R v </w:t>
      </w:r>
      <w:hyperlink r:id="rId8" w:history="1">
        <w:r w:rsidR="00C33CE3" w:rsidRPr="00611589">
          <w:rPr>
            <w:rStyle w:val="Hyperlink"/>
            <w:rFonts w:ascii="Times New Roman" w:hAnsi="Times New Roman" w:cs="Times New Roman"/>
            <w:i/>
            <w:iCs/>
            <w:color w:val="auto"/>
            <w:sz w:val="24"/>
            <w:szCs w:val="24"/>
            <w:u w:val="none"/>
            <w:lang w:val="en-GB"/>
          </w:rPr>
          <w:t>Ahluwalia</w:t>
        </w:r>
      </w:hyperlink>
      <w:r w:rsidR="00C33CE3" w:rsidRPr="00611589">
        <w:rPr>
          <w:rStyle w:val="Emphasis"/>
          <w:rFonts w:ascii="Times New Roman" w:hAnsi="Times New Roman" w:cs="Times New Roman"/>
          <w:sz w:val="24"/>
          <w:szCs w:val="24"/>
          <w:lang w:val="en-GB"/>
        </w:rPr>
        <w:t>’</w:t>
      </w:r>
      <w:r w:rsidR="00C33CE3" w:rsidRPr="00611589">
        <w:rPr>
          <w:rFonts w:ascii="Times New Roman" w:hAnsi="Times New Roman" w:cs="Times New Roman"/>
          <w:sz w:val="24"/>
          <w:szCs w:val="24"/>
          <w:lang w:val="en-GB"/>
        </w:rPr>
        <w:t xml:space="preserve"> [1993] 96 Cr App. R. 133 was that extreme provocation can also lead to diminished responsibility defense. This indeed is a strong point as the defense basically focusses more on actus rea and less on mens rea. In case of extreme provocation also, actus rea is prevalent.</w:t>
      </w:r>
    </w:p>
    <w:p w14:paraId="586321BE" w14:textId="77777777" w:rsidR="00323E1C" w:rsidRPr="00611589" w:rsidRDefault="00A23FE6">
      <w:pPr>
        <w:pStyle w:val="Heading2"/>
        <w:rPr>
          <w:rFonts w:ascii="Times New Roman" w:eastAsia="Times New Roman" w:hAnsi="Times New Roman" w:cs="Times New Roman"/>
          <w:b/>
          <w:sz w:val="24"/>
          <w:szCs w:val="24"/>
          <w:lang w:val="en-GB"/>
        </w:rPr>
      </w:pPr>
      <w:r w:rsidRPr="00611589">
        <w:rPr>
          <w:rFonts w:ascii="Times New Roman" w:eastAsia="Times New Roman" w:hAnsi="Times New Roman" w:cs="Times New Roman"/>
          <w:b/>
          <w:sz w:val="24"/>
          <w:szCs w:val="24"/>
          <w:lang w:val="en-GB"/>
        </w:rPr>
        <w:t xml:space="preserve">How did a.52 Coroners and Justice Act 2009 Change the Law </w:t>
      </w:r>
    </w:p>
    <w:p w14:paraId="6E124931" w14:textId="77777777" w:rsidR="00323E1C" w:rsidRPr="00611589" w:rsidRDefault="00323E1C">
      <w:pPr>
        <w:rPr>
          <w:rFonts w:ascii="Times New Roman" w:hAnsi="Times New Roman" w:cs="Times New Roman"/>
          <w:sz w:val="24"/>
          <w:szCs w:val="24"/>
          <w:lang w:val="en-GB"/>
        </w:rPr>
      </w:pPr>
    </w:p>
    <w:p w14:paraId="4E8ECE77" w14:textId="5534CDAE" w:rsidR="00323E1C" w:rsidRPr="00611589" w:rsidRDefault="00A23FE6">
      <w:pPr>
        <w:spacing w:line="360" w:lineRule="auto"/>
        <w:jc w:val="both"/>
        <w:rPr>
          <w:rFonts w:ascii="Times New Roman" w:eastAsia="Times New Roman" w:hAnsi="Times New Roman" w:cs="Times New Roman"/>
          <w:sz w:val="24"/>
          <w:szCs w:val="24"/>
          <w:lang w:val="en-GB"/>
        </w:rPr>
      </w:pPr>
      <w:r w:rsidRPr="00611589">
        <w:rPr>
          <w:rFonts w:ascii="Times New Roman" w:eastAsia="Times New Roman" w:hAnsi="Times New Roman" w:cs="Times New Roman"/>
          <w:sz w:val="24"/>
          <w:szCs w:val="24"/>
          <w:lang w:val="en-GB"/>
        </w:rPr>
        <w:t>Article 52 of the Coroners and Justice Act 2009 changed the law by providing partial defense to murder for persons suffering from diminished responsibility. The a.52 of this Act supported that a</w:t>
      </w:r>
      <w:r w:rsidR="00591E2D">
        <w:rPr>
          <w:rFonts w:ascii="Times New Roman" w:eastAsia="Times New Roman" w:hAnsi="Times New Roman" w:cs="Times New Roman"/>
          <w:sz w:val="24"/>
          <w:szCs w:val="24"/>
          <w:lang w:val="en-GB"/>
        </w:rPr>
        <w:t>n</w:t>
      </w:r>
      <w:r w:rsidR="00661D50">
        <w:rPr>
          <w:rFonts w:ascii="Times New Roman" w:eastAsia="Times New Roman" w:hAnsi="Times New Roman" w:cs="Times New Roman"/>
          <w:sz w:val="24"/>
          <w:szCs w:val="24"/>
          <w:lang w:val="en-GB"/>
        </w:rPr>
        <w:t xml:space="preserve">  </w:t>
      </w:r>
      <w:r w:rsidR="00591E2D">
        <w:rPr>
          <w:rFonts w:ascii="Times New Roman" w:eastAsia="Times New Roman" w:hAnsi="Times New Roman" w:cs="Times New Roman"/>
          <w:sz w:val="24"/>
          <w:szCs w:val="24"/>
          <w:lang w:val="en-GB"/>
        </w:rPr>
        <w:t>individual</w:t>
      </w:r>
      <w:r w:rsidR="00661D50">
        <w:rPr>
          <w:rFonts w:ascii="Times New Roman" w:eastAsia="Times New Roman" w:hAnsi="Times New Roman" w:cs="Times New Roman"/>
          <w:sz w:val="24"/>
          <w:szCs w:val="24"/>
          <w:lang w:val="en-GB"/>
        </w:rPr>
        <w:t xml:space="preserve">  </w:t>
      </w:r>
      <w:r w:rsidRPr="00611589">
        <w:rPr>
          <w:rFonts w:ascii="Times New Roman" w:eastAsia="Times New Roman" w:hAnsi="Times New Roman" w:cs="Times New Roman"/>
          <w:sz w:val="24"/>
          <w:szCs w:val="24"/>
          <w:lang w:val="en-GB"/>
        </w:rPr>
        <w:t>who</w:t>
      </w:r>
      <w:r w:rsidR="00661D50">
        <w:rPr>
          <w:rFonts w:ascii="Times New Roman" w:eastAsia="Times New Roman" w:hAnsi="Times New Roman" w:cs="Times New Roman"/>
          <w:sz w:val="24"/>
          <w:szCs w:val="24"/>
          <w:lang w:val="en-GB"/>
        </w:rPr>
        <w:t xml:space="preserve">  </w:t>
      </w:r>
      <w:r w:rsidR="00591E2D">
        <w:rPr>
          <w:rFonts w:ascii="Times New Roman" w:eastAsia="Times New Roman" w:hAnsi="Times New Roman" w:cs="Times New Roman"/>
          <w:sz w:val="24"/>
          <w:szCs w:val="24"/>
          <w:lang w:val="en-GB"/>
        </w:rPr>
        <w:t>causes</w:t>
      </w:r>
      <w:r w:rsidR="00661D50">
        <w:rPr>
          <w:rFonts w:ascii="Times New Roman" w:eastAsia="Times New Roman" w:hAnsi="Times New Roman" w:cs="Times New Roman"/>
          <w:sz w:val="24"/>
          <w:szCs w:val="24"/>
          <w:lang w:val="en-GB"/>
        </w:rPr>
        <w:t xml:space="preserve">  </w:t>
      </w:r>
      <w:r w:rsidR="00591E2D">
        <w:rPr>
          <w:rFonts w:ascii="Times New Roman" w:eastAsia="Times New Roman" w:hAnsi="Times New Roman" w:cs="Times New Roman"/>
          <w:sz w:val="24"/>
          <w:szCs w:val="24"/>
          <w:lang w:val="en-GB"/>
        </w:rPr>
        <w:t>the</w:t>
      </w:r>
      <w:r w:rsidR="00661D50">
        <w:rPr>
          <w:rFonts w:ascii="Times New Roman" w:eastAsia="Times New Roman" w:hAnsi="Times New Roman" w:cs="Times New Roman"/>
          <w:sz w:val="24"/>
          <w:szCs w:val="24"/>
          <w:lang w:val="en-GB"/>
        </w:rPr>
        <w:t xml:space="preserve">  </w:t>
      </w:r>
      <w:r w:rsidR="00591E2D">
        <w:rPr>
          <w:rFonts w:ascii="Times New Roman" w:eastAsia="Times New Roman" w:hAnsi="Times New Roman" w:cs="Times New Roman"/>
          <w:sz w:val="24"/>
          <w:szCs w:val="24"/>
          <w:lang w:val="en-GB"/>
        </w:rPr>
        <w:t>death</w:t>
      </w:r>
      <w:r w:rsidR="00661D50">
        <w:rPr>
          <w:rFonts w:ascii="Times New Roman" w:eastAsia="Times New Roman" w:hAnsi="Times New Roman" w:cs="Times New Roman"/>
          <w:sz w:val="24"/>
          <w:szCs w:val="24"/>
          <w:lang w:val="en-GB"/>
        </w:rPr>
        <w:t xml:space="preserve">  of  </w:t>
      </w:r>
      <w:r w:rsidRPr="00611589">
        <w:rPr>
          <w:rFonts w:ascii="Times New Roman" w:eastAsia="Times New Roman" w:hAnsi="Times New Roman" w:cs="Times New Roman"/>
          <w:sz w:val="24"/>
          <w:szCs w:val="24"/>
          <w:lang w:val="en-GB"/>
        </w:rPr>
        <w:t xml:space="preserve">another person might not be convicted of murder if the murderer is suffering from a mental illness that has been derived from a medical situation or an </w:t>
      </w:r>
      <w:r w:rsidRPr="00611589">
        <w:rPr>
          <w:rFonts w:ascii="Times New Roman" w:eastAsia="Times New Roman" w:hAnsi="Times New Roman" w:cs="Times New Roman"/>
          <w:sz w:val="24"/>
          <w:szCs w:val="24"/>
          <w:lang w:val="en-GB"/>
        </w:rPr>
        <w:lastRenderedPageBreak/>
        <w:t xml:space="preserve">impairment (Mackay, 2021). Additionally, these changes to the law have been updated and are yet to be in force. However, there have been a number of criticisms that have been received for the changes done to the law under the 2009 Act as it was questioned whether there is a requirement that the defendants do not understand their conduct which is similar to the insanity defense as stated in the M’Naghten Rules. </w:t>
      </w:r>
    </w:p>
    <w:p w14:paraId="57939A33" w14:textId="77777777" w:rsidR="00323E1C" w:rsidRPr="00611589" w:rsidRDefault="00323E1C">
      <w:pPr>
        <w:spacing w:line="360" w:lineRule="auto"/>
        <w:jc w:val="both"/>
        <w:rPr>
          <w:rFonts w:ascii="Times New Roman" w:eastAsia="Times New Roman" w:hAnsi="Times New Roman" w:cs="Times New Roman"/>
          <w:sz w:val="24"/>
          <w:szCs w:val="24"/>
          <w:lang w:val="en-GB"/>
        </w:rPr>
      </w:pPr>
    </w:p>
    <w:p w14:paraId="1DE4F72D" w14:textId="391EA94B" w:rsidR="00323E1C" w:rsidRDefault="00A23FE6" w:rsidP="00591E2D">
      <w:pPr>
        <w:spacing w:line="360" w:lineRule="auto"/>
        <w:jc w:val="both"/>
        <w:rPr>
          <w:rFonts w:ascii="Times New Roman" w:eastAsia="Times New Roman" w:hAnsi="Times New Roman" w:cs="Times New Roman"/>
          <w:sz w:val="24"/>
          <w:szCs w:val="24"/>
          <w:lang w:val="en-GB"/>
        </w:rPr>
      </w:pPr>
      <w:r w:rsidRPr="00611589">
        <w:rPr>
          <w:rFonts w:ascii="Times New Roman" w:eastAsia="Times New Roman" w:hAnsi="Times New Roman" w:cs="Times New Roman"/>
          <w:sz w:val="24"/>
          <w:szCs w:val="24"/>
          <w:lang w:val="en-GB"/>
        </w:rPr>
        <w:t xml:space="preserve">Additionally, the changes made by the Act are significantly important with respect to the defence of self-control under a.52. Another way in which this act has changed the law is that while passing the 2009 Act, the government also ensured to abandon the suggestions provided by the law committee. Further, after making amendments to the law, the diminished responsibility was acknowledged in a number of terms as it might now be used by the defendants for having a provocation defense for reducing the murder charge (Goldberg and Roef, 2019). Lastly, the law has been re-introduced along with the loss of self-control as a vital aspect of the </w:t>
      </w:r>
      <w:r w:rsidR="00591E2D" w:rsidRPr="00611589">
        <w:rPr>
          <w:rFonts w:ascii="Times New Roman" w:eastAsia="Times New Roman" w:hAnsi="Times New Roman" w:cs="Times New Roman"/>
          <w:sz w:val="24"/>
          <w:szCs w:val="24"/>
          <w:lang w:val="en-GB"/>
        </w:rPr>
        <w:t>defence</w:t>
      </w:r>
      <w:r w:rsidRPr="00611589">
        <w:rPr>
          <w:rFonts w:ascii="Times New Roman" w:eastAsia="Times New Roman" w:hAnsi="Times New Roman" w:cs="Times New Roman"/>
          <w:sz w:val="24"/>
          <w:szCs w:val="24"/>
          <w:lang w:val="en-GB"/>
        </w:rPr>
        <w:t>.</w:t>
      </w:r>
    </w:p>
    <w:p w14:paraId="74EE8F21" w14:textId="77777777" w:rsidR="00591E2D" w:rsidRPr="00591E2D" w:rsidRDefault="00591E2D" w:rsidP="00591E2D">
      <w:pPr>
        <w:spacing w:line="360" w:lineRule="auto"/>
        <w:jc w:val="both"/>
        <w:rPr>
          <w:rFonts w:ascii="Times New Roman" w:eastAsia="Times New Roman" w:hAnsi="Times New Roman" w:cs="Times New Roman"/>
          <w:sz w:val="24"/>
          <w:szCs w:val="24"/>
          <w:lang w:val="en-GB"/>
        </w:rPr>
      </w:pPr>
    </w:p>
    <w:p w14:paraId="73EB3E21" w14:textId="77777777" w:rsidR="00323E1C" w:rsidRPr="00611589" w:rsidRDefault="00323E1C">
      <w:pPr>
        <w:rPr>
          <w:lang w:val="en-GB"/>
        </w:rPr>
      </w:pPr>
    </w:p>
    <w:p w14:paraId="22BB6E74" w14:textId="77777777" w:rsidR="00323E1C" w:rsidRPr="00611589" w:rsidRDefault="00A23FE6">
      <w:pPr>
        <w:spacing w:line="360" w:lineRule="auto"/>
        <w:jc w:val="both"/>
        <w:rPr>
          <w:rFonts w:ascii="Times New Roman" w:eastAsia="Times New Roman" w:hAnsi="Times New Roman" w:cs="Times New Roman"/>
          <w:sz w:val="24"/>
          <w:szCs w:val="24"/>
          <w:lang w:val="en-GB"/>
        </w:rPr>
      </w:pPr>
      <w:r w:rsidRPr="00611589">
        <w:rPr>
          <w:rFonts w:ascii="Times New Roman" w:eastAsia="Times New Roman" w:hAnsi="Times New Roman" w:cs="Times New Roman"/>
          <w:sz w:val="24"/>
          <w:szCs w:val="24"/>
          <w:lang w:val="en-GB"/>
        </w:rPr>
        <w:t xml:space="preserve">The amendments made to the law of diminished responsibility have a number of advantages and disadvantages which are reflected below, </w:t>
      </w:r>
    </w:p>
    <w:p w14:paraId="0B89125D" w14:textId="77777777" w:rsidR="00323E1C" w:rsidRPr="00611589" w:rsidRDefault="00323E1C">
      <w:pPr>
        <w:spacing w:line="360" w:lineRule="auto"/>
        <w:jc w:val="both"/>
        <w:rPr>
          <w:rFonts w:ascii="Times New Roman" w:eastAsia="Times New Roman" w:hAnsi="Times New Roman" w:cs="Times New Roman"/>
          <w:sz w:val="24"/>
          <w:szCs w:val="24"/>
          <w:lang w:val="en-GB"/>
        </w:rPr>
      </w:pPr>
    </w:p>
    <w:p w14:paraId="2492326F" w14:textId="77777777" w:rsidR="00323E1C" w:rsidRPr="00611589" w:rsidRDefault="00A23FE6">
      <w:pPr>
        <w:spacing w:line="360" w:lineRule="auto"/>
        <w:jc w:val="both"/>
        <w:rPr>
          <w:rFonts w:ascii="Times New Roman" w:eastAsia="Times New Roman" w:hAnsi="Times New Roman" w:cs="Times New Roman"/>
          <w:b/>
          <w:i/>
          <w:sz w:val="24"/>
          <w:szCs w:val="24"/>
          <w:lang w:val="en-GB"/>
        </w:rPr>
      </w:pPr>
      <w:r w:rsidRPr="00611589">
        <w:rPr>
          <w:rFonts w:ascii="Times New Roman" w:eastAsia="Times New Roman" w:hAnsi="Times New Roman" w:cs="Times New Roman"/>
          <w:b/>
          <w:i/>
          <w:sz w:val="24"/>
          <w:szCs w:val="24"/>
          <w:lang w:val="en-GB"/>
        </w:rPr>
        <w:t>Advantages</w:t>
      </w:r>
    </w:p>
    <w:p w14:paraId="17A58C17" w14:textId="77777777" w:rsidR="00323E1C" w:rsidRPr="00611589" w:rsidRDefault="00323E1C">
      <w:pPr>
        <w:spacing w:line="360" w:lineRule="auto"/>
        <w:jc w:val="both"/>
        <w:rPr>
          <w:rFonts w:ascii="Times New Roman" w:eastAsia="Times New Roman" w:hAnsi="Times New Roman" w:cs="Times New Roman"/>
          <w:b/>
          <w:i/>
          <w:sz w:val="24"/>
          <w:szCs w:val="24"/>
          <w:lang w:val="en-GB"/>
        </w:rPr>
      </w:pPr>
    </w:p>
    <w:p w14:paraId="44FC17EF" w14:textId="77777777" w:rsidR="00323E1C" w:rsidRPr="00611589" w:rsidRDefault="00A23FE6">
      <w:pPr>
        <w:spacing w:line="360" w:lineRule="auto"/>
        <w:jc w:val="both"/>
        <w:rPr>
          <w:rFonts w:ascii="Times New Roman" w:eastAsia="Times New Roman" w:hAnsi="Times New Roman" w:cs="Times New Roman"/>
          <w:sz w:val="24"/>
          <w:szCs w:val="24"/>
          <w:lang w:val="en-GB"/>
        </w:rPr>
      </w:pPr>
      <w:r w:rsidRPr="00611589">
        <w:rPr>
          <w:rFonts w:ascii="Times New Roman" w:eastAsia="Times New Roman" w:hAnsi="Times New Roman" w:cs="Times New Roman"/>
          <w:sz w:val="24"/>
          <w:szCs w:val="24"/>
          <w:lang w:val="en-GB"/>
        </w:rPr>
        <w:t>One of the major advantages of these changes in the law is that the old logo is problematic enough to understand the conditions of the accused which is not applicable to the changes made currently. Moreover, the new law takes into account modern knowledge while allowing space for flexibility and development in the decision-making of murder cases (Baker, Edwards and Beazley, 2022). Moreover, another most vital advantage related to the new law of diminished responsibility, is that the aspects of mental functioning that need to be considered or now much clearer than they were before amendment along with a better understanding of accused individuals who are alcoholics and are accused of murders. The amendment in diminished responsibility provides a special defense, which means that in case the jury accepts the defense in a murder, that charge can be downgraded to voluntary manslaughter.</w:t>
      </w:r>
    </w:p>
    <w:p w14:paraId="162F13E7" w14:textId="77777777" w:rsidR="00323E1C" w:rsidRPr="00611589" w:rsidRDefault="00323E1C">
      <w:pPr>
        <w:spacing w:line="360" w:lineRule="auto"/>
        <w:jc w:val="both"/>
        <w:rPr>
          <w:rFonts w:ascii="Times New Roman" w:eastAsia="Times New Roman" w:hAnsi="Times New Roman" w:cs="Times New Roman"/>
          <w:b/>
          <w:i/>
          <w:sz w:val="24"/>
          <w:szCs w:val="24"/>
          <w:lang w:val="en-GB"/>
        </w:rPr>
      </w:pPr>
    </w:p>
    <w:p w14:paraId="271B43DC" w14:textId="77777777" w:rsidR="00323E1C" w:rsidRPr="00611589" w:rsidRDefault="00A23FE6">
      <w:pPr>
        <w:spacing w:line="360" w:lineRule="auto"/>
        <w:jc w:val="both"/>
        <w:rPr>
          <w:rFonts w:ascii="Times New Roman" w:eastAsia="Times New Roman" w:hAnsi="Times New Roman" w:cs="Times New Roman"/>
          <w:b/>
          <w:i/>
          <w:sz w:val="24"/>
          <w:szCs w:val="24"/>
          <w:lang w:val="en-GB"/>
        </w:rPr>
      </w:pPr>
      <w:r w:rsidRPr="00611589">
        <w:rPr>
          <w:rFonts w:ascii="Times New Roman" w:eastAsia="Times New Roman" w:hAnsi="Times New Roman" w:cs="Times New Roman"/>
          <w:b/>
          <w:i/>
          <w:sz w:val="24"/>
          <w:szCs w:val="24"/>
          <w:lang w:val="en-GB"/>
        </w:rPr>
        <w:lastRenderedPageBreak/>
        <w:t xml:space="preserve">Disadvantages </w:t>
      </w:r>
    </w:p>
    <w:p w14:paraId="5C071893" w14:textId="77777777" w:rsidR="00323E1C" w:rsidRPr="00611589" w:rsidRDefault="00323E1C">
      <w:pPr>
        <w:spacing w:line="360" w:lineRule="auto"/>
        <w:jc w:val="both"/>
        <w:rPr>
          <w:rFonts w:ascii="Times New Roman" w:eastAsia="Times New Roman" w:hAnsi="Times New Roman" w:cs="Times New Roman"/>
          <w:b/>
          <w:i/>
          <w:sz w:val="24"/>
          <w:szCs w:val="24"/>
          <w:lang w:val="en-GB"/>
        </w:rPr>
      </w:pPr>
    </w:p>
    <w:p w14:paraId="1746AE73" w14:textId="77777777" w:rsidR="00323E1C" w:rsidRPr="00611589" w:rsidRDefault="00A23FE6">
      <w:pPr>
        <w:spacing w:line="360" w:lineRule="auto"/>
        <w:jc w:val="both"/>
        <w:rPr>
          <w:rFonts w:ascii="Times New Roman" w:eastAsia="Times New Roman" w:hAnsi="Times New Roman" w:cs="Times New Roman"/>
          <w:sz w:val="24"/>
          <w:szCs w:val="24"/>
          <w:lang w:val="en-GB"/>
        </w:rPr>
      </w:pPr>
      <w:r w:rsidRPr="00611589">
        <w:rPr>
          <w:rFonts w:ascii="Times New Roman" w:eastAsia="Times New Roman" w:hAnsi="Times New Roman" w:cs="Times New Roman"/>
          <w:sz w:val="24"/>
          <w:szCs w:val="24"/>
          <w:lang w:val="en-GB"/>
        </w:rPr>
        <w:t>Some disadvantages with respect to the amendments done to the law is that the issues associated with medical believability and evidence of the witnesses or highly controversial for the jury and the burden of proof of the defendant is still a breach of article 6 ECHR (Parker and Davies, 2020). Furthermore, a major disadvantage that can be observed in the amendment of this law is that not all the changes that have taken place include developmental maturity factors such as learning difficulties and autism which can be recognised under medical conditions or impairments.  Further, in the new law, there are certain difficult overlaps in the defenses such as intoxication and insanity, which makes it difficult to provide a judgment (Malatesti, Jurjako and Meynen, 2020). Lastly, the policy issues and a jury reaction are still influential which might not be fair in terms of diminished responsibility. Another disadvantage of utilizing defense in this law is that some individuals consider it unlawful for a defendant to use this principle for lessening their conviction as it does not provide much justice to the victim's family (Kafkoutsou and Oikonomou, 2020).</w:t>
      </w:r>
    </w:p>
    <w:p w14:paraId="0D9F2C99" w14:textId="77777777" w:rsidR="00323E1C" w:rsidRPr="00611589" w:rsidRDefault="00A23FE6">
      <w:pPr>
        <w:pStyle w:val="Heading2"/>
        <w:rPr>
          <w:rFonts w:ascii="Times New Roman" w:eastAsia="Times New Roman" w:hAnsi="Times New Roman" w:cs="Times New Roman"/>
          <w:b/>
          <w:sz w:val="24"/>
          <w:szCs w:val="24"/>
          <w:lang w:val="en-GB"/>
        </w:rPr>
      </w:pPr>
      <w:r w:rsidRPr="00611589">
        <w:rPr>
          <w:rFonts w:ascii="Times New Roman" w:eastAsia="Times New Roman" w:hAnsi="Times New Roman" w:cs="Times New Roman"/>
          <w:b/>
          <w:sz w:val="24"/>
          <w:szCs w:val="24"/>
          <w:lang w:val="en-GB"/>
        </w:rPr>
        <w:t xml:space="preserve">Recommendations </w:t>
      </w:r>
    </w:p>
    <w:p w14:paraId="2E7EB39D" w14:textId="77777777" w:rsidR="00323E1C" w:rsidRPr="00611589" w:rsidRDefault="00C33CE3" w:rsidP="00B0499F">
      <w:pPr>
        <w:spacing w:line="360" w:lineRule="auto"/>
        <w:jc w:val="both"/>
        <w:rPr>
          <w:rFonts w:ascii="Times New Roman" w:hAnsi="Times New Roman" w:cs="Times New Roman"/>
          <w:sz w:val="24"/>
          <w:szCs w:val="24"/>
          <w:lang w:val="en-GB"/>
        </w:rPr>
      </w:pPr>
      <w:r w:rsidRPr="00611589">
        <w:rPr>
          <w:rFonts w:ascii="Times New Roman" w:hAnsi="Times New Roman" w:cs="Times New Roman"/>
          <w:sz w:val="24"/>
          <w:szCs w:val="24"/>
          <w:lang w:val="en-GB"/>
        </w:rPr>
        <w:t xml:space="preserve">It is important to understand that the differences between law and psychiatry still exists after the 2009 Act. Addition of psychiatric evidence </w:t>
      </w:r>
      <w:r w:rsidR="00B0499F" w:rsidRPr="00611589">
        <w:rPr>
          <w:rFonts w:ascii="Times New Roman" w:hAnsi="Times New Roman" w:cs="Times New Roman"/>
          <w:sz w:val="24"/>
          <w:szCs w:val="24"/>
          <w:lang w:val="en-GB"/>
        </w:rPr>
        <w:t>led</w:t>
      </w:r>
      <w:r w:rsidRPr="00611589">
        <w:rPr>
          <w:rFonts w:ascii="Times New Roman" w:hAnsi="Times New Roman" w:cs="Times New Roman"/>
          <w:sz w:val="24"/>
          <w:szCs w:val="24"/>
          <w:lang w:val="en-GB"/>
        </w:rPr>
        <w:t xml:space="preserve"> to more confusion which on studying the definition could be made clear by introducing more firmly, the presence of mental abnormality rather than a medical condition only.</w:t>
      </w:r>
      <w:r w:rsidR="00B0499F" w:rsidRPr="00611589">
        <w:rPr>
          <w:rFonts w:ascii="Times New Roman" w:hAnsi="Times New Roman" w:cs="Times New Roman"/>
          <w:sz w:val="24"/>
          <w:szCs w:val="24"/>
          <w:lang w:val="en-GB"/>
        </w:rPr>
        <w:t xml:space="preserve"> Thus, it is important to clarify this ambiguity in the definition. Another important recommendation is the control on the expert witnesses who present this as wholly medical condition. In such cases, a test of evidentiary relevance could be introduced in the court which could judge the value of the testimonies presented by medical professionals. Moreover, the relevance ratio can also be useful for understanding the concept whether </w:t>
      </w:r>
      <w:r w:rsidR="00611589" w:rsidRPr="00611589">
        <w:rPr>
          <w:rFonts w:ascii="Times New Roman" w:hAnsi="Times New Roman" w:cs="Times New Roman"/>
          <w:sz w:val="24"/>
          <w:szCs w:val="24"/>
          <w:lang w:val="en-GB"/>
        </w:rPr>
        <w:t>a medical condition is prevalent in the population or not.</w:t>
      </w:r>
    </w:p>
    <w:p w14:paraId="4DBD5332" w14:textId="77777777" w:rsidR="00323E1C" w:rsidRPr="00611589" w:rsidRDefault="00A23FE6">
      <w:pPr>
        <w:pStyle w:val="Heading1"/>
        <w:rPr>
          <w:rFonts w:ascii="Times New Roman" w:eastAsia="Times New Roman" w:hAnsi="Times New Roman" w:cs="Times New Roman"/>
          <w:b/>
          <w:sz w:val="28"/>
          <w:szCs w:val="28"/>
          <w:lang w:val="en-GB"/>
        </w:rPr>
      </w:pPr>
      <w:r w:rsidRPr="00611589">
        <w:rPr>
          <w:rFonts w:ascii="Times New Roman" w:eastAsia="Times New Roman" w:hAnsi="Times New Roman" w:cs="Times New Roman"/>
          <w:b/>
          <w:sz w:val="28"/>
          <w:szCs w:val="28"/>
          <w:lang w:val="en-GB"/>
        </w:rPr>
        <w:t xml:space="preserve">Conclusion </w:t>
      </w:r>
    </w:p>
    <w:p w14:paraId="732D71BD" w14:textId="77777777" w:rsidR="00323E1C" w:rsidRPr="00611589" w:rsidRDefault="00323E1C">
      <w:pPr>
        <w:rPr>
          <w:lang w:val="en-GB"/>
        </w:rPr>
      </w:pPr>
    </w:p>
    <w:p w14:paraId="317151ED" w14:textId="77777777" w:rsidR="00323E1C" w:rsidRPr="00611589" w:rsidRDefault="00A23FE6">
      <w:pPr>
        <w:spacing w:line="360" w:lineRule="auto"/>
        <w:jc w:val="both"/>
        <w:rPr>
          <w:rFonts w:ascii="Times New Roman" w:eastAsia="Times New Roman" w:hAnsi="Times New Roman" w:cs="Times New Roman"/>
          <w:sz w:val="24"/>
          <w:szCs w:val="24"/>
          <w:lang w:val="en-GB"/>
        </w:rPr>
      </w:pPr>
      <w:r w:rsidRPr="00611589">
        <w:rPr>
          <w:rFonts w:ascii="Times New Roman" w:eastAsia="Times New Roman" w:hAnsi="Times New Roman" w:cs="Times New Roman"/>
          <w:sz w:val="24"/>
          <w:szCs w:val="24"/>
          <w:lang w:val="en-GB"/>
        </w:rPr>
        <w:t xml:space="preserve">In summation, it can be concluded that the amendments made to the law under the Homicide Act, 1957 has been highly vital for lowering the conviction of murder of defendants who are, impaired </w:t>
      </w:r>
      <w:r w:rsidRPr="00611589">
        <w:rPr>
          <w:rFonts w:ascii="Times New Roman" w:eastAsia="Times New Roman" w:hAnsi="Times New Roman" w:cs="Times New Roman"/>
          <w:sz w:val="24"/>
          <w:szCs w:val="24"/>
          <w:lang w:val="en-GB"/>
        </w:rPr>
        <w:lastRenderedPageBreak/>
        <w:t>or mentally ill. It can also be observed that the coroners and Justice act played a crucial role in changing the law.</w:t>
      </w:r>
    </w:p>
    <w:p w14:paraId="6360CB16" w14:textId="77777777" w:rsidR="00323E1C" w:rsidRPr="00611589" w:rsidRDefault="00323E1C">
      <w:pPr>
        <w:spacing w:line="360" w:lineRule="auto"/>
        <w:jc w:val="both"/>
        <w:rPr>
          <w:rFonts w:ascii="Times New Roman" w:eastAsia="Times New Roman" w:hAnsi="Times New Roman" w:cs="Times New Roman"/>
          <w:sz w:val="24"/>
          <w:szCs w:val="24"/>
          <w:lang w:val="en-GB"/>
        </w:rPr>
      </w:pPr>
    </w:p>
    <w:p w14:paraId="135BEA9B" w14:textId="77777777" w:rsidR="00323E1C" w:rsidRPr="00611589" w:rsidRDefault="00323E1C">
      <w:pPr>
        <w:spacing w:line="360" w:lineRule="auto"/>
        <w:jc w:val="both"/>
        <w:rPr>
          <w:rFonts w:ascii="Times New Roman" w:eastAsia="Times New Roman" w:hAnsi="Times New Roman" w:cs="Times New Roman"/>
          <w:sz w:val="24"/>
          <w:szCs w:val="24"/>
          <w:lang w:val="en-GB"/>
        </w:rPr>
      </w:pPr>
    </w:p>
    <w:p w14:paraId="4843E718" w14:textId="77777777" w:rsidR="00323E1C" w:rsidRPr="00611589" w:rsidRDefault="00A23FE6">
      <w:pPr>
        <w:pStyle w:val="Heading1"/>
        <w:rPr>
          <w:rFonts w:ascii="Times New Roman" w:eastAsia="Times New Roman" w:hAnsi="Times New Roman" w:cs="Times New Roman"/>
          <w:b/>
          <w:sz w:val="28"/>
          <w:szCs w:val="28"/>
          <w:lang w:val="en-GB"/>
        </w:rPr>
      </w:pPr>
      <w:bookmarkStart w:id="3" w:name="_heading=h.17dp8vu" w:colFirst="0" w:colLast="0"/>
      <w:bookmarkEnd w:id="3"/>
      <w:r w:rsidRPr="00611589">
        <w:rPr>
          <w:lang w:val="en-GB"/>
        </w:rPr>
        <w:br w:type="page"/>
      </w:r>
    </w:p>
    <w:p w14:paraId="700552B1" w14:textId="77777777" w:rsidR="00323E1C" w:rsidRPr="00611589" w:rsidRDefault="00A23FE6">
      <w:pPr>
        <w:pStyle w:val="Heading1"/>
        <w:rPr>
          <w:rFonts w:ascii="Times New Roman" w:eastAsia="Times New Roman" w:hAnsi="Times New Roman" w:cs="Times New Roman"/>
          <w:b/>
          <w:sz w:val="28"/>
          <w:szCs w:val="28"/>
          <w:lang w:val="en-GB"/>
        </w:rPr>
      </w:pPr>
      <w:r w:rsidRPr="00611589">
        <w:rPr>
          <w:rFonts w:ascii="Times New Roman" w:eastAsia="Times New Roman" w:hAnsi="Times New Roman" w:cs="Times New Roman"/>
          <w:b/>
          <w:sz w:val="28"/>
          <w:szCs w:val="28"/>
          <w:lang w:val="en-GB"/>
        </w:rPr>
        <w:lastRenderedPageBreak/>
        <w:t xml:space="preserve">References </w:t>
      </w:r>
    </w:p>
    <w:p w14:paraId="17423B60" w14:textId="77777777" w:rsidR="00323E1C" w:rsidRPr="00611589" w:rsidRDefault="00323E1C">
      <w:pPr>
        <w:rPr>
          <w:lang w:val="en-GB"/>
        </w:rPr>
      </w:pPr>
    </w:p>
    <w:p w14:paraId="62EC9B14" w14:textId="77777777" w:rsidR="00C33CE3" w:rsidRPr="00611589" w:rsidRDefault="00C33CE3" w:rsidP="00C33CE3">
      <w:pPr>
        <w:spacing w:line="360" w:lineRule="auto"/>
        <w:jc w:val="both"/>
        <w:rPr>
          <w:rFonts w:ascii="Times New Roman" w:eastAsia="Times New Roman" w:hAnsi="Times New Roman" w:cs="Times New Roman"/>
          <w:sz w:val="24"/>
          <w:szCs w:val="24"/>
          <w:lang w:val="en-GB"/>
        </w:rPr>
      </w:pPr>
      <w:r w:rsidRPr="00611589">
        <w:rPr>
          <w:rFonts w:ascii="Times New Roman" w:eastAsia="Times New Roman" w:hAnsi="Times New Roman" w:cs="Times New Roman"/>
          <w:i/>
          <w:sz w:val="24"/>
          <w:szCs w:val="24"/>
          <w:lang w:val="en-GB"/>
        </w:rPr>
        <w:t>‘R v Cobley’</w:t>
      </w:r>
      <w:r w:rsidRPr="00611589">
        <w:rPr>
          <w:rFonts w:ascii="Times New Roman" w:eastAsia="Times New Roman" w:hAnsi="Times New Roman" w:cs="Times New Roman"/>
          <w:sz w:val="24"/>
          <w:szCs w:val="24"/>
          <w:lang w:val="en-GB"/>
        </w:rPr>
        <w:t xml:space="preserve"> (2021) EWCA Crim 954. Available at: </w:t>
      </w:r>
      <w:hyperlink r:id="rId9" w:anchor=":~:text=Criminal%20appeal%20The%20applicant%20had,partial%20defence%20of%20diminished%20responsibility">
        <w:r w:rsidRPr="00611589">
          <w:rPr>
            <w:rFonts w:ascii="Times New Roman" w:eastAsia="Times New Roman" w:hAnsi="Times New Roman" w:cs="Times New Roman"/>
            <w:color w:val="1155CC"/>
            <w:sz w:val="24"/>
            <w:szCs w:val="24"/>
            <w:u w:val="single"/>
            <w:lang w:val="en-GB"/>
          </w:rPr>
          <w:t>https://www.mentalhealthlaw.co.uk/R_v_Cobley_(2021)_EWCA_Crim_954?id=201022-1759#:~:text=Criminal%20appeal%20The%20applicant%20had,partial%20defence%20of%20diminished%20responsibility</w:t>
        </w:r>
      </w:hyperlink>
      <w:r w:rsidRPr="00611589">
        <w:rPr>
          <w:rFonts w:ascii="Times New Roman" w:eastAsia="Times New Roman" w:hAnsi="Times New Roman" w:cs="Times New Roman"/>
          <w:sz w:val="24"/>
          <w:szCs w:val="24"/>
          <w:lang w:val="en-GB"/>
        </w:rPr>
        <w:t>. [Accessed 25 February 2023]</w:t>
      </w:r>
    </w:p>
    <w:p w14:paraId="2A0639DD" w14:textId="49E0664D" w:rsidR="00C33CE3" w:rsidRPr="00611589" w:rsidRDefault="00C33CE3" w:rsidP="00C33CE3">
      <w:pPr>
        <w:spacing w:line="360" w:lineRule="auto"/>
        <w:jc w:val="both"/>
        <w:rPr>
          <w:rFonts w:ascii="Times New Roman" w:eastAsia="Times New Roman" w:hAnsi="Times New Roman" w:cs="Times New Roman"/>
          <w:sz w:val="24"/>
          <w:szCs w:val="24"/>
          <w:lang w:val="en-GB"/>
        </w:rPr>
      </w:pPr>
      <w:r w:rsidRPr="00611589">
        <w:rPr>
          <w:rFonts w:ascii="Times New Roman" w:eastAsia="Times New Roman" w:hAnsi="Times New Roman" w:cs="Times New Roman"/>
          <w:sz w:val="24"/>
          <w:szCs w:val="24"/>
          <w:lang w:val="en-GB"/>
        </w:rPr>
        <w:t xml:space="preserve">Baker, J., Edwards, I. and Beazley, P., 2022. Juror decision-making regarding a defendant diagnosed with borderline personality disorder. Psychiatry, </w:t>
      </w:r>
      <w:r w:rsidR="00591E2D" w:rsidRPr="00611589">
        <w:rPr>
          <w:rFonts w:ascii="Times New Roman" w:eastAsia="Times New Roman" w:hAnsi="Times New Roman" w:cs="Times New Roman"/>
          <w:sz w:val="24"/>
          <w:szCs w:val="24"/>
          <w:lang w:val="en-GB"/>
        </w:rPr>
        <w:t>psychology,</w:t>
      </w:r>
      <w:r w:rsidRPr="00611589">
        <w:rPr>
          <w:rFonts w:ascii="Times New Roman" w:eastAsia="Times New Roman" w:hAnsi="Times New Roman" w:cs="Times New Roman"/>
          <w:sz w:val="24"/>
          <w:szCs w:val="24"/>
          <w:lang w:val="en-GB"/>
        </w:rPr>
        <w:t xml:space="preserve"> and law, 29(4), pp.516-534.  Available at: </w:t>
      </w:r>
      <w:hyperlink r:id="rId10">
        <w:r w:rsidRPr="00611589">
          <w:rPr>
            <w:rFonts w:ascii="Times New Roman" w:eastAsia="Times New Roman" w:hAnsi="Times New Roman" w:cs="Times New Roman"/>
            <w:color w:val="1155CC"/>
            <w:sz w:val="24"/>
            <w:szCs w:val="24"/>
            <w:u w:val="single"/>
            <w:lang w:val="en-GB"/>
          </w:rPr>
          <w:t>https://www.tandfonline.com/doi/abs/10.1080/13218719.2021.1938273</w:t>
        </w:r>
      </w:hyperlink>
      <w:r w:rsidRPr="00611589">
        <w:rPr>
          <w:rFonts w:ascii="Times New Roman" w:eastAsia="Times New Roman" w:hAnsi="Times New Roman" w:cs="Times New Roman"/>
          <w:sz w:val="24"/>
          <w:szCs w:val="24"/>
          <w:lang w:val="en-GB"/>
        </w:rPr>
        <w:t xml:space="preserve"> [Accessed 25 February 2023]</w:t>
      </w:r>
    </w:p>
    <w:p w14:paraId="4BE6A6D4" w14:textId="77777777" w:rsidR="00C33CE3" w:rsidRPr="00611589" w:rsidRDefault="00C33CE3" w:rsidP="00C33CE3">
      <w:pPr>
        <w:spacing w:line="360" w:lineRule="auto"/>
        <w:jc w:val="both"/>
        <w:rPr>
          <w:rFonts w:ascii="Times New Roman" w:eastAsia="Times New Roman" w:hAnsi="Times New Roman" w:cs="Times New Roman"/>
          <w:sz w:val="24"/>
          <w:szCs w:val="24"/>
          <w:lang w:val="en-GB"/>
        </w:rPr>
      </w:pPr>
      <w:r w:rsidRPr="00611589">
        <w:rPr>
          <w:rFonts w:ascii="Times New Roman" w:eastAsia="Times New Roman" w:hAnsi="Times New Roman" w:cs="Times New Roman"/>
          <w:sz w:val="24"/>
          <w:szCs w:val="24"/>
          <w:lang w:val="en-GB"/>
        </w:rPr>
        <w:t xml:space="preserve">Bettinson, V., 2019. Aligning partial defences to murder with the offence of coercive or controlling behaviour. The Journal of Criminal Law, 83(1), pp.71-86.  Available at:  </w:t>
      </w:r>
      <w:hyperlink r:id="rId11">
        <w:r w:rsidRPr="00611589">
          <w:rPr>
            <w:rFonts w:ascii="Times New Roman" w:eastAsia="Times New Roman" w:hAnsi="Times New Roman" w:cs="Times New Roman"/>
            <w:color w:val="1155CC"/>
            <w:sz w:val="24"/>
            <w:szCs w:val="24"/>
            <w:u w:val="single"/>
            <w:lang w:val="en-GB"/>
          </w:rPr>
          <w:t>https://journals.sagepub.com/doi/pdf/10.1177/0022018318814362</w:t>
        </w:r>
      </w:hyperlink>
      <w:r w:rsidRPr="00611589">
        <w:rPr>
          <w:rFonts w:ascii="Times New Roman" w:eastAsia="Times New Roman" w:hAnsi="Times New Roman" w:cs="Times New Roman"/>
          <w:sz w:val="24"/>
          <w:szCs w:val="24"/>
          <w:lang w:val="en-GB"/>
        </w:rPr>
        <w:t xml:space="preserve">  [Accessed 25 February 2023]</w:t>
      </w:r>
    </w:p>
    <w:p w14:paraId="6A9B0128" w14:textId="60E3A559" w:rsidR="00C33CE3" w:rsidRPr="00611589" w:rsidRDefault="00C33CE3" w:rsidP="00C33CE3">
      <w:pPr>
        <w:spacing w:line="360" w:lineRule="auto"/>
        <w:jc w:val="both"/>
        <w:rPr>
          <w:rFonts w:ascii="Times New Roman" w:eastAsia="Times New Roman" w:hAnsi="Times New Roman" w:cs="Times New Roman"/>
          <w:sz w:val="24"/>
          <w:szCs w:val="24"/>
          <w:lang w:val="en-GB"/>
        </w:rPr>
      </w:pPr>
      <w:r w:rsidRPr="00611589">
        <w:rPr>
          <w:rFonts w:ascii="Times New Roman" w:eastAsia="Times New Roman" w:hAnsi="Times New Roman" w:cs="Times New Roman"/>
          <w:sz w:val="24"/>
          <w:szCs w:val="24"/>
          <w:lang w:val="en-GB"/>
        </w:rPr>
        <w:t xml:space="preserve">Catley, P., 2019. Personality change, criminal </w:t>
      </w:r>
      <w:r w:rsidR="00591E2D" w:rsidRPr="00611589">
        <w:rPr>
          <w:rFonts w:ascii="Times New Roman" w:eastAsia="Times New Roman" w:hAnsi="Times New Roman" w:cs="Times New Roman"/>
          <w:sz w:val="24"/>
          <w:szCs w:val="24"/>
          <w:lang w:val="en-GB"/>
        </w:rPr>
        <w:t>responsibility,</w:t>
      </w:r>
      <w:r w:rsidRPr="00611589">
        <w:rPr>
          <w:rFonts w:ascii="Times New Roman" w:eastAsia="Times New Roman" w:hAnsi="Times New Roman" w:cs="Times New Roman"/>
          <w:sz w:val="24"/>
          <w:szCs w:val="24"/>
          <w:lang w:val="en-GB"/>
        </w:rPr>
        <w:t xml:space="preserve"> and diminished capacity.  Available at: </w:t>
      </w:r>
      <w:hyperlink r:id="rId12">
        <w:r w:rsidRPr="00611589">
          <w:rPr>
            <w:rFonts w:ascii="Times New Roman" w:eastAsia="Times New Roman" w:hAnsi="Times New Roman" w:cs="Times New Roman"/>
            <w:color w:val="1155CC"/>
            <w:sz w:val="24"/>
            <w:szCs w:val="24"/>
            <w:u w:val="single"/>
            <w:lang w:val="en-GB"/>
          </w:rPr>
          <w:t>http://oro.open.ac.uk/69453/1/Paul%20Catley%20Personality%20Change%20Criminal%20Responsibility%20and%20Diminsihed%20Capacity%20final%20version.pdf</w:t>
        </w:r>
      </w:hyperlink>
      <w:r w:rsidRPr="00611589">
        <w:rPr>
          <w:rFonts w:ascii="Times New Roman" w:eastAsia="Times New Roman" w:hAnsi="Times New Roman" w:cs="Times New Roman"/>
          <w:sz w:val="24"/>
          <w:szCs w:val="24"/>
          <w:lang w:val="en-GB"/>
        </w:rPr>
        <w:t xml:space="preserve"> [Accessed 25 February 2023]</w:t>
      </w:r>
    </w:p>
    <w:p w14:paraId="57885C2F" w14:textId="77777777" w:rsidR="00C33CE3" w:rsidRPr="00611589" w:rsidRDefault="00C33CE3" w:rsidP="00C33CE3">
      <w:pPr>
        <w:spacing w:line="360" w:lineRule="auto"/>
        <w:jc w:val="both"/>
        <w:rPr>
          <w:rFonts w:ascii="Times New Roman" w:eastAsia="Times New Roman" w:hAnsi="Times New Roman" w:cs="Times New Roman"/>
          <w:sz w:val="24"/>
          <w:szCs w:val="24"/>
          <w:lang w:val="en-GB"/>
        </w:rPr>
      </w:pPr>
      <w:r w:rsidRPr="00611589">
        <w:rPr>
          <w:rFonts w:ascii="Times New Roman" w:eastAsia="Times New Roman" w:hAnsi="Times New Roman" w:cs="Times New Roman"/>
          <w:sz w:val="24"/>
          <w:szCs w:val="24"/>
          <w:lang w:val="en-GB"/>
        </w:rPr>
        <w:t xml:space="preserve">Crofts, T. and Wake, N., 2021. Diminished responsibility determinations in England and Wales and New South Wales: whose role is it anyway?. Northern Ireland Legal Quarterly, 72(2), pp.324-362.  Available at: </w:t>
      </w:r>
      <w:hyperlink r:id="rId13">
        <w:r w:rsidRPr="00611589">
          <w:rPr>
            <w:rFonts w:ascii="Times New Roman" w:eastAsia="Times New Roman" w:hAnsi="Times New Roman" w:cs="Times New Roman"/>
            <w:color w:val="1155CC"/>
            <w:sz w:val="24"/>
            <w:szCs w:val="24"/>
            <w:u w:val="single"/>
            <w:lang w:val="en-GB"/>
          </w:rPr>
          <w:t>https://heinonline.org/hol-cgi-bin/get_pdf.cgi?handle=hein.journals/nilq72&amp;section=20</w:t>
        </w:r>
      </w:hyperlink>
      <w:r w:rsidRPr="00611589">
        <w:rPr>
          <w:rFonts w:ascii="Times New Roman" w:eastAsia="Times New Roman" w:hAnsi="Times New Roman" w:cs="Times New Roman"/>
          <w:sz w:val="24"/>
          <w:szCs w:val="24"/>
          <w:lang w:val="en-GB"/>
        </w:rPr>
        <w:t xml:space="preserve"> [Accessed 25 February 2023]</w:t>
      </w:r>
    </w:p>
    <w:p w14:paraId="25454C32" w14:textId="77777777" w:rsidR="00C33CE3" w:rsidRPr="00611589" w:rsidRDefault="00C33CE3" w:rsidP="00C33CE3">
      <w:pPr>
        <w:spacing w:line="360" w:lineRule="auto"/>
        <w:jc w:val="both"/>
        <w:rPr>
          <w:rFonts w:ascii="Times New Roman" w:eastAsia="Times New Roman" w:hAnsi="Times New Roman" w:cs="Times New Roman"/>
          <w:sz w:val="24"/>
          <w:szCs w:val="24"/>
          <w:lang w:val="en-GB"/>
        </w:rPr>
      </w:pPr>
      <w:r w:rsidRPr="00611589">
        <w:rPr>
          <w:rFonts w:ascii="Times New Roman" w:eastAsia="Times New Roman" w:hAnsi="Times New Roman" w:cs="Times New Roman"/>
          <w:sz w:val="24"/>
          <w:szCs w:val="24"/>
          <w:lang w:val="en-GB"/>
        </w:rPr>
        <w:t xml:space="preserve">Goldberg, A.E. and Roef, D., 2019. Addiction, capacities and criminal responsibility: a comparative analysis. Law, Science, and Rationality. The Hague: Eleven International Publishing.  Available at: </w:t>
      </w:r>
      <w:hyperlink r:id="rId14">
        <w:r w:rsidRPr="00611589">
          <w:rPr>
            <w:rFonts w:ascii="Times New Roman" w:eastAsia="Times New Roman" w:hAnsi="Times New Roman" w:cs="Times New Roman"/>
            <w:color w:val="1155CC"/>
            <w:sz w:val="24"/>
            <w:szCs w:val="24"/>
            <w:u w:val="single"/>
            <w:lang w:val="en-GB"/>
          </w:rPr>
          <w:t>https://www.researchgate.net/profile/Anna-Goldberg-4/publication/343690596_Addiction_Capacities_and_Criminal_Responsibility_-_a_Comparative_Analysis/links/5f3a3f22a6fdcccc43cfc8b3/Addiction-Capacities-and-Criminal-Responsibility-a-Comparative-Analysis.pdf</w:t>
        </w:r>
      </w:hyperlink>
      <w:r w:rsidRPr="00611589">
        <w:rPr>
          <w:rFonts w:ascii="Times New Roman" w:eastAsia="Times New Roman" w:hAnsi="Times New Roman" w:cs="Times New Roman"/>
          <w:sz w:val="24"/>
          <w:szCs w:val="24"/>
          <w:lang w:val="en-GB"/>
        </w:rPr>
        <w:t xml:space="preserve"> [Accessed 25 February 2023]</w:t>
      </w:r>
    </w:p>
    <w:p w14:paraId="6E88DAD3" w14:textId="77777777" w:rsidR="00C33CE3" w:rsidRPr="00611589" w:rsidRDefault="00C33CE3" w:rsidP="00C33CE3">
      <w:pPr>
        <w:spacing w:line="360" w:lineRule="auto"/>
        <w:jc w:val="both"/>
        <w:rPr>
          <w:rFonts w:ascii="Times New Roman" w:eastAsia="Times New Roman" w:hAnsi="Times New Roman" w:cs="Times New Roman"/>
          <w:sz w:val="24"/>
          <w:szCs w:val="24"/>
          <w:lang w:val="en-GB"/>
        </w:rPr>
      </w:pPr>
      <w:r w:rsidRPr="00611589">
        <w:rPr>
          <w:rFonts w:ascii="Times New Roman" w:eastAsia="Times New Roman" w:hAnsi="Times New Roman" w:cs="Times New Roman"/>
          <w:sz w:val="24"/>
          <w:szCs w:val="24"/>
          <w:lang w:val="en-GB"/>
        </w:rPr>
        <w:t xml:space="preserve">Kafkoutsou, N.R. and Oikonomou, S.V., 2020. Diminished, Derogated, Denied: How the right to asylum in Greece is undermined by the lack of EU responsibility sharing.  Available at: </w:t>
      </w:r>
      <w:hyperlink r:id="rId15">
        <w:r w:rsidRPr="00611589">
          <w:rPr>
            <w:rFonts w:ascii="Times New Roman" w:eastAsia="Times New Roman" w:hAnsi="Times New Roman" w:cs="Times New Roman"/>
            <w:color w:val="1155CC"/>
            <w:sz w:val="24"/>
            <w:szCs w:val="24"/>
            <w:u w:val="single"/>
            <w:lang w:val="en-GB"/>
          </w:rPr>
          <w:t>https://oxfamilibrary.openrepository.com/handle/10546/621011</w:t>
        </w:r>
      </w:hyperlink>
      <w:r w:rsidRPr="00611589">
        <w:rPr>
          <w:rFonts w:ascii="Times New Roman" w:eastAsia="Times New Roman" w:hAnsi="Times New Roman" w:cs="Times New Roman"/>
          <w:sz w:val="24"/>
          <w:szCs w:val="24"/>
          <w:lang w:val="en-GB"/>
        </w:rPr>
        <w:t xml:space="preserve">  [Accessed 25 February 2023]</w:t>
      </w:r>
    </w:p>
    <w:p w14:paraId="133FC77E" w14:textId="77777777" w:rsidR="00C33CE3" w:rsidRPr="00611589" w:rsidRDefault="00C33CE3" w:rsidP="00C33CE3">
      <w:pPr>
        <w:spacing w:line="360" w:lineRule="auto"/>
        <w:jc w:val="both"/>
        <w:rPr>
          <w:rFonts w:ascii="Times New Roman" w:eastAsia="Times New Roman" w:hAnsi="Times New Roman" w:cs="Times New Roman"/>
          <w:sz w:val="24"/>
          <w:szCs w:val="24"/>
          <w:lang w:val="en-GB"/>
        </w:rPr>
      </w:pPr>
      <w:r w:rsidRPr="00611589">
        <w:rPr>
          <w:rFonts w:ascii="Times New Roman" w:eastAsia="Times New Roman" w:hAnsi="Times New Roman" w:cs="Times New Roman"/>
          <w:sz w:val="24"/>
          <w:szCs w:val="24"/>
          <w:lang w:val="en-GB"/>
        </w:rPr>
        <w:lastRenderedPageBreak/>
        <w:t xml:space="preserve">Mackay, R., 2021. What’s happening with the reformed diminished responsibility plea?. Northern Ireland Legal Quarterly, 72(2), pp.224-244.  Available at: </w:t>
      </w:r>
      <w:hyperlink r:id="rId16">
        <w:r w:rsidRPr="00611589">
          <w:rPr>
            <w:rFonts w:ascii="Times New Roman" w:eastAsia="Times New Roman" w:hAnsi="Times New Roman" w:cs="Times New Roman"/>
            <w:color w:val="1155CC"/>
            <w:sz w:val="24"/>
            <w:szCs w:val="24"/>
            <w:u w:val="single"/>
            <w:lang w:val="en-GB"/>
          </w:rPr>
          <w:t>https://heinonline.org/hol-cgi-bin/get_pdf.cgi?handle=hein.journals/nilq72&amp;section=17</w:t>
        </w:r>
      </w:hyperlink>
      <w:r w:rsidRPr="00611589">
        <w:rPr>
          <w:rFonts w:ascii="Times New Roman" w:eastAsia="Times New Roman" w:hAnsi="Times New Roman" w:cs="Times New Roman"/>
          <w:sz w:val="24"/>
          <w:szCs w:val="24"/>
          <w:lang w:val="en-GB"/>
        </w:rPr>
        <w:t xml:space="preserve"> [Accessed 25 February 2023]</w:t>
      </w:r>
    </w:p>
    <w:p w14:paraId="10D4E366" w14:textId="77777777" w:rsidR="00C33CE3" w:rsidRPr="00611589" w:rsidRDefault="00C33CE3" w:rsidP="00C33CE3">
      <w:pPr>
        <w:spacing w:line="360" w:lineRule="auto"/>
        <w:jc w:val="both"/>
        <w:rPr>
          <w:rFonts w:ascii="Times New Roman" w:eastAsia="Times New Roman" w:hAnsi="Times New Roman" w:cs="Times New Roman"/>
          <w:sz w:val="24"/>
          <w:szCs w:val="24"/>
          <w:lang w:val="en-GB"/>
        </w:rPr>
      </w:pPr>
      <w:r w:rsidRPr="00611589">
        <w:rPr>
          <w:rFonts w:ascii="Times New Roman" w:eastAsia="Times New Roman" w:hAnsi="Times New Roman" w:cs="Times New Roman"/>
          <w:sz w:val="24"/>
          <w:szCs w:val="24"/>
          <w:lang w:val="en-GB"/>
        </w:rPr>
        <w:t xml:space="preserve">Malatesti, L., Jurjako, M. and Meynen, G., 2020. The insanity defence without mental illness? Some considerations. International Journal of Law and Psychiatry, 71, p.101571.  Available at: </w:t>
      </w:r>
      <w:hyperlink r:id="rId17">
        <w:r w:rsidRPr="00611589">
          <w:rPr>
            <w:rFonts w:ascii="Times New Roman" w:eastAsia="Times New Roman" w:hAnsi="Times New Roman" w:cs="Times New Roman"/>
            <w:color w:val="1155CC"/>
            <w:sz w:val="24"/>
            <w:szCs w:val="24"/>
            <w:u w:val="single"/>
            <w:lang w:val="en-GB"/>
          </w:rPr>
          <w:t>https://www.sciencedirect.com/science/article/pii/S0160252720300303</w:t>
        </w:r>
      </w:hyperlink>
      <w:r w:rsidRPr="00611589">
        <w:rPr>
          <w:rFonts w:ascii="Times New Roman" w:eastAsia="Times New Roman" w:hAnsi="Times New Roman" w:cs="Times New Roman"/>
          <w:sz w:val="24"/>
          <w:szCs w:val="24"/>
          <w:lang w:val="en-GB"/>
        </w:rPr>
        <w:t xml:space="preserve"> [Accessed 25 February 2023]</w:t>
      </w:r>
    </w:p>
    <w:p w14:paraId="5224837D" w14:textId="77777777" w:rsidR="00C33CE3" w:rsidRPr="00611589" w:rsidRDefault="00C33CE3" w:rsidP="00C33CE3">
      <w:pPr>
        <w:spacing w:line="360" w:lineRule="auto"/>
        <w:jc w:val="both"/>
        <w:rPr>
          <w:rFonts w:ascii="Times New Roman" w:eastAsia="Times New Roman" w:hAnsi="Times New Roman" w:cs="Times New Roman"/>
          <w:sz w:val="24"/>
          <w:szCs w:val="24"/>
          <w:lang w:val="en-GB"/>
        </w:rPr>
      </w:pPr>
      <w:r w:rsidRPr="00611589">
        <w:rPr>
          <w:rFonts w:ascii="Times New Roman" w:eastAsia="Times New Roman" w:hAnsi="Times New Roman" w:cs="Times New Roman"/>
          <w:sz w:val="24"/>
          <w:szCs w:val="24"/>
          <w:lang w:val="en-GB"/>
        </w:rPr>
        <w:t xml:space="preserve">McPherson, R., 2019. Battered woman syndrome, diminished responsibility and women who kill: insights from Scottish case law. The Journal of Criminal Law, 83(5), pp.381-393. Available at: </w:t>
      </w:r>
      <w:hyperlink r:id="rId18">
        <w:r w:rsidRPr="00611589">
          <w:rPr>
            <w:rFonts w:ascii="Times New Roman" w:eastAsia="Times New Roman" w:hAnsi="Times New Roman" w:cs="Times New Roman"/>
            <w:color w:val="1155CC"/>
            <w:sz w:val="24"/>
            <w:szCs w:val="24"/>
            <w:u w:val="single"/>
            <w:lang w:val="en-GB"/>
          </w:rPr>
          <w:t>https://journals.sagepub.com/doi/pdf/10.1177/0022018319858506</w:t>
        </w:r>
      </w:hyperlink>
      <w:r w:rsidRPr="00611589">
        <w:rPr>
          <w:rFonts w:ascii="Times New Roman" w:eastAsia="Times New Roman" w:hAnsi="Times New Roman" w:cs="Times New Roman"/>
          <w:sz w:val="24"/>
          <w:szCs w:val="24"/>
          <w:lang w:val="en-GB"/>
        </w:rPr>
        <w:t xml:space="preserve"> [Accessed 25 February 2023]</w:t>
      </w:r>
    </w:p>
    <w:p w14:paraId="5DD53E88" w14:textId="77777777" w:rsidR="00C33CE3" w:rsidRPr="00611589" w:rsidRDefault="00C33CE3" w:rsidP="00C33CE3">
      <w:pPr>
        <w:spacing w:line="360" w:lineRule="auto"/>
        <w:jc w:val="both"/>
        <w:rPr>
          <w:rFonts w:ascii="Times New Roman" w:eastAsia="Times New Roman" w:hAnsi="Times New Roman" w:cs="Times New Roman"/>
          <w:sz w:val="24"/>
          <w:szCs w:val="24"/>
          <w:lang w:val="en-GB"/>
        </w:rPr>
      </w:pPr>
      <w:r w:rsidRPr="00611589">
        <w:rPr>
          <w:rFonts w:ascii="Times New Roman" w:eastAsia="Times New Roman" w:hAnsi="Times New Roman" w:cs="Times New Roman"/>
          <w:sz w:val="24"/>
          <w:szCs w:val="24"/>
          <w:lang w:val="en-GB"/>
        </w:rPr>
        <w:t xml:space="preserve">Newburn, T. 2013. Criminology. United Kingdom: Routledge.  Available at:  </w:t>
      </w:r>
      <w:hyperlink r:id="rId19">
        <w:r w:rsidRPr="00611589">
          <w:rPr>
            <w:rFonts w:ascii="Times New Roman" w:eastAsia="Times New Roman" w:hAnsi="Times New Roman" w:cs="Times New Roman"/>
            <w:color w:val="1155CC"/>
            <w:sz w:val="24"/>
            <w:szCs w:val="24"/>
            <w:u w:val="single"/>
            <w:lang w:val="en-GB"/>
          </w:rPr>
          <w:t>https://www.google.co.in/books/edition/Criminology/jwRWLwEACAAJ?hl=en</w:t>
        </w:r>
      </w:hyperlink>
      <w:r w:rsidRPr="00611589">
        <w:rPr>
          <w:rFonts w:ascii="Times New Roman" w:eastAsia="Times New Roman" w:hAnsi="Times New Roman" w:cs="Times New Roman"/>
          <w:sz w:val="24"/>
          <w:szCs w:val="24"/>
          <w:lang w:val="en-GB"/>
        </w:rPr>
        <w:t xml:space="preserve"> </w:t>
      </w:r>
    </w:p>
    <w:p w14:paraId="58CCC55D" w14:textId="77777777" w:rsidR="00C33CE3" w:rsidRPr="00611589" w:rsidRDefault="00C33CE3" w:rsidP="00C33CE3">
      <w:pPr>
        <w:spacing w:line="360" w:lineRule="auto"/>
        <w:jc w:val="both"/>
        <w:rPr>
          <w:rFonts w:ascii="Times New Roman" w:eastAsia="Times New Roman" w:hAnsi="Times New Roman" w:cs="Times New Roman"/>
          <w:sz w:val="24"/>
          <w:szCs w:val="24"/>
          <w:lang w:val="en-GB"/>
        </w:rPr>
      </w:pPr>
      <w:r w:rsidRPr="00611589">
        <w:rPr>
          <w:rFonts w:ascii="Times New Roman" w:eastAsia="Times New Roman" w:hAnsi="Times New Roman" w:cs="Times New Roman"/>
          <w:sz w:val="24"/>
          <w:szCs w:val="24"/>
          <w:lang w:val="en-GB"/>
        </w:rPr>
        <w:t xml:space="preserve">Parker, J. and Davies, B., 2020. No blame no gain? from a no blame culture to a responsibility culture in medicine. Journal of applied philosophy, 37(4), pp.646-660.  Available at:  </w:t>
      </w:r>
      <w:hyperlink r:id="rId20">
        <w:r w:rsidRPr="00611589">
          <w:rPr>
            <w:rFonts w:ascii="Times New Roman" w:eastAsia="Times New Roman" w:hAnsi="Times New Roman" w:cs="Times New Roman"/>
            <w:color w:val="1155CC"/>
            <w:sz w:val="24"/>
            <w:szCs w:val="24"/>
            <w:u w:val="single"/>
            <w:lang w:val="en-GB"/>
          </w:rPr>
          <w:t>https://onlinelibrary.wiley.com/doi/abs/10.1111/japp.12433</w:t>
        </w:r>
      </w:hyperlink>
      <w:r w:rsidRPr="00611589">
        <w:rPr>
          <w:rFonts w:ascii="Times New Roman" w:eastAsia="Times New Roman" w:hAnsi="Times New Roman" w:cs="Times New Roman"/>
          <w:sz w:val="24"/>
          <w:szCs w:val="24"/>
          <w:lang w:val="en-GB"/>
        </w:rPr>
        <w:t xml:space="preserve"> [Accessed 25 February 2023]</w:t>
      </w:r>
    </w:p>
    <w:p w14:paraId="42BC7872" w14:textId="77777777" w:rsidR="00C33CE3" w:rsidRPr="00611589" w:rsidRDefault="00C33CE3" w:rsidP="00C33CE3">
      <w:pPr>
        <w:spacing w:line="360" w:lineRule="auto"/>
        <w:jc w:val="both"/>
        <w:rPr>
          <w:rFonts w:ascii="Times New Roman" w:eastAsia="Times New Roman" w:hAnsi="Times New Roman" w:cs="Times New Roman"/>
          <w:sz w:val="24"/>
          <w:szCs w:val="24"/>
          <w:lang w:val="en-GB"/>
        </w:rPr>
      </w:pPr>
      <w:r w:rsidRPr="00611589">
        <w:rPr>
          <w:rStyle w:val="Emphasis"/>
          <w:rFonts w:ascii="Times New Roman" w:hAnsi="Times New Roman" w:cs="Times New Roman"/>
          <w:sz w:val="24"/>
          <w:szCs w:val="24"/>
          <w:lang w:val="en-GB"/>
        </w:rPr>
        <w:t xml:space="preserve">R v </w:t>
      </w:r>
      <w:hyperlink r:id="rId21" w:history="1">
        <w:r w:rsidRPr="00611589">
          <w:rPr>
            <w:rStyle w:val="Hyperlink"/>
            <w:rFonts w:ascii="Times New Roman" w:hAnsi="Times New Roman" w:cs="Times New Roman"/>
            <w:i/>
            <w:iCs/>
            <w:color w:val="auto"/>
            <w:sz w:val="24"/>
            <w:szCs w:val="24"/>
            <w:u w:val="none"/>
            <w:lang w:val="en-GB"/>
          </w:rPr>
          <w:t>Ahluwalia</w:t>
        </w:r>
      </w:hyperlink>
      <w:r w:rsidRPr="00611589">
        <w:rPr>
          <w:rFonts w:ascii="Times New Roman" w:hAnsi="Times New Roman" w:cs="Times New Roman"/>
          <w:sz w:val="24"/>
          <w:szCs w:val="24"/>
          <w:lang w:val="en-GB"/>
        </w:rPr>
        <w:t xml:space="preserve"> [1993] 96 Cr App. R. 133. </w:t>
      </w:r>
      <w:r w:rsidRPr="00611589">
        <w:rPr>
          <w:rFonts w:ascii="Times New Roman" w:eastAsia="Times New Roman" w:hAnsi="Times New Roman" w:cs="Times New Roman"/>
          <w:sz w:val="24"/>
          <w:szCs w:val="24"/>
          <w:lang w:val="en-GB"/>
        </w:rPr>
        <w:t xml:space="preserve">Available at: </w:t>
      </w:r>
      <w:hyperlink r:id="rId22" w:history="1">
        <w:r w:rsidRPr="00611589">
          <w:rPr>
            <w:rStyle w:val="Hyperlink"/>
            <w:rFonts w:ascii="Times New Roman" w:hAnsi="Times New Roman" w:cs="Times New Roman"/>
            <w:sz w:val="24"/>
            <w:szCs w:val="24"/>
            <w:lang w:val="en-GB"/>
          </w:rPr>
          <w:t>http://www.e-lawresources.co.uk/Diminished-responsibility.php</w:t>
        </w:r>
      </w:hyperlink>
      <w:r w:rsidRPr="00611589">
        <w:rPr>
          <w:rFonts w:ascii="Times New Roman" w:hAnsi="Times New Roman" w:cs="Times New Roman"/>
          <w:sz w:val="24"/>
          <w:szCs w:val="24"/>
          <w:lang w:val="en-GB"/>
        </w:rPr>
        <w:t xml:space="preserve"> </w:t>
      </w:r>
      <w:r w:rsidRPr="00611589">
        <w:rPr>
          <w:rFonts w:ascii="Times New Roman" w:eastAsia="Times New Roman" w:hAnsi="Times New Roman" w:cs="Times New Roman"/>
          <w:sz w:val="24"/>
          <w:szCs w:val="24"/>
          <w:lang w:val="en-GB"/>
        </w:rPr>
        <w:t xml:space="preserve"> [Accessed 25 February 2023]</w:t>
      </w:r>
    </w:p>
    <w:p w14:paraId="53658A53" w14:textId="77777777" w:rsidR="00C33CE3" w:rsidRPr="00611589" w:rsidRDefault="00C33CE3" w:rsidP="00C33CE3">
      <w:pPr>
        <w:spacing w:line="360" w:lineRule="auto"/>
        <w:jc w:val="both"/>
        <w:rPr>
          <w:rFonts w:ascii="Times New Roman" w:eastAsia="Times New Roman" w:hAnsi="Times New Roman" w:cs="Times New Roman"/>
          <w:sz w:val="24"/>
          <w:szCs w:val="24"/>
          <w:lang w:val="en-GB"/>
        </w:rPr>
      </w:pPr>
      <w:r w:rsidRPr="00611589">
        <w:rPr>
          <w:rFonts w:ascii="Times New Roman" w:eastAsia="Times New Roman" w:hAnsi="Times New Roman" w:cs="Times New Roman"/>
          <w:sz w:val="24"/>
          <w:szCs w:val="24"/>
          <w:lang w:val="en-GB"/>
        </w:rPr>
        <w:t xml:space="preserve">Reed, A., Wake, N. and Simpson, B., 2021. Introduction:‘Domestic and comparative perspectives on loss of self-control and diminished responsibility as partial defences to murder: a 10-year review of the Coroners and Justice Act 2009 reform framework’. Northern Ireland Legal Quarterly, 72(2), pp.161-170.  Available at: </w:t>
      </w:r>
      <w:hyperlink r:id="rId23">
        <w:r w:rsidRPr="00611589">
          <w:rPr>
            <w:rFonts w:ascii="Times New Roman" w:eastAsia="Times New Roman" w:hAnsi="Times New Roman" w:cs="Times New Roman"/>
            <w:color w:val="1155CC"/>
            <w:sz w:val="24"/>
            <w:szCs w:val="24"/>
            <w:u w:val="single"/>
            <w:lang w:val="en-GB"/>
          </w:rPr>
          <w:t>https://nilq.qub.ac.uk/index.php/nilq/article/download/930/772https://nilq.qub.ac.uk/index.php/nilq/article/download/930/772</w:t>
        </w:r>
      </w:hyperlink>
      <w:r w:rsidRPr="00611589">
        <w:rPr>
          <w:rFonts w:ascii="Times New Roman" w:eastAsia="Times New Roman" w:hAnsi="Times New Roman" w:cs="Times New Roman"/>
          <w:sz w:val="24"/>
          <w:szCs w:val="24"/>
          <w:lang w:val="en-GB"/>
        </w:rPr>
        <w:t xml:space="preserve">  [Accessed 25 February 2023]</w:t>
      </w:r>
    </w:p>
    <w:p w14:paraId="797874FB" w14:textId="77777777" w:rsidR="00323E1C" w:rsidRPr="00611589" w:rsidRDefault="00323E1C" w:rsidP="00C33CE3">
      <w:pPr>
        <w:spacing w:line="360" w:lineRule="auto"/>
        <w:rPr>
          <w:lang w:val="en-GB"/>
        </w:rPr>
      </w:pPr>
    </w:p>
    <w:sectPr w:rsidR="00323E1C" w:rsidRPr="00611589">
      <w:footerReference w:type="default" r:id="rId2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99F6EA" w14:textId="77777777" w:rsidR="00062F5B" w:rsidRDefault="00062F5B">
      <w:pPr>
        <w:spacing w:line="240" w:lineRule="auto"/>
      </w:pPr>
      <w:r>
        <w:separator/>
      </w:r>
    </w:p>
  </w:endnote>
  <w:endnote w:type="continuationSeparator" w:id="0">
    <w:p w14:paraId="0A7019ED" w14:textId="77777777" w:rsidR="00062F5B" w:rsidRDefault="00062F5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9E8735" w14:textId="77777777" w:rsidR="00323E1C" w:rsidRDefault="00A23FE6">
    <w:pPr>
      <w:jc w:val="right"/>
    </w:pPr>
    <w:r>
      <w:fldChar w:fldCharType="begin"/>
    </w:r>
    <w:r>
      <w:instrText>PAGE</w:instrText>
    </w:r>
    <w:r>
      <w:fldChar w:fldCharType="separate"/>
    </w:r>
    <w:r w:rsidR="00775485">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266116" w14:textId="77777777" w:rsidR="00062F5B" w:rsidRDefault="00062F5B">
      <w:pPr>
        <w:spacing w:line="240" w:lineRule="auto"/>
      </w:pPr>
      <w:r>
        <w:separator/>
      </w:r>
    </w:p>
  </w:footnote>
  <w:footnote w:type="continuationSeparator" w:id="0">
    <w:p w14:paraId="68E9D766" w14:textId="77777777" w:rsidR="00062F5B" w:rsidRDefault="00062F5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3E1C"/>
    <w:rsid w:val="00010C0E"/>
    <w:rsid w:val="00062F5B"/>
    <w:rsid w:val="00323E1C"/>
    <w:rsid w:val="00441A4C"/>
    <w:rsid w:val="00591E2D"/>
    <w:rsid w:val="00597DC3"/>
    <w:rsid w:val="00611589"/>
    <w:rsid w:val="00661D50"/>
    <w:rsid w:val="00693516"/>
    <w:rsid w:val="00775485"/>
    <w:rsid w:val="00833F5A"/>
    <w:rsid w:val="00943992"/>
    <w:rsid w:val="00A23FE6"/>
    <w:rsid w:val="00AB4BC5"/>
    <w:rsid w:val="00B0499F"/>
    <w:rsid w:val="00C33CE3"/>
    <w:rsid w:val="00C527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D7A7B1"/>
  <w15:docId w15:val="{D870AA9C-EC98-4D5B-B021-F3A3082826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Emphasis">
    <w:name w:val="Emphasis"/>
    <w:basedOn w:val="DefaultParagraphFont"/>
    <w:uiPriority w:val="20"/>
    <w:qFormat/>
    <w:rsid w:val="00C33CE3"/>
    <w:rPr>
      <w:i/>
      <w:iCs/>
    </w:rPr>
  </w:style>
  <w:style w:type="character" w:styleId="Hyperlink">
    <w:name w:val="Hyperlink"/>
    <w:basedOn w:val="DefaultParagraphFont"/>
    <w:uiPriority w:val="99"/>
    <w:unhideWhenUsed/>
    <w:rsid w:val="00C33CE3"/>
    <w:rPr>
      <w:color w:val="0000FF"/>
      <w:u w:val="single"/>
    </w:rPr>
  </w:style>
  <w:style w:type="character" w:styleId="UnresolvedMention">
    <w:name w:val="Unresolved Mention"/>
    <w:basedOn w:val="DefaultParagraphFont"/>
    <w:uiPriority w:val="99"/>
    <w:semiHidden/>
    <w:unhideWhenUsed/>
    <w:rsid w:val="00C33C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379316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www.bailii.org/ew/cases/EWCA/Crim/1992/1.html" TargetMode="External"/><Relationship Id="rId13" Type="http://schemas.openxmlformats.org/officeDocument/2006/relationships/hyperlink" Target="https://heinonline.org/hol-cgi-bin/get_pdf.cgi?handle=hein.journals/nilq72&amp;section=20" TargetMode="External"/><Relationship Id="rId18" Type="http://schemas.openxmlformats.org/officeDocument/2006/relationships/hyperlink" Target="https://journals.sagepub.com/doi/pdf/10.1177/0022018319858506"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www.bailii.org/ew/cases/EWCA/Crim/1992/1.html" TargetMode="External"/><Relationship Id="rId7" Type="http://schemas.openxmlformats.org/officeDocument/2006/relationships/image" Target="media/image1.png"/><Relationship Id="rId12" Type="http://schemas.openxmlformats.org/officeDocument/2006/relationships/hyperlink" Target="http://oro.open.ac.uk/69453/1/Paul%20Catley%20Personality%20Change%20Criminal%20Responsibility%20and%20Diminsihed%20Capacity%20final%20version.pdf" TargetMode="External"/><Relationship Id="rId17" Type="http://schemas.openxmlformats.org/officeDocument/2006/relationships/hyperlink" Target="https://www.sciencedirect.com/science/article/pii/S0160252720300303"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heinonline.org/hol-cgi-bin/get_pdf.cgi?handle=hein.journals/nilq72&amp;section=17" TargetMode="External"/><Relationship Id="rId20" Type="http://schemas.openxmlformats.org/officeDocument/2006/relationships/hyperlink" Target="https://onlinelibrary.wiley.com/doi/abs/10.1111/japp.12433"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journals.sagepub.com/doi/pdf/10.1177/0022018318814362"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oxfamilibrary.openrepository.com/handle/10546/621011" TargetMode="External"/><Relationship Id="rId23" Type="http://schemas.openxmlformats.org/officeDocument/2006/relationships/hyperlink" Target="https://nilq.qub.ac.uk/index.php/nilq/article/download/930/772https://nilq.qub.ac.uk/index.php/nilq/article/download/930/772" TargetMode="External"/><Relationship Id="rId10" Type="http://schemas.openxmlformats.org/officeDocument/2006/relationships/hyperlink" Target="https://www.tandfonline.com/doi/abs/10.1080/13218719.2021.1938273" TargetMode="External"/><Relationship Id="rId19" Type="http://schemas.openxmlformats.org/officeDocument/2006/relationships/hyperlink" Target="https://www.google.co.in/books/edition/Criminology/jwRWLwEACAAJ?hl=en" TargetMode="External"/><Relationship Id="rId4" Type="http://schemas.openxmlformats.org/officeDocument/2006/relationships/webSettings" Target="webSettings.xml"/><Relationship Id="rId9" Type="http://schemas.openxmlformats.org/officeDocument/2006/relationships/hyperlink" Target="https://www.mentalhealthlaw.co.uk/R_v_Cobley_(2021)_EWCA_Crim_954?id=201022-1759" TargetMode="External"/><Relationship Id="rId14" Type="http://schemas.openxmlformats.org/officeDocument/2006/relationships/hyperlink" Target="https://www.researchgate.net/profile/Anna-Goldberg-4/publication/343690596_Addiction_Capacities_and_Criminal_Responsibility_-_a_Comparative_Analysis/links/5f3a3f22a6fdcccc43cfc8b3/Addiction-Capacities-and-Criminal-Responsibility-a-Comparative-Analysis.pdf" TargetMode="External"/><Relationship Id="rId22" Type="http://schemas.openxmlformats.org/officeDocument/2006/relationships/hyperlink" Target="http://www.e-lawresources.co.uk/Diminished-responsibility.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whlZBGPpmRYj61mdGYQFI1jnpbA==">AMUW2mVerAcveRj0/3AgRUnTZZZWO5GZ1wzTRMwhb/pOWJIswlZAm12owwYoXg/FGfBITS+82eKlZnryecXe5epw12BCnwhAfQ6qEn980SsiQFVOWcRIrrW4Ldoi0SiHI9PofalFf7/pMt+20LddpHpCjzy5Tz3IP5kN2RKWuVNxDjNNn3xDehC8QKkfvGKwKtXP3wJULdabmz9nSU32Wx53TfO/su5MV62PqqhrENk3beUhbyE5CGc3EJHGVsZc1jlTpCAktGmU9BqON/bL59grs6y3O32VN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2264</Words>
  <Characters>12908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flavius ovidiu</dc:creator>
  <cp:lastModifiedBy>Flavius Ovidiu Godja (2217499)</cp:lastModifiedBy>
  <cp:revision>2</cp:revision>
  <dcterms:created xsi:type="dcterms:W3CDTF">2023-03-10T20:06:00Z</dcterms:created>
  <dcterms:modified xsi:type="dcterms:W3CDTF">2023-03-10T20:06:00Z</dcterms:modified>
</cp:coreProperties>
</file>