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both"/>
        <w:rPr>
          <w:rFonts w:ascii="Arial" w:cs="Arial" w:hAnsi="Arial"/>
          <w:b/>
        </w:rPr>
      </w:pPr>
    </w:p>
    <w:p>
      <w:pPr>
        <w:pStyle w:val="style0"/>
        <w:spacing w:lineRule="auto" w:line="360"/>
        <w:jc w:val="both"/>
        <w:rPr>
          <w:rFonts w:ascii="Arial" w:cs="Arial" w:hAnsi="Arial"/>
          <w:b/>
        </w:rPr>
      </w:pPr>
    </w:p>
    <w:p>
      <w:pPr>
        <w:pStyle w:val="style0"/>
        <w:spacing w:lineRule="auto" w:line="360"/>
        <w:jc w:val="both"/>
        <w:rPr>
          <w:rFonts w:ascii="Arial" w:cs="Arial" w:hAnsi="Arial"/>
          <w:b/>
        </w:rPr>
      </w:pPr>
    </w:p>
    <w:p>
      <w:pPr>
        <w:pStyle w:val="style0"/>
        <w:spacing w:lineRule="auto" w:line="360"/>
        <w:jc w:val="center"/>
        <w:rPr>
          <w:rFonts w:ascii="Arial" w:cs="Arial" w:hAnsi="Arial"/>
          <w:b/>
          <w:sz w:val="40"/>
          <w:szCs w:val="40"/>
        </w:rPr>
      </w:pPr>
    </w:p>
    <w:p>
      <w:pPr>
        <w:pStyle w:val="style0"/>
        <w:spacing w:lineRule="auto" w:line="360"/>
        <w:jc w:val="center"/>
        <w:rPr>
          <w:rFonts w:ascii="Arial" w:cs="Arial" w:hAnsi="Arial"/>
          <w:b/>
          <w:sz w:val="32"/>
          <w:szCs w:val="32"/>
        </w:rPr>
      </w:pPr>
    </w:p>
    <w:p>
      <w:pPr>
        <w:pStyle w:val="style0"/>
        <w:spacing w:lineRule="auto" w:line="360"/>
        <w:jc w:val="center"/>
        <w:rPr>
          <w:rFonts w:ascii="Arial" w:cs="Arial" w:hAnsi="Arial"/>
          <w:b/>
          <w:sz w:val="32"/>
          <w:szCs w:val="32"/>
        </w:rPr>
      </w:pPr>
      <w:r>
        <w:rPr>
          <w:rFonts w:ascii="Arial" w:cs="Arial" w:hAnsi="Arial"/>
          <w:b/>
          <w:sz w:val="32"/>
          <w:szCs w:val="32"/>
        </w:rPr>
        <w:t>Programme: MSc Public Health and Social Care in Practice</w:t>
      </w:r>
    </w:p>
    <w:p>
      <w:pPr>
        <w:pStyle w:val="style0"/>
        <w:bidi/>
        <w:spacing w:lineRule="auto" w:line="360"/>
        <w:jc w:val="center"/>
        <w:rPr>
          <w:rFonts w:ascii="Arial" w:cs="Arial" w:hAnsi="Arial"/>
          <w:b/>
          <w:sz w:val="32"/>
          <w:szCs w:val="32"/>
        </w:rPr>
      </w:pPr>
      <w:r>
        <w:rPr>
          <w:rFonts w:ascii="Arial" w:cs="Arial" w:hAnsi="Arial"/>
          <w:b/>
          <w:sz w:val="32"/>
          <w:szCs w:val="32"/>
        </w:rPr>
        <w:t>Name:</w:t>
      </w:r>
      <w:r>
        <w:rPr>
          <w:rFonts w:ascii="Arial" w:cs="Arial" w:hAnsi="Arial"/>
          <w:b/>
          <w:sz w:val="32"/>
          <w:szCs w:val="32"/>
        </w:rPr>
        <w:t xml:space="preserve"> Neelkumar Patel</w:t>
      </w:r>
    </w:p>
    <w:p>
      <w:pPr>
        <w:pStyle w:val="style0"/>
        <w:bidi/>
        <w:spacing w:lineRule="auto" w:line="360"/>
        <w:jc w:val="center"/>
        <w:rPr>
          <w:rFonts w:ascii="Arial" w:cs="Arial" w:hAnsi="Arial"/>
          <w:b/>
          <w:sz w:val="32"/>
          <w:szCs w:val="32"/>
        </w:rPr>
      </w:pPr>
      <w:r>
        <w:rPr>
          <w:rFonts w:ascii="Arial" w:cs="Arial" w:hAnsi="Arial"/>
          <w:b/>
          <w:sz w:val="32"/>
          <w:szCs w:val="32"/>
        </w:rPr>
        <w:t>Student Number:</w:t>
      </w:r>
      <w:r>
        <w:rPr>
          <w:rFonts w:ascii="Arial" w:cs="Arial" w:hAnsi="Arial"/>
          <w:b/>
          <w:sz w:val="32"/>
          <w:szCs w:val="32"/>
        </w:rPr>
        <w:t xml:space="preserve"> 2504974</w:t>
      </w:r>
    </w:p>
    <w:p>
      <w:pPr>
        <w:pStyle w:val="style0"/>
        <w:bidi/>
        <w:spacing w:lineRule="auto" w:line="360"/>
        <w:jc w:val="center"/>
        <w:rPr>
          <w:rFonts w:ascii="Arial" w:cs="Arial" w:hAnsi="Arial"/>
          <w:b/>
          <w:sz w:val="32"/>
          <w:szCs w:val="32"/>
        </w:rPr>
      </w:pPr>
      <w:r>
        <w:rPr>
          <w:rFonts w:ascii="Arial" w:cs="Arial" w:hAnsi="Arial"/>
          <w:b/>
          <w:sz w:val="32"/>
          <w:szCs w:val="32"/>
        </w:rPr>
        <w:t>Name of lecturer</w:t>
      </w:r>
      <w:r>
        <w:rPr>
          <w:rFonts w:ascii="Arial" w:cs="Arial" w:hAnsi="Arial"/>
          <w:b/>
          <w:sz w:val="32"/>
          <w:szCs w:val="32"/>
        </w:rPr>
        <w:t>:</w:t>
      </w:r>
      <w:r>
        <w:rPr>
          <w:rFonts w:ascii="Arial" w:cs="Arial" w:hAnsi="Arial"/>
          <w:b/>
          <w:sz w:val="32"/>
          <w:szCs w:val="32"/>
        </w:rPr>
        <w:t xml:space="preserve"> Dr Zeno Leung</w:t>
      </w:r>
    </w:p>
    <w:p>
      <w:pPr>
        <w:pStyle w:val="style0"/>
        <w:spacing w:lineRule="auto" w:line="360"/>
        <w:jc w:val="center"/>
        <w:rPr>
          <w:rFonts w:ascii="Arial" w:cs="Arial" w:hAnsi="Arial"/>
          <w:b/>
          <w:sz w:val="32"/>
          <w:szCs w:val="32"/>
        </w:rPr>
      </w:pPr>
      <w:r>
        <w:rPr>
          <w:rFonts w:ascii="Arial" w:cs="Arial" w:hAnsi="Arial"/>
          <w:b/>
          <w:sz w:val="32"/>
          <w:szCs w:val="32"/>
        </w:rPr>
        <w:t>Module Code and title: LCHS7008 and Practice-Based Research</w:t>
      </w:r>
    </w:p>
    <w:p>
      <w:pPr>
        <w:pStyle w:val="style0"/>
        <w:spacing w:lineRule="auto" w:line="360"/>
        <w:jc w:val="center"/>
        <w:rPr>
          <w:rFonts w:ascii="Arial" w:cs="Arial" w:hAnsi="Arial"/>
          <w:b/>
          <w:sz w:val="32"/>
          <w:szCs w:val="32"/>
        </w:rPr>
      </w:pPr>
      <w:r>
        <w:rPr>
          <w:rFonts w:ascii="Arial" w:cs="Arial" w:hAnsi="Arial"/>
          <w:b/>
          <w:sz w:val="32"/>
          <w:szCs w:val="32"/>
        </w:rPr>
        <w:t>Assignment title: Exploring the role of parental feeding and parenting styles on disordered eating behaviors among the UK’s adolescents</w:t>
      </w:r>
    </w:p>
    <w:p>
      <w:pPr>
        <w:pStyle w:val="style0"/>
        <w:spacing w:lineRule="auto" w:line="360"/>
        <w:jc w:val="both"/>
        <w:rPr>
          <w:rFonts w:ascii="Arial" w:cs="Arial" w:hAnsi="Arial"/>
          <w:b/>
        </w:rPr>
      </w:pPr>
      <w:r>
        <w:rPr>
          <w:rFonts w:ascii="Arial" w:cs="Arial" w:hAnsi="Arial"/>
          <w:b/>
        </w:rPr>
        <w:br w:type="page"/>
      </w:r>
    </w:p>
    <w:p>
      <w:pPr>
        <w:pStyle w:val="style266"/>
        <w:spacing w:lineRule="auto" w:line="360"/>
        <w:jc w:val="center"/>
        <w:rPr>
          <w:rFonts w:ascii="Arial" w:cs="Arial" w:hAnsi="Arial"/>
          <w:b/>
          <w:color w:val="000000"/>
          <w:sz w:val="22"/>
          <w:szCs w:val="22"/>
          <w:lang w:val="en-GB"/>
        </w:rPr>
      </w:pPr>
      <w:r>
        <w:rPr>
          <w:rFonts w:ascii="Arial" w:cs="Arial" w:hAnsi="Arial"/>
          <w:b/>
          <w:color w:val="000000"/>
          <w:sz w:val="22"/>
          <w:szCs w:val="22"/>
          <w:lang w:val="en-GB"/>
        </w:rPr>
        <w:t>Contents</w:t>
      </w:r>
    </w:p>
    <w:p>
      <w:pPr>
        <w:pStyle w:val="style19"/>
        <w:tabs>
          <w:tab w:val="right" w:leader="dot" w:pos="9016"/>
        </w:tabs>
        <w:spacing w:lineRule="auto" w:line="360"/>
        <w:rPr>
          <w:rFonts w:ascii="Arial" w:cs="Arial" w:eastAsia="宋体" w:hAnsi="Arial"/>
          <w:noProof/>
          <w:lang w:eastAsia="en-IN"/>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rPr/>
        <w:fldChar w:fldCharType="begin"/>
      </w:r>
      <w:r>
        <w:instrText xml:space="preserve"> HYPERLINK \l "_Toc224745091" </w:instrText>
      </w:r>
      <w:r>
        <w:rPr/>
        <w:fldChar w:fldCharType="separate"/>
      </w:r>
      <w:r>
        <w:rPr>
          <w:rStyle w:val="style85"/>
          <w:rFonts w:ascii="Arial" w:cs="Arial" w:hAnsi="Arial"/>
          <w:noProof/>
        </w:rPr>
        <w:t>1: The prevalence of the problem identified in the area of health</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_Toc224745091 \h </w:instrText>
      </w:r>
      <w:r>
        <w:rPr>
          <w:rFonts w:ascii="Arial" w:cs="Arial" w:hAnsi="Arial"/>
          <w:noProof/>
          <w:webHidden/>
        </w:rPr>
        <w:fldChar w:fldCharType="separate"/>
      </w:r>
      <w:r>
        <w:rPr>
          <w:rFonts w:ascii="Arial" w:cs="Arial" w:hAnsi="Arial"/>
          <w:noProof/>
          <w:webHidden/>
        </w:rPr>
        <w:t>3</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"_Toc224745092" </w:instrText>
      </w:r>
      <w:r>
        <w:rPr/>
        <w:fldChar w:fldCharType="separate"/>
      </w:r>
      <w:r>
        <w:rPr>
          <w:rStyle w:val="style85"/>
          <w:rFonts w:ascii="Arial" w:cs="Arial" w:hAnsi="Arial"/>
          <w:noProof/>
        </w:rPr>
        <w:t>2: Introduction: Literature background of the study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_Toc224745092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"_Toc224745093" </w:instrText>
      </w:r>
      <w:r>
        <w:rPr/>
        <w:fldChar w:fldCharType="separate"/>
      </w:r>
      <w:r>
        <w:rPr>
          <w:rStyle w:val="style85"/>
          <w:rFonts w:ascii="Arial" w:cs="Arial" w:hAnsi="Arial"/>
          <w:noProof/>
        </w:rPr>
        <w:t>2.1: Eating disorder and why it is considered as a substantial health concern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_Toc224745093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"_Toc224745094" </w:instrText>
      </w:r>
      <w:r>
        <w:rPr/>
        <w:fldChar w:fldCharType="separate"/>
      </w:r>
      <w:r>
        <w:rPr>
          <w:rStyle w:val="style85"/>
          <w:rFonts w:ascii="Arial" w:cs="Arial" w:hAnsi="Arial"/>
          <w:noProof/>
        </w:rPr>
        <w:t>2.2: Factors providing the main impetus for Eating disorder</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_Toc224745094 \h </w:instrText>
      </w:r>
      <w:r>
        <w:rPr>
          <w:rFonts w:ascii="Arial" w:cs="Arial" w:hAnsi="Arial"/>
          <w:noProof/>
          <w:webHidden/>
        </w:rPr>
        <w:fldChar w:fldCharType="separate"/>
      </w:r>
      <w:r>
        <w:rPr>
          <w:rFonts w:ascii="Arial" w:cs="Arial" w:hAnsi="Arial"/>
          <w:noProof/>
          <w:webHidden/>
        </w:rPr>
        <w:t>5</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"_Toc224745095" </w:instrText>
      </w:r>
      <w:r>
        <w:rPr/>
        <w:fldChar w:fldCharType="separate"/>
      </w:r>
      <w:r>
        <w:rPr>
          <w:rStyle w:val="style85"/>
          <w:rFonts w:ascii="Arial" w:cs="Arial" w:hAnsi="Arial"/>
          <w:noProof/>
        </w:rPr>
        <w:t>2.3: Gap highlighted in the literature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_Toc224745095 \h </w:instrText>
      </w:r>
      <w:r>
        <w:rPr>
          <w:rFonts w:ascii="Arial" w:cs="Arial" w:hAnsi="Arial"/>
          <w:noProof/>
          <w:webHidden/>
        </w:rPr>
        <w:fldChar w:fldCharType="separate"/>
      </w:r>
      <w:r>
        <w:rPr>
          <w:rFonts w:ascii="Arial" w:cs="Arial" w:hAnsi="Arial"/>
          <w:noProof/>
          <w:webHidden/>
        </w:rPr>
        <w:t>6</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"_Toc224745096" </w:instrText>
      </w:r>
      <w:r>
        <w:rPr/>
        <w:fldChar w:fldCharType="separate"/>
      </w:r>
      <w:r>
        <w:rPr>
          <w:rStyle w:val="style85"/>
          <w:rFonts w:ascii="Arial" w:cs="Arial" w:hAnsi="Arial"/>
          <w:noProof/>
        </w:rPr>
        <w:t>3: Rationale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_Toc224745096 \h </w:instrText>
      </w:r>
      <w:r>
        <w:rPr>
          <w:rFonts w:ascii="Arial" w:cs="Arial" w:hAnsi="Arial"/>
          <w:noProof/>
          <w:webHidden/>
        </w:rPr>
        <w:fldChar w:fldCharType="separate"/>
      </w:r>
      <w:r>
        <w:rPr>
          <w:rFonts w:ascii="Arial" w:cs="Arial" w:hAnsi="Arial"/>
          <w:noProof/>
          <w:webHidden/>
        </w:rPr>
        <w:t>6</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"_Toc224745097" </w:instrText>
      </w:r>
      <w:r>
        <w:rPr/>
        <w:fldChar w:fldCharType="separate"/>
      </w:r>
      <w:r>
        <w:rPr>
          <w:rStyle w:val="style85"/>
          <w:rFonts w:ascii="Arial" w:cs="Arial" w:hAnsi="Arial"/>
          <w:noProof/>
        </w:rPr>
        <w:t>4: Research questions, aims and objectives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_Toc224745097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"_Toc224745098" </w:instrText>
      </w:r>
      <w:r>
        <w:rPr/>
        <w:fldChar w:fldCharType="separate"/>
      </w:r>
      <w:r>
        <w:rPr>
          <w:rStyle w:val="style85"/>
          <w:rFonts w:ascii="Arial" w:cs="Arial" w:hAnsi="Arial"/>
          <w:noProof/>
        </w:rPr>
        <w:t>5: Research methodology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_Toc224745098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"_Toc224745099" </w:instrText>
      </w:r>
      <w:r>
        <w:rPr/>
        <w:fldChar w:fldCharType="separate"/>
      </w:r>
      <w:r>
        <w:rPr>
          <w:rStyle w:val="style85"/>
          <w:rFonts w:ascii="Arial" w:cs="Arial" w:hAnsi="Arial"/>
          <w:noProof/>
        </w:rPr>
        <w:t>5.1: Research design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_Toc224745099 \h </w:instrText>
      </w:r>
      <w:r>
        <w:rPr>
          <w:rFonts w:ascii="Arial" w:cs="Arial" w:hAnsi="Arial"/>
          <w:noProof/>
          <w:webHidden/>
        </w:rPr>
        <w:fldChar w:fldCharType="separate"/>
      </w:r>
      <w:r>
        <w:rPr>
          <w:rFonts w:ascii="Arial" w:cs="Arial" w:hAnsi="Arial"/>
          <w:noProof/>
          <w:webHidden/>
        </w:rPr>
        <w:t>7</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"_Toc224745100" </w:instrText>
      </w:r>
      <w:r>
        <w:rPr/>
        <w:fldChar w:fldCharType="separate"/>
      </w:r>
      <w:r>
        <w:rPr>
          <w:rStyle w:val="style85"/>
          <w:rFonts w:ascii="Arial" w:cs="Arial" w:hAnsi="Arial"/>
          <w:noProof/>
        </w:rPr>
        <w:t>5.2: PICO statement construction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_Toc224745100 \h </w:instrText>
      </w:r>
      <w:r>
        <w:rPr>
          <w:rFonts w:ascii="Arial" w:cs="Arial" w:hAnsi="Arial"/>
          <w:noProof/>
          <w:webHidden/>
        </w:rPr>
        <w:fldChar w:fldCharType="separate"/>
      </w:r>
      <w:r>
        <w:rPr>
          <w:rFonts w:ascii="Arial" w:cs="Arial" w:hAnsi="Arial"/>
          <w:noProof/>
          <w:webHidden/>
        </w:rPr>
        <w:t>8</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"_Toc224745101" </w:instrText>
      </w:r>
      <w:r>
        <w:rPr/>
        <w:fldChar w:fldCharType="separate"/>
      </w:r>
      <w:r>
        <w:rPr>
          <w:rStyle w:val="style85"/>
          <w:rFonts w:ascii="Arial" w:cs="Arial" w:hAnsi="Arial"/>
          <w:noProof/>
        </w:rPr>
        <w:t>5.3: Data collection method</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_Toc224745101 \h </w:instrText>
      </w:r>
      <w:r>
        <w:rPr>
          <w:rFonts w:ascii="Arial" w:cs="Arial" w:hAnsi="Arial"/>
          <w:noProof/>
          <w:webHidden/>
        </w:rPr>
        <w:fldChar w:fldCharType="separate"/>
      </w:r>
      <w:r>
        <w:rPr>
          <w:rFonts w:ascii="Arial" w:cs="Arial" w:hAnsi="Arial"/>
          <w:noProof/>
          <w:webHidden/>
        </w:rPr>
        <w:t>9</w:t>
      </w:r>
      <w:r>
        <w:rPr>
          <w:rFonts w:ascii="Arial" w:cs="Arial" w:hAnsi="Arial"/>
          <w:noProof/>
          <w:webHidden/>
        </w:rPr>
        <w:fldChar w:fldCharType="end"/>
      </w:r>
      <w:r>
        <w:rPr/>
        <w:fldChar w:fldCharType="end"/>
      </w:r>
    </w:p>
    <w:p>
      <w:pPr>
        <w:pStyle w:val="style20"/>
        <w:tabs>
          <w:tab w:val="right" w:leader="dot" w:pos="9016"/>
        </w:tabs>
        <w:spacing w:lineRule="auto" w:line="360"/>
        <w:rPr>
          <w:rFonts w:ascii="Arial" w:cs="Arial" w:eastAsia="宋体" w:hAnsi="Arial"/>
          <w:noProof/>
          <w:lang w:eastAsia="en-IN"/>
        </w:rPr>
      </w:pPr>
      <w:r>
        <w:rPr/>
        <w:fldChar w:fldCharType="begin"/>
      </w:r>
      <w:r>
        <w:instrText xml:space="preserve"> HYPERLINK \l "_Toc224745102" </w:instrText>
      </w:r>
      <w:r>
        <w:rPr/>
        <w:fldChar w:fldCharType="separate"/>
      </w:r>
      <w:r>
        <w:rPr>
          <w:rStyle w:val="style85"/>
          <w:rFonts w:ascii="Arial" w:cs="Arial" w:hAnsi="Arial"/>
          <w:noProof/>
        </w:rPr>
        <w:t>5.4: Data extraction and analysis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_Toc224745102 \h </w:instrText>
      </w:r>
      <w:r>
        <w:rPr>
          <w:rFonts w:ascii="Arial" w:cs="Arial" w:hAnsi="Arial"/>
          <w:noProof/>
          <w:webHidden/>
        </w:rPr>
        <w:fldChar w:fldCharType="separate"/>
      </w:r>
      <w:r>
        <w:rPr>
          <w:rFonts w:ascii="Arial" w:cs="Arial" w:hAnsi="Arial"/>
          <w:noProof/>
          <w:webHidden/>
        </w:rPr>
        <w:t>11</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"_Toc224745103" </w:instrText>
      </w:r>
      <w:r>
        <w:rPr/>
        <w:fldChar w:fldCharType="separate"/>
      </w:r>
      <w:r>
        <w:rPr>
          <w:rStyle w:val="style85"/>
          <w:rFonts w:ascii="Arial" w:cs="Arial" w:hAnsi="Arial"/>
          <w:noProof/>
        </w:rPr>
        <w:t>6: Ethical consideration</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_Toc224745103 \h </w:instrText>
      </w:r>
      <w:r>
        <w:rPr>
          <w:rFonts w:ascii="Arial" w:cs="Arial" w:hAnsi="Arial"/>
          <w:noProof/>
          <w:webHidden/>
        </w:rPr>
        <w:fldChar w:fldCharType="separate"/>
      </w:r>
      <w:r>
        <w:rPr>
          <w:rFonts w:ascii="Arial" w:cs="Arial" w:hAnsi="Arial"/>
          <w:noProof/>
          <w:webHidden/>
        </w:rPr>
        <w:t>12</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"_Toc224745104" </w:instrText>
      </w:r>
      <w:r>
        <w:rPr/>
        <w:fldChar w:fldCharType="separate"/>
      </w:r>
      <w:r>
        <w:rPr>
          <w:rStyle w:val="style85"/>
          <w:rFonts w:ascii="Arial" w:cs="Arial" w:hAnsi="Arial"/>
          <w:noProof/>
        </w:rPr>
        <w:t>7: Implication of research</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_Toc224745104 \h </w:instrText>
      </w:r>
      <w:r>
        <w:rPr>
          <w:rFonts w:ascii="Arial" w:cs="Arial" w:hAnsi="Arial"/>
          <w:noProof/>
          <w:webHidden/>
        </w:rPr>
        <w:fldChar w:fldCharType="separate"/>
      </w:r>
      <w:r>
        <w:rPr>
          <w:rFonts w:ascii="Arial" w:cs="Arial" w:hAnsi="Arial"/>
          <w:noProof/>
          <w:webHidden/>
        </w:rPr>
        <w:t>13</w:t>
      </w:r>
      <w:r>
        <w:rPr>
          <w:rFonts w:ascii="Arial" w:cs="Arial" w:hAnsi="Arial"/>
          <w:noProof/>
          <w:webHidden/>
        </w:rPr>
        <w:fldChar w:fldCharType="end"/>
      </w:r>
      <w:r>
        <w:rPr/>
        <w:fldChar w:fldCharType="end"/>
      </w:r>
    </w:p>
    <w:p>
      <w:pPr>
        <w:pStyle w:val="style19"/>
        <w:tabs>
          <w:tab w:val="right" w:leader="dot" w:pos="9016"/>
        </w:tabs>
        <w:spacing w:lineRule="auto" w:line="360"/>
        <w:rPr>
          <w:rFonts w:ascii="Arial" w:cs="Arial" w:eastAsia="宋体" w:hAnsi="Arial"/>
          <w:noProof/>
          <w:lang w:eastAsia="en-IN"/>
        </w:rPr>
      </w:pPr>
      <w:r>
        <w:rPr/>
        <w:fldChar w:fldCharType="begin"/>
      </w:r>
      <w:r>
        <w:instrText xml:space="preserve"> HYPERLINK \l "_Toc224745105" </w:instrText>
      </w:r>
      <w:r>
        <w:rPr/>
        <w:fldChar w:fldCharType="separate"/>
      </w:r>
      <w:r>
        <w:rPr>
          <w:rStyle w:val="style85"/>
          <w:rFonts w:ascii="Arial" w:cs="Arial" w:hAnsi="Arial"/>
          <w:noProof/>
        </w:rPr>
        <w:t>8: Plan of work and time schedule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_Toc224745105 \h </w:instrText>
      </w:r>
      <w:r>
        <w:rPr>
          <w:rFonts w:ascii="Arial" w:cs="Arial" w:hAnsi="Arial"/>
          <w:noProof/>
          <w:webHidden/>
        </w:rPr>
        <w:fldChar w:fldCharType="separate"/>
      </w:r>
      <w:r>
        <w:rPr>
          <w:rFonts w:ascii="Arial" w:cs="Arial" w:hAnsi="Arial"/>
          <w:noProof/>
          <w:webHidden/>
        </w:rPr>
        <w:t>13</w:t>
      </w:r>
      <w:r>
        <w:rPr>
          <w:rFonts w:ascii="Arial" w:cs="Arial" w:hAnsi="Arial"/>
          <w:noProof/>
          <w:webHidden/>
        </w:rPr>
        <w:fldChar w:fldCharType="end"/>
      </w:r>
      <w:r>
        <w:rPr/>
        <w:fldChar w:fldCharType="end"/>
      </w:r>
    </w:p>
    <w:p>
      <w:pPr>
        <w:pStyle w:val="style19"/>
        <w:tabs>
          <w:tab w:val="right" w:leader="dot" w:pos="9016"/>
        </w:tabs>
        <w:spacing w:lineRule="auto" w:line="360"/>
        <w:rPr>
          <w:rFonts w:eastAsia="宋体"/>
          <w:noProof/>
          <w:lang w:eastAsia="en-IN"/>
        </w:rPr>
      </w:pPr>
      <w:r>
        <w:rPr/>
        <w:fldChar w:fldCharType="begin"/>
      </w:r>
      <w:r>
        <w:instrText xml:space="preserve"> HYPERLINK \l "_Toc224745106" </w:instrText>
      </w:r>
      <w:r>
        <w:rPr/>
        <w:fldChar w:fldCharType="separate"/>
      </w:r>
      <w:r>
        <w:rPr>
          <w:rStyle w:val="style85"/>
          <w:rFonts w:ascii="Arial" w:cs="Arial" w:hAnsi="Arial"/>
          <w:noProof/>
        </w:rPr>
        <w:t>References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_Toc224745106 \h </w:instrText>
      </w:r>
      <w:r>
        <w:rPr>
          <w:rFonts w:ascii="Arial" w:cs="Arial" w:hAnsi="Arial"/>
          <w:noProof/>
          <w:webHidden/>
        </w:rPr>
        <w:fldChar w:fldCharType="separate"/>
      </w:r>
      <w:r>
        <w:rPr>
          <w:rFonts w:ascii="Arial" w:cs="Arial" w:hAnsi="Arial"/>
          <w:noProof/>
          <w:webHidden/>
        </w:rPr>
        <w:t>16</w:t>
      </w:r>
      <w:r>
        <w:rPr>
          <w:rFonts w:ascii="Arial" w:cs="Arial" w:hAnsi="Arial"/>
          <w:noProof/>
          <w:webHidden/>
        </w:rPr>
        <w:fldChar w:fldCharType="end"/>
      </w:r>
      <w:r>
        <w:rPr/>
        <w:fldChar w:fldCharType="end"/>
      </w:r>
    </w:p>
    <w:p>
      <w:pPr>
        <w:pStyle w:val="style0"/>
        <w:spacing w:lineRule="auto" w:line="360"/>
        <w:jc w:val="both"/>
        <w:rPr>
          <w:rFonts w:ascii="Arial" w:cs="Arial" w:hAnsi="Arial"/>
        </w:rPr>
      </w:pPr>
      <w:r>
        <w:rPr>
          <w:rFonts w:ascii="Arial" w:cs="Arial" w:hAnsi="Arial"/>
          <w:b/>
          <w:bCs/>
          <w:noProof/>
        </w:rPr>
        <w:fldChar w:fldCharType="end"/>
      </w:r>
    </w:p>
    <w:p>
      <w:pPr>
        <w:pStyle w:val="style0"/>
        <w:spacing w:lineRule="auto" w:line="360"/>
        <w:jc w:val="both"/>
        <w:rPr>
          <w:rFonts w:ascii="Arial" w:cs="Arial" w:hAnsi="Arial"/>
          <w:b/>
        </w:rPr>
      </w:pPr>
      <w:r>
        <w:rPr>
          <w:rFonts w:ascii="Arial" w:cs="Arial" w:hAnsi="Arial"/>
          <w:b/>
        </w:rPr>
        <w:br w:type="page"/>
      </w:r>
    </w:p>
    <w:bookmarkStart w:id="0" w:name="_Toc224745091"/>
    <w:p>
      <w:pPr>
        <w:pStyle w:val="style1"/>
        <w:jc w:val="both"/>
        <w:rPr>
          <w:lang w:val="en-GB"/>
        </w:rPr>
      </w:pPr>
      <w:r>
        <w:rPr>
          <w:lang w:val="en-GB"/>
        </w:rPr>
        <w:t xml:space="preserve">1: </w:t>
      </w:r>
      <w:r>
        <w:rPr>
          <w:lang w:val="en-GB"/>
        </w:rPr>
        <w:t>The prevalence of the problem identified in the area of health</w:t>
      </w:r>
      <w:bookmarkEnd w:id="0"/>
    </w:p>
    <w:p>
      <w:pPr>
        <w:pStyle w:val="style0"/>
        <w:spacing w:lineRule="auto" w:line="360"/>
        <w:jc w:val="both"/>
        <w:rPr>
          <w:rFonts w:ascii="Arial" w:cs="Arial" w:hAnsi="Arial"/>
        </w:rPr>
      </w:pPr>
      <w:r>
        <w:rPr>
          <w:rFonts w:ascii="Arial" w:cs="Arial" w:hAnsi="Arial"/>
        </w:rPr>
        <w:t xml:space="preserve">Eating disorders have become excruciatingly prevalent in United Kingdom’s adolescents, and the patterns has taken a surge in recent years. This thereby, highlights the growing public concern, where the future of the nation is entrapped in such malady. NHS England (2023) had claimed that the prevalence of eating disorders among the young people aged 11 to 16 had been reported at 12.3 % during the period of 2023.  However, quite alarmingly, the rate has risen substantially among older adolescents, with more than 59.4 % of the individuals aged 17 to 19 exhibit risk or symptoms of disordered eating behaviour. </w:t>
      </w:r>
    </w:p>
    <w:p>
      <w:pPr>
        <w:pStyle w:val="style0"/>
        <w:spacing w:lineRule="auto" w:line="360"/>
        <w:jc w:val="center"/>
        <w:rPr>
          <w:rFonts w:ascii="Arial" w:cs="Arial" w:hAnsi="Arial"/>
        </w:rPr>
      </w:pPr>
      <w:r>
        <w:rPr>
          <w:rFonts w:ascii="Arial" w:cs="Arial" w:hAnsi="Arial"/>
          <w:noProof/>
          <w:lang w:eastAsia="en-IN"/>
        </w:rPr>
        <w:drawing>
          <wp:inline distL="0" distT="0" distB="0" distR="0">
            <wp:extent cx="5057963" cy="3602665"/>
            <wp:effectExtent l="76200" t="76200" r="123825" b="131445"/>
            <wp:docPr id="1026"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 cstate="print"/>
                    <a:srcRect l="0" t="0" r="0" b="0"/>
                    <a:stretch/>
                  </pic:blipFill>
                  <pic:spPr>
                    <a:xfrm rot="0">
                      <a:off x="0" y="0"/>
                      <a:ext cx="5057963" cy="3602665"/>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1: Percentage of children and young people with eating disorders seen by services fall since 2019-20</w:t>
      </w:r>
    </w:p>
    <w:p>
      <w:pPr>
        <w:pStyle w:val="style0"/>
        <w:spacing w:lineRule="auto" w:line="360"/>
        <w:jc w:val="center"/>
        <w:rPr>
          <w:rFonts w:ascii="Arial" w:cs="Arial" w:hAnsi="Arial"/>
        </w:rPr>
      </w:pPr>
      <w:r>
        <w:rPr>
          <w:rFonts w:ascii="Arial" w:cs="Arial" w:hAnsi="Arial"/>
        </w:rPr>
        <w:t>(Source: Children’s Commissioner for England, 2023)</w:t>
      </w:r>
    </w:p>
    <w:p>
      <w:pPr>
        <w:pStyle w:val="style0"/>
        <w:spacing w:lineRule="auto" w:line="360"/>
        <w:jc w:val="both"/>
        <w:rPr>
          <w:rFonts w:ascii="Arial" w:cs="Arial" w:hAnsi="Arial"/>
        </w:rPr>
      </w:pPr>
      <w:r>
        <w:rPr>
          <w:rFonts w:ascii="Arial" w:cs="Arial" w:hAnsi="Arial"/>
        </w:rPr>
        <w:t>Data that had been derived between 2017 till 2021, the prevalence among the adolescents aged 17 to 19 had increased from 44.6 % to 58.2 % and the risk here is gender specific, as girls experience higher risks when compared to boys</w:t>
      </w:r>
      <w:r>
        <w:rPr>
          <w:rFonts w:ascii="Arial" w:cs="Arial" w:hAnsi="Arial"/>
        </w:rPr>
        <w:t xml:space="preserve"> (House of Commons Health and Social Care Committee, 2023</w:t>
      </w:r>
      <w:r>
        <w:rPr>
          <w:rFonts w:ascii="Arial" w:cs="Arial" w:hAnsi="Arial"/>
        </w:rPr>
        <w:t>). Moreover</w:t>
      </w:r>
      <w:r>
        <w:rPr>
          <w:rFonts w:ascii="Arial" w:cs="Arial" w:hAnsi="Arial"/>
        </w:rPr>
        <w:t xml:space="preserve">, the data pertaining to hostel admission related to eating disorders among adolescents had increased by a certain 35 % by the year 2022, when </w:t>
      </w:r>
      <w:r>
        <w:rPr>
          <w:rFonts w:ascii="Arial" w:cs="Arial" w:hAnsi="Arial"/>
        </w:rPr>
        <w:t>compare to the previous years</w:t>
      </w:r>
      <w:r>
        <w:rPr>
          <w:rFonts w:ascii="Arial" w:cs="Arial" w:hAnsi="Arial"/>
        </w:rPr>
        <w:t xml:space="preserve"> (Lovett </w:t>
      </w:r>
      <w:r>
        <w:rPr>
          <w:rFonts w:ascii="Arial" w:cs="Arial" w:hAnsi="Arial"/>
          <w:i/>
        </w:rPr>
        <w:t>et al.</w:t>
      </w:r>
      <w:r>
        <w:rPr>
          <w:rFonts w:ascii="Arial" w:cs="Arial" w:hAnsi="Arial"/>
          <w:i/>
        </w:rPr>
        <w:t>,</w:t>
      </w:r>
      <w:r>
        <w:rPr>
          <w:rFonts w:ascii="Arial" w:cs="Arial" w:hAnsi="Arial"/>
        </w:rPr>
        <w:t xml:space="preserve"> 2025)</w:t>
      </w:r>
      <w:r>
        <w:rPr>
          <w:rFonts w:ascii="Arial" w:cs="Arial" w:hAnsi="Arial"/>
        </w:rPr>
        <w:t>.  Such trends thereby, exhibit a rapid surge in eating disorder behaviours among UK teenagers, thereby, translating into serious health issue. This increases the prevalence in this patter, thereby calling for detailed deconstruction of the underlying factors, such as parental feeding practices and parenting styles. These factors are further rudimentary in influencing adolescent eating behaviour</w:t>
      </w:r>
      <w:r>
        <w:rPr>
          <w:rFonts w:ascii="Arial" w:cs="Arial" w:hAnsi="Arial"/>
        </w:rPr>
        <w:t>.</w:t>
      </w:r>
    </w:p>
    <w:p>
      <w:pPr>
        <w:pStyle w:val="style0"/>
        <w:spacing w:lineRule="auto" w:line="360"/>
        <w:jc w:val="center"/>
        <w:rPr>
          <w:rFonts w:ascii="Arial" w:cs="Arial" w:hAnsi="Arial"/>
        </w:rPr>
      </w:pPr>
      <w:r>
        <w:rPr>
          <w:rFonts w:ascii="Arial" w:cs="Arial" w:hAnsi="Arial"/>
          <w:noProof/>
          <w:lang w:eastAsia="en-IN"/>
        </w:rPr>
        <w:drawing>
          <wp:inline distL="0" distT="0" distB="0" distR="0">
            <wp:extent cx="5403395" cy="3113567"/>
            <wp:effectExtent l="76200" t="76200" r="140335" b="125094"/>
            <wp:docPr id="1027"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0" r="0" b="0"/>
                    <a:stretch/>
                  </pic:blipFill>
                  <pic:spPr>
                    <a:xfrm rot="0">
                      <a:off x="0" y="0"/>
                      <a:ext cx="5403395" cy="3113567"/>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2: Post-COVID emergence in number of children and young people starting eating disorder treatment within the year.</w:t>
      </w:r>
    </w:p>
    <w:p>
      <w:pPr>
        <w:pStyle w:val="style0"/>
        <w:spacing w:lineRule="auto" w:line="360"/>
        <w:jc w:val="center"/>
        <w:rPr>
          <w:rFonts w:ascii="Arial" w:cs="Arial" w:hAnsi="Arial"/>
        </w:rPr>
      </w:pPr>
      <w:r>
        <w:rPr>
          <w:rFonts w:ascii="Arial" w:cs="Arial" w:hAnsi="Arial"/>
        </w:rPr>
        <w:t>(Source: Children’s Commissioner for England, 2023)</w:t>
      </w:r>
    </w:p>
    <w:bookmarkStart w:id="1" w:name="_Toc224745092"/>
    <w:p>
      <w:pPr>
        <w:pStyle w:val="style1"/>
        <w:jc w:val="both"/>
        <w:rPr>
          <w:lang w:val="en-GB"/>
        </w:rPr>
      </w:pPr>
      <w:r>
        <w:rPr>
          <w:lang w:val="en-GB"/>
        </w:rPr>
        <w:t xml:space="preserve">2: </w:t>
      </w:r>
      <w:r>
        <w:rPr>
          <w:lang w:val="en-GB"/>
        </w:rPr>
        <w:t>Introduction</w:t>
      </w:r>
      <w:r>
        <w:rPr>
          <w:lang w:val="en-GB"/>
        </w:rPr>
        <w:t xml:space="preserve">: </w:t>
      </w:r>
      <w:r>
        <w:rPr>
          <w:lang w:val="en-GB"/>
        </w:rPr>
        <w:t>Literature background of the study</w:t>
      </w:r>
      <w:bookmarkEnd w:id="1"/>
    </w:p>
    <w:bookmarkStart w:id="2" w:name="_Toc224745093"/>
    <w:p>
      <w:pPr>
        <w:pStyle w:val="style2"/>
        <w:jc w:val="both"/>
        <w:rPr/>
      </w:pPr>
      <w:r>
        <w:t xml:space="preserve">2.1: </w:t>
      </w:r>
      <w:r>
        <w:t>Eating disorder and why it is considered as a substantial health concern</w:t>
      </w:r>
      <w:bookmarkEnd w:id="2"/>
    </w:p>
    <w:p>
      <w:pPr>
        <w:pStyle w:val="style0"/>
        <w:spacing w:lineRule="auto" w:line="360"/>
        <w:jc w:val="both"/>
        <w:rPr>
          <w:rFonts w:ascii="Arial" w:cs="Arial" w:hAnsi="Arial"/>
        </w:rPr>
      </w:pPr>
      <w:r>
        <w:rPr>
          <w:rFonts w:ascii="Arial" w:cs="Arial" w:hAnsi="Arial"/>
        </w:rPr>
        <w:t xml:space="preserve">Manning and Greenfield (2022) </w:t>
      </w:r>
      <w:r>
        <w:rPr>
          <w:rFonts w:ascii="Arial" w:cs="Arial" w:hAnsi="Arial"/>
        </w:rPr>
        <w:t xml:space="preserve">opined that eating disorder is predominantly recognized as a substantial health concern, especially </w:t>
      </w:r>
      <w:r>
        <w:rPr>
          <w:rFonts w:ascii="Arial" w:cs="Arial" w:hAnsi="Arial"/>
        </w:rPr>
        <w:t xml:space="preserve">among young adolescents in UK. Feng </w:t>
      </w:r>
      <w:r>
        <w:rPr>
          <w:rFonts w:ascii="Arial" w:cs="Arial" w:hAnsi="Arial"/>
          <w:i/>
        </w:rPr>
        <w:t>et al.,</w:t>
      </w:r>
      <w:r>
        <w:rPr>
          <w:rFonts w:ascii="Arial" w:cs="Arial" w:hAnsi="Arial"/>
        </w:rPr>
        <w:t xml:space="preserve"> (2023) identified</w:t>
      </w:r>
      <w:r>
        <w:rPr>
          <w:rFonts w:ascii="Arial" w:cs="Arial" w:hAnsi="Arial"/>
        </w:rPr>
        <w:t xml:space="preserve"> numerous conditions such as nervosa, anorexia, bulimia nervosa and binge eating disorders.  The repercussions of these maladies are immense and may impart severe psychological and physical con</w:t>
      </w:r>
      <w:r>
        <w:rPr>
          <w:rFonts w:ascii="Arial" w:cs="Arial" w:hAnsi="Arial"/>
        </w:rPr>
        <w:t xml:space="preserve">sequences for young people.  López-Gil </w:t>
      </w:r>
      <w:r>
        <w:rPr>
          <w:rFonts w:ascii="Arial" w:cs="Arial" w:hAnsi="Arial"/>
          <w:i/>
        </w:rPr>
        <w:t>et al.,</w:t>
      </w:r>
      <w:r>
        <w:rPr>
          <w:rFonts w:ascii="Arial" w:cs="Arial" w:hAnsi="Arial"/>
        </w:rPr>
        <w:t xml:space="preserve"> (2023) </w:t>
      </w:r>
      <w:r>
        <w:rPr>
          <w:rFonts w:ascii="Arial" w:cs="Arial" w:hAnsi="Arial"/>
        </w:rPr>
        <w:t>have conducted a study recently and have stated that prevalence of disordered eating behaviours has risen essentially among UK adolescents over the past decade and this requ</w:t>
      </w:r>
      <w:r>
        <w:rPr>
          <w:rFonts w:ascii="Arial" w:cs="Arial" w:hAnsi="Arial"/>
        </w:rPr>
        <w:t xml:space="preserve">ire immediate interventions. Pastore </w:t>
      </w:r>
      <w:r>
        <w:rPr>
          <w:rFonts w:ascii="Arial" w:cs="Arial" w:hAnsi="Arial"/>
          <w:i/>
        </w:rPr>
        <w:t>et al.,</w:t>
      </w:r>
      <w:r>
        <w:rPr>
          <w:rFonts w:ascii="Arial" w:cs="Arial" w:hAnsi="Arial"/>
        </w:rPr>
        <w:t xml:space="preserve"> (2023) </w:t>
      </w:r>
      <w:r>
        <w:rPr>
          <w:rFonts w:ascii="Arial" w:cs="Arial" w:hAnsi="Arial"/>
        </w:rPr>
        <w:t xml:space="preserve">provided a study where it is validated that eating disorder </w:t>
      </w:r>
      <w:r>
        <w:rPr>
          <w:rFonts w:ascii="Arial" w:cs="Arial" w:hAnsi="Arial"/>
        </w:rPr>
        <w:t>symptoms are particularly common among individuals, who are aged between 17 to 19 years, and there happens to be higher prevalen</w:t>
      </w:r>
      <w:r>
        <w:rPr>
          <w:rFonts w:ascii="Arial" w:cs="Arial" w:hAnsi="Arial"/>
        </w:rPr>
        <w:t xml:space="preserve">ce of females in this trend. Mills </w:t>
      </w:r>
      <w:r>
        <w:rPr>
          <w:rFonts w:ascii="Arial" w:cs="Arial" w:hAnsi="Arial"/>
          <w:i/>
        </w:rPr>
        <w:t>et al.,</w:t>
      </w:r>
      <w:r>
        <w:rPr>
          <w:rFonts w:ascii="Arial" w:cs="Arial" w:hAnsi="Arial"/>
        </w:rPr>
        <w:t xml:space="preserve"> (2023) </w:t>
      </w:r>
      <w:r>
        <w:rPr>
          <w:rFonts w:ascii="Arial" w:cs="Arial" w:hAnsi="Arial"/>
        </w:rPr>
        <w:t xml:space="preserve">opined that adolescent represents a critical developmental stage, where brain functions are developed, with cognitive and emotional abilities, therefore, eating disorder could impart severe defect. Emotional. Social and environmental influences could shape eating behaviours and body image perceptions too. </w:t>
      </w:r>
    </w:p>
    <w:p>
      <w:pPr>
        <w:pStyle w:val="style0"/>
        <w:spacing w:lineRule="auto" w:line="360"/>
        <w:jc w:val="center"/>
        <w:rPr>
          <w:rFonts w:ascii="Arial" w:cs="Arial" w:hAnsi="Arial"/>
        </w:rPr>
      </w:pPr>
      <w:r>
        <w:rPr>
          <w:rFonts w:ascii="Arial" w:cs="Arial" w:hAnsi="Arial"/>
          <w:noProof/>
          <w:lang w:eastAsia="en-IN"/>
        </w:rPr>
        <w:drawing>
          <wp:inline distL="0" distT="0" distB="0" distR="0">
            <wp:extent cx="5327872" cy="2507511"/>
            <wp:effectExtent l="76200" t="76200" r="139700" b="140970"/>
            <wp:docPr id="1028"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6"/>
                    <pic:cNvPicPr/>
                  </pic:nvPicPr>
                  <pic:blipFill>
                    <a:blip r:embed="rId4" cstate="print"/>
                    <a:srcRect l="0" t="0" r="0" b="0"/>
                    <a:stretch/>
                  </pic:blipFill>
                  <pic:spPr>
                    <a:xfrm rot="0">
                      <a:off x="0" y="0"/>
                      <a:ext cx="5327872" cy="2507511"/>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3: Mean age and body mass index of Adolescents (regression analysis)</w:t>
      </w:r>
    </w:p>
    <w:p>
      <w:pPr>
        <w:pStyle w:val="style0"/>
        <w:spacing w:lineRule="auto" w:line="360"/>
        <w:jc w:val="center"/>
        <w:rPr>
          <w:rFonts w:ascii="Arial" w:cs="Arial" w:hAnsi="Arial"/>
        </w:rPr>
      </w:pPr>
      <w:r>
        <w:rPr>
          <w:rFonts w:ascii="Arial" w:cs="Arial" w:hAnsi="Arial"/>
        </w:rPr>
        <w:t xml:space="preserve">(Source: López-Gil </w:t>
      </w:r>
      <w:r>
        <w:rPr>
          <w:rFonts w:ascii="Arial" w:cs="Arial" w:hAnsi="Arial"/>
          <w:i/>
        </w:rPr>
        <w:t>et al.,</w:t>
      </w:r>
      <w:r>
        <w:rPr>
          <w:rFonts w:ascii="Arial" w:cs="Arial" w:hAnsi="Arial"/>
        </w:rPr>
        <w:t xml:space="preserve"> 2023)</w:t>
      </w:r>
    </w:p>
    <w:bookmarkStart w:id="3" w:name="_Toc224745094"/>
    <w:p>
      <w:pPr>
        <w:pStyle w:val="style2"/>
        <w:jc w:val="both"/>
        <w:rPr/>
      </w:pPr>
      <w:r>
        <w:t xml:space="preserve">2.2: </w:t>
      </w:r>
      <w:r>
        <w:t xml:space="preserve">Factors providing the main impetus for </w:t>
      </w:r>
      <w:r>
        <w:t>e</w:t>
      </w:r>
      <w:r>
        <w:t>ating disorder</w:t>
      </w:r>
      <w:bookmarkEnd w:id="3"/>
    </w:p>
    <w:p>
      <w:pPr>
        <w:pStyle w:val="style0"/>
        <w:spacing w:lineRule="auto" w:line="360"/>
        <w:jc w:val="both"/>
        <w:rPr>
          <w:rFonts w:ascii="Arial" w:cs="Arial" w:hAnsi="Arial"/>
        </w:rPr>
      </w:pPr>
      <w:r>
        <w:rPr>
          <w:rFonts w:ascii="Arial" w:cs="Arial" w:hAnsi="Arial"/>
        </w:rPr>
        <w:t xml:space="preserve">Factors further play a huge role </w:t>
      </w:r>
      <w:r>
        <w:rPr>
          <w:rFonts w:ascii="Arial" w:cs="Arial" w:hAnsi="Arial"/>
        </w:rPr>
        <w:t>in shaping eating behaviour. Cost</w:t>
      </w:r>
      <w:r>
        <w:rPr>
          <w:rFonts w:ascii="Arial" w:cs="Arial" w:hAnsi="Arial"/>
        </w:rPr>
        <w:t xml:space="preserve">a and Oliveira </w:t>
      </w:r>
      <w:r>
        <w:rPr>
          <w:rFonts w:ascii="Arial" w:cs="Arial" w:hAnsi="Arial"/>
        </w:rPr>
        <w:t xml:space="preserve">(2023) </w:t>
      </w:r>
      <w:r>
        <w:rPr>
          <w:rFonts w:ascii="Arial" w:cs="Arial" w:hAnsi="Arial"/>
        </w:rPr>
        <w:t>had suggested that family environment often plays a crucial role by being a framework for shaping adolescent’s eating behaviours. In this regard, parental feeding practices as well as parenting styles are often considered key influenced on the children’s attitudes towards body image and food. However, provided differe</w:t>
      </w:r>
      <w:r>
        <w:rPr>
          <w:rFonts w:ascii="Arial" w:cs="Arial" w:hAnsi="Arial"/>
        </w:rPr>
        <w:t xml:space="preserve">nt insight pertaining to it. Watson </w:t>
      </w:r>
      <w:r>
        <w:rPr>
          <w:rFonts w:ascii="Arial" w:cs="Arial" w:hAnsi="Arial"/>
          <w:i/>
        </w:rPr>
        <w:t>et al.,</w:t>
      </w:r>
      <w:r>
        <w:rPr>
          <w:rFonts w:ascii="Arial" w:cs="Arial" w:hAnsi="Arial"/>
        </w:rPr>
        <w:t xml:space="preserve"> (2023) </w:t>
      </w:r>
      <w:r>
        <w:rPr>
          <w:rFonts w:ascii="Arial" w:cs="Arial" w:hAnsi="Arial"/>
        </w:rPr>
        <w:t>argued that parenting styles in form of authoritarian, permissive, authoritative and neglectful could impact the development of unhealthy an</w:t>
      </w:r>
      <w:r>
        <w:rPr>
          <w:rFonts w:ascii="Arial" w:cs="Arial" w:hAnsi="Arial"/>
        </w:rPr>
        <w:t xml:space="preserve">d healthy eating behaviours. Kohli (2023) </w:t>
      </w:r>
      <w:r>
        <w:rPr>
          <w:rFonts w:ascii="Arial" w:cs="Arial" w:hAnsi="Arial"/>
        </w:rPr>
        <w:t xml:space="preserve">has stated that restrictive feeding practices, pressure to eat and stringent, rather excessive parental control over food consumption could increase the risks pertaining to emotional eating, bouts of restrained eating and other disordered eating behaviours during the period of adolescence. Therefore, these early experiences could influence long term dietary habits and ensure long term psychological wellbeing. </w:t>
      </w:r>
    </w:p>
    <w:bookmarkStart w:id="4" w:name="_Toc224745095"/>
    <w:p>
      <w:pPr>
        <w:pStyle w:val="style2"/>
        <w:jc w:val="both"/>
        <w:rPr/>
      </w:pPr>
      <w:r>
        <w:t xml:space="preserve">2.3: </w:t>
      </w:r>
      <w:r>
        <w:t>Gap highlighted in the literature</w:t>
      </w:r>
      <w:bookmarkEnd w:id="4"/>
    </w:p>
    <w:p>
      <w:pPr>
        <w:pStyle w:val="style0"/>
        <w:spacing w:lineRule="auto" w:line="360"/>
        <w:jc w:val="both"/>
        <w:rPr>
          <w:rFonts w:ascii="Arial" w:cs="Arial" w:hAnsi="Arial"/>
        </w:rPr>
      </w:pPr>
      <w:r>
        <w:rPr>
          <w:rFonts w:ascii="Arial" w:cs="Arial" w:hAnsi="Arial"/>
        </w:rPr>
        <w:t xml:space="preserve">Despite there being superior growing evidence on relationship between eating disorders and parenting </w:t>
      </w:r>
      <w:r>
        <w:rPr>
          <w:rFonts w:ascii="Arial" w:cs="Arial" w:hAnsi="Arial"/>
        </w:rPr>
        <w:t>practices, a</w:t>
      </w:r>
      <w:r>
        <w:rPr>
          <w:rFonts w:ascii="Arial" w:cs="Arial" w:hAnsi="Arial"/>
        </w:rPr>
        <w:t xml:space="preserve"> brief number of research papers have specifically assessed this issue within the UK adolescent popul</w:t>
      </w:r>
      <w:r>
        <w:rPr>
          <w:rFonts w:ascii="Arial" w:cs="Arial" w:hAnsi="Arial"/>
        </w:rPr>
        <w:t xml:space="preserve">ation. Existing studies like Kohli (2023) and Pastore </w:t>
      </w:r>
      <w:r>
        <w:rPr>
          <w:rFonts w:ascii="Arial" w:cs="Arial" w:hAnsi="Arial"/>
          <w:i/>
        </w:rPr>
        <w:t>et al.,</w:t>
      </w:r>
      <w:r>
        <w:rPr>
          <w:rFonts w:ascii="Arial" w:cs="Arial" w:hAnsi="Arial"/>
        </w:rPr>
        <w:t xml:space="preserve"> (2023) </w:t>
      </w:r>
      <w:r>
        <w:rPr>
          <w:rFonts w:ascii="Arial" w:cs="Arial" w:hAnsi="Arial"/>
        </w:rPr>
        <w:t xml:space="preserve">have stressed on broader international contexts. This thereby, had left a gap in comprehending about how parental feeding styles influence eating disorder behaviours among UK teenagers. Moreover, given the rising prevalence of eating disorders and hospital admissions owing to this malady, it is extremely paramount to delve into the contributing factors of anorexia, bouts of over eating, emotional eating and binge eating. Repercussions like malnutrition, obesity have become prevalent in UK. Hence, in the tandem of this discussion, this study thereby, strives to conduct a systematic literature review for exploring the role of parental feeding practices and parenting styles and the manner it could be an impetus for developing disorder eating behaviour within the early and late adolescent diaspora of UK. </w:t>
      </w:r>
    </w:p>
    <w:p>
      <w:pPr>
        <w:pStyle w:val="style0"/>
        <w:spacing w:lineRule="auto" w:line="360"/>
        <w:jc w:val="center"/>
        <w:rPr>
          <w:rFonts w:ascii="Arial" w:cs="Arial" w:hAnsi="Arial"/>
        </w:rPr>
      </w:pPr>
      <w:r>
        <w:rPr>
          <w:rFonts w:ascii="Arial" w:cs="Arial" w:hAnsi="Arial"/>
          <w:noProof/>
          <w:lang w:eastAsia="en-IN"/>
        </w:rPr>
        <w:drawing>
          <wp:inline distL="0" distT="0" distB="0" distR="0">
            <wp:extent cx="5233552" cy="2686356"/>
            <wp:effectExtent l="76200" t="76200" r="139065" b="133350"/>
            <wp:docPr id="1029"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8"/>
                    <pic:cNvPicPr/>
                  </pic:nvPicPr>
                  <pic:blipFill>
                    <a:blip r:embed="rId5" cstate="print"/>
                    <a:srcRect l="0" t="0" r="0" b="0"/>
                    <a:stretch/>
                  </pic:blipFill>
                  <pic:spPr>
                    <a:xfrm rot="0">
                      <a:off x="0" y="0"/>
                      <a:ext cx="5233552" cy="2686356"/>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bookmarkStart w:id="5" w:name="_Toc224745096"/>
    <w:p>
      <w:pPr>
        <w:pStyle w:val="style1"/>
        <w:jc w:val="both"/>
        <w:rPr>
          <w:lang w:val="en-GB"/>
        </w:rPr>
      </w:pPr>
      <w:r>
        <w:rPr>
          <w:lang w:val="en-GB"/>
        </w:rPr>
        <w:t>3: Rationale</w:t>
      </w:r>
      <w:bookmarkEnd w:id="5"/>
      <w:r>
        <w:rPr>
          <w:lang w:val="en-GB"/>
        </w:rPr>
        <w:t xml:space="preserve"> </w:t>
      </w:r>
    </w:p>
    <w:p>
      <w:pPr>
        <w:pStyle w:val="style0"/>
        <w:spacing w:lineRule="auto" w:line="360"/>
        <w:jc w:val="both"/>
        <w:rPr>
          <w:rFonts w:ascii="Arial" w:cs="Arial" w:hAnsi="Arial"/>
        </w:rPr>
      </w:pPr>
      <w:r>
        <w:rPr>
          <w:rFonts w:ascii="Arial" w:cs="Arial" w:hAnsi="Arial"/>
        </w:rPr>
        <w:t xml:space="preserve">Among adolescents, the prevalence of eating disorder in UK has increased considerably during the past decade. Studies have exhibited rising instances of bulimia nervosa, anorexia and binge eating disorders, especially among adolescents who are between the ages of 17 to 19 years, with particular emphasis on females as they demonstrate the highest vulnerability (Feng et al., 2023 and Pastore et al., 2023). Despite existing research highlighting the growing health burden and the nuanced psychological repercussions and consequences of these </w:t>
      </w:r>
      <w:r>
        <w:rPr>
          <w:rFonts w:ascii="Arial" w:cs="Arial" w:hAnsi="Arial"/>
        </w:rPr>
        <w:t>disorders, limited studies have assessed the role of parental feeding practices and parenting styles during the formative years, when their eating behaviours are formed. Since family environment essentially influenced dietary attitudes and body image, the paper here proposes a research that would delve into these parental factors, for comprehending about potential risks and enable development of effective intervention strategies for the adolescents in UK.</w:t>
      </w:r>
    </w:p>
    <w:bookmarkStart w:id="6" w:name="_Toc224745097"/>
    <w:p>
      <w:pPr>
        <w:pStyle w:val="style1"/>
        <w:jc w:val="both"/>
        <w:rPr>
          <w:lang w:val="en-GB"/>
        </w:rPr>
      </w:pPr>
      <w:r>
        <w:rPr>
          <w:lang w:val="en-GB"/>
        </w:rPr>
        <w:t xml:space="preserve">4: </w:t>
      </w:r>
      <w:r>
        <w:rPr>
          <w:lang w:val="en-GB"/>
        </w:rPr>
        <w:t>Research questions, aims and objectives</w:t>
      </w:r>
      <w:bookmarkEnd w:id="6"/>
    </w:p>
    <w:p>
      <w:pPr>
        <w:pStyle w:val="style0"/>
        <w:spacing w:lineRule="auto" w:line="360"/>
        <w:jc w:val="both"/>
        <w:rPr>
          <w:rFonts w:ascii="Arial" w:cs="Arial" w:hAnsi="Arial"/>
        </w:rPr>
      </w:pPr>
      <w:r>
        <w:rPr>
          <w:rFonts w:ascii="Arial" w:cs="Arial" w:hAnsi="Arial"/>
        </w:rPr>
        <w:t>The paper here aims to conduct a systematic literature review for assessing the influence of parental feeding practices and parental styles on UK’s adolescent’s disorder eating behaviours</w:t>
      </w:r>
    </w:p>
    <w:p>
      <w:pPr>
        <w:pStyle w:val="style0"/>
        <w:spacing w:lineRule="auto" w:line="360"/>
        <w:jc w:val="both"/>
        <w:rPr>
          <w:rFonts w:ascii="Arial" w:cs="Arial" w:hAnsi="Arial"/>
        </w:rPr>
      </w:pPr>
      <w:r>
        <w:rPr>
          <w:rFonts w:ascii="Arial" w:cs="Arial" w:hAnsi="Arial"/>
        </w:rPr>
        <w:t>The research objectives of the paper are:</w:t>
      </w:r>
    </w:p>
    <w:p>
      <w:pPr>
        <w:pStyle w:val="style179"/>
        <w:numPr>
          <w:ilvl w:val="0"/>
          <w:numId w:val="1"/>
        </w:numPr>
        <w:spacing w:lineRule="auto" w:line="360"/>
        <w:jc w:val="both"/>
        <w:rPr>
          <w:rFonts w:ascii="Arial" w:cs="Arial" w:hAnsi="Arial"/>
        </w:rPr>
      </w:pPr>
      <w:r>
        <w:rPr>
          <w:rFonts w:ascii="Arial" w:cs="Arial" w:hAnsi="Arial"/>
        </w:rPr>
        <w:t>To decipher and identify different forms of parental feeding practices and parenting styles which are associated with eating behaviours among the adolescents</w:t>
      </w:r>
    </w:p>
    <w:p>
      <w:pPr>
        <w:pStyle w:val="style179"/>
        <w:numPr>
          <w:ilvl w:val="0"/>
          <w:numId w:val="1"/>
        </w:numPr>
        <w:spacing w:lineRule="auto" w:line="360"/>
        <w:jc w:val="both"/>
        <w:rPr>
          <w:rFonts w:ascii="Arial" w:cs="Arial" w:hAnsi="Arial"/>
        </w:rPr>
      </w:pPr>
      <w:r>
        <w:rPr>
          <w:rFonts w:ascii="Arial" w:cs="Arial" w:hAnsi="Arial"/>
        </w:rPr>
        <w:t>To assess the relationship between developments of disordered eating patterns and parental feeding behaviours among UK’s adolescents between the age group of 10 to 19</w:t>
      </w:r>
    </w:p>
    <w:p>
      <w:pPr>
        <w:pStyle w:val="style179"/>
        <w:numPr>
          <w:ilvl w:val="0"/>
          <w:numId w:val="1"/>
        </w:numPr>
        <w:spacing w:lineRule="auto" w:line="360"/>
        <w:jc w:val="both"/>
        <w:rPr>
          <w:rFonts w:ascii="Arial" w:cs="Arial" w:hAnsi="Arial"/>
        </w:rPr>
      </w:pPr>
      <w:r>
        <w:rPr>
          <w:rFonts w:ascii="Arial" w:cs="Arial" w:hAnsi="Arial"/>
        </w:rPr>
        <w:t>To evaluate and subsequently, assess literature for determining how parenting styles contributes to the prevention and risk of eating disorders among the UK adolescents</w:t>
      </w:r>
    </w:p>
    <w:p>
      <w:pPr>
        <w:pStyle w:val="style0"/>
        <w:spacing w:lineRule="auto" w:line="360"/>
        <w:jc w:val="both"/>
        <w:rPr>
          <w:rFonts w:ascii="Arial" w:cs="Arial" w:hAnsi="Arial"/>
        </w:rPr>
      </w:pPr>
      <w:r>
        <w:rPr>
          <w:rFonts w:ascii="Arial" w:cs="Arial" w:hAnsi="Arial"/>
        </w:rPr>
        <w:t>Abiding by the research objectives, the research questions are:</w:t>
      </w:r>
    </w:p>
    <w:p>
      <w:pPr>
        <w:pStyle w:val="style179"/>
        <w:numPr>
          <w:ilvl w:val="0"/>
          <w:numId w:val="2"/>
        </w:numPr>
        <w:spacing w:lineRule="auto" w:line="360"/>
        <w:jc w:val="both"/>
        <w:rPr>
          <w:rFonts w:ascii="Arial" w:cs="Arial" w:hAnsi="Arial"/>
        </w:rPr>
      </w:pPr>
      <w:r>
        <w:rPr>
          <w:rFonts w:ascii="Arial" w:cs="Arial" w:hAnsi="Arial"/>
        </w:rPr>
        <w:t>What are different forms of parental feeding practices and parenting styles which are associated with eating behaviours among the adolescents?</w:t>
      </w:r>
    </w:p>
    <w:p>
      <w:pPr>
        <w:pStyle w:val="style179"/>
        <w:numPr>
          <w:ilvl w:val="0"/>
          <w:numId w:val="2"/>
        </w:numPr>
        <w:spacing w:lineRule="auto" w:line="360"/>
        <w:jc w:val="both"/>
        <w:rPr>
          <w:rFonts w:ascii="Arial" w:cs="Arial" w:hAnsi="Arial"/>
        </w:rPr>
      </w:pPr>
      <w:r>
        <w:rPr>
          <w:rFonts w:ascii="Arial" w:cs="Arial" w:hAnsi="Arial"/>
        </w:rPr>
        <w:t>What is the relationship between developments of disordered eating patterns and parental feeding behaviours among UK’s adolescents between the age group of 10 to 19?</w:t>
      </w:r>
    </w:p>
    <w:p>
      <w:pPr>
        <w:pStyle w:val="style179"/>
        <w:numPr>
          <w:ilvl w:val="0"/>
          <w:numId w:val="2"/>
        </w:numPr>
        <w:spacing w:lineRule="auto" w:line="360"/>
        <w:jc w:val="both"/>
        <w:rPr>
          <w:rFonts w:ascii="Arial" w:cs="Arial" w:hAnsi="Arial"/>
        </w:rPr>
      </w:pPr>
      <w:r>
        <w:rPr>
          <w:rFonts w:ascii="Arial" w:cs="Arial" w:hAnsi="Arial"/>
        </w:rPr>
        <w:t>How parenting styles contributes to the prevention and risk of eating disorders among the UK adolescents</w:t>
      </w:r>
    </w:p>
    <w:bookmarkStart w:id="7" w:name="_Toc224745098"/>
    <w:p>
      <w:pPr>
        <w:pStyle w:val="style1"/>
        <w:jc w:val="both"/>
        <w:rPr>
          <w:lang w:val="en-GB"/>
        </w:rPr>
      </w:pPr>
      <w:r>
        <w:rPr>
          <w:lang w:val="en-GB"/>
        </w:rPr>
        <w:t xml:space="preserve">5: </w:t>
      </w:r>
      <w:r>
        <w:rPr>
          <w:lang w:val="en-GB"/>
        </w:rPr>
        <w:t>Research methodology</w:t>
      </w:r>
      <w:bookmarkEnd w:id="7"/>
    </w:p>
    <w:bookmarkStart w:id="8" w:name="_Toc224745099"/>
    <w:p>
      <w:pPr>
        <w:pStyle w:val="style2"/>
        <w:jc w:val="both"/>
        <w:rPr/>
      </w:pPr>
      <w:r>
        <w:t xml:space="preserve">5.1: </w:t>
      </w:r>
      <w:r>
        <w:t>Research design</w:t>
      </w:r>
      <w:bookmarkEnd w:id="8"/>
    </w:p>
    <w:p>
      <w:pPr>
        <w:pStyle w:val="style0"/>
        <w:spacing w:lineRule="auto" w:line="360"/>
        <w:jc w:val="both"/>
        <w:rPr>
          <w:rFonts w:ascii="Arial" w:cs="Arial" w:hAnsi="Arial"/>
        </w:rPr>
      </w:pPr>
      <w:r>
        <w:rPr>
          <w:rFonts w:ascii="Arial" w:cs="Arial" w:hAnsi="Arial"/>
        </w:rPr>
        <w:t xml:space="preserve">The research methodology for this paper adheres to the trajectories stated by systematic literature review, influenced by </w:t>
      </w:r>
      <w:r>
        <w:rPr>
          <w:rFonts w:ascii="Arial" w:cs="Arial" w:hAnsi="Arial"/>
        </w:rPr>
        <w:t xml:space="preserve">A van Riel and Snyder (2024). </w:t>
      </w:r>
      <w:r>
        <w:rPr>
          <w:rFonts w:ascii="Arial" w:cs="Arial" w:hAnsi="Arial"/>
        </w:rPr>
        <w:t xml:space="preserve">The methodology here </w:t>
      </w:r>
      <w:r>
        <w:rPr>
          <w:rFonts w:ascii="Arial" w:cs="Arial" w:hAnsi="Arial"/>
        </w:rPr>
        <w:t xml:space="preserve">presents the trajectory step wise, where initially, PICO statement is to be presented through a thorough analysis. Once the PICO statement is being presented. PRISMA framework, presents a </w:t>
      </w:r>
      <w:r>
        <w:rPr>
          <w:rFonts w:ascii="Arial" w:cs="Arial" w:hAnsi="Arial"/>
        </w:rPr>
        <w:t xml:space="preserve">detailed analysis on the selection criteria and the entire corpus, from which the necessary articles are to be selected, which are to be systematically reviewed for sufficing the objectives. </w:t>
      </w:r>
    </w:p>
    <w:p>
      <w:pPr>
        <w:pStyle w:val="style0"/>
        <w:spacing w:lineRule="auto" w:line="360"/>
        <w:jc w:val="center"/>
        <w:rPr>
          <w:rFonts w:ascii="Arial" w:cs="Arial" w:hAnsi="Arial"/>
        </w:rPr>
      </w:pPr>
      <w:r>
        <w:rPr>
          <w:rFonts w:ascii="Arial" w:cs="Arial" w:hAnsi="Arial"/>
          <w:noProof/>
          <w:lang w:eastAsia="en-IN"/>
        </w:rPr>
        <w:drawing>
          <wp:inline distL="0" distT="0" distB="0" distR="0">
            <wp:extent cx="4410739" cy="2622997"/>
            <wp:effectExtent l="76200" t="76200" r="123189" b="139700"/>
            <wp:docPr id="1030"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7"/>
                    <pic:cNvPicPr/>
                  </pic:nvPicPr>
                  <pic:blipFill>
                    <a:blip r:embed="rId6" cstate="print"/>
                    <a:srcRect l="0" t="0" r="0" b="0"/>
                    <a:stretch/>
                  </pic:blipFill>
                  <pic:spPr>
                    <a:xfrm rot="0">
                      <a:off x="0" y="0"/>
                      <a:ext cx="4410739" cy="2622997"/>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4: SLR trajectory</w:t>
      </w:r>
    </w:p>
    <w:p>
      <w:pPr>
        <w:pStyle w:val="style0"/>
        <w:spacing w:lineRule="auto" w:line="360"/>
        <w:jc w:val="center"/>
        <w:rPr>
          <w:rFonts w:ascii="Arial" w:cs="Arial" w:hAnsi="Arial"/>
        </w:rPr>
      </w:pPr>
      <w:r>
        <w:rPr>
          <w:rFonts w:ascii="Arial" w:cs="Arial" w:hAnsi="Arial"/>
        </w:rPr>
        <w:t>(Source: A van Riel and Snyder, 2024).</w:t>
      </w:r>
    </w:p>
    <w:bookmarkStart w:id="9" w:name="_Toc224745100"/>
    <w:p>
      <w:pPr>
        <w:pStyle w:val="style2"/>
        <w:jc w:val="both"/>
        <w:rPr/>
      </w:pPr>
      <w:r>
        <w:t xml:space="preserve">5.2: </w:t>
      </w:r>
      <w:r>
        <w:t>PICO statement construction</w:t>
      </w:r>
      <w:bookmarkEnd w:id="9"/>
    </w:p>
    <w:p>
      <w:pPr>
        <w:pStyle w:val="style0"/>
        <w:spacing w:lineRule="auto" w:line="360"/>
        <w:jc w:val="both"/>
        <w:rPr>
          <w:rFonts w:ascii="Arial" w:cs="Arial" w:hAnsi="Arial"/>
        </w:rPr>
      </w:pPr>
      <w:r>
        <w:rPr>
          <w:rFonts w:ascii="Arial" w:cs="Arial" w:hAnsi="Arial"/>
        </w:rPr>
        <w:t xml:space="preserve">The PICO statements </w:t>
      </w:r>
      <w:r>
        <w:rPr>
          <w:rFonts w:ascii="Arial" w:cs="Arial" w:hAnsi="Arial"/>
        </w:rPr>
        <w:t>abide</w:t>
      </w:r>
      <w:r>
        <w:rPr>
          <w:rFonts w:ascii="Arial" w:cs="Arial" w:hAnsi="Arial"/>
        </w:rPr>
        <w:t xml:space="preserve"> by the below stated framework. </w:t>
      </w:r>
    </w:p>
    <w:p>
      <w:pPr>
        <w:pStyle w:val="style0"/>
        <w:spacing w:lineRule="auto" w:line="360"/>
        <w:jc w:val="center"/>
        <w:rPr>
          <w:rFonts w:ascii="Arial" w:cs="Arial" w:hAnsi="Arial"/>
        </w:rPr>
      </w:pPr>
      <w:r>
        <w:rPr>
          <w:rFonts w:ascii="Arial" w:cs="Arial" w:hAnsi="Arial"/>
          <w:noProof/>
          <w:lang w:eastAsia="en-IN"/>
        </w:rPr>
        <w:drawing>
          <wp:inline distL="0" distT="0" distB="0" distR="0">
            <wp:extent cx="5229725" cy="2530269"/>
            <wp:effectExtent l="76200" t="76200" r="123825" b="137160"/>
            <wp:docPr id="103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cstate="print"/>
                    <a:srcRect l="0" t="0" r="0" b="0"/>
                    <a:stretch/>
                  </pic:blipFill>
                  <pic:spPr>
                    <a:xfrm rot="0">
                      <a:off x="0" y="0"/>
                      <a:ext cx="5229725" cy="2530269"/>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5: PICO Framework</w:t>
      </w:r>
    </w:p>
    <w:p>
      <w:pPr>
        <w:pStyle w:val="style0"/>
        <w:spacing w:lineRule="auto" w:line="360"/>
        <w:jc w:val="center"/>
        <w:rPr>
          <w:rFonts w:ascii="Arial" w:cs="Arial" w:hAnsi="Arial"/>
        </w:rPr>
      </w:pPr>
      <w:r>
        <w:rPr>
          <w:rFonts w:ascii="Arial" w:cs="Arial" w:hAnsi="Arial"/>
        </w:rPr>
        <w:t>(Influenced from: Lindexer, 2024)</w:t>
      </w:r>
    </w:p>
    <w:tbl>
      <w:tblPr>
        <w:tblStyle w:val="style154"/>
        <w:tblW w:w="0" w:type="auto"/>
        <w:tblLook w:val="04A0" w:firstRow="1" w:lastRow="0" w:firstColumn="1" w:lastColumn="0" w:noHBand="0" w:noVBand="1"/>
      </w:tblPr>
      <w:tblGrid>
        <w:gridCol w:w="1726"/>
        <w:gridCol w:w="3329"/>
        <w:gridCol w:w="3969"/>
      </w:tblGrid>
      <w:tr>
        <w:trPr/>
        <w:tc>
          <w:tcPr>
            <w:tcW w:w="0" w:type="auto"/>
            <w:tcBorders/>
            <w:hideMark/>
          </w:tcPr>
          <w:p>
            <w:pPr>
              <w:pStyle w:val="style0"/>
              <w:spacing w:lineRule="auto" w:line="360"/>
              <w:jc w:val="both"/>
              <w:rPr>
                <w:rFonts w:ascii="Arial" w:cs="Arial" w:hAnsi="Arial"/>
              </w:rPr>
            </w:pPr>
            <w:r>
              <w:rPr>
                <w:rFonts w:ascii="Arial" w:cs="Arial" w:hAnsi="Arial"/>
              </w:rPr>
              <w:t>PICO Element</w:t>
            </w:r>
          </w:p>
        </w:tc>
        <w:tc>
          <w:tcPr>
            <w:tcW w:w="0" w:type="auto"/>
            <w:tcBorders/>
            <w:hideMark/>
          </w:tcPr>
          <w:p>
            <w:pPr>
              <w:pStyle w:val="style0"/>
              <w:spacing w:lineRule="auto" w:line="360"/>
              <w:jc w:val="both"/>
              <w:rPr>
                <w:rFonts w:ascii="Arial" w:cs="Arial" w:hAnsi="Arial"/>
              </w:rPr>
            </w:pPr>
            <w:r>
              <w:rPr>
                <w:rFonts w:ascii="Arial" w:cs="Arial" w:hAnsi="Arial"/>
              </w:rPr>
              <w:t xml:space="preserve">Definition that most suited for the study </w:t>
            </w:r>
          </w:p>
        </w:tc>
        <w:tc>
          <w:tcPr>
            <w:tcW w:w="0" w:type="auto"/>
            <w:tcBorders/>
            <w:hideMark/>
          </w:tcPr>
          <w:p>
            <w:pPr>
              <w:pStyle w:val="style0"/>
              <w:spacing w:lineRule="auto" w:line="360"/>
              <w:jc w:val="both"/>
              <w:rPr>
                <w:rFonts w:ascii="Arial" w:cs="Arial" w:hAnsi="Arial"/>
              </w:rPr>
            </w:pPr>
            <w:r>
              <w:rPr>
                <w:rFonts w:ascii="Arial" w:cs="Arial" w:hAnsi="Arial"/>
              </w:rPr>
              <w:t>Keywords</w:t>
            </w:r>
          </w:p>
        </w:tc>
      </w:tr>
      <w:tr>
        <w:tblPrEx/>
        <w:trPr/>
        <w:tc>
          <w:tcPr>
            <w:tcW w:w="0" w:type="auto"/>
            <w:tcBorders/>
            <w:hideMark/>
          </w:tcPr>
          <w:p>
            <w:pPr>
              <w:pStyle w:val="style0"/>
              <w:spacing w:lineRule="auto" w:line="360"/>
              <w:jc w:val="both"/>
              <w:rPr>
                <w:rFonts w:ascii="Arial" w:cs="Arial" w:hAnsi="Arial"/>
              </w:rPr>
            </w:pPr>
            <w:r>
              <w:rPr>
                <w:rFonts w:ascii="Arial" w:cs="Arial" w:hAnsi="Arial"/>
              </w:rPr>
              <w:t>P – Population</w:t>
            </w:r>
          </w:p>
        </w:tc>
        <w:tc>
          <w:tcPr>
            <w:tcW w:w="0" w:type="auto"/>
            <w:tcBorders/>
            <w:hideMark/>
          </w:tcPr>
          <w:p>
            <w:pPr>
              <w:pStyle w:val="style0"/>
              <w:spacing w:lineRule="auto" w:line="360"/>
              <w:jc w:val="both"/>
              <w:rPr>
                <w:rFonts w:ascii="Arial" w:cs="Arial" w:hAnsi="Arial"/>
              </w:rPr>
            </w:pPr>
            <w:r>
              <w:rPr>
                <w:rFonts w:ascii="Arial" w:cs="Arial" w:hAnsi="Arial"/>
              </w:rPr>
              <w:t>Adolescents who are aged 10–19 years in the United Kingdom</w:t>
            </w:r>
          </w:p>
        </w:tc>
        <w:tc>
          <w:tcPr>
            <w:tcW w:w="0" w:type="auto"/>
            <w:tcBorders/>
            <w:hideMark/>
          </w:tcPr>
          <w:p>
            <w:pPr>
              <w:pStyle w:val="style0"/>
              <w:spacing w:lineRule="auto" w:line="360"/>
              <w:jc w:val="both"/>
              <w:rPr>
                <w:rFonts w:ascii="Arial" w:cs="Arial" w:hAnsi="Arial"/>
              </w:rPr>
            </w:pPr>
            <w:r>
              <w:rPr>
                <w:rFonts w:ascii="Arial" w:cs="Arial" w:hAnsi="Arial"/>
              </w:rPr>
              <w:t>“Adolescents”, “teenagers”, “youth”, “UK adolescents”</w:t>
            </w:r>
            <w:r>
              <w:rPr>
                <w:rFonts w:ascii="Arial" w:cs="Arial" w:hAnsi="Arial"/>
              </w:rPr>
              <w:t xml:space="preserve"> (Dahill </w:t>
            </w:r>
            <w:r>
              <w:rPr>
                <w:rFonts w:ascii="Arial" w:cs="Arial" w:hAnsi="Arial"/>
                <w:i/>
              </w:rPr>
              <w:t>et al.,</w:t>
            </w:r>
            <w:r>
              <w:rPr>
                <w:rFonts w:ascii="Arial" w:cs="Arial" w:hAnsi="Arial"/>
              </w:rPr>
              <w:t xml:space="preserve"> 2021)</w:t>
            </w:r>
          </w:p>
        </w:tc>
      </w:tr>
      <w:tr>
        <w:tblPrEx/>
        <w:trPr/>
        <w:tc>
          <w:tcPr>
            <w:tcW w:w="0" w:type="auto"/>
            <w:tcBorders/>
            <w:hideMark/>
          </w:tcPr>
          <w:p>
            <w:pPr>
              <w:pStyle w:val="style0"/>
              <w:spacing w:lineRule="auto" w:line="360"/>
              <w:jc w:val="both"/>
              <w:rPr>
                <w:rFonts w:ascii="Arial" w:cs="Arial" w:hAnsi="Arial"/>
              </w:rPr>
            </w:pPr>
            <w:r>
              <w:rPr>
                <w:rFonts w:ascii="Arial" w:cs="Arial" w:hAnsi="Arial"/>
              </w:rPr>
              <w:t>I – Issue / Exposure</w:t>
            </w:r>
          </w:p>
        </w:tc>
        <w:tc>
          <w:tcPr>
            <w:tcW w:w="0" w:type="auto"/>
            <w:tcBorders/>
            <w:hideMark/>
          </w:tcPr>
          <w:p>
            <w:pPr>
              <w:pStyle w:val="style0"/>
              <w:spacing w:lineRule="auto" w:line="360"/>
              <w:jc w:val="both"/>
              <w:rPr>
                <w:rFonts w:ascii="Arial" w:cs="Arial" w:hAnsi="Arial"/>
              </w:rPr>
            </w:pPr>
            <w:r>
              <w:rPr>
                <w:rFonts w:ascii="Arial" w:cs="Arial" w:hAnsi="Arial"/>
              </w:rPr>
              <w:t>Parental feeding practices and parenting styles prevalent in UK (UK specific studies)</w:t>
            </w:r>
          </w:p>
        </w:tc>
        <w:tc>
          <w:tcPr>
            <w:tcW w:w="0" w:type="auto"/>
            <w:tcBorders/>
            <w:hideMark/>
          </w:tcPr>
          <w:p>
            <w:pPr>
              <w:pStyle w:val="style0"/>
              <w:spacing w:lineRule="auto" w:line="360"/>
              <w:jc w:val="both"/>
              <w:rPr>
                <w:rFonts w:ascii="Arial" w:cs="Arial" w:hAnsi="Arial"/>
              </w:rPr>
            </w:pPr>
            <w:r>
              <w:rPr>
                <w:rFonts w:ascii="Arial" w:cs="Arial" w:hAnsi="Arial"/>
              </w:rPr>
              <w:t>“Parental feeding practices”, “parenting style”, “parental control”, “feeding behaviour”</w:t>
            </w:r>
            <w:r>
              <w:rPr>
                <w:rFonts w:ascii="Arial" w:cs="Arial" w:hAnsi="Arial"/>
              </w:rPr>
              <w:t xml:space="preserve"> (Lozano-Casanova </w:t>
            </w:r>
            <w:r>
              <w:rPr>
                <w:rFonts w:ascii="Arial" w:cs="Arial" w:hAnsi="Arial"/>
                <w:i/>
              </w:rPr>
              <w:t>et al.,</w:t>
            </w:r>
            <w:r>
              <w:rPr>
                <w:rFonts w:ascii="Arial" w:cs="Arial" w:hAnsi="Arial"/>
              </w:rPr>
              <w:t xml:space="preserve"> 2024)</w:t>
            </w:r>
          </w:p>
        </w:tc>
      </w:tr>
      <w:tr>
        <w:tblPrEx/>
        <w:trPr/>
        <w:tc>
          <w:tcPr>
            <w:tcW w:w="0" w:type="auto"/>
            <w:tcBorders/>
            <w:hideMark/>
          </w:tcPr>
          <w:p>
            <w:pPr>
              <w:pStyle w:val="style0"/>
              <w:spacing w:lineRule="auto" w:line="360"/>
              <w:jc w:val="both"/>
              <w:rPr>
                <w:rFonts w:ascii="Arial" w:cs="Arial" w:hAnsi="Arial"/>
              </w:rPr>
            </w:pPr>
            <w:r>
              <w:rPr>
                <w:rFonts w:ascii="Arial" w:cs="Arial" w:hAnsi="Arial"/>
              </w:rPr>
              <w:t>C – Context / Comparison</w:t>
            </w:r>
          </w:p>
        </w:tc>
        <w:tc>
          <w:tcPr>
            <w:tcW w:w="0" w:type="auto"/>
            <w:tcBorders/>
            <w:hideMark/>
          </w:tcPr>
          <w:p>
            <w:pPr>
              <w:pStyle w:val="style0"/>
              <w:spacing w:lineRule="auto" w:line="360"/>
              <w:jc w:val="both"/>
              <w:rPr>
                <w:rFonts w:ascii="Arial" w:cs="Arial" w:hAnsi="Arial"/>
              </w:rPr>
            </w:pPr>
            <w:r>
              <w:rPr>
                <w:rFonts w:ascii="Arial" w:cs="Arial" w:hAnsi="Arial"/>
              </w:rPr>
              <w:t>Different parenting approaches or absence of structured feeding practices (UK specific studies)</w:t>
            </w:r>
          </w:p>
        </w:tc>
        <w:tc>
          <w:tcPr>
            <w:tcW w:w="0" w:type="auto"/>
            <w:tcBorders/>
            <w:hideMark/>
          </w:tcPr>
          <w:p>
            <w:pPr>
              <w:pStyle w:val="style0"/>
              <w:spacing w:lineRule="auto" w:line="360"/>
              <w:jc w:val="both"/>
              <w:rPr>
                <w:rFonts w:ascii="Arial" w:cs="Arial" w:hAnsi="Arial"/>
              </w:rPr>
            </w:pPr>
            <w:r>
              <w:rPr>
                <w:rFonts w:ascii="Arial" w:cs="Arial" w:hAnsi="Arial"/>
              </w:rPr>
              <w:t>“Authoritative parenting”, “authoritarian parenting”, “permissive parenting”, “neglectful parenting”</w:t>
            </w:r>
            <w:r>
              <w:rPr>
                <w:rFonts w:ascii="Arial" w:cs="Arial" w:hAnsi="Arial"/>
              </w:rPr>
              <w:t xml:space="preserve"> (Washington, 2024).</w:t>
            </w:r>
          </w:p>
        </w:tc>
      </w:tr>
      <w:tr>
        <w:tblPrEx/>
        <w:trPr/>
        <w:tc>
          <w:tcPr>
            <w:tcW w:w="0" w:type="auto"/>
            <w:tcBorders/>
            <w:hideMark/>
          </w:tcPr>
          <w:p>
            <w:pPr>
              <w:pStyle w:val="style0"/>
              <w:spacing w:lineRule="auto" w:line="360"/>
              <w:jc w:val="both"/>
              <w:rPr>
                <w:rFonts w:ascii="Arial" w:cs="Arial" w:hAnsi="Arial"/>
              </w:rPr>
            </w:pPr>
            <w:r>
              <w:rPr>
                <w:rFonts w:ascii="Arial" w:cs="Arial" w:hAnsi="Arial"/>
              </w:rPr>
              <w:t>O – Outcome</w:t>
            </w:r>
          </w:p>
        </w:tc>
        <w:tc>
          <w:tcPr>
            <w:tcW w:w="0" w:type="auto"/>
            <w:tcBorders/>
            <w:hideMark/>
          </w:tcPr>
          <w:p>
            <w:pPr>
              <w:pStyle w:val="style0"/>
              <w:spacing w:lineRule="auto" w:line="360"/>
              <w:jc w:val="both"/>
              <w:rPr>
                <w:rFonts w:ascii="Arial" w:cs="Arial" w:hAnsi="Arial"/>
              </w:rPr>
            </w:pPr>
            <w:r>
              <w:rPr>
                <w:rFonts w:ascii="Arial" w:cs="Arial" w:hAnsi="Arial"/>
              </w:rPr>
              <w:t>Disordered eating behaviours and eating disorders</w:t>
            </w:r>
          </w:p>
        </w:tc>
        <w:tc>
          <w:tcPr>
            <w:tcW w:w="0" w:type="auto"/>
            <w:tcBorders/>
            <w:hideMark/>
          </w:tcPr>
          <w:p>
            <w:pPr>
              <w:pStyle w:val="style0"/>
              <w:spacing w:lineRule="auto" w:line="360"/>
              <w:jc w:val="both"/>
              <w:rPr>
                <w:rFonts w:ascii="Arial" w:cs="Arial" w:hAnsi="Arial"/>
              </w:rPr>
            </w:pPr>
            <w:r>
              <w:rPr>
                <w:rFonts w:ascii="Arial" w:cs="Arial" w:hAnsi="Arial"/>
              </w:rPr>
              <w:t>“Eating disorders”, “disordered eating”, “anorexia”, “bulimia”, “emotional eating”</w:t>
            </w:r>
            <w:r>
              <w:rPr>
                <w:rFonts w:ascii="Arial" w:cs="Arial" w:hAnsi="Arial"/>
              </w:rPr>
              <w:t xml:space="preserve"> (Zhou </w:t>
            </w:r>
            <w:r>
              <w:rPr>
                <w:rFonts w:ascii="Arial" w:cs="Arial" w:hAnsi="Arial"/>
                <w:i/>
              </w:rPr>
              <w:t>et al.,</w:t>
            </w:r>
            <w:r>
              <w:rPr>
                <w:rFonts w:ascii="Arial" w:cs="Arial" w:hAnsi="Arial"/>
              </w:rPr>
              <w:t xml:space="preserve"> 2025)</w:t>
            </w:r>
          </w:p>
        </w:tc>
      </w:tr>
    </w:tbl>
    <w:p>
      <w:pPr>
        <w:pStyle w:val="style0"/>
        <w:spacing w:lineRule="auto" w:line="360"/>
        <w:jc w:val="both"/>
        <w:rPr>
          <w:rFonts w:ascii="Arial" w:cs="Arial" w:hAnsi="Arial"/>
        </w:rPr>
      </w:pPr>
    </w:p>
    <w:p>
      <w:pPr>
        <w:pStyle w:val="style0"/>
        <w:spacing w:lineRule="auto" w:line="360"/>
        <w:jc w:val="center"/>
        <w:rPr>
          <w:rFonts w:ascii="Arial" w:cs="Arial" w:hAnsi="Arial"/>
          <w:b/>
        </w:rPr>
      </w:pPr>
      <w:r>
        <w:rPr>
          <w:rFonts w:ascii="Arial" w:cs="Arial" w:hAnsi="Arial"/>
          <w:b/>
        </w:rPr>
        <w:t>Table 1</w:t>
      </w:r>
      <w:r>
        <w:rPr>
          <w:rFonts w:ascii="Arial" w:cs="Arial" w:hAnsi="Arial"/>
          <w:b/>
        </w:rPr>
        <w:t>: PICO framework for the research topic</w:t>
      </w:r>
      <w:r>
        <w:rPr>
          <w:rFonts w:ascii="Arial" w:cs="Arial" w:hAnsi="Arial"/>
          <w:b/>
        </w:rPr>
        <w:t xml:space="preserve"> for constructing the PICO statement which the research will abide by</w:t>
      </w:r>
    </w:p>
    <w:p>
      <w:pPr>
        <w:pStyle w:val="style0"/>
        <w:spacing w:lineRule="auto" w:line="360"/>
        <w:jc w:val="center"/>
        <w:rPr>
          <w:rFonts w:ascii="Arial" w:cs="Arial" w:hAnsi="Arial"/>
        </w:rPr>
      </w:pPr>
      <w:r>
        <w:rPr>
          <w:rFonts w:ascii="Arial" w:cs="Arial" w:hAnsi="Arial"/>
        </w:rPr>
        <w:t>(Source:</w:t>
      </w:r>
      <w:r>
        <w:rPr>
          <w:rFonts w:ascii="Arial" w:cs="Arial" w:hAnsi="Arial"/>
        </w:rPr>
        <w:t xml:space="preserve"> Self-created</w:t>
      </w:r>
      <w:r>
        <w:rPr>
          <w:rFonts w:ascii="Arial" w:cs="Arial" w:hAnsi="Arial"/>
        </w:rPr>
        <w:t>, however, the key words are selected from the sources mentioned within the table)</w:t>
      </w:r>
      <w:r>
        <w:rPr>
          <w:rFonts w:ascii="Arial" w:cs="Arial" w:hAnsi="Arial"/>
        </w:rPr>
        <w:br/>
      </w:r>
      <w:r>
        <w:rPr>
          <w:rFonts w:ascii="Arial" w:cs="Arial" w:hAnsi="Arial"/>
        </w:rPr>
        <w:br/>
      </w:r>
      <w:r>
        <w:rPr>
          <w:rFonts w:ascii="Arial" w:cs="Arial" w:hAnsi="Arial"/>
        </w:rPr>
        <w:t>From the PICO, the research question that this proposal elicits for the main paper is.</w:t>
      </w:r>
    </w:p>
    <w:p>
      <w:pPr>
        <w:pStyle w:val="style0"/>
        <w:spacing w:lineRule="auto" w:line="360"/>
        <w:jc w:val="both"/>
        <w:rPr>
          <w:rFonts w:ascii="Arial" w:cs="Arial" w:hAnsi="Arial"/>
        </w:rPr>
      </w:pPr>
      <w:r>
        <w:rPr>
          <w:rFonts w:ascii="Arial" w:cs="Arial" w:hAnsi="Arial"/>
        </w:rPr>
        <w:t>“</w:t>
      </w:r>
      <w:r>
        <w:rPr>
          <w:rFonts w:ascii="Arial" w:cs="Arial" w:hAnsi="Arial"/>
          <w:b/>
          <w:i/>
        </w:rPr>
        <w:t>What could be the role of parental feeding practices and parenting styles in influencing bouts of disordered eating behaviours among the adolescents who are aged between 10 to 19 years in United Kingdom?”</w:t>
      </w:r>
    </w:p>
    <w:p>
      <w:pPr>
        <w:pStyle w:val="style0"/>
        <w:spacing w:lineRule="auto" w:line="360"/>
        <w:jc w:val="both"/>
        <w:rPr>
          <w:rFonts w:ascii="Arial" w:cs="Arial" w:hAnsi="Arial"/>
        </w:rPr>
      </w:pPr>
      <w:r>
        <w:rPr>
          <w:rFonts w:ascii="Arial" w:cs="Arial" w:hAnsi="Arial"/>
        </w:rPr>
        <w:t>Once, the question is established, the articles are to be selected abiding by a framework which most health research papers abide by. PRISMA is apt for this, as it enabled in having a definite criterion pertaining to article selection, and presentation.</w:t>
      </w:r>
    </w:p>
    <w:bookmarkStart w:id="10" w:name="_Toc224745101"/>
    <w:p>
      <w:pPr>
        <w:pStyle w:val="style2"/>
        <w:jc w:val="both"/>
        <w:rPr/>
      </w:pPr>
      <w:r>
        <w:t xml:space="preserve">5.3: </w:t>
      </w:r>
      <w:r>
        <w:t>Data collection method</w:t>
      </w:r>
      <w:bookmarkEnd w:id="10"/>
    </w:p>
    <w:p>
      <w:pPr>
        <w:pStyle w:val="style0"/>
        <w:spacing w:lineRule="auto" w:line="360"/>
        <w:jc w:val="both"/>
        <w:rPr>
          <w:rFonts w:ascii="Arial" w:cs="Arial" w:hAnsi="Arial"/>
        </w:rPr>
      </w:pPr>
      <w:r>
        <w:rPr>
          <w:rFonts w:ascii="Arial" w:cs="Arial" w:hAnsi="Arial"/>
        </w:rPr>
        <w:t>Data collection commences with the contemplation of exclusion and inclusion criteria, abiding by which Prisma Protocol is followed later:</w:t>
      </w:r>
    </w:p>
    <w:p>
      <w:pPr>
        <w:pStyle w:val="style0"/>
        <w:spacing w:lineRule="auto" w:line="360"/>
        <w:jc w:val="both"/>
        <w:rPr>
          <w:rFonts w:ascii="Arial" w:cs="Arial" w:hAnsi="Arial"/>
        </w:rPr>
      </w:pPr>
      <w:r>
        <w:rPr>
          <w:rFonts w:ascii="Arial" w:cs="Arial" w:hAnsi="Arial"/>
        </w:rPr>
        <w:t xml:space="preserve">The exclusion criteria further </w:t>
      </w:r>
      <w:r>
        <w:rPr>
          <w:rFonts w:ascii="Arial" w:cs="Arial" w:hAnsi="Arial"/>
        </w:rPr>
        <w:t>abide</w:t>
      </w:r>
      <w:r>
        <w:rPr>
          <w:rFonts w:ascii="Arial" w:cs="Arial" w:hAnsi="Arial"/>
        </w:rPr>
        <w:t xml:space="preserve"> by the goal of the paper. Studies which are unrelated to adolescents, articles not written in native English and those with vague, rather insufficient data were essentially excluded.  Succeeding the screening of articles and identification, the usual duplicates were then removed and abstracts were preliminary reviewed for relevance. Once done, the full text articles meet the eligibility criteria were then assessed. Last, data from the studies that have been detected were extracted and synthesized through the application of thematic analysis to identify key themes pertaining to parental feeding practices, the usual parental styles and disordered eating behaviour among the UK adolescents. </w:t>
      </w:r>
    </w:p>
    <w:p>
      <w:pPr>
        <w:pStyle w:val="style0"/>
        <w:spacing w:lineRule="auto" w:line="360"/>
        <w:jc w:val="both"/>
        <w:rPr>
          <w:rFonts w:ascii="Arial" w:cs="Arial" w:hAnsi="Arial"/>
        </w:rPr>
      </w:pPr>
      <w:r>
        <w:rPr>
          <w:rFonts w:ascii="Arial" w:cs="Arial" w:hAnsi="Arial"/>
        </w:rPr>
        <w:t>The inclusion and exclusion criteria is presented in the below given format:</w:t>
      </w:r>
    </w:p>
    <w:tbl>
      <w:tblPr>
        <w:tblStyle w:val="style154"/>
        <w:tblW w:w="0" w:type="auto"/>
        <w:tblLook w:val="04A0" w:firstRow="1" w:lastRow="0" w:firstColumn="1" w:lastColumn="0" w:noHBand="0" w:noVBand="1"/>
      </w:tblPr>
      <w:tblGrid>
        <w:gridCol w:w="1291"/>
        <w:gridCol w:w="5061"/>
        <w:gridCol w:w="2672"/>
      </w:tblGrid>
      <w:tr>
        <w:trPr/>
        <w:tc>
          <w:tcPr>
            <w:tcW w:w="0" w:type="auto"/>
            <w:tcBorders/>
            <w:hideMark/>
          </w:tcPr>
          <w:p>
            <w:pPr>
              <w:pStyle w:val="style0"/>
              <w:spacing w:lineRule="auto" w:line="360"/>
              <w:jc w:val="both"/>
              <w:rPr>
                <w:rFonts w:ascii="Arial" w:cs="Arial" w:hAnsi="Arial"/>
              </w:rPr>
            </w:pPr>
            <w:r>
              <w:rPr>
                <w:rFonts w:ascii="Arial" w:cs="Arial" w:hAnsi="Arial"/>
              </w:rPr>
              <w:t>Criteria</w:t>
            </w:r>
          </w:p>
        </w:tc>
        <w:tc>
          <w:tcPr>
            <w:tcW w:w="0" w:type="auto"/>
            <w:tcBorders/>
            <w:hideMark/>
          </w:tcPr>
          <w:p>
            <w:pPr>
              <w:pStyle w:val="style0"/>
              <w:spacing w:lineRule="auto" w:line="360"/>
              <w:jc w:val="both"/>
              <w:rPr>
                <w:rFonts w:ascii="Arial" w:cs="Arial" w:hAnsi="Arial"/>
              </w:rPr>
            </w:pPr>
            <w:r>
              <w:rPr>
                <w:rFonts w:ascii="Arial" w:cs="Arial" w:hAnsi="Arial"/>
              </w:rPr>
              <w:t>Inclusion</w:t>
            </w:r>
          </w:p>
        </w:tc>
        <w:tc>
          <w:tcPr>
            <w:tcW w:w="0" w:type="auto"/>
            <w:tcBorders/>
            <w:hideMark/>
          </w:tcPr>
          <w:p>
            <w:pPr>
              <w:pStyle w:val="style0"/>
              <w:spacing w:lineRule="auto" w:line="360"/>
              <w:jc w:val="both"/>
              <w:rPr>
                <w:rFonts w:ascii="Arial" w:cs="Arial" w:hAnsi="Arial"/>
              </w:rPr>
            </w:pPr>
            <w:r>
              <w:rPr>
                <w:rFonts w:ascii="Arial" w:cs="Arial" w:hAnsi="Arial"/>
              </w:rPr>
              <w:t>Exclusion</w:t>
            </w:r>
          </w:p>
        </w:tc>
      </w:tr>
      <w:tr>
        <w:tblPrEx/>
        <w:trPr/>
        <w:tc>
          <w:tcPr>
            <w:tcW w:w="0" w:type="auto"/>
            <w:tcBorders/>
            <w:hideMark/>
          </w:tcPr>
          <w:p>
            <w:pPr>
              <w:pStyle w:val="style0"/>
              <w:spacing w:lineRule="auto" w:line="360"/>
              <w:jc w:val="both"/>
              <w:rPr>
                <w:rFonts w:ascii="Arial" w:cs="Arial" w:hAnsi="Arial"/>
              </w:rPr>
            </w:pPr>
            <w:r>
              <w:rPr>
                <w:rFonts w:ascii="Arial" w:cs="Arial" w:hAnsi="Arial"/>
              </w:rPr>
              <w:t>Population</w:t>
            </w:r>
          </w:p>
        </w:tc>
        <w:tc>
          <w:tcPr>
            <w:tcW w:w="0" w:type="auto"/>
            <w:tcBorders/>
            <w:hideMark/>
          </w:tcPr>
          <w:p>
            <w:pPr>
              <w:pStyle w:val="style0"/>
              <w:spacing w:lineRule="auto" w:line="360"/>
              <w:jc w:val="both"/>
              <w:rPr>
                <w:rFonts w:ascii="Arial" w:cs="Arial" w:hAnsi="Arial"/>
              </w:rPr>
            </w:pPr>
            <w:r>
              <w:rPr>
                <w:rFonts w:ascii="Arial" w:cs="Arial" w:hAnsi="Arial"/>
              </w:rPr>
              <w:t>Adolescents aged 10–19 years</w:t>
            </w:r>
          </w:p>
        </w:tc>
        <w:tc>
          <w:tcPr>
            <w:tcW w:w="0" w:type="auto"/>
            <w:tcBorders/>
            <w:hideMark/>
          </w:tcPr>
          <w:p>
            <w:pPr>
              <w:pStyle w:val="style0"/>
              <w:spacing w:lineRule="auto" w:line="360"/>
              <w:jc w:val="both"/>
              <w:rPr>
                <w:rFonts w:ascii="Arial" w:cs="Arial" w:hAnsi="Arial"/>
              </w:rPr>
            </w:pPr>
            <w:r>
              <w:rPr>
                <w:rFonts w:ascii="Arial" w:cs="Arial" w:hAnsi="Arial"/>
              </w:rPr>
              <w:t>Children who are under 10 or adults over 19</w:t>
            </w:r>
          </w:p>
        </w:tc>
      </w:tr>
      <w:tr>
        <w:tblPrEx/>
        <w:trPr/>
        <w:tc>
          <w:tcPr>
            <w:tcW w:w="0" w:type="auto"/>
            <w:tcBorders/>
            <w:hideMark/>
          </w:tcPr>
          <w:p>
            <w:pPr>
              <w:pStyle w:val="style0"/>
              <w:spacing w:lineRule="auto" w:line="360"/>
              <w:jc w:val="both"/>
              <w:rPr>
                <w:rFonts w:ascii="Arial" w:cs="Arial" w:hAnsi="Arial"/>
              </w:rPr>
            </w:pPr>
            <w:r>
              <w:rPr>
                <w:rFonts w:ascii="Arial" w:cs="Arial" w:hAnsi="Arial"/>
              </w:rPr>
              <w:t>Topic focus</w:t>
            </w:r>
          </w:p>
        </w:tc>
        <w:tc>
          <w:tcPr>
            <w:tcW w:w="0" w:type="auto"/>
            <w:tcBorders/>
            <w:hideMark/>
          </w:tcPr>
          <w:p>
            <w:pPr>
              <w:pStyle w:val="style0"/>
              <w:spacing w:lineRule="auto" w:line="360"/>
              <w:jc w:val="both"/>
              <w:rPr>
                <w:rFonts w:ascii="Arial" w:cs="Arial" w:hAnsi="Arial"/>
              </w:rPr>
            </w:pPr>
            <w:r>
              <w:rPr>
                <w:rFonts w:ascii="Arial" w:cs="Arial" w:hAnsi="Arial"/>
              </w:rPr>
              <w:t>Studies on parental feeding practices, parenting styles, and eating disorders</w:t>
            </w:r>
          </w:p>
        </w:tc>
        <w:tc>
          <w:tcPr>
            <w:tcW w:w="0" w:type="auto"/>
            <w:tcBorders/>
            <w:hideMark/>
          </w:tcPr>
          <w:p>
            <w:pPr>
              <w:pStyle w:val="style0"/>
              <w:spacing w:lineRule="auto" w:line="360"/>
              <w:jc w:val="both"/>
              <w:rPr>
                <w:rFonts w:ascii="Arial" w:cs="Arial" w:hAnsi="Arial"/>
              </w:rPr>
            </w:pPr>
            <w:r>
              <w:rPr>
                <w:rFonts w:ascii="Arial" w:cs="Arial" w:hAnsi="Arial"/>
              </w:rPr>
              <w:t>Studies irrelevant to parenting influence on eating behaviour</w:t>
            </w:r>
          </w:p>
        </w:tc>
      </w:tr>
      <w:tr>
        <w:tblPrEx/>
        <w:trPr/>
        <w:tc>
          <w:tcPr>
            <w:tcW w:w="0" w:type="auto"/>
            <w:tcBorders/>
            <w:hideMark/>
          </w:tcPr>
          <w:p>
            <w:pPr>
              <w:pStyle w:val="style0"/>
              <w:spacing w:lineRule="auto" w:line="360"/>
              <w:jc w:val="both"/>
              <w:rPr>
                <w:rFonts w:ascii="Arial" w:cs="Arial" w:hAnsi="Arial"/>
              </w:rPr>
            </w:pPr>
            <w:r>
              <w:rPr>
                <w:rFonts w:ascii="Arial" w:cs="Arial" w:hAnsi="Arial"/>
              </w:rPr>
              <w:t>Location</w:t>
            </w:r>
          </w:p>
        </w:tc>
        <w:tc>
          <w:tcPr>
            <w:tcW w:w="0" w:type="auto"/>
            <w:tcBorders/>
            <w:hideMark/>
          </w:tcPr>
          <w:p>
            <w:pPr>
              <w:pStyle w:val="style0"/>
              <w:spacing w:lineRule="auto" w:line="360"/>
              <w:jc w:val="both"/>
              <w:rPr>
                <w:rFonts w:ascii="Arial" w:cs="Arial" w:hAnsi="Arial"/>
              </w:rPr>
            </w:pPr>
            <w:r>
              <w:rPr>
                <w:rFonts w:ascii="Arial" w:cs="Arial" w:hAnsi="Arial"/>
              </w:rPr>
              <w:t xml:space="preserve">Studies conducted in the UK or relevant to UK adolescents like Trafford </w:t>
            </w:r>
            <w:r>
              <w:rPr>
                <w:rFonts w:ascii="Arial" w:cs="Arial" w:hAnsi="Arial"/>
                <w:i/>
              </w:rPr>
              <w:t>et al.,</w:t>
            </w:r>
            <w:r>
              <w:rPr>
                <w:rFonts w:ascii="Arial" w:cs="Arial" w:hAnsi="Arial"/>
              </w:rPr>
              <w:t xml:space="preserve"> (2023)</w:t>
            </w:r>
          </w:p>
        </w:tc>
        <w:tc>
          <w:tcPr>
            <w:tcW w:w="0" w:type="auto"/>
            <w:tcBorders/>
            <w:hideMark/>
          </w:tcPr>
          <w:p>
            <w:pPr>
              <w:pStyle w:val="style0"/>
              <w:spacing w:lineRule="auto" w:line="360"/>
              <w:jc w:val="both"/>
              <w:rPr>
                <w:rFonts w:ascii="Arial" w:cs="Arial" w:hAnsi="Arial"/>
              </w:rPr>
            </w:pPr>
            <w:r>
              <w:rPr>
                <w:rFonts w:ascii="Arial" w:cs="Arial" w:hAnsi="Arial"/>
              </w:rPr>
              <w:t>Studies stressing only on other countries with no relevance</w:t>
            </w:r>
          </w:p>
        </w:tc>
      </w:tr>
      <w:tr>
        <w:tblPrEx/>
        <w:trPr/>
        <w:tc>
          <w:tcPr>
            <w:tcW w:w="0" w:type="auto"/>
            <w:tcBorders/>
            <w:hideMark/>
          </w:tcPr>
          <w:p>
            <w:pPr>
              <w:pStyle w:val="style0"/>
              <w:spacing w:lineRule="auto" w:line="360"/>
              <w:jc w:val="both"/>
              <w:rPr>
                <w:rFonts w:ascii="Arial" w:cs="Arial" w:hAnsi="Arial"/>
              </w:rPr>
            </w:pPr>
            <w:r>
              <w:rPr>
                <w:rFonts w:ascii="Arial" w:cs="Arial" w:hAnsi="Arial"/>
              </w:rPr>
              <w:t>Study type</w:t>
            </w:r>
          </w:p>
        </w:tc>
        <w:tc>
          <w:tcPr>
            <w:tcW w:w="0" w:type="auto"/>
            <w:tcBorders/>
            <w:hideMark/>
          </w:tcPr>
          <w:p>
            <w:pPr>
              <w:pStyle w:val="style0"/>
              <w:spacing w:lineRule="auto" w:line="360"/>
              <w:jc w:val="both"/>
              <w:rPr>
                <w:rFonts w:ascii="Arial" w:cs="Arial" w:hAnsi="Arial"/>
              </w:rPr>
            </w:pPr>
            <w:r>
              <w:rPr>
                <w:rFonts w:ascii="Arial" w:cs="Arial" w:hAnsi="Arial"/>
              </w:rPr>
              <w:t xml:space="preserve">Peer-reviewed journal articles from Sci-Hub, Scopus, PubMed and other known libraries present like Petkova </w:t>
            </w:r>
            <w:r>
              <w:rPr>
                <w:rFonts w:ascii="Arial" w:cs="Arial" w:hAnsi="Arial"/>
                <w:i/>
              </w:rPr>
              <w:t>et al.,</w:t>
            </w:r>
            <w:r>
              <w:rPr>
                <w:rFonts w:ascii="Arial" w:cs="Arial" w:hAnsi="Arial"/>
              </w:rPr>
              <w:t xml:space="preserve"> (2019), Neale and Hudson (2020), Suarez-Albor </w:t>
            </w:r>
            <w:r>
              <w:rPr>
                <w:rFonts w:ascii="Arial" w:cs="Arial" w:hAnsi="Arial"/>
                <w:i/>
              </w:rPr>
              <w:t>et al.,</w:t>
            </w:r>
            <w:r>
              <w:rPr>
                <w:rFonts w:ascii="Arial" w:cs="Arial" w:hAnsi="Arial"/>
              </w:rPr>
              <w:t xml:space="preserve"> (2022)</w:t>
            </w:r>
          </w:p>
        </w:tc>
        <w:tc>
          <w:tcPr>
            <w:tcW w:w="0" w:type="auto"/>
            <w:tcBorders/>
            <w:hideMark/>
          </w:tcPr>
          <w:p>
            <w:pPr>
              <w:pStyle w:val="style0"/>
              <w:spacing w:lineRule="auto" w:line="360"/>
              <w:jc w:val="both"/>
              <w:rPr>
                <w:rFonts w:ascii="Arial" w:cs="Arial" w:hAnsi="Arial"/>
              </w:rPr>
            </w:pPr>
            <w:r>
              <w:rPr>
                <w:rFonts w:ascii="Arial" w:cs="Arial" w:hAnsi="Arial"/>
              </w:rPr>
              <w:t xml:space="preserve">Editorials, blogs, opinion pieces, as in grey literature </w:t>
            </w:r>
          </w:p>
        </w:tc>
      </w:tr>
      <w:tr>
        <w:tblPrEx/>
        <w:trPr/>
        <w:tc>
          <w:tcPr>
            <w:tcW w:w="0" w:type="auto"/>
            <w:tcBorders/>
            <w:hideMark/>
          </w:tcPr>
          <w:p>
            <w:pPr>
              <w:pStyle w:val="style0"/>
              <w:spacing w:lineRule="auto" w:line="360"/>
              <w:jc w:val="both"/>
              <w:rPr>
                <w:rFonts w:ascii="Arial" w:cs="Arial" w:hAnsi="Arial"/>
              </w:rPr>
            </w:pPr>
            <w:r>
              <w:rPr>
                <w:rFonts w:ascii="Arial" w:cs="Arial" w:hAnsi="Arial"/>
              </w:rPr>
              <w:t>Language</w:t>
            </w:r>
          </w:p>
        </w:tc>
        <w:tc>
          <w:tcPr>
            <w:tcW w:w="0" w:type="auto"/>
            <w:tcBorders/>
            <w:hideMark/>
          </w:tcPr>
          <w:p>
            <w:pPr>
              <w:pStyle w:val="style0"/>
              <w:spacing w:lineRule="auto" w:line="360"/>
              <w:jc w:val="both"/>
              <w:rPr>
                <w:rFonts w:ascii="Arial" w:cs="Arial" w:hAnsi="Arial"/>
              </w:rPr>
            </w:pPr>
            <w:r>
              <w:rPr>
                <w:rFonts w:ascii="Arial" w:cs="Arial" w:hAnsi="Arial"/>
              </w:rPr>
              <w:t>English language</w:t>
            </w:r>
          </w:p>
        </w:tc>
        <w:tc>
          <w:tcPr>
            <w:tcW w:w="0" w:type="auto"/>
            <w:tcBorders/>
            <w:hideMark/>
          </w:tcPr>
          <w:p>
            <w:pPr>
              <w:pStyle w:val="style0"/>
              <w:spacing w:lineRule="auto" w:line="360"/>
              <w:jc w:val="both"/>
              <w:rPr>
                <w:rFonts w:ascii="Arial" w:cs="Arial" w:hAnsi="Arial"/>
              </w:rPr>
            </w:pPr>
            <w:r>
              <w:rPr>
                <w:rFonts w:ascii="Arial" w:cs="Arial" w:hAnsi="Arial"/>
              </w:rPr>
              <w:t>Non-English publications</w:t>
            </w:r>
          </w:p>
        </w:tc>
      </w:tr>
      <w:tr>
        <w:tblPrEx/>
        <w:trPr/>
        <w:tc>
          <w:tcPr>
            <w:tcW w:w="0" w:type="auto"/>
            <w:tcBorders/>
            <w:hideMark/>
          </w:tcPr>
          <w:p>
            <w:pPr>
              <w:pStyle w:val="style0"/>
              <w:spacing w:lineRule="auto" w:line="360"/>
              <w:jc w:val="both"/>
              <w:rPr>
                <w:rFonts w:ascii="Arial" w:cs="Arial" w:hAnsi="Arial"/>
              </w:rPr>
            </w:pPr>
            <w:r>
              <w:rPr>
                <w:rFonts w:ascii="Arial" w:cs="Arial" w:hAnsi="Arial"/>
              </w:rPr>
              <w:t>Time frame</w:t>
            </w:r>
          </w:p>
        </w:tc>
        <w:tc>
          <w:tcPr>
            <w:tcW w:w="0" w:type="auto"/>
            <w:tcBorders/>
            <w:hideMark/>
          </w:tcPr>
          <w:p>
            <w:pPr>
              <w:pStyle w:val="style0"/>
              <w:spacing w:lineRule="auto" w:line="360"/>
              <w:jc w:val="both"/>
              <w:rPr>
                <w:rFonts w:ascii="Arial" w:cs="Arial" w:hAnsi="Arial"/>
              </w:rPr>
            </w:pPr>
            <w:r>
              <w:rPr>
                <w:rFonts w:ascii="Arial" w:cs="Arial" w:hAnsi="Arial"/>
              </w:rPr>
              <w:t>Studies published between 2017–2024</w:t>
            </w:r>
          </w:p>
        </w:tc>
        <w:tc>
          <w:tcPr>
            <w:tcW w:w="0" w:type="auto"/>
            <w:tcBorders/>
            <w:hideMark/>
          </w:tcPr>
          <w:p>
            <w:pPr>
              <w:pStyle w:val="style0"/>
              <w:spacing w:lineRule="auto" w:line="360"/>
              <w:jc w:val="both"/>
              <w:rPr>
                <w:rFonts w:ascii="Arial" w:cs="Arial" w:hAnsi="Arial"/>
              </w:rPr>
            </w:pPr>
            <w:r>
              <w:rPr>
                <w:rFonts w:ascii="Arial" w:cs="Arial" w:hAnsi="Arial"/>
              </w:rPr>
              <w:t>Studies published before 2017</w:t>
            </w:r>
          </w:p>
        </w:tc>
      </w:tr>
      <w:tr>
        <w:tblPrEx/>
        <w:trPr/>
        <w:tc>
          <w:tcPr>
            <w:tcW w:w="0" w:type="auto"/>
            <w:tcBorders/>
            <w:hideMark/>
          </w:tcPr>
          <w:p>
            <w:pPr>
              <w:pStyle w:val="style0"/>
              <w:spacing w:lineRule="auto" w:line="360"/>
              <w:jc w:val="both"/>
              <w:rPr>
                <w:rFonts w:ascii="Arial" w:cs="Arial" w:hAnsi="Arial"/>
              </w:rPr>
            </w:pPr>
            <w:r>
              <w:rPr>
                <w:rFonts w:ascii="Arial" w:cs="Arial" w:hAnsi="Arial"/>
              </w:rPr>
              <w:t>Data quality</w:t>
            </w:r>
          </w:p>
        </w:tc>
        <w:tc>
          <w:tcPr>
            <w:tcW w:w="0" w:type="auto"/>
            <w:tcBorders/>
            <w:hideMark/>
          </w:tcPr>
          <w:p>
            <w:pPr>
              <w:pStyle w:val="style0"/>
              <w:spacing w:lineRule="auto" w:line="360"/>
              <w:jc w:val="both"/>
              <w:rPr>
                <w:rFonts w:ascii="Arial" w:cs="Arial" w:hAnsi="Arial"/>
              </w:rPr>
            </w:pPr>
            <w:r>
              <w:rPr>
                <w:rFonts w:ascii="Arial" w:cs="Arial" w:hAnsi="Arial"/>
              </w:rPr>
              <w:t>Studies with clear methodology and sufficient data</w:t>
            </w:r>
          </w:p>
        </w:tc>
        <w:tc>
          <w:tcPr>
            <w:tcW w:w="0" w:type="auto"/>
            <w:tcBorders/>
            <w:hideMark/>
          </w:tcPr>
          <w:p>
            <w:pPr>
              <w:pStyle w:val="style0"/>
              <w:spacing w:lineRule="auto" w:line="360"/>
              <w:jc w:val="both"/>
              <w:rPr>
                <w:rFonts w:ascii="Arial" w:cs="Arial" w:hAnsi="Arial"/>
              </w:rPr>
            </w:pPr>
            <w:r>
              <w:rPr>
                <w:rFonts w:ascii="Arial" w:cs="Arial" w:hAnsi="Arial"/>
              </w:rPr>
              <w:t>Studies that are ill-equipped with insufficient data or unclear methods</w:t>
            </w:r>
          </w:p>
        </w:tc>
      </w:tr>
    </w:tbl>
    <w:p>
      <w:pPr>
        <w:pStyle w:val="style0"/>
        <w:spacing w:lineRule="auto" w:line="360"/>
        <w:jc w:val="both"/>
        <w:rPr>
          <w:rFonts w:ascii="Arial" w:cs="Arial" w:hAnsi="Arial"/>
        </w:rPr>
      </w:pPr>
    </w:p>
    <w:p>
      <w:pPr>
        <w:pStyle w:val="style0"/>
        <w:spacing w:lineRule="auto" w:line="360"/>
        <w:jc w:val="center"/>
        <w:rPr>
          <w:rFonts w:ascii="Arial" w:cs="Arial" w:hAnsi="Arial"/>
          <w:b/>
        </w:rPr>
      </w:pPr>
      <w:r>
        <w:rPr>
          <w:rFonts w:ascii="Arial" w:cs="Arial" w:hAnsi="Arial"/>
          <w:b/>
        </w:rPr>
        <w:t>Table 2: Exclusion and Inclusion criteria</w:t>
      </w:r>
    </w:p>
    <w:p>
      <w:pPr>
        <w:pStyle w:val="style0"/>
        <w:spacing w:lineRule="auto" w:line="360"/>
        <w:jc w:val="center"/>
        <w:rPr>
          <w:rFonts w:ascii="Arial" w:cs="Arial" w:hAnsi="Arial"/>
        </w:rPr>
      </w:pPr>
      <w:r>
        <w:rPr>
          <w:rFonts w:ascii="Arial" w:cs="Arial" w:hAnsi="Arial"/>
        </w:rPr>
        <w:t>(Source: Influenced from Gartlehner et al., 2022)</w:t>
      </w:r>
    </w:p>
    <w:p>
      <w:pPr>
        <w:pStyle w:val="style0"/>
        <w:spacing w:lineRule="auto" w:line="360"/>
        <w:jc w:val="both"/>
        <w:rPr>
          <w:rFonts w:ascii="Arial" w:cs="Arial" w:hAnsi="Arial"/>
        </w:rPr>
      </w:pPr>
    </w:p>
    <w:p>
      <w:pPr>
        <w:pStyle w:val="style0"/>
        <w:spacing w:lineRule="auto" w:line="360"/>
        <w:jc w:val="center"/>
        <w:rPr>
          <w:rFonts w:ascii="Arial" w:cs="Arial" w:hAnsi="Arial"/>
        </w:rPr>
      </w:pPr>
      <w:r>
        <w:rPr>
          <w:rFonts w:ascii="Arial" w:cs="Arial" w:hAnsi="Arial"/>
          <w:noProof/>
          <w:lang w:eastAsia="en-IN"/>
        </w:rPr>
        <w:drawing>
          <wp:inline distL="0" distT="0" distB="0" distR="0">
            <wp:extent cx="5731510" cy="4497070"/>
            <wp:effectExtent l="76200" t="76200" r="135890" b="132080"/>
            <wp:docPr id="1032"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2"/>
                    <pic:cNvPicPr/>
                  </pic:nvPicPr>
                  <pic:blipFill>
                    <a:blip r:embed="rId8" cstate="print"/>
                    <a:srcRect l="0" t="0" r="0" b="0"/>
                    <a:stretch/>
                  </pic:blipFill>
                  <pic:spPr>
                    <a:xfrm rot="0">
                      <a:off x="0" y="0"/>
                      <a:ext cx="5731510" cy="4497070"/>
                    </a:xfrm>
                    <a:prstGeom prst="rect"/>
                    <a:ln cmpd="sng" cap="sq" w="38100">
                      <a:solidFill>
                        <a:srgbClr val="000000"/>
                      </a:solidFill>
                      <a:prstDash val="solid"/>
                      <a:miter/>
                      <a:headEnd/>
                      <a:tailEnd/>
                    </a:ln>
                    <a:effectLst>
                      <a:outerShdw rotWithShape="false" sx="100000" sy="100000" dist="38100" dir="2700000" blurRad="50800" kx="0" ky="0" algn="tl">
                        <a:srgbClr val="000000">
                          <a:alpha val="43000"/>
                        </a:srgbClr>
                      </a:outerShdw>
                    </a:effectLst>
                  </pic:spPr>
                </pic:pic>
              </a:graphicData>
            </a:graphic>
          </wp:inline>
        </w:drawing>
      </w:r>
    </w:p>
    <w:p>
      <w:pPr>
        <w:pStyle w:val="style0"/>
        <w:spacing w:lineRule="auto" w:line="360"/>
        <w:jc w:val="center"/>
        <w:rPr>
          <w:rFonts w:ascii="Arial" w:cs="Arial" w:hAnsi="Arial"/>
          <w:b/>
        </w:rPr>
      </w:pPr>
      <w:r>
        <w:rPr>
          <w:rFonts w:ascii="Arial" w:cs="Arial" w:hAnsi="Arial"/>
          <w:b/>
        </w:rPr>
        <w:t>Figure 6: Prisma Framework for selection of articles</w:t>
      </w:r>
    </w:p>
    <w:p>
      <w:pPr>
        <w:pStyle w:val="style0"/>
        <w:spacing w:lineRule="auto" w:line="360"/>
        <w:jc w:val="center"/>
        <w:rPr>
          <w:rFonts w:ascii="Arial" w:cs="Arial" w:hAnsi="Arial"/>
        </w:rPr>
      </w:pPr>
      <w:r>
        <w:rPr>
          <w:rFonts w:ascii="Arial" w:cs="Arial" w:hAnsi="Arial"/>
        </w:rPr>
        <w:t>(Source: Sarkis-Onofre et al., 2021)</w:t>
      </w:r>
    </w:p>
    <w:bookmarkStart w:id="11" w:name="_Toc224745102"/>
    <w:p>
      <w:pPr>
        <w:pStyle w:val="style2"/>
        <w:jc w:val="both"/>
        <w:rPr/>
      </w:pPr>
      <w:r>
        <w:t xml:space="preserve">5.4: </w:t>
      </w:r>
      <w:r>
        <w:t>Data extraction and analysis</w:t>
      </w:r>
      <w:bookmarkEnd w:id="11"/>
      <w:r>
        <w:t xml:space="preserve"> </w:t>
      </w:r>
    </w:p>
    <w:p>
      <w:pPr>
        <w:pStyle w:val="style0"/>
        <w:spacing w:lineRule="auto" w:line="360"/>
        <w:jc w:val="both"/>
        <w:rPr>
          <w:rFonts w:ascii="Arial" w:cs="Arial" w:hAnsi="Arial"/>
        </w:rPr>
      </w:pPr>
      <w:r>
        <w:rPr>
          <w:rFonts w:ascii="Arial" w:cs="Arial" w:hAnsi="Arial"/>
        </w:rPr>
        <w:t>The study here abides by the PRI</w:t>
      </w:r>
      <w:r>
        <w:rPr>
          <w:rFonts w:ascii="Arial" w:cs="Arial" w:hAnsi="Arial"/>
        </w:rPr>
        <w:t>S</w:t>
      </w:r>
      <w:r>
        <w:rPr>
          <w:rFonts w:ascii="Arial" w:cs="Arial" w:hAnsi="Arial"/>
        </w:rPr>
        <w:t>MA protocol, as witnessed above to ensure a structured and transparent literature review process</w:t>
      </w:r>
      <w:r>
        <w:rPr>
          <w:rFonts w:ascii="Arial" w:cs="Arial" w:hAnsi="Arial"/>
        </w:rPr>
        <w:t xml:space="preserve"> (Mishra and Mishra, 2023)</w:t>
      </w:r>
      <w:r>
        <w:rPr>
          <w:rFonts w:ascii="Arial" w:cs="Arial" w:hAnsi="Arial"/>
        </w:rPr>
        <w:t>. To begin with relevant studies were initially identified from electronic databases, which includes PubMed, Scopus and Google Scholar. The usual search items were then developed using PICO framework and it included keywords like “adolescents”, “parental feeding practices”, “parenting styles”, “United Kingdom” and “Eating disorders”</w:t>
      </w:r>
      <w:r>
        <w:rPr>
          <w:rFonts w:ascii="Arial" w:cs="Arial" w:hAnsi="Arial"/>
        </w:rPr>
        <w:t xml:space="preserve"> (Kloda </w:t>
      </w:r>
      <w:r>
        <w:rPr>
          <w:rFonts w:ascii="Arial" w:cs="Arial" w:hAnsi="Arial"/>
          <w:i/>
        </w:rPr>
        <w:t>et al.,</w:t>
      </w:r>
      <w:r>
        <w:rPr>
          <w:rFonts w:ascii="Arial" w:cs="Arial" w:hAnsi="Arial"/>
        </w:rPr>
        <w:t xml:space="preserve"> 2020)</w:t>
      </w:r>
      <w:r>
        <w:rPr>
          <w:rFonts w:ascii="Arial" w:cs="Arial" w:hAnsi="Arial"/>
        </w:rPr>
        <w:t xml:space="preserve">. The proposal here presents a narrow focus, as articles which were published between the year 2017 and 2024 were considered for capturing recent evidence.  The Inclusion criteria for the peer reviewed studied stresses on adolescents who are aged 10-19, the usual parental influence on the respective </w:t>
      </w:r>
      <w:r>
        <w:rPr>
          <w:rFonts w:ascii="Arial" w:cs="Arial" w:hAnsi="Arial"/>
        </w:rPr>
        <w:t xml:space="preserve">eating pattern and the research which had been conducted from UK or other relevant context. </w:t>
      </w:r>
      <w:r>
        <w:rPr>
          <w:rFonts w:ascii="Arial" w:cs="Arial" w:hAnsi="Arial"/>
        </w:rPr>
        <w:t xml:space="preserve"> The manner in which the theme construction is proposed is presented below:</w:t>
      </w:r>
    </w:p>
    <w:tbl>
      <w:tblPr>
        <w:tblStyle w:val="style154"/>
        <w:tblW w:w="0" w:type="auto"/>
        <w:tblLook w:val="04A0" w:firstRow="1" w:lastRow="0" w:firstColumn="1" w:lastColumn="0" w:noHBand="0" w:noVBand="1"/>
      </w:tblPr>
      <w:tblGrid>
        <w:gridCol w:w="658"/>
        <w:gridCol w:w="2299"/>
        <w:gridCol w:w="6068"/>
      </w:tblGrid>
      <w:tr>
        <w:trPr/>
        <w:tc>
          <w:tcPr>
            <w:tcW w:w="0" w:type="auto"/>
            <w:tcBorders/>
            <w:hideMark/>
          </w:tcPr>
          <w:p>
            <w:pPr>
              <w:pStyle w:val="style0"/>
              <w:spacing w:lineRule="auto" w:line="360"/>
              <w:jc w:val="both"/>
              <w:rPr>
                <w:rFonts w:ascii="Arial" w:cs="Arial" w:hAnsi="Arial"/>
              </w:rPr>
            </w:pPr>
            <w:r>
              <w:rPr>
                <w:rFonts w:ascii="Arial" w:cs="Arial" w:hAnsi="Arial"/>
              </w:rPr>
              <w:t>Step</w:t>
            </w:r>
          </w:p>
        </w:tc>
        <w:tc>
          <w:tcPr>
            <w:tcW w:w="0" w:type="auto"/>
            <w:tcBorders/>
            <w:hideMark/>
          </w:tcPr>
          <w:p>
            <w:pPr>
              <w:pStyle w:val="style0"/>
              <w:spacing w:lineRule="auto" w:line="360"/>
              <w:jc w:val="both"/>
              <w:rPr>
                <w:rFonts w:ascii="Arial" w:cs="Arial" w:hAnsi="Arial"/>
              </w:rPr>
            </w:pPr>
            <w:r>
              <w:rPr>
                <w:rFonts w:ascii="Arial" w:cs="Arial" w:hAnsi="Arial"/>
              </w:rPr>
              <w:t>Process</w:t>
            </w:r>
          </w:p>
        </w:tc>
        <w:tc>
          <w:tcPr>
            <w:tcW w:w="0" w:type="auto"/>
            <w:tcBorders/>
            <w:hideMark/>
          </w:tcPr>
          <w:p>
            <w:pPr>
              <w:pStyle w:val="style0"/>
              <w:spacing w:lineRule="auto" w:line="360"/>
              <w:jc w:val="both"/>
              <w:rPr>
                <w:rFonts w:ascii="Arial" w:cs="Arial" w:hAnsi="Arial"/>
              </w:rPr>
            </w:pPr>
            <w:r>
              <w:rPr>
                <w:rFonts w:ascii="Arial" w:cs="Arial" w:hAnsi="Arial"/>
              </w:rPr>
              <w:t>Example in This Study</w:t>
            </w:r>
          </w:p>
        </w:tc>
      </w:tr>
      <w:tr>
        <w:tblPrEx/>
        <w:trPr/>
        <w:tc>
          <w:tcPr>
            <w:tcW w:w="0" w:type="auto"/>
            <w:tcBorders/>
            <w:hideMark/>
          </w:tcPr>
          <w:p>
            <w:pPr>
              <w:pStyle w:val="style0"/>
              <w:spacing w:lineRule="auto" w:line="360"/>
              <w:jc w:val="both"/>
              <w:rPr>
                <w:rFonts w:ascii="Arial" w:cs="Arial" w:hAnsi="Arial"/>
              </w:rPr>
            </w:pPr>
            <w:r>
              <w:rPr>
                <w:rFonts w:ascii="Arial" w:cs="Arial" w:hAnsi="Arial"/>
              </w:rPr>
              <w:t>1</w:t>
            </w:r>
          </w:p>
        </w:tc>
        <w:tc>
          <w:tcPr>
            <w:tcW w:w="0" w:type="auto"/>
            <w:tcBorders/>
            <w:hideMark/>
          </w:tcPr>
          <w:p>
            <w:pPr>
              <w:pStyle w:val="style0"/>
              <w:spacing w:lineRule="auto" w:line="360"/>
              <w:jc w:val="both"/>
              <w:rPr>
                <w:rFonts w:ascii="Arial" w:cs="Arial" w:hAnsi="Arial"/>
              </w:rPr>
            </w:pPr>
            <w:r>
              <w:rPr>
                <w:rFonts w:ascii="Arial" w:cs="Arial" w:hAnsi="Arial"/>
              </w:rPr>
              <w:t>Reading and familiarisation with selected studies</w:t>
            </w:r>
          </w:p>
        </w:tc>
        <w:tc>
          <w:tcPr>
            <w:tcW w:w="0" w:type="auto"/>
            <w:tcBorders/>
            <w:hideMark/>
          </w:tcPr>
          <w:p>
            <w:pPr>
              <w:pStyle w:val="style0"/>
              <w:spacing w:lineRule="auto" w:line="360"/>
              <w:jc w:val="both"/>
              <w:rPr>
                <w:rFonts w:ascii="Arial" w:cs="Arial" w:hAnsi="Arial"/>
              </w:rPr>
            </w:pPr>
            <w:r>
              <w:rPr>
                <w:rFonts w:ascii="Arial" w:cs="Arial" w:hAnsi="Arial"/>
              </w:rPr>
              <w:t>Reviewing findings related to parenting and eating behaviour</w:t>
            </w:r>
          </w:p>
        </w:tc>
      </w:tr>
      <w:tr>
        <w:tblPrEx/>
        <w:trPr/>
        <w:tc>
          <w:tcPr>
            <w:tcW w:w="0" w:type="auto"/>
            <w:tcBorders/>
            <w:hideMark/>
          </w:tcPr>
          <w:p>
            <w:pPr>
              <w:pStyle w:val="style0"/>
              <w:spacing w:lineRule="auto" w:line="360"/>
              <w:jc w:val="both"/>
              <w:rPr>
                <w:rFonts w:ascii="Arial" w:cs="Arial" w:hAnsi="Arial"/>
              </w:rPr>
            </w:pPr>
            <w:r>
              <w:rPr>
                <w:rFonts w:ascii="Arial" w:cs="Arial" w:hAnsi="Arial"/>
              </w:rPr>
              <w:t>2</w:t>
            </w:r>
          </w:p>
        </w:tc>
        <w:tc>
          <w:tcPr>
            <w:tcW w:w="0" w:type="auto"/>
            <w:tcBorders/>
            <w:hideMark/>
          </w:tcPr>
          <w:p>
            <w:pPr>
              <w:pStyle w:val="style0"/>
              <w:spacing w:lineRule="auto" w:line="360"/>
              <w:jc w:val="both"/>
              <w:rPr>
                <w:rFonts w:ascii="Arial" w:cs="Arial" w:hAnsi="Arial"/>
              </w:rPr>
            </w:pPr>
            <w:r>
              <w:rPr>
                <w:rFonts w:ascii="Arial" w:cs="Arial" w:hAnsi="Arial"/>
              </w:rPr>
              <w:t>Initial coding</w:t>
            </w:r>
          </w:p>
        </w:tc>
        <w:tc>
          <w:tcPr>
            <w:tcW w:w="0" w:type="auto"/>
            <w:tcBorders/>
            <w:hideMark/>
          </w:tcPr>
          <w:p>
            <w:pPr>
              <w:pStyle w:val="style0"/>
              <w:spacing w:lineRule="auto" w:line="360"/>
              <w:jc w:val="both"/>
              <w:rPr>
                <w:rFonts w:ascii="Arial" w:cs="Arial" w:hAnsi="Arial"/>
              </w:rPr>
            </w:pPr>
            <w:r>
              <w:rPr>
                <w:rFonts w:ascii="Arial" w:cs="Arial" w:hAnsi="Arial"/>
              </w:rPr>
              <w:t xml:space="preserve">Codes such as “parental control”, “food restriction”, “pressure to eat”, “UK adolescents” </w:t>
            </w:r>
          </w:p>
        </w:tc>
      </w:tr>
      <w:tr>
        <w:tblPrEx/>
        <w:trPr/>
        <w:tc>
          <w:tcPr>
            <w:tcW w:w="0" w:type="auto"/>
            <w:tcBorders/>
            <w:hideMark/>
          </w:tcPr>
          <w:p>
            <w:pPr>
              <w:pStyle w:val="style0"/>
              <w:spacing w:lineRule="auto" w:line="360"/>
              <w:jc w:val="both"/>
              <w:rPr>
                <w:rFonts w:ascii="Arial" w:cs="Arial" w:hAnsi="Arial"/>
              </w:rPr>
            </w:pPr>
            <w:r>
              <w:rPr>
                <w:rFonts w:ascii="Arial" w:cs="Arial" w:hAnsi="Arial"/>
              </w:rPr>
              <w:t>3</w:t>
            </w:r>
          </w:p>
        </w:tc>
        <w:tc>
          <w:tcPr>
            <w:tcW w:w="0" w:type="auto"/>
            <w:tcBorders/>
            <w:hideMark/>
          </w:tcPr>
          <w:p>
            <w:pPr>
              <w:pStyle w:val="style0"/>
              <w:spacing w:lineRule="auto" w:line="360"/>
              <w:jc w:val="both"/>
              <w:rPr>
                <w:rFonts w:ascii="Arial" w:cs="Arial" w:hAnsi="Arial"/>
              </w:rPr>
            </w:pPr>
            <w:r>
              <w:rPr>
                <w:rFonts w:ascii="Arial" w:cs="Arial" w:hAnsi="Arial"/>
              </w:rPr>
              <w:t>Grouping similar codes</w:t>
            </w:r>
          </w:p>
        </w:tc>
        <w:tc>
          <w:tcPr>
            <w:tcW w:w="0" w:type="auto"/>
            <w:tcBorders/>
            <w:hideMark/>
          </w:tcPr>
          <w:p>
            <w:pPr>
              <w:pStyle w:val="style0"/>
              <w:spacing w:lineRule="auto" w:line="360"/>
              <w:jc w:val="both"/>
              <w:rPr>
                <w:rFonts w:ascii="Arial" w:cs="Arial" w:hAnsi="Arial"/>
              </w:rPr>
            </w:pPr>
            <w:r>
              <w:rPr>
                <w:rFonts w:ascii="Arial" w:cs="Arial" w:hAnsi="Arial"/>
              </w:rPr>
              <w:t xml:space="preserve">Combining related codes into broader categories and forming phrases in form of themes </w:t>
            </w:r>
          </w:p>
        </w:tc>
      </w:tr>
      <w:tr>
        <w:tblPrEx/>
        <w:trPr/>
        <w:tc>
          <w:tcPr>
            <w:tcW w:w="0" w:type="auto"/>
            <w:tcBorders/>
            <w:hideMark/>
          </w:tcPr>
          <w:p>
            <w:pPr>
              <w:pStyle w:val="style0"/>
              <w:spacing w:lineRule="auto" w:line="360"/>
              <w:jc w:val="both"/>
              <w:rPr>
                <w:rFonts w:ascii="Arial" w:cs="Arial" w:hAnsi="Arial"/>
              </w:rPr>
            </w:pPr>
            <w:r>
              <w:rPr>
                <w:rFonts w:ascii="Arial" w:cs="Arial" w:hAnsi="Arial"/>
              </w:rPr>
              <w:t>4</w:t>
            </w:r>
          </w:p>
        </w:tc>
        <w:tc>
          <w:tcPr>
            <w:tcW w:w="0" w:type="auto"/>
            <w:tcBorders/>
            <w:hideMark/>
          </w:tcPr>
          <w:p>
            <w:pPr>
              <w:pStyle w:val="style0"/>
              <w:spacing w:lineRule="auto" w:line="360"/>
              <w:jc w:val="both"/>
              <w:rPr>
                <w:rFonts w:ascii="Arial" w:cs="Arial" w:hAnsi="Arial"/>
              </w:rPr>
            </w:pPr>
            <w:r>
              <w:rPr>
                <w:rFonts w:ascii="Arial" w:cs="Arial" w:hAnsi="Arial"/>
              </w:rPr>
              <w:t>Theme development</w:t>
            </w:r>
          </w:p>
        </w:tc>
        <w:tc>
          <w:tcPr>
            <w:tcW w:w="0" w:type="auto"/>
            <w:tcBorders/>
            <w:hideMark/>
          </w:tcPr>
          <w:p>
            <w:pPr>
              <w:pStyle w:val="style0"/>
              <w:spacing w:lineRule="auto" w:line="360"/>
              <w:jc w:val="both"/>
              <w:rPr>
                <w:rFonts w:ascii="Arial" w:cs="Arial" w:hAnsi="Arial"/>
              </w:rPr>
            </w:pPr>
            <w:r>
              <w:rPr>
                <w:rFonts w:ascii="Arial" w:cs="Arial" w:hAnsi="Arial"/>
              </w:rPr>
              <w:t>Themes such as parental control over food in UK, authoritarian parenting, emotional eating behaviour (note that the proposal identifies the gap being dearth in studies in UK, so themes are to be developed keeping the region of UK in mind)</w:t>
            </w:r>
          </w:p>
        </w:tc>
      </w:tr>
      <w:tr>
        <w:tblPrEx/>
        <w:trPr/>
        <w:tc>
          <w:tcPr>
            <w:tcW w:w="0" w:type="auto"/>
            <w:tcBorders/>
            <w:hideMark/>
          </w:tcPr>
          <w:p>
            <w:pPr>
              <w:pStyle w:val="style0"/>
              <w:spacing w:lineRule="auto" w:line="360"/>
              <w:jc w:val="both"/>
              <w:rPr>
                <w:rFonts w:ascii="Arial" w:cs="Arial" w:hAnsi="Arial"/>
              </w:rPr>
            </w:pPr>
            <w:r>
              <w:rPr>
                <w:rFonts w:ascii="Arial" w:cs="Arial" w:hAnsi="Arial"/>
              </w:rPr>
              <w:t>5</w:t>
            </w:r>
          </w:p>
        </w:tc>
        <w:tc>
          <w:tcPr>
            <w:tcW w:w="0" w:type="auto"/>
            <w:tcBorders/>
            <w:hideMark/>
          </w:tcPr>
          <w:p>
            <w:pPr>
              <w:pStyle w:val="style0"/>
              <w:spacing w:lineRule="auto" w:line="360"/>
              <w:jc w:val="both"/>
              <w:rPr>
                <w:rFonts w:ascii="Arial" w:cs="Arial" w:hAnsi="Arial"/>
              </w:rPr>
            </w:pPr>
            <w:r>
              <w:rPr>
                <w:rFonts w:ascii="Arial" w:cs="Arial" w:hAnsi="Arial"/>
              </w:rPr>
              <w:t>Review and refinement</w:t>
            </w:r>
            <w:r>
              <w:rPr>
                <w:rFonts w:ascii="Arial" w:cs="Arial" w:hAnsi="Arial"/>
              </w:rPr>
              <w:t xml:space="preserve"> for analysis </w:t>
            </w:r>
          </w:p>
        </w:tc>
        <w:tc>
          <w:tcPr>
            <w:tcW w:w="0" w:type="auto"/>
            <w:tcBorders/>
            <w:hideMark/>
          </w:tcPr>
          <w:p>
            <w:pPr>
              <w:pStyle w:val="style0"/>
              <w:spacing w:lineRule="auto" w:line="360"/>
              <w:jc w:val="both"/>
              <w:rPr>
                <w:rFonts w:ascii="Arial" w:cs="Arial" w:hAnsi="Arial"/>
              </w:rPr>
            </w:pPr>
            <w:r>
              <w:rPr>
                <w:rFonts w:ascii="Arial" w:cs="Arial" w:hAnsi="Arial"/>
              </w:rPr>
              <w:t xml:space="preserve">Checking themes across studies to ensure relevance and meeting the objective simultaneously </w:t>
            </w:r>
            <w:r>
              <w:rPr>
                <w:rFonts w:ascii="Arial" w:cs="Arial" w:hAnsi="Arial"/>
              </w:rPr>
              <w:t xml:space="preserve">(Influenced from Gupta </w:t>
            </w:r>
            <w:r>
              <w:rPr>
                <w:rFonts w:ascii="Arial" w:cs="Arial" w:hAnsi="Arial"/>
                <w:i/>
              </w:rPr>
              <w:t>et al.,</w:t>
            </w:r>
            <w:r>
              <w:rPr>
                <w:rFonts w:ascii="Arial" w:cs="Arial" w:hAnsi="Arial"/>
              </w:rPr>
              <w:t xml:space="preserve"> (2024)</w:t>
            </w:r>
          </w:p>
        </w:tc>
      </w:tr>
    </w:tbl>
    <w:p>
      <w:pPr>
        <w:pStyle w:val="style0"/>
        <w:spacing w:lineRule="auto" w:line="360"/>
        <w:jc w:val="both"/>
        <w:rPr>
          <w:rFonts w:ascii="Arial" w:cs="Arial" w:hAnsi="Arial"/>
        </w:rPr>
      </w:pPr>
    </w:p>
    <w:p>
      <w:pPr>
        <w:pStyle w:val="style0"/>
        <w:spacing w:lineRule="auto" w:line="360"/>
        <w:jc w:val="center"/>
        <w:rPr>
          <w:rFonts w:ascii="Arial" w:cs="Arial" w:hAnsi="Arial"/>
          <w:b/>
        </w:rPr>
      </w:pPr>
      <w:r>
        <w:rPr>
          <w:rFonts w:ascii="Arial" w:cs="Arial" w:hAnsi="Arial"/>
          <w:b/>
        </w:rPr>
        <w:t>Table</w:t>
      </w:r>
      <w:r>
        <w:rPr>
          <w:rFonts w:ascii="Arial" w:cs="Arial" w:hAnsi="Arial"/>
          <w:b/>
        </w:rPr>
        <w:t xml:space="preserve"> 3</w:t>
      </w:r>
      <w:r>
        <w:rPr>
          <w:rFonts w:ascii="Arial" w:cs="Arial" w:hAnsi="Arial"/>
          <w:b/>
        </w:rPr>
        <w:t>: Theme construction strategy using key words</w:t>
      </w:r>
    </w:p>
    <w:p>
      <w:pPr>
        <w:pStyle w:val="style0"/>
        <w:spacing w:lineRule="auto" w:line="360"/>
        <w:jc w:val="center"/>
        <w:rPr>
          <w:rFonts w:ascii="Arial" w:cs="Arial" w:hAnsi="Arial"/>
        </w:rPr>
      </w:pPr>
      <w:r>
        <w:rPr>
          <w:rFonts w:ascii="Arial" w:cs="Arial" w:hAnsi="Arial"/>
        </w:rPr>
        <w:t xml:space="preserve">(Source: Influenced from Gupta </w:t>
      </w:r>
      <w:r>
        <w:rPr>
          <w:rFonts w:ascii="Arial" w:cs="Arial" w:hAnsi="Arial"/>
          <w:i/>
        </w:rPr>
        <w:t>et al.,</w:t>
      </w:r>
      <w:r>
        <w:rPr>
          <w:rFonts w:ascii="Arial" w:cs="Arial" w:hAnsi="Arial"/>
        </w:rPr>
        <w:t xml:space="preserve"> 2024)</w:t>
      </w:r>
    </w:p>
    <w:bookmarkStart w:id="12" w:name="_Toc224745103"/>
    <w:p>
      <w:pPr>
        <w:pStyle w:val="style1"/>
        <w:jc w:val="both"/>
        <w:rPr>
          <w:lang w:val="en-GB"/>
        </w:rPr>
      </w:pPr>
      <w:r>
        <w:rPr>
          <w:lang w:val="en-GB"/>
        </w:rPr>
        <w:t xml:space="preserve">6: </w:t>
      </w:r>
      <w:r>
        <w:rPr>
          <w:lang w:val="en-GB"/>
        </w:rPr>
        <w:t>Ethical consideration</w:t>
      </w:r>
      <w:bookmarkEnd w:id="12"/>
    </w:p>
    <w:p>
      <w:pPr>
        <w:pStyle w:val="style0"/>
        <w:spacing w:lineRule="auto" w:line="360"/>
        <w:jc w:val="both"/>
        <w:rPr>
          <w:rFonts w:ascii="Arial" w:cs="Arial" w:hAnsi="Arial"/>
        </w:rPr>
      </w:pPr>
      <w:r>
        <w:rPr>
          <w:rFonts w:ascii="Arial" w:cs="Arial" w:hAnsi="Arial"/>
        </w:rPr>
        <w:t>Ethical considerations are extremely vital for conducting SLR. Therefore, this study employs published peer reviewed articles, where there is no direct contact with the participants who are involved and no personal data is collected, owing to the fact that the paper is strictly secondary</w:t>
      </w:r>
      <w:r>
        <w:rPr>
          <w:rFonts w:ascii="Arial" w:cs="Arial" w:hAnsi="Arial"/>
        </w:rPr>
        <w:t xml:space="preserve"> (Bruno and Haar, 2020)</w:t>
      </w:r>
      <w:r>
        <w:rPr>
          <w:rFonts w:ascii="Arial" w:cs="Arial" w:hAnsi="Arial"/>
        </w:rPr>
        <w:t>.  All the sources are to be properly cited and referenced for avoiding any nuances of plagiarism and ensuring superior academic integrity</w:t>
      </w:r>
      <w:r>
        <w:rPr>
          <w:rFonts w:ascii="Arial" w:cs="Arial" w:hAnsi="Arial"/>
        </w:rPr>
        <w:t xml:space="preserve"> (Shahza </w:t>
      </w:r>
      <w:r>
        <w:rPr>
          <w:rFonts w:ascii="Arial" w:cs="Arial" w:hAnsi="Arial"/>
          <w:i/>
        </w:rPr>
        <w:t>et al.,</w:t>
      </w:r>
      <w:r>
        <w:rPr>
          <w:rFonts w:ascii="Arial" w:cs="Arial" w:hAnsi="Arial"/>
        </w:rPr>
        <w:t xml:space="preserve"> 2025)</w:t>
      </w:r>
      <w:r>
        <w:rPr>
          <w:rFonts w:ascii="Arial" w:cs="Arial" w:hAnsi="Arial"/>
        </w:rPr>
        <w:t xml:space="preserve">. The process of the review thereby, abides by a transparent and extremely unbiased selection of the studies, abiding by the norms of PRISMA guidelines. The proposal here emphasises on reliable and credible data bases such as Scopus, PubMed, and Google Scholar, which had been used to ensure quality evidence. The findings in the main paper are to be presented with utmost honesty and accuracy, without any form of misinterpretation and </w:t>
      </w:r>
      <w:r>
        <w:rPr>
          <w:rFonts w:ascii="Arial" w:cs="Arial" w:hAnsi="Arial"/>
        </w:rPr>
        <w:t>manipulation with regards to the data base</w:t>
      </w:r>
      <w:r>
        <w:rPr>
          <w:rFonts w:ascii="Arial" w:cs="Arial" w:hAnsi="Arial"/>
        </w:rPr>
        <w:t xml:space="preserve"> (Azarian </w:t>
      </w:r>
      <w:r>
        <w:rPr>
          <w:rFonts w:ascii="Arial" w:cs="Arial" w:hAnsi="Arial"/>
          <w:i/>
        </w:rPr>
        <w:t>et al.,</w:t>
      </w:r>
      <w:r>
        <w:rPr>
          <w:rFonts w:ascii="Arial" w:cs="Arial" w:hAnsi="Arial"/>
        </w:rPr>
        <w:t xml:space="preserve"> 2023)</w:t>
      </w:r>
      <w:r>
        <w:rPr>
          <w:rFonts w:ascii="Arial" w:cs="Arial" w:hAnsi="Arial"/>
        </w:rPr>
        <w:t xml:space="preserve">. This thereby, assures that the result would reflect the evidences that are available in the literature. </w:t>
      </w:r>
    </w:p>
    <w:bookmarkStart w:id="13" w:name="_Toc224745104"/>
    <w:p>
      <w:pPr>
        <w:pStyle w:val="style1"/>
        <w:jc w:val="both"/>
        <w:rPr>
          <w:lang w:val="en-GB"/>
        </w:rPr>
      </w:pPr>
      <w:r>
        <w:rPr>
          <w:lang w:val="en-GB"/>
        </w:rPr>
        <w:t xml:space="preserve">7: </w:t>
      </w:r>
      <w:r>
        <w:rPr>
          <w:lang w:val="en-GB"/>
        </w:rPr>
        <w:t>Implication of research</w:t>
      </w:r>
      <w:bookmarkEnd w:id="13"/>
    </w:p>
    <w:p>
      <w:pPr>
        <w:pStyle w:val="style0"/>
        <w:spacing w:lineRule="auto" w:line="360"/>
        <w:jc w:val="both"/>
        <w:rPr>
          <w:rFonts w:ascii="Arial" w:cs="Arial" w:hAnsi="Arial"/>
        </w:rPr>
      </w:pPr>
      <w:r>
        <w:rPr>
          <w:rFonts w:ascii="Arial" w:cs="Arial" w:hAnsi="Arial"/>
        </w:rPr>
        <w:t>The implication of the paper is quite vital in terms of practicality. The paper’s findings would enable improving the understanding of how parental feeding practices and parenting styles influence the eating behaviour amongst UK adolescents. The study here strives to support healthcare professionals for identifying and discerning early risk factors, which are associated with eating disorders. Moreover, such may further enable parents becoming superiorly aware of the manner in which their behaviours and attitudes could impact their children’s eating habits.</w:t>
      </w:r>
    </w:p>
    <w:p>
      <w:pPr>
        <w:pStyle w:val="style0"/>
        <w:spacing w:lineRule="auto" w:line="360"/>
        <w:jc w:val="both"/>
        <w:rPr>
          <w:rFonts w:ascii="Arial" w:cs="Arial" w:hAnsi="Arial"/>
        </w:rPr>
      </w:pPr>
      <w:r>
        <w:rPr>
          <w:rFonts w:ascii="Arial" w:cs="Arial" w:hAnsi="Arial"/>
        </w:rPr>
        <w:t xml:space="preserve">Moreover, the paper could inform public health strategies and </w:t>
      </w:r>
      <w:r>
        <w:rPr>
          <w:rFonts w:ascii="Arial" w:cs="Arial" w:hAnsi="Arial"/>
        </w:rPr>
        <w:t>school-based</w:t>
      </w:r>
      <w:r>
        <w:rPr>
          <w:rFonts w:ascii="Arial" w:cs="Arial" w:hAnsi="Arial"/>
        </w:rPr>
        <w:t xml:space="preserve"> interventions which are aimed at preventing the malady of disordered eating within UK’s population of young people. Having discussed this, the paper here highlights the importance of the family environment and how family environment, in form of parental mannerisms develop practical guidance and support programs </w:t>
      </w:r>
      <w:r>
        <w:rPr>
          <w:rFonts w:ascii="Arial" w:cs="Arial" w:hAnsi="Arial"/>
        </w:rPr>
        <w:t>for</w:t>
      </w:r>
      <w:r>
        <w:rPr>
          <w:rFonts w:ascii="Arial" w:cs="Arial" w:hAnsi="Arial"/>
        </w:rPr>
        <w:t xml:space="preserve"> adolescents and parents in United Kingdom. </w:t>
      </w:r>
    </w:p>
    <w:bookmarkStart w:id="14" w:name="_Toc224745105"/>
    <w:p>
      <w:pPr>
        <w:pStyle w:val="style1"/>
        <w:jc w:val="both"/>
        <w:rPr>
          <w:lang w:val="en-GB"/>
        </w:rPr>
      </w:pPr>
      <w:r>
        <w:rPr>
          <w:lang w:val="en-GB"/>
        </w:rPr>
        <w:t xml:space="preserve">8: </w:t>
      </w:r>
      <w:r>
        <w:rPr>
          <w:lang w:val="en-GB"/>
        </w:rPr>
        <w:t>Plan of work and time schedule</w:t>
      </w:r>
      <w:bookmarkEnd w:id="14"/>
      <w:r>
        <w:rPr>
          <w:lang w:val="en-GB"/>
        </w:rPr>
        <w:t xml:space="preserve"> </w:t>
      </w:r>
    </w:p>
    <w:p>
      <w:pPr>
        <w:pStyle w:val="style0"/>
        <w:spacing w:lineRule="auto" w:line="360"/>
        <w:jc w:val="both"/>
        <w:rPr>
          <w:rFonts w:ascii="Arial" w:cs="Arial" w:hAnsi="Arial"/>
        </w:rPr>
      </w:pPr>
      <w:r>
        <w:rPr>
          <w:rFonts w:ascii="Arial" w:cs="Arial" w:hAnsi="Arial"/>
        </w:rPr>
        <w:t xml:space="preserve">The schedule is presented abiding the Gantt chart trajectory, where the pursuits are divided in form of weeks, and the entire research endeavor spans across 12 weeks, including proof reading segment. </w:t>
      </w:r>
    </w:p>
    <w:tbl>
      <w:tblPr>
        <w:tblW w:w="0" w:type="dxa"/>
        <w:tblCellMar>
          <w:left w:w="0" w:type="dxa"/>
          <w:right w:w="0" w:type="dxa"/>
        </w:tblCellMar>
        <w:tblLook w:val="04A0" w:firstRow="1" w:lastRow="0" w:firstColumn="1" w:lastColumn="0" w:noHBand="0" w:noVBand="1"/>
      </w:tblPr>
      <w:tblGrid>
        <w:gridCol w:w="1798"/>
        <w:gridCol w:w="602"/>
        <w:gridCol w:w="602"/>
        <w:gridCol w:w="602"/>
        <w:gridCol w:w="602"/>
        <w:gridCol w:w="602"/>
        <w:gridCol w:w="602"/>
        <w:gridCol w:w="602"/>
        <w:gridCol w:w="602"/>
        <w:gridCol w:w="602"/>
        <w:gridCol w:w="602"/>
        <w:gridCol w:w="602"/>
        <w:gridCol w:w="602"/>
      </w:tblGrid>
      <w:tr>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Activity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Week 12</w:t>
            </w: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Finalise research topic and objectives</w:t>
            </w:r>
            <w:r>
              <w:rPr>
                <w:rFonts w:ascii="Arial" w:cs="Arial" w:eastAsia="Times New Roman" w:hAnsi="Arial"/>
                <w:lang w:eastAsia="en-IN"/>
              </w:rPr>
              <w:t xml:space="preserve">, which in this case has been done in proposal </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Develop proposal and confirm methodology</w:t>
            </w:r>
            <w:r>
              <w:rPr>
                <w:rFonts w:ascii="Arial" w:cs="Arial" w:eastAsia="Times New Roman" w:hAnsi="Arial"/>
                <w:lang w:eastAsia="en-IN"/>
              </w:rPr>
              <w:t xml:space="preserve"> </w:t>
            </w:r>
            <w:r>
              <w:rPr>
                <w:rFonts w:ascii="Arial" w:cs="Arial" w:eastAsia="Times New Roman" w:hAnsi="Arial"/>
                <w:lang w:eastAsia="en-IN"/>
              </w:rPr>
              <w:t>(this includes the proposal development phase till 11</w:t>
            </w:r>
            <w:r>
              <w:rPr>
                <w:rFonts w:ascii="Arial" w:cs="Arial" w:eastAsia="Times New Roman" w:hAnsi="Arial"/>
                <w:vertAlign w:val="superscript"/>
                <w:lang w:eastAsia="en-IN"/>
              </w:rPr>
              <w:t>th</w:t>
            </w:r>
            <w:r>
              <w:rPr>
                <w:rFonts w:ascii="Arial" w:cs="Arial" w:eastAsia="Times New Roman" w:hAnsi="Arial"/>
                <w:lang w:eastAsia="en-IN"/>
              </w:rPr>
              <w:t xml:space="preserve"> week, prior commencing the actual research)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ff99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Develop search strategy and keywords</w:t>
            </w:r>
            <w:r>
              <w:rPr>
                <w:rFonts w:ascii="Arial" w:cs="Arial" w:eastAsia="Times New Roman" w:hAnsi="Arial"/>
                <w:lang w:eastAsia="en-IN"/>
              </w:rPr>
              <w:t xml:space="preserve"> (once the proposal is approved this pursuit commences).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ff99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Literature search in databases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Screen titles and abstracts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00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00ff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Apply inclusion/exclusion criteria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00ff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4a86e8"/>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Full-text article review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4a86e8"/>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3d85c6"/>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Data extraction from selected studies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3d85c6"/>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ff00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Thematic analysis and theme development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ff00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b4a7d6"/>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Write findings and literature analysis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b4a7d6"/>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9900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Write discussion and implications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9900ff"/>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r>
      <w:tr>
        <w:tblPrEx/>
        <w:trPr>
          <w:trHeight w:val="315" w:hRule="atLeast"/>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Editing, proofreading and submission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pPr>
              <w:pStyle w:val="style0"/>
              <w:spacing w:after="0" w:lineRule="auto" w:line="360"/>
              <w:jc w:val="both"/>
              <w:rPr>
                <w:rFonts w:ascii="Arial" w:cs="Arial" w:eastAsia="Times New Roman" w:hAnsi="Arial"/>
                <w:lang w:eastAsia="en-IN"/>
              </w:rPr>
            </w:pPr>
            <w:r>
              <w:rPr>
                <w:rFonts w:ascii="Arial" w:cs="Arial" w:eastAsia="Times New Roman" w:hAnsi="Arial"/>
                <w:lang w:eastAsia="en-IN"/>
              </w:rPr>
              <w:t>X</w:t>
            </w:r>
          </w:p>
        </w:tc>
      </w:tr>
    </w:tbl>
    <w:p>
      <w:pPr>
        <w:pStyle w:val="style0"/>
        <w:spacing w:lineRule="auto" w:line="360"/>
        <w:jc w:val="both"/>
        <w:rPr>
          <w:rFonts w:ascii="Arial" w:cs="Arial" w:hAnsi="Arial"/>
        </w:rPr>
      </w:pPr>
    </w:p>
    <w:p>
      <w:pPr>
        <w:pStyle w:val="style0"/>
        <w:spacing w:lineRule="auto" w:line="360"/>
        <w:jc w:val="center"/>
        <w:rPr>
          <w:rFonts w:ascii="Arial" w:cs="Arial" w:hAnsi="Arial"/>
          <w:b/>
        </w:rPr>
      </w:pPr>
      <w:r>
        <w:rPr>
          <w:rFonts w:ascii="Arial" w:cs="Arial" w:hAnsi="Arial"/>
          <w:b/>
        </w:rPr>
        <w:t>Table 4: Work schedule and Plan, Gant chart</w:t>
      </w:r>
    </w:p>
    <w:p>
      <w:pPr>
        <w:pStyle w:val="style0"/>
        <w:spacing w:lineRule="auto" w:line="360"/>
        <w:jc w:val="center"/>
        <w:rPr>
          <w:rFonts w:ascii="Arial" w:cs="Arial" w:hAnsi="Arial"/>
        </w:rPr>
      </w:pPr>
      <w:r>
        <w:rPr>
          <w:rFonts w:ascii="Arial" w:cs="Arial" w:hAnsi="Arial"/>
        </w:rPr>
        <w:t>(</w:t>
      </w:r>
      <w:r>
        <w:rPr>
          <w:rFonts w:ascii="Arial" w:cs="Arial" w:hAnsi="Arial"/>
        </w:rPr>
        <w:t xml:space="preserve">Source: </w:t>
      </w:r>
      <w:r>
        <w:rPr>
          <w:rFonts w:ascii="Arial" w:cs="Arial" w:hAnsi="Arial"/>
        </w:rPr>
        <w:t>Self-created)</w:t>
      </w:r>
    </w:p>
    <w:p>
      <w:pPr>
        <w:pStyle w:val="style0"/>
        <w:spacing w:lineRule="auto" w:line="360"/>
        <w:jc w:val="center"/>
        <w:rPr>
          <w:rFonts w:ascii="Arial" w:cs="Arial" w:hAnsi="Arial"/>
        </w:rPr>
      </w:pPr>
    </w:p>
    <w:p>
      <w:pPr>
        <w:pStyle w:val="style0"/>
        <w:spacing w:lineRule="auto" w:line="360"/>
        <w:jc w:val="center"/>
        <w:rPr>
          <w:rFonts w:ascii="Arial" w:cs="Arial" w:hAnsi="Arial"/>
        </w:rPr>
      </w:pPr>
      <w:r>
        <w:rPr>
          <w:rFonts w:ascii="Arial" w:cs="Arial" w:hAnsi="Arial"/>
        </w:rPr>
        <w:br w:type="page"/>
      </w:r>
    </w:p>
    <w:bookmarkStart w:id="15" w:name="_Toc224745106"/>
    <w:p>
      <w:pPr>
        <w:pStyle w:val="style1"/>
        <w:jc w:val="both"/>
        <w:rPr>
          <w:lang w:val="en-GB"/>
        </w:rPr>
      </w:pPr>
      <w:r>
        <w:rPr>
          <w:lang w:val="en-GB"/>
        </w:rPr>
        <w:t>References</w:t>
      </w:r>
      <w:bookmarkEnd w:id="15"/>
    </w:p>
    <w:p>
      <w:pPr>
        <w:pStyle w:val="style94"/>
        <w:spacing w:lineRule="auto" w:line="360"/>
        <w:jc w:val="both"/>
        <w:rPr>
          <w:rFonts w:ascii="Arial" w:cs="Arial" w:hAnsi="Arial"/>
          <w:sz w:val="22"/>
          <w:szCs w:val="22"/>
        </w:rPr>
      </w:pPr>
      <w:r>
        <w:rPr>
          <w:rFonts w:ascii="Arial" w:cs="Arial" w:hAnsi="Arial"/>
          <w:sz w:val="22"/>
          <w:szCs w:val="22"/>
          <w:shd w:val="clear" w:color="auto" w:fill="ffffff"/>
        </w:rPr>
        <w:t>A van Riel, A. and Snyder, H., (2024). Enhancing the impact of literature reviews: guidelines for making meaningful contributions. </w:t>
      </w:r>
      <w:r>
        <w:rPr>
          <w:rFonts w:ascii="Arial" w:cs="Arial" w:hAnsi="Arial"/>
          <w:i/>
          <w:iCs/>
          <w:sz w:val="22"/>
          <w:szCs w:val="22"/>
          <w:shd w:val="clear" w:color="auto" w:fill="ffffff"/>
        </w:rPr>
        <w:t>Spanish Journal of Marketing-ESIC</w:t>
      </w:r>
      <w:r>
        <w:rPr>
          <w:rFonts w:ascii="Arial" w:cs="Arial" w:hAnsi="Arial"/>
          <w:sz w:val="22"/>
          <w:szCs w:val="22"/>
          <w:shd w:val="clear" w:color="auto" w:fill="ffffff"/>
        </w:rPr>
        <w:t>, </w:t>
      </w:r>
      <w:r>
        <w:rPr>
          <w:rFonts w:ascii="Arial" w:cs="Arial" w:hAnsi="Arial"/>
          <w:i/>
          <w:iCs/>
          <w:sz w:val="22"/>
          <w:szCs w:val="22"/>
          <w:shd w:val="clear" w:color="auto" w:fill="ffffff"/>
        </w:rPr>
        <w:t>28</w:t>
      </w:r>
      <w:r>
        <w:rPr>
          <w:rFonts w:ascii="Arial" w:cs="Arial" w:hAnsi="Arial"/>
          <w:sz w:val="22"/>
          <w:szCs w:val="22"/>
          <w:shd w:val="clear" w:color="auto" w:fill="ffffff"/>
        </w:rPr>
        <w:t>(3), pp.250-265.</w:t>
      </w:r>
      <w:r>
        <w:rPr>
          <w:rFonts w:ascii="Arial" w:cs="Arial" w:hAnsi="Arial"/>
          <w:sz w:val="22"/>
          <w:szCs w:val="22"/>
        </w:rPr>
        <w:t xml:space="preserve"> </w:t>
      </w:r>
      <w:r>
        <w:rPr/>
        <w:fldChar w:fldCharType="begin"/>
      </w:r>
      <w:r>
        <w:instrText xml:space="preserve"> HYPERLINK "https://www.emerald.com/sjme/article-pdf/28/3/250/9568963/sjme-05-2024-0125.pdf" </w:instrText>
      </w:r>
      <w:r>
        <w:rPr/>
        <w:fldChar w:fldCharType="separate"/>
      </w:r>
      <w:r>
        <w:rPr>
          <w:rStyle w:val="style85"/>
          <w:rFonts w:ascii="Arial" w:cs="Arial" w:hAnsi="Arial"/>
          <w:color w:val="auto"/>
          <w:sz w:val="22"/>
          <w:szCs w:val="22"/>
          <w:shd w:val="clear" w:color="auto" w:fill="ffffff"/>
        </w:rPr>
        <w:t>https://www.emerald.com/sjme/article-pdf/28/3/250/9568963/sjme-05-2024-0125.pdf</w:t>
      </w:r>
      <w:r>
        <w:rPr/>
        <w:fldChar w:fldCharType="end"/>
      </w:r>
      <w:r>
        <w:rPr>
          <w:rFonts w:ascii="Arial" w:cs="Arial" w:hAnsi="Arial"/>
          <w:sz w:val="22"/>
          <w:szCs w:val="22"/>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Azarian, M., Yu, H., Shiferaw, A.T. and Stevik, T.K., (2023). Do we perform systematic literature review right? A scientific mapping and methodological assessment. </w:t>
      </w:r>
      <w:r>
        <w:rPr>
          <w:rFonts w:ascii="Arial" w:cs="Arial" w:hAnsi="Arial"/>
          <w:i/>
          <w:iCs/>
          <w:shd w:val="clear" w:color="auto" w:fill="ffffff"/>
        </w:rPr>
        <w:t>Logistics</w:t>
      </w:r>
      <w:r>
        <w:rPr>
          <w:rFonts w:ascii="Arial" w:cs="Arial" w:hAnsi="Arial"/>
          <w:shd w:val="clear" w:color="auto" w:fill="ffffff"/>
        </w:rPr>
        <w:t>, </w:t>
      </w:r>
      <w:r>
        <w:rPr>
          <w:rFonts w:ascii="Arial" w:cs="Arial" w:hAnsi="Arial"/>
          <w:i/>
          <w:iCs/>
          <w:shd w:val="clear" w:color="auto" w:fill="ffffff"/>
        </w:rPr>
        <w:t>7</w:t>
      </w:r>
      <w:r>
        <w:rPr>
          <w:rFonts w:ascii="Arial" w:cs="Arial" w:hAnsi="Arial"/>
          <w:shd w:val="clear" w:color="auto" w:fill="ffffff"/>
        </w:rPr>
        <w:t>(4), p.89.</w:t>
      </w:r>
      <w:r>
        <w:rPr>
          <w:rFonts w:ascii="Arial" w:cs="Arial" w:hAnsi="Arial"/>
        </w:rPr>
        <w:t xml:space="preserve"> </w:t>
      </w:r>
      <w:r>
        <w:rPr/>
        <w:fldChar w:fldCharType="begin"/>
      </w:r>
      <w:r>
        <w:instrText xml:space="preserve"> HYPERLINK "https://www.mdpi.com/2305-6290/7/4/89" </w:instrText>
      </w:r>
      <w:r>
        <w:rPr/>
        <w:fldChar w:fldCharType="separate"/>
      </w:r>
      <w:r>
        <w:rPr>
          <w:rStyle w:val="style85"/>
          <w:rFonts w:ascii="Arial" w:cs="Arial" w:hAnsi="Arial"/>
          <w:color w:val="auto"/>
          <w:shd w:val="clear" w:color="auto" w:fill="ffffff"/>
        </w:rPr>
        <w:t>https://www.mdpi.com/2305-6290/7/4/89</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Bruno, W. and Haar, R.J., (2020). A systematic literature review of the ethics of conducting research in the humanitarian setting. </w:t>
      </w:r>
      <w:r>
        <w:rPr>
          <w:rFonts w:ascii="Arial" w:cs="Arial" w:hAnsi="Arial"/>
          <w:i/>
          <w:iCs/>
          <w:shd w:val="clear" w:color="auto" w:fill="ffffff"/>
        </w:rPr>
        <w:t>Conflict and health</w:t>
      </w:r>
      <w:r>
        <w:rPr>
          <w:rFonts w:ascii="Arial" w:cs="Arial" w:hAnsi="Arial"/>
          <w:shd w:val="clear" w:color="auto" w:fill="ffffff"/>
        </w:rPr>
        <w:t>, </w:t>
      </w:r>
      <w:r>
        <w:rPr>
          <w:rFonts w:ascii="Arial" w:cs="Arial" w:hAnsi="Arial"/>
          <w:i/>
          <w:iCs/>
          <w:shd w:val="clear" w:color="auto" w:fill="ffffff"/>
        </w:rPr>
        <w:t>14</w:t>
      </w:r>
      <w:r>
        <w:rPr>
          <w:rFonts w:ascii="Arial" w:cs="Arial" w:hAnsi="Arial"/>
          <w:shd w:val="clear" w:color="auto" w:fill="ffffff"/>
        </w:rPr>
        <w:t>(1), p.27.</w:t>
      </w:r>
      <w:r>
        <w:rPr>
          <w:rFonts w:ascii="Arial" w:cs="Arial" w:hAnsi="Arial"/>
        </w:rPr>
        <w:t xml:space="preserve"> </w:t>
      </w:r>
      <w:r>
        <w:rPr/>
        <w:fldChar w:fldCharType="begin"/>
      </w:r>
      <w:r>
        <w:instrText xml:space="preserve"> HYPERLINK "https://link.springer.com/content/pdf/10.1186/s13031-020-00282-0.pdf" </w:instrText>
      </w:r>
      <w:r>
        <w:rPr/>
        <w:fldChar w:fldCharType="separate"/>
      </w:r>
      <w:r>
        <w:rPr>
          <w:rStyle w:val="style85"/>
          <w:rFonts w:ascii="Arial" w:cs="Arial" w:hAnsi="Arial"/>
          <w:color w:val="auto"/>
          <w:shd w:val="clear" w:color="auto" w:fill="ffffff"/>
        </w:rPr>
        <w:t>https://link.springer.com/content/pdf/10.1186/s13031-020-00282-0.pdf</w:t>
      </w:r>
      <w:r>
        <w:rPr/>
        <w:fldChar w:fldCharType="end"/>
      </w:r>
      <w:r>
        <w:rPr>
          <w:rFonts w:ascii="Arial" w:cs="Arial" w:hAnsi="Arial"/>
          <w:shd w:val="clear" w:color="auto" w:fill="ffffff"/>
        </w:rPr>
        <w:t xml:space="preserve"> </w:t>
      </w:r>
    </w:p>
    <w:p>
      <w:pPr>
        <w:pStyle w:val="style94"/>
        <w:spacing w:lineRule="auto" w:line="360"/>
        <w:jc w:val="both"/>
        <w:rPr>
          <w:rFonts w:ascii="Arial" w:cs="Arial" w:hAnsi="Arial"/>
          <w:sz w:val="22"/>
          <w:szCs w:val="22"/>
        </w:rPr>
      </w:pPr>
      <w:r>
        <w:rPr>
          <w:rFonts w:ascii="Arial" w:cs="Arial" w:hAnsi="Arial"/>
          <w:sz w:val="22"/>
          <w:szCs w:val="22"/>
        </w:rPr>
        <w:t xml:space="preserve">Children’s Commissioner for England. (2023, August 1). </w:t>
      </w:r>
      <w:r>
        <w:rPr>
          <w:rStyle w:val="style88"/>
          <w:rFonts w:ascii="Arial" w:cs="Arial" w:hAnsi="Arial"/>
          <w:sz w:val="22"/>
          <w:szCs w:val="22"/>
        </w:rPr>
        <w:t>Young people with eating disorders in England on the rise</w:t>
      </w:r>
      <w:r>
        <w:rPr>
          <w:rFonts w:ascii="Arial" w:cs="Arial" w:hAnsi="Arial"/>
          <w:sz w:val="22"/>
          <w:szCs w:val="22"/>
        </w:rPr>
        <w:t xml:space="preserve">. </w:t>
      </w:r>
      <w:r>
        <w:rPr/>
        <w:fldChar w:fldCharType="begin"/>
      </w:r>
      <w:r>
        <w:instrText xml:space="preserve"> HYPERLINK "https://www.childrenscommissioner.gov.uk/blog/young-people-with-eating-disorders-in-england-on-the-rise/?utm_source" </w:instrText>
      </w:r>
      <w:r>
        <w:rPr/>
        <w:fldChar w:fldCharType="separate"/>
      </w:r>
      <w:r>
        <w:rPr>
          <w:rStyle w:val="style85"/>
          <w:rFonts w:ascii="Arial" w:cs="Arial" w:hAnsi="Arial"/>
          <w:color w:val="auto"/>
          <w:sz w:val="22"/>
          <w:szCs w:val="22"/>
        </w:rPr>
        <w:t>https://www.childrenscommissioner.gov.uk/blog/young-people-with-eating-disorders-in-england-on-the-rise/?utm_source</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Costa, A. and Oliveira, A., (2023), January. Parental feeding practices and children’s eating behaviours: an overview of their complex relationship. In </w:t>
      </w:r>
      <w:r>
        <w:rPr>
          <w:rFonts w:ascii="Arial" w:cs="Arial" w:hAnsi="Arial"/>
          <w:i/>
          <w:iCs/>
          <w:shd w:val="clear" w:color="auto" w:fill="ffffff"/>
        </w:rPr>
        <w:t>Healthcare</w:t>
      </w:r>
      <w:r>
        <w:rPr>
          <w:rFonts w:ascii="Arial" w:cs="Arial" w:hAnsi="Arial"/>
          <w:shd w:val="clear" w:color="auto" w:fill="ffffff"/>
        </w:rPr>
        <w:t> (Vol. 11, No. 3, p. 400). MDPI.</w:t>
      </w:r>
      <w:r>
        <w:rPr>
          <w:rFonts w:ascii="Arial" w:cs="Arial" w:hAnsi="Arial"/>
        </w:rPr>
        <w:t xml:space="preserve"> </w:t>
      </w:r>
      <w:r>
        <w:rPr/>
        <w:fldChar w:fldCharType="begin"/>
      </w:r>
      <w:r>
        <w:instrText xml:space="preserve"> HYPERLINK "https://www.mdpi.com/2227-9032/11/3/400" </w:instrText>
      </w:r>
      <w:r>
        <w:rPr/>
        <w:fldChar w:fldCharType="separate"/>
      </w:r>
      <w:r>
        <w:rPr>
          <w:rStyle w:val="style85"/>
          <w:rFonts w:ascii="Arial" w:cs="Arial" w:hAnsi="Arial"/>
          <w:color w:val="auto"/>
          <w:shd w:val="clear" w:color="auto" w:fill="ffffff"/>
        </w:rPr>
        <w:t>https://www.mdpi.com/2227-9032/11/3/400</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Dahill, L.M., Touyz, S., Morrison, N.M. and Hay, P., (2021). Parental appearance teasing in adolescence and associations with eating problems: a systematic review. </w:t>
      </w:r>
      <w:r>
        <w:rPr>
          <w:rFonts w:ascii="Arial" w:cs="Arial" w:hAnsi="Arial"/>
          <w:i/>
          <w:iCs/>
          <w:shd w:val="clear" w:color="auto" w:fill="ffffff"/>
        </w:rPr>
        <w:t>BMC public health</w:t>
      </w:r>
      <w:r>
        <w:rPr>
          <w:rFonts w:ascii="Arial" w:cs="Arial" w:hAnsi="Arial"/>
          <w:shd w:val="clear" w:color="auto" w:fill="ffffff"/>
        </w:rPr>
        <w:t>, </w:t>
      </w:r>
      <w:r>
        <w:rPr>
          <w:rFonts w:ascii="Arial" w:cs="Arial" w:hAnsi="Arial"/>
          <w:i/>
          <w:iCs/>
          <w:shd w:val="clear" w:color="auto" w:fill="ffffff"/>
        </w:rPr>
        <w:t>21</w:t>
      </w:r>
      <w:r>
        <w:rPr>
          <w:rFonts w:ascii="Arial" w:cs="Arial" w:hAnsi="Arial"/>
          <w:shd w:val="clear" w:color="auto" w:fill="ffffff"/>
        </w:rPr>
        <w:t>(1), p.450.</w:t>
      </w:r>
      <w:r>
        <w:rPr>
          <w:rFonts w:ascii="Arial" w:cs="Arial" w:hAnsi="Arial"/>
        </w:rPr>
        <w:t xml:space="preserve"> </w:t>
      </w:r>
      <w:r>
        <w:rPr/>
        <w:fldChar w:fldCharType="begin"/>
      </w:r>
      <w:r>
        <w:instrText xml:space="preserve"> HYPERLINK "https://link.springer.com/content/pdf/10.1186/s12889-021-10416-5.pdf" </w:instrText>
      </w:r>
      <w:r>
        <w:rPr/>
        <w:fldChar w:fldCharType="separate"/>
      </w:r>
      <w:r>
        <w:rPr>
          <w:rStyle w:val="style85"/>
          <w:rFonts w:ascii="Arial" w:cs="Arial" w:hAnsi="Arial"/>
          <w:color w:val="auto"/>
          <w:shd w:val="clear" w:color="auto" w:fill="ffffff"/>
        </w:rPr>
        <w:t>https://link.springer.com/content/pdf/10.1186/s12889-021-10416-5.pdf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Feng, B., Harms, J., Chen, E., Gao, P., Xu, P. and He, Y., (2023). Current discoveries and future implications of eating disorders. </w:t>
      </w:r>
      <w:r>
        <w:rPr>
          <w:rFonts w:ascii="Arial" w:cs="Arial" w:hAnsi="Arial"/>
          <w:i/>
          <w:iCs/>
          <w:shd w:val="clear" w:color="auto" w:fill="ffffff"/>
        </w:rPr>
        <w:t>International Journal of Environmental Research and Public Health</w:t>
      </w:r>
      <w:r>
        <w:rPr>
          <w:rFonts w:ascii="Arial" w:cs="Arial" w:hAnsi="Arial"/>
          <w:shd w:val="clear" w:color="auto" w:fill="ffffff"/>
        </w:rPr>
        <w:t>, </w:t>
      </w:r>
      <w:r>
        <w:rPr>
          <w:rFonts w:ascii="Arial" w:cs="Arial" w:hAnsi="Arial"/>
          <w:i/>
          <w:iCs/>
          <w:shd w:val="clear" w:color="auto" w:fill="ffffff"/>
        </w:rPr>
        <w:t>20</w:t>
      </w:r>
      <w:r>
        <w:rPr>
          <w:rFonts w:ascii="Arial" w:cs="Arial" w:hAnsi="Arial"/>
          <w:shd w:val="clear" w:color="auto" w:fill="ffffff"/>
        </w:rPr>
        <w:t>(14), p.6325.</w:t>
      </w:r>
      <w:r>
        <w:rPr>
          <w:rFonts w:ascii="Arial" w:cs="Arial" w:hAnsi="Arial"/>
        </w:rPr>
        <w:t xml:space="preserve"> </w:t>
      </w:r>
      <w:r>
        <w:rPr/>
        <w:fldChar w:fldCharType="begin"/>
      </w:r>
      <w:r>
        <w:instrText xml:space="preserve"> HYPERLINK "https://www.mdpi.com/1660-4601/20/14/6325" </w:instrText>
      </w:r>
      <w:r>
        <w:rPr/>
        <w:fldChar w:fldCharType="separate"/>
      </w:r>
      <w:r>
        <w:rPr>
          <w:rStyle w:val="style85"/>
          <w:rFonts w:ascii="Arial" w:cs="Arial" w:hAnsi="Arial"/>
          <w:color w:val="auto"/>
          <w:shd w:val="clear" w:color="auto" w:fill="ffffff"/>
        </w:rPr>
        <w:t>https://www.mdpi.com/1660-4601/20/14/6325</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Gartlehner, G., Patel, S.V., Reddy, S., Rains, C., Coker-Schwimmer, M. and Kahwati, L., (2022). Inclusion and Exclusion Criteria. In </w:t>
      </w:r>
      <w:r>
        <w:rPr>
          <w:rFonts w:ascii="Arial" w:cs="Arial" w:hAnsi="Arial"/>
          <w:i/>
          <w:iCs/>
          <w:shd w:val="clear" w:color="auto" w:fill="ffffff"/>
        </w:rPr>
        <w:t>Hormone Therapy for the Primary Prevention of Chronic Conditions in Postmenopausal Persons: An Evidence Review for the US Preventive Services Task Force [Internet]</w:t>
      </w:r>
      <w:r>
        <w:rPr>
          <w:rFonts w:ascii="Arial" w:cs="Arial" w:hAnsi="Arial"/>
          <w:shd w:val="clear" w:color="auto" w:fill="ffffff"/>
        </w:rPr>
        <w:t>. Agency for Healthcare Research and Quality (US).</w:t>
      </w:r>
      <w:r>
        <w:rPr>
          <w:rFonts w:ascii="Arial" w:cs="Arial" w:hAnsi="Arial"/>
        </w:rPr>
        <w:t xml:space="preserve"> </w:t>
      </w:r>
      <w:r>
        <w:rPr/>
        <w:fldChar w:fldCharType="begin"/>
      </w:r>
      <w:r>
        <w:instrText xml:space="preserve"> HYPERLINK "https://www.ncbi.nlm.nih.gov/books/NBK586476/" </w:instrText>
      </w:r>
      <w:r>
        <w:rPr/>
        <w:fldChar w:fldCharType="separate"/>
      </w:r>
      <w:r>
        <w:rPr>
          <w:rStyle w:val="style85"/>
          <w:rFonts w:ascii="Arial" w:cs="Arial" w:hAnsi="Arial"/>
          <w:color w:val="auto"/>
          <w:shd w:val="clear" w:color="auto" w:fill="ffffff"/>
        </w:rPr>
        <w:t>https://www.ncbi.nlm.nih.gov/books/NBK586476/</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 xml:space="preserve">Gupta, S.L., Mittal, A., Singh, S. and Dash, D.N., (2024). Demand-driven approach of vocational education and training (VET) and experiential learning: a thematic analysis through </w:t>
      </w:r>
      <w:r>
        <w:rPr>
          <w:rFonts w:ascii="Arial" w:cs="Arial" w:hAnsi="Arial"/>
          <w:shd w:val="clear" w:color="auto" w:fill="ffffff"/>
        </w:rPr>
        <w:t>systematic literature review (SLR). </w:t>
      </w:r>
      <w:r>
        <w:rPr>
          <w:rFonts w:ascii="Arial" w:cs="Arial" w:hAnsi="Arial"/>
          <w:i/>
          <w:iCs/>
          <w:shd w:val="clear" w:color="auto" w:fill="ffffff"/>
        </w:rPr>
        <w:t>Asian Education and Development Studies</w:t>
      </w:r>
      <w:r>
        <w:rPr>
          <w:rFonts w:ascii="Arial" w:cs="Arial" w:hAnsi="Arial"/>
          <w:shd w:val="clear" w:color="auto" w:fill="ffffff"/>
        </w:rPr>
        <w:t>, </w:t>
      </w:r>
      <w:r>
        <w:rPr>
          <w:rFonts w:ascii="Arial" w:cs="Arial" w:hAnsi="Arial"/>
          <w:i/>
          <w:iCs/>
          <w:shd w:val="clear" w:color="auto" w:fill="ffffff"/>
        </w:rPr>
        <w:t>13</w:t>
      </w:r>
      <w:r>
        <w:rPr>
          <w:rFonts w:ascii="Arial" w:cs="Arial" w:hAnsi="Arial"/>
          <w:shd w:val="clear" w:color="auto" w:fill="ffffff"/>
        </w:rPr>
        <w:t>(1), pp.45-63.</w:t>
      </w:r>
      <w:r>
        <w:rPr>
          <w:rFonts w:ascii="Arial" w:cs="Arial" w:hAnsi="Arial"/>
        </w:rPr>
        <w:t xml:space="preserve"> </w:t>
      </w:r>
      <w:r>
        <w:rPr/>
        <w:fldChar w:fldCharType="begin"/>
      </w:r>
      <w:r>
        <w:instrText xml:space="preserve"> HYPERLINK "https://www.emerald.com/aeds/article-pdf/13/1/45/9604096/aeds-07-2023-0083.pdf" </w:instrText>
      </w:r>
      <w:r>
        <w:rPr/>
        <w:fldChar w:fldCharType="separate"/>
      </w:r>
      <w:r>
        <w:rPr>
          <w:rStyle w:val="style85"/>
          <w:rFonts w:ascii="Arial" w:cs="Arial" w:hAnsi="Arial"/>
          <w:color w:val="auto"/>
          <w:shd w:val="clear" w:color="auto" w:fill="ffffff"/>
        </w:rPr>
        <w:t>https://www.emerald.com/aeds/article-pdf/13/1/45/9604096/aeds-07-2023-0083.pdf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rPr>
      </w:pPr>
      <w:r>
        <w:rPr>
          <w:rFonts w:ascii="Arial" w:cs="Arial" w:hAnsi="Arial"/>
        </w:rPr>
        <w:t xml:space="preserve">House of Commons Health and Social Care Committee (2023) </w:t>
      </w:r>
      <w:r>
        <w:rPr>
          <w:rStyle w:val="style88"/>
          <w:rFonts w:ascii="Arial" w:cs="Arial" w:hAnsi="Arial"/>
        </w:rPr>
        <w:t>Prevention in health and social care (HC 114), First report of session 2022–23</w:t>
      </w:r>
      <w:r>
        <w:rPr>
          <w:rFonts w:ascii="Arial" w:cs="Arial" w:hAnsi="Arial"/>
        </w:rPr>
        <w:t xml:space="preserve">. London: UK Parliament. Available at: </w:t>
      </w:r>
      <w:r>
        <w:rPr/>
        <w:fldChar w:fldCharType="begin"/>
      </w:r>
      <w:r>
        <w:instrText xml:space="preserve"> HYPERLINK "https://publications.parliament.uk/pa/cm5803/cmselect/cmhealth/114/report.html" \t "_new" </w:instrText>
      </w:r>
      <w:r>
        <w:rPr/>
        <w:fldChar w:fldCharType="separate"/>
      </w:r>
      <w:r>
        <w:rPr>
          <w:rStyle w:val="style85"/>
          <w:rFonts w:ascii="Arial" w:cs="Arial" w:hAnsi="Arial"/>
          <w:color w:val="auto"/>
        </w:rPr>
        <w:t>https://publications.parliament.uk/pa/cm5803/cmselect/cmhealth/114/report.html</w:t>
      </w:r>
      <w:r>
        <w:rPr/>
        <w:fldChar w:fldCharType="end"/>
      </w:r>
      <w:r>
        <w:rPr>
          <w:rFonts w:ascii="Arial" w:cs="Arial" w:hAnsi="Arial"/>
        </w:rPr>
        <w:t xml:space="preserve"> (Accessed: 9 March 2026).</w:t>
      </w:r>
    </w:p>
    <w:p>
      <w:pPr>
        <w:pStyle w:val="style0"/>
        <w:spacing w:lineRule="auto" w:line="360"/>
        <w:jc w:val="both"/>
        <w:rPr>
          <w:rFonts w:ascii="Arial" w:cs="Arial" w:hAnsi="Arial"/>
          <w:shd w:val="clear" w:color="auto" w:fill="ffffff"/>
        </w:rPr>
      </w:pPr>
      <w:r>
        <w:rPr>
          <w:rFonts w:ascii="Arial" w:cs="Arial" w:hAnsi="Arial"/>
          <w:shd w:val="clear" w:color="auto" w:fill="ffffff"/>
        </w:rPr>
        <w:t>Kloda, L.A., Boruff, J.T. and Cavalcante, A.S., (2020). A comparison of patient, intervention, comparison, outcome (PICO) to a new, alternative clinical question framework for search skills, search results, and self-efficacy: a randomized controlled trial. </w:t>
      </w:r>
      <w:r>
        <w:rPr>
          <w:rFonts w:ascii="Arial" w:cs="Arial" w:hAnsi="Arial"/>
          <w:i/>
          <w:iCs/>
          <w:shd w:val="clear" w:color="auto" w:fill="ffffff"/>
        </w:rPr>
        <w:t>Journal of the Medical Library Association: JMLA</w:t>
      </w:r>
      <w:r>
        <w:rPr>
          <w:rFonts w:ascii="Arial" w:cs="Arial" w:hAnsi="Arial"/>
          <w:shd w:val="clear" w:color="auto" w:fill="ffffff"/>
        </w:rPr>
        <w:t>, </w:t>
      </w:r>
      <w:r>
        <w:rPr>
          <w:rFonts w:ascii="Arial" w:cs="Arial" w:hAnsi="Arial"/>
          <w:i/>
          <w:iCs/>
          <w:shd w:val="clear" w:color="auto" w:fill="ffffff"/>
        </w:rPr>
        <w:t>108</w:t>
      </w:r>
      <w:r>
        <w:rPr>
          <w:rFonts w:ascii="Arial" w:cs="Arial" w:hAnsi="Arial"/>
          <w:shd w:val="clear" w:color="auto" w:fill="ffffff"/>
        </w:rPr>
        <w:t>(2), p.185.</w:t>
      </w:r>
      <w:r>
        <w:rPr>
          <w:rFonts w:ascii="Arial" w:cs="Arial" w:hAnsi="Arial"/>
        </w:rPr>
        <w:t xml:space="preserve"> </w:t>
      </w:r>
      <w:r>
        <w:rPr/>
        <w:fldChar w:fldCharType="begin"/>
      </w:r>
      <w:r>
        <w:instrText xml:space="preserve"> HYPERLINK "https://pmc.ncbi.nlm.nih.gov/articles/PMC7069809/pdf/jmla-108-185.pdf" </w:instrText>
      </w:r>
      <w:r>
        <w:rPr/>
        <w:fldChar w:fldCharType="separate"/>
      </w:r>
      <w:r>
        <w:rPr>
          <w:rStyle w:val="style85"/>
          <w:rFonts w:ascii="Arial" w:cs="Arial" w:hAnsi="Arial"/>
          <w:color w:val="auto"/>
          <w:shd w:val="clear" w:color="auto" w:fill="ffffff"/>
        </w:rPr>
        <w:t>https://pmc.ncbi.nlm.nih.gov/articles/PMC7069809/pdf/jmla-108-185.pdf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Kohli, T., (2023). Parenting styles and its impact on eating disorders. </w:t>
      </w:r>
      <w:r>
        <w:rPr>
          <w:rFonts w:ascii="Arial" w:cs="Arial" w:hAnsi="Arial"/>
          <w:i/>
          <w:iCs/>
          <w:shd w:val="clear" w:color="auto" w:fill="ffffff"/>
        </w:rPr>
        <w:t>International Journal of Social Science and Economic Research</w:t>
      </w:r>
      <w:r>
        <w:rPr>
          <w:rFonts w:ascii="Arial" w:cs="Arial" w:hAnsi="Arial"/>
          <w:shd w:val="clear" w:color="auto" w:fill="ffffff"/>
        </w:rPr>
        <w:t>, </w:t>
      </w:r>
      <w:r>
        <w:rPr>
          <w:rFonts w:ascii="Arial" w:cs="Arial" w:hAnsi="Arial"/>
          <w:i/>
          <w:iCs/>
          <w:shd w:val="clear" w:color="auto" w:fill="ffffff"/>
        </w:rPr>
        <w:t>8</w:t>
      </w:r>
      <w:r>
        <w:rPr>
          <w:rFonts w:ascii="Arial" w:cs="Arial" w:hAnsi="Arial"/>
          <w:shd w:val="clear" w:color="auto" w:fill="ffffff"/>
        </w:rPr>
        <w:t>(06), pp.1458-1464.</w:t>
      </w:r>
      <w:r>
        <w:rPr>
          <w:rFonts w:ascii="Arial" w:cs="Arial" w:hAnsi="Arial"/>
        </w:rPr>
        <w:t xml:space="preserve"> </w:t>
      </w:r>
      <w:r>
        <w:rPr/>
        <w:fldChar w:fldCharType="begin"/>
      </w:r>
      <w:r>
        <w:instrText xml:space="preserve"> HYPERLINK "https://mail.ijsser.org/2023files/ijsser_08__111.pdf" </w:instrText>
      </w:r>
      <w:r>
        <w:rPr/>
        <w:fldChar w:fldCharType="separate"/>
      </w:r>
      <w:r>
        <w:rPr>
          <w:rStyle w:val="style85"/>
          <w:rFonts w:ascii="Arial" w:cs="Arial" w:hAnsi="Arial"/>
          <w:color w:val="auto"/>
          <w:shd w:val="clear" w:color="auto" w:fill="ffffff"/>
        </w:rPr>
        <w:t>https://mail.ijsser.org/2023files/ijsser_08__111.pdf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rPr>
      </w:pPr>
      <w:r>
        <w:rPr>
          <w:rFonts w:ascii="Arial" w:cs="Arial" w:hAnsi="Arial"/>
        </w:rPr>
        <w:t xml:space="preserve">Lindexer. (2024, April 30). </w:t>
      </w:r>
      <w:r>
        <w:rPr>
          <w:rStyle w:val="style88"/>
          <w:rFonts w:ascii="Arial" w:cs="Arial" w:hAnsi="Arial"/>
        </w:rPr>
        <w:t>Using the PICO framework in your systematic literature review</w:t>
      </w:r>
      <w:r>
        <w:rPr>
          <w:rFonts w:ascii="Arial" w:cs="Arial" w:hAnsi="Arial"/>
        </w:rPr>
        <w:t xml:space="preserve">. </w:t>
      </w:r>
      <w:r>
        <w:rPr/>
        <w:fldChar w:fldCharType="begin"/>
      </w:r>
      <w:r>
        <w:instrText xml:space="preserve"> HYPERLINK "https://www.lindexer.com/using-the-pico-framework-in-your-systematic-literature-review/" </w:instrText>
      </w:r>
      <w:r>
        <w:rPr/>
        <w:fldChar w:fldCharType="separate"/>
      </w:r>
      <w:r>
        <w:rPr>
          <w:rStyle w:val="style85"/>
          <w:rFonts w:ascii="Arial" w:cs="Arial" w:hAnsi="Arial"/>
          <w:color w:val="auto"/>
        </w:rPr>
        <w:t>https://www.lindexer.com/using-the-pico-framework-in-your-systematic-literature-review/</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 xml:space="preserve">López-Gil, J.F., Garcia-Hermoso, A., Smith, L., Firth, J., Trott, M., Mesas, A.E., Jimenez-Lopez, E., Gutierrez-Espinoza, H., Tarraga-Lopez, P.J. and Victoria-Montesinos, D., </w:t>
      </w:r>
      <w:r>
        <w:rPr>
          <w:rFonts w:ascii="Arial" w:cs="Arial" w:hAnsi="Arial"/>
          <w:shd w:val="clear" w:color="auto" w:fill="ffffff"/>
        </w:rPr>
        <w:t>(</w:t>
      </w:r>
      <w:r>
        <w:rPr>
          <w:rFonts w:ascii="Arial" w:cs="Arial" w:hAnsi="Arial"/>
          <w:shd w:val="clear" w:color="auto" w:fill="ffffff"/>
        </w:rPr>
        <w:t>2023</w:t>
      </w:r>
      <w:r>
        <w:rPr>
          <w:rFonts w:ascii="Arial" w:cs="Arial" w:hAnsi="Arial"/>
          <w:shd w:val="clear" w:color="auto" w:fill="ffffff"/>
        </w:rPr>
        <w:t>)</w:t>
      </w:r>
      <w:r>
        <w:rPr>
          <w:rFonts w:ascii="Arial" w:cs="Arial" w:hAnsi="Arial"/>
          <w:shd w:val="clear" w:color="auto" w:fill="ffffff"/>
        </w:rPr>
        <w:t>. Global proportion of disordered eating in children and adolescents: a systematic review and meta-analysis. </w:t>
      </w:r>
      <w:r>
        <w:rPr>
          <w:rFonts w:ascii="Arial" w:cs="Arial" w:hAnsi="Arial"/>
          <w:i/>
          <w:iCs/>
          <w:shd w:val="clear" w:color="auto" w:fill="ffffff"/>
        </w:rPr>
        <w:t>JAMA pediatrics</w:t>
      </w:r>
      <w:r>
        <w:rPr>
          <w:rFonts w:ascii="Arial" w:cs="Arial" w:hAnsi="Arial"/>
          <w:shd w:val="clear" w:color="auto" w:fill="ffffff"/>
        </w:rPr>
        <w:t>, </w:t>
      </w:r>
      <w:r>
        <w:rPr>
          <w:rFonts w:ascii="Arial" w:cs="Arial" w:hAnsi="Arial"/>
          <w:i/>
          <w:iCs/>
          <w:shd w:val="clear" w:color="auto" w:fill="ffffff"/>
        </w:rPr>
        <w:t>177</w:t>
      </w:r>
      <w:r>
        <w:rPr>
          <w:rFonts w:ascii="Arial" w:cs="Arial" w:hAnsi="Arial"/>
          <w:shd w:val="clear" w:color="auto" w:fill="ffffff"/>
        </w:rPr>
        <w:t xml:space="preserve">(4), pp.363-372. </w:t>
      </w:r>
      <w:r>
        <w:rPr/>
        <w:fldChar w:fldCharType="begin"/>
      </w:r>
      <w:r>
        <w:instrText xml:space="preserve"> HYPERLINK "https://jamanetwork.com/journals/jamapediatrics/articlepdf/2801664/jamapediatrics_lpezgil_2023_oi_220096_1680182434.51313.pdf" </w:instrText>
      </w:r>
      <w:r>
        <w:rPr/>
        <w:fldChar w:fldCharType="separate"/>
      </w:r>
      <w:r>
        <w:rPr>
          <w:rStyle w:val="style85"/>
          <w:rFonts w:ascii="Arial" w:cs="Arial" w:hAnsi="Arial"/>
          <w:color w:val="auto"/>
          <w:shd w:val="clear" w:color="auto" w:fill="ffffff"/>
        </w:rPr>
        <w:t>https://jamanetwork.com/journals/jamapediatrics/articlepdf/2801664/jamapediatrics_lpezgil_2023_oi_220096_1680182434.51313.pdf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rPr>
      </w:pPr>
      <w:r>
        <w:rPr>
          <w:rFonts w:ascii="Arial" w:cs="Arial" w:hAnsi="Arial"/>
        </w:rPr>
        <w:t xml:space="preserve">Lovett, H., Casey, C., Daly, A., Lynn, E., O’Driscoll, D. J., &amp; Clifford, M. (2025). </w:t>
      </w:r>
      <w:r>
        <w:rPr>
          <w:rStyle w:val="style88"/>
          <w:rFonts w:ascii="Arial" w:cs="Arial" w:hAnsi="Arial"/>
        </w:rPr>
        <w:t>Trends and description of inpatient admissions for eating disorders among children and adolescents in Ireland: 2018–2022</w:t>
      </w:r>
      <w:r>
        <w:rPr>
          <w:rFonts w:ascii="Arial" w:cs="Arial" w:hAnsi="Arial"/>
        </w:rPr>
        <w:t xml:space="preserve">. </w:t>
      </w:r>
      <w:r>
        <w:rPr>
          <w:rStyle w:val="style87"/>
          <w:rFonts w:ascii="Arial" w:cs="Arial" w:hAnsi="Arial"/>
        </w:rPr>
        <w:t>Journal of Eating Disorders, 13</w:t>
      </w:r>
      <w:r>
        <w:rPr>
          <w:rFonts w:ascii="Arial" w:cs="Arial" w:hAnsi="Arial"/>
        </w:rPr>
        <w:t xml:space="preserve">, 174. </w:t>
      </w:r>
      <w:r>
        <w:rPr/>
        <w:fldChar w:fldCharType="begin"/>
      </w:r>
      <w:r>
        <w:instrText xml:space="preserve"> HYPERLINK "https://doi.org/10.1186/s40337-025-01372-1" </w:instrText>
      </w:r>
      <w:r>
        <w:rPr/>
        <w:fldChar w:fldCharType="separate"/>
      </w:r>
      <w:r>
        <w:rPr>
          <w:rStyle w:val="style85"/>
          <w:rFonts w:ascii="Arial" w:cs="Arial" w:hAnsi="Arial"/>
          <w:color w:val="auto"/>
        </w:rPr>
        <w:t>https://doi.org/10.1186/s40337-025-01372-1</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Lozano-Casanova, M., Gutierrez-Hervas, A., Richart-Martinez, M., Oliver-Roig, A. and Sospedra, I., (2024). Paternal feeding practices and styles: A systematic review. </w:t>
      </w:r>
      <w:r>
        <w:rPr>
          <w:rFonts w:ascii="Arial" w:cs="Arial" w:hAnsi="Arial"/>
          <w:i/>
          <w:iCs/>
          <w:shd w:val="clear" w:color="auto" w:fill="ffffff"/>
        </w:rPr>
        <w:t>Nutrition Reviews</w:t>
      </w:r>
      <w:r>
        <w:rPr>
          <w:rFonts w:ascii="Arial" w:cs="Arial" w:hAnsi="Arial"/>
          <w:shd w:val="clear" w:color="auto" w:fill="ffffff"/>
        </w:rPr>
        <w:t>, </w:t>
      </w:r>
      <w:r>
        <w:rPr>
          <w:rFonts w:ascii="Arial" w:cs="Arial" w:hAnsi="Arial"/>
          <w:i/>
          <w:iCs/>
          <w:shd w:val="clear" w:color="auto" w:fill="ffffff"/>
        </w:rPr>
        <w:t>82</w:t>
      </w:r>
      <w:r>
        <w:rPr>
          <w:rFonts w:ascii="Arial" w:cs="Arial" w:hAnsi="Arial"/>
          <w:shd w:val="clear" w:color="auto" w:fill="ffffff"/>
        </w:rPr>
        <w:t>(6), pp.794-803.</w:t>
      </w:r>
      <w:r>
        <w:rPr>
          <w:rFonts w:ascii="Arial" w:cs="Arial" w:hAnsi="Arial"/>
        </w:rPr>
        <w:t xml:space="preserve"> </w:t>
      </w:r>
      <w:r>
        <w:rPr/>
        <w:fldChar w:fldCharType="begin"/>
      </w:r>
      <w:r>
        <w:instrText xml:space="preserve"> HYPERLINK "https://academic.oup.com/nutritionreviews/article-abstract/82/6/794/7232523" </w:instrText>
      </w:r>
      <w:r>
        <w:rPr/>
        <w:fldChar w:fldCharType="separate"/>
      </w:r>
      <w:r>
        <w:rPr>
          <w:rStyle w:val="style85"/>
          <w:rFonts w:ascii="Arial" w:cs="Arial" w:hAnsi="Arial"/>
          <w:color w:val="auto"/>
          <w:shd w:val="clear" w:color="auto" w:fill="ffffff"/>
        </w:rPr>
        <w:t>https://academic.oup.com/nutritionreviews/article-abstract/82/6/794/7232523</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rPr>
      </w:pPr>
      <w:r>
        <w:rPr>
          <w:rFonts w:ascii="Arial" w:cs="Arial" w:hAnsi="Arial"/>
        </w:rPr>
        <w:t xml:space="preserve">Manning, M. and Greenfield, S., (2022). University students’ understanding and opinions of eating disorders: a qualitative study. BMJ open, 12(7), p.e056391. </w:t>
      </w:r>
      <w:r>
        <w:rPr/>
        <w:fldChar w:fldCharType="begin"/>
      </w:r>
      <w:r>
        <w:instrText xml:space="preserve"> HYPERLINK "https://bmjopen.bmj.com/content/bmjopen/12/7/e056391.full.pdf" </w:instrText>
      </w:r>
      <w:r>
        <w:rPr/>
        <w:fldChar w:fldCharType="separate"/>
      </w:r>
      <w:r>
        <w:rPr>
          <w:rStyle w:val="style85"/>
          <w:rFonts w:ascii="Arial" w:cs="Arial" w:hAnsi="Arial"/>
          <w:color w:val="auto"/>
        </w:rPr>
        <w:t>https://bmjopen.bmj.com/content/bmjopen/12/7/e056391.full.pdf</w:t>
      </w:r>
      <w:r>
        <w:rPr/>
        <w:fldChar w:fldCharType="end"/>
      </w:r>
      <w:r>
        <w:rPr>
          <w:rFonts w:ascii="Arial" w:cs="Arial" w:hAnsi="Arial"/>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Mills, R., Hyam, L. and Schmidt, U., (2023). A narrative review of early intervention for eating disorders: barriers and facilitators. </w:t>
      </w:r>
      <w:r>
        <w:rPr>
          <w:rFonts w:ascii="Arial" w:cs="Arial" w:hAnsi="Arial"/>
          <w:i/>
          <w:iCs/>
          <w:shd w:val="clear" w:color="auto" w:fill="ffffff"/>
        </w:rPr>
        <w:t>Adolescent Health, Medicine and Therapeutics</w:t>
      </w:r>
      <w:r>
        <w:rPr>
          <w:rFonts w:ascii="Arial" w:cs="Arial" w:hAnsi="Arial"/>
          <w:shd w:val="clear" w:color="auto" w:fill="ffffff"/>
        </w:rPr>
        <w:t>, pp.217-235.</w:t>
      </w:r>
      <w:r>
        <w:rPr>
          <w:rFonts w:ascii="Arial" w:cs="Arial" w:hAnsi="Arial"/>
        </w:rPr>
        <w:t xml:space="preserve"> </w:t>
      </w:r>
      <w:r>
        <w:rPr/>
        <w:fldChar w:fldCharType="begin"/>
      </w:r>
      <w:r>
        <w:instrText xml:space="preserve"> HYPERLINK "https://www.tandfonline.com/doi/pdf/10.2147/AHMT.S415698" </w:instrText>
      </w:r>
      <w:r>
        <w:rPr/>
        <w:fldChar w:fldCharType="separate"/>
      </w:r>
      <w:r>
        <w:rPr>
          <w:rStyle w:val="style85"/>
          <w:rFonts w:ascii="Arial" w:cs="Arial" w:hAnsi="Arial"/>
          <w:color w:val="auto"/>
          <w:shd w:val="clear" w:color="auto" w:fill="ffffff"/>
        </w:rPr>
        <w:t>https://www.tandfonline.com/doi/pdf/10.2147/AHMT.S415698</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Mishra, V. and Mishra, M.P., (2023). PRISMA for review of management literature–method, merits, and limitations–an academic review.</w:t>
      </w:r>
      <w:r>
        <w:rPr>
          <w:rFonts w:ascii="Arial" w:cs="Arial" w:hAnsi="Arial"/>
        </w:rPr>
        <w:t xml:space="preserve"> </w:t>
      </w:r>
      <w:r>
        <w:rPr/>
        <w:fldChar w:fldCharType="begin"/>
      </w:r>
      <w:r>
        <w:instrText xml:space="preserve"> HYPERLINK "https://www.researchgate.net/profile/Vinaytosh-Mishra/publication/375889195_PRISMA_for_Review_of_Management_Literature_-_Method_Merits_and_Limitations_-_An_Academic_Review/links/66fba7aa553d245f9e45d973/PRISMA-for-Review-of-Management-Literature-Method-Merits-and-Limitations-An-Academic-Review.pdf" </w:instrText>
      </w:r>
      <w:r>
        <w:rPr/>
        <w:fldChar w:fldCharType="separate"/>
      </w:r>
      <w:r>
        <w:rPr>
          <w:rStyle w:val="style85"/>
          <w:rFonts w:ascii="Arial" w:cs="Arial" w:hAnsi="Arial"/>
          <w:color w:val="auto"/>
          <w:shd w:val="clear" w:color="auto" w:fill="ffffff"/>
        </w:rPr>
        <w:t>https://www.researchgate.net/profile/Vinaytosh-Mishra/publication/375889195_PRISMA_for_Review_of_Management_Literature_-_Method_Merits_and_Limitations_-_An_Academic_Review/links/66fba7aa553d245f9e45d973/PRISMA-for-Review-of-Management-Literature-Method-Merits-and-Limitations-An-Academic-Review.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Neale, J. and Hudson, L.D., (2020). Anorexia nervosa in adolescents. </w:t>
      </w:r>
      <w:r>
        <w:rPr>
          <w:rFonts w:ascii="Arial" w:cs="Arial" w:hAnsi="Arial"/>
          <w:i/>
          <w:iCs/>
          <w:shd w:val="clear" w:color="auto" w:fill="ffffff"/>
        </w:rPr>
        <w:t>British Journal of Hospital Medicine</w:t>
      </w:r>
      <w:r>
        <w:rPr>
          <w:rFonts w:ascii="Arial" w:cs="Arial" w:hAnsi="Arial"/>
          <w:shd w:val="clear" w:color="auto" w:fill="ffffff"/>
        </w:rPr>
        <w:t>, </w:t>
      </w:r>
      <w:r>
        <w:rPr>
          <w:rFonts w:ascii="Arial" w:cs="Arial" w:hAnsi="Arial"/>
          <w:i/>
          <w:iCs/>
          <w:shd w:val="clear" w:color="auto" w:fill="ffffff"/>
        </w:rPr>
        <w:t>81</w:t>
      </w:r>
      <w:r>
        <w:rPr>
          <w:rFonts w:ascii="Arial" w:cs="Arial" w:hAnsi="Arial"/>
          <w:shd w:val="clear" w:color="auto" w:fill="ffffff"/>
        </w:rPr>
        <w:t>(6), pp.1-8.</w:t>
      </w:r>
      <w:r>
        <w:rPr>
          <w:rFonts w:ascii="Arial" w:cs="Arial" w:hAnsi="Arial"/>
        </w:rPr>
        <w:t xml:space="preserve"> </w:t>
      </w:r>
      <w:r>
        <w:rPr/>
        <w:fldChar w:fldCharType="begin"/>
      </w:r>
      <w:r>
        <w:instrText xml:space="preserve"> HYPERLINK "https://www.magonlinelibrary.com/doi/pdf/10.12968/hmed.2020.0099" </w:instrText>
      </w:r>
      <w:r>
        <w:rPr/>
        <w:fldChar w:fldCharType="separate"/>
      </w:r>
      <w:r>
        <w:rPr>
          <w:rStyle w:val="style85"/>
          <w:rFonts w:ascii="Arial" w:cs="Arial" w:hAnsi="Arial"/>
          <w:color w:val="auto"/>
          <w:shd w:val="clear" w:color="auto" w:fill="ffffff"/>
        </w:rPr>
        <w:t>https://www.magonlinelibrary.com/doi/pdf/10.12968/hmed.2020.0099</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rPr>
      </w:pPr>
      <w:r>
        <w:rPr>
          <w:rFonts w:ascii="Arial" w:cs="Arial" w:hAnsi="Arial"/>
        </w:rPr>
        <w:t xml:space="preserve">NHS England (2023) </w:t>
      </w:r>
      <w:r>
        <w:rPr>
          <w:rStyle w:val="style88"/>
          <w:rFonts w:ascii="Arial" w:cs="Arial" w:hAnsi="Arial"/>
        </w:rPr>
        <w:t>Mental health of children and young people in England 2023: Wave 4 follow-up to the 2017 survey – Part 5: Eating problems and disorders</w:t>
      </w:r>
      <w:r>
        <w:rPr>
          <w:rFonts w:ascii="Arial" w:cs="Arial" w:hAnsi="Arial"/>
        </w:rPr>
        <w:t xml:space="preserve">. Available at: </w:t>
      </w:r>
      <w:r>
        <w:rPr/>
        <w:fldChar w:fldCharType="begin"/>
      </w:r>
      <w:r>
        <w:instrText xml:space="preserve"> HYPERLINK "https://digital.nhs.uk/data-and-information/publications/statistical/mental-health-of-children-and-young-people-in-england/2023-wave-4-follow-up/part-5-eating-problems-and-disorders" \t "_new" </w:instrText>
      </w:r>
      <w:r>
        <w:rPr/>
        <w:fldChar w:fldCharType="separate"/>
      </w:r>
      <w:r>
        <w:rPr>
          <w:rStyle w:val="style85"/>
          <w:rFonts w:ascii="Arial" w:cs="Arial" w:hAnsi="Arial"/>
          <w:color w:val="auto"/>
        </w:rPr>
        <w:t>https://digital.nhs.uk/data-and-information/publications/statistical/mental-health-of-children-and-young-people-in-england/2023-wave-4-follow-up/part-5-eating-problems-and-disorders</w:t>
      </w:r>
      <w:r>
        <w:rPr/>
        <w:fldChar w:fldCharType="end"/>
      </w:r>
      <w:r>
        <w:rPr>
          <w:rFonts w:ascii="Arial" w:cs="Arial" w:hAnsi="Arial"/>
        </w:rPr>
        <w:t xml:space="preserve"> (Accessed: 9 March 2026).</w:t>
      </w:r>
    </w:p>
    <w:p>
      <w:pPr>
        <w:pStyle w:val="style0"/>
        <w:spacing w:lineRule="auto" w:line="360"/>
        <w:jc w:val="both"/>
        <w:rPr>
          <w:rFonts w:ascii="Arial" w:cs="Arial" w:hAnsi="Arial"/>
          <w:shd w:val="clear" w:color="auto" w:fill="ffffff"/>
        </w:rPr>
      </w:pPr>
      <w:r>
        <w:rPr>
          <w:rFonts w:ascii="Arial" w:cs="Arial" w:hAnsi="Arial"/>
          <w:shd w:val="clear" w:color="auto" w:fill="ffffff"/>
        </w:rPr>
        <w:t>Pastore, M., Indrio, F., Bali, D., Vural, M., Giardino, I. and Pettoello-Mantovani, M., (2023). Alarming increase of eating disorders in children and adolescents. </w:t>
      </w:r>
      <w:r>
        <w:rPr>
          <w:rFonts w:ascii="Arial" w:cs="Arial" w:hAnsi="Arial"/>
          <w:i/>
          <w:iCs/>
          <w:shd w:val="clear" w:color="auto" w:fill="ffffff"/>
        </w:rPr>
        <w:t>The Journal of pediatrics</w:t>
      </w:r>
      <w:r>
        <w:rPr>
          <w:rFonts w:ascii="Arial" w:cs="Arial" w:hAnsi="Arial"/>
          <w:shd w:val="clear" w:color="auto" w:fill="ffffff"/>
        </w:rPr>
        <w:t>, </w:t>
      </w:r>
      <w:r>
        <w:rPr>
          <w:rFonts w:ascii="Arial" w:cs="Arial" w:hAnsi="Arial"/>
          <w:i/>
          <w:iCs/>
          <w:shd w:val="clear" w:color="auto" w:fill="ffffff"/>
        </w:rPr>
        <w:t>263</w:t>
      </w:r>
      <w:r>
        <w:rPr>
          <w:rFonts w:ascii="Arial" w:cs="Arial" w:hAnsi="Arial"/>
          <w:shd w:val="clear" w:color="auto" w:fill="ffffff"/>
        </w:rPr>
        <w:t>.</w:t>
      </w:r>
      <w:r>
        <w:rPr>
          <w:rFonts w:ascii="Arial" w:cs="Arial" w:hAnsi="Arial"/>
        </w:rPr>
        <w:t xml:space="preserve"> </w:t>
      </w:r>
      <w:r>
        <w:rPr/>
        <w:fldChar w:fldCharType="begin"/>
      </w:r>
      <w:r>
        <w:instrText xml:space="preserve"> HYPERLINK "https://www.jpeds.com/article/S0022-3476(23)00596-6/pdf" </w:instrText>
      </w:r>
      <w:r>
        <w:rPr/>
        <w:fldChar w:fldCharType="separate"/>
      </w:r>
      <w:r>
        <w:rPr>
          <w:rStyle w:val="style85"/>
          <w:rFonts w:ascii="Arial" w:cs="Arial" w:hAnsi="Arial"/>
          <w:color w:val="auto"/>
          <w:shd w:val="clear" w:color="auto" w:fill="ffffff"/>
        </w:rPr>
        <w:t>https://www.jpeds.com/article/S0022-3476(23)00596-6/pdf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Petkova, H., Simic, M., Nicholls, D., Ford, T., Prina, A.M., Stuart, R., Livingstone, N., Kelly, G., Macdonald, G., Eisler, I. and Gowers, S., (2019). Incidence of anorexia nervosa in young people in the UK and Ireland: a national surveillance study. </w:t>
      </w:r>
      <w:r>
        <w:rPr>
          <w:rFonts w:ascii="Arial" w:cs="Arial" w:hAnsi="Arial"/>
          <w:i/>
          <w:iCs/>
          <w:shd w:val="clear" w:color="auto" w:fill="ffffff"/>
        </w:rPr>
        <w:t>BMJ open</w:t>
      </w:r>
      <w:r>
        <w:rPr>
          <w:rFonts w:ascii="Arial" w:cs="Arial" w:hAnsi="Arial"/>
          <w:shd w:val="clear" w:color="auto" w:fill="ffffff"/>
        </w:rPr>
        <w:t>, </w:t>
      </w:r>
      <w:r>
        <w:rPr>
          <w:rFonts w:ascii="Arial" w:cs="Arial" w:hAnsi="Arial"/>
          <w:i/>
          <w:iCs/>
          <w:shd w:val="clear" w:color="auto" w:fill="ffffff"/>
        </w:rPr>
        <w:t>9</w:t>
      </w:r>
      <w:r>
        <w:rPr>
          <w:rFonts w:ascii="Arial" w:cs="Arial" w:hAnsi="Arial"/>
          <w:shd w:val="clear" w:color="auto" w:fill="ffffff"/>
        </w:rPr>
        <w:t>(10), p.e027339.</w:t>
      </w:r>
      <w:r>
        <w:rPr>
          <w:rFonts w:ascii="Arial" w:cs="Arial" w:hAnsi="Arial"/>
        </w:rPr>
        <w:t xml:space="preserve"> </w:t>
      </w:r>
      <w:r>
        <w:rPr/>
        <w:fldChar w:fldCharType="begin"/>
      </w:r>
      <w:r>
        <w:instrText xml:space="preserve"> HYPERLINK "https://bmjopen.bmj.com/content/bmjopen/9/10/e027339.full.pdf" </w:instrText>
      </w:r>
      <w:r>
        <w:rPr/>
        <w:fldChar w:fldCharType="separate"/>
      </w:r>
      <w:r>
        <w:rPr>
          <w:rStyle w:val="style85"/>
          <w:rFonts w:ascii="Arial" w:cs="Arial" w:hAnsi="Arial"/>
          <w:color w:val="auto"/>
          <w:shd w:val="clear" w:color="auto" w:fill="ffffff"/>
        </w:rPr>
        <w:t>https://bmjopen.bmj.com/content/bmjopen/9/10/e027339.full.pdf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Sarkis-Onofre, R., Catalá-López, F., Aromataris, E. and Lockwood, C., (2021). How to properly use the PRISMA Statement. </w:t>
      </w:r>
      <w:r>
        <w:rPr>
          <w:rFonts w:ascii="Arial" w:cs="Arial" w:hAnsi="Arial"/>
          <w:i/>
          <w:iCs/>
          <w:shd w:val="clear" w:color="auto" w:fill="ffffff"/>
        </w:rPr>
        <w:t>Systematic reviews</w:t>
      </w:r>
      <w:r>
        <w:rPr>
          <w:rFonts w:ascii="Arial" w:cs="Arial" w:hAnsi="Arial"/>
          <w:shd w:val="clear" w:color="auto" w:fill="ffffff"/>
        </w:rPr>
        <w:t>, </w:t>
      </w:r>
      <w:r>
        <w:rPr>
          <w:rFonts w:ascii="Arial" w:cs="Arial" w:hAnsi="Arial"/>
          <w:i/>
          <w:iCs/>
          <w:shd w:val="clear" w:color="auto" w:fill="ffffff"/>
        </w:rPr>
        <w:t>10</w:t>
      </w:r>
      <w:r>
        <w:rPr>
          <w:rFonts w:ascii="Arial" w:cs="Arial" w:hAnsi="Arial"/>
          <w:shd w:val="clear" w:color="auto" w:fill="ffffff"/>
        </w:rPr>
        <w:t>(1), p.117.</w:t>
      </w:r>
      <w:r>
        <w:rPr>
          <w:rFonts w:ascii="Arial" w:cs="Arial" w:hAnsi="Arial"/>
        </w:rPr>
        <w:t xml:space="preserve"> </w:t>
      </w:r>
      <w:r>
        <w:rPr/>
        <w:fldChar w:fldCharType="begin"/>
      </w:r>
      <w:r>
        <w:instrText xml:space="preserve"> HYPERLINK "https://link.springer.com/content/pdf/10.1186/s13643-021-01671-z.pdf" </w:instrText>
      </w:r>
      <w:r>
        <w:rPr/>
        <w:fldChar w:fldCharType="separate"/>
      </w:r>
      <w:r>
        <w:rPr>
          <w:rStyle w:val="style85"/>
          <w:rFonts w:ascii="Arial" w:cs="Arial" w:hAnsi="Arial"/>
          <w:color w:val="auto"/>
          <w:shd w:val="clear" w:color="auto" w:fill="ffffff"/>
        </w:rPr>
        <w:t>https://link.springer.com/content/pdf/10.1186/s13643-021-01671-z.pdf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 xml:space="preserve">Shahzad, K., Khan, S.A. and Iqbal, A., </w:t>
      </w:r>
      <w:r>
        <w:rPr>
          <w:rFonts w:ascii="Arial" w:cs="Arial" w:hAnsi="Arial"/>
          <w:shd w:val="clear" w:color="auto" w:fill="ffffff"/>
        </w:rPr>
        <w:t>(</w:t>
      </w:r>
      <w:r>
        <w:rPr>
          <w:rFonts w:ascii="Arial" w:cs="Arial" w:hAnsi="Arial"/>
          <w:shd w:val="clear" w:color="auto" w:fill="ffffff"/>
        </w:rPr>
        <w:t>2025</w:t>
      </w:r>
      <w:r>
        <w:rPr>
          <w:rFonts w:ascii="Arial" w:cs="Arial" w:hAnsi="Arial"/>
          <w:shd w:val="clear" w:color="auto" w:fill="ffffff"/>
        </w:rPr>
        <w:t>)</w:t>
      </w:r>
      <w:r>
        <w:rPr>
          <w:rFonts w:ascii="Arial" w:cs="Arial" w:hAnsi="Arial"/>
          <w:shd w:val="clear" w:color="auto" w:fill="ffffff"/>
        </w:rPr>
        <w:t>. Factors influencing the adoption of robotic technologies in academic libraries: A systematic literature review (SLR). </w:t>
      </w:r>
      <w:r>
        <w:rPr>
          <w:rFonts w:ascii="Arial" w:cs="Arial" w:hAnsi="Arial"/>
          <w:i/>
          <w:iCs/>
          <w:shd w:val="clear" w:color="auto" w:fill="ffffff"/>
        </w:rPr>
        <w:t>Journal of Librarianship and Information Science</w:t>
      </w:r>
      <w:r>
        <w:rPr>
          <w:rFonts w:ascii="Arial" w:cs="Arial" w:hAnsi="Arial"/>
          <w:shd w:val="clear" w:color="auto" w:fill="ffffff"/>
        </w:rPr>
        <w:t>, </w:t>
      </w:r>
      <w:r>
        <w:rPr>
          <w:rFonts w:ascii="Arial" w:cs="Arial" w:hAnsi="Arial"/>
          <w:i/>
          <w:iCs/>
          <w:shd w:val="clear" w:color="auto" w:fill="ffffff"/>
        </w:rPr>
        <w:t>57</w:t>
      </w:r>
      <w:r>
        <w:rPr>
          <w:rFonts w:ascii="Arial" w:cs="Arial" w:hAnsi="Arial"/>
          <w:shd w:val="clear" w:color="auto" w:fill="ffffff"/>
        </w:rPr>
        <w:t xml:space="preserve">(3), pp.687-704. </w:t>
      </w:r>
      <w:r>
        <w:rPr/>
        <w:fldChar w:fldCharType="begin"/>
      </w:r>
      <w:r>
        <w:instrText xml:space="preserve"> HYPERLINK "https://www.researchgate.net/profile/Dr-Khurram-Shahzad-2/publication/378257433_Factors_influencing_the_adoption_of_robotic_technologies_in_academic_libraries_A_systematic_literature_review_SLR/links/65d1f992e51f606f9979c262/Factors-influencing-the-adoption-of-robotic-technologies-in-academic-libraries-A-systematic-literature-review-SLR.pdf" </w:instrText>
      </w:r>
      <w:r>
        <w:rPr/>
        <w:fldChar w:fldCharType="separate"/>
      </w:r>
      <w:r>
        <w:rPr>
          <w:rStyle w:val="style85"/>
          <w:rFonts w:ascii="Arial" w:cs="Arial" w:hAnsi="Arial"/>
          <w:color w:val="auto"/>
          <w:shd w:val="clear" w:color="auto" w:fill="ffffff"/>
        </w:rPr>
        <w:t>https://www.researchgate.net/profile/Dr-Khurram-Shahzad-2/publication/378257433_Factors_influencing_the_adoption_of_robotic_technologies_in_academic_libraries_A_systematic_literature_review_SLR/links/65d1f992e51f606f9979c262/Factors-influencing-the-adoption-of-robotic-technologies-in-academic-libraries-A-systematic-literature-review-SLR.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Suarez-Albor, C.L., Galletta, M. and Gómez-Bustamante, E.M., (2022). Factors associated with eating disorders in adolescents: A systematic review. </w:t>
      </w:r>
      <w:r>
        <w:rPr>
          <w:rFonts w:ascii="Arial" w:cs="Arial" w:hAnsi="Arial"/>
          <w:i/>
          <w:iCs/>
          <w:shd w:val="clear" w:color="auto" w:fill="ffffff"/>
        </w:rPr>
        <w:t>Acta Bio Medica: Atenei Parmensis</w:t>
      </w:r>
      <w:r>
        <w:rPr>
          <w:rFonts w:ascii="Arial" w:cs="Arial" w:hAnsi="Arial"/>
          <w:shd w:val="clear" w:color="auto" w:fill="ffffff"/>
        </w:rPr>
        <w:t>, </w:t>
      </w:r>
      <w:r>
        <w:rPr>
          <w:rFonts w:ascii="Arial" w:cs="Arial" w:hAnsi="Arial"/>
          <w:i/>
          <w:iCs/>
          <w:shd w:val="clear" w:color="auto" w:fill="ffffff"/>
        </w:rPr>
        <w:t>93</w:t>
      </w:r>
      <w:r>
        <w:rPr>
          <w:rFonts w:ascii="Arial" w:cs="Arial" w:hAnsi="Arial"/>
          <w:shd w:val="clear" w:color="auto" w:fill="ffffff"/>
        </w:rPr>
        <w:t>(3), p.e2022253.</w:t>
      </w:r>
      <w:r>
        <w:rPr>
          <w:rFonts w:ascii="Arial" w:cs="Arial" w:hAnsi="Arial"/>
        </w:rPr>
        <w:t xml:space="preserve"> </w:t>
      </w:r>
      <w:r>
        <w:rPr/>
        <w:fldChar w:fldCharType="begin"/>
      </w:r>
      <w:r>
        <w:instrText xml:space="preserve"> HYPERLINK "https://pmc.ncbi.nlm.nih.gov/articles/PMC9335430/pdf/ACTA-93-253.pdf" </w:instrText>
      </w:r>
      <w:r>
        <w:rPr/>
        <w:fldChar w:fldCharType="separate"/>
      </w:r>
      <w:r>
        <w:rPr>
          <w:rStyle w:val="style85"/>
          <w:rFonts w:ascii="Arial" w:cs="Arial" w:hAnsi="Arial"/>
          <w:color w:val="auto"/>
          <w:shd w:val="clear" w:color="auto" w:fill="ffffff"/>
        </w:rPr>
        <w:t>https://pmc.ncbi.nlm.nih.gov/articles/PMC9335430/pdf/ACTA-93-253.pdf</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Trafford, A.M., Carr, M.J., Ashcroft, D.M., Chew-Graham, C.A., Cockcroft, E., Cybulski, L., Garavini, E., Garg, S., Kabir, T., Kapur, N. and Temple, R.K., (2023). Temporal trends in eating disorder and self-harm incidence rates among adolescents and young adults in the UK in the 2 years since onset of the COVID-19 pandemic: a population-based study. </w:t>
      </w:r>
      <w:r>
        <w:rPr>
          <w:rFonts w:ascii="Arial" w:cs="Arial" w:hAnsi="Arial"/>
          <w:i/>
          <w:iCs/>
          <w:shd w:val="clear" w:color="auto" w:fill="ffffff"/>
        </w:rPr>
        <w:t>The Lancet Child &amp; Adolescent Health</w:t>
      </w:r>
      <w:r>
        <w:rPr>
          <w:rFonts w:ascii="Arial" w:cs="Arial" w:hAnsi="Arial"/>
          <w:shd w:val="clear" w:color="auto" w:fill="ffffff"/>
        </w:rPr>
        <w:t>, </w:t>
      </w:r>
      <w:r>
        <w:rPr>
          <w:rFonts w:ascii="Arial" w:cs="Arial" w:hAnsi="Arial"/>
          <w:i/>
          <w:iCs/>
          <w:shd w:val="clear" w:color="auto" w:fill="ffffff"/>
        </w:rPr>
        <w:t>7</w:t>
      </w:r>
      <w:r>
        <w:rPr>
          <w:rFonts w:ascii="Arial" w:cs="Arial" w:hAnsi="Arial"/>
          <w:shd w:val="clear" w:color="auto" w:fill="ffffff"/>
        </w:rPr>
        <w:t>(8), pp.544-554.</w:t>
      </w:r>
      <w:r>
        <w:rPr>
          <w:rFonts w:ascii="Arial" w:cs="Arial" w:hAnsi="Arial"/>
        </w:rPr>
        <w:t xml:space="preserve"> </w:t>
      </w:r>
      <w:r>
        <w:rPr/>
        <w:fldChar w:fldCharType="begin"/>
      </w:r>
      <w:r>
        <w:instrText xml:space="preserve"> HYPERLINK "https://www.thelancet.com/pdfs/journals/lanchi/PIIS2352-4642(23)00126-8.pdf" </w:instrText>
      </w:r>
      <w:r>
        <w:rPr/>
        <w:fldChar w:fldCharType="separate"/>
      </w:r>
      <w:r>
        <w:rPr>
          <w:rStyle w:val="style85"/>
          <w:rFonts w:ascii="Arial" w:cs="Arial" w:hAnsi="Arial"/>
          <w:color w:val="auto"/>
          <w:shd w:val="clear" w:color="auto" w:fill="ffffff"/>
        </w:rPr>
        <w:t>https://www.thelancet.com/pdfs/journals/lanchi/PIIS2352-4642(23)00126-8.pdf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Washington, B., (2024). The Impact of Authoritative Parenting Compared to Authoritarian and Permissive Styles on Long-Term Psychological and Behavioral Function of Offspring.</w:t>
      </w:r>
      <w:r>
        <w:rPr>
          <w:rFonts w:ascii="Arial" w:cs="Arial" w:hAnsi="Arial"/>
        </w:rPr>
        <w:t xml:space="preserve"> </w:t>
      </w:r>
      <w:r>
        <w:rPr/>
        <w:fldChar w:fldCharType="begin"/>
      </w:r>
      <w:r>
        <w:instrText xml:space="preserve"> HYPERLINK "https://scholarworks.uark.edu/cgi/viewcontent.cgi?article=1218&amp;context=nursuht" </w:instrText>
      </w:r>
      <w:r>
        <w:rPr/>
        <w:fldChar w:fldCharType="separate"/>
      </w:r>
      <w:r>
        <w:rPr>
          <w:rStyle w:val="style85"/>
          <w:rFonts w:ascii="Arial" w:cs="Arial" w:hAnsi="Arial"/>
          <w:color w:val="auto"/>
          <w:shd w:val="clear" w:color="auto" w:fill="ffffff"/>
        </w:rPr>
        <w:t>https://scholarworks.uark.edu/cgi/viewcontent.cgi?article=1218&amp;context=nursuht</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r>
        <w:rPr>
          <w:rFonts w:ascii="Arial" w:cs="Arial" w:hAnsi="Arial"/>
          <w:shd w:val="clear" w:color="auto" w:fill="ffffff"/>
        </w:rPr>
        <w:t>Watson, A., Dumuid, D., Maher, C., Fraysse, F., Mauch, C., Tomkinson, G.R., Ferguson, T. and Olds, T., (2023). Parenting styles and their associations with children's body composition, activity patterns, fitness, diet, health, and academic achievement. </w:t>
      </w:r>
      <w:r>
        <w:rPr>
          <w:rFonts w:ascii="Arial" w:cs="Arial" w:hAnsi="Arial"/>
          <w:i/>
          <w:iCs/>
          <w:shd w:val="clear" w:color="auto" w:fill="ffffff"/>
        </w:rPr>
        <w:t>Childhood Obesity</w:t>
      </w:r>
      <w:r>
        <w:rPr>
          <w:rFonts w:ascii="Arial" w:cs="Arial" w:hAnsi="Arial"/>
          <w:shd w:val="clear" w:color="auto" w:fill="ffffff"/>
        </w:rPr>
        <w:t>, </w:t>
      </w:r>
      <w:r>
        <w:rPr>
          <w:rFonts w:ascii="Arial" w:cs="Arial" w:hAnsi="Arial"/>
          <w:i/>
          <w:iCs/>
          <w:shd w:val="clear" w:color="auto" w:fill="ffffff"/>
        </w:rPr>
        <w:t>19</w:t>
      </w:r>
      <w:r>
        <w:rPr>
          <w:rFonts w:ascii="Arial" w:cs="Arial" w:hAnsi="Arial"/>
          <w:shd w:val="clear" w:color="auto" w:fill="ffffff"/>
        </w:rPr>
        <w:t>(5), pp.316-331.</w:t>
      </w:r>
      <w:r>
        <w:rPr>
          <w:rFonts w:ascii="Arial" w:cs="Arial" w:hAnsi="Arial"/>
        </w:rPr>
        <w:t xml:space="preserve"> </w:t>
      </w:r>
      <w:r>
        <w:rPr/>
        <w:fldChar w:fldCharType="begin"/>
      </w:r>
      <w:r>
        <w:instrText xml:space="preserve"> HYPERLINK "https://journals.sagepub.com/doi/pdf/10.1089/chi.2022.0054" </w:instrText>
      </w:r>
      <w:r>
        <w:rPr/>
        <w:fldChar w:fldCharType="separate"/>
      </w:r>
      <w:r>
        <w:rPr>
          <w:rStyle w:val="style85"/>
          <w:rFonts w:ascii="Arial" w:cs="Arial" w:hAnsi="Arial"/>
          <w:color w:val="auto"/>
          <w:shd w:val="clear" w:color="auto" w:fill="ffffff"/>
        </w:rPr>
        <w:t>https://journals.sagepub.com/doi/pdf/10.1089/chi.2022.0054</w:t>
      </w:r>
      <w:r>
        <w:rPr/>
        <w:fldChar w:fldCharType="end"/>
      </w:r>
    </w:p>
    <w:p>
      <w:pPr>
        <w:pStyle w:val="style0"/>
        <w:spacing w:lineRule="auto" w:line="360"/>
        <w:jc w:val="both"/>
        <w:rPr>
          <w:rFonts w:ascii="Arial" w:cs="Arial" w:hAnsi="Arial"/>
          <w:shd w:val="clear" w:color="auto" w:fill="ffffff"/>
        </w:rPr>
      </w:pPr>
      <w:r>
        <w:rPr>
          <w:rFonts w:ascii="Arial" w:cs="Arial" w:hAnsi="Arial"/>
          <w:shd w:val="clear" w:color="auto" w:fill="ffffff"/>
        </w:rPr>
        <w:t>Zhou, R., Zhang, L., Liu, Z. and Cao, B., (2025). Emotion regulation difficulties and disordered eating in adolescents and young adults: a meta-analysis. </w:t>
      </w:r>
      <w:r>
        <w:rPr>
          <w:rFonts w:ascii="Arial" w:cs="Arial" w:hAnsi="Arial"/>
          <w:i/>
          <w:iCs/>
          <w:shd w:val="clear" w:color="auto" w:fill="ffffff"/>
        </w:rPr>
        <w:t>Journal of Eating Disorders</w:t>
      </w:r>
      <w:r>
        <w:rPr>
          <w:rFonts w:ascii="Arial" w:cs="Arial" w:hAnsi="Arial"/>
          <w:shd w:val="clear" w:color="auto" w:fill="ffffff"/>
        </w:rPr>
        <w:t>, </w:t>
      </w:r>
      <w:r>
        <w:rPr>
          <w:rFonts w:ascii="Arial" w:cs="Arial" w:hAnsi="Arial"/>
          <w:i/>
          <w:iCs/>
          <w:shd w:val="clear" w:color="auto" w:fill="ffffff"/>
        </w:rPr>
        <w:t>13</w:t>
      </w:r>
      <w:r>
        <w:rPr>
          <w:rFonts w:ascii="Arial" w:cs="Arial" w:hAnsi="Arial"/>
          <w:shd w:val="clear" w:color="auto" w:fill="ffffff"/>
        </w:rPr>
        <w:t>(1), p.25.</w:t>
      </w:r>
      <w:r>
        <w:rPr>
          <w:rFonts w:ascii="Arial" w:cs="Arial" w:hAnsi="Arial"/>
        </w:rPr>
        <w:t xml:space="preserve"> </w:t>
      </w:r>
      <w:r>
        <w:rPr/>
        <w:fldChar w:fldCharType="begin"/>
      </w:r>
      <w:r>
        <w:instrText xml:space="preserve"> HYPERLINK "https://link.springer.com/content/pdf/10.1186/s40337-025-01197-y.pdf" </w:instrText>
      </w:r>
      <w:r>
        <w:rPr/>
        <w:fldChar w:fldCharType="separate"/>
      </w:r>
      <w:r>
        <w:rPr>
          <w:rStyle w:val="style85"/>
          <w:rFonts w:ascii="Arial" w:cs="Arial" w:hAnsi="Arial"/>
          <w:color w:val="auto"/>
          <w:shd w:val="clear" w:color="auto" w:fill="ffffff"/>
        </w:rPr>
        <w:t>https://link.springer.com/content/pdf/10.1186/s40337-025-01197-y.pdf</w:t>
      </w:r>
      <w:r>
        <w:rPr/>
        <w:fldChar w:fldCharType="end"/>
      </w:r>
      <w:r>
        <w:rPr>
          <w:rFonts w:ascii="Arial" w:cs="Arial" w:hAnsi="Arial"/>
          <w:shd w:val="clear" w:color="auto" w:fill="ffffff"/>
        </w:rPr>
        <w:t xml:space="preserve"> </w:t>
      </w:r>
    </w:p>
    <w:p>
      <w:pPr>
        <w:pStyle w:val="style0"/>
        <w:spacing w:lineRule="auto" w:line="360"/>
        <w:jc w:val="both"/>
        <w:rPr>
          <w:rFonts w:ascii="Arial" w:cs="Arial" w:hAnsi="Arial"/>
          <w:shd w:val="clear" w:color="auto" w:fill="ffffff"/>
        </w:rPr>
      </w:pPr>
    </w:p>
    <w:p>
      <w:pPr>
        <w:pStyle w:val="style0"/>
        <w:spacing w:lineRule="auto" w:line="360"/>
        <w:jc w:val="both"/>
        <w:rPr>
          <w:rFonts w:ascii="Arial" w:cs="Arial" w:hAnsi="Arial"/>
        </w:rPr>
      </w:pPr>
    </w:p>
    <w:sectPr>
      <w:headerReference w:type="even" r:id="rId9"/>
      <w:headerReference w:type="default" r:id="rId10"/>
      <w:footerReference w:type="even" r:id="rId11"/>
      <w:footerReference w:type="default" r:id="rId12"/>
      <w:headerReference w:type="first" r:id="rId13"/>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decorative"/>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ACFF"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noProof/>
      </w:rPr>
      <w:drawing>
        <wp:inline distL="0" distT="0" distB="0" distR="0">
          <wp:extent cx="1936750" cy="916382"/>
          <wp:effectExtent l="0" t="0" r="6350" b="0"/>
          <wp:docPr id="4097"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9"/>
                  <pic:cNvPicPr/>
                </pic:nvPicPr>
                <pic:blipFill>
                  <a:blip r:embed="rId1" cstate="print"/>
                  <a:srcRect l="0" t="0" r="0" b="0"/>
                  <a:stretch/>
                </pic:blipFill>
                <pic:spPr>
                  <a:xfrm rot="0">
                    <a:off x="0" y="0"/>
                    <a:ext cx="1936750" cy="916382"/>
                  </a:xfrm>
                  <a:prstGeom prst="rect"/>
                </pic:spPr>
              </pic:pic>
            </a:graphicData>
          </a:graphic>
        </wp:inline>
      </w:drawing>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E5834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C388B3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27"/>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rPr>
      <w:lang w:val="en-GB"/>
    </w:rPr>
  </w:style>
  <w:style w:type="paragraph" w:styleId="style1">
    <w:name w:val="heading 1"/>
    <w:basedOn w:val="style0"/>
    <w:next w:val="style0"/>
    <w:link w:val="style4097"/>
    <w:qFormat/>
    <w:uiPriority w:val="9"/>
    <w:pPr>
      <w:spacing w:lineRule="auto" w:line="360"/>
      <w:outlineLvl w:val="0"/>
    </w:pPr>
    <w:rPr>
      <w:rFonts w:ascii="Arial" w:cs="Arial" w:hAnsi="Arial"/>
      <w:b/>
      <w:lang w:val="en-US"/>
    </w:rPr>
  </w:style>
  <w:style w:type="paragraph" w:styleId="style2">
    <w:name w:val="heading 2"/>
    <w:basedOn w:val="style0"/>
    <w:next w:val="style0"/>
    <w:link w:val="style4098"/>
    <w:qFormat/>
    <w:uiPriority w:val="9"/>
    <w:pPr>
      <w:spacing w:lineRule="auto" w:line="360"/>
      <w:outlineLvl w:val="1"/>
    </w:pPr>
    <w:rPr>
      <w:rFonts w:ascii="Arial" w:cs="Arial" w:hAnsi="Arial"/>
      <w:b/>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ing 1 Char_cdb89921-f30b-473e-92e6-4a2acb33a352"/>
    <w:basedOn w:val="style65"/>
    <w:next w:val="style4097"/>
    <w:link w:val="style1"/>
    <w:uiPriority w:val="9"/>
    <w:rPr>
      <w:rFonts w:ascii="Arial" w:cs="Arial" w:hAnsi="Arial"/>
      <w:b/>
      <w:lang w:val="en-US"/>
    </w:rPr>
  </w:style>
  <w:style w:type="character" w:customStyle="1" w:styleId="style4098">
    <w:name w:val="Heading 2 Char_a11d4307-64c9-467d-8315-62a0864b315f"/>
    <w:basedOn w:val="style65"/>
    <w:next w:val="style4098"/>
    <w:link w:val="style2"/>
    <w:uiPriority w:val="9"/>
    <w:rPr>
      <w:rFonts w:ascii="Arial" w:cs="Arial" w:hAnsi="Arial"/>
      <w:b/>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character" w:styleId="style85">
    <w:name w:val="Hyperlink"/>
    <w:basedOn w:val="style65"/>
    <w:next w:val="style85"/>
    <w:uiPriority w:val="99"/>
    <w:rPr>
      <w:color w:val="0000ff"/>
      <w:u w:val="single"/>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en-IN"/>
    </w:rPr>
  </w:style>
  <w:style w:type="paragraph" w:styleId="style266">
    <w:name w:val="TOC Heading"/>
    <w:basedOn w:val="style1"/>
    <w:next w:val="style0"/>
    <w:qFormat/>
    <w:uiPriority w:val="39"/>
    <w:pPr>
      <w:keepNext/>
      <w:keepLines/>
      <w:spacing w:before="240" w:after="0" w:lineRule="auto" w:line="259"/>
      <w:outlineLvl w:val="9"/>
    </w:pPr>
    <w:rPr>
      <w:rFonts w:ascii="Calibri Light" w:cs="宋体" w:eastAsia="宋体" w:hAnsi="Calibri Light"/>
      <w:b w:val="false"/>
      <w:color w:val="2e74b5"/>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31">
    <w:name w:val="header"/>
    <w:basedOn w:val="style0"/>
    <w:next w:val="style31"/>
    <w:link w:val="style4099"/>
    <w:uiPriority w:val="99"/>
    <w:pPr>
      <w:tabs>
        <w:tab w:val="center" w:leader="none" w:pos="4513"/>
        <w:tab w:val="right" w:leader="none" w:pos="9026"/>
      </w:tabs>
      <w:spacing w:after="0" w:lineRule="auto" w:line="240"/>
    </w:pPr>
    <w:rPr/>
  </w:style>
  <w:style w:type="character" w:customStyle="1" w:styleId="style4099">
    <w:name w:val="Header Char_cc17563e-f725-4204-851b-75ef2ac56842"/>
    <w:basedOn w:val="style65"/>
    <w:next w:val="style4099"/>
    <w:link w:val="style31"/>
    <w:uiPriority w:val="99"/>
  </w:style>
  <w:style w:type="paragraph" w:styleId="style32">
    <w:name w:val="footer"/>
    <w:basedOn w:val="style0"/>
    <w:next w:val="style32"/>
    <w:link w:val="style4100"/>
    <w:uiPriority w:val="99"/>
    <w:pPr>
      <w:tabs>
        <w:tab w:val="center" w:leader="none" w:pos="4513"/>
        <w:tab w:val="right" w:leader="none" w:pos="9026"/>
      </w:tabs>
      <w:spacing w:after="0" w:lineRule="auto" w:line="240"/>
    </w:pPr>
    <w:rPr/>
  </w:style>
  <w:style w:type="character" w:customStyle="1" w:styleId="style4100">
    <w:name w:val="Footer Char_26799f70-3c0c-4416-a51b-155975174f78"/>
    <w:basedOn w:val="style65"/>
    <w:next w:val="style4100"/>
    <w:link w:val="style32"/>
    <w:uiPriority w:val="99"/>
  </w:style>
</w:styles>
</file>

<file path=word/_rels/document.xml.rels><?xml version="1.0" encoding="UTF-8"?>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header" Target="header5.xml"/><Relationship Id="rId12" Type="http://schemas.openxmlformats.org/officeDocument/2006/relationships/footer" Target="footer4.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header" Target="header1.xml"/><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18"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7.png"/></Relationships>
</file>

<file path=word/_rels/header2.xml.rels><?xml version="1.0" encoding="UTF-8"?>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9B037-B452-4145-BE19-D0D3E4529F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3671</Words>
  <Pages>19</Pages>
  <Characters>23792</Characters>
  <Application>WPS Office</Application>
  <DocSecurity>0</DocSecurity>
  <Paragraphs>408</Paragraphs>
  <ScaleCrop>false</ScaleCrop>
  <LinksUpToDate>false</LinksUpToDate>
  <CharactersWithSpaces>27293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2026-03-26T21:53:00Z</dcterms:created>
  <dc:creator>WPS Office</dc:creator>
  <lastModifiedBy>SM-S948B</lastModifiedBy>
  <dcterms:modified xsi:type="dcterms:W3CDTF">2026-03-26T21:54:27Z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55b0f4fb252f4ed286e9c21627ec7547</vt:lpwstr>
  </property>
</Properties>
</file>