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118C2" w14:textId="77777777" w:rsidR="006D0E48" w:rsidRPr="00744BA4" w:rsidRDefault="006D0E48" w:rsidP="00744BA4">
      <w:pPr>
        <w:tabs>
          <w:tab w:val="left" w:pos="700"/>
        </w:tabs>
        <w:spacing w:line="360" w:lineRule="auto"/>
        <w:jc w:val="center"/>
        <w:rPr>
          <w:rFonts w:ascii="Arial" w:hAnsi="Arial" w:cs="Arial"/>
          <w:sz w:val="32"/>
          <w:szCs w:val="32"/>
          <w:lang w:val="en-US"/>
        </w:rPr>
      </w:pPr>
    </w:p>
    <w:p w14:paraId="6F46B75A" w14:textId="59409FD8" w:rsidR="006D0E48" w:rsidRPr="00744BA4" w:rsidRDefault="006D0E48" w:rsidP="00744BA4">
      <w:pPr>
        <w:tabs>
          <w:tab w:val="left" w:pos="700"/>
        </w:tabs>
        <w:spacing w:line="360" w:lineRule="auto"/>
        <w:jc w:val="center"/>
        <w:rPr>
          <w:rFonts w:ascii="Arial" w:hAnsi="Arial" w:cs="Arial"/>
          <w:b/>
          <w:bCs/>
          <w:sz w:val="32"/>
          <w:szCs w:val="32"/>
          <w:lang w:val="en-US"/>
        </w:rPr>
      </w:pPr>
      <w:r w:rsidRPr="00744BA4">
        <w:rPr>
          <w:rFonts w:ascii="Arial" w:hAnsi="Arial" w:cs="Arial"/>
          <w:b/>
          <w:bCs/>
          <w:sz w:val="32"/>
          <w:szCs w:val="32"/>
          <w:lang w:val="en-US"/>
        </w:rPr>
        <w:t>Social Epidemiology and Public Health Development</w:t>
      </w:r>
    </w:p>
    <w:p w14:paraId="06F4F5A7" w14:textId="77777777" w:rsidR="006D0E48" w:rsidRPr="00744BA4" w:rsidRDefault="006D0E48" w:rsidP="00744BA4">
      <w:pPr>
        <w:tabs>
          <w:tab w:val="left" w:pos="700"/>
        </w:tabs>
        <w:spacing w:line="360" w:lineRule="auto"/>
        <w:jc w:val="center"/>
        <w:rPr>
          <w:rFonts w:ascii="Arial" w:hAnsi="Arial" w:cs="Arial"/>
          <w:sz w:val="32"/>
          <w:szCs w:val="32"/>
          <w:lang w:val="en-US"/>
        </w:rPr>
      </w:pPr>
      <w:r w:rsidRPr="00744BA4">
        <w:rPr>
          <w:rFonts w:ascii="Arial" w:hAnsi="Arial" w:cs="Arial"/>
          <w:sz w:val="32"/>
          <w:szCs w:val="32"/>
          <w:lang w:val="en-US"/>
        </w:rPr>
        <w:t>Component 2: Analytical Report</w:t>
      </w:r>
    </w:p>
    <w:p w14:paraId="06271474" w14:textId="78E1399C" w:rsidR="006D0E48" w:rsidRDefault="006D0E48" w:rsidP="00744BA4">
      <w:pPr>
        <w:tabs>
          <w:tab w:val="left" w:pos="700"/>
        </w:tabs>
        <w:spacing w:line="360" w:lineRule="auto"/>
        <w:jc w:val="center"/>
        <w:rPr>
          <w:rFonts w:ascii="Arial" w:hAnsi="Arial" w:cs="Arial"/>
          <w:sz w:val="32"/>
          <w:szCs w:val="32"/>
          <w:lang w:val="en-US"/>
        </w:rPr>
      </w:pPr>
      <w:r w:rsidRPr="00744BA4">
        <w:rPr>
          <w:rFonts w:ascii="Arial" w:hAnsi="Arial" w:cs="Arial"/>
          <w:sz w:val="32"/>
          <w:szCs w:val="32"/>
          <w:lang w:val="en-US"/>
        </w:rPr>
        <w:t>Program: MSc Public Health and Social Care in Practice</w:t>
      </w:r>
      <w:r w:rsidRPr="00744BA4">
        <w:rPr>
          <w:rFonts w:ascii="Arial" w:hAnsi="Arial" w:cs="Arial"/>
          <w:sz w:val="32"/>
          <w:szCs w:val="32"/>
          <w:lang w:val="en-US"/>
        </w:rPr>
        <w:br/>
        <w:t>Module: Social Epidemiology and Public Health Development</w:t>
      </w:r>
      <w:r w:rsidRPr="00744BA4">
        <w:rPr>
          <w:rFonts w:ascii="Arial" w:hAnsi="Arial" w:cs="Arial"/>
          <w:sz w:val="32"/>
          <w:szCs w:val="32"/>
          <w:lang w:val="en-US"/>
        </w:rPr>
        <w:br/>
        <w:t>Module Code: LCHS7000</w:t>
      </w:r>
      <w:r w:rsidRPr="00744BA4">
        <w:rPr>
          <w:rFonts w:ascii="Arial" w:hAnsi="Arial" w:cs="Arial"/>
          <w:sz w:val="32"/>
          <w:szCs w:val="32"/>
          <w:lang w:val="en-US"/>
        </w:rPr>
        <w:br/>
        <w:t>Lecturer: Dr Hamdi Hussain</w:t>
      </w:r>
      <w:r w:rsidRPr="00744BA4">
        <w:rPr>
          <w:rFonts w:ascii="Arial" w:hAnsi="Arial" w:cs="Arial"/>
          <w:sz w:val="32"/>
          <w:szCs w:val="32"/>
          <w:lang w:val="en-US"/>
        </w:rPr>
        <w:br/>
        <w:t xml:space="preserve">Assignment Title: </w:t>
      </w:r>
      <w:r w:rsidR="006D5F46" w:rsidRPr="006D5F46">
        <w:rPr>
          <w:rFonts w:ascii="Arial" w:hAnsi="Arial" w:cs="Arial"/>
          <w:sz w:val="32"/>
          <w:szCs w:val="32"/>
          <w:lang w:val="en-US"/>
        </w:rPr>
        <w:t>Health Needs Assessment of Older Adults in the London Borough</w:t>
      </w:r>
      <w:r w:rsidRPr="00744BA4">
        <w:rPr>
          <w:rFonts w:ascii="Arial" w:hAnsi="Arial" w:cs="Arial"/>
          <w:sz w:val="32"/>
          <w:szCs w:val="32"/>
          <w:lang w:val="en-US"/>
        </w:rPr>
        <w:br/>
      </w:r>
      <w:r w:rsidR="00D24D9C">
        <w:rPr>
          <w:rFonts w:ascii="Arial" w:hAnsi="Arial" w:cs="Arial"/>
          <w:sz w:val="32"/>
          <w:szCs w:val="32"/>
          <w:lang w:val="en-US"/>
        </w:rPr>
        <w:t>Name: Paul Amoh</w:t>
      </w:r>
    </w:p>
    <w:p w14:paraId="6C87F479" w14:textId="36E3C0B3" w:rsidR="00D24D9C" w:rsidRDefault="00D24D9C" w:rsidP="00744BA4">
      <w:pPr>
        <w:tabs>
          <w:tab w:val="left" w:pos="700"/>
        </w:tabs>
        <w:spacing w:line="360" w:lineRule="auto"/>
        <w:jc w:val="center"/>
        <w:rPr>
          <w:rFonts w:ascii="Arial" w:hAnsi="Arial" w:cs="Arial"/>
          <w:sz w:val="32"/>
          <w:szCs w:val="32"/>
          <w:lang w:val="en-US"/>
        </w:rPr>
      </w:pPr>
      <w:r>
        <w:rPr>
          <w:rFonts w:ascii="Arial" w:hAnsi="Arial" w:cs="Arial"/>
          <w:sz w:val="32"/>
          <w:szCs w:val="32"/>
          <w:lang w:val="en-US"/>
        </w:rPr>
        <w:t>Student number:</w:t>
      </w:r>
      <w:r w:rsidR="00AD3A36">
        <w:rPr>
          <w:rFonts w:ascii="Arial" w:hAnsi="Arial" w:cs="Arial"/>
          <w:sz w:val="32"/>
          <w:szCs w:val="32"/>
          <w:lang w:val="en-US"/>
        </w:rPr>
        <w:t xml:space="preserve"> </w:t>
      </w:r>
      <w:r w:rsidR="00C4667D">
        <w:rPr>
          <w:rFonts w:ascii="Arial" w:hAnsi="Arial" w:cs="Arial"/>
          <w:sz w:val="32"/>
          <w:szCs w:val="32"/>
          <w:lang w:val="en-US"/>
        </w:rPr>
        <w:t>224629</w:t>
      </w:r>
      <w:r w:rsidR="00390D72">
        <w:rPr>
          <w:rFonts w:ascii="Arial" w:hAnsi="Arial" w:cs="Arial"/>
          <w:sz w:val="32"/>
          <w:szCs w:val="32"/>
          <w:lang w:val="en-US"/>
        </w:rPr>
        <w:t>7</w:t>
      </w:r>
    </w:p>
    <w:p w14:paraId="3F3C83E7" w14:textId="77777777" w:rsidR="00D24D9C" w:rsidRPr="00744BA4" w:rsidRDefault="00D24D9C" w:rsidP="00744BA4">
      <w:pPr>
        <w:tabs>
          <w:tab w:val="left" w:pos="700"/>
        </w:tabs>
        <w:spacing w:line="360" w:lineRule="auto"/>
        <w:jc w:val="center"/>
        <w:rPr>
          <w:rFonts w:ascii="Arial" w:hAnsi="Arial" w:cs="Arial"/>
          <w:sz w:val="32"/>
          <w:szCs w:val="32"/>
          <w:lang w:val="en-US"/>
        </w:rPr>
      </w:pPr>
    </w:p>
    <w:p w14:paraId="0982B2F7" w14:textId="77777777" w:rsidR="006D0E48" w:rsidRPr="00744BA4" w:rsidRDefault="006D0E48" w:rsidP="00744BA4">
      <w:pPr>
        <w:tabs>
          <w:tab w:val="left" w:pos="700"/>
        </w:tabs>
        <w:spacing w:line="360" w:lineRule="auto"/>
        <w:jc w:val="center"/>
        <w:rPr>
          <w:rFonts w:ascii="Arial" w:hAnsi="Arial" w:cs="Arial"/>
          <w:sz w:val="28"/>
          <w:szCs w:val="28"/>
          <w:lang w:val="en-US"/>
        </w:rPr>
      </w:pPr>
    </w:p>
    <w:p w14:paraId="23249F99" w14:textId="77777777" w:rsidR="006D0E48" w:rsidRPr="00744BA4" w:rsidRDefault="006D0E48" w:rsidP="00744BA4">
      <w:pPr>
        <w:tabs>
          <w:tab w:val="left" w:pos="700"/>
        </w:tabs>
        <w:spacing w:line="360" w:lineRule="auto"/>
        <w:jc w:val="center"/>
        <w:rPr>
          <w:rFonts w:ascii="Arial" w:hAnsi="Arial" w:cs="Arial"/>
          <w:sz w:val="28"/>
          <w:szCs w:val="28"/>
          <w:lang w:val="en-US"/>
        </w:rPr>
      </w:pPr>
    </w:p>
    <w:p w14:paraId="03CDDC55" w14:textId="77777777" w:rsidR="006D0E48" w:rsidRPr="00744BA4" w:rsidRDefault="006D0E48" w:rsidP="00744BA4">
      <w:pPr>
        <w:tabs>
          <w:tab w:val="left" w:pos="700"/>
        </w:tabs>
        <w:spacing w:line="360" w:lineRule="auto"/>
        <w:jc w:val="center"/>
        <w:rPr>
          <w:rFonts w:ascii="Arial" w:hAnsi="Arial" w:cs="Arial"/>
          <w:sz w:val="28"/>
          <w:szCs w:val="28"/>
          <w:lang w:val="en-US"/>
        </w:rPr>
      </w:pPr>
    </w:p>
    <w:p w14:paraId="543435AE" w14:textId="77777777" w:rsidR="006D0E48" w:rsidRPr="00744BA4" w:rsidRDefault="006D0E48" w:rsidP="00744BA4">
      <w:pPr>
        <w:tabs>
          <w:tab w:val="left" w:pos="700"/>
        </w:tabs>
        <w:spacing w:line="360" w:lineRule="auto"/>
        <w:jc w:val="center"/>
        <w:rPr>
          <w:rFonts w:ascii="Arial" w:hAnsi="Arial" w:cs="Arial"/>
          <w:sz w:val="28"/>
          <w:szCs w:val="28"/>
          <w:lang w:val="en-US"/>
        </w:rPr>
      </w:pPr>
    </w:p>
    <w:p w14:paraId="74BE6087" w14:textId="77777777" w:rsidR="006D0E48" w:rsidRPr="00744BA4" w:rsidRDefault="006D0E48" w:rsidP="00744BA4">
      <w:pPr>
        <w:tabs>
          <w:tab w:val="left" w:pos="700"/>
        </w:tabs>
        <w:spacing w:line="360" w:lineRule="auto"/>
        <w:jc w:val="center"/>
        <w:rPr>
          <w:rFonts w:ascii="Arial" w:hAnsi="Arial" w:cs="Arial"/>
          <w:sz w:val="28"/>
          <w:szCs w:val="28"/>
          <w:lang w:val="en-US"/>
        </w:rPr>
      </w:pPr>
    </w:p>
    <w:p w14:paraId="386FB239" w14:textId="77777777" w:rsidR="006D0E48" w:rsidRPr="00744BA4" w:rsidRDefault="006D0E48" w:rsidP="00744BA4">
      <w:pPr>
        <w:tabs>
          <w:tab w:val="left" w:pos="700"/>
        </w:tabs>
        <w:spacing w:line="360" w:lineRule="auto"/>
        <w:jc w:val="center"/>
        <w:rPr>
          <w:rFonts w:ascii="Arial" w:hAnsi="Arial" w:cs="Arial"/>
          <w:sz w:val="28"/>
          <w:szCs w:val="28"/>
          <w:lang w:val="en-US"/>
        </w:rPr>
      </w:pPr>
    </w:p>
    <w:p w14:paraId="343D72A0" w14:textId="77777777" w:rsidR="006D0E48" w:rsidRPr="00744BA4" w:rsidRDefault="006D0E48" w:rsidP="00744BA4">
      <w:pPr>
        <w:tabs>
          <w:tab w:val="left" w:pos="700"/>
        </w:tabs>
        <w:spacing w:line="360" w:lineRule="auto"/>
        <w:jc w:val="center"/>
        <w:rPr>
          <w:rFonts w:ascii="Arial" w:hAnsi="Arial" w:cs="Arial"/>
          <w:sz w:val="28"/>
          <w:szCs w:val="28"/>
          <w:lang w:val="en-US"/>
        </w:rPr>
      </w:pPr>
    </w:p>
    <w:p w14:paraId="5D026D46" w14:textId="77777777" w:rsidR="006D0E48" w:rsidRPr="00744BA4" w:rsidRDefault="006D0E48" w:rsidP="00744BA4">
      <w:pPr>
        <w:tabs>
          <w:tab w:val="left" w:pos="700"/>
        </w:tabs>
        <w:spacing w:line="360" w:lineRule="auto"/>
        <w:jc w:val="center"/>
        <w:rPr>
          <w:rFonts w:ascii="Arial" w:hAnsi="Arial" w:cs="Arial"/>
          <w:sz w:val="28"/>
          <w:szCs w:val="28"/>
          <w:lang w:val="en-US"/>
        </w:rPr>
      </w:pPr>
    </w:p>
    <w:p w14:paraId="0FD3621C" w14:textId="77777777" w:rsidR="006D0E48" w:rsidRPr="00744BA4" w:rsidRDefault="006D0E48" w:rsidP="00744BA4">
      <w:pPr>
        <w:tabs>
          <w:tab w:val="left" w:pos="700"/>
        </w:tabs>
        <w:spacing w:line="360" w:lineRule="auto"/>
        <w:jc w:val="center"/>
        <w:rPr>
          <w:rFonts w:ascii="Arial" w:hAnsi="Arial" w:cs="Arial"/>
          <w:sz w:val="28"/>
          <w:szCs w:val="28"/>
          <w:lang w:val="en-US"/>
        </w:rPr>
      </w:pPr>
    </w:p>
    <w:p w14:paraId="0DAFA86F" w14:textId="77777777" w:rsidR="006D0E48" w:rsidRPr="00744BA4" w:rsidRDefault="006D0E48" w:rsidP="00744BA4">
      <w:pPr>
        <w:tabs>
          <w:tab w:val="left" w:pos="700"/>
        </w:tabs>
        <w:spacing w:line="360" w:lineRule="auto"/>
        <w:jc w:val="center"/>
        <w:rPr>
          <w:rFonts w:ascii="Arial" w:hAnsi="Arial" w:cs="Arial"/>
          <w:sz w:val="28"/>
          <w:szCs w:val="28"/>
          <w:lang w:val="en-US"/>
        </w:rPr>
      </w:pPr>
    </w:p>
    <w:p w14:paraId="7E80C82E" w14:textId="3B6786EB" w:rsidR="006D0E48" w:rsidRPr="00744BA4" w:rsidRDefault="006D0E48" w:rsidP="00744BA4">
      <w:pPr>
        <w:tabs>
          <w:tab w:val="left" w:pos="700"/>
        </w:tabs>
        <w:spacing w:line="360" w:lineRule="auto"/>
        <w:jc w:val="center"/>
        <w:rPr>
          <w:rFonts w:ascii="Arial" w:hAnsi="Arial" w:cs="Arial"/>
          <w:sz w:val="28"/>
          <w:szCs w:val="28"/>
          <w:lang w:val="en-US"/>
        </w:rPr>
      </w:pPr>
      <w:r w:rsidRPr="00744BA4">
        <w:rPr>
          <w:rFonts w:ascii="Arial" w:hAnsi="Arial" w:cs="Arial"/>
          <w:sz w:val="28"/>
          <w:szCs w:val="28"/>
          <w:lang w:val="en-US"/>
        </w:rPr>
        <w:lastRenderedPageBreak/>
        <w:t>Submission Date: 20 July 2026</w:t>
      </w:r>
    </w:p>
    <w:p w14:paraId="7A9032C1" w14:textId="33F3C954" w:rsidR="001B30E1" w:rsidRPr="00744BA4" w:rsidRDefault="006D0E48" w:rsidP="00744BA4">
      <w:pPr>
        <w:spacing w:line="360" w:lineRule="auto"/>
        <w:jc w:val="center"/>
        <w:rPr>
          <w:rFonts w:ascii="Arial" w:hAnsi="Arial" w:cs="Arial"/>
          <w:b/>
          <w:sz w:val="28"/>
          <w:szCs w:val="28"/>
        </w:rPr>
      </w:pPr>
      <w:r w:rsidRPr="00744BA4">
        <w:rPr>
          <w:rFonts w:ascii="Arial" w:hAnsi="Arial" w:cs="Arial"/>
          <w:b/>
          <w:sz w:val="28"/>
          <w:szCs w:val="28"/>
        </w:rPr>
        <w:br w:type="page"/>
      </w:r>
    </w:p>
    <w:sdt>
      <w:sdtPr>
        <w:rPr>
          <w:rFonts w:ascii="Arial" w:eastAsiaTheme="minorHAnsi" w:hAnsi="Arial" w:cs="Arial"/>
          <w:color w:val="auto"/>
          <w:sz w:val="24"/>
          <w:szCs w:val="24"/>
          <w:lang w:val="en-GB"/>
        </w:rPr>
        <w:id w:val="-2116290195"/>
        <w:docPartObj>
          <w:docPartGallery w:val="Table of Contents"/>
          <w:docPartUnique/>
        </w:docPartObj>
      </w:sdtPr>
      <w:sdtEndPr>
        <w:rPr>
          <w:b/>
          <w:bCs/>
          <w:noProof/>
        </w:rPr>
      </w:sdtEndPr>
      <w:sdtContent>
        <w:p w14:paraId="08F80636" w14:textId="77777777" w:rsidR="001B30E1" w:rsidRPr="00DB0E2D" w:rsidRDefault="001B30E1" w:rsidP="00744BA4">
          <w:pPr>
            <w:pStyle w:val="TOCHeading"/>
            <w:spacing w:line="276" w:lineRule="auto"/>
            <w:jc w:val="center"/>
            <w:rPr>
              <w:rStyle w:val="Heading1Char"/>
            </w:rPr>
          </w:pPr>
          <w:r w:rsidRPr="00DB0E2D">
            <w:rPr>
              <w:rStyle w:val="Heading1Char"/>
            </w:rPr>
            <w:t>Table of Contents</w:t>
          </w:r>
        </w:p>
        <w:p w14:paraId="2E12EEE7" w14:textId="77777777" w:rsidR="001B30E1" w:rsidRPr="00DB0E2D" w:rsidRDefault="001B30E1" w:rsidP="00744BA4">
          <w:pPr>
            <w:pStyle w:val="TOC1"/>
            <w:tabs>
              <w:tab w:val="right" w:leader="dot" w:pos="9016"/>
            </w:tabs>
            <w:spacing w:line="276" w:lineRule="auto"/>
            <w:jc w:val="both"/>
            <w:rPr>
              <w:rFonts w:ascii="Arial" w:hAnsi="Arial" w:cs="Arial"/>
              <w:noProof/>
              <w:sz w:val="24"/>
              <w:szCs w:val="24"/>
            </w:rPr>
          </w:pPr>
          <w:r w:rsidRPr="00DB0E2D">
            <w:rPr>
              <w:rFonts w:ascii="Arial" w:hAnsi="Arial" w:cs="Arial"/>
              <w:sz w:val="24"/>
              <w:szCs w:val="24"/>
            </w:rPr>
            <w:fldChar w:fldCharType="begin"/>
          </w:r>
          <w:r w:rsidRPr="00DB0E2D">
            <w:rPr>
              <w:rFonts w:ascii="Arial" w:hAnsi="Arial" w:cs="Arial"/>
              <w:sz w:val="24"/>
              <w:szCs w:val="24"/>
            </w:rPr>
            <w:instrText xml:space="preserve"> TOC \o "1-3" \h \z \u </w:instrText>
          </w:r>
          <w:r w:rsidRPr="00DB0E2D">
            <w:rPr>
              <w:rFonts w:ascii="Arial" w:hAnsi="Arial" w:cs="Arial"/>
              <w:sz w:val="24"/>
              <w:szCs w:val="24"/>
            </w:rPr>
            <w:fldChar w:fldCharType="separate"/>
          </w:r>
          <w:hyperlink w:anchor="_Toc235092045" w:history="1">
            <w:r w:rsidRPr="00DB0E2D">
              <w:rPr>
                <w:rStyle w:val="Hyperlink"/>
                <w:rFonts w:ascii="Arial" w:eastAsia="Times New Roman" w:hAnsi="Arial" w:cs="Arial"/>
                <w:noProof/>
                <w:sz w:val="24"/>
                <w:szCs w:val="24"/>
                <w:lang w:eastAsia="en-GB"/>
              </w:rPr>
              <w:t>Introduction</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_Toc235092045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3</w:t>
            </w:r>
            <w:r w:rsidRPr="00DB0E2D">
              <w:rPr>
                <w:rFonts w:ascii="Arial" w:hAnsi="Arial" w:cs="Arial"/>
                <w:noProof/>
                <w:webHidden/>
                <w:sz w:val="24"/>
                <w:szCs w:val="24"/>
              </w:rPr>
              <w:fldChar w:fldCharType="end"/>
            </w:r>
          </w:hyperlink>
        </w:p>
        <w:p w14:paraId="2763F0FB" w14:textId="77777777" w:rsidR="001B30E1" w:rsidRPr="00DB0E2D" w:rsidRDefault="001B30E1" w:rsidP="00744BA4">
          <w:pPr>
            <w:pStyle w:val="TOC1"/>
            <w:tabs>
              <w:tab w:val="right" w:leader="dot" w:pos="9016"/>
            </w:tabs>
            <w:spacing w:line="276" w:lineRule="auto"/>
            <w:jc w:val="both"/>
            <w:rPr>
              <w:rFonts w:ascii="Arial" w:hAnsi="Arial" w:cs="Arial"/>
              <w:noProof/>
              <w:sz w:val="24"/>
              <w:szCs w:val="24"/>
            </w:rPr>
          </w:pPr>
          <w:hyperlink w:anchor="_Toc235092046" w:history="1">
            <w:r w:rsidRPr="00DB0E2D">
              <w:rPr>
                <w:rStyle w:val="Hyperlink"/>
                <w:rFonts w:ascii="Arial" w:hAnsi="Arial" w:cs="Arial"/>
                <w:noProof/>
                <w:sz w:val="24"/>
                <w:szCs w:val="24"/>
              </w:rPr>
              <w:t>2. Contextual Background and Underlying Factors</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_Toc235092046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4</w:t>
            </w:r>
            <w:r w:rsidRPr="00DB0E2D">
              <w:rPr>
                <w:rFonts w:ascii="Arial" w:hAnsi="Arial" w:cs="Arial"/>
                <w:noProof/>
                <w:webHidden/>
                <w:sz w:val="24"/>
                <w:szCs w:val="24"/>
              </w:rPr>
              <w:fldChar w:fldCharType="end"/>
            </w:r>
          </w:hyperlink>
        </w:p>
        <w:p w14:paraId="40209796"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47" w:history="1">
            <w:r w:rsidRPr="00DB0E2D">
              <w:rPr>
                <w:rStyle w:val="Hyperlink"/>
                <w:rFonts w:ascii="Arial" w:hAnsi="Arial" w:cs="Arial"/>
                <w:noProof/>
                <w:sz w:val="24"/>
                <w:szCs w:val="24"/>
              </w:rPr>
              <w:t>2.1 Higher Prevalence of Cardiovascular Disease</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_Toc235092047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4</w:t>
            </w:r>
            <w:r w:rsidRPr="00DB0E2D">
              <w:rPr>
                <w:rFonts w:ascii="Arial" w:hAnsi="Arial" w:cs="Arial"/>
                <w:noProof/>
                <w:webHidden/>
                <w:sz w:val="24"/>
                <w:szCs w:val="24"/>
              </w:rPr>
              <w:fldChar w:fldCharType="end"/>
            </w:r>
          </w:hyperlink>
        </w:p>
        <w:p w14:paraId="3D643D7E"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48" w:history="1">
            <w:r w:rsidRPr="00DB0E2D">
              <w:rPr>
                <w:rStyle w:val="Hyperlink"/>
                <w:rFonts w:ascii="Arial" w:hAnsi="Arial" w:cs="Arial"/>
                <w:noProof/>
                <w:sz w:val="24"/>
                <w:szCs w:val="24"/>
              </w:rPr>
              <w:t>2.2 Increasing Burden of Dementia</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_Toc235092048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5</w:t>
            </w:r>
            <w:r w:rsidRPr="00DB0E2D">
              <w:rPr>
                <w:rFonts w:ascii="Arial" w:hAnsi="Arial" w:cs="Arial"/>
                <w:noProof/>
                <w:webHidden/>
                <w:sz w:val="24"/>
                <w:szCs w:val="24"/>
              </w:rPr>
              <w:fldChar w:fldCharType="end"/>
            </w:r>
          </w:hyperlink>
        </w:p>
        <w:p w14:paraId="4997E91C"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49" w:history="1">
            <w:r w:rsidRPr="00DB0E2D">
              <w:rPr>
                <w:rStyle w:val="Hyperlink"/>
                <w:rFonts w:ascii="Arial" w:hAnsi="Arial" w:cs="Arial"/>
                <w:noProof/>
                <w:sz w:val="24"/>
                <w:szCs w:val="24"/>
              </w:rPr>
              <w:t>2.3 Higher Mortality and Multimorbidity Rates</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_Toc235092049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6</w:t>
            </w:r>
            <w:r w:rsidRPr="00DB0E2D">
              <w:rPr>
                <w:rFonts w:ascii="Arial" w:hAnsi="Arial" w:cs="Arial"/>
                <w:noProof/>
                <w:webHidden/>
                <w:sz w:val="24"/>
                <w:szCs w:val="24"/>
              </w:rPr>
              <w:fldChar w:fldCharType="end"/>
            </w:r>
          </w:hyperlink>
        </w:p>
        <w:p w14:paraId="63D6A4F2"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50" w:history="1">
            <w:r w:rsidRPr="00DB0E2D">
              <w:rPr>
                <w:rStyle w:val="Hyperlink"/>
                <w:rFonts w:ascii="Arial" w:hAnsi="Arial" w:cs="Arial"/>
                <w:noProof/>
                <w:sz w:val="24"/>
                <w:szCs w:val="24"/>
              </w:rPr>
              <w:t>2.4 Social Isolation and Loneliness</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_Toc235092050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6</w:t>
            </w:r>
            <w:r w:rsidRPr="00DB0E2D">
              <w:rPr>
                <w:rFonts w:ascii="Arial" w:hAnsi="Arial" w:cs="Arial"/>
                <w:noProof/>
                <w:webHidden/>
                <w:sz w:val="24"/>
                <w:szCs w:val="24"/>
              </w:rPr>
              <w:fldChar w:fldCharType="end"/>
            </w:r>
          </w:hyperlink>
        </w:p>
        <w:p w14:paraId="3C82C695"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51" w:history="1">
            <w:r w:rsidRPr="00DB0E2D">
              <w:rPr>
                <w:rStyle w:val="Hyperlink"/>
                <w:rFonts w:ascii="Arial" w:hAnsi="Arial" w:cs="Arial"/>
                <w:noProof/>
                <w:sz w:val="24"/>
                <w:szCs w:val="24"/>
              </w:rPr>
              <w:t>2.5 Poverty</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_Toc235092051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7</w:t>
            </w:r>
            <w:r w:rsidRPr="00DB0E2D">
              <w:rPr>
                <w:rFonts w:ascii="Arial" w:hAnsi="Arial" w:cs="Arial"/>
                <w:noProof/>
                <w:webHidden/>
                <w:sz w:val="24"/>
                <w:szCs w:val="24"/>
              </w:rPr>
              <w:fldChar w:fldCharType="end"/>
            </w:r>
          </w:hyperlink>
        </w:p>
        <w:p w14:paraId="000926D6"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52" w:history="1">
            <w:r w:rsidRPr="00DB0E2D">
              <w:rPr>
                <w:rStyle w:val="Hyperlink"/>
                <w:rFonts w:ascii="Arial" w:hAnsi="Arial" w:cs="Arial"/>
                <w:noProof/>
                <w:sz w:val="24"/>
                <w:szCs w:val="24"/>
              </w:rPr>
              <w:t>2.6. Poor Housing</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_Toc235092052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7</w:t>
            </w:r>
            <w:r w:rsidRPr="00DB0E2D">
              <w:rPr>
                <w:rFonts w:ascii="Arial" w:hAnsi="Arial" w:cs="Arial"/>
                <w:noProof/>
                <w:webHidden/>
                <w:sz w:val="24"/>
                <w:szCs w:val="24"/>
              </w:rPr>
              <w:fldChar w:fldCharType="end"/>
            </w:r>
          </w:hyperlink>
        </w:p>
        <w:p w14:paraId="7A239803" w14:textId="77777777" w:rsidR="001B30E1" w:rsidRPr="00DB0E2D" w:rsidRDefault="001B30E1" w:rsidP="00744BA4">
          <w:pPr>
            <w:pStyle w:val="TOC1"/>
            <w:tabs>
              <w:tab w:val="right" w:leader="dot" w:pos="9016"/>
            </w:tabs>
            <w:spacing w:line="276" w:lineRule="auto"/>
            <w:jc w:val="both"/>
            <w:rPr>
              <w:rFonts w:ascii="Arial" w:hAnsi="Arial" w:cs="Arial"/>
              <w:noProof/>
              <w:sz w:val="24"/>
              <w:szCs w:val="24"/>
            </w:rPr>
          </w:pPr>
          <w:hyperlink w:anchor="_Toc235092053" w:history="1">
            <w:r w:rsidRPr="00DB0E2D">
              <w:rPr>
                <w:rStyle w:val="Hyperlink"/>
                <w:rFonts w:ascii="Arial" w:hAnsi="Arial" w:cs="Arial"/>
                <w:noProof/>
                <w:sz w:val="24"/>
                <w:szCs w:val="24"/>
              </w:rPr>
              <w:t>3. National Responses to Reduce Health Inequalities</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_Toc235092053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7</w:t>
            </w:r>
            <w:r w:rsidRPr="00DB0E2D">
              <w:rPr>
                <w:rFonts w:ascii="Arial" w:hAnsi="Arial" w:cs="Arial"/>
                <w:noProof/>
                <w:webHidden/>
                <w:sz w:val="24"/>
                <w:szCs w:val="24"/>
              </w:rPr>
              <w:fldChar w:fldCharType="end"/>
            </w:r>
          </w:hyperlink>
        </w:p>
        <w:p w14:paraId="428B94BE" w14:textId="77777777" w:rsidR="001B30E1" w:rsidRPr="00DB0E2D" w:rsidRDefault="001B30E1" w:rsidP="00744BA4">
          <w:pPr>
            <w:pStyle w:val="TOC1"/>
            <w:tabs>
              <w:tab w:val="right" w:leader="dot" w:pos="9016"/>
            </w:tabs>
            <w:spacing w:line="276" w:lineRule="auto"/>
            <w:jc w:val="both"/>
            <w:rPr>
              <w:rFonts w:ascii="Arial" w:hAnsi="Arial" w:cs="Arial"/>
              <w:noProof/>
              <w:sz w:val="24"/>
              <w:szCs w:val="24"/>
            </w:rPr>
          </w:pPr>
          <w:hyperlink w:anchor="_Toc235092054" w:history="1">
            <w:r w:rsidRPr="00DB0E2D">
              <w:rPr>
                <w:rStyle w:val="Hyperlink"/>
                <w:rFonts w:ascii="Arial" w:hAnsi="Arial" w:cs="Arial"/>
                <w:noProof/>
                <w:sz w:val="24"/>
                <w:szCs w:val="24"/>
              </w:rPr>
              <w:t>4. Organisation Supporting Older Adults</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_Toc235092054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7</w:t>
            </w:r>
            <w:r w:rsidRPr="00DB0E2D">
              <w:rPr>
                <w:rFonts w:ascii="Arial" w:hAnsi="Arial" w:cs="Arial"/>
                <w:noProof/>
                <w:webHidden/>
                <w:sz w:val="24"/>
                <w:szCs w:val="24"/>
              </w:rPr>
              <w:fldChar w:fldCharType="end"/>
            </w:r>
          </w:hyperlink>
        </w:p>
        <w:p w14:paraId="7FD602A1" w14:textId="77777777" w:rsidR="001B30E1" w:rsidRPr="00DB0E2D" w:rsidRDefault="001B30E1" w:rsidP="00744BA4">
          <w:pPr>
            <w:pStyle w:val="TOC1"/>
            <w:tabs>
              <w:tab w:val="right" w:leader="dot" w:pos="9016"/>
            </w:tabs>
            <w:spacing w:line="276" w:lineRule="auto"/>
            <w:jc w:val="both"/>
            <w:rPr>
              <w:rFonts w:ascii="Arial" w:hAnsi="Arial" w:cs="Arial"/>
              <w:noProof/>
              <w:sz w:val="24"/>
              <w:szCs w:val="24"/>
            </w:rPr>
          </w:pPr>
          <w:hyperlink w:anchor="_Toc235092055" w:history="1">
            <w:r w:rsidRPr="00DB0E2D">
              <w:rPr>
                <w:rStyle w:val="Hyperlink"/>
                <w:rFonts w:ascii="Arial" w:hAnsi="Arial" w:cs="Arial"/>
                <w:noProof/>
                <w:sz w:val="24"/>
                <w:szCs w:val="24"/>
              </w:rPr>
              <w:t>Conclusion</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_Toc235092055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8</w:t>
            </w:r>
            <w:r w:rsidRPr="00DB0E2D">
              <w:rPr>
                <w:rFonts w:ascii="Arial" w:hAnsi="Arial" w:cs="Arial"/>
                <w:noProof/>
                <w:webHidden/>
                <w:sz w:val="24"/>
                <w:szCs w:val="24"/>
              </w:rPr>
              <w:fldChar w:fldCharType="end"/>
            </w:r>
          </w:hyperlink>
        </w:p>
        <w:p w14:paraId="502FD0E0" w14:textId="77777777" w:rsidR="001B30E1" w:rsidRPr="00DB0E2D" w:rsidRDefault="001B30E1" w:rsidP="00744BA4">
          <w:pPr>
            <w:pStyle w:val="TOC1"/>
            <w:tabs>
              <w:tab w:val="right" w:leader="dot" w:pos="9016"/>
            </w:tabs>
            <w:spacing w:line="276" w:lineRule="auto"/>
            <w:jc w:val="both"/>
            <w:rPr>
              <w:rFonts w:ascii="Arial" w:hAnsi="Arial" w:cs="Arial"/>
              <w:noProof/>
              <w:sz w:val="24"/>
              <w:szCs w:val="24"/>
            </w:rPr>
          </w:pPr>
          <w:hyperlink w:anchor="_Toc235092056" w:history="1">
            <w:r w:rsidRPr="00DB0E2D">
              <w:rPr>
                <w:rStyle w:val="Hyperlink"/>
                <w:rFonts w:ascii="Arial" w:hAnsi="Arial" w:cs="Arial"/>
                <w:noProof/>
                <w:sz w:val="24"/>
                <w:szCs w:val="24"/>
              </w:rPr>
              <w:t>Task 2</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_Toc235092056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9</w:t>
            </w:r>
            <w:r w:rsidRPr="00DB0E2D">
              <w:rPr>
                <w:rFonts w:ascii="Arial" w:hAnsi="Arial" w:cs="Arial"/>
                <w:noProof/>
                <w:webHidden/>
                <w:sz w:val="24"/>
                <w:szCs w:val="24"/>
              </w:rPr>
              <w:fldChar w:fldCharType="end"/>
            </w:r>
          </w:hyperlink>
        </w:p>
        <w:p w14:paraId="556CFAEA" w14:textId="77777777" w:rsidR="001B30E1" w:rsidRPr="00DB0E2D" w:rsidRDefault="001B30E1" w:rsidP="00744BA4">
          <w:pPr>
            <w:pStyle w:val="TOC1"/>
            <w:tabs>
              <w:tab w:val="right" w:leader="dot" w:pos="9016"/>
            </w:tabs>
            <w:spacing w:line="276" w:lineRule="auto"/>
            <w:jc w:val="both"/>
            <w:rPr>
              <w:rFonts w:ascii="Arial" w:hAnsi="Arial" w:cs="Arial"/>
              <w:noProof/>
              <w:sz w:val="24"/>
              <w:szCs w:val="24"/>
            </w:rPr>
          </w:pPr>
          <w:hyperlink w:anchor="_Toc235092057" w:history="1">
            <w:r w:rsidRPr="00DB0E2D">
              <w:rPr>
                <w:rStyle w:val="Hyperlink"/>
                <w:rFonts w:ascii="Arial" w:hAnsi="Arial" w:cs="Arial"/>
                <w:noProof/>
                <w:sz w:val="24"/>
                <w:szCs w:val="24"/>
              </w:rPr>
              <w:t>Epidemiological Analysis</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_Toc235092057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9</w:t>
            </w:r>
            <w:r w:rsidRPr="00DB0E2D">
              <w:rPr>
                <w:rFonts w:ascii="Arial" w:hAnsi="Arial" w:cs="Arial"/>
                <w:noProof/>
                <w:webHidden/>
                <w:sz w:val="24"/>
                <w:szCs w:val="24"/>
              </w:rPr>
              <w:fldChar w:fldCharType="end"/>
            </w:r>
          </w:hyperlink>
        </w:p>
        <w:p w14:paraId="50E2BF2B"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58" w:history="1">
            <w:r w:rsidRPr="00DB0E2D">
              <w:rPr>
                <w:rStyle w:val="Hyperlink"/>
                <w:rFonts w:ascii="Arial" w:hAnsi="Arial" w:cs="Arial"/>
                <w:noProof/>
                <w:sz w:val="24"/>
                <w:szCs w:val="24"/>
              </w:rPr>
              <w:t>1. Introduction</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_Toc235092058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9</w:t>
            </w:r>
            <w:r w:rsidRPr="00DB0E2D">
              <w:rPr>
                <w:rFonts w:ascii="Arial" w:hAnsi="Arial" w:cs="Arial"/>
                <w:noProof/>
                <w:webHidden/>
                <w:sz w:val="24"/>
                <w:szCs w:val="24"/>
              </w:rPr>
              <w:fldChar w:fldCharType="end"/>
            </w:r>
          </w:hyperlink>
        </w:p>
        <w:p w14:paraId="25CCBE7F"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59" w:history="1">
            <w:r w:rsidRPr="00DB0E2D">
              <w:rPr>
                <w:rStyle w:val="Hyperlink"/>
                <w:rFonts w:ascii="Arial" w:hAnsi="Arial" w:cs="Arial"/>
                <w:noProof/>
                <w:sz w:val="24"/>
                <w:szCs w:val="24"/>
              </w:rPr>
              <w:t>2. Public Health Measures for Type 2 Diabetes Control</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_Toc235092059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10</w:t>
            </w:r>
            <w:r w:rsidRPr="00DB0E2D">
              <w:rPr>
                <w:rFonts w:ascii="Arial" w:hAnsi="Arial" w:cs="Arial"/>
                <w:noProof/>
                <w:webHidden/>
                <w:sz w:val="24"/>
                <w:szCs w:val="24"/>
              </w:rPr>
              <w:fldChar w:fldCharType="end"/>
            </w:r>
          </w:hyperlink>
        </w:p>
        <w:p w14:paraId="3AB4DADD"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60" w:history="1">
            <w:r w:rsidRPr="00DB0E2D">
              <w:rPr>
                <w:rStyle w:val="Hyperlink"/>
                <w:rFonts w:ascii="Arial" w:hAnsi="Arial" w:cs="Arial"/>
                <w:noProof/>
                <w:sz w:val="24"/>
                <w:szCs w:val="24"/>
              </w:rPr>
              <w:t>2.1 Prevention</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_Toc235092060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10</w:t>
            </w:r>
            <w:r w:rsidRPr="00DB0E2D">
              <w:rPr>
                <w:rFonts w:ascii="Arial" w:hAnsi="Arial" w:cs="Arial"/>
                <w:noProof/>
                <w:webHidden/>
                <w:sz w:val="24"/>
                <w:szCs w:val="24"/>
              </w:rPr>
              <w:fldChar w:fldCharType="end"/>
            </w:r>
          </w:hyperlink>
        </w:p>
        <w:p w14:paraId="473D2A20"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61" w:history="1">
            <w:r w:rsidRPr="00DB0E2D">
              <w:rPr>
                <w:rStyle w:val="Hyperlink"/>
                <w:rFonts w:ascii="Arial" w:hAnsi="Arial" w:cs="Arial"/>
                <w:noProof/>
                <w:sz w:val="24"/>
                <w:szCs w:val="24"/>
              </w:rPr>
              <w:t>2.2 Protection</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_Toc235092061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11</w:t>
            </w:r>
            <w:r w:rsidRPr="00DB0E2D">
              <w:rPr>
                <w:rFonts w:ascii="Arial" w:hAnsi="Arial" w:cs="Arial"/>
                <w:noProof/>
                <w:webHidden/>
                <w:sz w:val="24"/>
                <w:szCs w:val="24"/>
              </w:rPr>
              <w:fldChar w:fldCharType="end"/>
            </w:r>
          </w:hyperlink>
        </w:p>
        <w:p w14:paraId="1085DF4D"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62" w:history="1">
            <w:r w:rsidRPr="00DB0E2D">
              <w:rPr>
                <w:rStyle w:val="Hyperlink"/>
                <w:rFonts w:ascii="Arial" w:hAnsi="Arial" w:cs="Arial"/>
                <w:noProof/>
                <w:sz w:val="24"/>
                <w:szCs w:val="24"/>
              </w:rPr>
              <w:t>2.3 Promotion</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_Toc235092062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11</w:t>
            </w:r>
            <w:r w:rsidRPr="00DB0E2D">
              <w:rPr>
                <w:rFonts w:ascii="Arial" w:hAnsi="Arial" w:cs="Arial"/>
                <w:noProof/>
                <w:webHidden/>
                <w:sz w:val="24"/>
                <w:szCs w:val="24"/>
              </w:rPr>
              <w:fldChar w:fldCharType="end"/>
            </w:r>
          </w:hyperlink>
        </w:p>
        <w:p w14:paraId="7AD43FFF"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63" w:history="1">
            <w:r w:rsidRPr="00DB0E2D">
              <w:rPr>
                <w:rStyle w:val="Hyperlink"/>
                <w:rFonts w:ascii="Arial" w:hAnsi="Arial" w:cs="Arial"/>
                <w:noProof/>
                <w:sz w:val="24"/>
                <w:szCs w:val="24"/>
              </w:rPr>
              <w:t>2.3 Determinants and Risk Factors of Type 2 Diabetes</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_Toc235092063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11</w:t>
            </w:r>
            <w:r w:rsidRPr="00DB0E2D">
              <w:rPr>
                <w:rFonts w:ascii="Arial" w:hAnsi="Arial" w:cs="Arial"/>
                <w:noProof/>
                <w:webHidden/>
                <w:sz w:val="24"/>
                <w:szCs w:val="24"/>
              </w:rPr>
              <w:fldChar w:fldCharType="end"/>
            </w:r>
          </w:hyperlink>
        </w:p>
        <w:p w14:paraId="3BA80E3A"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64" w:history="1">
            <w:r w:rsidRPr="00DB0E2D">
              <w:rPr>
                <w:rStyle w:val="Hyperlink"/>
                <w:rFonts w:ascii="Arial" w:hAnsi="Arial" w:cs="Arial"/>
                <w:noProof/>
                <w:sz w:val="24"/>
                <w:szCs w:val="24"/>
              </w:rPr>
              <w:t>2.4 Epidemiological Studies and Health Needs Assessment</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_Toc235092064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12</w:t>
            </w:r>
            <w:r w:rsidRPr="00DB0E2D">
              <w:rPr>
                <w:rFonts w:ascii="Arial" w:hAnsi="Arial" w:cs="Arial"/>
                <w:noProof/>
                <w:webHidden/>
                <w:sz w:val="24"/>
                <w:szCs w:val="24"/>
              </w:rPr>
              <w:fldChar w:fldCharType="end"/>
            </w:r>
          </w:hyperlink>
        </w:p>
        <w:p w14:paraId="393692D3"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65" w:history="1">
            <w:r w:rsidRPr="00DB0E2D">
              <w:rPr>
                <w:rStyle w:val="Hyperlink"/>
                <w:rFonts w:ascii="Arial" w:hAnsi="Arial" w:cs="Arial"/>
                <w:noProof/>
                <w:sz w:val="24"/>
                <w:szCs w:val="24"/>
              </w:rPr>
              <w:t>2.5 Monitoring and Surveillance Systems</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_Toc235092065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12</w:t>
            </w:r>
            <w:r w:rsidRPr="00DB0E2D">
              <w:rPr>
                <w:rFonts w:ascii="Arial" w:hAnsi="Arial" w:cs="Arial"/>
                <w:noProof/>
                <w:webHidden/>
                <w:sz w:val="24"/>
                <w:szCs w:val="24"/>
              </w:rPr>
              <w:fldChar w:fldCharType="end"/>
            </w:r>
          </w:hyperlink>
        </w:p>
        <w:p w14:paraId="7DAB74A0"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66" w:history="1">
            <w:r w:rsidRPr="00DB0E2D">
              <w:rPr>
                <w:rStyle w:val="Hyperlink"/>
                <w:rFonts w:ascii="Arial" w:hAnsi="Arial" w:cs="Arial"/>
                <w:noProof/>
                <w:sz w:val="24"/>
                <w:szCs w:val="24"/>
              </w:rPr>
              <w:t>6. Public Health Impact</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_Toc235092066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13</w:t>
            </w:r>
            <w:r w:rsidRPr="00DB0E2D">
              <w:rPr>
                <w:rFonts w:ascii="Arial" w:hAnsi="Arial" w:cs="Arial"/>
                <w:noProof/>
                <w:webHidden/>
                <w:sz w:val="24"/>
                <w:szCs w:val="24"/>
              </w:rPr>
              <w:fldChar w:fldCharType="end"/>
            </w:r>
          </w:hyperlink>
        </w:p>
        <w:p w14:paraId="35A6255F"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67" w:history="1">
            <w:r w:rsidRPr="00DB0E2D">
              <w:rPr>
                <w:rStyle w:val="Hyperlink"/>
                <w:rFonts w:ascii="Arial" w:hAnsi="Arial" w:cs="Arial"/>
                <w:noProof/>
                <w:sz w:val="24"/>
                <w:szCs w:val="24"/>
              </w:rPr>
              <w:t>7. Health Intervention Programme</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_Toc235092067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13</w:t>
            </w:r>
            <w:r w:rsidRPr="00DB0E2D">
              <w:rPr>
                <w:rFonts w:ascii="Arial" w:hAnsi="Arial" w:cs="Arial"/>
                <w:noProof/>
                <w:webHidden/>
                <w:sz w:val="24"/>
                <w:szCs w:val="24"/>
              </w:rPr>
              <w:fldChar w:fldCharType="end"/>
            </w:r>
          </w:hyperlink>
        </w:p>
        <w:p w14:paraId="41F4821B" w14:textId="77777777" w:rsidR="001B30E1" w:rsidRPr="00DB0E2D" w:rsidRDefault="001B30E1" w:rsidP="00744BA4">
          <w:pPr>
            <w:pStyle w:val="TOC2"/>
            <w:tabs>
              <w:tab w:val="right" w:leader="dot" w:pos="9016"/>
            </w:tabs>
            <w:spacing w:line="276" w:lineRule="auto"/>
            <w:jc w:val="both"/>
            <w:rPr>
              <w:rFonts w:ascii="Arial" w:hAnsi="Arial" w:cs="Arial"/>
              <w:noProof/>
              <w:sz w:val="24"/>
              <w:szCs w:val="24"/>
            </w:rPr>
          </w:pPr>
          <w:hyperlink w:anchor="_Toc235092068" w:history="1">
            <w:r w:rsidRPr="00DB0E2D">
              <w:rPr>
                <w:rStyle w:val="Hyperlink"/>
                <w:rFonts w:ascii="Arial" w:hAnsi="Arial" w:cs="Arial"/>
                <w:noProof/>
                <w:sz w:val="24"/>
                <w:szCs w:val="24"/>
              </w:rPr>
              <w:t>8. Strengths and Weaknesses of the Epidemiological Approach</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_Toc235092068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14</w:t>
            </w:r>
            <w:r w:rsidRPr="00DB0E2D">
              <w:rPr>
                <w:rFonts w:ascii="Arial" w:hAnsi="Arial" w:cs="Arial"/>
                <w:noProof/>
                <w:webHidden/>
                <w:sz w:val="24"/>
                <w:szCs w:val="24"/>
              </w:rPr>
              <w:fldChar w:fldCharType="end"/>
            </w:r>
          </w:hyperlink>
        </w:p>
        <w:p w14:paraId="5C30226B" w14:textId="77777777" w:rsidR="001B30E1" w:rsidRPr="00DB0E2D" w:rsidRDefault="001B30E1" w:rsidP="00744BA4">
          <w:pPr>
            <w:pStyle w:val="TOC1"/>
            <w:tabs>
              <w:tab w:val="right" w:leader="dot" w:pos="9016"/>
            </w:tabs>
            <w:spacing w:line="276" w:lineRule="auto"/>
            <w:jc w:val="both"/>
            <w:rPr>
              <w:rFonts w:ascii="Arial" w:hAnsi="Arial" w:cs="Arial"/>
              <w:noProof/>
              <w:sz w:val="24"/>
              <w:szCs w:val="24"/>
            </w:rPr>
          </w:pPr>
          <w:hyperlink w:anchor="_Toc235092069" w:history="1">
            <w:r w:rsidRPr="00DB0E2D">
              <w:rPr>
                <w:rStyle w:val="Hyperlink"/>
                <w:rFonts w:ascii="Arial" w:hAnsi="Arial" w:cs="Arial"/>
                <w:noProof/>
                <w:sz w:val="24"/>
                <w:szCs w:val="24"/>
              </w:rPr>
              <w:t>9. Conclusion</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_Toc235092069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15</w:t>
            </w:r>
            <w:r w:rsidRPr="00DB0E2D">
              <w:rPr>
                <w:rFonts w:ascii="Arial" w:hAnsi="Arial" w:cs="Arial"/>
                <w:noProof/>
                <w:webHidden/>
                <w:sz w:val="24"/>
                <w:szCs w:val="24"/>
              </w:rPr>
              <w:fldChar w:fldCharType="end"/>
            </w:r>
          </w:hyperlink>
        </w:p>
        <w:p w14:paraId="3DA55031" w14:textId="77777777" w:rsidR="001B30E1" w:rsidRPr="00DB0E2D" w:rsidRDefault="001B30E1" w:rsidP="00744BA4">
          <w:pPr>
            <w:pStyle w:val="TOC1"/>
            <w:tabs>
              <w:tab w:val="right" w:leader="dot" w:pos="9016"/>
            </w:tabs>
            <w:spacing w:line="276" w:lineRule="auto"/>
            <w:jc w:val="both"/>
            <w:rPr>
              <w:rFonts w:ascii="Arial" w:hAnsi="Arial" w:cs="Arial"/>
              <w:noProof/>
              <w:sz w:val="24"/>
              <w:szCs w:val="24"/>
            </w:rPr>
          </w:pPr>
          <w:hyperlink w:anchor="_Toc235092070" w:history="1">
            <w:r w:rsidRPr="00DB0E2D">
              <w:rPr>
                <w:rStyle w:val="Hyperlink"/>
                <w:rFonts w:ascii="Arial" w:hAnsi="Arial" w:cs="Arial"/>
                <w:noProof/>
                <w:sz w:val="24"/>
                <w:szCs w:val="24"/>
              </w:rPr>
              <w:t>References</w:t>
            </w:r>
            <w:r w:rsidRPr="00DB0E2D">
              <w:rPr>
                <w:rFonts w:ascii="Arial" w:hAnsi="Arial" w:cs="Arial"/>
                <w:noProof/>
                <w:webHidden/>
                <w:sz w:val="24"/>
                <w:szCs w:val="24"/>
              </w:rPr>
              <w:tab/>
            </w:r>
            <w:r w:rsidRPr="00DB0E2D">
              <w:rPr>
                <w:rFonts w:ascii="Arial" w:hAnsi="Arial" w:cs="Arial"/>
                <w:noProof/>
                <w:webHidden/>
                <w:sz w:val="24"/>
                <w:szCs w:val="24"/>
              </w:rPr>
              <w:fldChar w:fldCharType="begin"/>
            </w:r>
            <w:r w:rsidRPr="00DB0E2D">
              <w:rPr>
                <w:rFonts w:ascii="Arial" w:hAnsi="Arial" w:cs="Arial"/>
                <w:noProof/>
                <w:webHidden/>
                <w:sz w:val="24"/>
                <w:szCs w:val="24"/>
              </w:rPr>
              <w:instrText xml:space="preserve"> PAGEREF _Toc235092070 \h </w:instrText>
            </w:r>
            <w:r w:rsidRPr="00DB0E2D">
              <w:rPr>
                <w:rFonts w:ascii="Arial" w:hAnsi="Arial" w:cs="Arial"/>
                <w:noProof/>
                <w:webHidden/>
                <w:sz w:val="24"/>
                <w:szCs w:val="24"/>
              </w:rPr>
            </w:r>
            <w:r w:rsidRPr="00DB0E2D">
              <w:rPr>
                <w:rFonts w:ascii="Arial" w:hAnsi="Arial" w:cs="Arial"/>
                <w:noProof/>
                <w:webHidden/>
                <w:sz w:val="24"/>
                <w:szCs w:val="24"/>
              </w:rPr>
              <w:fldChar w:fldCharType="separate"/>
            </w:r>
            <w:r w:rsidRPr="00DB0E2D">
              <w:rPr>
                <w:rFonts w:ascii="Arial" w:hAnsi="Arial" w:cs="Arial"/>
                <w:noProof/>
                <w:webHidden/>
                <w:sz w:val="24"/>
                <w:szCs w:val="24"/>
              </w:rPr>
              <w:t>16</w:t>
            </w:r>
            <w:r w:rsidRPr="00DB0E2D">
              <w:rPr>
                <w:rFonts w:ascii="Arial" w:hAnsi="Arial" w:cs="Arial"/>
                <w:noProof/>
                <w:webHidden/>
                <w:sz w:val="24"/>
                <w:szCs w:val="24"/>
              </w:rPr>
              <w:fldChar w:fldCharType="end"/>
            </w:r>
          </w:hyperlink>
        </w:p>
        <w:p w14:paraId="7A80FCAE" w14:textId="73987A54" w:rsidR="00DB0E2D" w:rsidRPr="00744BA4" w:rsidRDefault="001B30E1" w:rsidP="00744BA4">
          <w:pPr>
            <w:spacing w:line="276" w:lineRule="auto"/>
            <w:jc w:val="both"/>
            <w:rPr>
              <w:rFonts w:ascii="Arial" w:hAnsi="Arial" w:cs="Arial"/>
              <w:b/>
              <w:bCs/>
              <w:noProof/>
              <w:sz w:val="24"/>
              <w:szCs w:val="24"/>
            </w:rPr>
          </w:pPr>
          <w:r w:rsidRPr="00DB0E2D">
            <w:rPr>
              <w:rFonts w:ascii="Arial" w:hAnsi="Arial" w:cs="Arial"/>
              <w:b/>
              <w:bCs/>
              <w:noProof/>
              <w:sz w:val="24"/>
              <w:szCs w:val="24"/>
            </w:rPr>
            <w:fldChar w:fldCharType="end"/>
          </w:r>
        </w:p>
      </w:sdtContent>
    </w:sdt>
    <w:bookmarkStart w:id="0" w:name="_Toc235092045" w:displacedByCustomXml="prev"/>
    <w:p w14:paraId="2202DEF4" w14:textId="77777777" w:rsidR="00744BA4" w:rsidRDefault="00744BA4">
      <w:pPr>
        <w:rPr>
          <w:rFonts w:ascii="Arial" w:eastAsiaTheme="majorEastAsia" w:hAnsi="Arial" w:cstheme="majorBidi"/>
          <w:b/>
          <w:color w:val="2F5496" w:themeColor="accent1" w:themeShade="BF"/>
          <w:sz w:val="32"/>
          <w:szCs w:val="32"/>
          <w:u w:val="single"/>
        </w:rPr>
      </w:pPr>
      <w:r>
        <w:br w:type="page"/>
      </w:r>
    </w:p>
    <w:p w14:paraId="13B12159" w14:textId="17AEA529" w:rsidR="00D051F5" w:rsidRPr="00DB0E2D" w:rsidRDefault="00D051F5" w:rsidP="00DB0E2D">
      <w:pPr>
        <w:pStyle w:val="Heading1"/>
      </w:pPr>
      <w:r w:rsidRPr="00DB0E2D">
        <w:lastRenderedPageBreak/>
        <w:t>Introduction</w:t>
      </w:r>
      <w:bookmarkEnd w:id="0"/>
    </w:p>
    <w:p w14:paraId="0D590FE1" w14:textId="15521CD3" w:rsidR="003816DE" w:rsidRPr="00DB0E2D" w:rsidRDefault="003816DE" w:rsidP="00DB0E2D">
      <w:pPr>
        <w:spacing w:line="360" w:lineRule="auto"/>
        <w:jc w:val="both"/>
        <w:rPr>
          <w:rFonts w:ascii="Arial" w:eastAsia="Times New Roman" w:hAnsi="Arial" w:cs="Arial"/>
          <w:b/>
          <w:bCs/>
          <w:sz w:val="24"/>
          <w:szCs w:val="24"/>
          <w:lang w:eastAsia="en-GB"/>
        </w:rPr>
      </w:pPr>
      <w:r w:rsidRPr="00DB0E2D">
        <w:rPr>
          <w:rStyle w:val="cursor-pointer"/>
          <w:rFonts w:ascii="Arial" w:hAnsi="Arial" w:cs="Arial"/>
          <w:sz w:val="24"/>
          <w:szCs w:val="24"/>
        </w:rPr>
        <w:t>Health inequalities involve an unfair and preventable variation in health and access to health care caused by social, economic and environmental factors.</w:t>
      </w:r>
      <w:r w:rsidRPr="00DB0E2D">
        <w:rPr>
          <w:rFonts w:ascii="Arial" w:hAnsi="Arial" w:cs="Arial"/>
          <w:sz w:val="24"/>
          <w:szCs w:val="24"/>
        </w:rPr>
        <w:t xml:space="preserve"> </w:t>
      </w:r>
      <w:r w:rsidRPr="00DB0E2D">
        <w:rPr>
          <w:rStyle w:val="cursor-pointer"/>
          <w:rFonts w:ascii="Arial" w:hAnsi="Arial" w:cs="Arial"/>
          <w:sz w:val="24"/>
          <w:szCs w:val="24"/>
        </w:rPr>
        <w:t xml:space="preserve">This report will concentrate on the older </w:t>
      </w:r>
      <w:r w:rsidR="003F6B93" w:rsidRPr="00DB0E2D">
        <w:rPr>
          <w:rFonts w:ascii="Arial" w:hAnsi="Arial" w:cs="Arial"/>
          <w:sz w:val="24"/>
          <w:szCs w:val="24"/>
        </w:rPr>
        <w:t>people</w:t>
      </w:r>
      <w:r w:rsidR="003F6B93" w:rsidRPr="00DB0E2D">
        <w:rPr>
          <w:rStyle w:val="cursor-pointer"/>
          <w:rFonts w:ascii="Arial" w:hAnsi="Arial" w:cs="Arial"/>
          <w:sz w:val="24"/>
          <w:szCs w:val="24"/>
        </w:rPr>
        <w:t xml:space="preserve"> </w:t>
      </w:r>
      <w:r w:rsidRPr="00DB0E2D">
        <w:rPr>
          <w:rStyle w:val="cursor-pointer"/>
          <w:rFonts w:ascii="Arial" w:hAnsi="Arial" w:cs="Arial"/>
          <w:sz w:val="24"/>
          <w:szCs w:val="24"/>
        </w:rPr>
        <w:t>(aged 65 years and over) in the United Kingdom, a group who are especially at risk of health inequalities as a result of increasing socioeconomic disadvantage and the process of ageing.</w:t>
      </w:r>
      <w:r w:rsidRPr="00DB0E2D">
        <w:rPr>
          <w:rFonts w:ascii="Arial" w:hAnsi="Arial" w:cs="Arial"/>
          <w:sz w:val="24"/>
          <w:szCs w:val="24"/>
        </w:rPr>
        <w:t xml:space="preserve"> </w:t>
      </w:r>
      <w:r w:rsidRPr="00DB0E2D">
        <w:rPr>
          <w:rStyle w:val="cursor-pointer"/>
          <w:rFonts w:ascii="Arial" w:hAnsi="Arial" w:cs="Arial"/>
          <w:sz w:val="24"/>
          <w:szCs w:val="24"/>
        </w:rPr>
        <w:t>In 2025, around 11 million people (around 19%) in England were aged 65 years and over, highlighting the increasing significance of tackling age-related health needs (</w:t>
      </w:r>
      <w:r w:rsidR="00E056B4" w:rsidRPr="00DB0E2D">
        <w:rPr>
          <w:rFonts w:ascii="Arial" w:hAnsi="Arial" w:cs="Arial"/>
          <w:sz w:val="24"/>
          <w:szCs w:val="24"/>
        </w:rPr>
        <w:t>Jacob et al., 2025</w:t>
      </w:r>
      <w:r w:rsidRPr="00DB0E2D">
        <w:rPr>
          <w:rStyle w:val="cursor-pointer"/>
          <w:rFonts w:ascii="Arial" w:hAnsi="Arial" w:cs="Arial"/>
          <w:sz w:val="24"/>
          <w:szCs w:val="24"/>
        </w:rPr>
        <w:t>).</w:t>
      </w:r>
    </w:p>
    <w:p w14:paraId="2CC2D539" w14:textId="2B76DF43" w:rsidR="00D051F5" w:rsidRPr="00DB0E2D" w:rsidRDefault="00770752" w:rsidP="00DB0E2D">
      <w:pPr>
        <w:spacing w:before="100" w:beforeAutospacing="1" w:after="100" w:afterAutospacing="1" w:line="360" w:lineRule="auto"/>
        <w:jc w:val="both"/>
        <w:rPr>
          <w:rFonts w:ascii="Arial" w:eastAsia="Times New Roman" w:hAnsi="Arial" w:cs="Arial"/>
          <w:sz w:val="24"/>
          <w:szCs w:val="24"/>
          <w:lang w:eastAsia="en-GB"/>
        </w:rPr>
      </w:pPr>
      <w:r w:rsidRPr="00DB0E2D">
        <w:rPr>
          <w:rFonts w:ascii="Arial" w:hAnsi="Arial" w:cs="Arial"/>
          <w:noProof/>
          <w:sz w:val="24"/>
          <w:szCs w:val="24"/>
        </w:rPr>
        <w:drawing>
          <wp:inline distT="0" distB="0" distL="0" distR="0" wp14:anchorId="0A5FC77D" wp14:editId="3EF5E33E">
            <wp:extent cx="5731510" cy="3666490"/>
            <wp:effectExtent l="0" t="0" r="2540" b="0"/>
            <wp:docPr id="1475599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599074" name=""/>
                    <pic:cNvPicPr/>
                  </pic:nvPicPr>
                  <pic:blipFill>
                    <a:blip r:embed="rId8"/>
                    <a:stretch>
                      <a:fillRect/>
                    </a:stretch>
                  </pic:blipFill>
                  <pic:spPr>
                    <a:xfrm>
                      <a:off x="0" y="0"/>
                      <a:ext cx="5731510" cy="3666490"/>
                    </a:xfrm>
                    <a:prstGeom prst="rect">
                      <a:avLst/>
                    </a:prstGeom>
                  </pic:spPr>
                </pic:pic>
              </a:graphicData>
            </a:graphic>
          </wp:inline>
        </w:drawing>
      </w:r>
    </w:p>
    <w:p w14:paraId="34611BC1" w14:textId="77777777" w:rsidR="00770752" w:rsidRPr="00744BA4" w:rsidRDefault="00770752" w:rsidP="00DB0E2D">
      <w:pPr>
        <w:spacing w:before="100" w:beforeAutospacing="1" w:after="100" w:afterAutospacing="1" w:line="360" w:lineRule="auto"/>
        <w:jc w:val="center"/>
        <w:rPr>
          <w:rFonts w:ascii="Arial" w:eastAsia="Times New Roman" w:hAnsi="Arial" w:cs="Arial"/>
          <w:b/>
          <w:bCs/>
          <w:iCs/>
          <w:sz w:val="24"/>
          <w:szCs w:val="24"/>
          <w:u w:val="single"/>
          <w:lang w:val="en-US" w:eastAsia="en-GB"/>
        </w:rPr>
      </w:pPr>
      <w:r w:rsidRPr="00744BA4">
        <w:rPr>
          <w:rFonts w:ascii="Arial" w:eastAsia="Times New Roman" w:hAnsi="Arial" w:cs="Arial"/>
          <w:b/>
          <w:bCs/>
          <w:iCs/>
          <w:sz w:val="24"/>
          <w:szCs w:val="24"/>
          <w:u w:val="single"/>
          <w:lang w:val="en-US" w:eastAsia="en-GB"/>
        </w:rPr>
        <w:t>Figure 1. Population Distribution by Age Group in England, 2025</w:t>
      </w:r>
    </w:p>
    <w:p w14:paraId="0C72999A" w14:textId="77777777" w:rsidR="00770752" w:rsidRPr="00744BA4" w:rsidRDefault="00770752" w:rsidP="00DB0E2D">
      <w:pPr>
        <w:spacing w:before="100" w:beforeAutospacing="1" w:after="100" w:afterAutospacing="1" w:line="360" w:lineRule="auto"/>
        <w:jc w:val="center"/>
        <w:rPr>
          <w:rFonts w:ascii="Arial" w:eastAsia="Times New Roman" w:hAnsi="Arial" w:cs="Arial"/>
          <w:b/>
          <w:bCs/>
          <w:iCs/>
          <w:sz w:val="24"/>
          <w:szCs w:val="24"/>
          <w:u w:val="single"/>
          <w:lang w:val="en-US" w:eastAsia="en-GB"/>
        </w:rPr>
      </w:pPr>
      <w:r w:rsidRPr="00744BA4">
        <w:rPr>
          <w:rFonts w:ascii="Arial" w:eastAsia="Times New Roman" w:hAnsi="Arial" w:cs="Arial"/>
          <w:b/>
          <w:bCs/>
          <w:iCs/>
          <w:sz w:val="24"/>
          <w:szCs w:val="24"/>
          <w:u w:val="single"/>
          <w:lang w:val="en-US" w:eastAsia="en-GB"/>
        </w:rPr>
        <w:t>Source: Adapted from Office for National Statistics (2025).</w:t>
      </w:r>
    </w:p>
    <w:p w14:paraId="0BA0E11D" w14:textId="71C7A23F" w:rsidR="00DF5C3B" w:rsidRPr="00DB0E2D" w:rsidRDefault="003816DE" w:rsidP="00DB0E2D">
      <w:pPr>
        <w:spacing w:before="100" w:beforeAutospacing="1" w:after="100" w:afterAutospacing="1" w:line="360" w:lineRule="auto"/>
        <w:jc w:val="both"/>
        <w:rPr>
          <w:rStyle w:val="Strong"/>
          <w:rFonts w:ascii="Arial" w:eastAsia="Times New Roman" w:hAnsi="Arial" w:cs="Arial"/>
          <w:b w:val="0"/>
          <w:bCs w:val="0"/>
          <w:sz w:val="24"/>
          <w:szCs w:val="24"/>
          <w:lang w:eastAsia="en-GB"/>
        </w:rPr>
      </w:pPr>
      <w:r w:rsidRPr="00DB0E2D">
        <w:rPr>
          <w:rStyle w:val="cursor-pointer"/>
          <w:rFonts w:ascii="Arial" w:hAnsi="Arial" w:cs="Arial"/>
          <w:sz w:val="24"/>
          <w:szCs w:val="24"/>
        </w:rPr>
        <w:t>Chronic conditions including cardiovascular diseases, dementia, diabetes is disproportionately affecting older people, as are social issues such as poverty, loneliness and poor housing conditions.</w:t>
      </w:r>
      <w:r w:rsidRPr="00DB0E2D">
        <w:rPr>
          <w:rFonts w:ascii="Arial" w:hAnsi="Arial" w:cs="Arial"/>
          <w:sz w:val="24"/>
          <w:szCs w:val="24"/>
        </w:rPr>
        <w:t xml:space="preserve"> </w:t>
      </w:r>
      <w:r w:rsidRPr="00DB0E2D">
        <w:rPr>
          <w:rStyle w:val="cursor-pointer"/>
          <w:rFonts w:ascii="Arial" w:hAnsi="Arial" w:cs="Arial"/>
          <w:sz w:val="24"/>
          <w:szCs w:val="24"/>
        </w:rPr>
        <w:t>Therefore, tackling age-related health inequalities is central to healthy ageing, enhancing quality of life and to achieve equity in access to health services in the United Kingdom.</w:t>
      </w:r>
      <w:bookmarkStart w:id="1" w:name="_Toc235092046"/>
    </w:p>
    <w:p w14:paraId="01CEE653" w14:textId="6ED5656C" w:rsidR="00D051F5" w:rsidRDefault="00212C73" w:rsidP="00DB0E2D">
      <w:pPr>
        <w:pStyle w:val="Heading1"/>
        <w:rPr>
          <w:rStyle w:val="Strong"/>
          <w:b/>
          <w:bCs w:val="0"/>
        </w:rPr>
      </w:pPr>
      <w:r w:rsidRPr="00DB0E2D">
        <w:rPr>
          <w:rStyle w:val="Strong"/>
          <w:b/>
          <w:bCs w:val="0"/>
        </w:rPr>
        <w:lastRenderedPageBreak/>
        <w:t xml:space="preserve">2. </w:t>
      </w:r>
      <w:r w:rsidR="00D051F5" w:rsidRPr="00DB0E2D">
        <w:rPr>
          <w:rStyle w:val="Strong"/>
          <w:b/>
          <w:bCs w:val="0"/>
        </w:rPr>
        <w:t>Contextual Background and Underlying Factors</w:t>
      </w:r>
      <w:bookmarkEnd w:id="1"/>
    </w:p>
    <w:p w14:paraId="3EAAA749" w14:textId="77777777" w:rsidR="00744BA4" w:rsidRPr="00744BA4" w:rsidRDefault="00744BA4" w:rsidP="00744BA4"/>
    <w:p w14:paraId="7966B526" w14:textId="0E1D006F" w:rsidR="003816DE" w:rsidRPr="00DB0E2D" w:rsidRDefault="003816DE" w:rsidP="00DB0E2D">
      <w:pPr>
        <w:spacing w:line="360" w:lineRule="auto"/>
        <w:jc w:val="both"/>
        <w:rPr>
          <w:rFonts w:ascii="Arial" w:hAnsi="Arial" w:cs="Arial"/>
          <w:sz w:val="24"/>
          <w:szCs w:val="24"/>
        </w:rPr>
      </w:pPr>
      <w:r w:rsidRPr="00DB0E2D">
        <w:rPr>
          <w:rStyle w:val="cursor-pointer"/>
          <w:rFonts w:ascii="Arial" w:hAnsi="Arial" w:cs="Arial"/>
          <w:sz w:val="24"/>
          <w:szCs w:val="24"/>
        </w:rPr>
        <w:t xml:space="preserve">The combined effects of biological ageing and other </w:t>
      </w:r>
      <w:r w:rsidR="003F6B93" w:rsidRPr="00DB0E2D">
        <w:rPr>
          <w:rFonts w:ascii="Arial" w:hAnsi="Arial" w:cs="Arial"/>
          <w:sz w:val="24"/>
          <w:szCs w:val="24"/>
        </w:rPr>
        <w:t>societal factors</w:t>
      </w:r>
      <w:r w:rsidR="003F6B93" w:rsidRPr="00DB0E2D">
        <w:rPr>
          <w:rStyle w:val="cursor-pointer"/>
          <w:rFonts w:ascii="Arial" w:hAnsi="Arial" w:cs="Arial"/>
          <w:sz w:val="24"/>
          <w:szCs w:val="24"/>
        </w:rPr>
        <w:t xml:space="preserve"> </w:t>
      </w:r>
      <w:r w:rsidRPr="00DB0E2D">
        <w:rPr>
          <w:rStyle w:val="cursor-pointer"/>
          <w:rFonts w:ascii="Arial" w:hAnsi="Arial" w:cs="Arial"/>
          <w:sz w:val="24"/>
          <w:szCs w:val="24"/>
        </w:rPr>
        <w:t xml:space="preserve">of health contribute to </w:t>
      </w:r>
      <w:r w:rsidR="003F6B93" w:rsidRPr="00DB0E2D">
        <w:rPr>
          <w:rFonts w:ascii="Arial" w:hAnsi="Arial" w:cs="Arial"/>
          <w:sz w:val="24"/>
          <w:szCs w:val="24"/>
        </w:rPr>
        <w:t>seniors</w:t>
      </w:r>
      <w:r w:rsidR="003F6B93" w:rsidRPr="00DB0E2D">
        <w:rPr>
          <w:rStyle w:val="cursor-pointer"/>
          <w:rFonts w:ascii="Arial" w:hAnsi="Arial" w:cs="Arial"/>
          <w:sz w:val="24"/>
          <w:szCs w:val="24"/>
        </w:rPr>
        <w:t xml:space="preserve"> </w:t>
      </w:r>
      <w:r w:rsidRPr="00DB0E2D">
        <w:rPr>
          <w:rStyle w:val="cursor-pointer"/>
          <w:rFonts w:ascii="Arial" w:hAnsi="Arial" w:cs="Arial"/>
          <w:sz w:val="24"/>
          <w:szCs w:val="24"/>
        </w:rPr>
        <w:t>having multiple health inequalities.</w:t>
      </w:r>
      <w:r w:rsidRPr="00DB0E2D">
        <w:rPr>
          <w:rFonts w:ascii="Arial" w:hAnsi="Arial" w:cs="Arial"/>
          <w:sz w:val="24"/>
          <w:szCs w:val="24"/>
        </w:rPr>
        <w:t xml:space="preserve"> </w:t>
      </w:r>
      <w:r w:rsidRPr="00DB0E2D">
        <w:rPr>
          <w:rStyle w:val="cursor-pointer"/>
          <w:rFonts w:ascii="Arial" w:hAnsi="Arial" w:cs="Arial"/>
          <w:sz w:val="24"/>
          <w:szCs w:val="24"/>
        </w:rPr>
        <w:t>These inequalities are associated with diminished health and poorer health outcomes, higher healthcare utilization, and lower quality of life.</w:t>
      </w:r>
      <w:r w:rsidRPr="00DB0E2D">
        <w:rPr>
          <w:rFonts w:ascii="Arial" w:hAnsi="Arial" w:cs="Arial"/>
          <w:sz w:val="24"/>
          <w:szCs w:val="24"/>
        </w:rPr>
        <w:t xml:space="preserve"> </w:t>
      </w:r>
      <w:r w:rsidRPr="00DB0E2D">
        <w:rPr>
          <w:rStyle w:val="cursor-pointer"/>
          <w:rFonts w:ascii="Arial" w:hAnsi="Arial" w:cs="Arial"/>
          <w:sz w:val="24"/>
          <w:szCs w:val="24"/>
        </w:rPr>
        <w:t>Three key inequalities in the UK relating to older people and disease are discussed in the following sections.</w:t>
      </w:r>
    </w:p>
    <w:p w14:paraId="74405915" w14:textId="77777777" w:rsidR="00D051F5" w:rsidRPr="00DB0E2D" w:rsidRDefault="00212C73" w:rsidP="00DB0E2D">
      <w:pPr>
        <w:pStyle w:val="Heading2"/>
      </w:pPr>
      <w:bookmarkStart w:id="2" w:name="_Toc235092047"/>
      <w:r w:rsidRPr="00DB0E2D">
        <w:rPr>
          <w:rStyle w:val="Strong"/>
          <w:b/>
          <w:bCs w:val="0"/>
        </w:rPr>
        <w:t>2.</w:t>
      </w:r>
      <w:r w:rsidR="00D051F5" w:rsidRPr="00DB0E2D">
        <w:rPr>
          <w:rStyle w:val="Strong"/>
          <w:b/>
          <w:bCs w:val="0"/>
        </w:rPr>
        <w:t>1 Higher Prevalence of Cardiovascular Disease</w:t>
      </w:r>
      <w:bookmarkEnd w:id="2"/>
    </w:p>
    <w:p w14:paraId="63A66925" w14:textId="2C211436" w:rsidR="003816DE" w:rsidRPr="00DB0E2D" w:rsidRDefault="003F6B93" w:rsidP="00DB0E2D">
      <w:pPr>
        <w:pStyle w:val="NormalWeb"/>
        <w:spacing w:line="360" w:lineRule="auto"/>
        <w:jc w:val="both"/>
        <w:rPr>
          <w:rFonts w:ascii="Arial" w:hAnsi="Arial" w:cs="Arial"/>
        </w:rPr>
      </w:pPr>
      <w:r w:rsidRPr="00DB0E2D">
        <w:rPr>
          <w:rFonts w:ascii="Arial" w:hAnsi="Arial" w:cs="Arial"/>
        </w:rPr>
        <w:t>Heart disease</w:t>
      </w:r>
      <w:r w:rsidR="003816DE" w:rsidRPr="00DB0E2D">
        <w:rPr>
          <w:rStyle w:val="cursor-pointer"/>
          <w:rFonts w:ascii="Arial" w:hAnsi="Arial" w:cs="Arial"/>
        </w:rPr>
        <w:t xml:space="preserve"> (CVD) are the major cause of </w:t>
      </w:r>
      <w:r w:rsidRPr="00DB0E2D">
        <w:rPr>
          <w:rFonts w:ascii="Arial" w:hAnsi="Arial" w:cs="Arial"/>
        </w:rPr>
        <w:t>sickness</w:t>
      </w:r>
      <w:r w:rsidRPr="00DB0E2D">
        <w:rPr>
          <w:rStyle w:val="cursor-pointer"/>
          <w:rFonts w:ascii="Arial" w:hAnsi="Arial" w:cs="Arial"/>
        </w:rPr>
        <w:t xml:space="preserve"> </w:t>
      </w:r>
      <w:r w:rsidR="003816DE" w:rsidRPr="00DB0E2D">
        <w:rPr>
          <w:rStyle w:val="cursor-pointer"/>
          <w:rFonts w:ascii="Arial" w:hAnsi="Arial" w:cs="Arial"/>
        </w:rPr>
        <w:t xml:space="preserve">and </w:t>
      </w:r>
      <w:r w:rsidRPr="00DB0E2D">
        <w:rPr>
          <w:rFonts w:ascii="Arial" w:hAnsi="Arial" w:cs="Arial"/>
        </w:rPr>
        <w:t>fatality</w:t>
      </w:r>
      <w:r w:rsidRPr="00DB0E2D">
        <w:rPr>
          <w:rStyle w:val="cursor-pointer"/>
          <w:rFonts w:ascii="Arial" w:hAnsi="Arial" w:cs="Arial"/>
        </w:rPr>
        <w:t xml:space="preserve"> </w:t>
      </w:r>
      <w:r w:rsidR="003816DE" w:rsidRPr="00DB0E2D">
        <w:rPr>
          <w:rStyle w:val="cursor-pointer"/>
          <w:rFonts w:ascii="Arial" w:hAnsi="Arial" w:cs="Arial"/>
        </w:rPr>
        <w:t>in older people in the United Kingdom.</w:t>
      </w:r>
      <w:r w:rsidR="003816DE" w:rsidRPr="00DB0E2D">
        <w:rPr>
          <w:rFonts w:ascii="Arial" w:hAnsi="Arial" w:cs="Arial"/>
        </w:rPr>
        <w:t xml:space="preserve"> </w:t>
      </w:r>
      <w:r w:rsidR="003816DE" w:rsidRPr="00DB0E2D">
        <w:rPr>
          <w:rStyle w:val="cursor-pointer"/>
          <w:rFonts w:ascii="Arial" w:hAnsi="Arial" w:cs="Arial"/>
        </w:rPr>
        <w:t xml:space="preserve">As age goes up, so does </w:t>
      </w:r>
      <w:r w:rsidRPr="00DB0E2D">
        <w:rPr>
          <w:rFonts w:ascii="Arial" w:hAnsi="Arial" w:cs="Arial"/>
        </w:rPr>
        <w:t>threats</w:t>
      </w:r>
      <w:r w:rsidRPr="00DB0E2D">
        <w:rPr>
          <w:rStyle w:val="cursor-pointer"/>
          <w:rFonts w:ascii="Arial" w:hAnsi="Arial" w:cs="Arial"/>
        </w:rPr>
        <w:t xml:space="preserve"> </w:t>
      </w:r>
      <w:r w:rsidR="003816DE" w:rsidRPr="00DB0E2D">
        <w:rPr>
          <w:rStyle w:val="cursor-pointer"/>
          <w:rFonts w:ascii="Arial" w:hAnsi="Arial" w:cs="Arial"/>
        </w:rPr>
        <w:t>of CHD, stroke and heart failure, as there are changes to the body and exposure to behavioural risk factors and chronic health conditions (</w:t>
      </w:r>
      <w:r w:rsidR="00E056B4" w:rsidRPr="00DB0E2D">
        <w:rPr>
          <w:rFonts w:ascii="Arial" w:hAnsi="Arial" w:cs="Arial"/>
        </w:rPr>
        <w:t>Townsend et al., 2025</w:t>
      </w:r>
      <w:r w:rsidR="003816DE" w:rsidRPr="00DB0E2D">
        <w:rPr>
          <w:rStyle w:val="cursor-pointer"/>
          <w:rFonts w:ascii="Arial" w:hAnsi="Arial" w:cs="Arial"/>
        </w:rPr>
        <w:t>).</w:t>
      </w:r>
      <w:r w:rsidR="003816DE" w:rsidRPr="00DB0E2D">
        <w:rPr>
          <w:rFonts w:ascii="Arial" w:hAnsi="Arial" w:cs="Arial"/>
        </w:rPr>
        <w:t xml:space="preserve"> </w:t>
      </w:r>
      <w:r w:rsidR="003816DE" w:rsidRPr="00DB0E2D">
        <w:rPr>
          <w:rStyle w:val="cursor-pointer"/>
          <w:rFonts w:ascii="Arial" w:hAnsi="Arial" w:cs="Arial"/>
        </w:rPr>
        <w:t>Currently, around 7.6 million people in the UK have heart and circulatory diseases, with the largest numbers found in people aged 65 years and over (</w:t>
      </w:r>
      <w:r w:rsidR="00E056B4" w:rsidRPr="00DB0E2D">
        <w:rPr>
          <w:rFonts w:ascii="Arial" w:hAnsi="Arial" w:cs="Arial"/>
        </w:rPr>
        <w:t>Palaniappan et al., 2026</w:t>
      </w:r>
      <w:r w:rsidR="003816DE" w:rsidRPr="00DB0E2D">
        <w:rPr>
          <w:rStyle w:val="cursor-pointer"/>
          <w:rFonts w:ascii="Arial" w:hAnsi="Arial" w:cs="Arial"/>
        </w:rPr>
        <w:t>).</w:t>
      </w:r>
      <w:r w:rsidR="003816DE" w:rsidRPr="00DB0E2D">
        <w:rPr>
          <w:rFonts w:ascii="Arial" w:hAnsi="Arial" w:cs="Arial"/>
        </w:rPr>
        <w:t xml:space="preserve"> </w:t>
      </w:r>
      <w:r w:rsidR="003816DE" w:rsidRPr="00DB0E2D">
        <w:rPr>
          <w:rStyle w:val="cursor-pointer"/>
          <w:rFonts w:ascii="Arial" w:hAnsi="Arial" w:cs="Arial"/>
        </w:rPr>
        <w:t>The inequalities in income, education, lifestyle and healthcare access are also linked to older adults from deprived communities being significantly more likely to have cardiovascular disease (Marmot et al., 2020).</w:t>
      </w:r>
    </w:p>
    <w:p w14:paraId="021CADA7" w14:textId="77777777" w:rsidR="00D051F5" w:rsidRPr="00DB0E2D" w:rsidRDefault="00D051F5" w:rsidP="00DB0E2D">
      <w:pPr>
        <w:pStyle w:val="NormalWeb"/>
        <w:spacing w:line="360" w:lineRule="auto"/>
        <w:jc w:val="both"/>
        <w:rPr>
          <w:rFonts w:ascii="Arial" w:hAnsi="Arial" w:cs="Arial"/>
          <w:i/>
        </w:rPr>
      </w:pPr>
      <w:r w:rsidRPr="00DB0E2D">
        <w:rPr>
          <w:rStyle w:val="Strong"/>
          <w:rFonts w:ascii="Arial" w:hAnsi="Arial" w:cs="Arial"/>
          <w:i/>
        </w:rPr>
        <w:t>Table 1. Prevalence of Major Cardiovascular Diseases in the United Kingdom</w:t>
      </w:r>
    </w:p>
    <w:tbl>
      <w:tblPr>
        <w:tblStyle w:val="TableGrid"/>
        <w:tblW w:w="0" w:type="auto"/>
        <w:jc w:val="center"/>
        <w:tblLook w:val="04A0" w:firstRow="1" w:lastRow="0" w:firstColumn="1" w:lastColumn="0" w:noHBand="0" w:noVBand="1"/>
      </w:tblPr>
      <w:tblGrid>
        <w:gridCol w:w="2711"/>
        <w:gridCol w:w="5150"/>
      </w:tblGrid>
      <w:tr w:rsidR="00D051F5" w:rsidRPr="00DB0E2D" w14:paraId="1AD025B8" w14:textId="77777777" w:rsidTr="00430A13">
        <w:trPr>
          <w:jc w:val="center"/>
        </w:trPr>
        <w:tc>
          <w:tcPr>
            <w:tcW w:w="0" w:type="auto"/>
            <w:shd w:val="clear" w:color="auto" w:fill="1F3864" w:themeFill="accent1" w:themeFillShade="80"/>
            <w:hideMark/>
          </w:tcPr>
          <w:p w14:paraId="213E80CA" w14:textId="77777777" w:rsidR="00D051F5" w:rsidRPr="00DB0E2D" w:rsidRDefault="00D051F5" w:rsidP="00DB0E2D">
            <w:pPr>
              <w:spacing w:line="360" w:lineRule="auto"/>
              <w:jc w:val="both"/>
              <w:rPr>
                <w:rFonts w:ascii="Arial" w:hAnsi="Arial" w:cs="Arial"/>
                <w:b/>
                <w:bCs/>
                <w:sz w:val="24"/>
                <w:szCs w:val="24"/>
              </w:rPr>
            </w:pPr>
            <w:r w:rsidRPr="00DB0E2D">
              <w:rPr>
                <w:rFonts w:ascii="Arial" w:hAnsi="Arial" w:cs="Arial"/>
                <w:b/>
                <w:bCs/>
                <w:sz w:val="24"/>
                <w:szCs w:val="24"/>
              </w:rPr>
              <w:t>Disease</w:t>
            </w:r>
          </w:p>
        </w:tc>
        <w:tc>
          <w:tcPr>
            <w:tcW w:w="0" w:type="auto"/>
            <w:shd w:val="clear" w:color="auto" w:fill="1F3864" w:themeFill="accent1" w:themeFillShade="80"/>
            <w:hideMark/>
          </w:tcPr>
          <w:p w14:paraId="75DF83CC" w14:textId="77777777" w:rsidR="00D051F5" w:rsidRPr="00DB0E2D" w:rsidRDefault="00D051F5" w:rsidP="00DB0E2D">
            <w:pPr>
              <w:spacing w:line="360" w:lineRule="auto"/>
              <w:jc w:val="both"/>
              <w:rPr>
                <w:rFonts w:ascii="Arial" w:hAnsi="Arial" w:cs="Arial"/>
                <w:b/>
                <w:bCs/>
                <w:sz w:val="24"/>
                <w:szCs w:val="24"/>
              </w:rPr>
            </w:pPr>
            <w:r w:rsidRPr="00DB0E2D">
              <w:rPr>
                <w:rFonts w:ascii="Arial" w:hAnsi="Arial" w:cs="Arial"/>
                <w:b/>
                <w:bCs/>
                <w:sz w:val="24"/>
                <w:szCs w:val="24"/>
              </w:rPr>
              <w:t>Estimated People Living with the Condition</w:t>
            </w:r>
          </w:p>
        </w:tc>
      </w:tr>
      <w:tr w:rsidR="00D051F5" w:rsidRPr="00DB0E2D" w14:paraId="196BEA53" w14:textId="77777777" w:rsidTr="00430A13">
        <w:trPr>
          <w:jc w:val="center"/>
        </w:trPr>
        <w:tc>
          <w:tcPr>
            <w:tcW w:w="0" w:type="auto"/>
            <w:hideMark/>
          </w:tcPr>
          <w:p w14:paraId="3E43BA04" w14:textId="77777777" w:rsidR="00D051F5" w:rsidRPr="00DB0E2D" w:rsidRDefault="00D051F5" w:rsidP="00DB0E2D">
            <w:pPr>
              <w:spacing w:line="360" w:lineRule="auto"/>
              <w:jc w:val="both"/>
              <w:rPr>
                <w:rFonts w:ascii="Arial" w:hAnsi="Arial" w:cs="Arial"/>
                <w:sz w:val="24"/>
                <w:szCs w:val="24"/>
              </w:rPr>
            </w:pPr>
            <w:r w:rsidRPr="00DB0E2D">
              <w:rPr>
                <w:rFonts w:ascii="Arial" w:hAnsi="Arial" w:cs="Arial"/>
                <w:sz w:val="24"/>
                <w:szCs w:val="24"/>
              </w:rPr>
              <w:t>Coronary heart disease</w:t>
            </w:r>
          </w:p>
        </w:tc>
        <w:tc>
          <w:tcPr>
            <w:tcW w:w="0" w:type="auto"/>
            <w:hideMark/>
          </w:tcPr>
          <w:p w14:paraId="474411CE" w14:textId="77777777" w:rsidR="00D051F5" w:rsidRPr="00DB0E2D" w:rsidRDefault="00D051F5" w:rsidP="00DB0E2D">
            <w:pPr>
              <w:spacing w:line="360" w:lineRule="auto"/>
              <w:jc w:val="both"/>
              <w:rPr>
                <w:rFonts w:ascii="Arial" w:hAnsi="Arial" w:cs="Arial"/>
                <w:sz w:val="24"/>
                <w:szCs w:val="24"/>
              </w:rPr>
            </w:pPr>
            <w:r w:rsidRPr="00DB0E2D">
              <w:rPr>
                <w:rFonts w:ascii="Arial" w:hAnsi="Arial" w:cs="Arial"/>
                <w:sz w:val="24"/>
                <w:szCs w:val="24"/>
              </w:rPr>
              <w:t>2.3 million</w:t>
            </w:r>
          </w:p>
        </w:tc>
      </w:tr>
      <w:tr w:rsidR="00D051F5" w:rsidRPr="00DB0E2D" w14:paraId="56CA4C8D" w14:textId="77777777" w:rsidTr="00430A13">
        <w:trPr>
          <w:jc w:val="center"/>
        </w:trPr>
        <w:tc>
          <w:tcPr>
            <w:tcW w:w="0" w:type="auto"/>
            <w:hideMark/>
          </w:tcPr>
          <w:p w14:paraId="5C092780" w14:textId="77777777" w:rsidR="00D051F5" w:rsidRPr="00DB0E2D" w:rsidRDefault="00D051F5" w:rsidP="00DB0E2D">
            <w:pPr>
              <w:spacing w:line="360" w:lineRule="auto"/>
              <w:jc w:val="both"/>
              <w:rPr>
                <w:rFonts w:ascii="Arial" w:hAnsi="Arial" w:cs="Arial"/>
                <w:sz w:val="24"/>
                <w:szCs w:val="24"/>
              </w:rPr>
            </w:pPr>
            <w:r w:rsidRPr="00DB0E2D">
              <w:rPr>
                <w:rFonts w:ascii="Arial" w:hAnsi="Arial" w:cs="Arial"/>
                <w:sz w:val="24"/>
                <w:szCs w:val="24"/>
              </w:rPr>
              <w:t>Stroke</w:t>
            </w:r>
          </w:p>
        </w:tc>
        <w:tc>
          <w:tcPr>
            <w:tcW w:w="0" w:type="auto"/>
            <w:hideMark/>
          </w:tcPr>
          <w:p w14:paraId="663D3FED" w14:textId="77777777" w:rsidR="00D051F5" w:rsidRPr="00DB0E2D" w:rsidRDefault="00D051F5" w:rsidP="00DB0E2D">
            <w:pPr>
              <w:spacing w:line="360" w:lineRule="auto"/>
              <w:jc w:val="both"/>
              <w:rPr>
                <w:rFonts w:ascii="Arial" w:hAnsi="Arial" w:cs="Arial"/>
                <w:sz w:val="24"/>
                <w:szCs w:val="24"/>
              </w:rPr>
            </w:pPr>
            <w:r w:rsidRPr="00DB0E2D">
              <w:rPr>
                <w:rFonts w:ascii="Arial" w:hAnsi="Arial" w:cs="Arial"/>
                <w:sz w:val="24"/>
                <w:szCs w:val="24"/>
              </w:rPr>
              <w:t>1.4 million</w:t>
            </w:r>
          </w:p>
        </w:tc>
      </w:tr>
      <w:tr w:rsidR="00D051F5" w:rsidRPr="00DB0E2D" w14:paraId="4FE08FB7" w14:textId="77777777" w:rsidTr="00430A13">
        <w:trPr>
          <w:jc w:val="center"/>
        </w:trPr>
        <w:tc>
          <w:tcPr>
            <w:tcW w:w="0" w:type="auto"/>
            <w:hideMark/>
          </w:tcPr>
          <w:p w14:paraId="29E794D1" w14:textId="77777777" w:rsidR="00D051F5" w:rsidRPr="00DB0E2D" w:rsidRDefault="00D051F5" w:rsidP="00DB0E2D">
            <w:pPr>
              <w:spacing w:line="360" w:lineRule="auto"/>
              <w:jc w:val="both"/>
              <w:rPr>
                <w:rFonts w:ascii="Arial" w:hAnsi="Arial" w:cs="Arial"/>
                <w:sz w:val="24"/>
                <w:szCs w:val="24"/>
              </w:rPr>
            </w:pPr>
            <w:r w:rsidRPr="00DB0E2D">
              <w:rPr>
                <w:rFonts w:ascii="Arial" w:hAnsi="Arial" w:cs="Arial"/>
                <w:sz w:val="24"/>
                <w:szCs w:val="24"/>
              </w:rPr>
              <w:t>Heart failure</w:t>
            </w:r>
          </w:p>
        </w:tc>
        <w:tc>
          <w:tcPr>
            <w:tcW w:w="0" w:type="auto"/>
            <w:hideMark/>
          </w:tcPr>
          <w:p w14:paraId="3444D65D" w14:textId="77777777" w:rsidR="00D051F5" w:rsidRPr="00DB0E2D" w:rsidRDefault="00D051F5" w:rsidP="00DB0E2D">
            <w:pPr>
              <w:spacing w:line="360" w:lineRule="auto"/>
              <w:jc w:val="both"/>
              <w:rPr>
                <w:rFonts w:ascii="Arial" w:hAnsi="Arial" w:cs="Arial"/>
                <w:sz w:val="24"/>
                <w:szCs w:val="24"/>
              </w:rPr>
            </w:pPr>
            <w:r w:rsidRPr="00DB0E2D">
              <w:rPr>
                <w:rFonts w:ascii="Arial" w:hAnsi="Arial" w:cs="Arial"/>
                <w:sz w:val="24"/>
                <w:szCs w:val="24"/>
              </w:rPr>
              <w:t>920,000</w:t>
            </w:r>
          </w:p>
        </w:tc>
      </w:tr>
    </w:tbl>
    <w:p w14:paraId="74F648D4" w14:textId="77777777" w:rsidR="00430A13" w:rsidRPr="00DB0E2D" w:rsidRDefault="00430A13" w:rsidP="00DB0E2D">
      <w:pPr>
        <w:spacing w:before="100" w:beforeAutospacing="1" w:after="100" w:afterAutospacing="1" w:line="360" w:lineRule="auto"/>
        <w:jc w:val="both"/>
        <w:rPr>
          <w:rFonts w:ascii="Arial" w:eastAsia="Times New Roman" w:hAnsi="Arial" w:cs="Arial"/>
          <w:b/>
          <w:bCs/>
          <w:i/>
          <w:sz w:val="24"/>
          <w:szCs w:val="24"/>
          <w:lang w:eastAsia="en-GB"/>
        </w:rPr>
      </w:pPr>
      <w:r w:rsidRPr="00DB0E2D">
        <w:rPr>
          <w:rFonts w:ascii="Arial" w:eastAsia="Times New Roman" w:hAnsi="Arial" w:cs="Arial"/>
          <w:b/>
          <w:bCs/>
          <w:i/>
          <w:sz w:val="24"/>
          <w:szCs w:val="24"/>
          <w:lang w:eastAsia="en-GB"/>
        </w:rPr>
        <w:t>Source: Author own’s illustration,2026</w:t>
      </w:r>
    </w:p>
    <w:p w14:paraId="2754D5B1" w14:textId="559922B5" w:rsidR="00D051F5" w:rsidRDefault="00D051F5" w:rsidP="00DB0E2D">
      <w:pPr>
        <w:pStyle w:val="NormalWeb"/>
        <w:spacing w:line="360" w:lineRule="auto"/>
        <w:jc w:val="both"/>
        <w:rPr>
          <w:rFonts w:ascii="Arial" w:hAnsi="Arial" w:cs="Arial"/>
        </w:rPr>
      </w:pPr>
      <w:r w:rsidRPr="00DB0E2D">
        <w:rPr>
          <w:rFonts w:ascii="Arial" w:hAnsi="Arial" w:cs="Arial"/>
        </w:rPr>
        <w:t>Reducing these inequalities requires effective prevention strategies, including blood pressure screening, smoking cessation programmes, healthy lifestyle promotion and improved access to primary healthcare services (</w:t>
      </w:r>
      <w:r w:rsidR="0060606B" w:rsidRPr="00DB0E2D">
        <w:rPr>
          <w:rFonts w:ascii="Arial" w:hAnsi="Arial" w:cs="Arial"/>
        </w:rPr>
        <w:t>Visseren et al., 2021</w:t>
      </w:r>
      <w:r w:rsidRPr="00DB0E2D">
        <w:rPr>
          <w:rFonts w:ascii="Arial" w:hAnsi="Arial" w:cs="Arial"/>
        </w:rPr>
        <w:t>).</w:t>
      </w:r>
    </w:p>
    <w:p w14:paraId="45173B30" w14:textId="77777777" w:rsidR="00744BA4" w:rsidRPr="00DB0E2D" w:rsidRDefault="00744BA4" w:rsidP="00DB0E2D">
      <w:pPr>
        <w:pStyle w:val="NormalWeb"/>
        <w:spacing w:line="360" w:lineRule="auto"/>
        <w:jc w:val="both"/>
        <w:rPr>
          <w:rFonts w:ascii="Arial" w:hAnsi="Arial" w:cs="Arial"/>
        </w:rPr>
      </w:pPr>
    </w:p>
    <w:p w14:paraId="7C96B7B2" w14:textId="77777777" w:rsidR="00D051F5" w:rsidRPr="00DB0E2D" w:rsidRDefault="00430A13" w:rsidP="00DB0E2D">
      <w:pPr>
        <w:pStyle w:val="Heading2"/>
        <w:rPr>
          <w:rStyle w:val="Strong"/>
          <w:b/>
          <w:bCs w:val="0"/>
        </w:rPr>
      </w:pPr>
      <w:bookmarkStart w:id="3" w:name="_Toc235092048"/>
      <w:r w:rsidRPr="00DB0E2D">
        <w:rPr>
          <w:rStyle w:val="Strong"/>
          <w:b/>
          <w:bCs w:val="0"/>
        </w:rPr>
        <w:lastRenderedPageBreak/>
        <w:t>2.</w:t>
      </w:r>
      <w:r w:rsidR="00D051F5" w:rsidRPr="00DB0E2D">
        <w:rPr>
          <w:rStyle w:val="Strong"/>
          <w:b/>
          <w:bCs w:val="0"/>
        </w:rPr>
        <w:t>2</w:t>
      </w:r>
      <w:r w:rsidRPr="00DB0E2D">
        <w:rPr>
          <w:rStyle w:val="Strong"/>
          <w:b/>
          <w:bCs w:val="0"/>
        </w:rPr>
        <w:t xml:space="preserve"> </w:t>
      </w:r>
      <w:r w:rsidR="00D051F5" w:rsidRPr="00DB0E2D">
        <w:rPr>
          <w:rStyle w:val="Strong"/>
          <w:b/>
          <w:bCs w:val="0"/>
        </w:rPr>
        <w:t>Increasing Burden of Dementia</w:t>
      </w:r>
      <w:bookmarkEnd w:id="3"/>
    </w:p>
    <w:p w14:paraId="3D12240C" w14:textId="0E0FFB6A" w:rsidR="003816DE" w:rsidRPr="00DB0E2D" w:rsidRDefault="003816DE" w:rsidP="00DB0E2D">
      <w:pPr>
        <w:spacing w:line="360" w:lineRule="auto"/>
        <w:jc w:val="both"/>
        <w:rPr>
          <w:rFonts w:ascii="Arial" w:hAnsi="Arial" w:cs="Arial"/>
          <w:sz w:val="24"/>
          <w:szCs w:val="24"/>
        </w:rPr>
      </w:pPr>
      <w:r w:rsidRPr="00DB0E2D">
        <w:rPr>
          <w:rStyle w:val="cursor-pointer"/>
          <w:rFonts w:ascii="Arial" w:hAnsi="Arial" w:cs="Arial"/>
          <w:sz w:val="24"/>
          <w:szCs w:val="24"/>
        </w:rPr>
        <w:t>Dementia is a major neurological condition in older people and a public health problem in the UK.</w:t>
      </w:r>
      <w:r w:rsidRPr="00DB0E2D">
        <w:rPr>
          <w:rFonts w:ascii="Arial" w:hAnsi="Arial" w:cs="Arial"/>
          <w:sz w:val="24"/>
          <w:szCs w:val="24"/>
        </w:rPr>
        <w:t xml:space="preserve"> </w:t>
      </w:r>
      <w:r w:rsidRPr="00DB0E2D">
        <w:rPr>
          <w:rStyle w:val="cursor-pointer"/>
          <w:rFonts w:ascii="Arial" w:hAnsi="Arial" w:cs="Arial"/>
          <w:sz w:val="24"/>
          <w:szCs w:val="24"/>
        </w:rPr>
        <w:t>Around 60-70% of diagnosed dementias are Alzheimer's disease</w:t>
      </w:r>
      <w:r w:rsidR="0060606B" w:rsidRPr="00DB0E2D">
        <w:rPr>
          <w:rFonts w:ascii="Arial" w:hAnsi="Arial" w:cs="Arial"/>
          <w:sz w:val="24"/>
          <w:szCs w:val="24"/>
        </w:rPr>
        <w:t xml:space="preserve"> (Nandi et al., 2022</w:t>
      </w:r>
      <w:r w:rsidRPr="00DB0E2D">
        <w:rPr>
          <w:rStyle w:val="cursor-pointer"/>
          <w:rFonts w:ascii="Arial" w:hAnsi="Arial" w:cs="Arial"/>
          <w:sz w:val="24"/>
          <w:szCs w:val="24"/>
        </w:rPr>
        <w:t>).</w:t>
      </w:r>
      <w:r w:rsidRPr="00DB0E2D">
        <w:rPr>
          <w:rFonts w:ascii="Arial" w:hAnsi="Arial" w:cs="Arial"/>
          <w:sz w:val="24"/>
          <w:szCs w:val="24"/>
        </w:rPr>
        <w:t xml:space="preserve"> </w:t>
      </w:r>
      <w:r w:rsidRPr="00DB0E2D">
        <w:rPr>
          <w:rStyle w:val="cursor-pointer"/>
          <w:rFonts w:ascii="Arial" w:hAnsi="Arial" w:cs="Arial"/>
          <w:sz w:val="24"/>
          <w:szCs w:val="24"/>
        </w:rPr>
        <w:t>The Alzheimer's Society (2025) report that there are approximately 1 million people living in the UK with dementia and the majority of those are over the age of 65.</w:t>
      </w:r>
      <w:r w:rsidRPr="00DB0E2D">
        <w:rPr>
          <w:rFonts w:ascii="Arial" w:hAnsi="Arial" w:cs="Arial"/>
          <w:sz w:val="24"/>
          <w:szCs w:val="24"/>
        </w:rPr>
        <w:t xml:space="preserve"> </w:t>
      </w:r>
    </w:p>
    <w:p w14:paraId="7BFDA7EA" w14:textId="53527F98" w:rsidR="00933765" w:rsidRPr="00DB0E2D" w:rsidRDefault="00770752" w:rsidP="00DB0E2D">
      <w:pPr>
        <w:pStyle w:val="NormalWeb"/>
        <w:spacing w:line="360" w:lineRule="auto"/>
        <w:jc w:val="both"/>
        <w:rPr>
          <w:rFonts w:ascii="Arial" w:hAnsi="Arial" w:cs="Arial"/>
        </w:rPr>
      </w:pPr>
      <w:r w:rsidRPr="00DB0E2D">
        <w:rPr>
          <w:rFonts w:ascii="Arial" w:hAnsi="Arial" w:cs="Arial"/>
          <w:noProof/>
        </w:rPr>
        <w:drawing>
          <wp:inline distT="0" distB="0" distL="0" distR="0" wp14:anchorId="63A5EF95" wp14:editId="58370F4A">
            <wp:extent cx="5638800" cy="3209925"/>
            <wp:effectExtent l="0" t="0" r="0" b="9525"/>
            <wp:docPr id="488820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8800" cy="3209925"/>
                    </a:xfrm>
                    <a:prstGeom prst="rect">
                      <a:avLst/>
                    </a:prstGeom>
                    <a:noFill/>
                  </pic:spPr>
                </pic:pic>
              </a:graphicData>
            </a:graphic>
          </wp:inline>
        </w:drawing>
      </w:r>
    </w:p>
    <w:p w14:paraId="5107DCFF" w14:textId="77777777" w:rsidR="00770752" w:rsidRPr="00744BA4" w:rsidRDefault="00770752" w:rsidP="00DB0E2D">
      <w:pPr>
        <w:pStyle w:val="NormalWeb"/>
        <w:spacing w:line="360" w:lineRule="auto"/>
        <w:jc w:val="center"/>
        <w:rPr>
          <w:rFonts w:ascii="Arial" w:hAnsi="Arial" w:cs="Arial"/>
          <w:b/>
          <w:bCs/>
          <w:iCs/>
          <w:u w:val="single"/>
          <w:lang w:val="en-US"/>
        </w:rPr>
      </w:pPr>
      <w:r w:rsidRPr="00744BA4">
        <w:rPr>
          <w:rFonts w:ascii="Arial" w:hAnsi="Arial" w:cs="Arial"/>
          <w:b/>
          <w:bCs/>
          <w:iCs/>
          <w:u w:val="single"/>
          <w:lang w:val="en-US"/>
        </w:rPr>
        <w:t>Figure 2. Estimated Number of People Living with Dementia by Age Group and Severity in the United Kingdom</w:t>
      </w:r>
    </w:p>
    <w:p w14:paraId="35B5FC7A" w14:textId="77777777" w:rsidR="00770752" w:rsidRPr="00744BA4" w:rsidRDefault="00770752" w:rsidP="00DB0E2D">
      <w:pPr>
        <w:pStyle w:val="NormalWeb"/>
        <w:spacing w:line="360" w:lineRule="auto"/>
        <w:jc w:val="center"/>
        <w:rPr>
          <w:rFonts w:ascii="Arial" w:hAnsi="Arial" w:cs="Arial"/>
          <w:b/>
          <w:bCs/>
          <w:iCs/>
          <w:u w:val="single"/>
          <w:lang w:val="en-US"/>
        </w:rPr>
      </w:pPr>
      <w:r w:rsidRPr="00744BA4">
        <w:rPr>
          <w:rFonts w:ascii="Arial" w:hAnsi="Arial" w:cs="Arial"/>
          <w:b/>
          <w:bCs/>
          <w:iCs/>
          <w:u w:val="single"/>
          <w:lang w:val="en-US"/>
        </w:rPr>
        <w:t>Source: Adapted from Alzheimer's Society (2025).</w:t>
      </w:r>
    </w:p>
    <w:p w14:paraId="32EC04DD" w14:textId="77777777" w:rsidR="003816DE" w:rsidRPr="00DB0E2D" w:rsidRDefault="003816DE" w:rsidP="00DB0E2D">
      <w:pPr>
        <w:pStyle w:val="NormalWeb"/>
        <w:spacing w:line="360" w:lineRule="auto"/>
        <w:jc w:val="both"/>
        <w:rPr>
          <w:rFonts w:ascii="Arial" w:hAnsi="Arial" w:cs="Arial"/>
        </w:rPr>
      </w:pPr>
      <w:r w:rsidRPr="00DB0E2D">
        <w:rPr>
          <w:rStyle w:val="cursor-pointer"/>
          <w:rFonts w:ascii="Arial" w:hAnsi="Arial" w:cs="Arial"/>
        </w:rPr>
        <w:t>For older people living in deprived communities, the diagnosis of dementia may be delayed, they may have less access to specialist services and specialist services may not be as continuous as they are in more affluent communities (</w:t>
      </w:r>
      <w:r w:rsidR="0060606B" w:rsidRPr="00DB0E2D">
        <w:rPr>
          <w:rFonts w:ascii="Arial" w:hAnsi="Arial" w:cs="Arial"/>
        </w:rPr>
        <w:t>Mukadam, Cooper and Livingston, 2020</w:t>
      </w:r>
      <w:r w:rsidRPr="00DB0E2D">
        <w:rPr>
          <w:rStyle w:val="cursor-pointer"/>
          <w:rFonts w:ascii="Arial" w:hAnsi="Arial" w:cs="Arial"/>
        </w:rPr>
        <w:t>).</w:t>
      </w:r>
      <w:r w:rsidRPr="00DB0E2D">
        <w:rPr>
          <w:rFonts w:ascii="Arial" w:hAnsi="Arial" w:cs="Arial"/>
        </w:rPr>
        <w:t xml:space="preserve"> </w:t>
      </w:r>
      <w:r w:rsidRPr="00DB0E2D">
        <w:rPr>
          <w:rStyle w:val="cursor-pointer"/>
          <w:rFonts w:ascii="Arial" w:hAnsi="Arial" w:cs="Arial"/>
        </w:rPr>
        <w:t>Such disparities have a negative impact on disease progression, on the burden on caregivers, on healthcare expenses and on the quality of life.</w:t>
      </w:r>
      <w:r w:rsidRPr="00DB0E2D">
        <w:rPr>
          <w:rFonts w:ascii="Arial" w:hAnsi="Arial" w:cs="Arial"/>
        </w:rPr>
        <w:t xml:space="preserve"> </w:t>
      </w:r>
      <w:r w:rsidRPr="00DB0E2D">
        <w:rPr>
          <w:rStyle w:val="cursor-pointer"/>
          <w:rFonts w:ascii="Arial" w:hAnsi="Arial" w:cs="Arial"/>
        </w:rPr>
        <w:t>Thus, the importance of improving early diagnosis, memory assessment services and community-based dementia support as a way of closing health inequalities is still a priority (</w:t>
      </w:r>
      <w:r w:rsidR="0060606B" w:rsidRPr="00DB0E2D">
        <w:rPr>
          <w:rFonts w:ascii="Arial" w:hAnsi="Arial" w:cs="Arial"/>
        </w:rPr>
        <w:t>Nair et al., 2026</w:t>
      </w:r>
      <w:r w:rsidRPr="00DB0E2D">
        <w:rPr>
          <w:rStyle w:val="cursor-pointer"/>
          <w:rFonts w:ascii="Arial" w:hAnsi="Arial" w:cs="Arial"/>
        </w:rPr>
        <w:t>).</w:t>
      </w:r>
    </w:p>
    <w:p w14:paraId="23836515" w14:textId="77777777" w:rsidR="003816DE" w:rsidRPr="00DB0E2D" w:rsidRDefault="00430A13" w:rsidP="00DB0E2D">
      <w:pPr>
        <w:pStyle w:val="Heading2"/>
        <w:rPr>
          <w:rStyle w:val="Heading3Char"/>
          <w:rFonts w:eastAsiaTheme="majorEastAsia" w:cstheme="majorBidi"/>
          <w:b/>
          <w:bCs w:val="0"/>
          <w:color w:val="000000" w:themeColor="text1"/>
          <w:sz w:val="28"/>
          <w:szCs w:val="26"/>
          <w:lang w:eastAsia="en-US"/>
        </w:rPr>
      </w:pPr>
      <w:bookmarkStart w:id="4" w:name="_Toc235092049"/>
      <w:r w:rsidRPr="00DB0E2D">
        <w:rPr>
          <w:rStyle w:val="Strong"/>
          <w:b/>
          <w:bCs w:val="0"/>
        </w:rPr>
        <w:lastRenderedPageBreak/>
        <w:t>2.</w:t>
      </w:r>
      <w:r w:rsidR="00D051F5" w:rsidRPr="00DB0E2D">
        <w:rPr>
          <w:rStyle w:val="Strong"/>
          <w:b/>
          <w:bCs w:val="0"/>
        </w:rPr>
        <w:t>3 Higher Mortality and Multimorbidity Rates</w:t>
      </w:r>
      <w:bookmarkEnd w:id="4"/>
      <w:r w:rsidR="003816DE" w:rsidRPr="00DB0E2D">
        <w:rPr>
          <w:rStyle w:val="Heading3Char"/>
          <w:rFonts w:eastAsiaTheme="majorEastAsia" w:cstheme="majorBidi"/>
          <w:b/>
          <w:bCs w:val="0"/>
          <w:color w:val="000000" w:themeColor="text1"/>
          <w:sz w:val="28"/>
          <w:szCs w:val="26"/>
          <w:lang w:eastAsia="en-US"/>
        </w:rPr>
        <w:t xml:space="preserve"> </w:t>
      </w:r>
    </w:p>
    <w:p w14:paraId="02C9A575" w14:textId="3AC47D56" w:rsidR="003816DE" w:rsidRPr="00DB0E2D" w:rsidRDefault="003816DE" w:rsidP="00DB0E2D">
      <w:pPr>
        <w:spacing w:line="360" w:lineRule="auto"/>
        <w:jc w:val="both"/>
        <w:rPr>
          <w:rStyle w:val="Strong"/>
          <w:rFonts w:ascii="Arial" w:hAnsi="Arial" w:cs="Arial"/>
          <w:b w:val="0"/>
          <w:bCs w:val="0"/>
          <w:sz w:val="24"/>
          <w:szCs w:val="24"/>
        </w:rPr>
      </w:pPr>
      <w:r w:rsidRPr="00DB0E2D">
        <w:rPr>
          <w:rStyle w:val="cursor-pointer"/>
          <w:rFonts w:ascii="Arial" w:hAnsi="Arial" w:cs="Arial"/>
          <w:sz w:val="24"/>
          <w:szCs w:val="24"/>
        </w:rPr>
        <w:t xml:space="preserve">Older people have disproportionately high death rates as they are </w:t>
      </w:r>
      <w:r w:rsidR="003F6B93" w:rsidRPr="00DB0E2D">
        <w:rPr>
          <w:rFonts w:ascii="Arial" w:hAnsi="Arial" w:cs="Arial"/>
          <w:sz w:val="24"/>
          <w:szCs w:val="24"/>
        </w:rPr>
        <w:t>more probable</w:t>
      </w:r>
      <w:r w:rsidR="003F6B93" w:rsidRPr="00DB0E2D">
        <w:rPr>
          <w:rStyle w:val="cursor-pointer"/>
          <w:rFonts w:ascii="Arial" w:hAnsi="Arial" w:cs="Arial"/>
          <w:sz w:val="24"/>
          <w:szCs w:val="24"/>
        </w:rPr>
        <w:t xml:space="preserve"> </w:t>
      </w:r>
      <w:r w:rsidRPr="00DB0E2D">
        <w:rPr>
          <w:rStyle w:val="cursor-pointer"/>
          <w:rFonts w:ascii="Arial" w:hAnsi="Arial" w:cs="Arial"/>
          <w:sz w:val="24"/>
          <w:szCs w:val="24"/>
        </w:rPr>
        <w:t xml:space="preserve">to have several </w:t>
      </w:r>
      <w:r w:rsidR="003F6B93" w:rsidRPr="00DB0E2D">
        <w:rPr>
          <w:rFonts w:ascii="Arial" w:hAnsi="Arial" w:cs="Arial"/>
          <w:sz w:val="24"/>
          <w:szCs w:val="24"/>
        </w:rPr>
        <w:t>chronic illnesses</w:t>
      </w:r>
      <w:r w:rsidR="003F6B93" w:rsidRPr="00DB0E2D">
        <w:rPr>
          <w:rStyle w:val="cursor-pointer"/>
          <w:rFonts w:ascii="Arial" w:hAnsi="Arial" w:cs="Arial"/>
          <w:sz w:val="24"/>
          <w:szCs w:val="24"/>
        </w:rPr>
        <w:t xml:space="preserve"> </w:t>
      </w:r>
      <w:r w:rsidRPr="00DB0E2D">
        <w:rPr>
          <w:rStyle w:val="cursor-pointer"/>
          <w:rFonts w:ascii="Arial" w:hAnsi="Arial" w:cs="Arial"/>
          <w:sz w:val="24"/>
          <w:szCs w:val="24"/>
        </w:rPr>
        <w:t>(LTHCs) which are often called multimorbidity.</w:t>
      </w:r>
      <w:r w:rsidRPr="00DB0E2D">
        <w:rPr>
          <w:rFonts w:ascii="Arial" w:hAnsi="Arial" w:cs="Arial"/>
          <w:sz w:val="24"/>
          <w:szCs w:val="24"/>
        </w:rPr>
        <w:t xml:space="preserve"> </w:t>
      </w:r>
      <w:r w:rsidRPr="00DB0E2D">
        <w:rPr>
          <w:rStyle w:val="cursor-pointer"/>
          <w:rFonts w:ascii="Arial" w:hAnsi="Arial" w:cs="Arial"/>
          <w:sz w:val="24"/>
          <w:szCs w:val="24"/>
        </w:rPr>
        <w:t xml:space="preserve">Healthy life expectancy continues to be significantly lower for those in the most deprived areas of England, as shown by </w:t>
      </w:r>
      <w:r w:rsidR="0060606B" w:rsidRPr="00DB0E2D">
        <w:rPr>
          <w:rFonts w:ascii="Arial" w:hAnsi="Arial" w:cs="Arial"/>
          <w:sz w:val="24"/>
          <w:szCs w:val="24"/>
        </w:rPr>
        <w:t xml:space="preserve">Welsh, Matthews and Jagger (2021) </w:t>
      </w:r>
      <w:r w:rsidRPr="00DB0E2D">
        <w:rPr>
          <w:rStyle w:val="cursor-pointer"/>
          <w:rFonts w:ascii="Arial" w:hAnsi="Arial" w:cs="Arial"/>
          <w:sz w:val="24"/>
          <w:szCs w:val="24"/>
        </w:rPr>
        <w:t>and highlighting inequalities in health outcomes in later life.</w:t>
      </w:r>
      <w:r w:rsidRPr="00DB0E2D">
        <w:rPr>
          <w:rFonts w:ascii="Arial" w:hAnsi="Arial" w:cs="Arial"/>
          <w:sz w:val="24"/>
          <w:szCs w:val="24"/>
        </w:rPr>
        <w:t xml:space="preserve"> </w:t>
      </w:r>
      <w:r w:rsidRPr="00DB0E2D">
        <w:rPr>
          <w:rStyle w:val="cursor-pointer"/>
          <w:rFonts w:ascii="Arial" w:hAnsi="Arial" w:cs="Arial"/>
          <w:sz w:val="24"/>
          <w:szCs w:val="24"/>
        </w:rPr>
        <w:t>Cardiovascular disease, diabetes, arthritis and chronic respiratory disease often occur in combination in older people, which can lead to higher levels of disability, hospitalisation and early death (</w:t>
      </w:r>
      <w:r w:rsidR="0060606B" w:rsidRPr="00DB0E2D">
        <w:rPr>
          <w:rFonts w:ascii="Arial" w:hAnsi="Arial" w:cs="Arial"/>
          <w:sz w:val="24"/>
          <w:szCs w:val="24"/>
        </w:rPr>
        <w:t>Barnett et al., 2012</w:t>
      </w:r>
      <w:r w:rsidRPr="00DB0E2D">
        <w:rPr>
          <w:rStyle w:val="cursor-pointer"/>
          <w:rFonts w:ascii="Arial" w:hAnsi="Arial" w:cs="Arial"/>
          <w:sz w:val="24"/>
          <w:szCs w:val="24"/>
        </w:rPr>
        <w:t>).</w:t>
      </w:r>
    </w:p>
    <w:p w14:paraId="0CDD3048" w14:textId="77777777" w:rsidR="00130EF3" w:rsidRPr="00DB0E2D" w:rsidRDefault="00430A13" w:rsidP="00DB0E2D">
      <w:pPr>
        <w:pStyle w:val="Heading2"/>
        <w:rPr>
          <w:rStyle w:val="Strong"/>
          <w:b/>
          <w:bCs w:val="0"/>
        </w:rPr>
      </w:pPr>
      <w:bookmarkStart w:id="5" w:name="_Toc235092050"/>
      <w:r w:rsidRPr="00DB0E2D">
        <w:rPr>
          <w:rStyle w:val="Strong"/>
          <w:b/>
          <w:bCs w:val="0"/>
        </w:rPr>
        <w:t>2.</w:t>
      </w:r>
      <w:r w:rsidR="00130EF3" w:rsidRPr="00DB0E2D">
        <w:rPr>
          <w:rStyle w:val="Strong"/>
          <w:b/>
          <w:bCs w:val="0"/>
        </w:rPr>
        <w:t>4 Social Isolation and Loneliness</w:t>
      </w:r>
      <w:bookmarkEnd w:id="5"/>
    </w:p>
    <w:p w14:paraId="1C91E52C" w14:textId="58BCF85C" w:rsidR="003816DE" w:rsidRPr="00DB0E2D" w:rsidRDefault="00DB0E2D" w:rsidP="00DB0E2D">
      <w:pPr>
        <w:spacing w:line="360" w:lineRule="auto"/>
        <w:jc w:val="both"/>
        <w:rPr>
          <w:rFonts w:ascii="Arial" w:hAnsi="Arial" w:cs="Arial"/>
          <w:sz w:val="24"/>
          <w:szCs w:val="24"/>
        </w:rPr>
      </w:pPr>
      <w:r w:rsidRPr="00DB0E2D">
        <w:rPr>
          <w:rFonts w:ascii="Arial" w:hAnsi="Arial" w:cs="Arial"/>
          <w:sz w:val="24"/>
          <w:szCs w:val="24"/>
        </w:rPr>
        <w:t>senior citizens</w:t>
      </w:r>
      <w:r w:rsidRPr="00DB0E2D">
        <w:rPr>
          <w:rStyle w:val="cursor-pointer"/>
          <w:rFonts w:ascii="Arial" w:hAnsi="Arial" w:cs="Arial"/>
          <w:sz w:val="24"/>
          <w:szCs w:val="24"/>
        </w:rPr>
        <w:t xml:space="preserve"> </w:t>
      </w:r>
      <w:r w:rsidR="003816DE" w:rsidRPr="00DB0E2D">
        <w:rPr>
          <w:rStyle w:val="cursor-pointer"/>
          <w:rFonts w:ascii="Arial" w:hAnsi="Arial" w:cs="Arial"/>
          <w:sz w:val="24"/>
          <w:szCs w:val="24"/>
        </w:rPr>
        <w:t>live in an environment of social isolation and loneliness, and this plays a major role in health inequalities.</w:t>
      </w:r>
      <w:r w:rsidR="003816DE" w:rsidRPr="00DB0E2D">
        <w:rPr>
          <w:rFonts w:ascii="Arial" w:hAnsi="Arial" w:cs="Arial"/>
          <w:sz w:val="24"/>
          <w:szCs w:val="24"/>
        </w:rPr>
        <w:t xml:space="preserve"> </w:t>
      </w:r>
      <w:r w:rsidR="003816DE" w:rsidRPr="00DB0E2D">
        <w:rPr>
          <w:rStyle w:val="cursor-pointer"/>
          <w:rFonts w:ascii="Arial" w:hAnsi="Arial" w:cs="Arial"/>
          <w:sz w:val="24"/>
          <w:szCs w:val="24"/>
        </w:rPr>
        <w:t xml:space="preserve">Age UK (2025) estimate that 1.4 million </w:t>
      </w:r>
      <w:r w:rsidRPr="00DB0E2D">
        <w:rPr>
          <w:rFonts w:ascii="Arial" w:hAnsi="Arial" w:cs="Arial"/>
          <w:sz w:val="24"/>
          <w:szCs w:val="24"/>
        </w:rPr>
        <w:t>senior citizens</w:t>
      </w:r>
      <w:r w:rsidRPr="00DB0E2D">
        <w:rPr>
          <w:rStyle w:val="cursor-pointer"/>
          <w:rFonts w:ascii="Arial" w:hAnsi="Arial" w:cs="Arial"/>
          <w:sz w:val="24"/>
          <w:szCs w:val="24"/>
        </w:rPr>
        <w:t xml:space="preserve"> </w:t>
      </w:r>
      <w:r w:rsidR="003816DE" w:rsidRPr="00DB0E2D">
        <w:rPr>
          <w:rStyle w:val="cursor-pointer"/>
          <w:rFonts w:ascii="Arial" w:hAnsi="Arial" w:cs="Arial"/>
          <w:sz w:val="24"/>
          <w:szCs w:val="24"/>
        </w:rPr>
        <w:t>in England suffer from chronic loneliness.</w:t>
      </w:r>
      <w:r w:rsidR="003816DE" w:rsidRPr="00DB0E2D">
        <w:rPr>
          <w:rFonts w:ascii="Arial" w:hAnsi="Arial" w:cs="Arial"/>
          <w:sz w:val="24"/>
          <w:szCs w:val="24"/>
        </w:rPr>
        <w:t xml:space="preserve"> </w:t>
      </w:r>
      <w:r w:rsidR="003816DE" w:rsidRPr="00DB0E2D">
        <w:rPr>
          <w:rStyle w:val="cursor-pointer"/>
          <w:rFonts w:ascii="Arial" w:hAnsi="Arial" w:cs="Arial"/>
          <w:sz w:val="24"/>
          <w:szCs w:val="24"/>
        </w:rPr>
        <w:t>Less social interaction leads to an increase in depression, cognitive decline, cardiovascular disease, and decrease in wellbeing (</w:t>
      </w:r>
      <w:r w:rsidR="0060606B" w:rsidRPr="00DB0E2D">
        <w:rPr>
          <w:rFonts w:ascii="Arial" w:hAnsi="Arial" w:cs="Arial"/>
          <w:sz w:val="24"/>
          <w:szCs w:val="24"/>
        </w:rPr>
        <w:t>Santini et al., 2020</w:t>
      </w:r>
      <w:r w:rsidR="003816DE" w:rsidRPr="00DB0E2D">
        <w:rPr>
          <w:rStyle w:val="cursor-pointer"/>
          <w:rFonts w:ascii="Arial" w:hAnsi="Arial" w:cs="Arial"/>
          <w:sz w:val="24"/>
          <w:szCs w:val="24"/>
        </w:rPr>
        <w:t>).</w:t>
      </w:r>
      <w:r w:rsidR="003816DE" w:rsidRPr="00DB0E2D">
        <w:rPr>
          <w:rFonts w:ascii="Arial" w:hAnsi="Arial" w:cs="Arial"/>
          <w:sz w:val="24"/>
          <w:szCs w:val="24"/>
        </w:rPr>
        <w:t xml:space="preserve"> </w:t>
      </w:r>
      <w:r w:rsidR="003816DE" w:rsidRPr="00DB0E2D">
        <w:rPr>
          <w:rStyle w:val="cursor-pointer"/>
          <w:rFonts w:ascii="Arial" w:hAnsi="Arial" w:cs="Arial"/>
          <w:sz w:val="24"/>
          <w:szCs w:val="24"/>
        </w:rPr>
        <w:t>Social prescribing and community support groups, as well as digital inclusion programmes can all contribute to tackling a sense of loneliness and enhancing healthy ageing.</w:t>
      </w:r>
    </w:p>
    <w:p w14:paraId="24117722" w14:textId="77777777" w:rsidR="007F3409" w:rsidRPr="00DB0E2D" w:rsidRDefault="007F3409" w:rsidP="00DB0E2D">
      <w:pPr>
        <w:pStyle w:val="NormalWeb"/>
        <w:spacing w:line="360" w:lineRule="auto"/>
        <w:jc w:val="both"/>
        <w:rPr>
          <w:rFonts w:ascii="Arial" w:hAnsi="Arial" w:cs="Arial"/>
        </w:rPr>
      </w:pPr>
      <w:r w:rsidRPr="00DB0E2D">
        <w:rPr>
          <w:rFonts w:ascii="Arial" w:hAnsi="Arial" w:cs="Arial"/>
          <w:noProof/>
        </w:rPr>
        <w:drawing>
          <wp:inline distT="0" distB="0" distL="0" distR="0" wp14:anchorId="1B4E8D83" wp14:editId="2FA85C48">
            <wp:extent cx="5176783" cy="3102692"/>
            <wp:effectExtent l="0" t="0" r="508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8841" b="16263"/>
                    <a:stretch/>
                  </pic:blipFill>
                  <pic:spPr bwMode="auto">
                    <a:xfrm>
                      <a:off x="0" y="0"/>
                      <a:ext cx="5214406" cy="3125241"/>
                    </a:xfrm>
                    <a:prstGeom prst="rect">
                      <a:avLst/>
                    </a:prstGeom>
                    <a:ln>
                      <a:noFill/>
                    </a:ln>
                    <a:extLst>
                      <a:ext uri="{53640926-AAD7-44D8-BBD7-CCE9431645EC}">
                        <a14:shadowObscured xmlns:a14="http://schemas.microsoft.com/office/drawing/2010/main"/>
                      </a:ext>
                    </a:extLst>
                  </pic:spPr>
                </pic:pic>
              </a:graphicData>
            </a:graphic>
          </wp:inline>
        </w:drawing>
      </w:r>
    </w:p>
    <w:p w14:paraId="4D1419BF" w14:textId="77777777" w:rsidR="00130EF3" w:rsidRPr="00744BA4" w:rsidRDefault="00130EF3" w:rsidP="00DB0E2D">
      <w:pPr>
        <w:pStyle w:val="NormalWeb"/>
        <w:spacing w:line="360" w:lineRule="auto"/>
        <w:jc w:val="center"/>
        <w:rPr>
          <w:rFonts w:ascii="Arial" w:hAnsi="Arial" w:cs="Arial"/>
          <w:u w:val="single"/>
        </w:rPr>
      </w:pPr>
      <w:r w:rsidRPr="00744BA4">
        <w:rPr>
          <w:rStyle w:val="Strong"/>
          <w:rFonts w:ascii="Arial" w:hAnsi="Arial" w:cs="Arial"/>
          <w:u w:val="single"/>
        </w:rPr>
        <w:t>Figure 3. Older Adults Experiencing Chronic Loneliness in England (2025)</w:t>
      </w:r>
    </w:p>
    <w:p w14:paraId="172C9409" w14:textId="77777777" w:rsidR="00130EF3" w:rsidRPr="00744BA4" w:rsidRDefault="00430A13" w:rsidP="00DB0E2D">
      <w:pPr>
        <w:spacing w:before="100" w:beforeAutospacing="1" w:after="100" w:afterAutospacing="1" w:line="360" w:lineRule="auto"/>
        <w:jc w:val="center"/>
        <w:rPr>
          <w:rFonts w:ascii="Arial" w:eastAsia="Times New Roman" w:hAnsi="Arial" w:cs="Arial"/>
          <w:b/>
          <w:bCs/>
          <w:sz w:val="24"/>
          <w:szCs w:val="24"/>
          <w:u w:val="single"/>
          <w:lang w:eastAsia="en-GB"/>
        </w:rPr>
      </w:pPr>
      <w:r w:rsidRPr="00744BA4">
        <w:rPr>
          <w:rFonts w:ascii="Arial" w:eastAsia="Times New Roman" w:hAnsi="Arial" w:cs="Arial"/>
          <w:b/>
          <w:bCs/>
          <w:sz w:val="24"/>
          <w:szCs w:val="24"/>
          <w:u w:val="single"/>
          <w:lang w:eastAsia="en-GB"/>
        </w:rPr>
        <w:t xml:space="preserve">Source: Author own’s illustration Adapted from </w:t>
      </w:r>
      <w:r w:rsidR="00130EF3" w:rsidRPr="00744BA4">
        <w:rPr>
          <w:rFonts w:ascii="Arial" w:hAnsi="Arial" w:cs="Arial"/>
          <w:b/>
          <w:sz w:val="24"/>
          <w:szCs w:val="24"/>
          <w:u w:val="single"/>
        </w:rPr>
        <w:t>Age UK (2025).</w:t>
      </w:r>
    </w:p>
    <w:p w14:paraId="2437DEC2" w14:textId="77777777" w:rsidR="00130EF3" w:rsidRPr="00DB0E2D" w:rsidRDefault="00430A13" w:rsidP="00DB0E2D">
      <w:pPr>
        <w:pStyle w:val="Heading2"/>
        <w:rPr>
          <w:rStyle w:val="Strong"/>
          <w:b/>
          <w:bCs w:val="0"/>
        </w:rPr>
      </w:pPr>
      <w:bookmarkStart w:id="6" w:name="_Toc235092051"/>
      <w:r w:rsidRPr="00DB0E2D">
        <w:rPr>
          <w:rStyle w:val="Strong"/>
          <w:b/>
          <w:bCs w:val="0"/>
        </w:rPr>
        <w:lastRenderedPageBreak/>
        <w:t>2.</w:t>
      </w:r>
      <w:r w:rsidR="00130EF3" w:rsidRPr="00DB0E2D">
        <w:rPr>
          <w:rStyle w:val="Strong"/>
          <w:b/>
          <w:bCs w:val="0"/>
        </w:rPr>
        <w:t>5 Poverty</w:t>
      </w:r>
      <w:bookmarkEnd w:id="6"/>
    </w:p>
    <w:p w14:paraId="0E6988E1" w14:textId="62CCE44D" w:rsidR="003816DE" w:rsidRPr="00DB0E2D" w:rsidRDefault="003816DE" w:rsidP="00DB0E2D">
      <w:pPr>
        <w:spacing w:line="360" w:lineRule="auto"/>
        <w:jc w:val="both"/>
        <w:rPr>
          <w:rFonts w:ascii="Arial" w:hAnsi="Arial" w:cs="Arial"/>
          <w:sz w:val="24"/>
          <w:szCs w:val="24"/>
        </w:rPr>
      </w:pPr>
      <w:r w:rsidRPr="00DB0E2D">
        <w:rPr>
          <w:rStyle w:val="cursor-pointer"/>
          <w:rFonts w:ascii="Arial" w:hAnsi="Arial" w:cs="Arial"/>
          <w:sz w:val="24"/>
          <w:szCs w:val="24"/>
        </w:rPr>
        <w:t>In the UK, approximately 2 million pensioners are living in 'relative poverty' and cannot afford nutritious food, heat and health care (</w:t>
      </w:r>
      <w:r w:rsidR="0060606B" w:rsidRPr="00DB0E2D">
        <w:rPr>
          <w:rFonts w:ascii="Arial" w:hAnsi="Arial" w:cs="Arial"/>
          <w:sz w:val="24"/>
          <w:szCs w:val="24"/>
        </w:rPr>
        <w:t>Cooper, 2026</w:t>
      </w:r>
      <w:r w:rsidRPr="00DB0E2D">
        <w:rPr>
          <w:rStyle w:val="cursor-pointer"/>
          <w:rFonts w:ascii="Arial" w:hAnsi="Arial" w:cs="Arial"/>
          <w:sz w:val="24"/>
          <w:szCs w:val="24"/>
        </w:rPr>
        <w:t>).</w:t>
      </w:r>
      <w:r w:rsidRPr="00DB0E2D">
        <w:rPr>
          <w:rFonts w:ascii="Arial" w:hAnsi="Arial" w:cs="Arial"/>
          <w:sz w:val="24"/>
          <w:szCs w:val="24"/>
        </w:rPr>
        <w:t xml:space="preserve"> </w:t>
      </w:r>
      <w:r w:rsidRPr="00DB0E2D">
        <w:rPr>
          <w:rStyle w:val="cursor-pointer"/>
          <w:rFonts w:ascii="Arial" w:hAnsi="Arial" w:cs="Arial"/>
          <w:sz w:val="24"/>
          <w:szCs w:val="24"/>
        </w:rPr>
        <w:t>Financial difficulties are linked to an increased risk of chronic disease, mental health problems and diminished health satisfaction.</w:t>
      </w:r>
      <w:r w:rsidRPr="00DB0E2D">
        <w:rPr>
          <w:rFonts w:ascii="Arial" w:hAnsi="Arial" w:cs="Arial"/>
          <w:sz w:val="24"/>
          <w:szCs w:val="24"/>
        </w:rPr>
        <w:t xml:space="preserve"> </w:t>
      </w:r>
      <w:r w:rsidRPr="00DB0E2D">
        <w:rPr>
          <w:rStyle w:val="cursor-pointer"/>
          <w:rFonts w:ascii="Arial" w:hAnsi="Arial" w:cs="Arial"/>
          <w:sz w:val="24"/>
          <w:szCs w:val="24"/>
        </w:rPr>
        <w:t>The gaps can be minimised by increasing the take-up of Pension Credit, enhancing financial support and reducing living costs.</w:t>
      </w:r>
    </w:p>
    <w:p w14:paraId="01B4CF66" w14:textId="77777777" w:rsidR="00130EF3" w:rsidRPr="00DB0E2D" w:rsidRDefault="00430A13" w:rsidP="00DB0E2D">
      <w:pPr>
        <w:pStyle w:val="Heading2"/>
        <w:rPr>
          <w:rStyle w:val="Strong"/>
          <w:b/>
          <w:bCs w:val="0"/>
        </w:rPr>
      </w:pPr>
      <w:bookmarkStart w:id="7" w:name="_Toc235092052"/>
      <w:r w:rsidRPr="00DB0E2D">
        <w:rPr>
          <w:rStyle w:val="Strong"/>
          <w:b/>
          <w:bCs w:val="0"/>
        </w:rPr>
        <w:t>2.</w:t>
      </w:r>
      <w:r w:rsidR="00130EF3" w:rsidRPr="00DB0E2D">
        <w:rPr>
          <w:rStyle w:val="Strong"/>
          <w:b/>
          <w:bCs w:val="0"/>
        </w:rPr>
        <w:t>6. Poor Housing</w:t>
      </w:r>
      <w:bookmarkEnd w:id="7"/>
    </w:p>
    <w:p w14:paraId="10851D40" w14:textId="77777777" w:rsidR="003816DE" w:rsidRPr="00DB0E2D" w:rsidRDefault="003816DE" w:rsidP="00DB0E2D">
      <w:pPr>
        <w:spacing w:line="360" w:lineRule="auto"/>
        <w:jc w:val="both"/>
        <w:rPr>
          <w:rStyle w:val="cursor-pointer"/>
          <w:rFonts w:ascii="Arial" w:hAnsi="Arial" w:cs="Arial"/>
          <w:sz w:val="24"/>
          <w:szCs w:val="24"/>
        </w:rPr>
      </w:pPr>
      <w:r w:rsidRPr="00DB0E2D">
        <w:rPr>
          <w:rStyle w:val="cursor-pointer"/>
          <w:rFonts w:ascii="Arial" w:hAnsi="Arial" w:cs="Arial"/>
          <w:sz w:val="24"/>
          <w:szCs w:val="24"/>
        </w:rPr>
        <w:t>The poor quality of housing places health risks to older people at the forefront through contributing to respiratory illness and falls, as well as excess winter deaths.</w:t>
      </w:r>
      <w:r w:rsidRPr="00DB0E2D">
        <w:rPr>
          <w:rFonts w:ascii="Arial" w:hAnsi="Arial" w:cs="Arial"/>
          <w:sz w:val="24"/>
          <w:szCs w:val="24"/>
        </w:rPr>
        <w:t xml:space="preserve"> </w:t>
      </w:r>
      <w:r w:rsidRPr="00DB0E2D">
        <w:rPr>
          <w:rStyle w:val="cursor-pointer"/>
          <w:rFonts w:ascii="Arial" w:hAnsi="Arial" w:cs="Arial"/>
          <w:sz w:val="24"/>
          <w:szCs w:val="24"/>
        </w:rPr>
        <w:t>Limited income and disabled people are the most likely to be affected by cold, damp and inaccessible homes (</w:t>
      </w:r>
      <w:r w:rsidR="0060606B" w:rsidRPr="00DB0E2D">
        <w:rPr>
          <w:rFonts w:ascii="Arial" w:hAnsi="Arial" w:cs="Arial"/>
          <w:sz w:val="24"/>
          <w:szCs w:val="24"/>
        </w:rPr>
        <w:t>Ackerman et al., 2025</w:t>
      </w:r>
      <w:r w:rsidRPr="00DB0E2D">
        <w:rPr>
          <w:rStyle w:val="cursor-pointer"/>
          <w:rFonts w:ascii="Arial" w:hAnsi="Arial" w:cs="Arial"/>
          <w:sz w:val="24"/>
          <w:szCs w:val="24"/>
        </w:rPr>
        <w:t>).</w:t>
      </w:r>
      <w:r w:rsidRPr="00DB0E2D">
        <w:rPr>
          <w:rFonts w:ascii="Arial" w:hAnsi="Arial" w:cs="Arial"/>
          <w:sz w:val="24"/>
          <w:szCs w:val="24"/>
        </w:rPr>
        <w:t xml:space="preserve"> </w:t>
      </w:r>
      <w:r w:rsidRPr="00DB0E2D">
        <w:rPr>
          <w:rStyle w:val="cursor-pointer"/>
          <w:rFonts w:ascii="Arial" w:hAnsi="Arial" w:cs="Arial"/>
          <w:sz w:val="24"/>
          <w:szCs w:val="24"/>
        </w:rPr>
        <w:t>It is possible to mitigate these health disparities and foster independent living by improving home insulation and by adapting homes to accommodate mobility requirements and increase housing support.</w:t>
      </w:r>
    </w:p>
    <w:p w14:paraId="5DBFE5A2" w14:textId="77777777" w:rsidR="00DB4259" w:rsidRPr="00DB0E2D" w:rsidRDefault="00DB4259" w:rsidP="00DB0E2D">
      <w:pPr>
        <w:pStyle w:val="Heading1"/>
        <w:rPr>
          <w:rStyle w:val="cursor-pointer"/>
        </w:rPr>
      </w:pPr>
      <w:r w:rsidRPr="00DB0E2D">
        <w:t>3. National Responses and Organisation Supporting Older Adults</w:t>
      </w:r>
    </w:p>
    <w:p w14:paraId="25D97057" w14:textId="0024D461" w:rsidR="00DB4259" w:rsidRPr="00DB0E2D" w:rsidRDefault="00DB4259" w:rsidP="00DB0E2D">
      <w:pPr>
        <w:spacing w:line="360" w:lineRule="auto"/>
        <w:jc w:val="both"/>
        <w:rPr>
          <w:rStyle w:val="Strong"/>
          <w:rFonts w:ascii="Arial" w:hAnsi="Arial" w:cs="Arial"/>
          <w:b w:val="0"/>
          <w:bCs w:val="0"/>
          <w:sz w:val="24"/>
          <w:szCs w:val="24"/>
        </w:rPr>
      </w:pPr>
      <w:r w:rsidRPr="00DB0E2D">
        <w:rPr>
          <w:rStyle w:val="cursor-pointer"/>
          <w:rFonts w:ascii="Arial" w:hAnsi="Arial" w:cs="Arial"/>
          <w:sz w:val="24"/>
          <w:szCs w:val="24"/>
        </w:rPr>
        <w:t>There have been several initiatives undertaken by the UK Government to tackle inequalities in health outcomes for older people, such as the NHS Long Term Plan and the Ageing Well Programme.</w:t>
      </w:r>
      <w:r w:rsidRPr="00DB0E2D">
        <w:rPr>
          <w:rFonts w:ascii="Arial" w:hAnsi="Arial" w:cs="Arial"/>
          <w:sz w:val="24"/>
          <w:szCs w:val="24"/>
        </w:rPr>
        <w:t xml:space="preserve"> </w:t>
      </w:r>
      <w:r w:rsidRPr="00DB0E2D">
        <w:rPr>
          <w:rStyle w:val="cursor-pointer"/>
          <w:rFonts w:ascii="Arial" w:hAnsi="Arial" w:cs="Arial"/>
          <w:sz w:val="24"/>
          <w:szCs w:val="24"/>
        </w:rPr>
        <w:t xml:space="preserve">These </w:t>
      </w:r>
      <w:r w:rsidR="00DB0E2D" w:rsidRPr="00DB0E2D">
        <w:rPr>
          <w:rFonts w:ascii="Arial" w:hAnsi="Arial" w:cs="Arial"/>
          <w:sz w:val="24"/>
          <w:szCs w:val="24"/>
        </w:rPr>
        <w:t>approaches</w:t>
      </w:r>
      <w:r w:rsidR="00DB0E2D" w:rsidRPr="00DB0E2D">
        <w:rPr>
          <w:rStyle w:val="cursor-pointer"/>
          <w:rFonts w:ascii="Arial" w:hAnsi="Arial" w:cs="Arial"/>
          <w:sz w:val="24"/>
          <w:szCs w:val="24"/>
        </w:rPr>
        <w:t xml:space="preserve"> </w:t>
      </w:r>
      <w:r w:rsidRPr="00DB0E2D">
        <w:rPr>
          <w:rStyle w:val="cursor-pointer"/>
          <w:rFonts w:ascii="Arial" w:hAnsi="Arial" w:cs="Arial"/>
          <w:sz w:val="24"/>
          <w:szCs w:val="24"/>
        </w:rPr>
        <w:t>include: Integrated community care, Personalised healthcare, Early intervention, Frailty management and Falls prevention, which are all important factors in promoting healthy ageing and preventing avoidable admissions to hospital (Atella, 2025; Oliver, 2023).</w:t>
      </w:r>
      <w:r w:rsidRPr="00DB0E2D">
        <w:rPr>
          <w:rFonts w:ascii="Arial" w:hAnsi="Arial" w:cs="Arial"/>
          <w:sz w:val="24"/>
          <w:szCs w:val="24"/>
        </w:rPr>
        <w:t xml:space="preserve"> </w:t>
      </w:r>
      <w:r w:rsidRPr="00DB0E2D">
        <w:rPr>
          <w:rStyle w:val="cursor-pointer"/>
          <w:rFonts w:ascii="Arial" w:hAnsi="Arial" w:cs="Arial"/>
          <w:sz w:val="24"/>
          <w:szCs w:val="24"/>
        </w:rPr>
        <w:t>These policies have helped to increase the quality of care that is preventive and person-centred, but evidence shows that significant inequities remain.</w:t>
      </w:r>
      <w:r w:rsidRPr="00DB0E2D">
        <w:rPr>
          <w:rFonts w:ascii="Arial" w:hAnsi="Arial" w:cs="Arial"/>
          <w:sz w:val="24"/>
          <w:szCs w:val="24"/>
        </w:rPr>
        <w:t xml:space="preserve"> </w:t>
      </w:r>
      <w:r w:rsidRPr="00DB0E2D">
        <w:rPr>
          <w:rStyle w:val="cursor-pointer"/>
          <w:rFonts w:ascii="Arial" w:hAnsi="Arial" w:cs="Arial"/>
          <w:sz w:val="24"/>
          <w:szCs w:val="24"/>
        </w:rPr>
        <w:t xml:space="preserve">Older </w:t>
      </w:r>
      <w:r w:rsidRPr="00744BA4">
        <w:rPr>
          <w:rStyle w:val="cursor-pointer"/>
          <w:rFonts w:ascii="Arial" w:hAnsi="Arial" w:cs="Arial"/>
          <w:sz w:val="24"/>
          <w:szCs w:val="24"/>
        </w:rPr>
        <w:t xml:space="preserve">people in disadvantaged areas also have less access to health services and a shorter healthy life expectancy, and are also more likely to face the adverse impacts of </w:t>
      </w:r>
      <w:r w:rsidR="00DB0E2D" w:rsidRPr="00744BA4">
        <w:rPr>
          <w:rStyle w:val="Strong"/>
          <w:rFonts w:ascii="Arial" w:hAnsi="Arial" w:cs="Arial"/>
          <w:b w:val="0"/>
          <w:bCs w:val="0"/>
          <w:sz w:val="24"/>
          <w:szCs w:val="24"/>
        </w:rPr>
        <w:t>social factors</w:t>
      </w:r>
      <w:r w:rsidR="00DB0E2D" w:rsidRPr="00744BA4">
        <w:rPr>
          <w:rStyle w:val="cursor-pointer"/>
          <w:rFonts w:ascii="Arial" w:hAnsi="Arial" w:cs="Arial"/>
          <w:sz w:val="24"/>
          <w:szCs w:val="24"/>
        </w:rPr>
        <w:t xml:space="preserve"> </w:t>
      </w:r>
      <w:r w:rsidRPr="00744BA4">
        <w:rPr>
          <w:rStyle w:val="cursor-pointer"/>
          <w:rFonts w:ascii="Arial" w:hAnsi="Arial" w:cs="Arial"/>
          <w:sz w:val="24"/>
          <w:szCs w:val="24"/>
        </w:rPr>
        <w:t>of health like poverty and social isolation.</w:t>
      </w:r>
      <w:r w:rsidRPr="00744BA4">
        <w:rPr>
          <w:rFonts w:ascii="Arial" w:hAnsi="Arial" w:cs="Arial"/>
          <w:sz w:val="24"/>
          <w:szCs w:val="24"/>
        </w:rPr>
        <w:t xml:space="preserve"> </w:t>
      </w:r>
      <w:r w:rsidRPr="00744BA4">
        <w:rPr>
          <w:rStyle w:val="cursor-pointer"/>
          <w:rFonts w:ascii="Arial" w:hAnsi="Arial" w:cs="Arial"/>
          <w:sz w:val="24"/>
          <w:szCs w:val="24"/>
        </w:rPr>
        <w:t>This indicates that national policies will not be enough if they do not include local policies and investments to tackle broader socio-economic inequalities.</w:t>
      </w:r>
      <w:r w:rsidRPr="00744BA4">
        <w:rPr>
          <w:rFonts w:ascii="Arial" w:hAnsi="Arial" w:cs="Arial"/>
          <w:sz w:val="24"/>
          <w:szCs w:val="24"/>
        </w:rPr>
        <w:t xml:space="preserve"> </w:t>
      </w:r>
      <w:r w:rsidRPr="00744BA4">
        <w:rPr>
          <w:rStyle w:val="cursor-pointer"/>
          <w:rFonts w:ascii="Arial" w:hAnsi="Arial" w:cs="Arial"/>
          <w:sz w:val="24"/>
          <w:szCs w:val="24"/>
        </w:rPr>
        <w:t>In addition to government work, Age UK also has a crucial role in helping</w:t>
      </w:r>
      <w:r w:rsidRPr="00DB0E2D">
        <w:rPr>
          <w:rStyle w:val="cursor-pointer"/>
          <w:rFonts w:ascii="Arial" w:hAnsi="Arial" w:cs="Arial"/>
          <w:sz w:val="24"/>
          <w:szCs w:val="24"/>
        </w:rPr>
        <w:t xml:space="preserve"> to tackle health inequalities in its advocacy, research and support for older people in the community.</w:t>
      </w:r>
      <w:r w:rsidRPr="00DB0E2D">
        <w:rPr>
          <w:rFonts w:ascii="Arial" w:hAnsi="Arial" w:cs="Arial"/>
          <w:sz w:val="24"/>
          <w:szCs w:val="24"/>
        </w:rPr>
        <w:t xml:space="preserve"> </w:t>
      </w:r>
      <w:r w:rsidRPr="00DB0E2D">
        <w:rPr>
          <w:rStyle w:val="cursor-pointer"/>
          <w:rFonts w:ascii="Arial" w:hAnsi="Arial" w:cs="Arial"/>
          <w:sz w:val="24"/>
          <w:szCs w:val="24"/>
        </w:rPr>
        <w:t>The organisation is able to offer guidance on health, housing, benefits and social care and offers befriending services to help alleviate loneliness and improve wellbeing (Age UK, 2025).</w:t>
      </w:r>
      <w:r w:rsidRPr="00DB0E2D">
        <w:rPr>
          <w:rFonts w:ascii="Arial" w:hAnsi="Arial" w:cs="Arial"/>
          <w:sz w:val="24"/>
          <w:szCs w:val="24"/>
        </w:rPr>
        <w:t xml:space="preserve"> </w:t>
      </w:r>
      <w:r w:rsidRPr="00DB0E2D">
        <w:rPr>
          <w:rStyle w:val="cursor-pointer"/>
          <w:rFonts w:ascii="Arial" w:hAnsi="Arial" w:cs="Arial"/>
          <w:sz w:val="24"/>
          <w:szCs w:val="24"/>
        </w:rPr>
        <w:t>It also works to fight against age discrimination and to advance knowledge of and awareness about healthy ageing.</w:t>
      </w:r>
      <w:r w:rsidRPr="00DB0E2D">
        <w:rPr>
          <w:rFonts w:ascii="Arial" w:hAnsi="Arial" w:cs="Arial"/>
          <w:sz w:val="24"/>
          <w:szCs w:val="24"/>
        </w:rPr>
        <w:t xml:space="preserve"> </w:t>
      </w:r>
      <w:r w:rsidRPr="00DB0E2D">
        <w:rPr>
          <w:rStyle w:val="cursor-pointer"/>
          <w:rFonts w:ascii="Arial" w:hAnsi="Arial" w:cs="Arial"/>
          <w:sz w:val="24"/>
          <w:szCs w:val="24"/>
        </w:rPr>
        <w:t xml:space="preserve">As a charitable </w:t>
      </w:r>
      <w:r w:rsidRPr="00DB0E2D">
        <w:rPr>
          <w:rStyle w:val="cursor-pointer"/>
          <w:rFonts w:ascii="Arial" w:hAnsi="Arial" w:cs="Arial"/>
          <w:sz w:val="24"/>
          <w:szCs w:val="24"/>
        </w:rPr>
        <w:lastRenderedPageBreak/>
        <w:t>organisation however, its capacity is limited by funds and volunteer working.</w:t>
      </w:r>
      <w:r w:rsidRPr="00DB0E2D">
        <w:rPr>
          <w:rFonts w:ascii="Arial" w:hAnsi="Arial" w:cs="Arial"/>
          <w:sz w:val="24"/>
          <w:szCs w:val="24"/>
        </w:rPr>
        <w:t xml:space="preserve"> </w:t>
      </w:r>
      <w:r w:rsidRPr="00DB0E2D">
        <w:rPr>
          <w:rStyle w:val="cursor-pointer"/>
          <w:rFonts w:ascii="Arial" w:hAnsi="Arial" w:cs="Arial"/>
          <w:sz w:val="24"/>
          <w:szCs w:val="24"/>
        </w:rPr>
        <w:t>Thus, it is imperative that there is improved interagency working between government, health services and the voluntary sector to provide equitable and sustainable support for older people to reduce health inequalities.</w:t>
      </w:r>
    </w:p>
    <w:p w14:paraId="21B77015" w14:textId="77777777" w:rsidR="00130EF3" w:rsidRPr="00DB0E2D" w:rsidRDefault="00130EF3" w:rsidP="00DB0E2D">
      <w:pPr>
        <w:pStyle w:val="Heading1"/>
        <w:rPr>
          <w:rStyle w:val="Strong"/>
          <w:b/>
          <w:bCs w:val="0"/>
        </w:rPr>
      </w:pPr>
      <w:bookmarkStart w:id="8" w:name="_Toc235092055"/>
      <w:r w:rsidRPr="00DB0E2D">
        <w:rPr>
          <w:rStyle w:val="Strong"/>
          <w:b/>
          <w:bCs w:val="0"/>
        </w:rPr>
        <w:t>Conclusion</w:t>
      </w:r>
      <w:bookmarkEnd w:id="8"/>
    </w:p>
    <w:p w14:paraId="15538B21" w14:textId="77777777" w:rsidR="003816DE" w:rsidRPr="00DB0E2D" w:rsidRDefault="003816DE" w:rsidP="00DB0E2D">
      <w:pPr>
        <w:spacing w:line="360" w:lineRule="auto"/>
        <w:jc w:val="both"/>
        <w:rPr>
          <w:rFonts w:ascii="Arial" w:hAnsi="Arial" w:cs="Arial"/>
          <w:sz w:val="24"/>
          <w:szCs w:val="24"/>
        </w:rPr>
      </w:pPr>
      <w:r w:rsidRPr="00DB0E2D">
        <w:rPr>
          <w:rStyle w:val="cursor-pointer"/>
          <w:rFonts w:ascii="Arial" w:hAnsi="Arial" w:cs="Arial"/>
          <w:sz w:val="24"/>
          <w:szCs w:val="24"/>
        </w:rPr>
        <w:t>Chronic disease and social disadvantage, such as loneliness and poverty and poor housing, are a major source of health inequalities among older people.</w:t>
      </w:r>
      <w:r w:rsidRPr="00DB0E2D">
        <w:rPr>
          <w:rFonts w:ascii="Arial" w:hAnsi="Arial" w:cs="Arial"/>
          <w:sz w:val="24"/>
          <w:szCs w:val="24"/>
        </w:rPr>
        <w:t xml:space="preserve"> </w:t>
      </w:r>
      <w:r w:rsidRPr="00DB0E2D">
        <w:rPr>
          <w:rStyle w:val="cursor-pointer"/>
          <w:rFonts w:ascii="Arial" w:hAnsi="Arial" w:cs="Arial"/>
          <w:sz w:val="24"/>
          <w:szCs w:val="24"/>
        </w:rPr>
        <w:t>These inequalities harm people's quality of life and drive up health services use.</w:t>
      </w:r>
      <w:r w:rsidRPr="00DB0E2D">
        <w:rPr>
          <w:rFonts w:ascii="Arial" w:hAnsi="Arial" w:cs="Arial"/>
          <w:sz w:val="24"/>
          <w:szCs w:val="24"/>
        </w:rPr>
        <w:t xml:space="preserve"> </w:t>
      </w:r>
      <w:r w:rsidRPr="00DB0E2D">
        <w:rPr>
          <w:rStyle w:val="cursor-pointer"/>
          <w:rFonts w:ascii="Arial" w:hAnsi="Arial" w:cs="Arial"/>
          <w:sz w:val="24"/>
          <w:szCs w:val="24"/>
        </w:rPr>
        <w:t>National initiatives, including the NHS Long Term Plan and Ageing Well Programme, and Age UK's support are key in helping to tackle these inequalities.</w:t>
      </w:r>
      <w:r w:rsidRPr="00DB0E2D">
        <w:rPr>
          <w:rFonts w:ascii="Arial" w:hAnsi="Arial" w:cs="Arial"/>
          <w:sz w:val="24"/>
          <w:szCs w:val="24"/>
        </w:rPr>
        <w:t xml:space="preserve"> </w:t>
      </w:r>
      <w:r w:rsidRPr="00DB0E2D">
        <w:rPr>
          <w:rStyle w:val="cursor-pointer"/>
          <w:rFonts w:ascii="Arial" w:hAnsi="Arial" w:cs="Arial"/>
          <w:sz w:val="24"/>
          <w:szCs w:val="24"/>
        </w:rPr>
        <w:t>The future of healthy ageing and the health outcomes for older people in the United Kingdom depends on continued investment in prevention, access to health services and community support, that is equitably available to everyone.</w:t>
      </w:r>
    </w:p>
    <w:p w14:paraId="410D3EFD" w14:textId="77777777" w:rsidR="00E056B4" w:rsidRPr="00DB0E2D" w:rsidRDefault="00E056B4" w:rsidP="00DB0E2D">
      <w:pPr>
        <w:spacing w:before="100" w:beforeAutospacing="1" w:after="100" w:afterAutospacing="1" w:line="360" w:lineRule="auto"/>
        <w:jc w:val="both"/>
        <w:rPr>
          <w:rFonts w:ascii="Arial" w:hAnsi="Arial" w:cs="Arial"/>
          <w:sz w:val="24"/>
          <w:szCs w:val="24"/>
        </w:rPr>
      </w:pPr>
    </w:p>
    <w:p w14:paraId="34364D1F" w14:textId="77777777" w:rsidR="0060606B" w:rsidRPr="00DB0E2D" w:rsidRDefault="0060606B" w:rsidP="00DB0E2D">
      <w:pPr>
        <w:spacing w:before="100" w:beforeAutospacing="1" w:after="100" w:afterAutospacing="1" w:line="360" w:lineRule="auto"/>
        <w:jc w:val="both"/>
        <w:rPr>
          <w:rFonts w:ascii="Arial" w:hAnsi="Arial" w:cs="Arial"/>
          <w:sz w:val="24"/>
          <w:szCs w:val="24"/>
        </w:rPr>
      </w:pPr>
    </w:p>
    <w:p w14:paraId="2239769B" w14:textId="77777777" w:rsidR="0060606B" w:rsidRPr="00DB0E2D" w:rsidRDefault="0060606B" w:rsidP="00DB0E2D">
      <w:pPr>
        <w:spacing w:before="100" w:beforeAutospacing="1" w:after="100" w:afterAutospacing="1" w:line="360" w:lineRule="auto"/>
        <w:jc w:val="both"/>
        <w:rPr>
          <w:rFonts w:ascii="Arial" w:hAnsi="Arial" w:cs="Arial"/>
          <w:sz w:val="24"/>
          <w:szCs w:val="24"/>
        </w:rPr>
      </w:pPr>
    </w:p>
    <w:p w14:paraId="1187D1B5" w14:textId="398E87B5" w:rsidR="00430A13" w:rsidRPr="00DB0E2D" w:rsidRDefault="00430A13" w:rsidP="00DB0E2D">
      <w:pPr>
        <w:spacing w:line="360" w:lineRule="auto"/>
        <w:jc w:val="both"/>
        <w:rPr>
          <w:rFonts w:ascii="Arial" w:hAnsi="Arial" w:cs="Arial"/>
          <w:sz w:val="24"/>
          <w:szCs w:val="24"/>
        </w:rPr>
      </w:pPr>
      <w:r w:rsidRPr="00DB0E2D">
        <w:rPr>
          <w:rFonts w:ascii="Arial" w:hAnsi="Arial" w:cs="Arial"/>
          <w:sz w:val="24"/>
          <w:szCs w:val="24"/>
        </w:rPr>
        <w:br w:type="page"/>
      </w:r>
    </w:p>
    <w:p w14:paraId="2284C57A" w14:textId="258D6E2F" w:rsidR="00430A13" w:rsidRPr="00DB0E2D" w:rsidRDefault="00130EF3" w:rsidP="00DB0E2D">
      <w:pPr>
        <w:pStyle w:val="Heading1"/>
      </w:pPr>
      <w:bookmarkStart w:id="9" w:name="_Toc235092056"/>
      <w:r w:rsidRPr="00DB0E2D">
        <w:lastRenderedPageBreak/>
        <w:t>Task 2</w:t>
      </w:r>
      <w:bookmarkEnd w:id="9"/>
    </w:p>
    <w:p w14:paraId="5A98A00D" w14:textId="77777777" w:rsidR="00130EF3" w:rsidRPr="00DB0E2D" w:rsidRDefault="00130EF3" w:rsidP="00DB0E2D">
      <w:pPr>
        <w:pStyle w:val="Heading1"/>
      </w:pPr>
      <w:r w:rsidRPr="00DB0E2D">
        <w:t xml:space="preserve"> </w:t>
      </w:r>
      <w:bookmarkStart w:id="10" w:name="_Toc235092057"/>
      <w:r w:rsidRPr="00DB0E2D">
        <w:t>Epidemiological Analysis</w:t>
      </w:r>
      <w:bookmarkEnd w:id="10"/>
    </w:p>
    <w:p w14:paraId="2C40FE8C" w14:textId="77777777" w:rsidR="00BA22B6" w:rsidRPr="00DB0E2D" w:rsidRDefault="00430A13" w:rsidP="00DB0E2D">
      <w:pPr>
        <w:pStyle w:val="Heading2"/>
      </w:pPr>
      <w:bookmarkStart w:id="11" w:name="_Toc235092058"/>
      <w:r w:rsidRPr="00DB0E2D">
        <w:t xml:space="preserve">1. </w:t>
      </w:r>
      <w:r w:rsidR="00BA22B6" w:rsidRPr="00DB0E2D">
        <w:t>Introduction</w:t>
      </w:r>
      <w:bookmarkEnd w:id="11"/>
    </w:p>
    <w:p w14:paraId="547202F2" w14:textId="38BD228A" w:rsidR="003816DE" w:rsidRPr="00DB0E2D" w:rsidRDefault="00DB0E2D" w:rsidP="00DB0E2D">
      <w:pPr>
        <w:spacing w:line="360" w:lineRule="auto"/>
        <w:jc w:val="both"/>
        <w:rPr>
          <w:rFonts w:ascii="Arial" w:hAnsi="Arial" w:cs="Arial"/>
          <w:sz w:val="24"/>
          <w:szCs w:val="24"/>
        </w:rPr>
      </w:pPr>
      <w:r>
        <w:rPr>
          <w:rFonts w:ascii="Arial" w:hAnsi="Arial" w:cs="Arial"/>
          <w:sz w:val="24"/>
          <w:szCs w:val="24"/>
        </w:rPr>
        <w:t>N</w:t>
      </w:r>
      <w:r w:rsidRPr="00DB0E2D">
        <w:rPr>
          <w:rFonts w:ascii="Arial" w:hAnsi="Arial" w:cs="Arial"/>
          <w:sz w:val="24"/>
          <w:szCs w:val="24"/>
        </w:rPr>
        <w:t>on-insulin-dependent diabetes mellitus (NIDDM)</w:t>
      </w:r>
      <w:r w:rsidRPr="00DB0E2D">
        <w:rPr>
          <w:rStyle w:val="cursor-pointer"/>
          <w:rFonts w:ascii="Arial" w:hAnsi="Arial" w:cs="Arial"/>
          <w:sz w:val="24"/>
          <w:szCs w:val="24"/>
        </w:rPr>
        <w:t xml:space="preserve"> </w:t>
      </w:r>
      <w:r w:rsidR="003816DE" w:rsidRPr="00DB0E2D">
        <w:rPr>
          <w:rStyle w:val="cursor-pointer"/>
          <w:rFonts w:ascii="Arial" w:hAnsi="Arial" w:cs="Arial"/>
          <w:sz w:val="24"/>
          <w:szCs w:val="24"/>
        </w:rPr>
        <w:t>is a chronic non-communicable metabolic disorder that involves insulin resistance and reduced insulin production, leading to chronic hyperglycaemia (</w:t>
      </w:r>
      <w:r w:rsidR="0060606B" w:rsidRPr="00DB0E2D">
        <w:rPr>
          <w:rFonts w:ascii="Arial" w:hAnsi="Arial" w:cs="Arial"/>
          <w:sz w:val="24"/>
          <w:szCs w:val="24"/>
        </w:rPr>
        <w:t>Davies et al., 2026</w:t>
      </w:r>
      <w:r w:rsidR="003816DE" w:rsidRPr="00DB0E2D">
        <w:rPr>
          <w:rStyle w:val="cursor-pointer"/>
          <w:rFonts w:ascii="Arial" w:hAnsi="Arial" w:cs="Arial"/>
          <w:sz w:val="24"/>
          <w:szCs w:val="24"/>
        </w:rPr>
        <w:t>).</w:t>
      </w:r>
      <w:r w:rsidR="003816DE" w:rsidRPr="00DB0E2D">
        <w:rPr>
          <w:rFonts w:ascii="Arial" w:hAnsi="Arial" w:cs="Arial"/>
          <w:sz w:val="24"/>
          <w:szCs w:val="24"/>
        </w:rPr>
        <w:t xml:space="preserve"> </w:t>
      </w:r>
      <w:r w:rsidR="003816DE" w:rsidRPr="00DB0E2D">
        <w:rPr>
          <w:rStyle w:val="cursor-pointer"/>
          <w:rFonts w:ascii="Arial" w:hAnsi="Arial" w:cs="Arial"/>
          <w:sz w:val="24"/>
          <w:szCs w:val="24"/>
        </w:rPr>
        <w:t>It is a significant public health issue due to its linkage with cardiovascular diseases, chronic kidney disease, blindness, lower-limb amputation, and early death.</w:t>
      </w:r>
      <w:r w:rsidR="003816DE" w:rsidRPr="00DB0E2D">
        <w:rPr>
          <w:rFonts w:ascii="Arial" w:hAnsi="Arial" w:cs="Arial"/>
          <w:sz w:val="24"/>
          <w:szCs w:val="24"/>
        </w:rPr>
        <w:t xml:space="preserve"> </w:t>
      </w:r>
      <w:r w:rsidR="003816DE" w:rsidRPr="00DB0E2D">
        <w:rPr>
          <w:rStyle w:val="cursor-pointer"/>
          <w:rFonts w:ascii="Arial" w:hAnsi="Arial" w:cs="Arial"/>
          <w:sz w:val="24"/>
          <w:szCs w:val="24"/>
        </w:rPr>
        <w:t>Additionally, T2DM impacts on the quality of life and places significant financial burden on healthcare systems due to chronic treatment and disease management (</w:t>
      </w:r>
      <w:r w:rsidR="00EB3613" w:rsidRPr="00DB0E2D">
        <w:rPr>
          <w:rFonts w:ascii="Arial" w:hAnsi="Arial" w:cs="Arial"/>
          <w:sz w:val="24"/>
          <w:szCs w:val="24"/>
        </w:rPr>
        <w:t>Rob et al., 2025</w:t>
      </w:r>
      <w:r w:rsidR="003816DE" w:rsidRPr="00DB0E2D">
        <w:rPr>
          <w:rStyle w:val="cursor-pointer"/>
          <w:rFonts w:ascii="Arial" w:hAnsi="Arial" w:cs="Arial"/>
          <w:sz w:val="24"/>
          <w:szCs w:val="24"/>
        </w:rPr>
        <w:t>).</w:t>
      </w:r>
      <w:r w:rsidR="003816DE" w:rsidRPr="00DB0E2D">
        <w:rPr>
          <w:rFonts w:ascii="Arial" w:hAnsi="Arial" w:cs="Arial"/>
          <w:sz w:val="24"/>
          <w:szCs w:val="24"/>
        </w:rPr>
        <w:t xml:space="preserve"> </w:t>
      </w:r>
      <w:r w:rsidR="00EB3613" w:rsidRPr="00DB0E2D">
        <w:rPr>
          <w:rFonts w:ascii="Arial" w:hAnsi="Arial" w:cs="Arial"/>
          <w:sz w:val="24"/>
          <w:szCs w:val="24"/>
        </w:rPr>
        <w:t xml:space="preserve">The International Diabetes Federation (2025) estimated that 589 million adults worldwide were living with diabetes, while Diabetes UK (2025) estimated that approximately 5.8 million people in the United Kingdom were living with diagnosed or undiagnosed diabetes. </w:t>
      </w:r>
      <w:r w:rsidR="003816DE" w:rsidRPr="00DB0E2D">
        <w:rPr>
          <w:rStyle w:val="cursor-pointer"/>
          <w:rFonts w:ascii="Arial" w:hAnsi="Arial" w:cs="Arial"/>
          <w:sz w:val="24"/>
          <w:szCs w:val="24"/>
        </w:rPr>
        <w:t>Diabetes prevalence is one of the highest in England across the London Borough of Tower Hamlets, with a high prevalence amongst older adults, due to the interplay between ageing, socio-economic deprivation and ethnic differences (</w:t>
      </w:r>
      <w:r w:rsidR="00EB3613" w:rsidRPr="00DB0E2D">
        <w:rPr>
          <w:rFonts w:ascii="Arial" w:hAnsi="Arial" w:cs="Arial"/>
          <w:sz w:val="24"/>
          <w:szCs w:val="24"/>
        </w:rPr>
        <w:t>Mathur et al., 2020</w:t>
      </w:r>
      <w:r w:rsidR="003816DE" w:rsidRPr="00DB0E2D">
        <w:rPr>
          <w:rStyle w:val="cursor-pointer"/>
          <w:rFonts w:ascii="Arial" w:hAnsi="Arial" w:cs="Arial"/>
          <w:sz w:val="24"/>
          <w:szCs w:val="24"/>
        </w:rPr>
        <w:t>).</w:t>
      </w:r>
      <w:r w:rsidR="003816DE" w:rsidRPr="00DB0E2D">
        <w:rPr>
          <w:rFonts w:ascii="Arial" w:hAnsi="Arial" w:cs="Arial"/>
          <w:sz w:val="24"/>
          <w:szCs w:val="24"/>
        </w:rPr>
        <w:t xml:space="preserve"> </w:t>
      </w:r>
    </w:p>
    <w:p w14:paraId="34E7DFB2" w14:textId="77777777" w:rsidR="007F3409" w:rsidRPr="00DB0E2D" w:rsidRDefault="007F3409" w:rsidP="00DB0E2D">
      <w:pPr>
        <w:pStyle w:val="NormalWeb"/>
        <w:spacing w:line="360" w:lineRule="auto"/>
        <w:jc w:val="both"/>
        <w:rPr>
          <w:rFonts w:ascii="Arial" w:hAnsi="Arial" w:cs="Arial"/>
        </w:rPr>
      </w:pPr>
      <w:r w:rsidRPr="00DB0E2D">
        <w:rPr>
          <w:rFonts w:ascii="Arial" w:hAnsi="Arial" w:cs="Arial"/>
          <w:noProof/>
        </w:rPr>
        <w:drawing>
          <wp:inline distT="0" distB="0" distL="0" distR="0" wp14:anchorId="6673B9DA" wp14:editId="12A57BD1">
            <wp:extent cx="5562600" cy="294783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0403" b="23375"/>
                    <a:stretch/>
                  </pic:blipFill>
                  <pic:spPr bwMode="auto">
                    <a:xfrm>
                      <a:off x="0" y="0"/>
                      <a:ext cx="5583739" cy="2959035"/>
                    </a:xfrm>
                    <a:prstGeom prst="rect">
                      <a:avLst/>
                    </a:prstGeom>
                    <a:ln>
                      <a:noFill/>
                    </a:ln>
                    <a:extLst>
                      <a:ext uri="{53640926-AAD7-44D8-BBD7-CCE9431645EC}">
                        <a14:shadowObscured xmlns:a14="http://schemas.microsoft.com/office/drawing/2010/main"/>
                      </a:ext>
                    </a:extLst>
                  </pic:spPr>
                </pic:pic>
              </a:graphicData>
            </a:graphic>
          </wp:inline>
        </w:drawing>
      </w:r>
    </w:p>
    <w:p w14:paraId="3E7D8B14" w14:textId="52A92A21" w:rsidR="00BA22B6" w:rsidRPr="00744BA4" w:rsidRDefault="00BA22B6" w:rsidP="00DB0E2D">
      <w:pPr>
        <w:pStyle w:val="NormalWeb"/>
        <w:spacing w:line="360" w:lineRule="auto"/>
        <w:jc w:val="center"/>
        <w:rPr>
          <w:rStyle w:val="Strong"/>
          <w:rFonts w:ascii="Arial" w:eastAsiaTheme="majorEastAsia" w:hAnsi="Arial" w:cs="Arial"/>
          <w:u w:val="single"/>
        </w:rPr>
      </w:pPr>
      <w:r w:rsidRPr="00744BA4">
        <w:rPr>
          <w:rStyle w:val="Strong"/>
          <w:rFonts w:ascii="Arial" w:eastAsiaTheme="majorEastAsia" w:hAnsi="Arial" w:cs="Arial"/>
          <w:u w:val="single"/>
        </w:rPr>
        <w:t xml:space="preserve">Figure </w:t>
      </w:r>
      <w:r w:rsidR="00744BA4" w:rsidRPr="00744BA4">
        <w:rPr>
          <w:rStyle w:val="Strong"/>
          <w:rFonts w:ascii="Arial" w:eastAsiaTheme="majorEastAsia" w:hAnsi="Arial" w:cs="Arial"/>
          <w:u w:val="single"/>
        </w:rPr>
        <w:t>4</w:t>
      </w:r>
      <w:r w:rsidRPr="00744BA4">
        <w:rPr>
          <w:rStyle w:val="Strong"/>
          <w:rFonts w:ascii="Arial" w:eastAsiaTheme="majorEastAsia" w:hAnsi="Arial" w:cs="Arial"/>
          <w:u w:val="single"/>
        </w:rPr>
        <w:t>. Prevalence of Type 2 Diabetes Worldwide, the United Kingdom, and Tower Hamlets</w:t>
      </w:r>
    </w:p>
    <w:p w14:paraId="714D48D1" w14:textId="77777777" w:rsidR="00430A13" w:rsidRPr="00744BA4" w:rsidRDefault="00430A13" w:rsidP="00DB0E2D">
      <w:pPr>
        <w:spacing w:before="100" w:beforeAutospacing="1" w:after="100" w:afterAutospacing="1" w:line="360" w:lineRule="auto"/>
        <w:jc w:val="center"/>
        <w:rPr>
          <w:rStyle w:val="Strong"/>
          <w:rFonts w:ascii="Arial" w:eastAsia="Times New Roman" w:hAnsi="Arial" w:cs="Arial"/>
          <w:i/>
          <w:sz w:val="24"/>
          <w:szCs w:val="24"/>
          <w:u w:val="single"/>
          <w:lang w:eastAsia="en-GB"/>
        </w:rPr>
      </w:pPr>
      <w:r w:rsidRPr="00744BA4">
        <w:rPr>
          <w:rFonts w:ascii="Arial" w:eastAsia="Times New Roman" w:hAnsi="Arial" w:cs="Arial"/>
          <w:b/>
          <w:bCs/>
          <w:i/>
          <w:sz w:val="24"/>
          <w:szCs w:val="24"/>
          <w:u w:val="single"/>
          <w:lang w:eastAsia="en-GB"/>
        </w:rPr>
        <w:t>Source: Author own’s illustration,2026</w:t>
      </w:r>
    </w:p>
    <w:p w14:paraId="3CEF6FDD" w14:textId="77777777" w:rsidR="0058536F" w:rsidRPr="00DB0E2D" w:rsidRDefault="0058536F" w:rsidP="00DB0E2D">
      <w:pPr>
        <w:pStyle w:val="Heading2"/>
      </w:pPr>
      <w:bookmarkStart w:id="12" w:name="_Toc235092059"/>
      <w:r w:rsidRPr="00DB0E2D">
        <w:lastRenderedPageBreak/>
        <w:t>2. Public Health Measures for Type 2 Diabetes Control</w:t>
      </w:r>
      <w:bookmarkEnd w:id="12"/>
    </w:p>
    <w:p w14:paraId="48A34787" w14:textId="77777777" w:rsidR="00F15F99" w:rsidRPr="00DB0E2D" w:rsidRDefault="00F15F99" w:rsidP="00DB0E2D">
      <w:pPr>
        <w:spacing w:line="360" w:lineRule="auto"/>
        <w:jc w:val="both"/>
        <w:rPr>
          <w:rFonts w:ascii="Arial" w:hAnsi="Arial" w:cs="Arial"/>
          <w:sz w:val="24"/>
          <w:szCs w:val="24"/>
        </w:rPr>
      </w:pPr>
      <w:r w:rsidRPr="00DB0E2D">
        <w:rPr>
          <w:rFonts w:ascii="Arial" w:hAnsi="Arial" w:cs="Arial"/>
          <w:noProof/>
          <w:sz w:val="24"/>
          <w:szCs w:val="24"/>
        </w:rPr>
        <w:drawing>
          <wp:inline distT="0" distB="0" distL="0" distR="0" wp14:anchorId="260E42B1" wp14:editId="0C213AC0">
            <wp:extent cx="5625296" cy="36583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8788" b="10614"/>
                    <a:stretch/>
                  </pic:blipFill>
                  <pic:spPr bwMode="auto">
                    <a:xfrm>
                      <a:off x="0" y="0"/>
                      <a:ext cx="5635909" cy="3665277"/>
                    </a:xfrm>
                    <a:prstGeom prst="rect">
                      <a:avLst/>
                    </a:prstGeom>
                    <a:ln>
                      <a:noFill/>
                    </a:ln>
                    <a:extLst>
                      <a:ext uri="{53640926-AAD7-44D8-BBD7-CCE9431645EC}">
                        <a14:shadowObscured xmlns:a14="http://schemas.microsoft.com/office/drawing/2010/main"/>
                      </a:ext>
                    </a:extLst>
                  </pic:spPr>
                </pic:pic>
              </a:graphicData>
            </a:graphic>
          </wp:inline>
        </w:drawing>
      </w:r>
    </w:p>
    <w:p w14:paraId="3AFBE281" w14:textId="77777777" w:rsidR="00E056B4" w:rsidRPr="00DB0E2D" w:rsidRDefault="00E056B4" w:rsidP="00DB0E2D">
      <w:pPr>
        <w:spacing w:line="360" w:lineRule="auto"/>
        <w:jc w:val="center"/>
        <w:rPr>
          <w:rFonts w:ascii="Arial" w:hAnsi="Arial" w:cs="Arial"/>
          <w:b/>
          <w:i/>
          <w:sz w:val="24"/>
          <w:szCs w:val="24"/>
        </w:rPr>
      </w:pPr>
    </w:p>
    <w:p w14:paraId="6C2D4E3F" w14:textId="34BED984" w:rsidR="00E056B4" w:rsidRPr="00744BA4" w:rsidRDefault="00430A13" w:rsidP="00DB0E2D">
      <w:pPr>
        <w:spacing w:line="360" w:lineRule="auto"/>
        <w:jc w:val="center"/>
        <w:rPr>
          <w:rFonts w:ascii="Arial" w:hAnsi="Arial" w:cs="Arial"/>
          <w:b/>
          <w:iCs/>
          <w:sz w:val="24"/>
          <w:szCs w:val="24"/>
          <w:u w:val="single"/>
        </w:rPr>
      </w:pPr>
      <w:r w:rsidRPr="00744BA4">
        <w:rPr>
          <w:rFonts w:ascii="Arial" w:hAnsi="Arial" w:cs="Arial"/>
          <w:b/>
          <w:iCs/>
          <w:sz w:val="24"/>
          <w:szCs w:val="24"/>
          <w:u w:val="single"/>
        </w:rPr>
        <w:t xml:space="preserve">Figure </w:t>
      </w:r>
      <w:r w:rsidR="00744BA4">
        <w:rPr>
          <w:rFonts w:ascii="Arial" w:hAnsi="Arial" w:cs="Arial"/>
          <w:b/>
          <w:iCs/>
          <w:sz w:val="24"/>
          <w:szCs w:val="24"/>
          <w:u w:val="single"/>
        </w:rPr>
        <w:t>5</w:t>
      </w:r>
      <w:r w:rsidRPr="00744BA4">
        <w:rPr>
          <w:rFonts w:ascii="Arial" w:hAnsi="Arial" w:cs="Arial"/>
          <w:b/>
          <w:iCs/>
          <w:sz w:val="24"/>
          <w:szCs w:val="24"/>
          <w:u w:val="single"/>
        </w:rPr>
        <w:t xml:space="preserve">: </w:t>
      </w:r>
      <w:r w:rsidR="00E056B4" w:rsidRPr="00744BA4">
        <w:rPr>
          <w:rFonts w:ascii="Arial" w:hAnsi="Arial" w:cs="Arial"/>
          <w:b/>
          <w:iCs/>
          <w:sz w:val="24"/>
          <w:szCs w:val="24"/>
          <w:u w:val="single"/>
        </w:rPr>
        <w:t>Three Ps of Public Health</w:t>
      </w:r>
    </w:p>
    <w:p w14:paraId="211FA97F" w14:textId="77777777" w:rsidR="00E056B4" w:rsidRPr="00744BA4" w:rsidRDefault="00E056B4" w:rsidP="00DB0E2D">
      <w:pPr>
        <w:spacing w:line="360" w:lineRule="auto"/>
        <w:jc w:val="center"/>
        <w:rPr>
          <w:rFonts w:ascii="Arial" w:hAnsi="Arial" w:cs="Arial"/>
          <w:b/>
          <w:iCs/>
          <w:sz w:val="24"/>
          <w:szCs w:val="24"/>
          <w:u w:val="single"/>
        </w:rPr>
      </w:pPr>
      <w:r w:rsidRPr="00744BA4">
        <w:rPr>
          <w:rFonts w:ascii="Arial" w:hAnsi="Arial" w:cs="Arial"/>
          <w:b/>
          <w:iCs/>
          <w:sz w:val="24"/>
          <w:szCs w:val="24"/>
          <w:u w:val="single"/>
        </w:rPr>
        <w:t>Source: Author own’s illustration,2026</w:t>
      </w:r>
    </w:p>
    <w:p w14:paraId="56B6221C" w14:textId="77777777" w:rsidR="00E056B4" w:rsidRPr="00DB0E2D" w:rsidRDefault="001B30E1" w:rsidP="00DB0E2D">
      <w:pPr>
        <w:pStyle w:val="Heading2"/>
      </w:pPr>
      <w:bookmarkStart w:id="13" w:name="_Toc235092060"/>
      <w:r w:rsidRPr="00DB0E2D">
        <w:t xml:space="preserve">2.1 </w:t>
      </w:r>
      <w:r w:rsidR="0058536F" w:rsidRPr="00DB0E2D">
        <w:t>Prevention</w:t>
      </w:r>
      <w:bookmarkEnd w:id="13"/>
    </w:p>
    <w:p w14:paraId="2447761F" w14:textId="77777777" w:rsidR="003816DE" w:rsidRPr="00DB0E2D" w:rsidRDefault="003816DE" w:rsidP="00DB0E2D">
      <w:pPr>
        <w:spacing w:line="360" w:lineRule="auto"/>
        <w:jc w:val="both"/>
        <w:rPr>
          <w:rFonts w:ascii="Arial" w:hAnsi="Arial" w:cs="Arial"/>
          <w:sz w:val="24"/>
          <w:szCs w:val="24"/>
        </w:rPr>
      </w:pPr>
      <w:r w:rsidRPr="00DB0E2D">
        <w:rPr>
          <w:rStyle w:val="cursor-pointer"/>
          <w:rFonts w:ascii="Arial" w:hAnsi="Arial" w:cs="Arial"/>
          <w:sz w:val="24"/>
          <w:szCs w:val="24"/>
        </w:rPr>
        <w:t>The goal of prevention is to minimize the occurrence of Type 2 diabetes by changing the factors that can be changed before the disease develops.</w:t>
      </w:r>
      <w:r w:rsidRPr="00DB0E2D">
        <w:rPr>
          <w:rFonts w:ascii="Arial" w:hAnsi="Arial" w:cs="Arial"/>
          <w:sz w:val="24"/>
          <w:szCs w:val="24"/>
        </w:rPr>
        <w:t xml:space="preserve"> </w:t>
      </w:r>
      <w:r w:rsidRPr="00DB0E2D">
        <w:rPr>
          <w:rStyle w:val="cursor-pointer"/>
          <w:rFonts w:ascii="Arial" w:hAnsi="Arial" w:cs="Arial"/>
          <w:sz w:val="24"/>
          <w:szCs w:val="24"/>
        </w:rPr>
        <w:t>The NHS Diabetes Prevention Programme is a series of healthy eating advice, physical activity and weight management support to people who are at high risk of developing type 2 diabetes (</w:t>
      </w:r>
      <w:r w:rsidR="00EB3613" w:rsidRPr="00DB0E2D">
        <w:rPr>
          <w:rFonts w:ascii="Arial" w:hAnsi="Arial" w:cs="Arial"/>
          <w:sz w:val="24"/>
          <w:szCs w:val="24"/>
        </w:rPr>
        <w:t>NHS England, 2025</w:t>
      </w:r>
      <w:r w:rsidRPr="00DB0E2D">
        <w:rPr>
          <w:rStyle w:val="cursor-pointer"/>
          <w:rFonts w:ascii="Arial" w:hAnsi="Arial" w:cs="Arial"/>
          <w:sz w:val="24"/>
          <w:szCs w:val="24"/>
        </w:rPr>
        <w:t>).</w:t>
      </w:r>
      <w:r w:rsidRPr="00DB0E2D">
        <w:rPr>
          <w:rFonts w:ascii="Arial" w:hAnsi="Arial" w:cs="Arial"/>
          <w:sz w:val="24"/>
          <w:szCs w:val="24"/>
        </w:rPr>
        <w:t xml:space="preserve"> </w:t>
      </w:r>
      <w:r w:rsidRPr="00DB0E2D">
        <w:rPr>
          <w:rStyle w:val="cursor-pointer"/>
          <w:rFonts w:ascii="Arial" w:hAnsi="Arial" w:cs="Arial"/>
          <w:sz w:val="24"/>
          <w:szCs w:val="24"/>
        </w:rPr>
        <w:t>Locally delivered lifestyle programmes with culturally appropriate dietary advice and behavioural support are offered to older adults and South Asian communities in Tower Hamlets, who are at higher risk of diabetes as a result of living in an economically deprived area and having a genetic predisposition (</w:t>
      </w:r>
      <w:r w:rsidR="00EB3613" w:rsidRPr="00DB0E2D">
        <w:rPr>
          <w:rFonts w:ascii="Arial" w:hAnsi="Arial" w:cs="Arial"/>
          <w:sz w:val="24"/>
          <w:szCs w:val="24"/>
        </w:rPr>
        <w:t>Vaja et al., 2021</w:t>
      </w:r>
      <w:r w:rsidRPr="00DB0E2D">
        <w:rPr>
          <w:rStyle w:val="cursor-pointer"/>
          <w:rFonts w:ascii="Arial" w:hAnsi="Arial" w:cs="Arial"/>
          <w:sz w:val="24"/>
          <w:szCs w:val="24"/>
        </w:rPr>
        <w:t>).</w:t>
      </w:r>
    </w:p>
    <w:p w14:paraId="648B56F4" w14:textId="77777777" w:rsidR="0058536F" w:rsidRPr="00DB0E2D" w:rsidRDefault="001B30E1" w:rsidP="00DB0E2D">
      <w:pPr>
        <w:pStyle w:val="Heading2"/>
      </w:pPr>
      <w:bookmarkStart w:id="14" w:name="_Toc235092061"/>
      <w:r w:rsidRPr="00DB0E2D">
        <w:t xml:space="preserve">2.2 </w:t>
      </w:r>
      <w:r w:rsidR="0058536F" w:rsidRPr="00DB0E2D">
        <w:t>Protection</w:t>
      </w:r>
      <w:bookmarkEnd w:id="14"/>
    </w:p>
    <w:p w14:paraId="5093CAB9" w14:textId="77777777" w:rsidR="003816DE" w:rsidRPr="00DB0E2D" w:rsidRDefault="003816DE" w:rsidP="00DB0E2D">
      <w:pPr>
        <w:spacing w:line="360" w:lineRule="auto"/>
        <w:jc w:val="both"/>
        <w:rPr>
          <w:rFonts w:ascii="Arial" w:hAnsi="Arial" w:cs="Arial"/>
          <w:sz w:val="24"/>
          <w:szCs w:val="24"/>
        </w:rPr>
      </w:pPr>
      <w:r w:rsidRPr="00DB0E2D">
        <w:rPr>
          <w:rStyle w:val="cursor-pointer"/>
          <w:rFonts w:ascii="Arial" w:hAnsi="Arial" w:cs="Arial"/>
          <w:sz w:val="24"/>
          <w:szCs w:val="24"/>
        </w:rPr>
        <w:t>In the case of protection, the emphasis is on preventing disease progression and complication, by diagnosis and ongoing clinical surveillance.</w:t>
      </w:r>
      <w:r w:rsidRPr="00DB0E2D">
        <w:rPr>
          <w:rFonts w:ascii="Arial" w:hAnsi="Arial" w:cs="Arial"/>
          <w:sz w:val="24"/>
          <w:szCs w:val="24"/>
        </w:rPr>
        <w:t xml:space="preserve"> </w:t>
      </w:r>
      <w:r w:rsidRPr="00DB0E2D">
        <w:rPr>
          <w:rStyle w:val="cursor-pointer"/>
          <w:rFonts w:ascii="Arial" w:hAnsi="Arial" w:cs="Arial"/>
          <w:sz w:val="24"/>
          <w:szCs w:val="24"/>
        </w:rPr>
        <w:t xml:space="preserve">Standard testing for HbA1c levels, yearly foot exams, eye checks and regular blood glucose checks help </w:t>
      </w:r>
      <w:r w:rsidRPr="00DB0E2D">
        <w:rPr>
          <w:rStyle w:val="cursor-pointer"/>
          <w:rFonts w:ascii="Arial" w:hAnsi="Arial" w:cs="Arial"/>
          <w:sz w:val="24"/>
          <w:szCs w:val="24"/>
        </w:rPr>
        <w:lastRenderedPageBreak/>
        <w:t>health care providers detect complications early.</w:t>
      </w:r>
      <w:r w:rsidRPr="00DB0E2D">
        <w:rPr>
          <w:rFonts w:ascii="Arial" w:hAnsi="Arial" w:cs="Arial"/>
          <w:sz w:val="24"/>
          <w:szCs w:val="24"/>
        </w:rPr>
        <w:t xml:space="preserve"> </w:t>
      </w:r>
      <w:r w:rsidRPr="00DB0E2D">
        <w:rPr>
          <w:rStyle w:val="cursor-pointer"/>
          <w:rFonts w:ascii="Arial" w:hAnsi="Arial" w:cs="Arial"/>
          <w:sz w:val="24"/>
          <w:szCs w:val="24"/>
        </w:rPr>
        <w:t>According</w:t>
      </w:r>
      <w:r w:rsidR="00212C73" w:rsidRPr="00DB0E2D">
        <w:rPr>
          <w:rStyle w:val="cursor-pointer"/>
          <w:rFonts w:ascii="Arial" w:hAnsi="Arial" w:cs="Arial"/>
          <w:sz w:val="24"/>
          <w:szCs w:val="24"/>
        </w:rPr>
        <w:t xml:space="preserve"> to</w:t>
      </w:r>
      <w:r w:rsidR="00EB3613" w:rsidRPr="00DB0E2D">
        <w:rPr>
          <w:rStyle w:val="cursor-pointer"/>
          <w:rFonts w:ascii="Arial" w:hAnsi="Arial" w:cs="Arial"/>
          <w:sz w:val="24"/>
          <w:szCs w:val="24"/>
        </w:rPr>
        <w:t xml:space="preserve"> </w:t>
      </w:r>
      <w:r w:rsidR="00EB3613" w:rsidRPr="00DB0E2D">
        <w:rPr>
          <w:rFonts w:ascii="Arial" w:hAnsi="Arial" w:cs="Arial"/>
          <w:sz w:val="24"/>
          <w:szCs w:val="24"/>
        </w:rPr>
        <w:t>American Diabetes Association Professional Practice Committee (2025)</w:t>
      </w:r>
      <w:r w:rsidRPr="00DB0E2D">
        <w:rPr>
          <w:rStyle w:val="cursor-pointer"/>
          <w:rFonts w:ascii="Arial" w:hAnsi="Arial" w:cs="Arial"/>
          <w:sz w:val="24"/>
          <w:szCs w:val="24"/>
        </w:rPr>
        <w:t>, these measures lower the risk of cardiovascular disease, kidney failure, blindness, lower-limb amputation and help improve long-term health outcomes.</w:t>
      </w:r>
    </w:p>
    <w:p w14:paraId="50D4ED41" w14:textId="77777777" w:rsidR="0058536F" w:rsidRPr="00DB0E2D" w:rsidRDefault="001B30E1" w:rsidP="00DB0E2D">
      <w:pPr>
        <w:pStyle w:val="Heading2"/>
      </w:pPr>
      <w:bookmarkStart w:id="15" w:name="_Toc235092062"/>
      <w:r w:rsidRPr="00DB0E2D">
        <w:t xml:space="preserve">2.3 </w:t>
      </w:r>
      <w:r w:rsidR="0058536F" w:rsidRPr="00DB0E2D">
        <w:t>Promotion</w:t>
      </w:r>
      <w:bookmarkEnd w:id="15"/>
    </w:p>
    <w:p w14:paraId="139EAC7C" w14:textId="77777777" w:rsidR="003816DE" w:rsidRPr="00DB0E2D" w:rsidRDefault="003816DE" w:rsidP="00DB0E2D">
      <w:pPr>
        <w:spacing w:line="360" w:lineRule="auto"/>
        <w:jc w:val="both"/>
        <w:rPr>
          <w:rFonts w:ascii="Arial" w:hAnsi="Arial" w:cs="Arial"/>
          <w:sz w:val="24"/>
          <w:szCs w:val="24"/>
        </w:rPr>
      </w:pPr>
      <w:r w:rsidRPr="00DB0E2D">
        <w:rPr>
          <w:rStyle w:val="cursor-pointer"/>
          <w:rFonts w:ascii="Arial" w:hAnsi="Arial" w:cs="Arial"/>
          <w:sz w:val="24"/>
          <w:szCs w:val="24"/>
        </w:rPr>
        <w:t>Health promotion is about supporting better behaviors by educating the community and people.</w:t>
      </w:r>
      <w:r w:rsidRPr="00DB0E2D">
        <w:rPr>
          <w:rFonts w:ascii="Arial" w:hAnsi="Arial" w:cs="Arial"/>
          <w:sz w:val="24"/>
          <w:szCs w:val="24"/>
        </w:rPr>
        <w:t xml:space="preserve"> </w:t>
      </w:r>
      <w:r w:rsidRPr="00DB0E2D">
        <w:rPr>
          <w:rStyle w:val="cursor-pointer"/>
          <w:rFonts w:ascii="Arial" w:hAnsi="Arial" w:cs="Arial"/>
          <w:sz w:val="24"/>
          <w:szCs w:val="24"/>
        </w:rPr>
        <w:t>Awareness campaigns, exercise programmes, culturally adapted health education and GP-led advice have a positive impact on diabetes knowledge and self-management in Tower Hamlets.</w:t>
      </w:r>
      <w:r w:rsidRPr="00DB0E2D">
        <w:rPr>
          <w:rFonts w:ascii="Arial" w:hAnsi="Arial" w:cs="Arial"/>
          <w:sz w:val="24"/>
          <w:szCs w:val="24"/>
        </w:rPr>
        <w:t xml:space="preserve"> </w:t>
      </w:r>
      <w:r w:rsidRPr="00DB0E2D">
        <w:rPr>
          <w:rStyle w:val="cursor-pointer"/>
          <w:rFonts w:ascii="Arial" w:hAnsi="Arial" w:cs="Arial"/>
          <w:sz w:val="24"/>
          <w:szCs w:val="24"/>
        </w:rPr>
        <w:t>Yet these efforts have failed to eradicate health disparities that impact access to health services and life choices.</w:t>
      </w:r>
      <w:r w:rsidRPr="00DB0E2D">
        <w:rPr>
          <w:rFonts w:ascii="Arial" w:hAnsi="Arial" w:cs="Arial"/>
          <w:sz w:val="24"/>
          <w:szCs w:val="24"/>
        </w:rPr>
        <w:t xml:space="preserve"> </w:t>
      </w:r>
      <w:r w:rsidRPr="00DB0E2D">
        <w:rPr>
          <w:rStyle w:val="cursor-pointer"/>
          <w:rFonts w:ascii="Arial" w:hAnsi="Arial" w:cs="Arial"/>
          <w:sz w:val="24"/>
          <w:szCs w:val="24"/>
        </w:rPr>
        <w:t>So continued investment and action to address wider social determinants of health are key to further reduce the burden of Type 2 diabetes (</w:t>
      </w:r>
      <w:r w:rsidR="00212C73" w:rsidRPr="00DB0E2D">
        <w:rPr>
          <w:rFonts w:ascii="Arial" w:hAnsi="Arial" w:cs="Arial"/>
          <w:sz w:val="24"/>
          <w:szCs w:val="24"/>
        </w:rPr>
        <w:t>Haig et al., 2025</w:t>
      </w:r>
      <w:r w:rsidRPr="00DB0E2D">
        <w:rPr>
          <w:rStyle w:val="cursor-pointer"/>
          <w:rFonts w:ascii="Arial" w:hAnsi="Arial" w:cs="Arial"/>
          <w:sz w:val="24"/>
          <w:szCs w:val="24"/>
        </w:rPr>
        <w:t>).</w:t>
      </w:r>
    </w:p>
    <w:p w14:paraId="494BCAAB" w14:textId="777E2561" w:rsidR="0058536F" w:rsidRPr="00DB0E2D" w:rsidRDefault="0058536F" w:rsidP="00DB0E2D">
      <w:pPr>
        <w:pStyle w:val="NormalWeb"/>
        <w:spacing w:line="360" w:lineRule="auto"/>
        <w:jc w:val="both"/>
        <w:rPr>
          <w:rFonts w:ascii="Arial" w:hAnsi="Arial" w:cs="Arial"/>
        </w:rPr>
      </w:pPr>
      <w:r w:rsidRPr="00DB0E2D">
        <w:rPr>
          <w:rStyle w:val="Strong"/>
          <w:rFonts w:ascii="Arial" w:eastAsiaTheme="majorEastAsia" w:hAnsi="Arial" w:cs="Arial"/>
        </w:rPr>
        <w:t xml:space="preserve">Table </w:t>
      </w:r>
      <w:r w:rsidR="00744BA4">
        <w:rPr>
          <w:rStyle w:val="Strong"/>
          <w:rFonts w:ascii="Arial" w:eastAsiaTheme="majorEastAsia" w:hAnsi="Arial" w:cs="Arial"/>
        </w:rPr>
        <w:t>2.</w:t>
      </w:r>
      <w:r w:rsidRPr="00DB0E2D">
        <w:rPr>
          <w:rStyle w:val="Strong"/>
          <w:rFonts w:ascii="Arial" w:eastAsiaTheme="majorEastAsia" w:hAnsi="Arial" w:cs="Arial"/>
        </w:rPr>
        <w:t xml:space="preserve"> Public Health Measures for Type 2 Diabetes in Tower Hamlets</w:t>
      </w:r>
    </w:p>
    <w:tbl>
      <w:tblPr>
        <w:tblStyle w:val="TableGrid"/>
        <w:tblW w:w="0" w:type="auto"/>
        <w:tblLook w:val="04A0" w:firstRow="1" w:lastRow="0" w:firstColumn="1" w:lastColumn="0" w:noHBand="0" w:noVBand="1"/>
      </w:tblPr>
      <w:tblGrid>
        <w:gridCol w:w="1690"/>
        <w:gridCol w:w="4240"/>
        <w:gridCol w:w="3086"/>
      </w:tblGrid>
      <w:tr w:rsidR="0058536F" w:rsidRPr="00DB0E2D" w14:paraId="76898639" w14:textId="77777777" w:rsidTr="001C1D4B">
        <w:tc>
          <w:tcPr>
            <w:tcW w:w="0" w:type="auto"/>
            <w:shd w:val="clear" w:color="auto" w:fill="1F3864" w:themeFill="accent1" w:themeFillShade="80"/>
            <w:hideMark/>
          </w:tcPr>
          <w:p w14:paraId="7BAACFBE" w14:textId="77777777" w:rsidR="0058536F" w:rsidRPr="00DB0E2D" w:rsidRDefault="0058536F" w:rsidP="00DB0E2D">
            <w:pPr>
              <w:spacing w:line="360" w:lineRule="auto"/>
              <w:jc w:val="both"/>
              <w:rPr>
                <w:rFonts w:ascii="Arial" w:hAnsi="Arial" w:cs="Arial"/>
                <w:b/>
                <w:bCs/>
                <w:sz w:val="24"/>
                <w:szCs w:val="24"/>
              </w:rPr>
            </w:pPr>
            <w:r w:rsidRPr="00DB0E2D">
              <w:rPr>
                <w:rFonts w:ascii="Arial" w:hAnsi="Arial" w:cs="Arial"/>
                <w:b/>
                <w:bCs/>
                <w:sz w:val="24"/>
                <w:szCs w:val="24"/>
              </w:rPr>
              <w:t>Public Health Function</w:t>
            </w:r>
          </w:p>
        </w:tc>
        <w:tc>
          <w:tcPr>
            <w:tcW w:w="0" w:type="auto"/>
            <w:shd w:val="clear" w:color="auto" w:fill="1F3864" w:themeFill="accent1" w:themeFillShade="80"/>
            <w:hideMark/>
          </w:tcPr>
          <w:p w14:paraId="62F0B31E" w14:textId="77777777" w:rsidR="0058536F" w:rsidRPr="00DB0E2D" w:rsidRDefault="0058536F" w:rsidP="00DB0E2D">
            <w:pPr>
              <w:spacing w:line="360" w:lineRule="auto"/>
              <w:jc w:val="both"/>
              <w:rPr>
                <w:rFonts w:ascii="Arial" w:hAnsi="Arial" w:cs="Arial"/>
                <w:b/>
                <w:bCs/>
                <w:sz w:val="24"/>
                <w:szCs w:val="24"/>
              </w:rPr>
            </w:pPr>
            <w:r w:rsidRPr="00DB0E2D">
              <w:rPr>
                <w:rFonts w:ascii="Arial" w:hAnsi="Arial" w:cs="Arial"/>
                <w:b/>
                <w:bCs/>
                <w:sz w:val="24"/>
                <w:szCs w:val="24"/>
              </w:rPr>
              <w:t>Examples</w:t>
            </w:r>
          </w:p>
        </w:tc>
        <w:tc>
          <w:tcPr>
            <w:tcW w:w="0" w:type="auto"/>
            <w:shd w:val="clear" w:color="auto" w:fill="1F3864" w:themeFill="accent1" w:themeFillShade="80"/>
            <w:hideMark/>
          </w:tcPr>
          <w:p w14:paraId="471472EB" w14:textId="77777777" w:rsidR="0058536F" w:rsidRPr="00DB0E2D" w:rsidRDefault="0058536F" w:rsidP="00DB0E2D">
            <w:pPr>
              <w:spacing w:line="360" w:lineRule="auto"/>
              <w:jc w:val="both"/>
              <w:rPr>
                <w:rFonts w:ascii="Arial" w:hAnsi="Arial" w:cs="Arial"/>
                <w:b/>
                <w:bCs/>
                <w:sz w:val="24"/>
                <w:szCs w:val="24"/>
              </w:rPr>
            </w:pPr>
            <w:r w:rsidRPr="00DB0E2D">
              <w:rPr>
                <w:rFonts w:ascii="Arial" w:hAnsi="Arial" w:cs="Arial"/>
                <w:b/>
                <w:bCs/>
                <w:sz w:val="24"/>
                <w:szCs w:val="24"/>
              </w:rPr>
              <w:t>Intended Outcome</w:t>
            </w:r>
          </w:p>
        </w:tc>
      </w:tr>
      <w:tr w:rsidR="0058536F" w:rsidRPr="00DB0E2D" w14:paraId="0586B4EC" w14:textId="77777777" w:rsidTr="00D03E64">
        <w:tc>
          <w:tcPr>
            <w:tcW w:w="0" w:type="auto"/>
            <w:hideMark/>
          </w:tcPr>
          <w:p w14:paraId="14EF2548"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Prevention</w:t>
            </w:r>
          </w:p>
        </w:tc>
        <w:tc>
          <w:tcPr>
            <w:tcW w:w="0" w:type="auto"/>
            <w:hideMark/>
          </w:tcPr>
          <w:p w14:paraId="3575F647" w14:textId="77777777" w:rsidR="0058536F" w:rsidRPr="00DB0E2D" w:rsidRDefault="0058536F" w:rsidP="00744BA4">
            <w:pPr>
              <w:pStyle w:val="ListParagraph"/>
              <w:numPr>
                <w:ilvl w:val="0"/>
                <w:numId w:val="6"/>
              </w:numPr>
              <w:spacing w:line="360" w:lineRule="auto"/>
              <w:rPr>
                <w:rFonts w:ascii="Arial" w:hAnsi="Arial" w:cs="Arial"/>
                <w:sz w:val="24"/>
                <w:szCs w:val="24"/>
              </w:rPr>
            </w:pPr>
            <w:r w:rsidRPr="00DB0E2D">
              <w:rPr>
                <w:rFonts w:ascii="Arial" w:hAnsi="Arial" w:cs="Arial"/>
                <w:sz w:val="24"/>
                <w:szCs w:val="24"/>
              </w:rPr>
              <w:t>Healthy eating programmes, weight management, NHS Diabetes Prevention Programme</w:t>
            </w:r>
          </w:p>
        </w:tc>
        <w:tc>
          <w:tcPr>
            <w:tcW w:w="0" w:type="auto"/>
            <w:hideMark/>
          </w:tcPr>
          <w:p w14:paraId="0975C156" w14:textId="77777777" w:rsidR="0058536F" w:rsidRPr="00DB0E2D" w:rsidRDefault="0058536F" w:rsidP="00744BA4">
            <w:pPr>
              <w:pStyle w:val="ListParagraph"/>
              <w:numPr>
                <w:ilvl w:val="0"/>
                <w:numId w:val="6"/>
              </w:numPr>
              <w:spacing w:line="360" w:lineRule="auto"/>
              <w:rPr>
                <w:rFonts w:ascii="Arial" w:hAnsi="Arial" w:cs="Arial"/>
                <w:sz w:val="24"/>
                <w:szCs w:val="24"/>
              </w:rPr>
            </w:pPr>
            <w:r w:rsidRPr="00DB0E2D">
              <w:rPr>
                <w:rFonts w:ascii="Arial" w:hAnsi="Arial" w:cs="Arial"/>
                <w:sz w:val="24"/>
                <w:szCs w:val="24"/>
              </w:rPr>
              <w:t>Reduced incidence of Type 2 diabetes</w:t>
            </w:r>
          </w:p>
        </w:tc>
      </w:tr>
      <w:tr w:rsidR="0058536F" w:rsidRPr="00DB0E2D" w14:paraId="52A985D2" w14:textId="77777777" w:rsidTr="00D03E64">
        <w:tc>
          <w:tcPr>
            <w:tcW w:w="0" w:type="auto"/>
            <w:hideMark/>
          </w:tcPr>
          <w:p w14:paraId="1BD76973"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Protection</w:t>
            </w:r>
          </w:p>
        </w:tc>
        <w:tc>
          <w:tcPr>
            <w:tcW w:w="0" w:type="auto"/>
            <w:hideMark/>
          </w:tcPr>
          <w:p w14:paraId="31F51E98" w14:textId="77777777" w:rsidR="0058536F" w:rsidRPr="00DB0E2D" w:rsidRDefault="0058536F" w:rsidP="00744BA4">
            <w:pPr>
              <w:pStyle w:val="ListParagraph"/>
              <w:numPr>
                <w:ilvl w:val="0"/>
                <w:numId w:val="6"/>
              </w:numPr>
              <w:spacing w:line="360" w:lineRule="auto"/>
              <w:rPr>
                <w:rFonts w:ascii="Arial" w:hAnsi="Arial" w:cs="Arial"/>
                <w:sz w:val="24"/>
                <w:szCs w:val="24"/>
              </w:rPr>
            </w:pPr>
            <w:r w:rsidRPr="00DB0E2D">
              <w:rPr>
                <w:rFonts w:ascii="Arial" w:hAnsi="Arial" w:cs="Arial"/>
                <w:sz w:val="24"/>
                <w:szCs w:val="24"/>
              </w:rPr>
              <w:t>Annual screening, foot examinations, blood glucose monitoring</w:t>
            </w:r>
          </w:p>
        </w:tc>
        <w:tc>
          <w:tcPr>
            <w:tcW w:w="0" w:type="auto"/>
            <w:hideMark/>
          </w:tcPr>
          <w:p w14:paraId="23A38171" w14:textId="77777777" w:rsidR="0058536F" w:rsidRPr="00DB0E2D" w:rsidRDefault="0058536F" w:rsidP="00744BA4">
            <w:pPr>
              <w:pStyle w:val="ListParagraph"/>
              <w:numPr>
                <w:ilvl w:val="0"/>
                <w:numId w:val="6"/>
              </w:numPr>
              <w:spacing w:line="360" w:lineRule="auto"/>
              <w:rPr>
                <w:rFonts w:ascii="Arial" w:hAnsi="Arial" w:cs="Arial"/>
                <w:sz w:val="24"/>
                <w:szCs w:val="24"/>
              </w:rPr>
            </w:pPr>
            <w:r w:rsidRPr="00DB0E2D">
              <w:rPr>
                <w:rFonts w:ascii="Arial" w:hAnsi="Arial" w:cs="Arial"/>
                <w:sz w:val="24"/>
                <w:szCs w:val="24"/>
              </w:rPr>
              <w:t>Early diagnosis and reduced complications</w:t>
            </w:r>
          </w:p>
        </w:tc>
      </w:tr>
      <w:tr w:rsidR="0058536F" w:rsidRPr="00DB0E2D" w14:paraId="582B67E8" w14:textId="77777777" w:rsidTr="00D03E64">
        <w:tc>
          <w:tcPr>
            <w:tcW w:w="0" w:type="auto"/>
            <w:hideMark/>
          </w:tcPr>
          <w:p w14:paraId="4C7FA4DA"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Promotion</w:t>
            </w:r>
          </w:p>
        </w:tc>
        <w:tc>
          <w:tcPr>
            <w:tcW w:w="0" w:type="auto"/>
            <w:hideMark/>
          </w:tcPr>
          <w:p w14:paraId="57E417AF" w14:textId="77777777" w:rsidR="0058536F" w:rsidRPr="00DB0E2D" w:rsidRDefault="0058536F" w:rsidP="00744BA4">
            <w:pPr>
              <w:pStyle w:val="ListParagraph"/>
              <w:numPr>
                <w:ilvl w:val="0"/>
                <w:numId w:val="6"/>
              </w:numPr>
              <w:spacing w:line="360" w:lineRule="auto"/>
              <w:rPr>
                <w:rFonts w:ascii="Arial" w:hAnsi="Arial" w:cs="Arial"/>
                <w:sz w:val="24"/>
                <w:szCs w:val="24"/>
              </w:rPr>
            </w:pPr>
            <w:r w:rsidRPr="00DB0E2D">
              <w:rPr>
                <w:rFonts w:ascii="Arial" w:hAnsi="Arial" w:cs="Arial"/>
                <w:sz w:val="24"/>
                <w:szCs w:val="24"/>
              </w:rPr>
              <w:t>Community awareness campaigns, exercise programmes, health education, GP education</w:t>
            </w:r>
          </w:p>
        </w:tc>
        <w:tc>
          <w:tcPr>
            <w:tcW w:w="0" w:type="auto"/>
            <w:hideMark/>
          </w:tcPr>
          <w:p w14:paraId="646D8244" w14:textId="77777777" w:rsidR="0058536F" w:rsidRPr="00DB0E2D" w:rsidRDefault="0058536F" w:rsidP="00744BA4">
            <w:pPr>
              <w:pStyle w:val="ListParagraph"/>
              <w:numPr>
                <w:ilvl w:val="0"/>
                <w:numId w:val="6"/>
              </w:numPr>
              <w:spacing w:line="360" w:lineRule="auto"/>
              <w:rPr>
                <w:rFonts w:ascii="Arial" w:hAnsi="Arial" w:cs="Arial"/>
                <w:sz w:val="24"/>
                <w:szCs w:val="24"/>
              </w:rPr>
            </w:pPr>
            <w:r w:rsidRPr="00DB0E2D">
              <w:rPr>
                <w:rFonts w:ascii="Arial" w:hAnsi="Arial" w:cs="Arial"/>
                <w:sz w:val="24"/>
                <w:szCs w:val="24"/>
              </w:rPr>
              <w:t>Improved self-management and healthier li</w:t>
            </w:r>
          </w:p>
        </w:tc>
      </w:tr>
    </w:tbl>
    <w:p w14:paraId="143E1D21" w14:textId="77777777" w:rsidR="0058536F" w:rsidRPr="00DB0E2D" w:rsidRDefault="001B30E1" w:rsidP="00DB0E2D">
      <w:pPr>
        <w:pStyle w:val="Heading2"/>
      </w:pPr>
      <w:bookmarkStart w:id="16" w:name="_Toc235092063"/>
      <w:r w:rsidRPr="00DB0E2D">
        <w:t>2.</w:t>
      </w:r>
      <w:r w:rsidR="0058536F" w:rsidRPr="00DB0E2D">
        <w:t>3</w:t>
      </w:r>
      <w:r w:rsidRPr="00DB0E2D">
        <w:t xml:space="preserve"> </w:t>
      </w:r>
      <w:r w:rsidR="0058536F" w:rsidRPr="00DB0E2D">
        <w:t>Determinants and Risk Factors of Type 2 Diabetes</w:t>
      </w:r>
      <w:bookmarkEnd w:id="16"/>
    </w:p>
    <w:p w14:paraId="2DF03968" w14:textId="77777777" w:rsidR="003816DE" w:rsidRPr="00DB0E2D" w:rsidRDefault="003816DE" w:rsidP="00DB0E2D">
      <w:pPr>
        <w:spacing w:line="360" w:lineRule="auto"/>
        <w:jc w:val="both"/>
        <w:rPr>
          <w:rFonts w:ascii="Arial" w:hAnsi="Arial" w:cs="Arial"/>
          <w:sz w:val="24"/>
          <w:szCs w:val="24"/>
        </w:rPr>
      </w:pPr>
      <w:r w:rsidRPr="00DB0E2D">
        <w:rPr>
          <w:rStyle w:val="cursor-pointer"/>
          <w:rFonts w:ascii="Arial" w:hAnsi="Arial" w:cs="Arial"/>
          <w:sz w:val="24"/>
          <w:szCs w:val="24"/>
        </w:rPr>
        <w:t>Type 2 Diabetes is a combination of lifestyle, demographic, social and environmental factors.</w:t>
      </w:r>
      <w:r w:rsidRPr="00DB0E2D">
        <w:rPr>
          <w:rFonts w:ascii="Arial" w:hAnsi="Arial" w:cs="Arial"/>
          <w:sz w:val="24"/>
          <w:szCs w:val="24"/>
        </w:rPr>
        <w:t xml:space="preserve"> </w:t>
      </w:r>
      <w:r w:rsidRPr="00DB0E2D">
        <w:rPr>
          <w:rStyle w:val="cursor-pointer"/>
          <w:rFonts w:ascii="Arial" w:hAnsi="Arial" w:cs="Arial"/>
          <w:sz w:val="24"/>
          <w:szCs w:val="24"/>
        </w:rPr>
        <w:t>Insulin resistance and glucose regulation problems are caused by the following lifestyle factors: obesity, physical inactivity, unhealthy diet (</w:t>
      </w:r>
      <w:r w:rsidR="00212C73" w:rsidRPr="00DB0E2D">
        <w:rPr>
          <w:rFonts w:ascii="Arial" w:hAnsi="Arial" w:cs="Arial"/>
          <w:sz w:val="24"/>
          <w:szCs w:val="24"/>
        </w:rPr>
        <w:t>Davies et al., 2026</w:t>
      </w:r>
      <w:r w:rsidRPr="00DB0E2D">
        <w:rPr>
          <w:rStyle w:val="cursor-pointer"/>
          <w:rFonts w:ascii="Arial" w:hAnsi="Arial" w:cs="Arial"/>
          <w:sz w:val="24"/>
          <w:szCs w:val="24"/>
        </w:rPr>
        <w:t>).</w:t>
      </w:r>
      <w:r w:rsidRPr="00DB0E2D">
        <w:rPr>
          <w:rFonts w:ascii="Arial" w:hAnsi="Arial" w:cs="Arial"/>
          <w:sz w:val="24"/>
          <w:szCs w:val="24"/>
        </w:rPr>
        <w:t xml:space="preserve"> </w:t>
      </w:r>
      <w:r w:rsidRPr="00DB0E2D">
        <w:rPr>
          <w:rStyle w:val="cursor-pointer"/>
          <w:rFonts w:ascii="Arial" w:hAnsi="Arial" w:cs="Arial"/>
          <w:sz w:val="24"/>
          <w:szCs w:val="24"/>
        </w:rPr>
        <w:t xml:space="preserve">Older age, ethnicity (South Asian) and family history of diabetes are other risk </w:t>
      </w:r>
      <w:r w:rsidRPr="00DB0E2D">
        <w:rPr>
          <w:rStyle w:val="cursor-pointer"/>
          <w:rFonts w:ascii="Arial" w:hAnsi="Arial" w:cs="Arial"/>
          <w:sz w:val="24"/>
          <w:szCs w:val="24"/>
        </w:rPr>
        <w:lastRenderedPageBreak/>
        <w:t>factors.</w:t>
      </w:r>
      <w:r w:rsidRPr="00DB0E2D">
        <w:rPr>
          <w:rFonts w:ascii="Arial" w:hAnsi="Arial" w:cs="Arial"/>
          <w:sz w:val="24"/>
          <w:szCs w:val="24"/>
        </w:rPr>
        <w:t xml:space="preserve"> </w:t>
      </w:r>
      <w:r w:rsidRPr="00DB0E2D">
        <w:rPr>
          <w:rStyle w:val="cursor-pointer"/>
          <w:rFonts w:ascii="Arial" w:hAnsi="Arial" w:cs="Arial"/>
          <w:sz w:val="24"/>
          <w:szCs w:val="24"/>
        </w:rPr>
        <w:t>Diabetes UK (2025) states that individuals from the South Asian community are more likely to have Type 2 diabetes at a younger age and lower BMI than other ethnic groups.</w:t>
      </w:r>
      <w:r w:rsidRPr="00DB0E2D">
        <w:rPr>
          <w:rFonts w:ascii="Arial" w:hAnsi="Arial" w:cs="Arial"/>
          <w:sz w:val="24"/>
          <w:szCs w:val="24"/>
        </w:rPr>
        <w:t xml:space="preserve"> </w:t>
      </w:r>
      <w:r w:rsidRPr="00DB0E2D">
        <w:rPr>
          <w:rStyle w:val="cursor-pointer"/>
          <w:rFonts w:ascii="Arial" w:hAnsi="Arial" w:cs="Arial"/>
          <w:sz w:val="24"/>
          <w:szCs w:val="24"/>
        </w:rPr>
        <w:t>Social determinants such as poverty and deprivation, as well as poor housing quality, limit access to nutritious food, health and physical activity opportunities (</w:t>
      </w:r>
      <w:r w:rsidR="00212C73" w:rsidRPr="00DB0E2D">
        <w:rPr>
          <w:rFonts w:ascii="Arial" w:hAnsi="Arial" w:cs="Arial"/>
          <w:sz w:val="24"/>
          <w:szCs w:val="24"/>
        </w:rPr>
        <w:t>Bentley et al., 2025</w:t>
      </w:r>
      <w:r w:rsidRPr="00DB0E2D">
        <w:rPr>
          <w:rStyle w:val="cursor-pointer"/>
          <w:rFonts w:ascii="Arial" w:hAnsi="Arial" w:cs="Arial"/>
          <w:sz w:val="24"/>
          <w:szCs w:val="24"/>
        </w:rPr>
        <w:t>).</w:t>
      </w:r>
      <w:r w:rsidRPr="00DB0E2D">
        <w:rPr>
          <w:rFonts w:ascii="Arial" w:hAnsi="Arial" w:cs="Arial"/>
          <w:sz w:val="24"/>
          <w:szCs w:val="24"/>
        </w:rPr>
        <w:t xml:space="preserve"> </w:t>
      </w:r>
      <w:r w:rsidRPr="00DB0E2D">
        <w:rPr>
          <w:rStyle w:val="cursor-pointer"/>
          <w:rFonts w:ascii="Arial" w:hAnsi="Arial" w:cs="Arial"/>
          <w:sz w:val="24"/>
          <w:szCs w:val="24"/>
        </w:rPr>
        <w:t>However, limited green spaces and an unhealthy food environment, among other environmental factors, also hinder healthy living.</w:t>
      </w:r>
      <w:r w:rsidRPr="00DB0E2D">
        <w:rPr>
          <w:rFonts w:ascii="Arial" w:hAnsi="Arial" w:cs="Arial"/>
          <w:sz w:val="24"/>
          <w:szCs w:val="24"/>
        </w:rPr>
        <w:t xml:space="preserve"> </w:t>
      </w:r>
      <w:r w:rsidRPr="00DB0E2D">
        <w:rPr>
          <w:rStyle w:val="cursor-pointer"/>
          <w:rFonts w:ascii="Arial" w:hAnsi="Arial" w:cs="Arial"/>
          <w:sz w:val="24"/>
          <w:szCs w:val="24"/>
        </w:rPr>
        <w:t>This means that Tower Hamlets has a higher prevalence of diabetes as it has high socio-economic deprivation, a large South Asian population and an ageing population, all of which have multiple overlapping risk factors that lead to an increased number of people becoming ill from diabetes</w:t>
      </w:r>
      <w:r w:rsidR="00212C73" w:rsidRPr="00DB0E2D">
        <w:rPr>
          <w:rStyle w:val="cursor-pointer"/>
          <w:rFonts w:ascii="Arial" w:hAnsi="Arial" w:cs="Arial"/>
          <w:sz w:val="24"/>
          <w:szCs w:val="24"/>
        </w:rPr>
        <w:t>.</w:t>
      </w:r>
    </w:p>
    <w:p w14:paraId="73D70A05" w14:textId="77777777" w:rsidR="00933765" w:rsidRPr="00DB0E2D" w:rsidRDefault="001B30E1" w:rsidP="00DB0E2D">
      <w:pPr>
        <w:pStyle w:val="Heading2"/>
      </w:pPr>
      <w:bookmarkStart w:id="17" w:name="_Toc235092064"/>
      <w:r w:rsidRPr="00DB0E2D">
        <w:t>2.</w:t>
      </w:r>
      <w:r w:rsidR="00933765" w:rsidRPr="00DB0E2D">
        <w:t>4 Epidemiological Studies and Health Needs Assessment</w:t>
      </w:r>
      <w:bookmarkEnd w:id="17"/>
    </w:p>
    <w:p w14:paraId="1BA84759" w14:textId="77777777" w:rsidR="00933765" w:rsidRPr="00DB0E2D" w:rsidRDefault="003816DE" w:rsidP="00DB0E2D">
      <w:pPr>
        <w:pStyle w:val="NormalWeb"/>
        <w:spacing w:line="360" w:lineRule="auto"/>
        <w:jc w:val="both"/>
        <w:rPr>
          <w:rFonts w:ascii="Arial" w:hAnsi="Arial" w:cs="Arial"/>
        </w:rPr>
      </w:pPr>
      <w:r w:rsidRPr="00DB0E2D">
        <w:rPr>
          <w:rStyle w:val="cursor-pointer"/>
          <w:rFonts w:ascii="Arial" w:hAnsi="Arial" w:cs="Arial"/>
        </w:rPr>
        <w:t>A Health Needs Assessment (HNA) is an epidemiological, demographic and socio-economic evidence-based process used to inform allocation of resources for the purpose of addressing the health needs of a population (</w:t>
      </w:r>
      <w:r w:rsidR="00212C73" w:rsidRPr="00DB0E2D">
        <w:rPr>
          <w:rFonts w:ascii="Arial" w:hAnsi="Arial" w:cs="Arial"/>
        </w:rPr>
        <w:t>Jaidee et al., 2026</w:t>
      </w:r>
      <w:r w:rsidRPr="00DB0E2D">
        <w:rPr>
          <w:rStyle w:val="cursor-pointer"/>
          <w:rFonts w:ascii="Arial" w:hAnsi="Arial" w:cs="Arial"/>
        </w:rPr>
        <w:t>).</w:t>
      </w:r>
      <w:r w:rsidRPr="00DB0E2D">
        <w:rPr>
          <w:rFonts w:ascii="Arial" w:hAnsi="Arial" w:cs="Arial"/>
        </w:rPr>
        <w:t xml:space="preserve"> </w:t>
      </w:r>
      <w:r w:rsidRPr="00DB0E2D">
        <w:rPr>
          <w:rStyle w:val="cursor-pointer"/>
          <w:rFonts w:ascii="Arial" w:hAnsi="Arial" w:cs="Arial"/>
        </w:rPr>
        <w:t>Epidemiological studies in Tower Hamlets identify that older people, South Asian communities and deprived populations are at higher risk of Type 2 diabetes.</w:t>
      </w:r>
      <w:r w:rsidRPr="00DB0E2D">
        <w:rPr>
          <w:rFonts w:ascii="Arial" w:hAnsi="Arial" w:cs="Arial"/>
        </w:rPr>
        <w:t xml:space="preserve"> </w:t>
      </w:r>
      <w:r w:rsidRPr="00DB0E2D">
        <w:rPr>
          <w:rStyle w:val="cursor-pointer"/>
          <w:rFonts w:ascii="Arial" w:hAnsi="Arial" w:cs="Arial"/>
        </w:rPr>
        <w:t>Higher prevalence, multimorbidity and hospital admission rates in older ages are related to ageing and reduced physical activity.</w:t>
      </w:r>
      <w:r w:rsidRPr="00DB0E2D">
        <w:rPr>
          <w:rFonts w:ascii="Arial" w:hAnsi="Arial" w:cs="Arial"/>
        </w:rPr>
        <w:t xml:space="preserve"> </w:t>
      </w:r>
      <w:r w:rsidRPr="00DB0E2D">
        <w:rPr>
          <w:rStyle w:val="cursor-pointer"/>
          <w:rFonts w:ascii="Arial" w:hAnsi="Arial" w:cs="Arial"/>
        </w:rPr>
        <w:t>Genetic susceptibility, diet and elevated central obesity lead to higher risks for South Asian communities.</w:t>
      </w:r>
      <w:r w:rsidRPr="00DB0E2D">
        <w:rPr>
          <w:rFonts w:ascii="Arial" w:hAnsi="Arial" w:cs="Arial"/>
        </w:rPr>
        <w:t xml:space="preserve"> </w:t>
      </w:r>
      <w:r w:rsidRPr="00DB0E2D">
        <w:rPr>
          <w:rStyle w:val="cursor-pointer"/>
          <w:rFonts w:ascii="Arial" w:hAnsi="Arial" w:cs="Arial"/>
        </w:rPr>
        <w:t>Poor outcomes for deprived populations are because of poverty, poor access to healthy food and delayed diagnosis.</w:t>
      </w:r>
      <w:r w:rsidRPr="00DB0E2D">
        <w:rPr>
          <w:rFonts w:ascii="Arial" w:hAnsi="Arial" w:cs="Arial"/>
        </w:rPr>
        <w:t xml:space="preserve"> </w:t>
      </w:r>
      <w:r w:rsidRPr="00DB0E2D">
        <w:rPr>
          <w:rStyle w:val="cursor-pointer"/>
          <w:rFonts w:ascii="Arial" w:hAnsi="Arial" w:cs="Arial"/>
        </w:rPr>
        <w:t>Thus, HNA promotes targeted screening, personalised care and culturally responsive interventions to mitigate disparities in health outcomes and population health due to diabetes.</w:t>
      </w:r>
    </w:p>
    <w:p w14:paraId="21C5D99B" w14:textId="77777777" w:rsidR="00933765" w:rsidRPr="00DB0E2D" w:rsidRDefault="001B30E1" w:rsidP="00DB0E2D">
      <w:pPr>
        <w:pStyle w:val="Heading2"/>
      </w:pPr>
      <w:bookmarkStart w:id="18" w:name="_Toc235092065"/>
      <w:r w:rsidRPr="00DB0E2D">
        <w:t>2.</w:t>
      </w:r>
      <w:r w:rsidR="00933765" w:rsidRPr="00DB0E2D">
        <w:t>5 Monitoring and Surveillance Systems</w:t>
      </w:r>
      <w:bookmarkEnd w:id="18"/>
    </w:p>
    <w:p w14:paraId="3E39D298" w14:textId="77777777" w:rsidR="003816DE" w:rsidRPr="00DB0E2D" w:rsidRDefault="003816DE" w:rsidP="00DB0E2D">
      <w:pPr>
        <w:spacing w:line="360" w:lineRule="auto"/>
        <w:jc w:val="both"/>
        <w:rPr>
          <w:rFonts w:ascii="Arial" w:hAnsi="Arial" w:cs="Arial"/>
          <w:sz w:val="24"/>
          <w:szCs w:val="24"/>
        </w:rPr>
      </w:pPr>
      <w:r w:rsidRPr="00DB0E2D">
        <w:rPr>
          <w:rStyle w:val="cursor-pointer"/>
          <w:rFonts w:ascii="Arial" w:hAnsi="Arial" w:cs="Arial"/>
          <w:sz w:val="24"/>
          <w:szCs w:val="24"/>
        </w:rPr>
        <w:t>Monitoring and surveillance systems are essential for epidemiology, as they provide ongoing information on the prevalence, distribution and outcomes of Type 2 diabetes.</w:t>
      </w:r>
      <w:r w:rsidRPr="00DB0E2D">
        <w:rPr>
          <w:rFonts w:ascii="Arial" w:hAnsi="Arial" w:cs="Arial"/>
          <w:sz w:val="24"/>
          <w:szCs w:val="24"/>
        </w:rPr>
        <w:t xml:space="preserve"> </w:t>
      </w:r>
      <w:r w:rsidRPr="00DB0E2D">
        <w:rPr>
          <w:rStyle w:val="cursor-pointer"/>
          <w:rFonts w:ascii="Arial" w:hAnsi="Arial" w:cs="Arial"/>
          <w:sz w:val="24"/>
          <w:szCs w:val="24"/>
        </w:rPr>
        <w:t>In Tower Hamlets, systems like NHS Digital, the Quality and Outcomes Framework (QOF), National Diabetes Audit (NDA), OHID Fingertips, GP records, Hospital Episode Statistics (HES) and ONS mortality data enable the detection of disease patterns, tracking inequalities and assessing healthcare interventions.</w:t>
      </w:r>
      <w:r w:rsidRPr="00DB0E2D">
        <w:rPr>
          <w:rFonts w:ascii="Arial" w:hAnsi="Arial" w:cs="Arial"/>
          <w:sz w:val="24"/>
          <w:szCs w:val="24"/>
        </w:rPr>
        <w:t xml:space="preserve"> </w:t>
      </w:r>
      <w:r w:rsidRPr="00DB0E2D">
        <w:rPr>
          <w:rStyle w:val="cursor-pointer"/>
          <w:rFonts w:ascii="Arial" w:hAnsi="Arial" w:cs="Arial"/>
          <w:sz w:val="24"/>
          <w:szCs w:val="24"/>
        </w:rPr>
        <w:t>The datasets contain data on diagnosis, therapy, complications, hospital admissions, mortality trends, and can be used to inform evidence-based decisions.</w:t>
      </w:r>
      <w:r w:rsidRPr="00DB0E2D">
        <w:rPr>
          <w:rFonts w:ascii="Arial" w:hAnsi="Arial" w:cs="Arial"/>
          <w:sz w:val="24"/>
          <w:szCs w:val="24"/>
        </w:rPr>
        <w:t xml:space="preserve"> </w:t>
      </w:r>
      <w:r w:rsidRPr="00DB0E2D">
        <w:rPr>
          <w:rStyle w:val="cursor-pointer"/>
          <w:rFonts w:ascii="Arial" w:hAnsi="Arial" w:cs="Arial"/>
          <w:sz w:val="24"/>
          <w:szCs w:val="24"/>
        </w:rPr>
        <w:t xml:space="preserve">Surveillance helps public health to </w:t>
      </w:r>
      <w:r w:rsidRPr="00DB0E2D">
        <w:rPr>
          <w:rStyle w:val="cursor-pointer"/>
          <w:rFonts w:ascii="Arial" w:hAnsi="Arial" w:cs="Arial"/>
          <w:sz w:val="24"/>
          <w:szCs w:val="24"/>
        </w:rPr>
        <w:lastRenderedPageBreak/>
        <w:t>identify high-risk groups (such as older people, deprived communities and ethnic minorities) and plan targeted interventions.</w:t>
      </w:r>
      <w:r w:rsidRPr="00DB0E2D">
        <w:rPr>
          <w:rFonts w:ascii="Arial" w:hAnsi="Arial" w:cs="Arial"/>
          <w:sz w:val="24"/>
          <w:szCs w:val="24"/>
        </w:rPr>
        <w:t xml:space="preserve"> </w:t>
      </w:r>
      <w:r w:rsidRPr="00DB0E2D">
        <w:rPr>
          <w:rStyle w:val="cursor-pointer"/>
          <w:rFonts w:ascii="Arial" w:hAnsi="Arial" w:cs="Arial"/>
          <w:sz w:val="24"/>
          <w:szCs w:val="24"/>
        </w:rPr>
        <w:t>Limitations include incomplete reporting, data delays and differences in data recording practices that may impact the accuracy.</w:t>
      </w:r>
    </w:p>
    <w:p w14:paraId="4B50EF67" w14:textId="77777777" w:rsidR="001C1D4B" w:rsidRPr="00DB0E2D" w:rsidRDefault="001C1D4B" w:rsidP="00DB0E2D">
      <w:pPr>
        <w:pStyle w:val="NormalWeb"/>
        <w:spacing w:line="360" w:lineRule="auto"/>
        <w:jc w:val="both"/>
        <w:rPr>
          <w:rFonts w:ascii="Arial" w:hAnsi="Arial" w:cs="Arial"/>
        </w:rPr>
      </w:pPr>
      <w:r w:rsidRPr="00DB0E2D">
        <w:rPr>
          <w:rFonts w:ascii="Arial" w:hAnsi="Arial" w:cs="Arial"/>
          <w:noProof/>
        </w:rPr>
        <w:drawing>
          <wp:inline distT="0" distB="0" distL="0" distR="0" wp14:anchorId="71D78A70" wp14:editId="74E6D319">
            <wp:extent cx="5731023" cy="2568272"/>
            <wp:effectExtent l="0" t="0" r="317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4814" b="18724"/>
                    <a:stretch/>
                  </pic:blipFill>
                  <pic:spPr bwMode="auto">
                    <a:xfrm>
                      <a:off x="0" y="0"/>
                      <a:ext cx="5731510" cy="2568490"/>
                    </a:xfrm>
                    <a:prstGeom prst="rect">
                      <a:avLst/>
                    </a:prstGeom>
                    <a:ln>
                      <a:noFill/>
                    </a:ln>
                    <a:extLst>
                      <a:ext uri="{53640926-AAD7-44D8-BBD7-CCE9431645EC}">
                        <a14:shadowObscured xmlns:a14="http://schemas.microsoft.com/office/drawing/2010/main"/>
                      </a:ext>
                    </a:extLst>
                  </pic:spPr>
                </pic:pic>
              </a:graphicData>
            </a:graphic>
          </wp:inline>
        </w:drawing>
      </w:r>
    </w:p>
    <w:p w14:paraId="7AFD289E" w14:textId="05D95156" w:rsidR="001C1D4B" w:rsidRPr="00DB0E2D" w:rsidRDefault="001C1D4B" w:rsidP="00DB0E2D">
      <w:pPr>
        <w:spacing w:line="360" w:lineRule="auto"/>
        <w:jc w:val="center"/>
        <w:rPr>
          <w:rFonts w:ascii="Arial" w:hAnsi="Arial" w:cs="Arial"/>
          <w:b/>
          <w:sz w:val="24"/>
          <w:szCs w:val="24"/>
        </w:rPr>
      </w:pPr>
      <w:r w:rsidRPr="00DB0E2D">
        <w:rPr>
          <w:rFonts w:ascii="Arial" w:hAnsi="Arial" w:cs="Arial"/>
          <w:b/>
          <w:sz w:val="24"/>
          <w:szCs w:val="24"/>
        </w:rPr>
        <w:t xml:space="preserve">Figure </w:t>
      </w:r>
      <w:r w:rsidR="00744BA4">
        <w:rPr>
          <w:rFonts w:ascii="Arial" w:hAnsi="Arial" w:cs="Arial"/>
          <w:b/>
          <w:sz w:val="24"/>
          <w:szCs w:val="24"/>
        </w:rPr>
        <w:t>6</w:t>
      </w:r>
      <w:r w:rsidRPr="00DB0E2D">
        <w:rPr>
          <w:rFonts w:ascii="Arial" w:hAnsi="Arial" w:cs="Arial"/>
          <w:b/>
          <w:sz w:val="24"/>
          <w:szCs w:val="24"/>
        </w:rPr>
        <w:t>. Surveillance and Public Health Action Cycle for Type 2 Diabetes in Tower Hamlets (2025)</w:t>
      </w:r>
    </w:p>
    <w:p w14:paraId="5D0C2C4F" w14:textId="77777777" w:rsidR="001B30E1" w:rsidRPr="00DB0E2D" w:rsidRDefault="001B30E1" w:rsidP="00DB0E2D">
      <w:pPr>
        <w:spacing w:before="100" w:beforeAutospacing="1" w:after="100" w:afterAutospacing="1" w:line="360" w:lineRule="auto"/>
        <w:jc w:val="center"/>
        <w:rPr>
          <w:rFonts w:ascii="Arial" w:eastAsia="Times New Roman" w:hAnsi="Arial" w:cs="Arial"/>
          <w:b/>
          <w:bCs/>
          <w:i/>
          <w:sz w:val="24"/>
          <w:szCs w:val="24"/>
          <w:lang w:eastAsia="en-GB"/>
        </w:rPr>
      </w:pPr>
      <w:r w:rsidRPr="00DB0E2D">
        <w:rPr>
          <w:rFonts w:ascii="Arial" w:eastAsia="Times New Roman" w:hAnsi="Arial" w:cs="Arial"/>
          <w:b/>
          <w:bCs/>
          <w:i/>
          <w:sz w:val="24"/>
          <w:szCs w:val="24"/>
          <w:lang w:eastAsia="en-GB"/>
        </w:rPr>
        <w:t>Source: Author own’s illustration,2026</w:t>
      </w:r>
    </w:p>
    <w:p w14:paraId="370CB6BB" w14:textId="77777777" w:rsidR="00DF5503" w:rsidRPr="00DB0E2D" w:rsidRDefault="00DF5503" w:rsidP="00DB0E2D">
      <w:pPr>
        <w:pStyle w:val="Heading2"/>
      </w:pPr>
      <w:bookmarkStart w:id="19" w:name="_Toc235092066"/>
      <w:r w:rsidRPr="00DB0E2D">
        <w:t>6. Public Health Impact</w:t>
      </w:r>
      <w:bookmarkEnd w:id="19"/>
    </w:p>
    <w:p w14:paraId="7DCAEA36" w14:textId="77777777" w:rsidR="00DF5503" w:rsidRPr="00DB0E2D" w:rsidRDefault="003816DE" w:rsidP="00DB0E2D">
      <w:pPr>
        <w:spacing w:line="360" w:lineRule="auto"/>
        <w:jc w:val="both"/>
        <w:rPr>
          <w:rFonts w:ascii="Arial" w:hAnsi="Arial" w:cs="Arial"/>
          <w:sz w:val="24"/>
          <w:szCs w:val="24"/>
        </w:rPr>
      </w:pPr>
      <w:r w:rsidRPr="00DB0E2D">
        <w:rPr>
          <w:rStyle w:val="cursor-pointer"/>
          <w:rFonts w:ascii="Arial" w:hAnsi="Arial" w:cs="Arial"/>
          <w:sz w:val="24"/>
          <w:szCs w:val="24"/>
        </w:rPr>
        <w:t>Type 2 diabetes is a serious public health issue.</w:t>
      </w:r>
      <w:r w:rsidRPr="00DB0E2D">
        <w:rPr>
          <w:rFonts w:ascii="Arial" w:hAnsi="Arial" w:cs="Arial"/>
          <w:sz w:val="24"/>
          <w:szCs w:val="24"/>
        </w:rPr>
        <w:t xml:space="preserve"> </w:t>
      </w:r>
      <w:r w:rsidRPr="00DB0E2D">
        <w:rPr>
          <w:rStyle w:val="cursor-pointer"/>
          <w:rFonts w:ascii="Arial" w:hAnsi="Arial" w:cs="Arial"/>
          <w:sz w:val="24"/>
          <w:szCs w:val="24"/>
        </w:rPr>
        <w:t>High blood sugar also causes infections and hospitalizations in the short-term and complications such as blindness, chronic kidney disease, lower-limb amputations, cardiovascular disease and early death in the long-term (World Health Organization, 2025).</w:t>
      </w:r>
      <w:r w:rsidRPr="00DB0E2D">
        <w:rPr>
          <w:rFonts w:ascii="Arial" w:hAnsi="Arial" w:cs="Arial"/>
          <w:sz w:val="24"/>
          <w:szCs w:val="24"/>
        </w:rPr>
        <w:t xml:space="preserve"> </w:t>
      </w:r>
      <w:r w:rsidRPr="00DB0E2D">
        <w:rPr>
          <w:rStyle w:val="cursor-pointer"/>
          <w:rFonts w:ascii="Arial" w:hAnsi="Arial" w:cs="Arial"/>
          <w:sz w:val="24"/>
          <w:szCs w:val="24"/>
        </w:rPr>
        <w:t>The impact of these outcomes is higher health care costs, increased burden on informal carers, lower quality of life, and economic losses due to higher health care costs and losses in productivity (Diabetes UK, 2025).</w:t>
      </w:r>
    </w:p>
    <w:p w14:paraId="6C88285A" w14:textId="77777777" w:rsidR="00DF5503" w:rsidRPr="00DB0E2D" w:rsidRDefault="00DF5503" w:rsidP="00DB0E2D">
      <w:pPr>
        <w:pStyle w:val="Heading2"/>
      </w:pPr>
      <w:bookmarkStart w:id="20" w:name="_Toc235092067"/>
      <w:r w:rsidRPr="00DB0E2D">
        <w:t>7. Health Intervention Programme</w:t>
      </w:r>
      <w:bookmarkEnd w:id="20"/>
    </w:p>
    <w:p w14:paraId="3E8105F2" w14:textId="77777777" w:rsidR="00DF5503" w:rsidRPr="00DB0E2D" w:rsidRDefault="003816DE" w:rsidP="00DB0E2D">
      <w:pPr>
        <w:spacing w:line="360" w:lineRule="auto"/>
        <w:jc w:val="both"/>
        <w:rPr>
          <w:rFonts w:ascii="Arial" w:hAnsi="Arial" w:cs="Arial"/>
          <w:sz w:val="24"/>
          <w:szCs w:val="24"/>
        </w:rPr>
      </w:pPr>
      <w:r w:rsidRPr="00DB0E2D">
        <w:rPr>
          <w:rStyle w:val="cursor-pointer"/>
          <w:rFonts w:ascii="Arial" w:hAnsi="Arial" w:cs="Arial"/>
          <w:sz w:val="24"/>
          <w:szCs w:val="24"/>
        </w:rPr>
        <w:t>The Healthy Ageing Diabetes Programme will screen older people in Tower Hamlets, provide exercise sessions, offer nutritional advice, offer GP follow-up, provide digital reminders, and review the programme annually, all to reduce the number of people who develop Type 2 diabetes.</w:t>
      </w:r>
      <w:r w:rsidRPr="00DB0E2D">
        <w:rPr>
          <w:rFonts w:ascii="Arial" w:hAnsi="Arial" w:cs="Arial"/>
          <w:sz w:val="24"/>
          <w:szCs w:val="24"/>
        </w:rPr>
        <w:t xml:space="preserve"> </w:t>
      </w:r>
      <w:r w:rsidRPr="00DB0E2D">
        <w:rPr>
          <w:rStyle w:val="cursor-pointer"/>
          <w:rFonts w:ascii="Arial" w:hAnsi="Arial" w:cs="Arial"/>
          <w:sz w:val="24"/>
          <w:szCs w:val="24"/>
        </w:rPr>
        <w:t xml:space="preserve">The programme would be delivered in partnership between the NHS, local authority, Diabetes UK and GP practices and measured in </w:t>
      </w:r>
      <w:r w:rsidRPr="00DB0E2D">
        <w:rPr>
          <w:rStyle w:val="cursor-pointer"/>
          <w:rFonts w:ascii="Arial" w:hAnsi="Arial" w:cs="Arial"/>
          <w:sz w:val="24"/>
          <w:szCs w:val="24"/>
        </w:rPr>
        <w:lastRenderedPageBreak/>
        <w:t>terms of attendance and uptake of screenings as process indicators and improved HbA1c, BMI and reduced hospital admissions as outcome indicators.</w:t>
      </w:r>
    </w:p>
    <w:p w14:paraId="76CDFB7D" w14:textId="77777777" w:rsidR="0058536F" w:rsidRPr="00DB0E2D" w:rsidRDefault="0058536F" w:rsidP="00DB0E2D">
      <w:pPr>
        <w:pStyle w:val="Heading2"/>
      </w:pPr>
      <w:bookmarkStart w:id="21" w:name="_Toc235092068"/>
      <w:r w:rsidRPr="00DB0E2D">
        <w:t>8. Strengths and Weaknesses of the Epidemiological Approach</w:t>
      </w:r>
      <w:bookmarkEnd w:id="21"/>
    </w:p>
    <w:p w14:paraId="5735DDCC" w14:textId="77777777" w:rsidR="00DB4259" w:rsidRPr="00DB0E2D" w:rsidRDefault="00DB4259" w:rsidP="00DB0E2D">
      <w:pPr>
        <w:pStyle w:val="NormalWeb"/>
        <w:spacing w:line="360" w:lineRule="auto"/>
        <w:jc w:val="both"/>
        <w:rPr>
          <w:rStyle w:val="cursor-pointer"/>
          <w:rFonts w:ascii="Arial" w:hAnsi="Arial" w:cs="Arial"/>
        </w:rPr>
      </w:pPr>
      <w:r w:rsidRPr="00DB0E2D">
        <w:rPr>
          <w:rStyle w:val="cursor-pointer"/>
          <w:rFonts w:ascii="Arial" w:hAnsi="Arial" w:cs="Arial"/>
        </w:rPr>
        <w:t>Epidemiology offers a solid evidence base to guide understanding of distribution, determinants and burden of Type 2 diabetes, to inform the efficiency of resource allocation and effectiveness of interventions by healthcare organisations.</w:t>
      </w:r>
      <w:r w:rsidRPr="00DB0E2D">
        <w:rPr>
          <w:rFonts w:ascii="Arial" w:hAnsi="Arial" w:cs="Arial"/>
        </w:rPr>
        <w:t xml:space="preserve"> </w:t>
      </w:r>
      <w:r w:rsidRPr="00DB0E2D">
        <w:rPr>
          <w:rStyle w:val="cursor-pointer"/>
          <w:rFonts w:ascii="Arial" w:hAnsi="Arial" w:cs="Arial"/>
        </w:rPr>
        <w:t>But data availability and quality are critical to its usefulness.</w:t>
      </w:r>
      <w:r w:rsidRPr="00DB0E2D">
        <w:rPr>
          <w:rFonts w:ascii="Arial" w:hAnsi="Arial" w:cs="Arial"/>
        </w:rPr>
        <w:t xml:space="preserve"> </w:t>
      </w:r>
      <w:r w:rsidRPr="00DB0E2D">
        <w:rPr>
          <w:rStyle w:val="cursor-pointer"/>
          <w:rFonts w:ascii="Arial" w:hAnsi="Arial" w:cs="Arial"/>
        </w:rPr>
        <w:t>Confounding variables and delayed diagnosis and under-reporting can result in errors in surveillance and impact policy decisions.</w:t>
      </w:r>
      <w:r w:rsidRPr="00DB0E2D">
        <w:rPr>
          <w:rFonts w:ascii="Arial" w:hAnsi="Arial" w:cs="Arial"/>
        </w:rPr>
        <w:t xml:space="preserve"> </w:t>
      </w:r>
      <w:r w:rsidRPr="00DB0E2D">
        <w:rPr>
          <w:rStyle w:val="cursor-pointer"/>
          <w:rFonts w:ascii="Arial" w:hAnsi="Arial" w:cs="Arial"/>
        </w:rPr>
        <w:t>Moreover, observational, epidemiological studies only demonstrate associations not causation, and can only explain more complex health behaviours.</w:t>
      </w:r>
      <w:r w:rsidRPr="00DB0E2D">
        <w:rPr>
          <w:rFonts w:ascii="Arial" w:hAnsi="Arial" w:cs="Arial"/>
        </w:rPr>
        <w:t xml:space="preserve"> </w:t>
      </w:r>
      <w:r w:rsidRPr="00DB0E2D">
        <w:rPr>
          <w:rStyle w:val="cursor-pointer"/>
          <w:rFonts w:ascii="Arial" w:hAnsi="Arial" w:cs="Arial"/>
        </w:rPr>
        <w:t>Epidemiological evidence should be combined with clinical knowledge and local population knowledge and community participation to create effective, equitable and evidence-based public health interventions (World Health Organization, 2025).</w:t>
      </w:r>
    </w:p>
    <w:p w14:paraId="488AD0D2" w14:textId="1788E18B" w:rsidR="0058536F" w:rsidRPr="00DB0E2D" w:rsidRDefault="0058536F" w:rsidP="00DB0E2D">
      <w:pPr>
        <w:pStyle w:val="NormalWeb"/>
        <w:spacing w:line="360" w:lineRule="auto"/>
        <w:jc w:val="both"/>
        <w:rPr>
          <w:rFonts w:ascii="Arial" w:hAnsi="Arial" w:cs="Arial"/>
        </w:rPr>
      </w:pPr>
      <w:r w:rsidRPr="00DB0E2D">
        <w:rPr>
          <w:rStyle w:val="Strong"/>
          <w:rFonts w:ascii="Arial" w:eastAsiaTheme="majorEastAsia" w:hAnsi="Arial" w:cs="Arial"/>
        </w:rPr>
        <w:t xml:space="preserve">Table </w:t>
      </w:r>
      <w:r w:rsidR="00744BA4">
        <w:rPr>
          <w:rStyle w:val="Strong"/>
          <w:rFonts w:ascii="Arial" w:eastAsiaTheme="majorEastAsia" w:hAnsi="Arial" w:cs="Arial"/>
        </w:rPr>
        <w:t>3</w:t>
      </w:r>
      <w:r w:rsidRPr="00DB0E2D">
        <w:rPr>
          <w:rStyle w:val="Strong"/>
          <w:rFonts w:ascii="Arial" w:eastAsiaTheme="majorEastAsia" w:hAnsi="Arial" w:cs="Arial"/>
        </w:rPr>
        <w:t>. Strengths and Weaknesses of the Epidemiological Approach</w:t>
      </w:r>
    </w:p>
    <w:tbl>
      <w:tblPr>
        <w:tblStyle w:val="TableGrid"/>
        <w:tblW w:w="0" w:type="auto"/>
        <w:tblLook w:val="04A0" w:firstRow="1" w:lastRow="0" w:firstColumn="1" w:lastColumn="0" w:noHBand="0" w:noVBand="1"/>
      </w:tblPr>
      <w:tblGrid>
        <w:gridCol w:w="3969"/>
        <w:gridCol w:w="4957"/>
      </w:tblGrid>
      <w:tr w:rsidR="0058536F" w:rsidRPr="00DB0E2D" w14:paraId="716E27C6" w14:textId="77777777" w:rsidTr="001C1D4B">
        <w:tc>
          <w:tcPr>
            <w:tcW w:w="0" w:type="auto"/>
            <w:shd w:val="clear" w:color="auto" w:fill="1F3864" w:themeFill="accent1" w:themeFillShade="80"/>
            <w:hideMark/>
          </w:tcPr>
          <w:p w14:paraId="1079EFD8" w14:textId="77777777" w:rsidR="0058536F" w:rsidRPr="00DB0E2D" w:rsidRDefault="0058536F" w:rsidP="00DB0E2D">
            <w:pPr>
              <w:spacing w:line="360" w:lineRule="auto"/>
              <w:jc w:val="both"/>
              <w:rPr>
                <w:rFonts w:ascii="Arial" w:hAnsi="Arial" w:cs="Arial"/>
                <w:b/>
                <w:bCs/>
                <w:sz w:val="24"/>
                <w:szCs w:val="24"/>
              </w:rPr>
            </w:pPr>
            <w:r w:rsidRPr="00DB0E2D">
              <w:rPr>
                <w:rFonts w:ascii="Arial" w:hAnsi="Arial" w:cs="Arial"/>
                <w:b/>
                <w:bCs/>
                <w:sz w:val="24"/>
                <w:szCs w:val="24"/>
              </w:rPr>
              <w:t>Strengths</w:t>
            </w:r>
          </w:p>
        </w:tc>
        <w:tc>
          <w:tcPr>
            <w:tcW w:w="0" w:type="auto"/>
            <w:shd w:val="clear" w:color="auto" w:fill="1F3864" w:themeFill="accent1" w:themeFillShade="80"/>
            <w:hideMark/>
          </w:tcPr>
          <w:p w14:paraId="30F2E5FF" w14:textId="77777777" w:rsidR="0058536F" w:rsidRPr="00DB0E2D" w:rsidRDefault="0058536F" w:rsidP="00DB0E2D">
            <w:pPr>
              <w:spacing w:line="360" w:lineRule="auto"/>
              <w:jc w:val="both"/>
              <w:rPr>
                <w:rFonts w:ascii="Arial" w:hAnsi="Arial" w:cs="Arial"/>
                <w:b/>
                <w:bCs/>
                <w:sz w:val="24"/>
                <w:szCs w:val="24"/>
              </w:rPr>
            </w:pPr>
            <w:r w:rsidRPr="00DB0E2D">
              <w:rPr>
                <w:rFonts w:ascii="Arial" w:hAnsi="Arial" w:cs="Arial"/>
                <w:b/>
                <w:bCs/>
                <w:sz w:val="24"/>
                <w:szCs w:val="24"/>
              </w:rPr>
              <w:t>Weaknesses</w:t>
            </w:r>
          </w:p>
        </w:tc>
      </w:tr>
      <w:tr w:rsidR="0058536F" w:rsidRPr="00DB0E2D" w14:paraId="74CD3D4D" w14:textId="77777777" w:rsidTr="00D03E64">
        <w:tc>
          <w:tcPr>
            <w:tcW w:w="0" w:type="auto"/>
            <w:hideMark/>
          </w:tcPr>
          <w:p w14:paraId="29F8C35A"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 Evidence-based decision-making</w:t>
            </w:r>
          </w:p>
        </w:tc>
        <w:tc>
          <w:tcPr>
            <w:tcW w:w="0" w:type="auto"/>
            <w:hideMark/>
          </w:tcPr>
          <w:p w14:paraId="476B273D"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 Under-reporting of cases</w:t>
            </w:r>
          </w:p>
        </w:tc>
      </w:tr>
      <w:tr w:rsidR="0058536F" w:rsidRPr="00DB0E2D" w14:paraId="2F02CF6C" w14:textId="77777777" w:rsidTr="00D03E64">
        <w:tc>
          <w:tcPr>
            <w:tcW w:w="0" w:type="auto"/>
            <w:hideMark/>
          </w:tcPr>
          <w:p w14:paraId="00B5B3A1"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 Identifies high-risk populations</w:t>
            </w:r>
          </w:p>
        </w:tc>
        <w:tc>
          <w:tcPr>
            <w:tcW w:w="0" w:type="auto"/>
            <w:hideMark/>
          </w:tcPr>
          <w:p w14:paraId="55B8D651"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 Delayed diagnosis</w:t>
            </w:r>
          </w:p>
        </w:tc>
      </w:tr>
      <w:tr w:rsidR="0058536F" w:rsidRPr="00DB0E2D" w14:paraId="4BD993BE" w14:textId="77777777" w:rsidTr="00D03E64">
        <w:tc>
          <w:tcPr>
            <w:tcW w:w="0" w:type="auto"/>
            <w:hideMark/>
          </w:tcPr>
          <w:p w14:paraId="19DC3A0E"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 Supports policy development</w:t>
            </w:r>
          </w:p>
        </w:tc>
        <w:tc>
          <w:tcPr>
            <w:tcW w:w="0" w:type="auto"/>
            <w:hideMark/>
          </w:tcPr>
          <w:p w14:paraId="30ABDA11"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 Incomplete datasets</w:t>
            </w:r>
          </w:p>
        </w:tc>
      </w:tr>
      <w:tr w:rsidR="0058536F" w:rsidRPr="00DB0E2D" w14:paraId="0F7E7820" w14:textId="77777777" w:rsidTr="00D03E64">
        <w:tc>
          <w:tcPr>
            <w:tcW w:w="0" w:type="auto"/>
            <w:hideMark/>
          </w:tcPr>
          <w:p w14:paraId="7505CA7E"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 Guides resource allocation</w:t>
            </w:r>
          </w:p>
        </w:tc>
        <w:tc>
          <w:tcPr>
            <w:tcW w:w="0" w:type="auto"/>
            <w:hideMark/>
          </w:tcPr>
          <w:p w14:paraId="7A36483E"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 Observational bias</w:t>
            </w:r>
          </w:p>
        </w:tc>
      </w:tr>
      <w:tr w:rsidR="0058536F" w:rsidRPr="00DB0E2D" w14:paraId="1051C1BA" w14:textId="77777777" w:rsidTr="00D03E64">
        <w:tc>
          <w:tcPr>
            <w:tcW w:w="0" w:type="auto"/>
            <w:hideMark/>
          </w:tcPr>
          <w:p w14:paraId="01D31202"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 Monitors disease trends over time</w:t>
            </w:r>
          </w:p>
        </w:tc>
        <w:tc>
          <w:tcPr>
            <w:tcW w:w="0" w:type="auto"/>
            <w:hideMark/>
          </w:tcPr>
          <w:p w14:paraId="19669AEA" w14:textId="77777777" w:rsidR="0058536F" w:rsidRPr="00DB0E2D" w:rsidRDefault="0058536F" w:rsidP="00DB0E2D">
            <w:pPr>
              <w:spacing w:line="360" w:lineRule="auto"/>
              <w:jc w:val="both"/>
              <w:rPr>
                <w:rFonts w:ascii="Arial" w:hAnsi="Arial" w:cs="Arial"/>
                <w:sz w:val="24"/>
                <w:szCs w:val="24"/>
              </w:rPr>
            </w:pPr>
            <w:r w:rsidRPr="00DB0E2D">
              <w:rPr>
                <w:rFonts w:ascii="Arial" w:hAnsi="Arial" w:cs="Arial"/>
                <w:sz w:val="24"/>
                <w:szCs w:val="24"/>
              </w:rPr>
              <w:t>• Confounding factors may influence findings</w:t>
            </w:r>
          </w:p>
        </w:tc>
      </w:tr>
    </w:tbl>
    <w:p w14:paraId="2B81C853" w14:textId="77777777" w:rsidR="0058536F" w:rsidRPr="00DB0E2D" w:rsidRDefault="0058536F" w:rsidP="00DB0E2D">
      <w:pPr>
        <w:pStyle w:val="NormalWeb"/>
        <w:spacing w:line="360" w:lineRule="auto"/>
        <w:jc w:val="both"/>
        <w:rPr>
          <w:rFonts w:ascii="Arial" w:hAnsi="Arial" w:cs="Arial"/>
          <w:b/>
        </w:rPr>
      </w:pPr>
      <w:r w:rsidRPr="00DB0E2D">
        <w:rPr>
          <w:rStyle w:val="Emphasis"/>
          <w:rFonts w:ascii="Arial" w:eastAsiaTheme="majorEastAsia" w:hAnsi="Arial" w:cs="Arial"/>
          <w:b/>
        </w:rPr>
        <w:t>Source: Adapted from World Health Organization (2025), Office for Health Improvement and Disparities (2025), and Gordis (2024).</w:t>
      </w:r>
    </w:p>
    <w:p w14:paraId="2CEEE422" w14:textId="77777777" w:rsidR="001B30E1" w:rsidRPr="00DB0E2D" w:rsidRDefault="001B30E1" w:rsidP="00DB0E2D">
      <w:pPr>
        <w:spacing w:line="360" w:lineRule="auto"/>
        <w:jc w:val="both"/>
        <w:rPr>
          <w:rFonts w:ascii="Arial" w:eastAsiaTheme="majorEastAsia" w:hAnsi="Arial" w:cs="Arial"/>
          <w:b/>
          <w:color w:val="2F5496" w:themeColor="accent1" w:themeShade="BF"/>
          <w:sz w:val="24"/>
          <w:szCs w:val="24"/>
          <w:u w:val="single"/>
        </w:rPr>
      </w:pPr>
      <w:r w:rsidRPr="00DB0E2D">
        <w:rPr>
          <w:rFonts w:ascii="Arial" w:hAnsi="Arial" w:cs="Arial"/>
          <w:sz w:val="24"/>
          <w:szCs w:val="24"/>
        </w:rPr>
        <w:br w:type="page"/>
      </w:r>
    </w:p>
    <w:p w14:paraId="63B2A6DE" w14:textId="77777777" w:rsidR="0058536F" w:rsidRPr="00DB0E2D" w:rsidRDefault="001B30E1" w:rsidP="00DB0E2D">
      <w:pPr>
        <w:pStyle w:val="Heading1"/>
      </w:pPr>
      <w:bookmarkStart w:id="22" w:name="_Toc235092069"/>
      <w:r w:rsidRPr="00DB0E2D">
        <w:lastRenderedPageBreak/>
        <w:t>9.</w:t>
      </w:r>
      <w:r w:rsidR="0058536F" w:rsidRPr="00DB0E2D">
        <w:t xml:space="preserve"> Conclusion</w:t>
      </w:r>
      <w:bookmarkEnd w:id="22"/>
    </w:p>
    <w:p w14:paraId="57B88D88" w14:textId="77777777" w:rsidR="0058536F" w:rsidRPr="00DB0E2D" w:rsidRDefault="003816DE" w:rsidP="00DB0E2D">
      <w:pPr>
        <w:pStyle w:val="NormalWeb"/>
        <w:spacing w:line="360" w:lineRule="auto"/>
        <w:jc w:val="both"/>
        <w:rPr>
          <w:rFonts w:ascii="Arial" w:hAnsi="Arial" w:cs="Arial"/>
        </w:rPr>
      </w:pPr>
      <w:r w:rsidRPr="00DB0E2D">
        <w:rPr>
          <w:rStyle w:val="cursor-pointer"/>
          <w:rFonts w:ascii="Arial" w:hAnsi="Arial" w:cs="Arial"/>
        </w:rPr>
        <w:t>Type 2 diabetes is a complex, costly public health problem due to its high prevalence, significant burden and morbidity.</w:t>
      </w:r>
      <w:r w:rsidRPr="00DB0E2D">
        <w:rPr>
          <w:rFonts w:ascii="Arial" w:hAnsi="Arial" w:cs="Arial"/>
        </w:rPr>
        <w:t xml:space="preserve"> </w:t>
      </w:r>
      <w:r w:rsidRPr="00DB0E2D">
        <w:rPr>
          <w:rStyle w:val="cursor-pointer"/>
          <w:rFonts w:ascii="Arial" w:hAnsi="Arial" w:cs="Arial"/>
        </w:rPr>
        <w:t>Epidemiological monitoring allows for constant monitoring of disease patterns, the detection of priority populations and assessment of the effectiveness of interventions.</w:t>
      </w:r>
      <w:r w:rsidRPr="00DB0E2D">
        <w:rPr>
          <w:rFonts w:ascii="Arial" w:hAnsi="Arial" w:cs="Arial"/>
        </w:rPr>
        <w:t xml:space="preserve"> </w:t>
      </w:r>
      <w:r w:rsidRPr="00DB0E2D">
        <w:rPr>
          <w:rStyle w:val="cursor-pointer"/>
          <w:rFonts w:ascii="Arial" w:hAnsi="Arial" w:cs="Arial"/>
        </w:rPr>
        <w:t>Prevention is better than the consequences of preventing complications, is cheaper and makes better long-term health outcomes.</w:t>
      </w:r>
      <w:r w:rsidRPr="00DB0E2D">
        <w:rPr>
          <w:rFonts w:ascii="Arial" w:hAnsi="Arial" w:cs="Arial"/>
        </w:rPr>
        <w:t xml:space="preserve"> </w:t>
      </w:r>
      <w:r w:rsidRPr="00DB0E2D">
        <w:rPr>
          <w:rStyle w:val="cursor-pointer"/>
          <w:rFonts w:ascii="Arial" w:hAnsi="Arial" w:cs="Arial"/>
        </w:rPr>
        <w:t>Thus, effective and targeted evidence-based interventions that meet the needs of older and deprived people in Tower Hamlets are crucial to close health inequalities and support a healthy ageing and sustainable public health practice (Diabetes UK, 2025; NHS England, 2025).</w:t>
      </w:r>
    </w:p>
    <w:p w14:paraId="5E1A700C" w14:textId="77777777" w:rsidR="0058536F" w:rsidRPr="00DB0E2D" w:rsidRDefault="0058536F" w:rsidP="00DB0E2D">
      <w:pPr>
        <w:pStyle w:val="NormalWeb"/>
        <w:spacing w:line="360" w:lineRule="auto"/>
        <w:jc w:val="both"/>
        <w:rPr>
          <w:rFonts w:ascii="Arial" w:eastAsiaTheme="majorEastAsia" w:hAnsi="Arial" w:cs="Arial"/>
          <w:b/>
          <w:bCs/>
        </w:rPr>
      </w:pPr>
    </w:p>
    <w:p w14:paraId="37496DCD" w14:textId="77777777" w:rsidR="00130EF3" w:rsidRPr="00DB0E2D" w:rsidRDefault="00130EF3" w:rsidP="00DB0E2D">
      <w:pPr>
        <w:spacing w:before="100" w:beforeAutospacing="1" w:after="100" w:afterAutospacing="1" w:line="360" w:lineRule="auto"/>
        <w:jc w:val="both"/>
        <w:rPr>
          <w:rFonts w:ascii="Arial" w:hAnsi="Arial" w:cs="Arial"/>
          <w:sz w:val="24"/>
          <w:szCs w:val="24"/>
        </w:rPr>
      </w:pPr>
    </w:p>
    <w:p w14:paraId="17062B77" w14:textId="77777777" w:rsidR="00130EF3" w:rsidRPr="00DB0E2D" w:rsidRDefault="00130EF3" w:rsidP="00DB0E2D">
      <w:pPr>
        <w:pStyle w:val="NormalWeb"/>
        <w:spacing w:line="360" w:lineRule="auto"/>
        <w:jc w:val="both"/>
        <w:rPr>
          <w:rFonts w:ascii="Arial" w:hAnsi="Arial" w:cs="Arial"/>
        </w:rPr>
      </w:pPr>
    </w:p>
    <w:p w14:paraId="62BE2D79" w14:textId="77777777" w:rsidR="00D051F5" w:rsidRPr="00DB0E2D" w:rsidRDefault="00D051F5" w:rsidP="00DB0E2D">
      <w:pPr>
        <w:spacing w:before="100" w:beforeAutospacing="1" w:after="100" w:afterAutospacing="1" w:line="360" w:lineRule="auto"/>
        <w:jc w:val="both"/>
        <w:rPr>
          <w:rFonts w:ascii="Arial" w:eastAsia="Times New Roman" w:hAnsi="Arial" w:cs="Arial"/>
          <w:sz w:val="24"/>
          <w:szCs w:val="24"/>
          <w:lang w:eastAsia="en-GB"/>
        </w:rPr>
      </w:pPr>
    </w:p>
    <w:p w14:paraId="34E37278" w14:textId="77777777" w:rsidR="00D051F5" w:rsidRPr="00DB0E2D" w:rsidRDefault="00D051F5" w:rsidP="00DB0E2D">
      <w:pPr>
        <w:spacing w:before="100" w:beforeAutospacing="1" w:after="100" w:afterAutospacing="1" w:line="360" w:lineRule="auto"/>
        <w:jc w:val="both"/>
        <w:outlineLvl w:val="2"/>
        <w:rPr>
          <w:rFonts w:ascii="Arial" w:eastAsia="Times New Roman" w:hAnsi="Arial" w:cs="Arial"/>
          <w:sz w:val="24"/>
          <w:szCs w:val="24"/>
          <w:lang w:eastAsia="en-GB"/>
        </w:rPr>
      </w:pPr>
    </w:p>
    <w:p w14:paraId="14AB3492" w14:textId="77777777" w:rsidR="00212C73" w:rsidRPr="00DB0E2D" w:rsidRDefault="00212C73" w:rsidP="00DB0E2D">
      <w:pPr>
        <w:spacing w:line="360" w:lineRule="auto"/>
        <w:jc w:val="both"/>
        <w:rPr>
          <w:rFonts w:ascii="Arial" w:hAnsi="Arial" w:cs="Arial"/>
          <w:sz w:val="24"/>
          <w:szCs w:val="24"/>
        </w:rPr>
      </w:pPr>
      <w:r w:rsidRPr="00DB0E2D">
        <w:rPr>
          <w:rFonts w:ascii="Arial" w:hAnsi="Arial" w:cs="Arial"/>
          <w:sz w:val="24"/>
          <w:szCs w:val="24"/>
        </w:rPr>
        <w:br w:type="page"/>
      </w:r>
    </w:p>
    <w:p w14:paraId="070C89C1" w14:textId="77777777" w:rsidR="00E84BB5" w:rsidRPr="00DB0E2D" w:rsidRDefault="00212C73" w:rsidP="00DB0E2D">
      <w:pPr>
        <w:pStyle w:val="Heading1"/>
      </w:pPr>
      <w:bookmarkStart w:id="23" w:name="_Toc235092070"/>
      <w:r w:rsidRPr="00DB0E2D">
        <w:lastRenderedPageBreak/>
        <w:t>References</w:t>
      </w:r>
      <w:bookmarkEnd w:id="23"/>
    </w:p>
    <w:p w14:paraId="070D53E2" w14:textId="77777777" w:rsidR="00212C73" w:rsidRPr="00DB0E2D" w:rsidRDefault="00212C73" w:rsidP="00744BA4">
      <w:pPr>
        <w:spacing w:line="360" w:lineRule="auto"/>
        <w:rPr>
          <w:rFonts w:ascii="Arial" w:hAnsi="Arial" w:cs="Arial"/>
          <w:sz w:val="24"/>
          <w:szCs w:val="24"/>
        </w:rPr>
      </w:pPr>
    </w:p>
    <w:p w14:paraId="2557C35E" w14:textId="77777777" w:rsidR="001662A0" w:rsidRPr="00DB0E2D" w:rsidRDefault="001662A0" w:rsidP="00744BA4">
      <w:pPr>
        <w:pStyle w:val="pdq2pgselectionanchorcontainer"/>
        <w:spacing w:line="360" w:lineRule="auto"/>
        <w:ind w:left="720" w:hanging="720"/>
        <w:rPr>
          <w:rFonts w:ascii="Arial" w:hAnsi="Arial" w:cs="Arial"/>
        </w:rPr>
      </w:pPr>
      <w:r w:rsidRPr="00DB0E2D">
        <w:rPr>
          <w:rFonts w:ascii="Arial" w:hAnsi="Arial" w:cs="Arial"/>
        </w:rPr>
        <w:t xml:space="preserve">Ackerman, S., Aghevli, A., Aguilar, J., Alfano, N., Altayeb, Y., Bennett, M., Bergendorf, A., Bouret, M., Canazart, M., Campbell, S. and Carter, J. (2025) </w:t>
      </w:r>
      <w:r w:rsidRPr="00DB0E2D">
        <w:rPr>
          <w:rStyle w:val="Emphasis"/>
          <w:rFonts w:ascii="Arial" w:hAnsi="Arial" w:cs="Arial"/>
        </w:rPr>
        <w:t>Accessibility challenges encountered by people with disabilities and older residents of rural areas</w:t>
      </w:r>
      <w:r w:rsidRPr="00DB0E2D">
        <w:rPr>
          <w:rFonts w:ascii="Arial" w:hAnsi="Arial" w:cs="Arial"/>
        </w:rPr>
        <w:t xml:space="preserve">. Available at: </w:t>
      </w:r>
      <w:hyperlink r:id="rId14" w:tgtFrame="_new" w:history="1">
        <w:r w:rsidRPr="00DB0E2D">
          <w:rPr>
            <w:rStyle w:val="Hyperlink"/>
            <w:rFonts w:ascii="Arial" w:hAnsi="Arial" w:cs="Arial"/>
          </w:rPr>
          <w:t>https://docs.lib.purdue.edu/ugcw/7/</w:t>
        </w:r>
      </w:hyperlink>
      <w:r w:rsidRPr="00DB0E2D">
        <w:rPr>
          <w:rFonts w:ascii="Arial" w:hAnsi="Arial" w:cs="Arial"/>
        </w:rPr>
        <w:t xml:space="preserve"> (Accessed: 16 July 2026).</w:t>
      </w:r>
    </w:p>
    <w:p w14:paraId="32EEC4D1"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Age UK (2025) </w:t>
      </w:r>
      <w:r w:rsidRPr="00DB0E2D">
        <w:rPr>
          <w:rStyle w:val="Emphasis"/>
          <w:rFonts w:ascii="Arial" w:hAnsi="Arial" w:cs="Arial"/>
        </w:rPr>
        <w:t>Our work and priorities</w:t>
      </w:r>
      <w:r w:rsidRPr="00DB0E2D">
        <w:rPr>
          <w:rFonts w:ascii="Arial" w:hAnsi="Arial" w:cs="Arial"/>
        </w:rPr>
        <w:t xml:space="preserve">. Available at: </w:t>
      </w:r>
      <w:hyperlink r:id="rId15" w:tgtFrame="_new" w:history="1">
        <w:r w:rsidRPr="00DB0E2D">
          <w:rPr>
            <w:rStyle w:val="Hyperlink"/>
            <w:rFonts w:ascii="Arial" w:hAnsi="Arial" w:cs="Arial"/>
          </w:rPr>
          <w:t>https://www.ageuk.org.uk/our-impact/policy-research/</w:t>
        </w:r>
      </w:hyperlink>
      <w:r w:rsidRPr="00DB0E2D">
        <w:rPr>
          <w:rFonts w:ascii="Arial" w:hAnsi="Arial" w:cs="Arial"/>
        </w:rPr>
        <w:t xml:space="preserve"> (Accessed: 16 July 2026).</w:t>
      </w:r>
    </w:p>
    <w:p w14:paraId="0D014D56"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American Diabetes Association Professional Practice Committee (2025) ‘10. Cardiovascular disease and risk management: Standards of Care in Diabetes 2025’, </w:t>
      </w:r>
      <w:r w:rsidRPr="00DB0E2D">
        <w:rPr>
          <w:rStyle w:val="Emphasis"/>
          <w:rFonts w:ascii="Arial" w:hAnsi="Arial" w:cs="Arial"/>
        </w:rPr>
        <w:t>Diabetes Care</w:t>
      </w:r>
      <w:r w:rsidRPr="00DB0E2D">
        <w:rPr>
          <w:rFonts w:ascii="Arial" w:hAnsi="Arial" w:cs="Arial"/>
        </w:rPr>
        <w:t xml:space="preserve">, 48(Suppl. 1), pp. S207–S238. Available at: </w:t>
      </w:r>
      <w:hyperlink r:id="rId16" w:tgtFrame="_new" w:history="1">
        <w:r w:rsidRPr="00DB0E2D">
          <w:rPr>
            <w:rStyle w:val="Hyperlink"/>
            <w:rFonts w:ascii="Arial" w:hAnsi="Arial" w:cs="Arial"/>
          </w:rPr>
          <w:t>https://doi.org/10.2337/dc25-S010</w:t>
        </w:r>
      </w:hyperlink>
    </w:p>
    <w:p w14:paraId="060093B1"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Atella, V. (2025) </w:t>
      </w:r>
      <w:r w:rsidRPr="00DB0E2D">
        <w:rPr>
          <w:rStyle w:val="Emphasis"/>
          <w:rFonts w:ascii="Arial" w:hAnsi="Arial" w:cs="Arial"/>
        </w:rPr>
        <w:t>The urgent need for an NHS reform: Adapting to overlooked years of transformation in healthcare</w:t>
      </w:r>
      <w:r w:rsidRPr="00DB0E2D">
        <w:rPr>
          <w:rFonts w:ascii="Arial" w:hAnsi="Arial" w:cs="Arial"/>
        </w:rPr>
        <w:t xml:space="preserve">. Available at: </w:t>
      </w:r>
      <w:hyperlink r:id="rId17" w:tgtFrame="_new" w:history="1">
        <w:r w:rsidRPr="00DB0E2D">
          <w:rPr>
            <w:rStyle w:val="Hyperlink"/>
            <w:rFonts w:ascii="Arial" w:hAnsi="Arial" w:cs="Arial"/>
          </w:rPr>
          <w:t>https://grins.it/sites/default/files/2025-12/The_urgent_need_for_an_nhs_reform__adapting_to_overlooked_years_of_transformation_in_healthcare.pdf</w:t>
        </w:r>
      </w:hyperlink>
      <w:r w:rsidRPr="00DB0E2D">
        <w:rPr>
          <w:rFonts w:ascii="Arial" w:hAnsi="Arial" w:cs="Arial"/>
        </w:rPr>
        <w:t xml:space="preserve"> (Accessed: 16 July 2026).</w:t>
      </w:r>
    </w:p>
    <w:p w14:paraId="5F2EB0A9"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Barnett, K., Mercer, S.W., Norbury, M., Watt, G., Wyke, S. and Guthrie, B. (2012) ‘Epidemiology of multimorbidity and implications for health care, research, and medical education: A cross-sectional study’, </w:t>
      </w:r>
      <w:r w:rsidRPr="00DB0E2D">
        <w:rPr>
          <w:rStyle w:val="Emphasis"/>
          <w:rFonts w:ascii="Arial" w:hAnsi="Arial" w:cs="Arial"/>
        </w:rPr>
        <w:t>The Lancet</w:t>
      </w:r>
      <w:r w:rsidRPr="00DB0E2D">
        <w:rPr>
          <w:rFonts w:ascii="Arial" w:hAnsi="Arial" w:cs="Arial"/>
        </w:rPr>
        <w:t xml:space="preserve">, 380(9836), pp. 37–43. Available at: </w:t>
      </w:r>
      <w:hyperlink r:id="rId18" w:tgtFrame="_new" w:history="1">
        <w:r w:rsidRPr="00DB0E2D">
          <w:rPr>
            <w:rStyle w:val="Hyperlink"/>
            <w:rFonts w:ascii="Arial" w:hAnsi="Arial" w:cs="Arial"/>
          </w:rPr>
          <w:t>https://doi.org/10.1016/S0140-6736(12)60240-2</w:t>
        </w:r>
      </w:hyperlink>
    </w:p>
    <w:p w14:paraId="1D3C288D"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Bentley, R., Mason, K., Jacobs, D., Blakely, T., Howden-Chapman, P., Li, A., Adamkiewicz, G. and Reeves, A. (2025) ‘Housing as a social determinant of health: A contemporary framework’, </w:t>
      </w:r>
      <w:r w:rsidRPr="00DB0E2D">
        <w:rPr>
          <w:rStyle w:val="Emphasis"/>
          <w:rFonts w:ascii="Arial" w:hAnsi="Arial" w:cs="Arial"/>
        </w:rPr>
        <w:t>The Lancet Public Health</w:t>
      </w:r>
      <w:r w:rsidRPr="00DB0E2D">
        <w:rPr>
          <w:rFonts w:ascii="Arial" w:hAnsi="Arial" w:cs="Arial"/>
        </w:rPr>
        <w:t>, 10(10), pp. e855–e864.</w:t>
      </w:r>
    </w:p>
    <w:p w14:paraId="27EC64F1"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Cooper, H. (2026) ‘How did COVID-19 feed into later life financial vulnerability in the UK?’, in </w:t>
      </w:r>
      <w:r w:rsidRPr="00DB0E2D">
        <w:rPr>
          <w:rStyle w:val="Emphasis"/>
          <w:rFonts w:ascii="Arial" w:hAnsi="Arial" w:cs="Arial"/>
        </w:rPr>
        <w:t>Viral Debt</w:t>
      </w:r>
      <w:r w:rsidRPr="00DB0E2D">
        <w:rPr>
          <w:rFonts w:ascii="Arial" w:hAnsi="Arial" w:cs="Arial"/>
        </w:rPr>
        <w:t xml:space="preserve">. Abingdon: Routledge, pp. 128–160. Available at: </w:t>
      </w:r>
      <w:hyperlink r:id="rId19" w:tgtFrame="_new" w:history="1">
        <w:r w:rsidRPr="00DB0E2D">
          <w:rPr>
            <w:rStyle w:val="Hyperlink"/>
            <w:rFonts w:ascii="Arial" w:hAnsi="Arial" w:cs="Arial"/>
          </w:rPr>
          <w:t>https://www.taylorfrancis.com/chapters/oa-edit/10.4324/9781003481461-</w:t>
        </w:r>
        <w:r w:rsidRPr="00DB0E2D">
          <w:rPr>
            <w:rStyle w:val="Hyperlink"/>
            <w:rFonts w:ascii="Arial" w:hAnsi="Arial" w:cs="Arial"/>
          </w:rPr>
          <w:lastRenderedPageBreak/>
          <w:t>9/covid-19-feed-later-life-financial-vulnerability-uk-hilary-cooper</w:t>
        </w:r>
      </w:hyperlink>
      <w:r w:rsidRPr="00DB0E2D">
        <w:rPr>
          <w:rFonts w:ascii="Arial" w:hAnsi="Arial" w:cs="Arial"/>
        </w:rPr>
        <w:t xml:space="preserve"> (Accessed: 16 July 2026).</w:t>
      </w:r>
    </w:p>
    <w:p w14:paraId="32E94279"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Davies, M.J., Lim, S., Slater, T., Goldney, J., Philis-Tsimikas, A., Franco, D.R., Lamptey, R., Yates, T., Tankova, T. and Lingvay, I. (2026) ‘Type 2 diabetes mellitus’, </w:t>
      </w:r>
      <w:r w:rsidRPr="00DB0E2D">
        <w:rPr>
          <w:rStyle w:val="Emphasis"/>
          <w:rFonts w:ascii="Arial" w:hAnsi="Arial" w:cs="Arial"/>
        </w:rPr>
        <w:t>Nature Reviews Disease Primers</w:t>
      </w:r>
      <w:r w:rsidRPr="00DB0E2D">
        <w:rPr>
          <w:rFonts w:ascii="Arial" w:hAnsi="Arial" w:cs="Arial"/>
        </w:rPr>
        <w:t xml:space="preserve">, 12(1), p. 13. Available at: </w:t>
      </w:r>
      <w:hyperlink r:id="rId20" w:tgtFrame="_new" w:history="1">
        <w:r w:rsidRPr="00DB0E2D">
          <w:rPr>
            <w:rStyle w:val="Hyperlink"/>
            <w:rFonts w:ascii="Arial" w:hAnsi="Arial" w:cs="Arial"/>
          </w:rPr>
          <w:t>https://www.nature.com/articles/s41572-026-00687-w</w:t>
        </w:r>
      </w:hyperlink>
    </w:p>
    <w:p w14:paraId="39A7FC64"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Diabetes UK (2025) </w:t>
      </w:r>
      <w:r w:rsidRPr="00DB0E2D">
        <w:rPr>
          <w:rStyle w:val="Emphasis"/>
          <w:rFonts w:ascii="Arial" w:hAnsi="Arial" w:cs="Arial"/>
        </w:rPr>
        <w:t>Diabetes prevalence</w:t>
      </w:r>
      <w:r w:rsidRPr="00DB0E2D">
        <w:rPr>
          <w:rFonts w:ascii="Arial" w:hAnsi="Arial" w:cs="Arial"/>
        </w:rPr>
        <w:t xml:space="preserve">. Available at: </w:t>
      </w:r>
      <w:hyperlink r:id="rId21" w:tgtFrame="_new" w:history="1">
        <w:r w:rsidRPr="00DB0E2D">
          <w:rPr>
            <w:rStyle w:val="Hyperlink"/>
            <w:rFonts w:ascii="Arial" w:hAnsi="Arial" w:cs="Arial"/>
          </w:rPr>
          <w:t>https://www.diabetes.org.uk/about-us/about-the-charity/our-strategy/statistics/about-diabetes</w:t>
        </w:r>
      </w:hyperlink>
      <w:r w:rsidRPr="00DB0E2D">
        <w:rPr>
          <w:rFonts w:ascii="Arial" w:hAnsi="Arial" w:cs="Arial"/>
        </w:rPr>
        <w:t xml:space="preserve"> (Accessed: 16 July 2026).</w:t>
      </w:r>
    </w:p>
    <w:p w14:paraId="7C8A5966"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Haig, M., Therianos, P., Miracolo, A., Satish, K., Kolovou, V. and Kanavos, P. (2025) </w:t>
      </w:r>
      <w:r w:rsidRPr="00DB0E2D">
        <w:rPr>
          <w:rStyle w:val="Emphasis"/>
          <w:rFonts w:ascii="Arial" w:hAnsi="Arial" w:cs="Arial"/>
        </w:rPr>
        <w:t>The burden of diabetes and options for reform</w:t>
      </w:r>
      <w:r w:rsidRPr="00DB0E2D">
        <w:rPr>
          <w:rFonts w:ascii="Arial" w:hAnsi="Arial" w:cs="Arial"/>
        </w:rPr>
        <w:t>.</w:t>
      </w:r>
    </w:p>
    <w:p w14:paraId="62948C6C"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International Diabetes Federation (2025) </w:t>
      </w:r>
      <w:r w:rsidRPr="00DB0E2D">
        <w:rPr>
          <w:rStyle w:val="Emphasis"/>
          <w:rFonts w:ascii="Arial" w:hAnsi="Arial" w:cs="Arial"/>
        </w:rPr>
        <w:t>IDF Diabetes Atlas</w:t>
      </w:r>
      <w:r w:rsidRPr="00DB0E2D">
        <w:rPr>
          <w:rFonts w:ascii="Arial" w:hAnsi="Arial" w:cs="Arial"/>
        </w:rPr>
        <w:t xml:space="preserve">. 11th edn. Brussels: International Diabetes Federation. Available at: </w:t>
      </w:r>
      <w:hyperlink r:id="rId22" w:tgtFrame="_new" w:history="1">
        <w:r w:rsidRPr="00DB0E2D">
          <w:rPr>
            <w:rStyle w:val="Hyperlink"/>
            <w:rFonts w:ascii="Arial" w:hAnsi="Arial" w:cs="Arial"/>
          </w:rPr>
          <w:t>https://diabetesatlas.org/</w:t>
        </w:r>
      </w:hyperlink>
      <w:r w:rsidRPr="00DB0E2D">
        <w:rPr>
          <w:rFonts w:ascii="Arial" w:hAnsi="Arial" w:cs="Arial"/>
        </w:rPr>
        <w:t xml:space="preserve"> (Accessed: 16 July 2026).</w:t>
      </w:r>
    </w:p>
    <w:p w14:paraId="77DBFA80"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Jacob, P., Bruce, G., Kay, S. and Thakrar, S. (2025) ‘Ageing-related research in the UK: A landscape analysis’, </w:t>
      </w:r>
      <w:r w:rsidRPr="00DB0E2D">
        <w:rPr>
          <w:rStyle w:val="Emphasis"/>
          <w:rFonts w:ascii="Arial" w:hAnsi="Arial" w:cs="Arial"/>
        </w:rPr>
        <w:t>Health Open Research</w:t>
      </w:r>
      <w:r w:rsidRPr="00DB0E2D">
        <w:rPr>
          <w:rFonts w:ascii="Arial" w:hAnsi="Arial" w:cs="Arial"/>
        </w:rPr>
        <w:t xml:space="preserve">, 7(11), p. 11. Available at: </w:t>
      </w:r>
      <w:hyperlink r:id="rId23" w:tgtFrame="_new" w:history="1">
        <w:r w:rsidRPr="00DB0E2D">
          <w:rPr>
            <w:rStyle w:val="Hyperlink"/>
            <w:rFonts w:ascii="Arial" w:hAnsi="Arial" w:cs="Arial"/>
          </w:rPr>
          <w:t>https://doi.org/10.21955/healthopenres.1115023.1</w:t>
        </w:r>
      </w:hyperlink>
    </w:p>
    <w:p w14:paraId="4D25F696"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Jaidee, W., Chaoniyom, W., Piboon, K., Yingklang, M. and Jaidee, P.H. (2026) ‘Enhancing community health services through a health needs assessment approach during the COVID-19 pandemic in Eastern Thailand’, </w:t>
      </w:r>
      <w:r w:rsidRPr="00DB0E2D">
        <w:rPr>
          <w:rStyle w:val="Emphasis"/>
          <w:rFonts w:ascii="Arial" w:hAnsi="Arial" w:cs="Arial"/>
        </w:rPr>
        <w:t>Discover Public Health</w:t>
      </w:r>
      <w:r w:rsidRPr="00DB0E2D">
        <w:rPr>
          <w:rFonts w:ascii="Arial" w:hAnsi="Arial" w:cs="Arial"/>
        </w:rPr>
        <w:t>, 23(1), p. 66.</w:t>
      </w:r>
    </w:p>
    <w:p w14:paraId="4471BC86"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Marmot, M. (2020) ‘Health equity in England: The Marmot review 10 years on’, </w:t>
      </w:r>
      <w:r w:rsidRPr="00DB0E2D">
        <w:rPr>
          <w:rStyle w:val="Emphasis"/>
          <w:rFonts w:ascii="Arial" w:hAnsi="Arial" w:cs="Arial"/>
        </w:rPr>
        <w:t>BMJ</w:t>
      </w:r>
      <w:r w:rsidRPr="00DB0E2D">
        <w:rPr>
          <w:rFonts w:ascii="Arial" w:hAnsi="Arial" w:cs="Arial"/>
        </w:rPr>
        <w:t xml:space="preserve">, 368, m693. Available at: </w:t>
      </w:r>
      <w:hyperlink r:id="rId24" w:tgtFrame="_new" w:history="1">
        <w:r w:rsidRPr="00DB0E2D">
          <w:rPr>
            <w:rStyle w:val="Hyperlink"/>
            <w:rFonts w:ascii="Arial" w:hAnsi="Arial" w:cs="Arial"/>
          </w:rPr>
          <w:t>https://www.bmj.com/content/368/bmj.m693</w:t>
        </w:r>
      </w:hyperlink>
      <w:r w:rsidRPr="00DB0E2D">
        <w:rPr>
          <w:rFonts w:ascii="Arial" w:hAnsi="Arial" w:cs="Arial"/>
        </w:rPr>
        <w:t xml:space="preserve"> (Accessed: 16 July 2026). https://doi.org/10.1136/bmj.m693</w:t>
      </w:r>
    </w:p>
    <w:p w14:paraId="5A5A26F6"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Mathur, R., Hull, S.A., Badrick, E., Robson, J., Durbaba, S., Bansal, N. and Millett, C. (2020) ‘Cardiovascular multimorbidity: The effect of ethnicity on prevalence and risk factor management’, </w:t>
      </w:r>
      <w:r w:rsidRPr="00DB0E2D">
        <w:rPr>
          <w:rStyle w:val="Emphasis"/>
          <w:rFonts w:ascii="Arial" w:hAnsi="Arial" w:cs="Arial"/>
        </w:rPr>
        <w:t>British Journal of General Practice</w:t>
      </w:r>
      <w:r w:rsidRPr="00DB0E2D">
        <w:rPr>
          <w:rFonts w:ascii="Arial" w:hAnsi="Arial" w:cs="Arial"/>
        </w:rPr>
        <w:t xml:space="preserve">, 70(694), pp. e378–e386. Available at: </w:t>
      </w:r>
      <w:hyperlink r:id="rId25" w:tgtFrame="_new" w:history="1">
        <w:r w:rsidRPr="00DB0E2D">
          <w:rPr>
            <w:rStyle w:val="Hyperlink"/>
            <w:rFonts w:ascii="Arial" w:hAnsi="Arial" w:cs="Arial"/>
          </w:rPr>
          <w:t>https://doi.org/10.3399/bjgp20X709253</w:t>
        </w:r>
      </w:hyperlink>
    </w:p>
    <w:p w14:paraId="4F9593BE"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lastRenderedPageBreak/>
        <w:t xml:space="preserve">Mukadam, N., Cooper, C. and Livingston, G. (2020) ‘Improving access to dementia services for people from underserved groups’, </w:t>
      </w:r>
      <w:r w:rsidRPr="00DB0E2D">
        <w:rPr>
          <w:rStyle w:val="Emphasis"/>
          <w:rFonts w:ascii="Arial" w:hAnsi="Arial" w:cs="Arial"/>
        </w:rPr>
        <w:t>Current Opinion in Psychiatry</w:t>
      </w:r>
      <w:r w:rsidRPr="00DB0E2D">
        <w:rPr>
          <w:rFonts w:ascii="Arial" w:hAnsi="Arial" w:cs="Arial"/>
        </w:rPr>
        <w:t xml:space="preserve">, 33(2), pp. 105–111. Available at: </w:t>
      </w:r>
      <w:hyperlink r:id="rId26" w:tgtFrame="_new" w:history="1">
        <w:r w:rsidRPr="00DB0E2D">
          <w:rPr>
            <w:rStyle w:val="Hyperlink"/>
            <w:rFonts w:ascii="Arial" w:hAnsi="Arial" w:cs="Arial"/>
          </w:rPr>
          <w:t>https://doi.org/10.1097/YCO.0000000000000574</w:t>
        </w:r>
      </w:hyperlink>
    </w:p>
    <w:p w14:paraId="3851BAD6"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Nair, P., Junghans, C., Kay, M., Harris, M., Majeed, A. and Hayhoe, B. (2025) ‘Transforming dementia care pathway: Why shifting to a universal, comprehensive, proactive, local, and integrated model is imperative to improve outcomes’, </w:t>
      </w:r>
      <w:r w:rsidRPr="00DB0E2D">
        <w:rPr>
          <w:rStyle w:val="Emphasis"/>
          <w:rFonts w:ascii="Arial" w:hAnsi="Arial" w:cs="Arial"/>
        </w:rPr>
        <w:t>Frontiers in Dementia</w:t>
      </w:r>
      <w:r w:rsidRPr="00DB0E2D">
        <w:rPr>
          <w:rFonts w:ascii="Arial" w:hAnsi="Arial" w:cs="Arial"/>
        </w:rPr>
        <w:t xml:space="preserve">, 4, p. 1719630. Available at: </w:t>
      </w:r>
      <w:hyperlink r:id="rId27" w:tgtFrame="_new" w:history="1">
        <w:r w:rsidRPr="00DB0E2D">
          <w:rPr>
            <w:rStyle w:val="Hyperlink"/>
            <w:rFonts w:ascii="Arial" w:hAnsi="Arial" w:cs="Arial"/>
          </w:rPr>
          <w:t>https://doi.org/10.3389/frdem.2025.1719630</w:t>
        </w:r>
      </w:hyperlink>
    </w:p>
    <w:p w14:paraId="32798347"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Nandi, A., Counts, N., Chen, S., Seligman, B., Tortorice, D., Vigo, D. and Bloom, D.E. (2022) ‘Global and regional projections of the economic burden of Alzheimer's disease and related dementias from 2019 to 2050: A value of statistical life approach’, </w:t>
      </w:r>
      <w:r w:rsidRPr="00DB0E2D">
        <w:rPr>
          <w:rStyle w:val="Emphasis"/>
          <w:rFonts w:ascii="Arial" w:hAnsi="Arial" w:cs="Arial"/>
        </w:rPr>
        <w:t>EClinicalMedicine</w:t>
      </w:r>
      <w:r w:rsidRPr="00DB0E2D">
        <w:rPr>
          <w:rFonts w:ascii="Arial" w:hAnsi="Arial" w:cs="Arial"/>
        </w:rPr>
        <w:t xml:space="preserve">, 51. Available at: </w:t>
      </w:r>
      <w:hyperlink r:id="rId28" w:tgtFrame="_new" w:history="1">
        <w:r w:rsidRPr="00DB0E2D">
          <w:rPr>
            <w:rStyle w:val="Hyperlink"/>
            <w:rFonts w:ascii="Arial" w:hAnsi="Arial" w:cs="Arial"/>
          </w:rPr>
          <w:t>https://www.thelancet.com/journals/eclinm/article/PIIS2589-5370(22)00310-8/fulltext</w:t>
        </w:r>
      </w:hyperlink>
    </w:p>
    <w:p w14:paraId="7AAE04F8"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NHS England (2025) </w:t>
      </w:r>
      <w:r w:rsidRPr="00DB0E2D">
        <w:rPr>
          <w:rStyle w:val="Emphasis"/>
          <w:rFonts w:ascii="Arial" w:hAnsi="Arial" w:cs="Arial"/>
        </w:rPr>
        <w:t>Healthier You: NHS Diabetes Prevention Programme</w:t>
      </w:r>
      <w:r w:rsidRPr="00DB0E2D">
        <w:rPr>
          <w:rFonts w:ascii="Arial" w:hAnsi="Arial" w:cs="Arial"/>
        </w:rPr>
        <w:t xml:space="preserve">. Available at: </w:t>
      </w:r>
      <w:hyperlink r:id="rId29" w:tgtFrame="_new" w:history="1">
        <w:r w:rsidRPr="00DB0E2D">
          <w:rPr>
            <w:rStyle w:val="Hyperlink"/>
            <w:rFonts w:ascii="Arial" w:hAnsi="Arial" w:cs="Arial"/>
          </w:rPr>
          <w:t>https://www.england.nhs.uk/diabetes/diabetes-prevention/</w:t>
        </w:r>
      </w:hyperlink>
      <w:r w:rsidRPr="00DB0E2D">
        <w:rPr>
          <w:rFonts w:ascii="Arial" w:hAnsi="Arial" w:cs="Arial"/>
        </w:rPr>
        <w:t xml:space="preserve"> (Accessed: 16 July 2026).</w:t>
      </w:r>
    </w:p>
    <w:p w14:paraId="0101978F"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Oliver, D. (2023) ‘Integrated care systems: Can they improve care for older people?’, </w:t>
      </w:r>
      <w:r w:rsidRPr="00DB0E2D">
        <w:rPr>
          <w:rStyle w:val="Emphasis"/>
          <w:rFonts w:ascii="Arial" w:hAnsi="Arial" w:cs="Arial"/>
        </w:rPr>
        <w:t>BMJ</w:t>
      </w:r>
      <w:r w:rsidRPr="00DB0E2D">
        <w:rPr>
          <w:rFonts w:ascii="Arial" w:hAnsi="Arial" w:cs="Arial"/>
        </w:rPr>
        <w:t xml:space="preserve">, 381, p. 1073. Available at: </w:t>
      </w:r>
      <w:hyperlink r:id="rId30" w:tgtFrame="_new" w:history="1">
        <w:r w:rsidRPr="00DB0E2D">
          <w:rPr>
            <w:rStyle w:val="Hyperlink"/>
            <w:rFonts w:ascii="Arial" w:hAnsi="Arial" w:cs="Arial"/>
          </w:rPr>
          <w:t>https://doi.org/10.1136/bmj.p1073</w:t>
        </w:r>
      </w:hyperlink>
    </w:p>
    <w:p w14:paraId="351FE6FF"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Palaniappan, L.P. </w:t>
      </w:r>
      <w:r w:rsidRPr="00DB0E2D">
        <w:rPr>
          <w:rStyle w:val="Emphasis"/>
          <w:rFonts w:ascii="Arial" w:hAnsi="Arial" w:cs="Arial"/>
        </w:rPr>
        <w:t>et al.</w:t>
      </w:r>
      <w:r w:rsidRPr="00DB0E2D">
        <w:rPr>
          <w:rFonts w:ascii="Arial" w:hAnsi="Arial" w:cs="Arial"/>
        </w:rPr>
        <w:t xml:space="preserve"> (2026) ‘2026 Heart Disease and Stroke Statistics: A report of US and global data from the American Heart Association’, </w:t>
      </w:r>
      <w:r w:rsidRPr="00DB0E2D">
        <w:rPr>
          <w:rStyle w:val="Emphasis"/>
          <w:rFonts w:ascii="Arial" w:hAnsi="Arial" w:cs="Arial"/>
        </w:rPr>
        <w:t>Circulation</w:t>
      </w:r>
      <w:r w:rsidRPr="00DB0E2D">
        <w:rPr>
          <w:rFonts w:ascii="Arial" w:hAnsi="Arial" w:cs="Arial"/>
        </w:rPr>
        <w:t xml:space="preserve">. Available at: </w:t>
      </w:r>
      <w:hyperlink r:id="rId31" w:tgtFrame="_new" w:history="1">
        <w:r w:rsidRPr="00DB0E2D">
          <w:rPr>
            <w:rStyle w:val="Hyperlink"/>
            <w:rFonts w:ascii="Arial" w:hAnsi="Arial" w:cs="Arial"/>
          </w:rPr>
          <w:t>https://www.ahajournals.org/doi/full/10.1161/CIR.0000000000001412</w:t>
        </w:r>
      </w:hyperlink>
    </w:p>
    <w:p w14:paraId="23ED9843"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Rob, A., Hoque, A., Asaduzzaman, M.M., Khatoon, M.A.A., Khalil, R., Thomas, D., Ilyas, M., Mahmood, H. and Chowdhury, T.A. (2025) ‘The global challenges of type 2 diabetes’, </w:t>
      </w:r>
      <w:r w:rsidRPr="00DB0E2D">
        <w:rPr>
          <w:rStyle w:val="Emphasis"/>
          <w:rFonts w:ascii="Arial" w:hAnsi="Arial" w:cs="Arial"/>
        </w:rPr>
        <w:t>Bangladesh Journal of Medicine</w:t>
      </w:r>
      <w:r w:rsidRPr="00DB0E2D">
        <w:rPr>
          <w:rFonts w:ascii="Arial" w:hAnsi="Arial" w:cs="Arial"/>
        </w:rPr>
        <w:t xml:space="preserve">, 36(2), pp. 92–98. Available at: </w:t>
      </w:r>
      <w:hyperlink r:id="rId32" w:tgtFrame="_new" w:history="1">
        <w:r w:rsidRPr="00DB0E2D">
          <w:rPr>
            <w:rStyle w:val="Hyperlink"/>
            <w:rFonts w:ascii="Arial" w:hAnsi="Arial" w:cs="Arial"/>
          </w:rPr>
          <w:t>https://banglajol.info/index.php/BJMED/article/view/78406</w:t>
        </w:r>
      </w:hyperlink>
    </w:p>
    <w:p w14:paraId="6CF6F63A"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lastRenderedPageBreak/>
        <w:t xml:space="preserve">Santini, Z.I., Jose, P.E., York Cornwell, E., Koyanagi, A., Nielsen, L., Hinrichsen, C., Meilstrup, C., Madsen, K.R. and Koushede, V. (2020) ‘Social disconnectedness, perceived isolation, and symptoms of depression and anxiety among older Americans’, </w:t>
      </w:r>
      <w:r w:rsidRPr="00DB0E2D">
        <w:rPr>
          <w:rStyle w:val="Emphasis"/>
          <w:rFonts w:ascii="Arial" w:hAnsi="Arial" w:cs="Arial"/>
        </w:rPr>
        <w:t>The Lancet Public Health</w:t>
      </w:r>
      <w:r w:rsidRPr="00DB0E2D">
        <w:rPr>
          <w:rFonts w:ascii="Arial" w:hAnsi="Arial" w:cs="Arial"/>
        </w:rPr>
        <w:t xml:space="preserve">, 5(1), pp. e62–e70. Available at: </w:t>
      </w:r>
      <w:hyperlink r:id="rId33" w:tgtFrame="_new" w:history="1">
        <w:r w:rsidRPr="00DB0E2D">
          <w:rPr>
            <w:rStyle w:val="Hyperlink"/>
            <w:rFonts w:ascii="Arial" w:hAnsi="Arial" w:cs="Arial"/>
          </w:rPr>
          <w:t>https://doi.org/10.1016/S2468-2667(19)30230-0</w:t>
        </w:r>
      </w:hyperlink>
    </w:p>
    <w:p w14:paraId="5950F3E3"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Sylvia, E.O. (2025) </w:t>
      </w:r>
      <w:r w:rsidRPr="00DB0E2D">
        <w:rPr>
          <w:rStyle w:val="Emphasis"/>
          <w:rFonts w:ascii="Arial" w:hAnsi="Arial" w:cs="Arial"/>
        </w:rPr>
        <w:t>The effects of lifestyle changes on type 2 diabetes prevention among teachers in Egor LGA Edo State</w:t>
      </w:r>
      <w:r w:rsidRPr="00DB0E2D">
        <w:rPr>
          <w:rFonts w:ascii="Arial" w:hAnsi="Arial" w:cs="Arial"/>
        </w:rPr>
        <w:t>. Doctoral dissertation. University of Benin.</w:t>
      </w:r>
    </w:p>
    <w:p w14:paraId="11A92169"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Townsend, N., Timmis, A., Erglis, A., Miličić, D., Perrone-Filardi, P., Weidinger, F., Guzik, T. and Gale, C.P. (2025) ‘Challenges in the prevention, treatment and management of cardiovascular disease among older adults’, </w:t>
      </w:r>
      <w:r w:rsidRPr="00DB0E2D">
        <w:rPr>
          <w:rStyle w:val="Emphasis"/>
          <w:rFonts w:ascii="Arial" w:hAnsi="Arial" w:cs="Arial"/>
        </w:rPr>
        <w:t>The Lancet Regional Health – Europe</w:t>
      </w:r>
      <w:r w:rsidRPr="00DB0E2D">
        <w:rPr>
          <w:rFonts w:ascii="Arial" w:hAnsi="Arial" w:cs="Arial"/>
        </w:rPr>
        <w:t xml:space="preserve">, 56. Available at: </w:t>
      </w:r>
      <w:hyperlink r:id="rId34" w:tgtFrame="_new" w:history="1">
        <w:r w:rsidRPr="00DB0E2D">
          <w:rPr>
            <w:rStyle w:val="Hyperlink"/>
            <w:rFonts w:ascii="Arial" w:hAnsi="Arial" w:cs="Arial"/>
          </w:rPr>
          <w:t>https://www.thelancet.com/journals/lanepe/article/PIIS2666-7762(25)00164-4/fulltext</w:t>
        </w:r>
      </w:hyperlink>
    </w:p>
    <w:p w14:paraId="207379BC"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Vaja, I., Umeh, K.F., Abayomi, J.C., Patel, T. and Newson, L. (2021) ‘A grounded theory of type 2 diabetes prevention and risk perception’, </w:t>
      </w:r>
      <w:r w:rsidRPr="00DB0E2D">
        <w:rPr>
          <w:rStyle w:val="Emphasis"/>
          <w:rFonts w:ascii="Arial" w:hAnsi="Arial" w:cs="Arial"/>
        </w:rPr>
        <w:t>British Journal of Health Psychology</w:t>
      </w:r>
      <w:r w:rsidRPr="00DB0E2D">
        <w:rPr>
          <w:rFonts w:ascii="Arial" w:hAnsi="Arial" w:cs="Arial"/>
        </w:rPr>
        <w:t xml:space="preserve">, 26(3), pp. 789–806. Available at: </w:t>
      </w:r>
      <w:hyperlink r:id="rId35" w:tgtFrame="_new" w:history="1">
        <w:r w:rsidRPr="00DB0E2D">
          <w:rPr>
            <w:rStyle w:val="Hyperlink"/>
            <w:rFonts w:ascii="Arial" w:hAnsi="Arial" w:cs="Arial"/>
          </w:rPr>
          <w:t>https://doi.org/10.1111/bjhp.12503</w:t>
        </w:r>
      </w:hyperlink>
    </w:p>
    <w:p w14:paraId="0911EACE"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Visseren, F.L.J., Mach, F., Smulders, Y.M., Carballo, D., Koskinas, K.C., Bäck, M., Benetos, A., Biffi, A., Boavida, J.M., Capodanno, D. and Cosyns, B. (2021) ‘2021 ESC Guidelines on cardiovascular disease prevention in clinical practice’, </w:t>
      </w:r>
      <w:r w:rsidRPr="00DB0E2D">
        <w:rPr>
          <w:rStyle w:val="Emphasis"/>
          <w:rFonts w:ascii="Arial" w:hAnsi="Arial" w:cs="Arial"/>
        </w:rPr>
        <w:t>European Heart Journal</w:t>
      </w:r>
      <w:r w:rsidRPr="00DB0E2D">
        <w:rPr>
          <w:rFonts w:ascii="Arial" w:hAnsi="Arial" w:cs="Arial"/>
        </w:rPr>
        <w:t xml:space="preserve">, 42(34), pp. 3227–3337. Available at: </w:t>
      </w:r>
      <w:hyperlink r:id="rId36" w:tgtFrame="_new" w:history="1">
        <w:r w:rsidRPr="00DB0E2D">
          <w:rPr>
            <w:rStyle w:val="Hyperlink"/>
            <w:rFonts w:ascii="Arial" w:hAnsi="Arial" w:cs="Arial"/>
          </w:rPr>
          <w:t>https://academic.oup.com/eurheartj/article/42/34/3227/6358713</w:t>
        </w:r>
      </w:hyperlink>
      <w:r w:rsidRPr="00DB0E2D">
        <w:rPr>
          <w:rFonts w:ascii="Arial" w:hAnsi="Arial" w:cs="Arial"/>
        </w:rPr>
        <w:t xml:space="preserve"> (Accessed: 16 July 2026).</w:t>
      </w:r>
    </w:p>
    <w:p w14:paraId="0F699B95"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t xml:space="preserve">Welsh, C.E., Matthews, F.E. and Jagger, C. (2021) ‘Trends in life expectancy and healthy life years at birth and age 65 in the UK, 2008–2016, and other countries of the EU28: An observational cross-sectional study’, </w:t>
      </w:r>
      <w:r w:rsidRPr="00DB0E2D">
        <w:rPr>
          <w:rStyle w:val="Emphasis"/>
          <w:rFonts w:ascii="Arial" w:hAnsi="Arial" w:cs="Arial"/>
        </w:rPr>
        <w:t>The Lancet Regional Health – Europe</w:t>
      </w:r>
      <w:r w:rsidRPr="00DB0E2D">
        <w:rPr>
          <w:rFonts w:ascii="Arial" w:hAnsi="Arial" w:cs="Arial"/>
        </w:rPr>
        <w:t xml:space="preserve">, 2. Available at: </w:t>
      </w:r>
      <w:hyperlink r:id="rId37" w:tgtFrame="_new" w:history="1">
        <w:r w:rsidRPr="00DB0E2D">
          <w:rPr>
            <w:rStyle w:val="Hyperlink"/>
            <w:rFonts w:ascii="Arial" w:hAnsi="Arial" w:cs="Arial"/>
          </w:rPr>
          <w:t>https://www.thelancet.com/journals/lanepe/article/PIIS2666-7762(20)30023-5/fulltext</w:t>
        </w:r>
      </w:hyperlink>
    </w:p>
    <w:p w14:paraId="61826630" w14:textId="77777777" w:rsidR="001662A0" w:rsidRPr="00DB0E2D" w:rsidRDefault="001662A0" w:rsidP="00744BA4">
      <w:pPr>
        <w:pStyle w:val="NormalWeb"/>
        <w:spacing w:line="360" w:lineRule="auto"/>
        <w:ind w:left="720" w:hanging="720"/>
        <w:rPr>
          <w:rFonts w:ascii="Arial" w:hAnsi="Arial" w:cs="Arial"/>
        </w:rPr>
      </w:pPr>
      <w:r w:rsidRPr="00DB0E2D">
        <w:rPr>
          <w:rFonts w:ascii="Arial" w:hAnsi="Arial" w:cs="Arial"/>
        </w:rPr>
        <w:lastRenderedPageBreak/>
        <w:t xml:space="preserve">World Health Organization (2025) </w:t>
      </w:r>
      <w:r w:rsidRPr="00DB0E2D">
        <w:rPr>
          <w:rStyle w:val="Emphasis"/>
          <w:rFonts w:ascii="Arial" w:hAnsi="Arial" w:cs="Arial"/>
        </w:rPr>
        <w:t>Ageing and health</w:t>
      </w:r>
      <w:r w:rsidRPr="00DB0E2D">
        <w:rPr>
          <w:rFonts w:ascii="Arial" w:hAnsi="Arial" w:cs="Arial"/>
        </w:rPr>
        <w:t xml:space="preserve">. Available at: </w:t>
      </w:r>
      <w:hyperlink r:id="rId38" w:tgtFrame="_new" w:history="1">
        <w:r w:rsidRPr="00DB0E2D">
          <w:rPr>
            <w:rStyle w:val="Hyperlink"/>
            <w:rFonts w:ascii="Arial" w:hAnsi="Arial" w:cs="Arial"/>
          </w:rPr>
          <w:t>https://www.who.int/news-room/fact-sheets/detail/ageing-and-health</w:t>
        </w:r>
      </w:hyperlink>
      <w:r w:rsidRPr="00DB0E2D">
        <w:rPr>
          <w:rFonts w:ascii="Arial" w:hAnsi="Arial" w:cs="Arial"/>
        </w:rPr>
        <w:t xml:space="preserve"> (Accessed: 16 July 2026).</w:t>
      </w:r>
    </w:p>
    <w:p w14:paraId="62972F14" w14:textId="77777777" w:rsidR="001B30E1" w:rsidRPr="00DB0E2D" w:rsidRDefault="001B30E1" w:rsidP="00744BA4">
      <w:pPr>
        <w:pStyle w:val="NormalWeb"/>
        <w:spacing w:line="360" w:lineRule="auto"/>
        <w:ind w:left="720" w:hanging="720"/>
        <w:rPr>
          <w:rFonts w:ascii="Arial" w:hAnsi="Arial" w:cs="Arial"/>
        </w:rPr>
      </w:pPr>
      <w:r w:rsidRPr="00DB0E2D">
        <w:rPr>
          <w:rFonts w:ascii="Arial" w:hAnsi="Arial" w:cs="Arial"/>
        </w:rPr>
        <w:t xml:space="preserve"> </w:t>
      </w:r>
    </w:p>
    <w:sectPr w:rsidR="001B30E1" w:rsidRPr="00DB0E2D" w:rsidSect="009514F4">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D17F3" w14:textId="77777777" w:rsidR="006450D9" w:rsidRDefault="006450D9" w:rsidP="001B30E1">
      <w:pPr>
        <w:spacing w:after="0" w:line="240" w:lineRule="auto"/>
      </w:pPr>
      <w:r>
        <w:separator/>
      </w:r>
    </w:p>
  </w:endnote>
  <w:endnote w:type="continuationSeparator" w:id="0">
    <w:p w14:paraId="281C16AD" w14:textId="77777777" w:rsidR="006450D9" w:rsidRDefault="006450D9" w:rsidP="001B3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860159"/>
      <w:docPartObj>
        <w:docPartGallery w:val="Page Numbers (Bottom of Page)"/>
        <w:docPartUnique/>
      </w:docPartObj>
    </w:sdtPr>
    <w:sdtEndPr>
      <w:rPr>
        <w:color w:val="7F7F7F" w:themeColor="background1" w:themeShade="7F"/>
        <w:spacing w:val="60"/>
      </w:rPr>
    </w:sdtEndPr>
    <w:sdtContent>
      <w:p w14:paraId="250965E2" w14:textId="77777777" w:rsidR="001B30E1" w:rsidRDefault="001B30E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4964DAA" w14:textId="77777777" w:rsidR="001B30E1" w:rsidRDefault="001B3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C4CF6" w14:textId="77777777" w:rsidR="006450D9" w:rsidRDefault="006450D9" w:rsidP="001B30E1">
      <w:pPr>
        <w:spacing w:after="0" w:line="240" w:lineRule="auto"/>
      </w:pPr>
      <w:r>
        <w:separator/>
      </w:r>
    </w:p>
  </w:footnote>
  <w:footnote w:type="continuationSeparator" w:id="0">
    <w:p w14:paraId="26178890" w14:textId="77777777" w:rsidR="006450D9" w:rsidRDefault="006450D9" w:rsidP="001B30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B56D2"/>
    <w:multiLevelType w:val="hybridMultilevel"/>
    <w:tmpl w:val="EC680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13785D"/>
    <w:multiLevelType w:val="hybridMultilevel"/>
    <w:tmpl w:val="D384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4272C2"/>
    <w:multiLevelType w:val="hybridMultilevel"/>
    <w:tmpl w:val="AF583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B06DA9"/>
    <w:multiLevelType w:val="hybridMultilevel"/>
    <w:tmpl w:val="21E6D6C6"/>
    <w:lvl w:ilvl="0" w:tplc="A3A0C0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B713F21"/>
    <w:multiLevelType w:val="hybridMultilevel"/>
    <w:tmpl w:val="37646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3D5BE5"/>
    <w:multiLevelType w:val="hybridMultilevel"/>
    <w:tmpl w:val="C8981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8912698">
    <w:abstractNumId w:val="1"/>
  </w:num>
  <w:num w:numId="2" w16cid:durableId="1235431664">
    <w:abstractNumId w:val="4"/>
  </w:num>
  <w:num w:numId="3" w16cid:durableId="797459305">
    <w:abstractNumId w:val="2"/>
  </w:num>
  <w:num w:numId="4" w16cid:durableId="1031951869">
    <w:abstractNumId w:val="5"/>
  </w:num>
  <w:num w:numId="5" w16cid:durableId="1755394315">
    <w:abstractNumId w:val="3"/>
  </w:num>
  <w:num w:numId="6" w16cid:durableId="289169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1F5"/>
    <w:rsid w:val="00130EF3"/>
    <w:rsid w:val="001662A0"/>
    <w:rsid w:val="00174005"/>
    <w:rsid w:val="001B30E1"/>
    <w:rsid w:val="001C1D4B"/>
    <w:rsid w:val="00212C73"/>
    <w:rsid w:val="00343A00"/>
    <w:rsid w:val="003816DE"/>
    <w:rsid w:val="00390D72"/>
    <w:rsid w:val="00396BA2"/>
    <w:rsid w:val="003F6B93"/>
    <w:rsid w:val="00430A13"/>
    <w:rsid w:val="004C6892"/>
    <w:rsid w:val="0058536F"/>
    <w:rsid w:val="005942F9"/>
    <w:rsid w:val="0060606B"/>
    <w:rsid w:val="006450D9"/>
    <w:rsid w:val="00677514"/>
    <w:rsid w:val="006D0E48"/>
    <w:rsid w:val="006D5F46"/>
    <w:rsid w:val="00744BA4"/>
    <w:rsid w:val="00744EC7"/>
    <w:rsid w:val="00770752"/>
    <w:rsid w:val="007F3409"/>
    <w:rsid w:val="009335F1"/>
    <w:rsid w:val="00933765"/>
    <w:rsid w:val="009514F4"/>
    <w:rsid w:val="00A071F7"/>
    <w:rsid w:val="00AD3A36"/>
    <w:rsid w:val="00AE75E1"/>
    <w:rsid w:val="00B20AA1"/>
    <w:rsid w:val="00B4776D"/>
    <w:rsid w:val="00B735A0"/>
    <w:rsid w:val="00BA22B6"/>
    <w:rsid w:val="00BD7B30"/>
    <w:rsid w:val="00C22421"/>
    <w:rsid w:val="00C4667D"/>
    <w:rsid w:val="00CA3CAC"/>
    <w:rsid w:val="00CA3D2A"/>
    <w:rsid w:val="00D03E64"/>
    <w:rsid w:val="00D051F5"/>
    <w:rsid w:val="00D2447A"/>
    <w:rsid w:val="00D24D9C"/>
    <w:rsid w:val="00DB0E2D"/>
    <w:rsid w:val="00DB4259"/>
    <w:rsid w:val="00DF5503"/>
    <w:rsid w:val="00DF5C3B"/>
    <w:rsid w:val="00E056B4"/>
    <w:rsid w:val="00E84BB5"/>
    <w:rsid w:val="00EB3613"/>
    <w:rsid w:val="00F15F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9DDE4"/>
  <w15:chartTrackingRefBased/>
  <w15:docId w15:val="{C9BF5D66-4F63-463A-9486-9BF14E946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2C73"/>
    <w:pPr>
      <w:keepNext/>
      <w:keepLines/>
      <w:spacing w:before="240" w:after="0"/>
      <w:jc w:val="center"/>
      <w:outlineLvl w:val="0"/>
    </w:pPr>
    <w:rPr>
      <w:rFonts w:ascii="Arial" w:eastAsiaTheme="majorEastAsia" w:hAnsi="Arial"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212C73"/>
    <w:pPr>
      <w:keepNext/>
      <w:keepLines/>
      <w:spacing w:before="40" w:after="0"/>
      <w:outlineLvl w:val="1"/>
    </w:pPr>
    <w:rPr>
      <w:rFonts w:ascii="Arial" w:eastAsiaTheme="majorEastAsia" w:hAnsi="Arial" w:cstheme="majorBidi"/>
      <w:b/>
      <w:i/>
      <w:color w:val="000000" w:themeColor="text1"/>
      <w:sz w:val="28"/>
      <w:szCs w:val="26"/>
    </w:rPr>
  </w:style>
  <w:style w:type="paragraph" w:styleId="Heading3">
    <w:name w:val="heading 3"/>
    <w:basedOn w:val="Normal"/>
    <w:link w:val="Heading3Char"/>
    <w:uiPriority w:val="9"/>
    <w:qFormat/>
    <w:rsid w:val="00212C73"/>
    <w:pPr>
      <w:spacing w:before="100" w:beforeAutospacing="1" w:after="100" w:afterAutospacing="1" w:line="240" w:lineRule="auto"/>
      <w:outlineLvl w:val="2"/>
    </w:pPr>
    <w:rPr>
      <w:rFonts w:ascii="Arial" w:eastAsia="Times New Roman" w:hAnsi="Arial" w:cs="Times New Roman"/>
      <w:b/>
      <w:bCs/>
      <w:color w:val="4472C4" w:themeColor="accent1"/>
      <w:sz w:val="24"/>
      <w:szCs w:val="27"/>
      <w:lang w:eastAsia="en-GB"/>
    </w:rPr>
  </w:style>
  <w:style w:type="paragraph" w:styleId="Heading4">
    <w:name w:val="heading 4"/>
    <w:basedOn w:val="Normal"/>
    <w:next w:val="Normal"/>
    <w:link w:val="Heading4Char"/>
    <w:uiPriority w:val="9"/>
    <w:semiHidden/>
    <w:unhideWhenUsed/>
    <w:qFormat/>
    <w:rsid w:val="0067751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12C73"/>
    <w:rPr>
      <w:rFonts w:ascii="Arial" w:eastAsia="Times New Roman" w:hAnsi="Arial" w:cs="Times New Roman"/>
      <w:b/>
      <w:bCs/>
      <w:color w:val="4472C4" w:themeColor="accent1"/>
      <w:sz w:val="24"/>
      <w:szCs w:val="27"/>
      <w:lang w:eastAsia="en-GB"/>
    </w:rPr>
  </w:style>
  <w:style w:type="character" w:styleId="Strong">
    <w:name w:val="Strong"/>
    <w:basedOn w:val="DefaultParagraphFont"/>
    <w:uiPriority w:val="22"/>
    <w:qFormat/>
    <w:rsid w:val="00D051F5"/>
    <w:rPr>
      <w:b/>
      <w:bCs/>
    </w:rPr>
  </w:style>
  <w:style w:type="paragraph" w:styleId="NormalWeb">
    <w:name w:val="Normal (Web)"/>
    <w:basedOn w:val="Normal"/>
    <w:uiPriority w:val="99"/>
    <w:unhideWhenUsed/>
    <w:rsid w:val="00D051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051F5"/>
    <w:rPr>
      <w:i/>
      <w:iCs/>
    </w:rPr>
  </w:style>
  <w:style w:type="character" w:customStyle="1" w:styleId="Heading1Char">
    <w:name w:val="Heading 1 Char"/>
    <w:basedOn w:val="DefaultParagraphFont"/>
    <w:link w:val="Heading1"/>
    <w:uiPriority w:val="9"/>
    <w:rsid w:val="00212C73"/>
    <w:rPr>
      <w:rFonts w:ascii="Arial" w:eastAsiaTheme="majorEastAsia" w:hAnsi="Arial"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212C73"/>
    <w:rPr>
      <w:rFonts w:ascii="Arial" w:eastAsiaTheme="majorEastAsia" w:hAnsi="Arial" w:cstheme="majorBidi"/>
      <w:b/>
      <w:i/>
      <w:color w:val="000000" w:themeColor="text1"/>
      <w:sz w:val="28"/>
      <w:szCs w:val="26"/>
    </w:rPr>
  </w:style>
  <w:style w:type="table" w:styleId="TableGrid">
    <w:name w:val="Table Grid"/>
    <w:basedOn w:val="TableNormal"/>
    <w:uiPriority w:val="39"/>
    <w:rsid w:val="00585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536F"/>
    <w:pPr>
      <w:ind w:left="720"/>
      <w:contextualSpacing/>
    </w:pPr>
  </w:style>
  <w:style w:type="character" w:customStyle="1" w:styleId="cursor-pointer">
    <w:name w:val="cursor-pointer"/>
    <w:basedOn w:val="DefaultParagraphFont"/>
    <w:rsid w:val="003816DE"/>
  </w:style>
  <w:style w:type="character" w:styleId="Hyperlink">
    <w:name w:val="Hyperlink"/>
    <w:basedOn w:val="DefaultParagraphFont"/>
    <w:uiPriority w:val="99"/>
    <w:unhideWhenUsed/>
    <w:rsid w:val="001B30E1"/>
    <w:rPr>
      <w:color w:val="0000FF"/>
      <w:u w:val="single"/>
    </w:rPr>
  </w:style>
  <w:style w:type="paragraph" w:customStyle="1" w:styleId="pdq2pgselectionanchorcontainer">
    <w:name w:val="pdq2pg_selectionanchorcontainer"/>
    <w:basedOn w:val="Normal"/>
    <w:rsid w:val="001B30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1B30E1"/>
    <w:pPr>
      <w:jc w:val="left"/>
      <w:outlineLvl w:val="9"/>
    </w:pPr>
    <w:rPr>
      <w:rFonts w:asciiTheme="majorHAnsi" w:hAnsiTheme="majorHAnsi"/>
      <w:b w:val="0"/>
      <w:u w:val="none"/>
      <w:lang w:val="en-US"/>
    </w:rPr>
  </w:style>
  <w:style w:type="paragraph" w:styleId="TOC1">
    <w:name w:val="toc 1"/>
    <w:basedOn w:val="Normal"/>
    <w:next w:val="Normal"/>
    <w:autoRedefine/>
    <w:uiPriority w:val="39"/>
    <w:unhideWhenUsed/>
    <w:rsid w:val="001B30E1"/>
    <w:pPr>
      <w:spacing w:after="100"/>
    </w:pPr>
  </w:style>
  <w:style w:type="paragraph" w:styleId="TOC2">
    <w:name w:val="toc 2"/>
    <w:basedOn w:val="Normal"/>
    <w:next w:val="Normal"/>
    <w:autoRedefine/>
    <w:uiPriority w:val="39"/>
    <w:unhideWhenUsed/>
    <w:rsid w:val="001B30E1"/>
    <w:pPr>
      <w:spacing w:after="100"/>
      <w:ind w:left="220"/>
    </w:pPr>
  </w:style>
  <w:style w:type="paragraph" w:styleId="Header">
    <w:name w:val="header"/>
    <w:basedOn w:val="Normal"/>
    <w:link w:val="HeaderChar"/>
    <w:uiPriority w:val="99"/>
    <w:unhideWhenUsed/>
    <w:rsid w:val="001B30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0E1"/>
  </w:style>
  <w:style w:type="paragraph" w:styleId="Footer">
    <w:name w:val="footer"/>
    <w:basedOn w:val="Normal"/>
    <w:link w:val="FooterChar"/>
    <w:uiPriority w:val="99"/>
    <w:unhideWhenUsed/>
    <w:rsid w:val="001B30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0E1"/>
  </w:style>
  <w:style w:type="character" w:customStyle="1" w:styleId="Heading4Char">
    <w:name w:val="Heading 4 Char"/>
    <w:basedOn w:val="DefaultParagraphFont"/>
    <w:link w:val="Heading4"/>
    <w:uiPriority w:val="9"/>
    <w:semiHidden/>
    <w:rsid w:val="0067751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70460">
      <w:bodyDiv w:val="1"/>
      <w:marLeft w:val="0"/>
      <w:marRight w:val="0"/>
      <w:marTop w:val="0"/>
      <w:marBottom w:val="0"/>
      <w:divBdr>
        <w:top w:val="none" w:sz="0" w:space="0" w:color="auto"/>
        <w:left w:val="none" w:sz="0" w:space="0" w:color="auto"/>
        <w:bottom w:val="none" w:sz="0" w:space="0" w:color="auto"/>
        <w:right w:val="none" w:sz="0" w:space="0" w:color="auto"/>
      </w:divBdr>
    </w:div>
    <w:div w:id="129254466">
      <w:bodyDiv w:val="1"/>
      <w:marLeft w:val="0"/>
      <w:marRight w:val="0"/>
      <w:marTop w:val="0"/>
      <w:marBottom w:val="0"/>
      <w:divBdr>
        <w:top w:val="none" w:sz="0" w:space="0" w:color="auto"/>
        <w:left w:val="none" w:sz="0" w:space="0" w:color="auto"/>
        <w:bottom w:val="none" w:sz="0" w:space="0" w:color="auto"/>
        <w:right w:val="none" w:sz="0" w:space="0" w:color="auto"/>
      </w:divBdr>
      <w:divsChild>
        <w:div w:id="1634672138">
          <w:marLeft w:val="0"/>
          <w:marRight w:val="0"/>
          <w:marTop w:val="0"/>
          <w:marBottom w:val="0"/>
          <w:divBdr>
            <w:top w:val="none" w:sz="0" w:space="0" w:color="auto"/>
            <w:left w:val="none" w:sz="0" w:space="0" w:color="auto"/>
            <w:bottom w:val="none" w:sz="0" w:space="0" w:color="auto"/>
            <w:right w:val="none" w:sz="0" w:space="0" w:color="auto"/>
          </w:divBdr>
          <w:divsChild>
            <w:div w:id="134882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93722">
      <w:bodyDiv w:val="1"/>
      <w:marLeft w:val="0"/>
      <w:marRight w:val="0"/>
      <w:marTop w:val="0"/>
      <w:marBottom w:val="0"/>
      <w:divBdr>
        <w:top w:val="none" w:sz="0" w:space="0" w:color="auto"/>
        <w:left w:val="none" w:sz="0" w:space="0" w:color="auto"/>
        <w:bottom w:val="none" w:sz="0" w:space="0" w:color="auto"/>
        <w:right w:val="none" w:sz="0" w:space="0" w:color="auto"/>
      </w:divBdr>
    </w:div>
    <w:div w:id="330914176">
      <w:bodyDiv w:val="1"/>
      <w:marLeft w:val="0"/>
      <w:marRight w:val="0"/>
      <w:marTop w:val="0"/>
      <w:marBottom w:val="0"/>
      <w:divBdr>
        <w:top w:val="none" w:sz="0" w:space="0" w:color="auto"/>
        <w:left w:val="none" w:sz="0" w:space="0" w:color="auto"/>
        <w:bottom w:val="none" w:sz="0" w:space="0" w:color="auto"/>
        <w:right w:val="none" w:sz="0" w:space="0" w:color="auto"/>
      </w:divBdr>
    </w:div>
    <w:div w:id="381637851">
      <w:bodyDiv w:val="1"/>
      <w:marLeft w:val="0"/>
      <w:marRight w:val="0"/>
      <w:marTop w:val="0"/>
      <w:marBottom w:val="0"/>
      <w:divBdr>
        <w:top w:val="none" w:sz="0" w:space="0" w:color="auto"/>
        <w:left w:val="none" w:sz="0" w:space="0" w:color="auto"/>
        <w:bottom w:val="none" w:sz="0" w:space="0" w:color="auto"/>
        <w:right w:val="none" w:sz="0" w:space="0" w:color="auto"/>
      </w:divBdr>
      <w:divsChild>
        <w:div w:id="2004116641">
          <w:marLeft w:val="0"/>
          <w:marRight w:val="0"/>
          <w:marTop w:val="0"/>
          <w:marBottom w:val="0"/>
          <w:divBdr>
            <w:top w:val="none" w:sz="0" w:space="0" w:color="auto"/>
            <w:left w:val="none" w:sz="0" w:space="0" w:color="auto"/>
            <w:bottom w:val="none" w:sz="0" w:space="0" w:color="auto"/>
            <w:right w:val="none" w:sz="0" w:space="0" w:color="auto"/>
          </w:divBdr>
          <w:divsChild>
            <w:div w:id="21443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10080">
      <w:bodyDiv w:val="1"/>
      <w:marLeft w:val="0"/>
      <w:marRight w:val="0"/>
      <w:marTop w:val="0"/>
      <w:marBottom w:val="0"/>
      <w:divBdr>
        <w:top w:val="none" w:sz="0" w:space="0" w:color="auto"/>
        <w:left w:val="none" w:sz="0" w:space="0" w:color="auto"/>
        <w:bottom w:val="none" w:sz="0" w:space="0" w:color="auto"/>
        <w:right w:val="none" w:sz="0" w:space="0" w:color="auto"/>
      </w:divBdr>
    </w:div>
    <w:div w:id="810907957">
      <w:bodyDiv w:val="1"/>
      <w:marLeft w:val="0"/>
      <w:marRight w:val="0"/>
      <w:marTop w:val="0"/>
      <w:marBottom w:val="0"/>
      <w:divBdr>
        <w:top w:val="none" w:sz="0" w:space="0" w:color="auto"/>
        <w:left w:val="none" w:sz="0" w:space="0" w:color="auto"/>
        <w:bottom w:val="none" w:sz="0" w:space="0" w:color="auto"/>
        <w:right w:val="none" w:sz="0" w:space="0" w:color="auto"/>
      </w:divBdr>
      <w:divsChild>
        <w:div w:id="1522013350">
          <w:marLeft w:val="0"/>
          <w:marRight w:val="0"/>
          <w:marTop w:val="0"/>
          <w:marBottom w:val="0"/>
          <w:divBdr>
            <w:top w:val="none" w:sz="0" w:space="0" w:color="auto"/>
            <w:left w:val="none" w:sz="0" w:space="0" w:color="auto"/>
            <w:bottom w:val="none" w:sz="0" w:space="0" w:color="auto"/>
            <w:right w:val="none" w:sz="0" w:space="0" w:color="auto"/>
          </w:divBdr>
          <w:divsChild>
            <w:div w:id="214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908845">
      <w:bodyDiv w:val="1"/>
      <w:marLeft w:val="0"/>
      <w:marRight w:val="0"/>
      <w:marTop w:val="0"/>
      <w:marBottom w:val="0"/>
      <w:divBdr>
        <w:top w:val="none" w:sz="0" w:space="0" w:color="auto"/>
        <w:left w:val="none" w:sz="0" w:space="0" w:color="auto"/>
        <w:bottom w:val="none" w:sz="0" w:space="0" w:color="auto"/>
        <w:right w:val="none" w:sz="0" w:space="0" w:color="auto"/>
      </w:divBdr>
    </w:div>
    <w:div w:id="937832229">
      <w:bodyDiv w:val="1"/>
      <w:marLeft w:val="0"/>
      <w:marRight w:val="0"/>
      <w:marTop w:val="0"/>
      <w:marBottom w:val="0"/>
      <w:divBdr>
        <w:top w:val="none" w:sz="0" w:space="0" w:color="auto"/>
        <w:left w:val="none" w:sz="0" w:space="0" w:color="auto"/>
        <w:bottom w:val="none" w:sz="0" w:space="0" w:color="auto"/>
        <w:right w:val="none" w:sz="0" w:space="0" w:color="auto"/>
      </w:divBdr>
      <w:divsChild>
        <w:div w:id="508568827">
          <w:marLeft w:val="0"/>
          <w:marRight w:val="0"/>
          <w:marTop w:val="0"/>
          <w:marBottom w:val="0"/>
          <w:divBdr>
            <w:top w:val="none" w:sz="0" w:space="0" w:color="auto"/>
            <w:left w:val="none" w:sz="0" w:space="0" w:color="auto"/>
            <w:bottom w:val="none" w:sz="0" w:space="0" w:color="auto"/>
            <w:right w:val="none" w:sz="0" w:space="0" w:color="auto"/>
          </w:divBdr>
          <w:divsChild>
            <w:div w:id="15218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886524">
      <w:bodyDiv w:val="1"/>
      <w:marLeft w:val="0"/>
      <w:marRight w:val="0"/>
      <w:marTop w:val="0"/>
      <w:marBottom w:val="0"/>
      <w:divBdr>
        <w:top w:val="none" w:sz="0" w:space="0" w:color="auto"/>
        <w:left w:val="none" w:sz="0" w:space="0" w:color="auto"/>
        <w:bottom w:val="none" w:sz="0" w:space="0" w:color="auto"/>
        <w:right w:val="none" w:sz="0" w:space="0" w:color="auto"/>
      </w:divBdr>
      <w:divsChild>
        <w:div w:id="1670523215">
          <w:marLeft w:val="0"/>
          <w:marRight w:val="0"/>
          <w:marTop w:val="0"/>
          <w:marBottom w:val="0"/>
          <w:divBdr>
            <w:top w:val="none" w:sz="0" w:space="0" w:color="auto"/>
            <w:left w:val="none" w:sz="0" w:space="0" w:color="auto"/>
            <w:bottom w:val="none" w:sz="0" w:space="0" w:color="auto"/>
            <w:right w:val="none" w:sz="0" w:space="0" w:color="auto"/>
          </w:divBdr>
          <w:divsChild>
            <w:div w:id="30312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043220">
      <w:bodyDiv w:val="1"/>
      <w:marLeft w:val="0"/>
      <w:marRight w:val="0"/>
      <w:marTop w:val="0"/>
      <w:marBottom w:val="0"/>
      <w:divBdr>
        <w:top w:val="none" w:sz="0" w:space="0" w:color="auto"/>
        <w:left w:val="none" w:sz="0" w:space="0" w:color="auto"/>
        <w:bottom w:val="none" w:sz="0" w:space="0" w:color="auto"/>
        <w:right w:val="none" w:sz="0" w:space="0" w:color="auto"/>
      </w:divBdr>
    </w:div>
    <w:div w:id="1622226105">
      <w:bodyDiv w:val="1"/>
      <w:marLeft w:val="0"/>
      <w:marRight w:val="0"/>
      <w:marTop w:val="0"/>
      <w:marBottom w:val="0"/>
      <w:divBdr>
        <w:top w:val="none" w:sz="0" w:space="0" w:color="auto"/>
        <w:left w:val="none" w:sz="0" w:space="0" w:color="auto"/>
        <w:bottom w:val="none" w:sz="0" w:space="0" w:color="auto"/>
        <w:right w:val="none" w:sz="0" w:space="0" w:color="auto"/>
      </w:divBdr>
    </w:div>
    <w:div w:id="1666667210">
      <w:bodyDiv w:val="1"/>
      <w:marLeft w:val="0"/>
      <w:marRight w:val="0"/>
      <w:marTop w:val="0"/>
      <w:marBottom w:val="0"/>
      <w:divBdr>
        <w:top w:val="none" w:sz="0" w:space="0" w:color="auto"/>
        <w:left w:val="none" w:sz="0" w:space="0" w:color="auto"/>
        <w:bottom w:val="none" w:sz="0" w:space="0" w:color="auto"/>
        <w:right w:val="none" w:sz="0" w:space="0" w:color="auto"/>
      </w:divBdr>
    </w:div>
    <w:div w:id="1753357840">
      <w:bodyDiv w:val="1"/>
      <w:marLeft w:val="0"/>
      <w:marRight w:val="0"/>
      <w:marTop w:val="0"/>
      <w:marBottom w:val="0"/>
      <w:divBdr>
        <w:top w:val="none" w:sz="0" w:space="0" w:color="auto"/>
        <w:left w:val="none" w:sz="0" w:space="0" w:color="auto"/>
        <w:bottom w:val="none" w:sz="0" w:space="0" w:color="auto"/>
        <w:right w:val="none" w:sz="0" w:space="0" w:color="auto"/>
      </w:divBdr>
    </w:div>
    <w:div w:id="1830436870">
      <w:bodyDiv w:val="1"/>
      <w:marLeft w:val="0"/>
      <w:marRight w:val="0"/>
      <w:marTop w:val="0"/>
      <w:marBottom w:val="0"/>
      <w:divBdr>
        <w:top w:val="none" w:sz="0" w:space="0" w:color="auto"/>
        <w:left w:val="none" w:sz="0" w:space="0" w:color="auto"/>
        <w:bottom w:val="none" w:sz="0" w:space="0" w:color="auto"/>
        <w:right w:val="none" w:sz="0" w:space="0" w:color="auto"/>
      </w:divBdr>
      <w:divsChild>
        <w:div w:id="679282541">
          <w:marLeft w:val="0"/>
          <w:marRight w:val="0"/>
          <w:marTop w:val="0"/>
          <w:marBottom w:val="0"/>
          <w:divBdr>
            <w:top w:val="none" w:sz="0" w:space="0" w:color="auto"/>
            <w:left w:val="none" w:sz="0" w:space="0" w:color="auto"/>
            <w:bottom w:val="none" w:sz="0" w:space="0" w:color="auto"/>
            <w:right w:val="none" w:sz="0" w:space="0" w:color="auto"/>
          </w:divBdr>
          <w:divsChild>
            <w:div w:id="1161698364">
              <w:marLeft w:val="0"/>
              <w:marRight w:val="0"/>
              <w:marTop w:val="0"/>
              <w:marBottom w:val="0"/>
              <w:divBdr>
                <w:top w:val="none" w:sz="0" w:space="0" w:color="auto"/>
                <w:left w:val="none" w:sz="0" w:space="0" w:color="auto"/>
                <w:bottom w:val="none" w:sz="0" w:space="0" w:color="auto"/>
                <w:right w:val="none" w:sz="0" w:space="0" w:color="auto"/>
              </w:divBdr>
              <w:divsChild>
                <w:div w:id="1042291062">
                  <w:marLeft w:val="0"/>
                  <w:marRight w:val="0"/>
                  <w:marTop w:val="0"/>
                  <w:marBottom w:val="0"/>
                  <w:divBdr>
                    <w:top w:val="none" w:sz="0" w:space="0" w:color="auto"/>
                    <w:left w:val="none" w:sz="0" w:space="0" w:color="auto"/>
                    <w:bottom w:val="none" w:sz="0" w:space="0" w:color="auto"/>
                    <w:right w:val="none" w:sz="0" w:space="0" w:color="auto"/>
                  </w:divBdr>
                  <w:divsChild>
                    <w:div w:id="840312286">
                      <w:marLeft w:val="0"/>
                      <w:marRight w:val="0"/>
                      <w:marTop w:val="0"/>
                      <w:marBottom w:val="0"/>
                      <w:divBdr>
                        <w:top w:val="none" w:sz="0" w:space="0" w:color="auto"/>
                        <w:left w:val="none" w:sz="0" w:space="0" w:color="auto"/>
                        <w:bottom w:val="none" w:sz="0" w:space="0" w:color="auto"/>
                        <w:right w:val="none" w:sz="0" w:space="0" w:color="auto"/>
                      </w:divBdr>
                      <w:divsChild>
                        <w:div w:id="1680544300">
                          <w:marLeft w:val="0"/>
                          <w:marRight w:val="0"/>
                          <w:marTop w:val="0"/>
                          <w:marBottom w:val="0"/>
                          <w:divBdr>
                            <w:top w:val="none" w:sz="0" w:space="0" w:color="auto"/>
                            <w:left w:val="none" w:sz="0" w:space="0" w:color="auto"/>
                            <w:bottom w:val="none" w:sz="0" w:space="0" w:color="auto"/>
                            <w:right w:val="none" w:sz="0" w:space="0" w:color="auto"/>
                          </w:divBdr>
                          <w:divsChild>
                            <w:div w:id="37973973">
                              <w:marLeft w:val="0"/>
                              <w:marRight w:val="0"/>
                              <w:marTop w:val="0"/>
                              <w:marBottom w:val="0"/>
                              <w:divBdr>
                                <w:top w:val="none" w:sz="0" w:space="0" w:color="auto"/>
                                <w:left w:val="none" w:sz="0" w:space="0" w:color="auto"/>
                                <w:bottom w:val="none" w:sz="0" w:space="0" w:color="auto"/>
                                <w:right w:val="none" w:sz="0" w:space="0" w:color="auto"/>
                              </w:divBdr>
                              <w:divsChild>
                                <w:div w:id="679431383">
                                  <w:marLeft w:val="0"/>
                                  <w:marRight w:val="0"/>
                                  <w:marTop w:val="0"/>
                                  <w:marBottom w:val="0"/>
                                  <w:divBdr>
                                    <w:top w:val="none" w:sz="0" w:space="0" w:color="auto"/>
                                    <w:left w:val="none" w:sz="0" w:space="0" w:color="auto"/>
                                    <w:bottom w:val="none" w:sz="0" w:space="0" w:color="auto"/>
                                    <w:right w:val="none" w:sz="0" w:space="0" w:color="auto"/>
                                  </w:divBdr>
                                  <w:divsChild>
                                    <w:div w:id="197270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731278">
      <w:bodyDiv w:val="1"/>
      <w:marLeft w:val="0"/>
      <w:marRight w:val="0"/>
      <w:marTop w:val="0"/>
      <w:marBottom w:val="0"/>
      <w:divBdr>
        <w:top w:val="none" w:sz="0" w:space="0" w:color="auto"/>
        <w:left w:val="none" w:sz="0" w:space="0" w:color="auto"/>
        <w:bottom w:val="none" w:sz="0" w:space="0" w:color="auto"/>
        <w:right w:val="none" w:sz="0" w:space="0" w:color="auto"/>
      </w:divBdr>
      <w:divsChild>
        <w:div w:id="77556873">
          <w:marLeft w:val="0"/>
          <w:marRight w:val="0"/>
          <w:marTop w:val="0"/>
          <w:marBottom w:val="0"/>
          <w:divBdr>
            <w:top w:val="none" w:sz="0" w:space="0" w:color="auto"/>
            <w:left w:val="none" w:sz="0" w:space="0" w:color="auto"/>
            <w:bottom w:val="none" w:sz="0" w:space="0" w:color="auto"/>
            <w:right w:val="none" w:sz="0" w:space="0" w:color="auto"/>
          </w:divBdr>
          <w:divsChild>
            <w:div w:id="181063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S0140-6736(12)60240-2" TargetMode="External"/><Relationship Id="rId26" Type="http://schemas.openxmlformats.org/officeDocument/2006/relationships/hyperlink" Target="https://doi.org/10.1097/YCO.0000000000000574" TargetMode="External"/><Relationship Id="rId39" Type="http://schemas.openxmlformats.org/officeDocument/2006/relationships/footer" Target="footer1.xml"/><Relationship Id="rId21" Type="http://schemas.openxmlformats.org/officeDocument/2006/relationships/hyperlink" Target="https://www.diabetes.org.uk/about-us/about-the-charity/our-strategy/statistics/about-diabetes" TargetMode="External"/><Relationship Id="rId34" Type="http://schemas.openxmlformats.org/officeDocument/2006/relationships/hyperlink" Target="https://www.thelancet.com/journals/lanepe/article/PIIS2666-7762(25)00164-4/fulltex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337/dc25-S010" TargetMode="External"/><Relationship Id="rId20" Type="http://schemas.openxmlformats.org/officeDocument/2006/relationships/hyperlink" Target="https://www.nature.com/articles/s41572-026-00687-w" TargetMode="External"/><Relationship Id="rId29" Type="http://schemas.openxmlformats.org/officeDocument/2006/relationships/hyperlink" Target="https://www.england.nhs.uk/diabetes/diabetes-preventio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mj.com/content/368/bmj.m693" TargetMode="External"/><Relationship Id="rId32" Type="http://schemas.openxmlformats.org/officeDocument/2006/relationships/hyperlink" Target="https://banglajol.info/index.php/BJMED/article/view/78406" TargetMode="External"/><Relationship Id="rId37" Type="http://schemas.openxmlformats.org/officeDocument/2006/relationships/hyperlink" Target="https://www.thelancet.com/journals/lanepe/article/PIIS2666-7762(20)30023-5/fulltext"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geuk.org.uk/our-impact/policy-research/" TargetMode="External"/><Relationship Id="rId23" Type="http://schemas.openxmlformats.org/officeDocument/2006/relationships/hyperlink" Target="https://doi.org/10.21955/healthopenres.1115023.1" TargetMode="External"/><Relationship Id="rId28" Type="http://schemas.openxmlformats.org/officeDocument/2006/relationships/hyperlink" Target="https://www.thelancet.com/journals/eclinm/article/PIIS2589-5370(22)00310-8/fulltext" TargetMode="External"/><Relationship Id="rId36" Type="http://schemas.openxmlformats.org/officeDocument/2006/relationships/hyperlink" Target="https://academic.oup.com/eurheartj/article/42/34/3227/6358713" TargetMode="External"/><Relationship Id="rId10" Type="http://schemas.openxmlformats.org/officeDocument/2006/relationships/image" Target="media/image3.png"/><Relationship Id="rId19" Type="http://schemas.openxmlformats.org/officeDocument/2006/relationships/hyperlink" Target="https://www.taylorfrancis.com/chapters/oa-edit/10.4324/9781003481461-9/covid-19-feed-later-life-financial-vulnerability-uk-hilary-cooper" TargetMode="External"/><Relationship Id="rId31" Type="http://schemas.openxmlformats.org/officeDocument/2006/relationships/hyperlink" Target="https://www.ahajournals.org/doi/full/10.1161/CIR.000000000000141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cs.lib.purdue.edu/ugcw/7/" TargetMode="External"/><Relationship Id="rId22" Type="http://schemas.openxmlformats.org/officeDocument/2006/relationships/hyperlink" Target="https://diabetesatlas.org/" TargetMode="External"/><Relationship Id="rId27" Type="http://schemas.openxmlformats.org/officeDocument/2006/relationships/hyperlink" Target="https://doi.org/10.3389/frdem.2025.1719630" TargetMode="External"/><Relationship Id="rId30" Type="http://schemas.openxmlformats.org/officeDocument/2006/relationships/hyperlink" Target="https://doi.org/10.1136/bmj.p1073" TargetMode="External"/><Relationship Id="rId35" Type="http://schemas.openxmlformats.org/officeDocument/2006/relationships/hyperlink" Target="https://doi.org/10.1111/bjhp.12503"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grins.it/sites/default/files/2025-12/The_urgent_need_for_an_nhs_reform__adapting_to_overlooked_years_of_transformation_in_healthcare.pdf" TargetMode="External"/><Relationship Id="rId25" Type="http://schemas.openxmlformats.org/officeDocument/2006/relationships/hyperlink" Target="https://doi.org/10.3399/bjgp20X709253" TargetMode="External"/><Relationship Id="rId33" Type="http://schemas.openxmlformats.org/officeDocument/2006/relationships/hyperlink" Target="https://doi.org/10.1016/S2468-2667(19)30230-0" TargetMode="External"/><Relationship Id="rId38" Type="http://schemas.openxmlformats.org/officeDocument/2006/relationships/hyperlink" Target="https://www.who.int/news-room/fact-sheets/detail/ageing-and-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A616E-3C6D-45DE-9B68-EE7F761D8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4690</Words>
  <Characters>26737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Osagyefo Amoh</cp:lastModifiedBy>
  <cp:revision>6</cp:revision>
  <dcterms:created xsi:type="dcterms:W3CDTF">2026-07-20T04:40:00Z</dcterms:created>
  <dcterms:modified xsi:type="dcterms:W3CDTF">2026-07-20T04:43:00Z</dcterms:modified>
</cp:coreProperties>
</file>