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7705" w:rsidRPr="004D0065" w:rsidRDefault="00B355F7" w:rsidP="00CF7705">
      <w:pPr>
        <w:tabs>
          <w:tab w:val="right" w:pos="10567"/>
        </w:tabs>
        <w:spacing w:after="63"/>
        <w:rPr>
          <w:rFonts w:cs="Arial"/>
          <w:color w:val="000000" w:themeColor="text1"/>
          <w:lang w:val="en-GB"/>
        </w:rPr>
      </w:pPr>
      <w:r w:rsidRPr="004D0065">
        <w:rPr>
          <w:rFonts w:ascii="Times New Roman"/>
          <w:noProof/>
          <w:color w:val="000000" w:themeColor="text1"/>
          <w:sz w:val="20"/>
        </w:rPr>
        <w:drawing>
          <wp:inline distT="0" distB="0" distL="0" distR="0">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r w:rsidR="00CF7705" w:rsidRPr="004D0065">
        <w:rPr>
          <w:rFonts w:eastAsia="Arial" w:cs="Arial"/>
          <w:color w:val="000000" w:themeColor="text1"/>
          <w:sz w:val="20"/>
          <w:lang w:val="en-GB"/>
        </w:rPr>
        <w:tab/>
      </w:r>
    </w:p>
    <w:p w:rsidR="00CF7705" w:rsidRPr="004D0065" w:rsidRDefault="00CF7705" w:rsidP="00CF0BB7">
      <w:pPr>
        <w:spacing w:line="360" w:lineRule="auto"/>
        <w:rPr>
          <w:rFonts w:cs="Arial"/>
          <w:color w:val="000000" w:themeColor="text1"/>
          <w:sz w:val="24"/>
          <w:lang w:val="en-GB"/>
        </w:rPr>
      </w:pPr>
    </w:p>
    <w:p w:rsidR="00B355F7" w:rsidRPr="004D0065" w:rsidRDefault="00B355F7" w:rsidP="00E94422">
      <w:pPr>
        <w:jc w:val="center"/>
        <w:rPr>
          <w:b/>
          <w:bCs/>
          <w:i/>
          <w:iCs/>
          <w:color w:val="000000" w:themeColor="text1"/>
          <w:sz w:val="32"/>
          <w:szCs w:val="32"/>
        </w:rPr>
      </w:pPr>
    </w:p>
    <w:p w:rsidR="00B355F7" w:rsidRPr="004D0065" w:rsidRDefault="00B355F7" w:rsidP="00E94422">
      <w:pPr>
        <w:jc w:val="center"/>
        <w:rPr>
          <w:b/>
          <w:bCs/>
          <w:i/>
          <w:iCs/>
          <w:color w:val="000000" w:themeColor="text1"/>
          <w:sz w:val="32"/>
          <w:szCs w:val="32"/>
        </w:rPr>
      </w:pPr>
    </w:p>
    <w:p w:rsidR="00E94422" w:rsidRPr="004D0065" w:rsidRDefault="00E94422" w:rsidP="00E94422">
      <w:pPr>
        <w:jc w:val="center"/>
        <w:rPr>
          <w:rFonts w:eastAsia="Arial" w:cs="Arial"/>
          <w:b/>
          <w:i/>
          <w:iCs/>
          <w:color w:val="000000" w:themeColor="text1"/>
          <w:sz w:val="32"/>
          <w:szCs w:val="32"/>
          <w:lang w:val="en-GB"/>
        </w:rPr>
      </w:pPr>
      <w:r w:rsidRPr="004D0065">
        <w:rPr>
          <w:b/>
          <w:bCs/>
          <w:i/>
          <w:iCs/>
          <w:color w:val="000000" w:themeColor="text1"/>
          <w:sz w:val="32"/>
          <w:szCs w:val="32"/>
        </w:rPr>
        <w:t xml:space="preserve">Module: </w:t>
      </w:r>
      <w:r w:rsidRPr="004D0065">
        <w:rPr>
          <w:rFonts w:eastAsia="Arial" w:cs="Arial"/>
          <w:b/>
          <w:i/>
          <w:iCs/>
          <w:color w:val="000000" w:themeColor="text1"/>
          <w:sz w:val="32"/>
          <w:szCs w:val="32"/>
          <w:lang w:val="en-GB"/>
        </w:rPr>
        <w:t>Health Care System Organisation and Leadership</w:t>
      </w:r>
    </w:p>
    <w:p w:rsidR="00B355F7" w:rsidRPr="004D0065" w:rsidRDefault="00B355F7" w:rsidP="00E94422">
      <w:pPr>
        <w:jc w:val="center"/>
        <w:rPr>
          <w:rFonts w:cs="Arial"/>
          <w:i/>
          <w:iCs/>
          <w:color w:val="000000" w:themeColor="text1"/>
          <w:sz w:val="32"/>
          <w:szCs w:val="32"/>
          <w:lang w:val="en-GB"/>
        </w:rPr>
      </w:pPr>
    </w:p>
    <w:p w:rsidR="00B355F7" w:rsidRPr="004D0065" w:rsidRDefault="00E94422" w:rsidP="00E94422">
      <w:pPr>
        <w:spacing w:line="360" w:lineRule="auto"/>
        <w:jc w:val="center"/>
        <w:rPr>
          <w:b/>
          <w:bCs/>
          <w:i/>
          <w:iCs/>
          <w:color w:val="000000" w:themeColor="text1"/>
          <w:sz w:val="32"/>
          <w:szCs w:val="32"/>
        </w:rPr>
      </w:pPr>
      <w:r w:rsidRPr="004D0065">
        <w:rPr>
          <w:b/>
          <w:bCs/>
          <w:i/>
          <w:iCs/>
          <w:color w:val="000000" w:themeColor="text1"/>
          <w:sz w:val="32"/>
          <w:szCs w:val="32"/>
        </w:rPr>
        <w:t>Module code :  LCHS7002</w:t>
      </w:r>
    </w:p>
    <w:p w:rsidR="00E94422" w:rsidRPr="004D0065" w:rsidRDefault="00E94422" w:rsidP="00E94422">
      <w:pPr>
        <w:spacing w:line="360" w:lineRule="auto"/>
        <w:jc w:val="center"/>
        <w:rPr>
          <w:rFonts w:eastAsia="Arial" w:cs="Arial"/>
          <w:b/>
          <w:i/>
          <w:iCs/>
          <w:color w:val="000000" w:themeColor="text1"/>
          <w:sz w:val="32"/>
          <w:szCs w:val="32"/>
          <w:lang w:val="en-GB"/>
        </w:rPr>
      </w:pPr>
      <w:r w:rsidRPr="004D0065">
        <w:rPr>
          <w:b/>
          <w:bCs/>
          <w:i/>
          <w:iCs/>
          <w:color w:val="000000" w:themeColor="text1"/>
          <w:sz w:val="32"/>
          <w:szCs w:val="32"/>
        </w:rPr>
        <w:br/>
        <w:t xml:space="preserve">Assignment Title: </w:t>
      </w:r>
      <w:r w:rsidRPr="004D0065">
        <w:rPr>
          <w:rFonts w:eastAsia="Arial" w:cs="Arial"/>
          <w:b/>
          <w:i/>
          <w:iCs/>
          <w:color w:val="000000" w:themeColor="text1"/>
          <w:sz w:val="32"/>
          <w:szCs w:val="32"/>
          <w:lang w:val="en-GB"/>
        </w:rPr>
        <w:t>A Case Study Analysis of an Infant Morphine Overdose</w:t>
      </w:r>
    </w:p>
    <w:p w:rsidR="00B355F7" w:rsidRPr="004D0065" w:rsidRDefault="00B355F7" w:rsidP="00E94422">
      <w:pPr>
        <w:spacing w:line="360" w:lineRule="auto"/>
        <w:jc w:val="center"/>
        <w:rPr>
          <w:rFonts w:eastAsia="Arial" w:cs="Arial"/>
          <w:b/>
          <w:i/>
          <w:iCs/>
          <w:color w:val="000000" w:themeColor="text1"/>
          <w:sz w:val="32"/>
          <w:szCs w:val="32"/>
          <w:lang w:val="en-GB"/>
        </w:rPr>
      </w:pPr>
    </w:p>
    <w:p w:rsidR="00E94422" w:rsidRPr="004D0065" w:rsidRDefault="00E94422" w:rsidP="00E94422">
      <w:pPr>
        <w:jc w:val="center"/>
        <w:rPr>
          <w:b/>
          <w:bCs/>
          <w:i/>
          <w:iCs/>
          <w:color w:val="000000" w:themeColor="text1"/>
          <w:sz w:val="32"/>
          <w:szCs w:val="32"/>
        </w:rPr>
      </w:pPr>
      <w:r w:rsidRPr="004D0065">
        <w:rPr>
          <w:b/>
          <w:bCs/>
          <w:i/>
          <w:iCs/>
          <w:color w:val="000000" w:themeColor="text1"/>
          <w:sz w:val="32"/>
          <w:szCs w:val="32"/>
        </w:rPr>
        <w:t xml:space="preserve">Student Name: </w:t>
      </w:r>
      <w:r w:rsidRPr="004D0065">
        <w:rPr>
          <w:b/>
          <w:bCs/>
          <w:i/>
          <w:iCs/>
          <w:color w:val="000000" w:themeColor="text1"/>
          <w:sz w:val="32"/>
          <w:szCs w:val="32"/>
          <w:shd w:val="clear" w:color="auto" w:fill="FFFFFF"/>
        </w:rPr>
        <w:t>TUFEL TAJUDDIN ARAB</w:t>
      </w:r>
      <w:r w:rsidRPr="004D0065">
        <w:rPr>
          <w:b/>
          <w:bCs/>
          <w:i/>
          <w:iCs/>
          <w:color w:val="000000" w:themeColor="text1"/>
          <w:sz w:val="32"/>
          <w:szCs w:val="32"/>
          <w:shd w:val="clear" w:color="auto" w:fill="FFFFFF"/>
        </w:rPr>
        <w:br/>
      </w:r>
      <w:r w:rsidRPr="004D0065">
        <w:rPr>
          <w:b/>
          <w:bCs/>
          <w:i/>
          <w:iCs/>
          <w:color w:val="000000" w:themeColor="text1"/>
          <w:sz w:val="32"/>
          <w:szCs w:val="32"/>
          <w:shd w:val="clear" w:color="auto" w:fill="FFFFFF"/>
        </w:rPr>
        <w:br/>
        <w:t>Student ID:  2530247</w:t>
      </w:r>
      <w:r w:rsidRPr="004D0065">
        <w:rPr>
          <w:b/>
          <w:bCs/>
          <w:i/>
          <w:iCs/>
          <w:color w:val="000000" w:themeColor="text1"/>
          <w:sz w:val="32"/>
          <w:szCs w:val="32"/>
          <w:shd w:val="clear" w:color="auto" w:fill="FFFFFF"/>
        </w:rPr>
        <w:br/>
      </w:r>
      <w:r w:rsidRPr="004D0065">
        <w:rPr>
          <w:b/>
          <w:bCs/>
          <w:i/>
          <w:iCs/>
          <w:color w:val="000000" w:themeColor="text1"/>
          <w:sz w:val="32"/>
          <w:szCs w:val="32"/>
          <w:shd w:val="clear" w:color="auto" w:fill="FFFFFF"/>
        </w:rPr>
        <w:br/>
        <w:t>Lecturer Name:</w:t>
      </w:r>
      <w:r w:rsidR="00290A9E" w:rsidRPr="004D0065">
        <w:rPr>
          <w:b/>
          <w:bCs/>
          <w:i/>
          <w:iCs/>
          <w:color w:val="000000" w:themeColor="text1"/>
          <w:sz w:val="32"/>
          <w:szCs w:val="32"/>
          <w:shd w:val="clear" w:color="auto" w:fill="FFFFFF"/>
        </w:rPr>
        <w:t xml:space="preserve"> </w:t>
      </w:r>
      <w:r w:rsidRPr="004D0065">
        <w:rPr>
          <w:b/>
          <w:bCs/>
          <w:i/>
          <w:iCs/>
          <w:color w:val="000000" w:themeColor="text1"/>
          <w:sz w:val="32"/>
          <w:szCs w:val="32"/>
        </w:rPr>
        <w:t>Shaila Hussain Tonia Babalola</w:t>
      </w:r>
    </w:p>
    <w:p w:rsidR="00B355F7" w:rsidRPr="004D0065" w:rsidRDefault="00B355F7" w:rsidP="00E94422">
      <w:pPr>
        <w:jc w:val="center"/>
        <w:rPr>
          <w:b/>
          <w:bCs/>
          <w:i/>
          <w:iCs/>
          <w:color w:val="000000" w:themeColor="text1"/>
          <w:sz w:val="32"/>
          <w:szCs w:val="32"/>
        </w:rPr>
      </w:pPr>
    </w:p>
    <w:p w:rsidR="00CF7705" w:rsidRPr="004D0065" w:rsidRDefault="00CF7705" w:rsidP="00E94422">
      <w:pPr>
        <w:jc w:val="center"/>
        <w:rPr>
          <w:rFonts w:cs="Arial"/>
          <w:color w:val="000000" w:themeColor="text1"/>
          <w:sz w:val="24"/>
          <w:lang w:val="en-GB"/>
        </w:rPr>
      </w:pPr>
    </w:p>
    <w:p w:rsidR="00CF7705" w:rsidRPr="004D0065" w:rsidRDefault="00CF7705" w:rsidP="00CF0BB7">
      <w:pPr>
        <w:spacing w:line="360" w:lineRule="auto"/>
        <w:rPr>
          <w:rFonts w:cs="Arial"/>
          <w:color w:val="000000" w:themeColor="text1"/>
          <w:sz w:val="24"/>
          <w:lang w:val="en-GB"/>
        </w:rPr>
      </w:pPr>
    </w:p>
    <w:p w:rsidR="00CF7705" w:rsidRPr="004D0065" w:rsidRDefault="00CF7705" w:rsidP="00CF0BB7">
      <w:pPr>
        <w:spacing w:line="360" w:lineRule="auto"/>
        <w:rPr>
          <w:rFonts w:cs="Arial"/>
          <w:color w:val="000000" w:themeColor="text1"/>
          <w:sz w:val="24"/>
          <w:lang w:val="en-GB"/>
        </w:rPr>
      </w:pPr>
    </w:p>
    <w:p w:rsidR="00CF7705" w:rsidRPr="004D0065" w:rsidRDefault="00CF7705" w:rsidP="00CF0BB7">
      <w:pPr>
        <w:spacing w:line="360" w:lineRule="auto"/>
        <w:rPr>
          <w:rFonts w:cs="Arial"/>
          <w:color w:val="000000" w:themeColor="text1"/>
          <w:sz w:val="24"/>
          <w:lang w:val="en-GB"/>
        </w:rPr>
      </w:pPr>
    </w:p>
    <w:p w:rsidR="00CF7705" w:rsidRPr="004D0065" w:rsidRDefault="00CF7705" w:rsidP="00CF0BB7">
      <w:pPr>
        <w:spacing w:line="360" w:lineRule="auto"/>
        <w:rPr>
          <w:rFonts w:cs="Arial"/>
          <w:color w:val="000000" w:themeColor="text1"/>
          <w:sz w:val="24"/>
          <w:lang w:val="en-GB"/>
        </w:rPr>
      </w:pPr>
    </w:p>
    <w:p w:rsidR="00B355F7" w:rsidRPr="004D0065" w:rsidRDefault="00B355F7" w:rsidP="00B355F7">
      <w:pPr>
        <w:pStyle w:val="TOCHeading"/>
        <w:numPr>
          <w:ilvl w:val="0"/>
          <w:numId w:val="0"/>
        </w:numPr>
        <w:rPr>
          <w:rFonts w:cs="Arial"/>
          <w:color w:val="000000" w:themeColor="text1"/>
          <w:sz w:val="24"/>
          <w:lang w:val="en-GB"/>
        </w:rPr>
      </w:pPr>
    </w:p>
    <w:sdt>
      <w:sdtPr>
        <w:rPr>
          <w:color w:val="000000" w:themeColor="text1"/>
        </w:rPr>
        <w:id w:val="1905030419"/>
        <w:docPartObj>
          <w:docPartGallery w:val="Table of Contents"/>
          <w:docPartUnique/>
        </w:docPartObj>
      </w:sdtPr>
      <w:sdtEndPr>
        <w:rPr>
          <w:b/>
          <w:bCs/>
          <w:noProof/>
        </w:rPr>
      </w:sdtEndPr>
      <w:sdtContent>
        <w:p w:rsidR="00EE1EA4" w:rsidRPr="004D0065" w:rsidRDefault="00EE1EA4" w:rsidP="003468AB">
          <w:pPr>
            <w:jc w:val="center"/>
            <w:rPr>
              <w:color w:val="000000" w:themeColor="text1"/>
            </w:rPr>
          </w:pPr>
          <w:r w:rsidRPr="004D0065">
            <w:rPr>
              <w:b/>
              <w:color w:val="000000" w:themeColor="text1"/>
            </w:rPr>
            <w:t>Table of Contents</w:t>
          </w:r>
        </w:p>
        <w:p w:rsidR="00B355F7" w:rsidRPr="004D0065" w:rsidRDefault="00A2756A">
          <w:pPr>
            <w:pStyle w:val="TOC1"/>
            <w:tabs>
              <w:tab w:val="left" w:pos="440"/>
              <w:tab w:val="right" w:leader="dot" w:pos="9350"/>
            </w:tabs>
            <w:rPr>
              <w:rFonts w:asciiTheme="minorHAnsi" w:eastAsiaTheme="minorEastAsia" w:hAnsiTheme="minorHAnsi"/>
              <w:noProof/>
              <w:color w:val="000000" w:themeColor="text1"/>
              <w:lang w:val="en-GB" w:eastAsia="en-GB"/>
            </w:rPr>
          </w:pPr>
          <w:r w:rsidRPr="00A2756A">
            <w:rPr>
              <w:color w:val="000000" w:themeColor="text1"/>
            </w:rPr>
            <w:fldChar w:fldCharType="begin"/>
          </w:r>
          <w:r w:rsidR="00EE1EA4" w:rsidRPr="004D0065">
            <w:rPr>
              <w:color w:val="000000" w:themeColor="text1"/>
            </w:rPr>
            <w:instrText xml:space="preserve"> TOC \o "1-3" \h \z \u </w:instrText>
          </w:r>
          <w:r w:rsidRPr="00A2756A">
            <w:rPr>
              <w:color w:val="000000" w:themeColor="text1"/>
            </w:rPr>
            <w:fldChar w:fldCharType="separate"/>
          </w:r>
          <w:hyperlink w:anchor="_Toc225938357" w:history="1">
            <w:r w:rsidR="00B355F7" w:rsidRPr="004D0065">
              <w:rPr>
                <w:rStyle w:val="Hyperlink"/>
                <w:rFonts w:cs="Arial"/>
                <w:noProof/>
                <w:color w:val="000000" w:themeColor="text1"/>
                <w:lang w:val="en-GB"/>
              </w:rPr>
              <w:t>1.</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Introduction</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_Toc225938357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2</w:t>
            </w:r>
            <w:r w:rsidRPr="004D0065">
              <w:rPr>
                <w:noProof/>
                <w:webHidden/>
                <w:color w:val="000000" w:themeColor="text1"/>
              </w:rPr>
              <w:fldChar w:fldCharType="end"/>
            </w:r>
          </w:hyperlink>
        </w:p>
        <w:p w:rsidR="00B355F7" w:rsidRPr="004D0065" w:rsidRDefault="00A2756A">
          <w:pPr>
            <w:pStyle w:val="TOC1"/>
            <w:tabs>
              <w:tab w:val="left" w:pos="440"/>
              <w:tab w:val="right" w:leader="dot" w:pos="9350"/>
            </w:tabs>
            <w:rPr>
              <w:rFonts w:asciiTheme="minorHAnsi" w:eastAsiaTheme="minorEastAsia" w:hAnsiTheme="minorHAnsi"/>
              <w:noProof/>
              <w:color w:val="000000" w:themeColor="text1"/>
              <w:lang w:val="en-GB" w:eastAsia="en-GB"/>
            </w:rPr>
          </w:pPr>
          <w:hyperlink w:anchor="_Toc225938358" w:history="1">
            <w:r w:rsidR="00B355F7" w:rsidRPr="004D0065">
              <w:rPr>
                <w:rStyle w:val="Hyperlink"/>
                <w:rFonts w:cs="Arial"/>
                <w:noProof/>
                <w:color w:val="000000" w:themeColor="text1"/>
                <w:lang w:val="en-GB"/>
              </w:rPr>
              <w:t>2.</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Main Body</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_Toc225938358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2</w:t>
            </w:r>
            <w:r w:rsidRPr="004D0065">
              <w:rPr>
                <w:noProof/>
                <w:webHidden/>
                <w:color w:val="000000" w:themeColor="text1"/>
              </w:rPr>
              <w:fldChar w:fldCharType="end"/>
            </w:r>
          </w:hyperlink>
        </w:p>
        <w:p w:rsidR="00B355F7" w:rsidRPr="004D0065" w:rsidRDefault="00A2756A">
          <w:pPr>
            <w:pStyle w:val="TOC2"/>
            <w:tabs>
              <w:tab w:val="left" w:pos="880"/>
              <w:tab w:val="right" w:leader="dot" w:pos="9350"/>
            </w:tabs>
            <w:rPr>
              <w:rFonts w:asciiTheme="minorHAnsi" w:eastAsiaTheme="minorEastAsia" w:hAnsiTheme="minorHAnsi"/>
              <w:noProof/>
              <w:color w:val="000000" w:themeColor="text1"/>
              <w:lang w:val="en-GB" w:eastAsia="en-GB"/>
            </w:rPr>
          </w:pPr>
          <w:hyperlink w:anchor="_Toc225938359" w:history="1">
            <w:r w:rsidR="00B355F7" w:rsidRPr="004D0065">
              <w:rPr>
                <w:rStyle w:val="Hyperlink"/>
                <w:rFonts w:cs="Arial"/>
                <w:noProof/>
                <w:color w:val="000000" w:themeColor="text1"/>
                <w:lang w:val="en-GB"/>
              </w:rPr>
              <w:t>A.</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Identifying the Problem Using Systems Thinking</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_Toc225938359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3</w:t>
            </w:r>
            <w:r w:rsidRPr="004D0065">
              <w:rPr>
                <w:noProof/>
                <w:webHidden/>
                <w:color w:val="000000" w:themeColor="text1"/>
              </w:rPr>
              <w:fldChar w:fldCharType="end"/>
            </w:r>
          </w:hyperlink>
        </w:p>
        <w:p w:rsidR="00B355F7" w:rsidRPr="004D0065" w:rsidRDefault="00A2756A">
          <w:pPr>
            <w:pStyle w:val="TOC2"/>
            <w:tabs>
              <w:tab w:val="left" w:pos="880"/>
              <w:tab w:val="right" w:leader="dot" w:pos="9350"/>
            </w:tabs>
            <w:rPr>
              <w:rFonts w:asciiTheme="minorHAnsi" w:eastAsiaTheme="minorEastAsia" w:hAnsiTheme="minorHAnsi"/>
              <w:noProof/>
              <w:color w:val="000000" w:themeColor="text1"/>
              <w:lang w:val="en-GB" w:eastAsia="en-GB"/>
            </w:rPr>
          </w:pPr>
          <w:hyperlink w:anchor="_Toc225938360" w:history="1">
            <w:r w:rsidR="00B355F7" w:rsidRPr="004D0065">
              <w:rPr>
                <w:rStyle w:val="Hyperlink"/>
                <w:rFonts w:cs="Arial"/>
                <w:noProof/>
                <w:color w:val="000000" w:themeColor="text1"/>
                <w:lang w:val="en-GB"/>
              </w:rPr>
              <w:t>B.</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Centralisation vs Decentralisation</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_Toc225938360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8</w:t>
            </w:r>
            <w:r w:rsidRPr="004D0065">
              <w:rPr>
                <w:noProof/>
                <w:webHidden/>
                <w:color w:val="000000" w:themeColor="text1"/>
              </w:rPr>
              <w:fldChar w:fldCharType="end"/>
            </w:r>
          </w:hyperlink>
        </w:p>
        <w:p w:rsidR="00B355F7" w:rsidRPr="004D0065" w:rsidRDefault="00A2756A">
          <w:pPr>
            <w:pStyle w:val="TOC2"/>
            <w:tabs>
              <w:tab w:val="left" w:pos="880"/>
              <w:tab w:val="right" w:leader="dot" w:pos="9350"/>
            </w:tabs>
            <w:rPr>
              <w:rFonts w:asciiTheme="minorHAnsi" w:eastAsiaTheme="minorEastAsia" w:hAnsiTheme="minorHAnsi"/>
              <w:noProof/>
              <w:color w:val="000000" w:themeColor="text1"/>
              <w:lang w:val="en-GB" w:eastAsia="en-GB"/>
            </w:rPr>
          </w:pPr>
          <w:hyperlink w:anchor="_Toc225938361" w:history="1">
            <w:r w:rsidR="00B355F7" w:rsidRPr="004D0065">
              <w:rPr>
                <w:rStyle w:val="Hyperlink"/>
                <w:rFonts w:cs="Arial"/>
                <w:noProof/>
                <w:color w:val="000000" w:themeColor="text1"/>
                <w:lang w:val="en-GB"/>
              </w:rPr>
              <w:t>C.</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Leadership Theories</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_Toc225938361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10</w:t>
            </w:r>
            <w:r w:rsidRPr="004D0065">
              <w:rPr>
                <w:noProof/>
                <w:webHidden/>
                <w:color w:val="000000" w:themeColor="text1"/>
              </w:rPr>
              <w:fldChar w:fldCharType="end"/>
            </w:r>
          </w:hyperlink>
        </w:p>
        <w:p w:rsidR="00B355F7" w:rsidRPr="004D0065" w:rsidRDefault="00A2756A">
          <w:pPr>
            <w:pStyle w:val="TOC2"/>
            <w:tabs>
              <w:tab w:val="left" w:pos="880"/>
              <w:tab w:val="right" w:leader="dot" w:pos="9350"/>
            </w:tabs>
            <w:rPr>
              <w:rFonts w:asciiTheme="minorHAnsi" w:eastAsiaTheme="minorEastAsia" w:hAnsiTheme="minorHAnsi"/>
              <w:noProof/>
              <w:color w:val="000000" w:themeColor="text1"/>
              <w:lang w:val="en-GB" w:eastAsia="en-GB"/>
            </w:rPr>
          </w:pPr>
          <w:hyperlink w:anchor="_Toc225938362" w:history="1">
            <w:r w:rsidR="00B355F7" w:rsidRPr="004D0065">
              <w:rPr>
                <w:rStyle w:val="Hyperlink"/>
                <w:rFonts w:cs="Arial"/>
                <w:noProof/>
                <w:color w:val="000000" w:themeColor="text1"/>
                <w:lang w:val="en-GB"/>
              </w:rPr>
              <w:t>D.</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Improvements and Lessons Learned</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_Toc225938362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13</w:t>
            </w:r>
            <w:r w:rsidRPr="004D0065">
              <w:rPr>
                <w:noProof/>
                <w:webHidden/>
                <w:color w:val="000000" w:themeColor="text1"/>
              </w:rPr>
              <w:fldChar w:fldCharType="end"/>
            </w:r>
          </w:hyperlink>
        </w:p>
        <w:p w:rsidR="00B355F7" w:rsidRPr="004D0065" w:rsidRDefault="00A2756A">
          <w:pPr>
            <w:pStyle w:val="TOC1"/>
            <w:tabs>
              <w:tab w:val="left" w:pos="440"/>
              <w:tab w:val="right" w:leader="dot" w:pos="9350"/>
            </w:tabs>
            <w:rPr>
              <w:rFonts w:asciiTheme="minorHAnsi" w:eastAsiaTheme="minorEastAsia" w:hAnsiTheme="minorHAnsi"/>
              <w:noProof/>
              <w:color w:val="000000" w:themeColor="text1"/>
              <w:lang w:val="en-GB" w:eastAsia="en-GB"/>
            </w:rPr>
          </w:pPr>
          <w:hyperlink w:anchor="_Toc225938363" w:history="1">
            <w:r w:rsidR="00B355F7" w:rsidRPr="004D0065">
              <w:rPr>
                <w:rStyle w:val="Hyperlink"/>
                <w:rFonts w:cs="Arial"/>
                <w:noProof/>
                <w:color w:val="000000" w:themeColor="text1"/>
                <w:lang w:val="en-GB"/>
              </w:rPr>
              <w:t>3.</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Recommendations</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_Toc225938363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16</w:t>
            </w:r>
            <w:r w:rsidRPr="004D0065">
              <w:rPr>
                <w:noProof/>
                <w:webHidden/>
                <w:color w:val="000000" w:themeColor="text1"/>
              </w:rPr>
              <w:fldChar w:fldCharType="end"/>
            </w:r>
          </w:hyperlink>
        </w:p>
        <w:p w:rsidR="00B355F7" w:rsidRPr="004D0065" w:rsidRDefault="00A2756A">
          <w:pPr>
            <w:pStyle w:val="TOC1"/>
            <w:tabs>
              <w:tab w:val="left" w:pos="440"/>
              <w:tab w:val="right" w:leader="dot" w:pos="9350"/>
            </w:tabs>
            <w:rPr>
              <w:rFonts w:asciiTheme="minorHAnsi" w:eastAsiaTheme="minorEastAsia" w:hAnsiTheme="minorHAnsi"/>
              <w:noProof/>
              <w:color w:val="000000" w:themeColor="text1"/>
              <w:lang w:val="en-GB" w:eastAsia="en-GB"/>
            </w:rPr>
          </w:pPr>
          <w:hyperlink w:anchor="_Toc225938364" w:history="1">
            <w:r w:rsidR="00B355F7" w:rsidRPr="004D0065">
              <w:rPr>
                <w:rStyle w:val="Hyperlink"/>
                <w:rFonts w:cs="Arial"/>
                <w:noProof/>
                <w:color w:val="000000" w:themeColor="text1"/>
                <w:lang w:val="en-GB"/>
              </w:rPr>
              <w:t>4.</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Summary of Findings</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_Toc225938364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17</w:t>
            </w:r>
            <w:r w:rsidRPr="004D0065">
              <w:rPr>
                <w:noProof/>
                <w:webHidden/>
                <w:color w:val="000000" w:themeColor="text1"/>
              </w:rPr>
              <w:fldChar w:fldCharType="end"/>
            </w:r>
          </w:hyperlink>
        </w:p>
        <w:p w:rsidR="00B355F7" w:rsidRPr="004D0065" w:rsidRDefault="00A2756A">
          <w:pPr>
            <w:pStyle w:val="TOC1"/>
            <w:tabs>
              <w:tab w:val="left" w:pos="440"/>
              <w:tab w:val="right" w:leader="dot" w:pos="9350"/>
            </w:tabs>
            <w:rPr>
              <w:rFonts w:asciiTheme="minorHAnsi" w:eastAsiaTheme="minorEastAsia" w:hAnsiTheme="minorHAnsi"/>
              <w:noProof/>
              <w:color w:val="000000" w:themeColor="text1"/>
              <w:lang w:val="en-GB" w:eastAsia="en-GB"/>
            </w:rPr>
          </w:pPr>
          <w:hyperlink w:anchor="_Toc225938365" w:history="1">
            <w:r w:rsidR="00B355F7" w:rsidRPr="004D0065">
              <w:rPr>
                <w:rStyle w:val="Hyperlink"/>
                <w:rFonts w:cs="Arial"/>
                <w:noProof/>
                <w:color w:val="000000" w:themeColor="text1"/>
                <w:lang w:val="en-GB"/>
              </w:rPr>
              <w:t>5.</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Conclusion</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_Toc225938365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18</w:t>
            </w:r>
            <w:r w:rsidRPr="004D0065">
              <w:rPr>
                <w:noProof/>
                <w:webHidden/>
                <w:color w:val="000000" w:themeColor="text1"/>
              </w:rPr>
              <w:fldChar w:fldCharType="end"/>
            </w:r>
          </w:hyperlink>
        </w:p>
        <w:p w:rsidR="00B355F7" w:rsidRPr="004D0065" w:rsidRDefault="00A2756A">
          <w:pPr>
            <w:pStyle w:val="TOC1"/>
            <w:tabs>
              <w:tab w:val="left" w:pos="440"/>
              <w:tab w:val="right" w:leader="dot" w:pos="9350"/>
            </w:tabs>
            <w:rPr>
              <w:rFonts w:asciiTheme="minorHAnsi" w:eastAsiaTheme="minorEastAsia" w:hAnsiTheme="minorHAnsi"/>
              <w:noProof/>
              <w:color w:val="000000" w:themeColor="text1"/>
              <w:lang w:val="en-GB" w:eastAsia="en-GB"/>
            </w:rPr>
          </w:pPr>
          <w:hyperlink w:anchor="_Toc225938366" w:history="1">
            <w:r w:rsidR="00B355F7" w:rsidRPr="004D0065">
              <w:rPr>
                <w:rStyle w:val="Hyperlink"/>
                <w:rFonts w:cs="Arial"/>
                <w:noProof/>
                <w:color w:val="000000" w:themeColor="text1"/>
                <w:lang w:val="en-GB"/>
              </w:rPr>
              <w:t>6.</w:t>
            </w:r>
            <w:r w:rsidR="00B355F7" w:rsidRPr="004D0065">
              <w:rPr>
                <w:rFonts w:asciiTheme="minorHAnsi" w:eastAsiaTheme="minorEastAsia" w:hAnsiTheme="minorHAnsi"/>
                <w:noProof/>
                <w:color w:val="000000" w:themeColor="text1"/>
                <w:lang w:val="en-GB" w:eastAsia="en-GB"/>
              </w:rPr>
              <w:tab/>
            </w:r>
            <w:r w:rsidR="00B355F7" w:rsidRPr="004D0065">
              <w:rPr>
                <w:rStyle w:val="Hyperlink"/>
                <w:rFonts w:cs="Arial"/>
                <w:noProof/>
                <w:color w:val="000000" w:themeColor="text1"/>
                <w:lang w:val="en-GB"/>
              </w:rPr>
              <w:t>References</w:t>
            </w:r>
            <w:r w:rsidR="00B355F7" w:rsidRPr="004D0065">
              <w:rPr>
                <w:noProof/>
                <w:webHidden/>
                <w:color w:val="000000" w:themeColor="text1"/>
              </w:rPr>
              <w:tab/>
            </w:r>
            <w:r w:rsidRPr="004D0065">
              <w:rPr>
                <w:noProof/>
                <w:webHidden/>
                <w:color w:val="000000" w:themeColor="text1"/>
              </w:rPr>
              <w:fldChar w:fldCharType="begin"/>
            </w:r>
            <w:r w:rsidR="00B355F7" w:rsidRPr="004D0065">
              <w:rPr>
                <w:noProof/>
                <w:webHidden/>
                <w:color w:val="000000" w:themeColor="text1"/>
              </w:rPr>
              <w:instrText xml:space="preserve"> PAGEREF _Toc225938366 \h </w:instrText>
            </w:r>
            <w:r w:rsidRPr="004D0065">
              <w:rPr>
                <w:noProof/>
                <w:webHidden/>
                <w:color w:val="000000" w:themeColor="text1"/>
              </w:rPr>
            </w:r>
            <w:r w:rsidRPr="004D0065">
              <w:rPr>
                <w:noProof/>
                <w:webHidden/>
                <w:color w:val="000000" w:themeColor="text1"/>
              </w:rPr>
              <w:fldChar w:fldCharType="separate"/>
            </w:r>
            <w:r w:rsidR="0024283D">
              <w:rPr>
                <w:noProof/>
                <w:webHidden/>
                <w:color w:val="000000" w:themeColor="text1"/>
              </w:rPr>
              <w:t>19</w:t>
            </w:r>
            <w:r w:rsidRPr="004D0065">
              <w:rPr>
                <w:noProof/>
                <w:webHidden/>
                <w:color w:val="000000" w:themeColor="text1"/>
              </w:rPr>
              <w:fldChar w:fldCharType="end"/>
            </w:r>
          </w:hyperlink>
        </w:p>
        <w:p w:rsidR="00EE1EA4" w:rsidRPr="004D0065" w:rsidRDefault="00A2756A">
          <w:pPr>
            <w:rPr>
              <w:color w:val="000000" w:themeColor="text1"/>
            </w:rPr>
          </w:pPr>
          <w:r w:rsidRPr="004D0065">
            <w:rPr>
              <w:b/>
              <w:bCs/>
              <w:noProof/>
              <w:color w:val="000000" w:themeColor="text1"/>
            </w:rPr>
            <w:fldChar w:fldCharType="end"/>
          </w:r>
        </w:p>
      </w:sdtContent>
    </w:sdt>
    <w:p w:rsidR="000F2FD4" w:rsidRPr="004D0065" w:rsidRDefault="000F2FD4" w:rsidP="00CF0BB7">
      <w:pPr>
        <w:spacing w:line="360" w:lineRule="auto"/>
        <w:rPr>
          <w:rFonts w:cs="Arial"/>
          <w:color w:val="000000" w:themeColor="text1"/>
          <w:sz w:val="24"/>
          <w:lang w:val="en-GB"/>
        </w:rPr>
      </w:pPr>
    </w:p>
    <w:p w:rsidR="00E94422" w:rsidRPr="004D0065" w:rsidRDefault="00E94422" w:rsidP="00CF0BB7">
      <w:pPr>
        <w:spacing w:line="360" w:lineRule="auto"/>
        <w:rPr>
          <w:rFonts w:cs="Arial"/>
          <w:color w:val="000000" w:themeColor="text1"/>
          <w:sz w:val="24"/>
          <w:lang w:val="en-GB"/>
        </w:rPr>
      </w:pPr>
    </w:p>
    <w:p w:rsidR="000F2FD4" w:rsidRPr="004D0065" w:rsidRDefault="000F2FD4" w:rsidP="00CF0BB7">
      <w:pPr>
        <w:spacing w:line="360" w:lineRule="auto"/>
        <w:rPr>
          <w:rFonts w:cs="Arial"/>
          <w:color w:val="000000" w:themeColor="text1"/>
          <w:sz w:val="24"/>
          <w:lang w:val="en-GB"/>
        </w:rPr>
      </w:pPr>
    </w:p>
    <w:p w:rsidR="000F2FD4" w:rsidRPr="004D0065" w:rsidRDefault="000F2FD4" w:rsidP="00CF0BB7">
      <w:pPr>
        <w:spacing w:line="360" w:lineRule="auto"/>
        <w:rPr>
          <w:rFonts w:cs="Arial"/>
          <w:color w:val="000000" w:themeColor="text1"/>
          <w:sz w:val="24"/>
          <w:lang w:val="en-GB"/>
        </w:rPr>
      </w:pPr>
    </w:p>
    <w:p w:rsidR="000F2FD4" w:rsidRPr="004D0065" w:rsidRDefault="000F2FD4" w:rsidP="00CF0BB7">
      <w:pPr>
        <w:spacing w:line="360" w:lineRule="auto"/>
        <w:rPr>
          <w:rFonts w:cs="Arial"/>
          <w:color w:val="000000" w:themeColor="text1"/>
          <w:sz w:val="24"/>
          <w:lang w:val="en-GB"/>
        </w:rPr>
      </w:pPr>
    </w:p>
    <w:p w:rsidR="002024CC" w:rsidRPr="004D0065" w:rsidRDefault="002024CC" w:rsidP="00CF0BB7">
      <w:pPr>
        <w:spacing w:line="360" w:lineRule="auto"/>
        <w:rPr>
          <w:rFonts w:cs="Arial"/>
          <w:color w:val="000000" w:themeColor="text1"/>
          <w:sz w:val="24"/>
          <w:lang w:val="en-GB"/>
        </w:rPr>
      </w:pPr>
    </w:p>
    <w:p w:rsidR="002024CC" w:rsidRPr="004D0065" w:rsidRDefault="002024CC" w:rsidP="00CF0BB7">
      <w:pPr>
        <w:spacing w:line="360" w:lineRule="auto"/>
        <w:rPr>
          <w:rFonts w:cs="Arial"/>
          <w:color w:val="000000" w:themeColor="text1"/>
          <w:sz w:val="24"/>
          <w:lang w:val="en-GB"/>
        </w:rPr>
      </w:pPr>
    </w:p>
    <w:p w:rsidR="002024CC" w:rsidRPr="004D0065" w:rsidRDefault="002024CC" w:rsidP="00CF0BB7">
      <w:pPr>
        <w:spacing w:line="360" w:lineRule="auto"/>
        <w:rPr>
          <w:rFonts w:cs="Arial"/>
          <w:color w:val="000000" w:themeColor="text1"/>
          <w:sz w:val="24"/>
          <w:lang w:val="en-GB"/>
        </w:rPr>
      </w:pPr>
    </w:p>
    <w:p w:rsidR="000F2FD4" w:rsidRPr="004D0065" w:rsidRDefault="000F2FD4" w:rsidP="00CF0BB7">
      <w:pPr>
        <w:spacing w:line="360" w:lineRule="auto"/>
        <w:rPr>
          <w:rFonts w:cs="Arial"/>
          <w:color w:val="000000" w:themeColor="text1"/>
          <w:sz w:val="24"/>
          <w:lang w:val="en-GB"/>
        </w:rPr>
      </w:pPr>
    </w:p>
    <w:p w:rsidR="000F2FD4" w:rsidRPr="004D0065" w:rsidRDefault="000F2FD4" w:rsidP="00CF0BB7">
      <w:pPr>
        <w:spacing w:line="360" w:lineRule="auto"/>
        <w:rPr>
          <w:rFonts w:cs="Arial"/>
          <w:color w:val="000000" w:themeColor="text1"/>
          <w:sz w:val="24"/>
          <w:lang w:val="en-GB"/>
        </w:rPr>
      </w:pPr>
    </w:p>
    <w:p w:rsidR="00092D66" w:rsidRPr="004D0065" w:rsidRDefault="00092D66" w:rsidP="00CF0BB7">
      <w:pPr>
        <w:spacing w:line="360" w:lineRule="auto"/>
        <w:rPr>
          <w:rFonts w:cs="Arial"/>
          <w:color w:val="000000" w:themeColor="text1"/>
          <w:sz w:val="24"/>
          <w:lang w:val="en-GB"/>
        </w:rPr>
      </w:pPr>
    </w:p>
    <w:p w:rsidR="00092D66" w:rsidRPr="004D0065" w:rsidRDefault="00092D66" w:rsidP="00CF0BB7">
      <w:pPr>
        <w:spacing w:line="360" w:lineRule="auto"/>
        <w:rPr>
          <w:rFonts w:cs="Arial"/>
          <w:color w:val="000000" w:themeColor="text1"/>
          <w:sz w:val="24"/>
          <w:lang w:val="en-GB"/>
        </w:rPr>
      </w:pPr>
    </w:p>
    <w:p w:rsidR="00092D66" w:rsidRPr="004D0065" w:rsidRDefault="00092D66" w:rsidP="00CF0BB7">
      <w:pPr>
        <w:spacing w:line="360" w:lineRule="auto"/>
        <w:rPr>
          <w:rFonts w:cs="Arial"/>
          <w:color w:val="000000" w:themeColor="text1"/>
          <w:sz w:val="24"/>
          <w:lang w:val="en-GB"/>
        </w:rPr>
      </w:pPr>
    </w:p>
    <w:p w:rsidR="005C74BC" w:rsidRPr="004D0065" w:rsidRDefault="005C74BC">
      <w:pPr>
        <w:rPr>
          <w:rFonts w:cs="Arial"/>
          <w:b/>
          <w:color w:val="000000" w:themeColor="text1"/>
          <w:sz w:val="28"/>
          <w:szCs w:val="28"/>
          <w:lang w:val="en-GB"/>
        </w:rPr>
      </w:pPr>
      <w:r w:rsidRPr="004D0065">
        <w:rPr>
          <w:rFonts w:cs="Arial"/>
          <w:color w:val="000000" w:themeColor="text1"/>
          <w:lang w:val="en-GB"/>
        </w:rPr>
        <w:br w:type="page"/>
      </w:r>
    </w:p>
    <w:p w:rsidR="000F2FD4" w:rsidRPr="004D0065" w:rsidRDefault="000F2FD4" w:rsidP="00101D91">
      <w:pPr>
        <w:pStyle w:val="Heading1"/>
        <w:rPr>
          <w:rFonts w:ascii="Arial" w:hAnsi="Arial" w:cs="Arial"/>
          <w:color w:val="000000" w:themeColor="text1"/>
          <w:lang w:val="en-GB"/>
        </w:rPr>
      </w:pPr>
      <w:bookmarkStart w:id="0" w:name="_Toc225938357"/>
      <w:r w:rsidRPr="004D0065">
        <w:rPr>
          <w:rFonts w:ascii="Arial" w:hAnsi="Arial" w:cs="Arial"/>
          <w:color w:val="000000" w:themeColor="text1"/>
          <w:lang w:val="en-GB"/>
        </w:rPr>
        <w:lastRenderedPageBreak/>
        <w:t>Introduction</w:t>
      </w:r>
      <w:bookmarkEnd w:id="0"/>
    </w:p>
    <w:p w:rsidR="000F2FD4" w:rsidRPr="004D0065" w:rsidRDefault="000F2FD4" w:rsidP="00CF0BB7">
      <w:pPr>
        <w:spacing w:line="360" w:lineRule="auto"/>
        <w:rPr>
          <w:rFonts w:cs="Arial"/>
          <w:color w:val="000000" w:themeColor="text1"/>
          <w:lang w:val="en-GB"/>
        </w:rPr>
      </w:pPr>
      <w:r w:rsidRPr="004D0065">
        <w:rPr>
          <w:rFonts w:cs="Arial"/>
          <w:color w:val="000000" w:themeColor="text1"/>
          <w:lang w:val="en-GB"/>
        </w:rPr>
        <w:t xml:space="preserve">Patient safety remains one of the primary concerns of modern health and social care, where leaders, governing policies, and communication have become essential to high-quality care delivery and harm </w:t>
      </w:r>
      <w:r w:rsidR="00290A9E" w:rsidRPr="004D0065">
        <w:rPr>
          <w:rFonts w:cs="Arial"/>
          <w:color w:val="000000" w:themeColor="text1"/>
          <w:lang w:val="en-GB"/>
        </w:rPr>
        <w:t>prevention</w:t>
      </w:r>
      <w:r w:rsidR="009231B1" w:rsidRPr="004D0065">
        <w:rPr>
          <w:rFonts w:cs="Arial"/>
          <w:color w:val="000000" w:themeColor="text1"/>
          <w:lang w:val="en-GB"/>
        </w:rPr>
        <w:t xml:space="preserve"> </w:t>
      </w:r>
      <w:sdt>
        <w:sdtPr>
          <w:rPr>
            <w:rFonts w:cs="Arial"/>
            <w:color w:val="000000" w:themeColor="text1"/>
            <w:lang w:val="en-GB"/>
          </w:rPr>
          <w:id w:val="-834996254"/>
          <w:citation/>
        </w:sdtPr>
        <w:sdtContent>
          <w:r w:rsidR="00A2756A" w:rsidRPr="004D0065">
            <w:rPr>
              <w:rFonts w:cs="Arial"/>
              <w:color w:val="000000" w:themeColor="text1"/>
              <w:lang w:val="en-GB"/>
            </w:rPr>
            <w:fldChar w:fldCharType="begin"/>
          </w:r>
          <w:r w:rsidR="009231B1" w:rsidRPr="004D0065">
            <w:rPr>
              <w:rFonts w:cs="Arial"/>
              <w:color w:val="000000" w:themeColor="text1"/>
              <w:lang w:val="en-GB"/>
            </w:rPr>
            <w:instrText xml:space="preserve"> CITATION Rod241 \l 1033 </w:instrText>
          </w:r>
          <w:r w:rsidR="00A2756A" w:rsidRPr="004D0065">
            <w:rPr>
              <w:rFonts w:cs="Arial"/>
              <w:color w:val="000000" w:themeColor="text1"/>
              <w:lang w:val="en-GB"/>
            </w:rPr>
            <w:fldChar w:fldCharType="separate"/>
          </w:r>
          <w:r w:rsidR="009231B1" w:rsidRPr="004D0065">
            <w:rPr>
              <w:rFonts w:cs="Arial"/>
              <w:noProof/>
              <w:color w:val="000000" w:themeColor="text1"/>
              <w:lang w:val="en-GB"/>
            </w:rPr>
            <w:t>(Rodziewicz et al., 2024)</w:t>
          </w:r>
          <w:r w:rsidR="00A2756A" w:rsidRPr="004D0065">
            <w:rPr>
              <w:rFonts w:cs="Arial"/>
              <w:color w:val="000000" w:themeColor="text1"/>
              <w:lang w:val="en-GB"/>
            </w:rPr>
            <w:fldChar w:fldCharType="end"/>
          </w:r>
        </w:sdtContent>
      </w:sdt>
      <w:r w:rsidRPr="004D0065">
        <w:rPr>
          <w:rFonts w:cs="Arial"/>
          <w:color w:val="000000" w:themeColor="text1"/>
          <w:lang w:val="en-GB"/>
        </w:rPr>
        <w:t xml:space="preserve">. Based on this, systems thinking provides a useful framework </w:t>
      </w:r>
      <w:r w:rsidR="00290A9E" w:rsidRPr="004D0065">
        <w:rPr>
          <w:rFonts w:cs="Arial"/>
          <w:color w:val="000000" w:themeColor="text1"/>
          <w:lang w:val="en-GB"/>
        </w:rPr>
        <w:t>for</w:t>
      </w:r>
      <w:r w:rsidRPr="004D0065">
        <w:rPr>
          <w:rFonts w:cs="Arial"/>
          <w:color w:val="000000" w:themeColor="text1"/>
          <w:lang w:val="en-GB"/>
        </w:rPr>
        <w:t xml:space="preserve"> analytical studies of healthcare incidents through the interactions between individuals, organisations</w:t>
      </w:r>
      <w:r w:rsidR="00290A9E" w:rsidRPr="004D0065">
        <w:rPr>
          <w:rFonts w:cs="Arial"/>
          <w:color w:val="000000" w:themeColor="text1"/>
          <w:lang w:val="en-GB"/>
        </w:rPr>
        <w:t>,</w:t>
      </w:r>
      <w:r w:rsidRPr="004D0065">
        <w:rPr>
          <w:rFonts w:cs="Arial"/>
          <w:color w:val="000000" w:themeColor="text1"/>
          <w:lang w:val="en-GB"/>
        </w:rPr>
        <w:t xml:space="preserve"> and policies</w:t>
      </w:r>
      <w:r w:rsidR="00290A9E" w:rsidRPr="004D0065">
        <w:rPr>
          <w:rFonts w:cs="Arial"/>
          <w:color w:val="000000" w:themeColor="text1"/>
          <w:lang w:val="en-GB"/>
        </w:rPr>
        <w:t>,</w:t>
      </w:r>
      <w:r w:rsidRPr="004D0065">
        <w:rPr>
          <w:rFonts w:cs="Arial"/>
          <w:color w:val="000000" w:themeColor="text1"/>
          <w:lang w:val="en-GB"/>
        </w:rPr>
        <w:t xml:space="preserve"> and how these interactions contribute to the outcomes</w:t>
      </w:r>
      <w:r w:rsidR="003468AB" w:rsidRPr="004D0065">
        <w:rPr>
          <w:rFonts w:cs="Arial"/>
          <w:color w:val="000000" w:themeColor="text1"/>
          <w:lang w:val="en-GB"/>
        </w:rPr>
        <w:t xml:space="preserve"> </w:t>
      </w:r>
      <w:sdt>
        <w:sdtPr>
          <w:rPr>
            <w:rFonts w:cs="Arial"/>
            <w:color w:val="000000" w:themeColor="text1"/>
            <w:lang w:val="en-GB"/>
          </w:rPr>
          <w:id w:val="330504552"/>
          <w:citation/>
        </w:sdtPr>
        <w:sdtContent>
          <w:r w:rsidR="00A2756A" w:rsidRPr="004D0065">
            <w:rPr>
              <w:rFonts w:cs="Arial"/>
              <w:color w:val="000000" w:themeColor="text1"/>
              <w:lang w:val="en-GB"/>
            </w:rPr>
            <w:fldChar w:fldCharType="begin"/>
          </w:r>
          <w:r w:rsidR="009231B1" w:rsidRPr="004D0065">
            <w:rPr>
              <w:rFonts w:cs="Arial"/>
              <w:color w:val="000000" w:themeColor="text1"/>
              <w:lang w:val="en-GB"/>
            </w:rPr>
            <w:instrText xml:space="preserve"> CITATION Lia24 \l 1033 </w:instrText>
          </w:r>
          <w:r w:rsidR="00A2756A" w:rsidRPr="004D0065">
            <w:rPr>
              <w:rFonts w:cs="Arial"/>
              <w:color w:val="000000" w:themeColor="text1"/>
              <w:lang w:val="en-GB"/>
            </w:rPr>
            <w:fldChar w:fldCharType="separate"/>
          </w:r>
          <w:r w:rsidR="009231B1" w:rsidRPr="004D0065">
            <w:rPr>
              <w:rFonts w:cs="Arial"/>
              <w:noProof/>
              <w:color w:val="000000" w:themeColor="text1"/>
              <w:lang w:val="en-GB"/>
            </w:rPr>
            <w:t>(Liang et al., 2024)</w:t>
          </w:r>
          <w:r w:rsidR="00A2756A" w:rsidRPr="004D0065">
            <w:rPr>
              <w:rFonts w:cs="Arial"/>
              <w:color w:val="000000" w:themeColor="text1"/>
              <w:lang w:val="en-GB"/>
            </w:rPr>
            <w:fldChar w:fldCharType="end"/>
          </w:r>
        </w:sdtContent>
      </w:sdt>
      <w:r w:rsidR="00290A9E" w:rsidRPr="004D0065">
        <w:rPr>
          <w:rFonts w:cs="Arial"/>
          <w:color w:val="000000" w:themeColor="text1"/>
          <w:lang w:val="en-GB"/>
        </w:rPr>
        <w:t>.</w:t>
      </w:r>
    </w:p>
    <w:p w:rsidR="000F2FD4" w:rsidRPr="004D0065" w:rsidRDefault="000F2FD4" w:rsidP="00CF0BB7">
      <w:pPr>
        <w:spacing w:line="360" w:lineRule="auto"/>
        <w:rPr>
          <w:rFonts w:cs="Arial"/>
          <w:color w:val="000000" w:themeColor="text1"/>
          <w:lang w:val="en-GB"/>
        </w:rPr>
      </w:pPr>
      <w:r w:rsidRPr="004D0065">
        <w:rPr>
          <w:rFonts w:cs="Arial"/>
          <w:color w:val="000000" w:themeColor="text1"/>
          <w:lang w:val="en-GB"/>
        </w:rPr>
        <w:t>The report examines a critical patient safety case of a four-week-old baby, who was administered a morphine dose of about twenty times more than the recommended dose after an error in prescription and dispensing in the healthcare system. The overdosing came about due to the misunderstanding of two different concentrations of morphine sulphate oral solution, highlighting lack of effectiveness in communication, medication management</w:t>
      </w:r>
      <w:r w:rsidR="00290A9E" w:rsidRPr="004D0065">
        <w:rPr>
          <w:rFonts w:cs="Arial"/>
          <w:color w:val="000000" w:themeColor="text1"/>
          <w:lang w:val="en-GB"/>
        </w:rPr>
        <w:t>,</w:t>
      </w:r>
      <w:r w:rsidRPr="004D0065">
        <w:rPr>
          <w:rFonts w:cs="Arial"/>
          <w:color w:val="000000" w:themeColor="text1"/>
          <w:lang w:val="en-GB"/>
        </w:rPr>
        <w:t xml:space="preserve"> and clinical supervision at various levels of care. Even though the baby survived follow-up emergency care, the incident revealed the immense weakness in medication </w:t>
      </w:r>
      <w:r w:rsidR="00290A9E" w:rsidRPr="004D0065">
        <w:rPr>
          <w:rFonts w:cs="Arial"/>
          <w:color w:val="000000" w:themeColor="text1"/>
          <w:lang w:val="en-GB"/>
        </w:rPr>
        <w:t>management</w:t>
      </w:r>
      <w:r w:rsidRPr="004D0065">
        <w:rPr>
          <w:rFonts w:cs="Arial"/>
          <w:color w:val="000000" w:themeColor="text1"/>
          <w:lang w:val="en-GB"/>
        </w:rPr>
        <w:t xml:space="preserve"> systems, as well as communication between hospital services, general practitioners</w:t>
      </w:r>
      <w:r w:rsidR="00290A9E" w:rsidRPr="004D0065">
        <w:rPr>
          <w:rFonts w:cs="Arial"/>
          <w:color w:val="000000" w:themeColor="text1"/>
          <w:lang w:val="en-GB"/>
        </w:rPr>
        <w:t>,</w:t>
      </w:r>
      <w:r w:rsidRPr="004D0065">
        <w:rPr>
          <w:rFonts w:cs="Arial"/>
          <w:color w:val="000000" w:themeColor="text1"/>
          <w:lang w:val="en-GB"/>
        </w:rPr>
        <w:t xml:space="preserve"> and community pharmacies. These cases are indicative of the need to ensure that healthcare organisations constantly review their systems, leadership models, and governance framewor</w:t>
      </w:r>
      <w:r w:rsidR="00F32D77" w:rsidRPr="004D0065">
        <w:rPr>
          <w:rFonts w:cs="Arial"/>
          <w:color w:val="000000" w:themeColor="text1"/>
          <w:lang w:val="en-GB"/>
        </w:rPr>
        <w:t>ks to address avoidable damage.</w:t>
      </w:r>
      <w:sdt>
        <w:sdtPr>
          <w:rPr>
            <w:rFonts w:cs="Arial"/>
            <w:color w:val="000000" w:themeColor="text1"/>
            <w:lang w:val="en-GB"/>
          </w:rPr>
          <w:id w:val="1878738333"/>
          <w:citation/>
        </w:sdtPr>
        <w:sdtContent>
          <w:r w:rsidR="00A2756A" w:rsidRPr="004D0065">
            <w:rPr>
              <w:rFonts w:cs="Arial"/>
              <w:color w:val="000000" w:themeColor="text1"/>
              <w:lang w:val="en-GB"/>
            </w:rPr>
            <w:fldChar w:fldCharType="begin"/>
          </w:r>
          <w:r w:rsidR="009231B1" w:rsidRPr="004D0065">
            <w:rPr>
              <w:rFonts w:cs="Arial"/>
              <w:color w:val="000000" w:themeColor="text1"/>
              <w:lang w:val="en-GB"/>
            </w:rPr>
            <w:instrText xml:space="preserve"> CITATION Alt25 \l 1033 </w:instrText>
          </w:r>
          <w:r w:rsidR="00A2756A" w:rsidRPr="004D0065">
            <w:rPr>
              <w:rFonts w:cs="Arial"/>
              <w:color w:val="000000" w:themeColor="text1"/>
              <w:lang w:val="en-GB"/>
            </w:rPr>
            <w:fldChar w:fldCharType="separate"/>
          </w:r>
          <w:r w:rsidR="009231B1" w:rsidRPr="004D0065">
            <w:rPr>
              <w:rFonts w:cs="Arial"/>
              <w:noProof/>
              <w:color w:val="000000" w:themeColor="text1"/>
              <w:lang w:val="en-GB"/>
            </w:rPr>
            <w:t>(Althobaiti and Alshammari, 2025)</w:t>
          </w:r>
          <w:r w:rsidR="00A2756A" w:rsidRPr="004D0065">
            <w:rPr>
              <w:rFonts w:cs="Arial"/>
              <w:color w:val="000000" w:themeColor="text1"/>
              <w:lang w:val="en-GB"/>
            </w:rPr>
            <w:fldChar w:fldCharType="end"/>
          </w:r>
        </w:sdtContent>
      </w:sdt>
      <w:r w:rsidR="00EE182A" w:rsidRPr="004D0065">
        <w:rPr>
          <w:rFonts w:cs="Arial"/>
          <w:color w:val="000000" w:themeColor="text1"/>
          <w:lang w:val="en-GB"/>
        </w:rPr>
        <w:t xml:space="preserve">. </w:t>
      </w:r>
      <w:r w:rsidR="00B65022" w:rsidRPr="004D0065">
        <w:rPr>
          <w:rFonts w:cs="Arial"/>
          <w:color w:val="000000" w:themeColor="text1"/>
          <w:lang w:val="en-GB"/>
        </w:rPr>
        <w:t>Furthermore</w:t>
      </w:r>
      <w:r w:rsidR="00290A9E" w:rsidRPr="004D0065">
        <w:rPr>
          <w:rFonts w:cs="Arial"/>
          <w:color w:val="000000" w:themeColor="text1"/>
          <w:lang w:val="en-GB"/>
        </w:rPr>
        <w:t>,</w:t>
      </w:r>
      <w:r w:rsidRPr="004D0065">
        <w:rPr>
          <w:rFonts w:cs="Arial"/>
          <w:color w:val="000000" w:themeColor="text1"/>
          <w:lang w:val="en-GB"/>
        </w:rPr>
        <w:t xml:space="preserve"> the leadership strategies</w:t>
      </w:r>
      <w:r w:rsidR="00290A9E" w:rsidRPr="004D0065">
        <w:rPr>
          <w:rFonts w:cs="Arial"/>
          <w:color w:val="000000" w:themeColor="text1"/>
          <w:lang w:val="en-GB"/>
        </w:rPr>
        <w:t>,</w:t>
      </w:r>
      <w:r w:rsidRPr="004D0065">
        <w:rPr>
          <w:rFonts w:cs="Arial"/>
          <w:color w:val="000000" w:themeColor="text1"/>
          <w:lang w:val="en-GB"/>
        </w:rPr>
        <w:t xml:space="preserve"> such as transformational, transactional, and situational leadership, are considered to ascertain the role of the leadership behaviours in alleviating or increasing the extent of systemic risks</w:t>
      </w:r>
      <w:sdt>
        <w:sdtPr>
          <w:rPr>
            <w:rFonts w:cs="Arial"/>
            <w:color w:val="000000" w:themeColor="text1"/>
            <w:lang w:val="en-GB"/>
          </w:rPr>
          <w:id w:val="896021952"/>
          <w:citation/>
        </w:sdtPr>
        <w:sdtContent>
          <w:r w:rsidR="00A2756A" w:rsidRPr="004D0065">
            <w:rPr>
              <w:rFonts w:cs="Arial"/>
              <w:color w:val="000000" w:themeColor="text1"/>
              <w:lang w:val="en-GB"/>
            </w:rPr>
            <w:fldChar w:fldCharType="begin"/>
          </w:r>
          <w:r w:rsidR="009231B1" w:rsidRPr="004D0065">
            <w:rPr>
              <w:rFonts w:cs="Arial"/>
              <w:color w:val="000000" w:themeColor="text1"/>
              <w:lang w:val="en-GB"/>
            </w:rPr>
            <w:instrText xml:space="preserve"> CITATION Dir26 \l 1033 </w:instrText>
          </w:r>
          <w:r w:rsidR="00A2756A" w:rsidRPr="004D0065">
            <w:rPr>
              <w:rFonts w:cs="Arial"/>
              <w:color w:val="000000" w:themeColor="text1"/>
              <w:lang w:val="en-GB"/>
            </w:rPr>
            <w:fldChar w:fldCharType="separate"/>
          </w:r>
          <w:r w:rsidR="009231B1" w:rsidRPr="004D0065">
            <w:rPr>
              <w:rFonts w:cs="Arial"/>
              <w:noProof/>
              <w:color w:val="000000" w:themeColor="text1"/>
              <w:lang w:val="en-GB"/>
            </w:rPr>
            <w:t>(Dirik et al., 2026)</w:t>
          </w:r>
          <w:r w:rsidR="00A2756A" w:rsidRPr="004D0065">
            <w:rPr>
              <w:rFonts w:cs="Arial"/>
              <w:color w:val="000000" w:themeColor="text1"/>
              <w:lang w:val="en-GB"/>
            </w:rPr>
            <w:fldChar w:fldCharType="end"/>
          </w:r>
        </w:sdtContent>
      </w:sdt>
      <w:r w:rsidRPr="004D0065">
        <w:rPr>
          <w:rFonts w:cs="Arial"/>
          <w:color w:val="000000" w:themeColor="text1"/>
          <w:lang w:val="en-GB"/>
        </w:rPr>
        <w:t xml:space="preserve">. </w:t>
      </w:r>
      <w:r w:rsidR="00B65022" w:rsidRPr="004D0065">
        <w:rPr>
          <w:rFonts w:cs="Arial"/>
          <w:color w:val="000000" w:themeColor="text1"/>
          <w:lang w:val="en-GB"/>
        </w:rPr>
        <w:t>Transformational leadership has been considered as most influential leadership style that primarily focused on motivating and inspiring the employees to meet the long-term business succession. On the other ha</w:t>
      </w:r>
      <w:r w:rsidR="00C256B6" w:rsidRPr="004D0065">
        <w:rPr>
          <w:rFonts w:cs="Arial"/>
          <w:color w:val="000000" w:themeColor="text1"/>
          <w:lang w:val="en-GB"/>
        </w:rPr>
        <w:t>n</w:t>
      </w:r>
      <w:r w:rsidR="00B65022" w:rsidRPr="004D0065">
        <w:rPr>
          <w:rFonts w:cs="Arial"/>
          <w:color w:val="000000" w:themeColor="text1"/>
          <w:lang w:val="en-GB"/>
        </w:rPr>
        <w:t>d,</w:t>
      </w:r>
      <w:r w:rsidR="00C256B6" w:rsidRPr="004D0065">
        <w:rPr>
          <w:rFonts w:cs="Arial"/>
          <w:color w:val="000000" w:themeColor="text1"/>
          <w:lang w:val="en-GB"/>
        </w:rPr>
        <w:t xml:space="preserve"> transactional leadership has been known as the managerial style of leadership that majorly stressed on punishments and rewards for motivates employees whereas, situational </w:t>
      </w:r>
      <w:r w:rsidR="00C90AD5" w:rsidRPr="004D0065">
        <w:rPr>
          <w:rFonts w:cs="Arial"/>
          <w:color w:val="000000" w:themeColor="text1"/>
          <w:lang w:val="en-GB"/>
        </w:rPr>
        <w:t xml:space="preserve">leadership </w:t>
      </w:r>
      <w:r w:rsidR="00C90AD5" w:rsidRPr="004D0065">
        <w:rPr>
          <w:rFonts w:cs="Arial"/>
          <w:color w:val="000000" w:themeColor="text1"/>
          <w:sz w:val="21"/>
          <w:szCs w:val="21"/>
          <w:shd w:val="clear" w:color="auto" w:fill="FFFFFF"/>
        </w:rPr>
        <w:t>the</w:t>
      </w:r>
      <w:r w:rsidR="00C256B6" w:rsidRPr="004D0065">
        <w:rPr>
          <w:rStyle w:val="Emphasis"/>
          <w:rFonts w:cs="Arial"/>
          <w:bCs/>
          <w:i w:val="0"/>
          <w:iCs w:val="0"/>
          <w:color w:val="000000" w:themeColor="text1"/>
          <w:shd w:val="clear" w:color="auto" w:fill="FFFFFF"/>
        </w:rPr>
        <w:t xml:space="preserve"> ability for leaders to modify their communications and actions</w:t>
      </w:r>
      <w:r w:rsidR="00C256B6" w:rsidRPr="004D0065">
        <w:rPr>
          <w:rFonts w:cs="Arial"/>
          <w:color w:val="000000" w:themeColor="text1"/>
          <w:shd w:val="clear" w:color="auto" w:fill="FFFFFF"/>
        </w:rPr>
        <w:t> to fit whatever situation they're in.</w:t>
      </w:r>
      <w:r w:rsidR="00CB6B84" w:rsidRPr="004D0065">
        <w:rPr>
          <w:rFonts w:cs="Arial"/>
          <w:color w:val="000000" w:themeColor="text1"/>
          <w:lang w:val="en-GB"/>
        </w:rPr>
        <w:t xml:space="preserve"> </w:t>
      </w:r>
      <w:r w:rsidRPr="004D0065">
        <w:rPr>
          <w:rFonts w:cs="Arial"/>
          <w:color w:val="000000" w:themeColor="text1"/>
          <w:lang w:val="en-GB"/>
        </w:rPr>
        <w:t xml:space="preserve">It is based on systems thinking, the evidence of national and international patient safety, and the aim of this report is to find </w:t>
      </w:r>
      <w:r w:rsidR="00D46166" w:rsidRPr="004D0065">
        <w:rPr>
          <w:rFonts w:cs="Arial"/>
          <w:color w:val="000000" w:themeColor="text1"/>
          <w:lang w:val="en-GB"/>
        </w:rPr>
        <w:t xml:space="preserve">primary causes </w:t>
      </w:r>
      <w:r w:rsidRPr="004D0065">
        <w:rPr>
          <w:rFonts w:cs="Arial"/>
          <w:color w:val="000000" w:themeColor="text1"/>
          <w:lang w:val="en-GB"/>
        </w:rPr>
        <w:t>to the incident, evaluate the failures of leadership and governance, and offer evidence-based recommendations that would strengthen safety and organisational learning in healthcare systems</w:t>
      </w:r>
      <w:r w:rsidR="004F54BA" w:rsidRPr="004D0065">
        <w:rPr>
          <w:rFonts w:cs="Arial"/>
          <w:color w:val="000000" w:themeColor="text1"/>
          <w:lang w:val="en-GB"/>
        </w:rPr>
        <w:t xml:space="preserve"> </w:t>
      </w:r>
      <w:sdt>
        <w:sdtPr>
          <w:rPr>
            <w:rFonts w:cs="Arial"/>
            <w:color w:val="000000" w:themeColor="text1"/>
            <w:lang w:val="en-GB"/>
          </w:rPr>
          <w:id w:val="214160322"/>
          <w:citation/>
        </w:sdtPr>
        <w:sdtContent>
          <w:r w:rsidR="00A2756A" w:rsidRPr="004D0065">
            <w:rPr>
              <w:rFonts w:cs="Arial"/>
              <w:color w:val="000000" w:themeColor="text1"/>
              <w:lang w:val="en-GB"/>
            </w:rPr>
            <w:fldChar w:fldCharType="begin"/>
          </w:r>
          <w:r w:rsidR="009231B1" w:rsidRPr="004D0065">
            <w:rPr>
              <w:rFonts w:cs="Arial"/>
              <w:color w:val="000000" w:themeColor="text1"/>
              <w:lang w:val="en-GB"/>
            </w:rPr>
            <w:instrText xml:space="preserve"> CITATION Gun25 \l 1033 </w:instrText>
          </w:r>
          <w:r w:rsidR="00A2756A" w:rsidRPr="004D0065">
            <w:rPr>
              <w:rFonts w:cs="Arial"/>
              <w:color w:val="000000" w:themeColor="text1"/>
              <w:lang w:val="en-GB"/>
            </w:rPr>
            <w:fldChar w:fldCharType="separate"/>
          </w:r>
          <w:r w:rsidR="009231B1" w:rsidRPr="004D0065">
            <w:rPr>
              <w:rFonts w:cs="Arial"/>
              <w:noProof/>
              <w:color w:val="000000" w:themeColor="text1"/>
              <w:lang w:val="en-GB"/>
            </w:rPr>
            <w:t>(Guntschnig et al., 2025)</w:t>
          </w:r>
          <w:r w:rsidR="00A2756A" w:rsidRPr="004D0065">
            <w:rPr>
              <w:rFonts w:cs="Arial"/>
              <w:color w:val="000000" w:themeColor="text1"/>
              <w:lang w:val="en-GB"/>
            </w:rPr>
            <w:fldChar w:fldCharType="end"/>
          </w:r>
        </w:sdtContent>
      </w:sdt>
    </w:p>
    <w:p w:rsidR="000F2FD4" w:rsidRPr="004D0065" w:rsidRDefault="000F2FD4" w:rsidP="00CF0BB7">
      <w:pPr>
        <w:spacing w:line="360" w:lineRule="auto"/>
        <w:rPr>
          <w:rFonts w:cs="Arial"/>
          <w:color w:val="000000" w:themeColor="text1"/>
          <w:lang w:val="en-GB"/>
        </w:rPr>
      </w:pPr>
    </w:p>
    <w:p w:rsidR="000F2FD4" w:rsidRPr="004D0065" w:rsidRDefault="000F2FD4" w:rsidP="00101D91">
      <w:pPr>
        <w:pStyle w:val="Heading1"/>
        <w:rPr>
          <w:rFonts w:ascii="Arial" w:hAnsi="Arial" w:cs="Arial"/>
          <w:color w:val="000000" w:themeColor="text1"/>
          <w:lang w:val="en-GB"/>
        </w:rPr>
      </w:pPr>
      <w:bookmarkStart w:id="1" w:name="_Toc225938358"/>
      <w:r w:rsidRPr="004D0065">
        <w:rPr>
          <w:rFonts w:ascii="Arial" w:hAnsi="Arial" w:cs="Arial"/>
          <w:color w:val="000000" w:themeColor="text1"/>
          <w:lang w:val="en-GB"/>
        </w:rPr>
        <w:t>Main Body</w:t>
      </w:r>
      <w:bookmarkEnd w:id="1"/>
    </w:p>
    <w:p w:rsidR="000F2FD4" w:rsidRPr="004D0065" w:rsidRDefault="000F2FD4" w:rsidP="00CF0BB7">
      <w:pPr>
        <w:pStyle w:val="Heading2"/>
        <w:numPr>
          <w:ilvl w:val="0"/>
          <w:numId w:val="2"/>
        </w:numPr>
        <w:spacing w:line="360" w:lineRule="auto"/>
        <w:rPr>
          <w:rFonts w:ascii="Arial" w:hAnsi="Arial" w:cs="Arial"/>
          <w:b/>
          <w:bCs/>
          <w:color w:val="000000" w:themeColor="text1"/>
          <w:lang w:val="en-GB"/>
        </w:rPr>
      </w:pPr>
      <w:bookmarkStart w:id="2" w:name="_Toc225938359"/>
      <w:r w:rsidRPr="004D0065">
        <w:rPr>
          <w:rFonts w:ascii="Arial" w:hAnsi="Arial" w:cs="Arial"/>
          <w:b/>
          <w:bCs/>
          <w:color w:val="000000" w:themeColor="text1"/>
          <w:lang w:val="en-GB"/>
        </w:rPr>
        <w:lastRenderedPageBreak/>
        <w:t>Identifying the Problem Using Systems Thinking</w:t>
      </w:r>
      <w:bookmarkEnd w:id="2"/>
    </w:p>
    <w:p w:rsidR="000F2FD4" w:rsidRDefault="000F2FD4" w:rsidP="00CF0BB7">
      <w:pPr>
        <w:spacing w:line="360" w:lineRule="auto"/>
        <w:rPr>
          <w:rFonts w:cs="Arial"/>
          <w:color w:val="000000" w:themeColor="text1"/>
          <w:lang w:val="en-GB"/>
        </w:rPr>
      </w:pPr>
      <w:r w:rsidRPr="004D0065">
        <w:rPr>
          <w:rFonts w:cs="Arial"/>
          <w:color w:val="000000" w:themeColor="text1"/>
          <w:lang w:val="en-GB"/>
        </w:rPr>
        <w:t xml:space="preserve">The problem of patient safety in the healthcare systems is rarely </w:t>
      </w:r>
      <w:r w:rsidR="00290A9E" w:rsidRPr="004D0065">
        <w:rPr>
          <w:rFonts w:cs="Arial"/>
          <w:color w:val="000000" w:themeColor="text1"/>
          <w:lang w:val="en-GB"/>
        </w:rPr>
        <w:t>attributable</w:t>
      </w:r>
      <w:r w:rsidRPr="004D0065">
        <w:rPr>
          <w:rFonts w:cs="Arial"/>
          <w:color w:val="000000" w:themeColor="text1"/>
          <w:lang w:val="en-GB"/>
        </w:rPr>
        <w:t xml:space="preserve"> to one error made by a single person; instead, it usually occurs due to a combination of organisational, procedural, and communicative errors in different layers of the health system. The concept of systems thinking offers a great analysis tool to understand these kinds of incidents since it questions the interactions of interrelated parts of people, processes, technology, and governance </w:t>
      </w:r>
      <w:r w:rsidR="00290A9E" w:rsidRPr="004D0065">
        <w:rPr>
          <w:rFonts w:cs="Arial"/>
          <w:color w:val="000000" w:themeColor="text1"/>
          <w:lang w:val="en-GB"/>
        </w:rPr>
        <w:t>involved</w:t>
      </w:r>
      <w:r w:rsidRPr="004D0065">
        <w:rPr>
          <w:rFonts w:cs="Arial"/>
          <w:color w:val="000000" w:themeColor="text1"/>
          <w:lang w:val="en-GB"/>
        </w:rPr>
        <w:t xml:space="preserve"> to shape the results. These interactions achieve a certain complexity in the context of healthcare because of the inclusion of several professionals, care environment, and points of information transfer. The case of the infant morphine overdose demonstrates how malfunctions in many phases of the healthcare system may contribute to the severe damage to the patient.</w:t>
      </w:r>
      <w:r w:rsidR="008C64CA" w:rsidRPr="004D0065">
        <w:rPr>
          <w:rFonts w:cs="Arial"/>
          <w:color w:val="000000" w:themeColor="text1"/>
          <w:lang w:val="en-GB"/>
        </w:rPr>
        <w:t xml:space="preserve"> </w:t>
      </w:r>
      <w:sdt>
        <w:sdtPr>
          <w:rPr>
            <w:rFonts w:cs="Arial"/>
            <w:color w:val="000000" w:themeColor="text1"/>
            <w:lang w:val="en-GB"/>
          </w:rPr>
          <w:id w:val="215171029"/>
          <w:citation/>
        </w:sdtPr>
        <w:sdtContent>
          <w:r w:rsidR="00A2756A" w:rsidRPr="004D0065">
            <w:rPr>
              <w:rFonts w:cs="Arial"/>
              <w:color w:val="000000" w:themeColor="text1"/>
              <w:lang w:val="en-GB"/>
            </w:rPr>
            <w:fldChar w:fldCharType="begin"/>
          </w:r>
          <w:r w:rsidR="009231B1" w:rsidRPr="004D0065">
            <w:rPr>
              <w:rFonts w:cs="Arial"/>
              <w:color w:val="000000" w:themeColor="text1"/>
              <w:lang w:val="en-GB"/>
            </w:rPr>
            <w:instrText xml:space="preserve"> CITATION Tch25 \l 1033 </w:instrText>
          </w:r>
          <w:r w:rsidR="00A2756A" w:rsidRPr="004D0065">
            <w:rPr>
              <w:rFonts w:cs="Arial"/>
              <w:color w:val="000000" w:themeColor="text1"/>
              <w:lang w:val="en-GB"/>
            </w:rPr>
            <w:fldChar w:fldCharType="separate"/>
          </w:r>
          <w:r w:rsidR="009231B1" w:rsidRPr="004D0065">
            <w:rPr>
              <w:rFonts w:cs="Arial"/>
              <w:noProof/>
              <w:color w:val="000000" w:themeColor="text1"/>
              <w:lang w:val="en-GB"/>
            </w:rPr>
            <w:t>(Tchijevitch et al., 2025)</w:t>
          </w:r>
          <w:r w:rsidR="00A2756A" w:rsidRPr="004D0065">
            <w:rPr>
              <w:rFonts w:cs="Arial"/>
              <w:color w:val="000000" w:themeColor="text1"/>
              <w:lang w:val="en-GB"/>
            </w:rPr>
            <w:fldChar w:fldCharType="end"/>
          </w:r>
        </w:sdtContent>
      </w:sdt>
    </w:p>
    <w:p w:rsidR="008C3B4E" w:rsidRPr="0062598F" w:rsidRDefault="00A46259" w:rsidP="00CF0BB7">
      <w:pPr>
        <w:spacing w:line="360" w:lineRule="auto"/>
        <w:rPr>
          <w:rFonts w:cs="Arial"/>
          <w:b/>
          <w:color w:val="000000" w:themeColor="text1"/>
          <w:lang w:val="en-GB"/>
        </w:rPr>
      </w:pPr>
      <w:r w:rsidRPr="0062598F">
        <w:rPr>
          <w:rFonts w:cs="Arial"/>
          <w:b/>
          <w:color w:val="000000" w:themeColor="text1"/>
          <w:lang w:val="en-GB"/>
        </w:rPr>
        <w:t xml:space="preserve">The table below depicts the </w:t>
      </w:r>
      <w:r w:rsidRPr="0062598F">
        <w:rPr>
          <w:b/>
        </w:rPr>
        <w:t>Summary of National and International Statistics on Medication-Related Harm and Patient Safety:</w:t>
      </w:r>
    </w:p>
    <w:tbl>
      <w:tblPr>
        <w:tblStyle w:val="TableGrid"/>
        <w:tblW w:w="0" w:type="auto"/>
        <w:jc w:val="center"/>
        <w:tblLook w:val="04A0"/>
      </w:tblPr>
      <w:tblGrid>
        <w:gridCol w:w="2714"/>
        <w:gridCol w:w="3363"/>
        <w:gridCol w:w="3499"/>
      </w:tblGrid>
      <w:tr w:rsidR="004D0065" w:rsidRPr="004D0065" w:rsidTr="005C74BC">
        <w:trPr>
          <w:jc w:val="center"/>
        </w:trPr>
        <w:tc>
          <w:tcPr>
            <w:tcW w:w="0" w:type="auto"/>
            <w:hideMark/>
          </w:tcPr>
          <w:p w:rsidR="00872CD1" w:rsidRPr="004D0065" w:rsidRDefault="00872CD1" w:rsidP="00872CD1">
            <w:pPr>
              <w:spacing w:line="360" w:lineRule="auto"/>
              <w:jc w:val="center"/>
              <w:rPr>
                <w:rFonts w:cs="Arial"/>
                <w:b/>
                <w:bCs/>
                <w:color w:val="000000" w:themeColor="text1"/>
                <w:lang w:val="en-GB"/>
              </w:rPr>
            </w:pPr>
            <w:r w:rsidRPr="004D0065">
              <w:rPr>
                <w:rStyle w:val="Strong"/>
                <w:rFonts w:cs="Arial"/>
                <w:color w:val="000000" w:themeColor="text1"/>
                <w:lang w:val="en-GB"/>
              </w:rPr>
              <w:t>Source</w:t>
            </w:r>
          </w:p>
        </w:tc>
        <w:tc>
          <w:tcPr>
            <w:tcW w:w="0" w:type="auto"/>
            <w:hideMark/>
          </w:tcPr>
          <w:p w:rsidR="00872CD1" w:rsidRPr="004D0065" w:rsidRDefault="00872CD1" w:rsidP="00872CD1">
            <w:pPr>
              <w:spacing w:line="360" w:lineRule="auto"/>
              <w:jc w:val="center"/>
              <w:rPr>
                <w:rFonts w:cs="Arial"/>
                <w:b/>
                <w:bCs/>
                <w:color w:val="000000" w:themeColor="text1"/>
                <w:lang w:val="en-GB"/>
              </w:rPr>
            </w:pPr>
            <w:r w:rsidRPr="004D0065">
              <w:rPr>
                <w:rStyle w:val="Strong"/>
                <w:rFonts w:cs="Arial"/>
                <w:color w:val="000000" w:themeColor="text1"/>
                <w:lang w:val="en-GB"/>
              </w:rPr>
              <w:t>Statistic</w:t>
            </w:r>
          </w:p>
        </w:tc>
        <w:tc>
          <w:tcPr>
            <w:tcW w:w="0" w:type="auto"/>
            <w:hideMark/>
          </w:tcPr>
          <w:p w:rsidR="00872CD1" w:rsidRPr="004D0065" w:rsidRDefault="00872CD1" w:rsidP="00872CD1">
            <w:pPr>
              <w:spacing w:line="360" w:lineRule="auto"/>
              <w:jc w:val="center"/>
              <w:rPr>
                <w:rFonts w:cs="Arial"/>
                <w:b/>
                <w:bCs/>
                <w:color w:val="000000" w:themeColor="text1"/>
                <w:lang w:val="en-GB"/>
              </w:rPr>
            </w:pPr>
            <w:r w:rsidRPr="004D0065">
              <w:rPr>
                <w:rStyle w:val="Strong"/>
                <w:rFonts w:cs="Arial"/>
                <w:color w:val="000000" w:themeColor="text1"/>
                <w:lang w:val="en-GB"/>
              </w:rPr>
              <w:t>Relevance</w:t>
            </w:r>
          </w:p>
        </w:tc>
      </w:tr>
      <w:tr w:rsidR="004D0065" w:rsidRPr="004D0065" w:rsidTr="005C74BC">
        <w:trPr>
          <w:jc w:val="center"/>
        </w:trPr>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World Health Organization (WHO)</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Medication-related harm affects </w:t>
            </w:r>
            <w:r w:rsidRPr="004D0065">
              <w:rPr>
                <w:rStyle w:val="Strong"/>
                <w:rFonts w:cs="Arial"/>
                <w:color w:val="000000" w:themeColor="text1"/>
                <w:lang w:val="en-GB"/>
              </w:rPr>
              <w:t>1 in 30 patients globally</w:t>
            </w:r>
            <w:r w:rsidRPr="004D0065">
              <w:rPr>
                <w:rFonts w:cs="Arial"/>
                <w:color w:val="000000" w:themeColor="text1"/>
                <w:lang w:val="en-GB"/>
              </w:rPr>
              <w:t xml:space="preserve">, with a significant proportion being severe or life-threatening </w:t>
            </w:r>
            <w:r w:rsidR="00F15AA0" w:rsidRPr="004D0065">
              <w:rPr>
                <w:rFonts w:cs="Arial"/>
                <w:color w:val="000000" w:themeColor="text1"/>
                <w:lang w:val="en-GB"/>
              </w:rPr>
              <w:t>(WHO, 2025).</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Demonstrates that medication errors are a </w:t>
            </w:r>
            <w:r w:rsidRPr="004D0065">
              <w:rPr>
                <w:rStyle w:val="Strong"/>
                <w:rFonts w:cs="Arial"/>
                <w:color w:val="000000" w:themeColor="text1"/>
                <w:lang w:val="en-GB"/>
              </w:rPr>
              <w:t>global patient safety issue</w:t>
            </w:r>
            <w:r w:rsidRPr="004D0065">
              <w:rPr>
                <w:rFonts w:cs="Arial"/>
                <w:color w:val="000000" w:themeColor="text1"/>
                <w:lang w:val="en-GB"/>
              </w:rPr>
              <w:t>, not an isolated incident, supporting the systemic nature of the case study.</w:t>
            </w:r>
          </w:p>
        </w:tc>
      </w:tr>
      <w:tr w:rsidR="004D0065" w:rsidRPr="004D0065" w:rsidTr="005C74BC">
        <w:trPr>
          <w:jc w:val="center"/>
        </w:trPr>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World Health Organization (WHO)</w:t>
            </w:r>
          </w:p>
        </w:tc>
        <w:tc>
          <w:tcPr>
            <w:tcW w:w="0" w:type="auto"/>
            <w:hideMark/>
          </w:tcPr>
          <w:p w:rsidR="00872CD1" w:rsidRPr="004D0065" w:rsidRDefault="00872CD1" w:rsidP="00872CD1">
            <w:pPr>
              <w:spacing w:line="360" w:lineRule="auto"/>
              <w:rPr>
                <w:rFonts w:cs="Arial"/>
                <w:b/>
                <w:bCs/>
                <w:color w:val="000000" w:themeColor="text1"/>
                <w:lang w:val="en-GB"/>
              </w:rPr>
            </w:pPr>
            <w:r w:rsidRPr="004D0065">
              <w:rPr>
                <w:rStyle w:val="Strong"/>
                <w:rFonts w:cs="Arial"/>
                <w:b w:val="0"/>
                <w:bCs w:val="0"/>
                <w:color w:val="000000" w:themeColor="text1"/>
                <w:lang w:val="en-GB"/>
              </w:rPr>
              <w:t>50% of avoidable harm in healthcare is related to medications</w:t>
            </w:r>
            <w:r w:rsidR="00F15AA0" w:rsidRPr="004D0065">
              <w:rPr>
                <w:rStyle w:val="Strong"/>
                <w:rFonts w:cs="Arial"/>
                <w:b w:val="0"/>
                <w:bCs w:val="0"/>
                <w:color w:val="000000" w:themeColor="text1"/>
                <w:lang w:val="en-GB"/>
              </w:rPr>
              <w:t xml:space="preserve"> </w:t>
            </w:r>
            <w:r w:rsidR="00F15AA0" w:rsidRPr="004D0065">
              <w:rPr>
                <w:rStyle w:val="Strong"/>
                <w:b w:val="0"/>
                <w:bCs w:val="0"/>
                <w:color w:val="000000" w:themeColor="text1"/>
              </w:rPr>
              <w:t>(</w:t>
            </w:r>
            <w:r w:rsidR="00F15AA0" w:rsidRPr="004D0065">
              <w:rPr>
                <w:b/>
                <w:bCs/>
                <w:color w:val="000000" w:themeColor="text1"/>
              </w:rPr>
              <w:t xml:space="preserve">WHO, 2023). </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Highlights the </w:t>
            </w:r>
            <w:r w:rsidRPr="004D0065">
              <w:rPr>
                <w:rStyle w:val="Strong"/>
                <w:rFonts w:cs="Arial"/>
                <w:color w:val="000000" w:themeColor="text1"/>
                <w:lang w:val="en-GB"/>
              </w:rPr>
              <w:t>critical importance of medication safety systems</w:t>
            </w:r>
            <w:r w:rsidRPr="004D0065">
              <w:rPr>
                <w:rFonts w:cs="Arial"/>
                <w:color w:val="000000" w:themeColor="text1"/>
                <w:lang w:val="en-GB"/>
              </w:rPr>
              <w:t>, directly linking to the morphine overdose incident.</w:t>
            </w:r>
          </w:p>
        </w:tc>
      </w:tr>
      <w:tr w:rsidR="004D0065" w:rsidRPr="004D0065" w:rsidTr="005C74BC">
        <w:trPr>
          <w:jc w:val="center"/>
        </w:trPr>
        <w:tc>
          <w:tcPr>
            <w:tcW w:w="0" w:type="auto"/>
            <w:hideMark/>
          </w:tcPr>
          <w:p w:rsidR="00F15AA0" w:rsidRPr="004D0065" w:rsidRDefault="00F15AA0" w:rsidP="00F15AA0">
            <w:pPr>
              <w:spacing w:line="360" w:lineRule="auto"/>
              <w:rPr>
                <w:rFonts w:cs="Arial"/>
                <w:color w:val="000000" w:themeColor="text1"/>
                <w:lang w:val="en-GB"/>
              </w:rPr>
            </w:pPr>
            <w:r w:rsidRPr="004D0065">
              <w:rPr>
                <w:rFonts w:cs="Arial"/>
                <w:color w:val="000000" w:themeColor="text1"/>
                <w:lang w:val="en-GB"/>
              </w:rPr>
              <w:t>Department</w:t>
            </w:r>
          </w:p>
          <w:p w:rsidR="00F15AA0" w:rsidRPr="004D0065" w:rsidRDefault="00F15AA0" w:rsidP="00F15AA0">
            <w:pPr>
              <w:spacing w:line="360" w:lineRule="auto"/>
              <w:rPr>
                <w:rFonts w:cs="Arial"/>
                <w:color w:val="000000" w:themeColor="text1"/>
                <w:lang w:val="en-GB"/>
              </w:rPr>
            </w:pPr>
            <w:r w:rsidRPr="004D0065">
              <w:rPr>
                <w:rFonts w:cs="Arial"/>
                <w:color w:val="000000" w:themeColor="text1"/>
                <w:lang w:val="en-GB"/>
              </w:rPr>
              <w:t>of Health &amp;</w:t>
            </w:r>
          </w:p>
          <w:p w:rsidR="00872CD1" w:rsidRPr="004D0065" w:rsidRDefault="00F15AA0" w:rsidP="00F15AA0">
            <w:pPr>
              <w:spacing w:line="360" w:lineRule="auto"/>
              <w:rPr>
                <w:rFonts w:cs="Arial"/>
                <w:color w:val="000000" w:themeColor="text1"/>
                <w:lang w:val="en-GB"/>
              </w:rPr>
            </w:pPr>
            <w:r w:rsidRPr="004D0065">
              <w:rPr>
                <w:rFonts w:cs="Arial"/>
                <w:color w:val="000000" w:themeColor="text1"/>
                <w:lang w:val="en-GB"/>
              </w:rPr>
              <w:t>Social Care</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Approximately </w:t>
            </w:r>
            <w:r w:rsidRPr="004D0065">
              <w:rPr>
                <w:rStyle w:val="Strong"/>
                <w:rFonts w:cs="Arial"/>
                <w:color w:val="000000" w:themeColor="text1"/>
                <w:lang w:val="en-GB"/>
              </w:rPr>
              <w:t>237 million medication errors occur annually in England</w:t>
            </w:r>
            <w:r w:rsidR="00F15AA0" w:rsidRPr="004D0065">
              <w:rPr>
                <w:rStyle w:val="Strong"/>
                <w:rFonts w:cs="Arial"/>
                <w:color w:val="000000" w:themeColor="text1"/>
                <w:lang w:val="en-GB"/>
              </w:rPr>
              <w:t xml:space="preserve"> (</w:t>
            </w:r>
            <w:r w:rsidR="00F15AA0" w:rsidRPr="004D0065">
              <w:rPr>
                <w:rFonts w:cs="Arial"/>
                <w:color w:val="000000" w:themeColor="text1"/>
              </w:rPr>
              <w:t>GOV, 2025).</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Shows the </w:t>
            </w:r>
            <w:r w:rsidRPr="004D0065">
              <w:rPr>
                <w:rStyle w:val="Strong"/>
                <w:rFonts w:cs="Arial"/>
                <w:color w:val="000000" w:themeColor="text1"/>
                <w:lang w:val="en-GB"/>
              </w:rPr>
              <w:t>scale of the problem nationally</w:t>
            </w:r>
            <w:r w:rsidRPr="004D0065">
              <w:rPr>
                <w:rFonts w:cs="Arial"/>
                <w:color w:val="000000" w:themeColor="text1"/>
                <w:lang w:val="en-GB"/>
              </w:rPr>
              <w:t>, indicating that such incidents are widespread within the NHS system.</w:t>
            </w:r>
          </w:p>
        </w:tc>
      </w:tr>
      <w:tr w:rsidR="004D0065" w:rsidRPr="004D0065" w:rsidTr="005C74BC">
        <w:trPr>
          <w:jc w:val="center"/>
        </w:trPr>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NHS England</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Medication incidents account for around </w:t>
            </w:r>
            <w:r w:rsidRPr="004D0065">
              <w:rPr>
                <w:rStyle w:val="Strong"/>
                <w:rFonts w:cs="Arial"/>
                <w:color w:val="000000" w:themeColor="text1"/>
                <w:lang w:val="en-GB"/>
              </w:rPr>
              <w:t>10% of all reported patient safety incidents</w:t>
            </w:r>
            <w:r w:rsidR="00F15AA0" w:rsidRPr="004D0065">
              <w:rPr>
                <w:rStyle w:val="Strong"/>
                <w:rFonts w:cs="Arial"/>
                <w:color w:val="000000" w:themeColor="text1"/>
                <w:lang w:val="en-GB"/>
              </w:rPr>
              <w:t xml:space="preserve"> </w:t>
            </w:r>
            <w:r w:rsidR="00F15AA0" w:rsidRPr="004D0065">
              <w:rPr>
                <w:rStyle w:val="Strong"/>
                <w:b w:val="0"/>
                <w:bCs w:val="0"/>
                <w:color w:val="000000" w:themeColor="text1"/>
              </w:rPr>
              <w:t>(</w:t>
            </w:r>
            <w:r w:rsidR="00F15AA0" w:rsidRPr="004D0065">
              <w:rPr>
                <w:color w:val="000000" w:themeColor="text1"/>
              </w:rPr>
              <w:t>NHS, 2026).</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Confirms that medication errors are among the </w:t>
            </w:r>
            <w:r w:rsidRPr="004D0065">
              <w:rPr>
                <w:rStyle w:val="Strong"/>
                <w:rFonts w:cs="Arial"/>
                <w:color w:val="000000" w:themeColor="text1"/>
                <w:lang w:val="en-GB"/>
              </w:rPr>
              <w:t>most common types of safety incidents</w:t>
            </w:r>
            <w:r w:rsidRPr="004D0065">
              <w:rPr>
                <w:rFonts w:cs="Arial"/>
                <w:color w:val="000000" w:themeColor="text1"/>
                <w:lang w:val="en-GB"/>
              </w:rPr>
              <w:t xml:space="preserve">, reinforcing </w:t>
            </w:r>
            <w:r w:rsidR="008C64CA" w:rsidRPr="004D0065">
              <w:rPr>
                <w:rFonts w:cs="Arial"/>
                <w:color w:val="000000" w:themeColor="text1"/>
                <w:lang w:val="en-GB"/>
              </w:rPr>
              <w:t xml:space="preserve">the </w:t>
            </w:r>
            <w:r w:rsidRPr="004D0065">
              <w:rPr>
                <w:rFonts w:cs="Arial"/>
                <w:color w:val="000000" w:themeColor="text1"/>
                <w:lang w:val="en-GB"/>
              </w:rPr>
              <w:t xml:space="preserve">relevance of the </w:t>
            </w:r>
            <w:r w:rsidRPr="004D0065">
              <w:rPr>
                <w:rFonts w:cs="Arial"/>
                <w:color w:val="000000" w:themeColor="text1"/>
                <w:lang w:val="en-GB"/>
              </w:rPr>
              <w:lastRenderedPageBreak/>
              <w:t>case.</w:t>
            </w:r>
          </w:p>
        </w:tc>
      </w:tr>
      <w:tr w:rsidR="004D0065" w:rsidRPr="004D0065" w:rsidTr="005C74BC">
        <w:trPr>
          <w:jc w:val="center"/>
        </w:trPr>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lastRenderedPageBreak/>
              <w:t>NHS / Research Evidence</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Medication errors contribute to approximately </w:t>
            </w:r>
            <w:r w:rsidRPr="004D0065">
              <w:rPr>
                <w:rStyle w:val="Strong"/>
                <w:rFonts w:cs="Arial"/>
                <w:color w:val="000000" w:themeColor="text1"/>
                <w:lang w:val="en-GB"/>
              </w:rPr>
              <w:t>1,700 deaths per year in England</w:t>
            </w:r>
            <w:r w:rsidR="00F15AA0" w:rsidRPr="004D0065">
              <w:rPr>
                <w:rStyle w:val="Strong"/>
                <w:rFonts w:cs="Arial"/>
                <w:color w:val="000000" w:themeColor="text1"/>
                <w:lang w:val="en-GB"/>
              </w:rPr>
              <w:t xml:space="preserve"> </w:t>
            </w:r>
            <w:r w:rsidR="00F15AA0" w:rsidRPr="004D0065">
              <w:rPr>
                <w:rStyle w:val="Strong"/>
                <w:rFonts w:cs="Arial"/>
                <w:b w:val="0"/>
                <w:bCs w:val="0"/>
                <w:color w:val="000000" w:themeColor="text1"/>
                <w:lang w:val="en-GB"/>
              </w:rPr>
              <w:t xml:space="preserve">(Sutherland </w:t>
            </w:r>
            <w:r w:rsidR="00F15AA0" w:rsidRPr="004D0065">
              <w:rPr>
                <w:rStyle w:val="Strong"/>
                <w:rFonts w:cs="Arial"/>
                <w:b w:val="0"/>
                <w:bCs w:val="0"/>
                <w:i/>
                <w:iCs/>
                <w:color w:val="000000" w:themeColor="text1"/>
                <w:lang w:val="en-GB"/>
              </w:rPr>
              <w:t>et al</w:t>
            </w:r>
            <w:r w:rsidR="00F15AA0" w:rsidRPr="004D0065">
              <w:rPr>
                <w:rStyle w:val="Strong"/>
                <w:rFonts w:cs="Arial"/>
                <w:b w:val="0"/>
                <w:bCs w:val="0"/>
                <w:color w:val="000000" w:themeColor="text1"/>
                <w:lang w:val="en-GB"/>
              </w:rPr>
              <w:t>. 2022).</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Demonstrates the </w:t>
            </w:r>
            <w:r w:rsidRPr="004D0065">
              <w:rPr>
                <w:rStyle w:val="Strong"/>
                <w:rFonts w:cs="Arial"/>
                <w:color w:val="000000" w:themeColor="text1"/>
                <w:lang w:val="en-GB"/>
              </w:rPr>
              <w:t>serious consequences of medication errors</w:t>
            </w:r>
            <w:r w:rsidRPr="004D0065">
              <w:rPr>
                <w:rFonts w:cs="Arial"/>
                <w:color w:val="000000" w:themeColor="text1"/>
                <w:lang w:val="en-GB"/>
              </w:rPr>
              <w:t>, showing potential fatal outcomes similar to the case study.</w:t>
            </w:r>
          </w:p>
        </w:tc>
      </w:tr>
      <w:tr w:rsidR="004D0065" w:rsidRPr="004D0065" w:rsidTr="005C74BC">
        <w:trPr>
          <w:jc w:val="center"/>
        </w:trPr>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NHS / Economic Analysis</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Medication errors cost the NHS approximately </w:t>
            </w:r>
            <w:r w:rsidRPr="004D0065">
              <w:rPr>
                <w:rStyle w:val="Strong"/>
                <w:rFonts w:cs="Arial"/>
                <w:color w:val="000000" w:themeColor="text1"/>
                <w:lang w:val="en-GB"/>
              </w:rPr>
              <w:t>£98 million annually</w:t>
            </w:r>
            <w:r w:rsidR="00681F61" w:rsidRPr="004D0065">
              <w:rPr>
                <w:rStyle w:val="Strong"/>
                <w:rFonts w:cs="Arial"/>
                <w:color w:val="000000" w:themeColor="text1"/>
                <w:lang w:val="en-GB"/>
              </w:rPr>
              <w:t xml:space="preserve"> </w:t>
            </w:r>
            <w:r w:rsidR="00681F61" w:rsidRPr="004D0065">
              <w:rPr>
                <w:rStyle w:val="Strong"/>
                <w:rFonts w:cs="Arial"/>
                <w:b w:val="0"/>
                <w:bCs w:val="0"/>
                <w:color w:val="000000" w:themeColor="text1"/>
                <w:lang w:val="en-GB"/>
              </w:rPr>
              <w:t>(</w:t>
            </w:r>
            <w:proofErr w:type="spellStart"/>
            <w:r w:rsidR="00681F61" w:rsidRPr="004D0065">
              <w:rPr>
                <w:rFonts w:cs="Arial"/>
                <w:color w:val="000000" w:themeColor="text1"/>
              </w:rPr>
              <w:t>Alrowily</w:t>
            </w:r>
            <w:proofErr w:type="spellEnd"/>
            <w:r w:rsidR="00681F61" w:rsidRPr="004D0065">
              <w:rPr>
                <w:rFonts w:cs="Arial"/>
                <w:color w:val="000000" w:themeColor="text1"/>
              </w:rPr>
              <w:t xml:space="preserve"> </w:t>
            </w:r>
            <w:r w:rsidR="00681F61" w:rsidRPr="004D0065">
              <w:rPr>
                <w:i/>
                <w:iCs/>
                <w:color w:val="000000" w:themeColor="text1"/>
              </w:rPr>
              <w:t>e</w:t>
            </w:r>
            <w:r w:rsidR="00681F61" w:rsidRPr="004D0065">
              <w:rPr>
                <w:color w:val="000000" w:themeColor="text1"/>
              </w:rPr>
              <w:t>t al. 2025</w:t>
            </w:r>
            <w:r w:rsidR="00681F61" w:rsidRPr="004D0065">
              <w:rPr>
                <w:rStyle w:val="Strong"/>
                <w:rFonts w:cs="Arial"/>
                <w:b w:val="0"/>
                <w:bCs w:val="0"/>
                <w:color w:val="000000" w:themeColor="text1"/>
                <w:lang w:val="en-GB"/>
              </w:rPr>
              <w:t>).</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Highlights the </w:t>
            </w:r>
            <w:r w:rsidRPr="004D0065">
              <w:rPr>
                <w:rStyle w:val="Strong"/>
                <w:rFonts w:cs="Arial"/>
                <w:color w:val="000000" w:themeColor="text1"/>
                <w:lang w:val="en-GB"/>
              </w:rPr>
              <w:t>economic burden</w:t>
            </w:r>
            <w:r w:rsidRPr="004D0065">
              <w:rPr>
                <w:rFonts w:cs="Arial"/>
                <w:color w:val="000000" w:themeColor="text1"/>
                <w:lang w:val="en-GB"/>
              </w:rPr>
              <w:t>, showing that errors impact both patient safety and healthcare efficiency.</w:t>
            </w:r>
          </w:p>
        </w:tc>
      </w:tr>
      <w:tr w:rsidR="004D0065" w:rsidRPr="004D0065" w:rsidTr="005C74BC">
        <w:trPr>
          <w:jc w:val="center"/>
        </w:trPr>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UK Medication Safety Research (2024)</w:t>
            </w:r>
          </w:p>
        </w:tc>
        <w:tc>
          <w:tcPr>
            <w:tcW w:w="0" w:type="auto"/>
            <w:hideMark/>
          </w:tcPr>
          <w:p w:rsidR="00872CD1" w:rsidRPr="004D0065" w:rsidRDefault="00872CD1" w:rsidP="00872CD1">
            <w:pPr>
              <w:spacing w:line="360" w:lineRule="auto"/>
              <w:rPr>
                <w:rFonts w:cs="Arial"/>
                <w:color w:val="000000" w:themeColor="text1"/>
              </w:rPr>
            </w:pPr>
            <w:r w:rsidRPr="004D0065">
              <w:rPr>
                <w:rFonts w:cs="Arial"/>
                <w:color w:val="000000" w:themeColor="text1"/>
                <w:lang w:val="en-GB"/>
              </w:rPr>
              <w:t xml:space="preserve">Around </w:t>
            </w:r>
            <w:r w:rsidRPr="004D0065">
              <w:rPr>
                <w:rStyle w:val="Strong"/>
                <w:rFonts w:cs="Arial"/>
                <w:color w:val="000000" w:themeColor="text1"/>
                <w:lang w:val="en-GB"/>
              </w:rPr>
              <w:t>48% of medication errors occur during administration</w:t>
            </w:r>
            <w:r w:rsidRPr="004D0065">
              <w:rPr>
                <w:rFonts w:cs="Arial"/>
                <w:color w:val="000000" w:themeColor="text1"/>
                <w:lang w:val="en-GB"/>
              </w:rPr>
              <w:t>, with prescribing errors also significant</w:t>
            </w:r>
            <w:r w:rsidR="00E43357" w:rsidRPr="004D0065">
              <w:rPr>
                <w:rFonts w:cs="Arial"/>
                <w:color w:val="000000" w:themeColor="text1"/>
                <w:lang w:val="en-GB"/>
              </w:rPr>
              <w:t xml:space="preserve"> (</w:t>
            </w:r>
            <w:proofErr w:type="spellStart"/>
            <w:r w:rsidR="00E43357" w:rsidRPr="004D0065">
              <w:rPr>
                <w:rFonts w:cs="Arial"/>
                <w:color w:val="000000" w:themeColor="text1"/>
              </w:rPr>
              <w:t>Brabcova</w:t>
            </w:r>
            <w:proofErr w:type="spellEnd"/>
            <w:r w:rsidR="00E43357" w:rsidRPr="004D0065">
              <w:rPr>
                <w:rFonts w:cs="Arial"/>
                <w:color w:val="000000" w:themeColor="text1"/>
              </w:rPr>
              <w:t xml:space="preserve"> </w:t>
            </w:r>
            <w:r w:rsidR="00E43357" w:rsidRPr="004D0065">
              <w:rPr>
                <w:rFonts w:cs="Arial"/>
                <w:i/>
                <w:iCs/>
                <w:color w:val="000000" w:themeColor="text1"/>
              </w:rPr>
              <w:t>et al</w:t>
            </w:r>
            <w:r w:rsidR="00E43357" w:rsidRPr="004D0065">
              <w:rPr>
                <w:rFonts w:cs="Arial"/>
                <w:color w:val="000000" w:themeColor="text1"/>
              </w:rPr>
              <w:t>. 2023).</w:t>
            </w:r>
          </w:p>
        </w:tc>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 xml:space="preserve">Supports the case study by showing that </w:t>
            </w:r>
            <w:r w:rsidRPr="004D0065">
              <w:rPr>
                <w:rStyle w:val="Strong"/>
                <w:rFonts w:cs="Arial"/>
                <w:color w:val="000000" w:themeColor="text1"/>
                <w:lang w:val="en-GB"/>
              </w:rPr>
              <w:t>multi-stage system failures</w:t>
            </w:r>
            <w:r w:rsidRPr="004D0065">
              <w:rPr>
                <w:rFonts w:cs="Arial"/>
                <w:color w:val="000000" w:themeColor="text1"/>
                <w:lang w:val="en-GB"/>
              </w:rPr>
              <w:t xml:space="preserve"> (prescribing, dispensing, administration) are common.</w:t>
            </w:r>
          </w:p>
        </w:tc>
      </w:tr>
      <w:tr w:rsidR="00F15AA0" w:rsidRPr="004D0065" w:rsidTr="005C74BC">
        <w:trPr>
          <w:jc w:val="center"/>
        </w:trPr>
        <w:tc>
          <w:tcPr>
            <w:tcW w:w="0" w:type="auto"/>
            <w:hideMark/>
          </w:tcPr>
          <w:p w:rsidR="00872CD1" w:rsidRPr="004D0065" w:rsidRDefault="00872CD1" w:rsidP="00872CD1">
            <w:pPr>
              <w:spacing w:line="360" w:lineRule="auto"/>
              <w:rPr>
                <w:rFonts w:cs="Arial"/>
                <w:color w:val="000000" w:themeColor="text1"/>
                <w:lang w:val="en-GB"/>
              </w:rPr>
            </w:pPr>
            <w:r w:rsidRPr="004D0065">
              <w:rPr>
                <w:rFonts w:cs="Arial"/>
                <w:color w:val="000000" w:themeColor="text1"/>
                <w:lang w:val="en-GB"/>
              </w:rPr>
              <w:t>Pharmaceutical/Clinical Data</w:t>
            </w:r>
          </w:p>
        </w:tc>
        <w:tc>
          <w:tcPr>
            <w:tcW w:w="0" w:type="auto"/>
            <w:hideMark/>
          </w:tcPr>
          <w:p w:rsidR="00872CD1" w:rsidRPr="004D0065" w:rsidRDefault="00872CD1" w:rsidP="00872CD1">
            <w:pPr>
              <w:spacing w:line="360" w:lineRule="auto"/>
              <w:rPr>
                <w:rFonts w:cs="Arial"/>
                <w:color w:val="000000" w:themeColor="text1"/>
                <w:lang w:val="en-GB"/>
              </w:rPr>
            </w:pPr>
            <w:r w:rsidRPr="004D0065">
              <w:rPr>
                <w:rStyle w:val="Strong"/>
                <w:rFonts w:cs="Arial"/>
                <w:color w:val="000000" w:themeColor="text1"/>
                <w:lang w:val="en-GB"/>
              </w:rPr>
              <w:t>Wrong dose errors occur in ~27% of cases</w:t>
            </w:r>
            <w:r w:rsidR="00E43357" w:rsidRPr="004D0065">
              <w:rPr>
                <w:rStyle w:val="Strong"/>
                <w:rFonts w:cs="Arial"/>
                <w:color w:val="000000" w:themeColor="text1"/>
                <w:lang w:val="en-GB"/>
              </w:rPr>
              <w:t xml:space="preserve"> </w:t>
            </w:r>
            <w:r w:rsidR="00E43357" w:rsidRPr="004D0065">
              <w:rPr>
                <w:rStyle w:val="Strong"/>
                <w:b w:val="0"/>
                <w:bCs w:val="0"/>
                <w:color w:val="000000" w:themeColor="text1"/>
              </w:rPr>
              <w:t>(</w:t>
            </w:r>
            <w:r w:rsidR="00E43357" w:rsidRPr="004D0065">
              <w:rPr>
                <w:color w:val="000000" w:themeColor="text1"/>
              </w:rPr>
              <w:t>Mulac et al. 2022)</w:t>
            </w:r>
          </w:p>
        </w:tc>
        <w:tc>
          <w:tcPr>
            <w:tcW w:w="0" w:type="auto"/>
            <w:hideMark/>
          </w:tcPr>
          <w:p w:rsidR="00872CD1" w:rsidRPr="004D0065" w:rsidRDefault="00872CD1" w:rsidP="00872CD1">
            <w:pPr>
              <w:keepNext/>
              <w:spacing w:line="360" w:lineRule="auto"/>
              <w:rPr>
                <w:rFonts w:cs="Arial"/>
                <w:color w:val="000000" w:themeColor="text1"/>
                <w:lang w:val="en-GB"/>
              </w:rPr>
            </w:pPr>
            <w:r w:rsidRPr="004D0065">
              <w:rPr>
                <w:rFonts w:cs="Arial"/>
                <w:color w:val="000000" w:themeColor="text1"/>
                <w:lang w:val="en-GB"/>
              </w:rPr>
              <w:t xml:space="preserve">Directly relevant to the case, where the overdose resulted from a </w:t>
            </w:r>
            <w:r w:rsidRPr="004D0065">
              <w:rPr>
                <w:rStyle w:val="Strong"/>
                <w:rFonts w:cs="Arial"/>
                <w:color w:val="000000" w:themeColor="text1"/>
                <w:lang w:val="en-GB"/>
              </w:rPr>
              <w:t>dose miscalculation and incorrect strength</w:t>
            </w:r>
            <w:r w:rsidRPr="004D0065">
              <w:rPr>
                <w:rFonts w:cs="Arial"/>
                <w:color w:val="000000" w:themeColor="text1"/>
                <w:lang w:val="en-GB"/>
              </w:rPr>
              <w:t>.</w:t>
            </w:r>
          </w:p>
        </w:tc>
      </w:tr>
    </w:tbl>
    <w:p w:rsidR="00872CD1" w:rsidRPr="004D0065" w:rsidRDefault="00872CD1" w:rsidP="00872CD1">
      <w:pPr>
        <w:pStyle w:val="Caption"/>
        <w:jc w:val="center"/>
        <w:rPr>
          <w:rFonts w:cs="Arial"/>
          <w:color w:val="000000" w:themeColor="text1"/>
          <w:sz w:val="22"/>
          <w:szCs w:val="22"/>
          <w:lang w:val="en-GB"/>
        </w:rPr>
      </w:pPr>
    </w:p>
    <w:p w:rsidR="00872CD1" w:rsidRPr="004D0065" w:rsidRDefault="00EE6F0A" w:rsidP="00872CD1">
      <w:pPr>
        <w:pStyle w:val="Caption"/>
        <w:jc w:val="center"/>
        <w:rPr>
          <w:rFonts w:cs="Arial"/>
          <w:b/>
          <w:i w:val="0"/>
          <w:color w:val="000000" w:themeColor="text1"/>
          <w:sz w:val="22"/>
          <w:szCs w:val="22"/>
          <w:lang w:val="en-GB"/>
        </w:rPr>
      </w:pPr>
      <w:r w:rsidRPr="004D0065">
        <w:rPr>
          <w:rFonts w:cs="Arial"/>
          <w:b/>
          <w:i w:val="0"/>
          <w:color w:val="000000" w:themeColor="text1"/>
          <w:sz w:val="22"/>
          <w:szCs w:val="22"/>
          <w:lang w:val="en-GB"/>
        </w:rPr>
        <w:t>Table</w:t>
      </w:r>
      <w:r w:rsidR="00F15AA0" w:rsidRPr="004D0065">
        <w:rPr>
          <w:rFonts w:cs="Arial"/>
          <w:b/>
          <w:i w:val="0"/>
          <w:color w:val="000000" w:themeColor="text1"/>
          <w:sz w:val="22"/>
          <w:szCs w:val="22"/>
          <w:lang w:val="en-GB"/>
        </w:rPr>
        <w:t xml:space="preserve"> </w:t>
      </w:r>
      <w:r w:rsidR="00A2756A" w:rsidRPr="004D0065">
        <w:rPr>
          <w:rFonts w:cs="Arial"/>
          <w:b/>
          <w:i w:val="0"/>
          <w:color w:val="000000" w:themeColor="text1"/>
          <w:sz w:val="22"/>
          <w:szCs w:val="22"/>
          <w:lang w:val="en-GB"/>
        </w:rPr>
        <w:fldChar w:fldCharType="begin"/>
      </w:r>
      <w:r w:rsidR="00872CD1" w:rsidRPr="004D0065">
        <w:rPr>
          <w:rFonts w:cs="Arial"/>
          <w:b/>
          <w:i w:val="0"/>
          <w:color w:val="000000" w:themeColor="text1"/>
          <w:sz w:val="22"/>
          <w:szCs w:val="22"/>
          <w:lang w:val="en-GB"/>
        </w:rPr>
        <w:instrText xml:space="preserve"> SEQ Figure \* ARABIC </w:instrText>
      </w:r>
      <w:r w:rsidR="00A2756A" w:rsidRPr="004D0065">
        <w:rPr>
          <w:rFonts w:cs="Arial"/>
          <w:b/>
          <w:i w:val="0"/>
          <w:color w:val="000000" w:themeColor="text1"/>
          <w:sz w:val="22"/>
          <w:szCs w:val="22"/>
          <w:lang w:val="en-GB"/>
        </w:rPr>
        <w:fldChar w:fldCharType="separate"/>
      </w:r>
      <w:r w:rsidR="00FD550B" w:rsidRPr="004D0065">
        <w:rPr>
          <w:rFonts w:cs="Arial"/>
          <w:b/>
          <w:i w:val="0"/>
          <w:noProof/>
          <w:color w:val="000000" w:themeColor="text1"/>
          <w:sz w:val="22"/>
          <w:szCs w:val="22"/>
          <w:lang w:val="en-GB"/>
        </w:rPr>
        <w:t>1</w:t>
      </w:r>
      <w:r w:rsidR="00A2756A" w:rsidRPr="004D0065">
        <w:rPr>
          <w:rFonts w:cs="Arial"/>
          <w:b/>
          <w:i w:val="0"/>
          <w:color w:val="000000" w:themeColor="text1"/>
          <w:sz w:val="22"/>
          <w:szCs w:val="22"/>
          <w:lang w:val="en-GB"/>
        </w:rPr>
        <w:fldChar w:fldCharType="end"/>
      </w:r>
      <w:r w:rsidR="00872CD1" w:rsidRPr="004D0065">
        <w:rPr>
          <w:rFonts w:cs="Arial"/>
          <w:b/>
          <w:i w:val="0"/>
          <w:color w:val="000000" w:themeColor="text1"/>
          <w:sz w:val="22"/>
          <w:szCs w:val="22"/>
          <w:lang w:val="en-GB"/>
        </w:rPr>
        <w:t>: National &amp; International Evidence Supporting Medication Safety</w:t>
      </w:r>
    </w:p>
    <w:p w:rsidR="000B3CA4" w:rsidRPr="004D0065" w:rsidRDefault="000B3CA4" w:rsidP="000B3CA4">
      <w:pPr>
        <w:spacing w:line="360" w:lineRule="auto"/>
        <w:jc w:val="center"/>
        <w:rPr>
          <w:rFonts w:cs="Arial"/>
          <w:color w:val="000000" w:themeColor="text1"/>
          <w:lang w:val="en-GB"/>
        </w:rPr>
      </w:pPr>
      <w:r w:rsidRPr="004D0065">
        <w:rPr>
          <w:rFonts w:cs="Arial"/>
          <w:color w:val="000000" w:themeColor="text1"/>
          <w:lang w:val="en-GB"/>
        </w:rPr>
        <w:t>(Source: Self-created)</w:t>
      </w:r>
    </w:p>
    <w:p w:rsidR="00F15AA0" w:rsidRPr="004D0065" w:rsidRDefault="00F15AA0" w:rsidP="00F15AA0">
      <w:pPr>
        <w:spacing w:line="360" w:lineRule="auto"/>
        <w:rPr>
          <w:rFonts w:cs="Arial"/>
          <w:color w:val="000000" w:themeColor="text1"/>
          <w:lang w:val="en-GB"/>
        </w:rPr>
      </w:pPr>
    </w:p>
    <w:p w:rsidR="000F2FD4" w:rsidRPr="004D0065" w:rsidRDefault="000F2FD4" w:rsidP="00CF0BB7">
      <w:pPr>
        <w:spacing w:line="360" w:lineRule="auto"/>
        <w:rPr>
          <w:rFonts w:cs="Arial"/>
          <w:color w:val="000000" w:themeColor="text1"/>
          <w:lang w:val="en-GB"/>
        </w:rPr>
      </w:pPr>
      <w:r w:rsidRPr="004D0065">
        <w:rPr>
          <w:rFonts w:cs="Arial"/>
          <w:color w:val="000000" w:themeColor="text1"/>
          <w:lang w:val="en-GB"/>
        </w:rPr>
        <w:t xml:space="preserve">The focal concern of this case study was a </w:t>
      </w:r>
      <w:r w:rsidR="00775CB8" w:rsidRPr="004D0065">
        <w:rPr>
          <w:rFonts w:cs="Arial"/>
          <w:color w:val="000000" w:themeColor="text1"/>
          <w:lang w:val="en-GB"/>
        </w:rPr>
        <w:t>four-week-old</w:t>
      </w:r>
      <w:r w:rsidRPr="004D0065">
        <w:rPr>
          <w:rFonts w:cs="Arial"/>
          <w:color w:val="000000" w:themeColor="text1"/>
          <w:lang w:val="en-GB"/>
        </w:rPr>
        <w:t xml:space="preserve"> baby </w:t>
      </w:r>
      <w:r w:rsidR="00775CB8" w:rsidRPr="004D0065">
        <w:rPr>
          <w:rFonts w:cs="Arial"/>
          <w:color w:val="000000" w:themeColor="text1"/>
          <w:lang w:val="en-GB"/>
        </w:rPr>
        <w:t>who</w:t>
      </w:r>
      <w:r w:rsidRPr="004D0065">
        <w:rPr>
          <w:rFonts w:cs="Arial"/>
          <w:color w:val="000000" w:themeColor="text1"/>
          <w:lang w:val="en-GB"/>
        </w:rPr>
        <w:t xml:space="preserve"> was taken to the Accident and Emergency after getting a morphine dose that </w:t>
      </w:r>
      <w:r w:rsidR="00775CB8" w:rsidRPr="004D0065">
        <w:rPr>
          <w:rFonts w:cs="Arial"/>
          <w:color w:val="000000" w:themeColor="text1"/>
          <w:lang w:val="en-GB"/>
        </w:rPr>
        <w:t>was</w:t>
      </w:r>
      <w:r w:rsidRPr="004D0065">
        <w:rPr>
          <w:rFonts w:cs="Arial"/>
          <w:color w:val="000000" w:themeColor="text1"/>
          <w:lang w:val="en-GB"/>
        </w:rPr>
        <w:t xml:space="preserve"> almost twenty times greater than it was supposed to be. The source of the overdose was when the parents of the infant gave their morphine sulphate oral solution of 10mg/5ml concentration rather than 100 mg/5 m</w:t>
      </w:r>
      <w:r w:rsidR="00F15AA0" w:rsidRPr="004D0065">
        <w:rPr>
          <w:rFonts w:cs="Arial"/>
          <w:color w:val="000000" w:themeColor="text1"/>
          <w:lang w:val="en-GB"/>
        </w:rPr>
        <w:t>L (HSSIB, 2022)</w:t>
      </w:r>
      <w:r w:rsidRPr="004D0065">
        <w:rPr>
          <w:rFonts w:cs="Arial"/>
          <w:color w:val="000000" w:themeColor="text1"/>
          <w:lang w:val="en-GB"/>
        </w:rPr>
        <w:t xml:space="preserve">. The parents continued to give the child the same amount of </w:t>
      </w:r>
      <w:r w:rsidR="00775CB8" w:rsidRPr="004D0065">
        <w:rPr>
          <w:rFonts w:cs="Arial"/>
          <w:color w:val="000000" w:themeColor="text1"/>
          <w:lang w:val="en-GB"/>
        </w:rPr>
        <w:t>evidence-based medicine</w:t>
      </w:r>
      <w:r w:rsidR="00C90AD5" w:rsidRPr="004D0065">
        <w:rPr>
          <w:rFonts w:cs="Arial"/>
          <w:color w:val="000000" w:themeColor="text1"/>
          <w:lang w:val="en-GB"/>
        </w:rPr>
        <w:t xml:space="preserve">. </w:t>
      </w:r>
      <w:r w:rsidR="00F15AA0" w:rsidRPr="004D0065">
        <w:rPr>
          <w:rFonts w:cs="Arial"/>
          <w:color w:val="000000" w:themeColor="text1"/>
          <w:lang w:val="en-GB"/>
        </w:rPr>
        <w:t>Thus,</w:t>
      </w:r>
      <w:r w:rsidRPr="004D0065">
        <w:rPr>
          <w:rFonts w:cs="Arial"/>
          <w:color w:val="000000" w:themeColor="text1"/>
          <w:lang w:val="en-GB"/>
        </w:rPr>
        <w:t xml:space="preserve"> resulting in an infant being given 3.8mg, not 190 µg as it was supposed to be, creating an overdose </w:t>
      </w:r>
      <w:r w:rsidR="008C64CA" w:rsidRPr="004D0065">
        <w:rPr>
          <w:rFonts w:cs="Arial"/>
          <w:color w:val="000000" w:themeColor="text1"/>
          <w:lang w:val="en-GB"/>
        </w:rPr>
        <w:t>that</w:t>
      </w:r>
      <w:r w:rsidRPr="004D0065">
        <w:rPr>
          <w:rFonts w:cs="Arial"/>
          <w:color w:val="000000" w:themeColor="text1"/>
          <w:lang w:val="en-GB"/>
        </w:rPr>
        <w:t xml:space="preserve"> can be fatal in any case and forcing emergency treatment using naloxone.</w:t>
      </w:r>
    </w:p>
    <w:p w:rsidR="003E63A1" w:rsidRPr="004D0065" w:rsidRDefault="003E63A1" w:rsidP="003E63A1">
      <w:pPr>
        <w:spacing w:line="360" w:lineRule="auto"/>
        <w:jc w:val="center"/>
        <w:rPr>
          <w:rFonts w:cs="Arial"/>
          <w:color w:val="000000" w:themeColor="text1"/>
          <w:lang w:val="en-GB"/>
        </w:rPr>
      </w:pPr>
      <w:r w:rsidRPr="004D0065">
        <w:rPr>
          <w:rFonts w:cs="Arial"/>
          <w:noProof/>
          <w:color w:val="000000" w:themeColor="text1"/>
        </w:rPr>
        <w:lastRenderedPageBreak/>
        <w:drawing>
          <wp:inline distT="0" distB="0" distL="0" distR="0">
            <wp:extent cx="2575294" cy="2580246"/>
            <wp:effectExtent l="38100" t="57150" r="110756" b="86754"/>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2576921" cy="25818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E63A1" w:rsidRPr="004D0065" w:rsidRDefault="003E63A1" w:rsidP="003E63A1">
      <w:pPr>
        <w:spacing w:line="360" w:lineRule="auto"/>
        <w:jc w:val="center"/>
        <w:rPr>
          <w:rFonts w:cs="Arial"/>
          <w:b/>
          <w:color w:val="000000" w:themeColor="text1"/>
          <w:lang w:val="en-GB"/>
        </w:rPr>
      </w:pPr>
      <w:r w:rsidRPr="004D0065">
        <w:rPr>
          <w:rFonts w:cs="Arial"/>
          <w:b/>
          <w:color w:val="000000" w:themeColor="text1"/>
          <w:lang w:val="en-GB"/>
        </w:rPr>
        <w:t>Figure 1: Discharge Care</w:t>
      </w:r>
    </w:p>
    <w:p w:rsidR="003E63A1" w:rsidRPr="004D0065" w:rsidRDefault="003E63A1" w:rsidP="003E63A1">
      <w:pPr>
        <w:spacing w:line="360" w:lineRule="auto"/>
        <w:jc w:val="center"/>
        <w:rPr>
          <w:rFonts w:cs="Arial"/>
          <w:color w:val="000000" w:themeColor="text1"/>
          <w:lang w:val="en-GB"/>
        </w:rPr>
      </w:pPr>
      <w:r w:rsidRPr="004D0065">
        <w:rPr>
          <w:rFonts w:cs="Arial"/>
          <w:color w:val="000000" w:themeColor="text1"/>
          <w:lang w:val="en-GB"/>
        </w:rPr>
        <w:t>(Source: Self-created)</w:t>
      </w:r>
    </w:p>
    <w:p w:rsidR="000F2FD4" w:rsidRPr="004D0065" w:rsidRDefault="00E32949" w:rsidP="00EE182A">
      <w:pPr>
        <w:pStyle w:val="NormalWeb"/>
        <w:spacing w:before="200" w:after="0" w:line="360" w:lineRule="auto"/>
        <w:rPr>
          <w:rFonts w:cs="Arial"/>
          <w:color w:val="000000" w:themeColor="text1"/>
          <w:highlight w:val="yellow"/>
        </w:rPr>
      </w:pPr>
      <w:r w:rsidRPr="004D0065">
        <w:rPr>
          <w:rFonts w:ascii="Arial" w:hAnsi="Arial" w:cs="Arial"/>
          <w:color w:val="000000" w:themeColor="text1"/>
          <w:sz w:val="22"/>
          <w:szCs w:val="22"/>
        </w:rPr>
        <w:t xml:space="preserve">The above figure shows the discharge care process that is affected by interdependently looked at factors like disability, home environment, patients, and postgraduate year (PGY) medical staff. According to systems thinking, the chain of misrelated failures across hospital discharge protocols, primary-care prescribing habits, pharmacy dispensing and communication between health practitioners and the patient family contributed to the overdose. This illustrates </w:t>
      </w:r>
      <w:proofErr w:type="gramStart"/>
      <w:r w:rsidRPr="004D0065">
        <w:rPr>
          <w:rFonts w:ascii="Arial" w:hAnsi="Arial" w:cs="Arial"/>
          <w:color w:val="000000" w:themeColor="text1"/>
          <w:sz w:val="22"/>
          <w:szCs w:val="22"/>
        </w:rPr>
        <w:t>that systems</w:t>
      </w:r>
      <w:proofErr w:type="gramEnd"/>
      <w:r w:rsidRPr="004D0065">
        <w:rPr>
          <w:rFonts w:ascii="Arial" w:hAnsi="Arial" w:cs="Arial"/>
          <w:color w:val="000000" w:themeColor="text1"/>
          <w:sz w:val="22"/>
          <w:szCs w:val="22"/>
        </w:rPr>
        <w:t xml:space="preserve"> thinking is an oblique approach to examine intricate healthcare events through the interactions of individuals, processes and surroundings, which all contribute to the understandings of patient safety outcomes.</w:t>
      </w:r>
      <w:r w:rsidRPr="004D0065">
        <w:rPr>
          <w:rFonts w:cs="Arial"/>
          <w:color w:val="000000" w:themeColor="text1"/>
        </w:rPr>
        <w:t xml:space="preserve"> </w:t>
      </w:r>
      <w:r w:rsidR="000F2FD4" w:rsidRPr="004D0065">
        <w:rPr>
          <w:rFonts w:ascii="Arial" w:hAnsi="Arial" w:cs="Arial"/>
          <w:color w:val="000000" w:themeColor="text1"/>
          <w:sz w:val="22"/>
          <w:szCs w:val="22"/>
          <w:lang w:val="en-GB"/>
        </w:rPr>
        <w:t>All aspects of the system were involved in creating the error, and it is a good representation of how vulnerabilities in multifaceted healthcare systems can build up until they lead to patient safety concerns.</w:t>
      </w:r>
      <w:sdt>
        <w:sdtPr>
          <w:rPr>
            <w:rFonts w:ascii="Arial" w:hAnsi="Arial" w:cs="Arial"/>
            <w:color w:val="000000" w:themeColor="text1"/>
            <w:sz w:val="22"/>
            <w:szCs w:val="22"/>
            <w:lang w:val="en-GB"/>
          </w:rPr>
          <w:id w:val="320782443"/>
          <w:citation/>
        </w:sdtPr>
        <w:sdtContent>
          <w:r w:rsidR="00A2756A" w:rsidRPr="004D0065">
            <w:rPr>
              <w:rFonts w:ascii="Arial" w:hAnsi="Arial" w:cs="Arial"/>
              <w:color w:val="000000" w:themeColor="text1"/>
              <w:sz w:val="22"/>
              <w:szCs w:val="22"/>
              <w:lang w:val="en-GB"/>
            </w:rPr>
            <w:fldChar w:fldCharType="begin"/>
          </w:r>
          <w:r w:rsidR="009231B1" w:rsidRPr="004D0065">
            <w:rPr>
              <w:rFonts w:ascii="Arial" w:hAnsi="Arial" w:cs="Arial"/>
              <w:color w:val="000000" w:themeColor="text1"/>
              <w:sz w:val="22"/>
              <w:szCs w:val="22"/>
              <w:lang w:val="en-GB"/>
            </w:rPr>
            <w:instrText xml:space="preserve"> CITATION Jia21 \l 1033 </w:instrText>
          </w:r>
          <w:r w:rsidR="00A2756A" w:rsidRPr="004D0065">
            <w:rPr>
              <w:rFonts w:ascii="Arial" w:hAnsi="Arial" w:cs="Arial"/>
              <w:color w:val="000000" w:themeColor="text1"/>
              <w:sz w:val="22"/>
              <w:szCs w:val="22"/>
              <w:lang w:val="en-GB"/>
            </w:rPr>
            <w:fldChar w:fldCharType="separate"/>
          </w:r>
          <w:r w:rsidR="009231B1" w:rsidRPr="004D0065">
            <w:rPr>
              <w:rFonts w:ascii="Arial" w:hAnsi="Arial" w:cs="Arial"/>
              <w:noProof/>
              <w:color w:val="000000" w:themeColor="text1"/>
              <w:sz w:val="22"/>
              <w:szCs w:val="22"/>
              <w:lang w:val="en-GB"/>
            </w:rPr>
            <w:t xml:space="preserve">(Jia </w:t>
          </w:r>
          <w:r w:rsidR="009231B1" w:rsidRPr="004D0065">
            <w:rPr>
              <w:rFonts w:ascii="Arial" w:hAnsi="Arial" w:cs="Arial"/>
              <w:i/>
              <w:iCs/>
              <w:noProof/>
              <w:color w:val="000000" w:themeColor="text1"/>
              <w:sz w:val="22"/>
              <w:szCs w:val="22"/>
              <w:lang w:val="en-GB"/>
            </w:rPr>
            <w:t>et al.,</w:t>
          </w:r>
          <w:r w:rsidR="009231B1" w:rsidRPr="004D0065">
            <w:rPr>
              <w:rFonts w:ascii="Arial" w:hAnsi="Arial" w:cs="Arial"/>
              <w:noProof/>
              <w:color w:val="000000" w:themeColor="text1"/>
              <w:sz w:val="22"/>
              <w:szCs w:val="22"/>
              <w:lang w:val="en-GB"/>
            </w:rPr>
            <w:t xml:space="preserve"> 2021)</w:t>
          </w:r>
          <w:r w:rsidR="00A2756A" w:rsidRPr="004D0065">
            <w:rPr>
              <w:rFonts w:ascii="Arial" w:hAnsi="Arial" w:cs="Arial"/>
              <w:color w:val="000000" w:themeColor="text1"/>
              <w:sz w:val="22"/>
              <w:szCs w:val="22"/>
              <w:lang w:val="en-GB"/>
            </w:rPr>
            <w:fldChar w:fldCharType="end"/>
          </w:r>
        </w:sdtContent>
      </w:sdt>
      <w:r w:rsidR="00EE182A" w:rsidRPr="004D0065">
        <w:rPr>
          <w:rFonts w:ascii="Arial" w:hAnsi="Arial" w:cs="Arial"/>
          <w:color w:val="000000" w:themeColor="text1"/>
          <w:sz w:val="22"/>
          <w:szCs w:val="22"/>
          <w:lang w:val="en-GB"/>
        </w:rPr>
        <w:t xml:space="preserve">. </w:t>
      </w:r>
      <w:r w:rsidR="000F2FD4" w:rsidRPr="004D0065">
        <w:rPr>
          <w:rFonts w:ascii="Arial" w:hAnsi="Arial" w:cs="Arial"/>
          <w:color w:val="000000" w:themeColor="text1"/>
          <w:sz w:val="22"/>
          <w:szCs w:val="22"/>
          <w:lang w:val="en-GB"/>
        </w:rPr>
        <w:t>The discharge summary is a significant information-transfer interface between the secondary and primary care services, in terms of systems. In case communications at this interface are ambiguous or incomplete, the chances of medication errors are increased significantly, since the information provided can be viewed in an erroneous way by downstream professionals in interpreting it.</w:t>
      </w:r>
      <w:sdt>
        <w:sdtPr>
          <w:rPr>
            <w:rFonts w:ascii="Arial" w:hAnsi="Arial" w:cs="Arial"/>
            <w:color w:val="000000" w:themeColor="text1"/>
            <w:sz w:val="22"/>
            <w:szCs w:val="22"/>
            <w:lang w:val="en-GB"/>
          </w:rPr>
          <w:id w:val="-225378724"/>
          <w:citation/>
        </w:sdtPr>
        <w:sdtContent>
          <w:r w:rsidR="00A2756A" w:rsidRPr="004D0065">
            <w:rPr>
              <w:rFonts w:ascii="Arial" w:hAnsi="Arial" w:cs="Arial"/>
              <w:color w:val="000000" w:themeColor="text1"/>
              <w:sz w:val="22"/>
              <w:szCs w:val="22"/>
              <w:lang w:val="en-GB"/>
            </w:rPr>
            <w:fldChar w:fldCharType="begin"/>
          </w:r>
          <w:r w:rsidR="009231B1" w:rsidRPr="004D0065">
            <w:rPr>
              <w:rFonts w:ascii="Arial" w:hAnsi="Arial" w:cs="Arial"/>
              <w:color w:val="000000" w:themeColor="text1"/>
              <w:sz w:val="22"/>
              <w:szCs w:val="22"/>
              <w:lang w:val="en-GB"/>
            </w:rPr>
            <w:instrText xml:space="preserve"> CITATION Rah231 \l 1033 </w:instrText>
          </w:r>
          <w:r w:rsidR="00A2756A" w:rsidRPr="004D0065">
            <w:rPr>
              <w:rFonts w:ascii="Arial" w:hAnsi="Arial" w:cs="Arial"/>
              <w:color w:val="000000" w:themeColor="text1"/>
              <w:sz w:val="22"/>
              <w:szCs w:val="22"/>
              <w:lang w:val="en-GB"/>
            </w:rPr>
            <w:fldChar w:fldCharType="separate"/>
          </w:r>
          <w:r w:rsidR="009231B1" w:rsidRPr="004D0065">
            <w:rPr>
              <w:rFonts w:ascii="Arial" w:hAnsi="Arial" w:cs="Arial"/>
              <w:noProof/>
              <w:color w:val="000000" w:themeColor="text1"/>
              <w:sz w:val="22"/>
              <w:szCs w:val="22"/>
              <w:lang w:val="en-GB"/>
            </w:rPr>
            <w:t xml:space="preserve">(Rahman </w:t>
          </w:r>
          <w:r w:rsidR="009231B1" w:rsidRPr="004D0065">
            <w:rPr>
              <w:rFonts w:ascii="Arial" w:hAnsi="Arial" w:cs="Arial"/>
              <w:i/>
              <w:iCs/>
              <w:noProof/>
              <w:color w:val="000000" w:themeColor="text1"/>
              <w:sz w:val="22"/>
              <w:szCs w:val="22"/>
              <w:lang w:val="en-GB"/>
            </w:rPr>
            <w:t>et al.,</w:t>
          </w:r>
          <w:r w:rsidR="009231B1" w:rsidRPr="004D0065">
            <w:rPr>
              <w:rFonts w:ascii="Arial" w:hAnsi="Arial" w:cs="Arial"/>
              <w:noProof/>
              <w:color w:val="000000" w:themeColor="text1"/>
              <w:sz w:val="22"/>
              <w:szCs w:val="22"/>
              <w:lang w:val="en-GB"/>
            </w:rPr>
            <w:t xml:space="preserve"> 2023)</w:t>
          </w:r>
          <w:r w:rsidR="00A2756A" w:rsidRPr="004D0065">
            <w:rPr>
              <w:rFonts w:ascii="Arial" w:hAnsi="Arial" w:cs="Arial"/>
              <w:color w:val="000000" w:themeColor="text1"/>
              <w:sz w:val="22"/>
              <w:szCs w:val="22"/>
              <w:lang w:val="en-GB"/>
            </w:rPr>
            <w:fldChar w:fldCharType="end"/>
          </w:r>
        </w:sdtContent>
      </w:sdt>
      <w:r w:rsidR="00436403" w:rsidRPr="004D0065">
        <w:rPr>
          <w:rFonts w:ascii="Arial" w:hAnsi="Arial" w:cs="Arial"/>
          <w:color w:val="000000" w:themeColor="text1"/>
          <w:sz w:val="22"/>
          <w:szCs w:val="22"/>
          <w:lang w:val="en-GB"/>
        </w:rPr>
        <w:t>.</w:t>
      </w:r>
    </w:p>
    <w:p w:rsidR="00EE6F0A" w:rsidRPr="004D0065" w:rsidRDefault="00EE6F0A" w:rsidP="00EE6F0A">
      <w:pPr>
        <w:spacing w:line="360" w:lineRule="auto"/>
        <w:jc w:val="center"/>
        <w:rPr>
          <w:rFonts w:cs="Arial"/>
          <w:color w:val="000000" w:themeColor="text1"/>
          <w:lang w:val="en-GB"/>
        </w:rPr>
      </w:pPr>
      <w:r w:rsidRPr="004D0065">
        <w:rPr>
          <w:rFonts w:cs="Arial"/>
          <w:noProof/>
          <w:color w:val="000000" w:themeColor="text1"/>
        </w:rPr>
        <w:lastRenderedPageBreak/>
        <w:drawing>
          <wp:inline distT="0" distB="0" distL="0" distR="0">
            <wp:extent cx="2958067" cy="3347911"/>
            <wp:effectExtent l="38100" t="57150" r="108983" b="100139"/>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2958085" cy="33479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E6F0A" w:rsidRPr="004D0065" w:rsidRDefault="00EE6F0A" w:rsidP="00EE6F0A">
      <w:pPr>
        <w:spacing w:line="360" w:lineRule="auto"/>
        <w:jc w:val="center"/>
        <w:rPr>
          <w:rFonts w:cs="Arial"/>
          <w:b/>
          <w:color w:val="000000" w:themeColor="text1"/>
          <w:lang w:val="en-GB"/>
        </w:rPr>
      </w:pPr>
      <w:r w:rsidRPr="004D0065">
        <w:rPr>
          <w:rFonts w:cs="Arial"/>
          <w:b/>
          <w:color w:val="000000" w:themeColor="text1"/>
          <w:lang w:val="en-GB"/>
        </w:rPr>
        <w:t>Figure 2: Part of primary care and local social prescribing</w:t>
      </w:r>
    </w:p>
    <w:p w:rsidR="00EE6F0A" w:rsidRPr="004D0065" w:rsidRDefault="00EE6F0A" w:rsidP="00EE6F0A">
      <w:pPr>
        <w:spacing w:line="360" w:lineRule="auto"/>
        <w:jc w:val="center"/>
        <w:rPr>
          <w:rFonts w:cs="Arial"/>
          <w:color w:val="000000" w:themeColor="text1"/>
        </w:rPr>
      </w:pPr>
      <w:r w:rsidRPr="004D0065">
        <w:rPr>
          <w:rFonts w:cs="Arial"/>
          <w:color w:val="000000" w:themeColor="text1"/>
          <w:lang w:val="en-GB"/>
        </w:rPr>
        <w:t xml:space="preserve">(Source: </w:t>
      </w:r>
      <w:r w:rsidRPr="004D0065">
        <w:rPr>
          <w:rFonts w:cs="Arial"/>
          <w:color w:val="000000" w:themeColor="text1"/>
        </w:rPr>
        <w:t>NHS, 2026)</w:t>
      </w:r>
    </w:p>
    <w:p w:rsidR="00436403" w:rsidRDefault="004C25C5" w:rsidP="00C5011E">
      <w:pPr>
        <w:pStyle w:val="NormalWeb"/>
        <w:spacing w:before="200" w:beforeAutospacing="0" w:after="0" w:afterAutospacing="0"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t xml:space="preserve">The above figure shows the role of social prescribing </w:t>
      </w:r>
      <w:proofErr w:type="spellStart"/>
      <w:r w:rsidRPr="004D0065">
        <w:rPr>
          <w:rFonts w:ascii="Arial" w:hAnsi="Arial" w:cs="Arial"/>
          <w:color w:val="000000" w:themeColor="text1"/>
          <w:sz w:val="22"/>
          <w:szCs w:val="22"/>
        </w:rPr>
        <w:t>lon</w:t>
      </w:r>
      <w:proofErr w:type="spellEnd"/>
      <w:r w:rsidRPr="004D0065">
        <w:rPr>
          <w:rFonts w:ascii="Arial" w:hAnsi="Arial" w:cs="Arial"/>
          <w:color w:val="000000" w:themeColor="text1"/>
          <w:sz w:val="22"/>
          <w:szCs w:val="22"/>
        </w:rPr>
        <w:t xml:space="preserve"> workers in the primary care and community networks. </w:t>
      </w:r>
      <w:r w:rsidR="000F2FD4" w:rsidRPr="004D0065">
        <w:rPr>
          <w:rFonts w:ascii="Arial" w:hAnsi="Arial" w:cs="Arial"/>
          <w:color w:val="000000" w:themeColor="text1"/>
          <w:sz w:val="22"/>
          <w:szCs w:val="22"/>
          <w:lang w:val="en-GB"/>
        </w:rPr>
        <w:t xml:space="preserve">This mistake demonstrates how lack of knowledge and problems with </w:t>
      </w:r>
      <w:r w:rsidR="00290A9E" w:rsidRPr="004D0065">
        <w:rPr>
          <w:rFonts w:ascii="Arial" w:hAnsi="Arial" w:cs="Arial"/>
          <w:color w:val="000000" w:themeColor="text1"/>
          <w:sz w:val="22"/>
          <w:szCs w:val="22"/>
          <w:lang w:val="en-GB"/>
        </w:rPr>
        <w:t>system</w:t>
      </w:r>
      <w:r w:rsidR="000F2FD4" w:rsidRPr="004D0065">
        <w:rPr>
          <w:rFonts w:ascii="Arial" w:hAnsi="Arial" w:cs="Arial"/>
          <w:color w:val="000000" w:themeColor="text1"/>
          <w:sz w:val="22"/>
          <w:szCs w:val="22"/>
          <w:lang w:val="en-GB"/>
        </w:rPr>
        <w:t xml:space="preserve"> design may affect prescribing choices. The morphine preparation that was to be given to the infant was a high-risk (HIGH) RED drug, which in most cases is expected to be initiated and administered in hospitals rather than primary care facilities. The mechanism that such protection could not exclude the prescribing error point to the existence of flaws in governance systems created to handle high-risk medications.</w:t>
      </w:r>
      <w:sdt>
        <w:sdtPr>
          <w:rPr>
            <w:rFonts w:ascii="Arial" w:hAnsi="Arial" w:cs="Arial"/>
            <w:color w:val="000000" w:themeColor="text1"/>
            <w:sz w:val="22"/>
            <w:szCs w:val="22"/>
            <w:lang w:val="en-GB"/>
          </w:rPr>
          <w:id w:val="563603408"/>
          <w:citation/>
        </w:sdtPr>
        <w:sdtContent>
          <w:r w:rsidR="00A2756A" w:rsidRPr="004D0065">
            <w:rPr>
              <w:rFonts w:ascii="Arial" w:hAnsi="Arial" w:cs="Arial"/>
              <w:color w:val="000000" w:themeColor="text1"/>
              <w:sz w:val="22"/>
              <w:szCs w:val="22"/>
              <w:lang w:val="en-GB"/>
            </w:rPr>
            <w:fldChar w:fldCharType="begin"/>
          </w:r>
          <w:r w:rsidR="009231B1" w:rsidRPr="004D0065">
            <w:rPr>
              <w:rFonts w:ascii="Arial" w:hAnsi="Arial" w:cs="Arial"/>
              <w:color w:val="000000" w:themeColor="text1"/>
              <w:sz w:val="22"/>
              <w:szCs w:val="22"/>
              <w:lang w:val="en-GB"/>
            </w:rPr>
            <w:instrText xml:space="preserve"> CITATION Eze25 \l 1033 </w:instrText>
          </w:r>
          <w:r w:rsidR="00A2756A" w:rsidRPr="004D0065">
            <w:rPr>
              <w:rFonts w:ascii="Arial" w:hAnsi="Arial" w:cs="Arial"/>
              <w:color w:val="000000" w:themeColor="text1"/>
              <w:sz w:val="22"/>
              <w:szCs w:val="22"/>
              <w:lang w:val="en-GB"/>
            </w:rPr>
            <w:fldChar w:fldCharType="separate"/>
          </w:r>
          <w:r w:rsidR="009231B1" w:rsidRPr="004D0065">
            <w:rPr>
              <w:rFonts w:ascii="Arial" w:hAnsi="Arial" w:cs="Arial"/>
              <w:noProof/>
              <w:color w:val="000000" w:themeColor="text1"/>
              <w:sz w:val="22"/>
              <w:szCs w:val="22"/>
              <w:lang w:val="en-GB"/>
            </w:rPr>
            <w:t xml:space="preserve">(Eze </w:t>
          </w:r>
          <w:r w:rsidR="009231B1" w:rsidRPr="004D0065">
            <w:rPr>
              <w:rFonts w:ascii="Arial" w:hAnsi="Arial" w:cs="Arial"/>
              <w:i/>
              <w:iCs/>
              <w:noProof/>
              <w:color w:val="000000" w:themeColor="text1"/>
              <w:sz w:val="22"/>
              <w:szCs w:val="22"/>
              <w:lang w:val="en-GB"/>
            </w:rPr>
            <w:t>et al.,</w:t>
          </w:r>
          <w:r w:rsidR="009231B1" w:rsidRPr="004D0065">
            <w:rPr>
              <w:rFonts w:ascii="Arial" w:hAnsi="Arial" w:cs="Arial"/>
              <w:noProof/>
              <w:color w:val="000000" w:themeColor="text1"/>
              <w:sz w:val="22"/>
              <w:szCs w:val="22"/>
              <w:lang w:val="en-GB"/>
            </w:rPr>
            <w:t xml:space="preserve"> 2025)</w:t>
          </w:r>
          <w:r w:rsidR="00A2756A" w:rsidRPr="004D0065">
            <w:rPr>
              <w:rFonts w:ascii="Arial" w:hAnsi="Arial" w:cs="Arial"/>
              <w:color w:val="000000" w:themeColor="text1"/>
              <w:sz w:val="22"/>
              <w:szCs w:val="22"/>
              <w:lang w:val="en-GB"/>
            </w:rPr>
            <w:fldChar w:fldCharType="end"/>
          </w:r>
        </w:sdtContent>
      </w:sdt>
      <w:r w:rsidR="001E1BD5" w:rsidRPr="004D0065">
        <w:rPr>
          <w:rFonts w:ascii="Arial" w:hAnsi="Arial" w:cs="Arial"/>
          <w:color w:val="000000" w:themeColor="text1"/>
          <w:sz w:val="22"/>
          <w:szCs w:val="22"/>
          <w:lang w:val="en-GB"/>
        </w:rPr>
        <w:t xml:space="preserve"> Furthermore</w:t>
      </w:r>
      <w:r w:rsidR="000F2FD4" w:rsidRPr="004D0065">
        <w:rPr>
          <w:rFonts w:ascii="Arial" w:hAnsi="Arial" w:cs="Arial"/>
          <w:color w:val="000000" w:themeColor="text1"/>
          <w:sz w:val="22"/>
          <w:szCs w:val="22"/>
          <w:lang w:val="en-GB"/>
        </w:rPr>
        <w:t xml:space="preserve">, the dispensing label lacked clarity regarding the volume of dose that was supposed to be used, and </w:t>
      </w:r>
      <w:r w:rsidR="00436403" w:rsidRPr="004D0065">
        <w:rPr>
          <w:rFonts w:ascii="Arial" w:hAnsi="Arial" w:cs="Arial"/>
          <w:color w:val="000000" w:themeColor="text1"/>
          <w:sz w:val="22"/>
          <w:szCs w:val="22"/>
          <w:lang w:val="en-GB"/>
        </w:rPr>
        <w:t xml:space="preserve">the </w:t>
      </w:r>
      <w:r w:rsidR="000F2FD4" w:rsidRPr="004D0065">
        <w:rPr>
          <w:rFonts w:ascii="Arial" w:hAnsi="Arial" w:cs="Arial"/>
          <w:color w:val="000000" w:themeColor="text1"/>
          <w:sz w:val="22"/>
          <w:szCs w:val="22"/>
          <w:lang w:val="en-GB"/>
        </w:rPr>
        <w:t xml:space="preserve">appropriate syringe to be used to measure a minute amount of medication was not made available to the parents. These process malfunctions demonstrate the way in which </w:t>
      </w:r>
      <w:r w:rsidR="00436403" w:rsidRPr="004D0065">
        <w:rPr>
          <w:rFonts w:ascii="Arial" w:hAnsi="Arial" w:cs="Arial"/>
          <w:color w:val="000000" w:themeColor="text1"/>
          <w:sz w:val="22"/>
          <w:szCs w:val="22"/>
          <w:lang w:val="en-GB"/>
        </w:rPr>
        <w:t xml:space="preserve">a </w:t>
      </w:r>
      <w:r w:rsidR="000F2FD4" w:rsidRPr="004D0065">
        <w:rPr>
          <w:rFonts w:ascii="Arial" w:hAnsi="Arial" w:cs="Arial"/>
          <w:color w:val="000000" w:themeColor="text1"/>
          <w:sz w:val="22"/>
          <w:szCs w:val="22"/>
          <w:lang w:val="en-GB"/>
        </w:rPr>
        <w:t>lack of strong verification systems and efficient communication between professionals may permit the occurrence of mistakes which may make it through various safety nets.</w:t>
      </w:r>
      <w:sdt>
        <w:sdtPr>
          <w:rPr>
            <w:rFonts w:ascii="Arial" w:hAnsi="Arial" w:cs="Arial"/>
            <w:color w:val="000000" w:themeColor="text1"/>
            <w:sz w:val="22"/>
            <w:szCs w:val="22"/>
            <w:lang w:val="en-GB"/>
          </w:rPr>
          <w:id w:val="27617797"/>
          <w:citation/>
        </w:sdtPr>
        <w:sdtContent>
          <w:r w:rsidR="00A2756A" w:rsidRPr="004D0065">
            <w:rPr>
              <w:rFonts w:ascii="Arial" w:hAnsi="Arial" w:cs="Arial"/>
              <w:color w:val="000000" w:themeColor="text1"/>
              <w:sz w:val="22"/>
              <w:szCs w:val="22"/>
              <w:lang w:val="en-GB"/>
            </w:rPr>
            <w:fldChar w:fldCharType="begin"/>
          </w:r>
          <w:r w:rsidR="009231B1" w:rsidRPr="004D0065">
            <w:rPr>
              <w:rFonts w:ascii="Arial" w:hAnsi="Arial" w:cs="Arial"/>
              <w:color w:val="000000" w:themeColor="text1"/>
              <w:sz w:val="22"/>
              <w:szCs w:val="22"/>
              <w:lang w:val="en-GB"/>
            </w:rPr>
            <w:instrText xml:space="preserve"> CITATION Sal254 \l 1033 </w:instrText>
          </w:r>
          <w:r w:rsidR="00A2756A" w:rsidRPr="004D0065">
            <w:rPr>
              <w:rFonts w:ascii="Arial" w:hAnsi="Arial" w:cs="Arial"/>
              <w:color w:val="000000" w:themeColor="text1"/>
              <w:sz w:val="22"/>
              <w:szCs w:val="22"/>
              <w:lang w:val="en-GB"/>
            </w:rPr>
            <w:fldChar w:fldCharType="separate"/>
          </w:r>
          <w:r w:rsidR="009231B1" w:rsidRPr="004D0065">
            <w:rPr>
              <w:rFonts w:ascii="Arial" w:hAnsi="Arial" w:cs="Arial"/>
              <w:noProof/>
              <w:color w:val="000000" w:themeColor="text1"/>
              <w:sz w:val="22"/>
              <w:szCs w:val="22"/>
              <w:lang w:val="en-GB"/>
            </w:rPr>
            <w:t xml:space="preserve">(Salman </w:t>
          </w:r>
          <w:r w:rsidR="009231B1" w:rsidRPr="004D0065">
            <w:rPr>
              <w:rFonts w:ascii="Arial" w:hAnsi="Arial" w:cs="Arial"/>
              <w:i/>
              <w:iCs/>
              <w:noProof/>
              <w:color w:val="000000" w:themeColor="text1"/>
              <w:sz w:val="22"/>
              <w:szCs w:val="22"/>
              <w:lang w:val="en-GB"/>
            </w:rPr>
            <w:t>et al.,</w:t>
          </w:r>
          <w:r w:rsidR="009231B1" w:rsidRPr="004D0065">
            <w:rPr>
              <w:rFonts w:ascii="Arial" w:hAnsi="Arial" w:cs="Arial"/>
              <w:noProof/>
              <w:color w:val="000000" w:themeColor="text1"/>
              <w:sz w:val="22"/>
              <w:szCs w:val="22"/>
              <w:lang w:val="en-GB"/>
            </w:rPr>
            <w:t xml:space="preserve"> 2025)</w:t>
          </w:r>
          <w:r w:rsidR="00A2756A" w:rsidRPr="004D0065">
            <w:rPr>
              <w:rFonts w:ascii="Arial" w:hAnsi="Arial" w:cs="Arial"/>
              <w:color w:val="000000" w:themeColor="text1"/>
              <w:sz w:val="22"/>
              <w:szCs w:val="22"/>
              <w:lang w:val="en-GB"/>
            </w:rPr>
            <w:fldChar w:fldCharType="end"/>
          </w:r>
        </w:sdtContent>
      </w:sdt>
      <w:r w:rsidR="00133EC7" w:rsidRPr="004D0065">
        <w:rPr>
          <w:rFonts w:ascii="Arial" w:hAnsi="Arial" w:cs="Arial"/>
          <w:color w:val="000000" w:themeColor="text1"/>
          <w:sz w:val="22"/>
          <w:szCs w:val="22"/>
          <w:lang w:val="en-GB"/>
        </w:rPr>
        <w:t>.</w:t>
      </w:r>
    </w:p>
    <w:p w:rsidR="008C3B4E" w:rsidRDefault="008C3B4E" w:rsidP="00C5011E">
      <w:pPr>
        <w:pStyle w:val="NormalWeb"/>
        <w:spacing w:before="200" w:beforeAutospacing="0" w:after="0" w:afterAutospacing="0" w:line="360" w:lineRule="auto"/>
        <w:rPr>
          <w:rFonts w:ascii="Arial" w:hAnsi="Arial" w:cs="Arial"/>
          <w:color w:val="000000" w:themeColor="text1"/>
          <w:sz w:val="22"/>
          <w:szCs w:val="22"/>
          <w:lang w:val="en-GB"/>
        </w:rPr>
      </w:pPr>
    </w:p>
    <w:p w:rsidR="008C3B4E" w:rsidRDefault="008C3B4E" w:rsidP="00C5011E">
      <w:pPr>
        <w:pStyle w:val="NormalWeb"/>
        <w:spacing w:before="200" w:beforeAutospacing="0" w:after="0" w:afterAutospacing="0" w:line="360" w:lineRule="auto"/>
        <w:rPr>
          <w:rFonts w:ascii="Arial" w:hAnsi="Arial" w:cs="Arial"/>
          <w:color w:val="000000" w:themeColor="text1"/>
          <w:sz w:val="22"/>
          <w:szCs w:val="22"/>
          <w:lang w:val="en-GB"/>
        </w:rPr>
      </w:pPr>
    </w:p>
    <w:p w:rsidR="008C3B4E" w:rsidRPr="004D0065" w:rsidRDefault="008C3B4E" w:rsidP="00C5011E">
      <w:pPr>
        <w:pStyle w:val="NormalWeb"/>
        <w:spacing w:before="200" w:beforeAutospacing="0" w:after="0" w:afterAutospacing="0" w:line="360" w:lineRule="auto"/>
        <w:rPr>
          <w:rFonts w:ascii="Arial" w:hAnsi="Arial" w:cs="Arial"/>
          <w:color w:val="000000" w:themeColor="text1"/>
          <w:sz w:val="22"/>
          <w:szCs w:val="22"/>
          <w:lang w:val="en-GB"/>
        </w:rPr>
      </w:pPr>
    </w:p>
    <w:p w:rsidR="00133EC7" w:rsidRPr="004D0065" w:rsidRDefault="00133EC7" w:rsidP="00133EC7">
      <w:pPr>
        <w:rPr>
          <w:rFonts w:cs="Arial"/>
          <w:b/>
          <w:i/>
          <w:color w:val="000000" w:themeColor="text1"/>
        </w:rPr>
      </w:pPr>
      <w:r w:rsidRPr="004D0065">
        <w:rPr>
          <w:rFonts w:cs="Arial"/>
          <w:b/>
          <w:i/>
          <w:color w:val="000000" w:themeColor="text1"/>
        </w:rPr>
        <w:t>CATWOE Analysis Table</w:t>
      </w:r>
    </w:p>
    <w:tbl>
      <w:tblPr>
        <w:tblW w:w="0" w:type="auto"/>
        <w:jc w:val="center"/>
        <w:tblCellMar>
          <w:top w:w="15" w:type="dxa"/>
          <w:left w:w="15" w:type="dxa"/>
          <w:bottom w:w="15" w:type="dxa"/>
          <w:right w:w="15" w:type="dxa"/>
        </w:tblCellMar>
        <w:tblLook w:val="04A0"/>
      </w:tblPr>
      <w:tblGrid>
        <w:gridCol w:w="1814"/>
        <w:gridCol w:w="7746"/>
      </w:tblGrid>
      <w:tr w:rsidR="004D0065" w:rsidRPr="004D0065" w:rsidTr="005F1DE4">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jc w:val="center"/>
              <w:rPr>
                <w:rFonts w:ascii="Arial" w:hAnsi="Arial" w:cs="Arial"/>
                <w:color w:val="000000" w:themeColor="text1"/>
                <w:sz w:val="22"/>
                <w:szCs w:val="22"/>
              </w:rPr>
            </w:pPr>
            <w:r w:rsidRPr="004D0065">
              <w:rPr>
                <w:rFonts w:ascii="Arial" w:hAnsi="Arial" w:cs="Arial"/>
                <w:b/>
                <w:bCs/>
                <w:color w:val="000000" w:themeColor="text1"/>
                <w:sz w:val="22"/>
                <w:szCs w:val="22"/>
              </w:rPr>
              <w:t>Element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jc w:val="center"/>
              <w:rPr>
                <w:rFonts w:ascii="Arial" w:hAnsi="Arial" w:cs="Arial"/>
                <w:color w:val="000000" w:themeColor="text1"/>
                <w:sz w:val="22"/>
                <w:szCs w:val="22"/>
              </w:rPr>
            </w:pPr>
            <w:r w:rsidRPr="004D0065">
              <w:rPr>
                <w:rFonts w:ascii="Arial" w:hAnsi="Arial" w:cs="Arial"/>
                <w:b/>
                <w:bCs/>
                <w:color w:val="000000" w:themeColor="text1"/>
                <w:sz w:val="22"/>
                <w:szCs w:val="22"/>
              </w:rPr>
              <w:t>Analysis</w:t>
            </w:r>
          </w:p>
        </w:tc>
      </w:tr>
      <w:tr w:rsidR="004D0065" w:rsidRPr="004D0065" w:rsidTr="005F1DE4">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b/>
                <w:bCs/>
                <w:color w:val="000000" w:themeColor="text1"/>
                <w:sz w:val="22"/>
                <w:szCs w:val="22"/>
              </w:rPr>
              <w:t>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color w:val="000000" w:themeColor="text1"/>
                <w:sz w:val="22"/>
                <w:szCs w:val="22"/>
              </w:rPr>
              <w:t>Patients and families directly affected by medication errors, relying on safe prescribing and clear discharge communication.</w:t>
            </w:r>
          </w:p>
        </w:tc>
      </w:tr>
      <w:tr w:rsidR="004D0065" w:rsidRPr="004D0065" w:rsidTr="005F1DE4">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b/>
                <w:bCs/>
                <w:color w:val="000000" w:themeColor="text1"/>
                <w:sz w:val="22"/>
                <w:szCs w:val="22"/>
              </w:rPr>
              <w:t>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color w:val="000000" w:themeColor="text1"/>
                <w:sz w:val="22"/>
                <w:szCs w:val="22"/>
              </w:rPr>
              <w:t>Hospital staff, general practitioners (GPs), and pharmacists involved in prescribing, dispensing, and monitoring medication.</w:t>
            </w:r>
          </w:p>
        </w:tc>
      </w:tr>
      <w:tr w:rsidR="004D0065" w:rsidRPr="004D0065" w:rsidTr="005F1DE4">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b/>
                <w:bCs/>
                <w:color w:val="000000" w:themeColor="text1"/>
                <w:sz w:val="22"/>
                <w:szCs w:val="22"/>
              </w:rPr>
              <w:t>Transformation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color w:val="000000" w:themeColor="text1"/>
                <w:sz w:val="22"/>
                <w:szCs w:val="22"/>
              </w:rPr>
              <w:t>Intended transformation is safe prescribing and administration; however, systemic weaknesses led to overdose risk.</w:t>
            </w:r>
          </w:p>
        </w:tc>
      </w:tr>
      <w:tr w:rsidR="004D0065" w:rsidRPr="004D0065" w:rsidTr="005F1DE4">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b/>
                <w:bCs/>
                <w:color w:val="000000" w:themeColor="text1"/>
                <w:sz w:val="22"/>
                <w:szCs w:val="22"/>
              </w:rPr>
              <w:t>Worldview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color w:val="000000" w:themeColor="text1"/>
                <w:sz w:val="22"/>
                <w:szCs w:val="22"/>
              </w:rPr>
              <w:t>Patient safety must remain the central priority, requiring integrated communication and governance.</w:t>
            </w:r>
          </w:p>
        </w:tc>
      </w:tr>
      <w:tr w:rsidR="004D0065" w:rsidRPr="004D0065" w:rsidTr="005F1DE4">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b/>
                <w:bCs/>
                <w:color w:val="000000" w:themeColor="text1"/>
                <w:sz w:val="22"/>
                <w:szCs w:val="22"/>
              </w:rPr>
              <w:t>Owners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color w:val="000000" w:themeColor="text1"/>
                <w:sz w:val="22"/>
                <w:szCs w:val="22"/>
              </w:rPr>
              <w:t xml:space="preserve">NHS governance bodies and regulatory authorities </w:t>
            </w:r>
            <w:r w:rsidR="00775CB8" w:rsidRPr="004D0065">
              <w:rPr>
                <w:rFonts w:ascii="Arial" w:hAnsi="Arial" w:cs="Arial"/>
                <w:color w:val="000000" w:themeColor="text1"/>
                <w:sz w:val="22"/>
                <w:szCs w:val="22"/>
              </w:rPr>
              <w:t xml:space="preserve">are </w:t>
            </w:r>
            <w:r w:rsidRPr="004D0065">
              <w:rPr>
                <w:rFonts w:ascii="Arial" w:hAnsi="Arial" w:cs="Arial"/>
                <w:color w:val="000000" w:themeColor="text1"/>
                <w:sz w:val="22"/>
                <w:szCs w:val="22"/>
              </w:rPr>
              <w:t>responsible for enforcing RED drug policies and safety standards.</w:t>
            </w:r>
          </w:p>
        </w:tc>
      </w:tr>
      <w:tr w:rsidR="004D0065" w:rsidRPr="004D0065" w:rsidTr="005F1DE4">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b/>
                <w:bCs/>
                <w:color w:val="000000" w:themeColor="text1"/>
                <w:sz w:val="22"/>
                <w:szCs w:val="22"/>
              </w:rPr>
              <w:t>Environment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33EC7" w:rsidRPr="004D0065" w:rsidRDefault="00133EC7" w:rsidP="00133EC7">
            <w:pPr>
              <w:pStyle w:val="NormalWeb"/>
              <w:spacing w:before="0" w:beforeAutospacing="0" w:after="0" w:afterAutospacing="0" w:line="360" w:lineRule="auto"/>
              <w:rPr>
                <w:rFonts w:ascii="Arial" w:hAnsi="Arial" w:cs="Arial"/>
                <w:color w:val="000000" w:themeColor="text1"/>
                <w:sz w:val="22"/>
                <w:szCs w:val="22"/>
              </w:rPr>
            </w:pPr>
            <w:r w:rsidRPr="004D0065">
              <w:rPr>
                <w:rFonts w:ascii="Arial" w:hAnsi="Arial" w:cs="Arial"/>
                <w:color w:val="000000" w:themeColor="text1"/>
                <w:sz w:val="22"/>
                <w:szCs w:val="22"/>
              </w:rPr>
              <w:t xml:space="preserve">Resource constraints, fragmented communication systems, and </w:t>
            </w:r>
            <w:r w:rsidR="00775CB8" w:rsidRPr="004D0065">
              <w:rPr>
                <w:rFonts w:ascii="Arial" w:hAnsi="Arial" w:cs="Arial"/>
                <w:color w:val="000000" w:themeColor="text1"/>
                <w:sz w:val="22"/>
                <w:szCs w:val="22"/>
              </w:rPr>
              <w:t>organizational</w:t>
            </w:r>
            <w:r w:rsidRPr="004D0065">
              <w:rPr>
                <w:rFonts w:ascii="Arial" w:hAnsi="Arial" w:cs="Arial"/>
                <w:color w:val="000000" w:themeColor="text1"/>
                <w:sz w:val="22"/>
                <w:szCs w:val="22"/>
              </w:rPr>
              <w:t xml:space="preserve"> silos increase vulnerability to errors.</w:t>
            </w:r>
          </w:p>
        </w:tc>
      </w:tr>
    </w:tbl>
    <w:p w:rsidR="00133EC7" w:rsidRPr="004D0065" w:rsidRDefault="00133EC7" w:rsidP="00133EC7">
      <w:pPr>
        <w:pStyle w:val="NormalWeb"/>
        <w:spacing w:before="200" w:beforeAutospacing="0" w:after="0" w:afterAutospacing="0" w:line="360" w:lineRule="auto"/>
        <w:jc w:val="center"/>
        <w:rPr>
          <w:rFonts w:ascii="Arial" w:hAnsi="Arial" w:cs="Arial"/>
          <w:color w:val="000000" w:themeColor="text1"/>
          <w:sz w:val="22"/>
          <w:szCs w:val="22"/>
        </w:rPr>
      </w:pPr>
      <w:r w:rsidRPr="004D0065">
        <w:rPr>
          <w:rFonts w:ascii="Arial" w:hAnsi="Arial" w:cs="Arial"/>
          <w:b/>
          <w:bCs/>
          <w:color w:val="000000" w:themeColor="text1"/>
          <w:sz w:val="22"/>
          <w:szCs w:val="22"/>
        </w:rPr>
        <w:t xml:space="preserve">Table </w:t>
      </w:r>
      <w:r w:rsidR="005C74BC" w:rsidRPr="004D0065">
        <w:rPr>
          <w:rFonts w:ascii="Arial" w:hAnsi="Arial" w:cs="Arial"/>
          <w:b/>
          <w:bCs/>
          <w:color w:val="000000" w:themeColor="text1"/>
          <w:sz w:val="22"/>
          <w:szCs w:val="22"/>
        </w:rPr>
        <w:t>2</w:t>
      </w:r>
      <w:r w:rsidRPr="004D0065">
        <w:rPr>
          <w:rFonts w:ascii="Arial" w:hAnsi="Arial" w:cs="Arial"/>
          <w:b/>
          <w:bCs/>
          <w:color w:val="000000" w:themeColor="text1"/>
          <w:sz w:val="22"/>
          <w:szCs w:val="22"/>
        </w:rPr>
        <w:t>: CATWOE framework</w:t>
      </w:r>
    </w:p>
    <w:p w:rsidR="00133EC7" w:rsidRPr="004D0065" w:rsidRDefault="00133EC7" w:rsidP="00133EC7">
      <w:pPr>
        <w:pStyle w:val="NormalWeb"/>
        <w:spacing w:before="200" w:beforeAutospacing="0" w:after="0" w:afterAutospacing="0" w:line="360" w:lineRule="auto"/>
        <w:jc w:val="center"/>
        <w:rPr>
          <w:rFonts w:ascii="Arial" w:hAnsi="Arial" w:cs="Arial"/>
          <w:color w:val="000000" w:themeColor="text1"/>
          <w:sz w:val="22"/>
          <w:szCs w:val="22"/>
        </w:rPr>
      </w:pPr>
      <w:r w:rsidRPr="004D0065">
        <w:rPr>
          <w:rFonts w:ascii="Arial" w:hAnsi="Arial" w:cs="Arial"/>
          <w:color w:val="000000" w:themeColor="text1"/>
          <w:sz w:val="22"/>
          <w:szCs w:val="22"/>
        </w:rPr>
        <w:t>(Source: Self-created)</w:t>
      </w:r>
    </w:p>
    <w:p w:rsidR="00133EC7" w:rsidRPr="004D0065" w:rsidRDefault="00133EC7" w:rsidP="00133EC7">
      <w:pPr>
        <w:pStyle w:val="NormalWeb"/>
        <w:spacing w:before="200" w:beforeAutospacing="0" w:after="0" w:afterAutospacing="0" w:line="360" w:lineRule="auto"/>
        <w:rPr>
          <w:rFonts w:ascii="Arial" w:hAnsi="Arial" w:cs="Arial"/>
          <w:b/>
          <w:bCs/>
          <w:i/>
          <w:iCs/>
          <w:color w:val="000000" w:themeColor="text1"/>
          <w:sz w:val="22"/>
          <w:szCs w:val="22"/>
        </w:rPr>
      </w:pPr>
      <w:r w:rsidRPr="004D0065">
        <w:rPr>
          <w:rFonts w:ascii="Arial" w:hAnsi="Arial" w:cs="Arial"/>
          <w:b/>
          <w:bCs/>
          <w:i/>
          <w:iCs/>
          <w:color w:val="000000" w:themeColor="text1"/>
          <w:sz w:val="22"/>
          <w:szCs w:val="22"/>
        </w:rPr>
        <w:t>Analysis</w:t>
      </w:r>
    </w:p>
    <w:p w:rsidR="00505506" w:rsidRPr="004D0065" w:rsidRDefault="00505506" w:rsidP="00505506">
      <w:pPr>
        <w:spacing w:line="360" w:lineRule="auto"/>
        <w:rPr>
          <w:color w:val="000000" w:themeColor="text1"/>
        </w:rPr>
      </w:pPr>
      <w:r w:rsidRPr="004D0065">
        <w:rPr>
          <w:color w:val="000000" w:themeColor="text1"/>
        </w:rPr>
        <w:t xml:space="preserve">The CATWOE is a helpful framework that can be used to examine multiple sides of the problem in healthcare by focusing on the Customer, Actors, Transformation, Worldview, Owners and Environment. Here, it underscores how the deficiencies in governance, professional roles, and communication provided circumstances that resulted in the overdose. The resources, accountability, and effective communication are crucial to patient safety, but the hospital staff, pharmacists, and GPs were unable to coordinate efficiently with the families. These were not one off mistakes but rather systemic mistakes in the </w:t>
      </w:r>
      <w:proofErr w:type="spellStart"/>
      <w:r w:rsidRPr="004D0065">
        <w:rPr>
          <w:color w:val="000000" w:themeColor="text1"/>
        </w:rPr>
        <w:t>organisational</w:t>
      </w:r>
      <w:proofErr w:type="spellEnd"/>
      <w:r w:rsidRPr="004D0065">
        <w:rPr>
          <w:color w:val="000000" w:themeColor="text1"/>
        </w:rPr>
        <w:t xml:space="preserve"> structure that were indicative of systemic errors of the environment as well as the transformational processes. There was no implementation of RED drug policies by governance bodies and environmental limitations like lack of resources and siloed practices further put patients at risk. In general, the CATWOE </w:t>
      </w:r>
      <w:r w:rsidRPr="004D0065">
        <w:rPr>
          <w:color w:val="000000" w:themeColor="text1"/>
        </w:rPr>
        <w:lastRenderedPageBreak/>
        <w:t>analysis proves that patient safety must demand networks, effective leadership and coordination among healthcare professionals to eliminate unnecessary damage.</w:t>
      </w:r>
    </w:p>
    <w:p w:rsidR="00F32D77" w:rsidRPr="004D0065" w:rsidRDefault="00F32D77" w:rsidP="00CF0BB7">
      <w:pPr>
        <w:pStyle w:val="Heading2"/>
        <w:numPr>
          <w:ilvl w:val="0"/>
          <w:numId w:val="2"/>
        </w:numPr>
        <w:spacing w:line="360" w:lineRule="auto"/>
        <w:rPr>
          <w:rFonts w:ascii="Arial" w:hAnsi="Arial" w:cs="Arial"/>
          <w:b/>
          <w:bCs/>
          <w:color w:val="000000" w:themeColor="text1"/>
          <w:lang w:val="en-GB"/>
        </w:rPr>
      </w:pPr>
      <w:bookmarkStart w:id="3" w:name="_Toc225938360"/>
      <w:r w:rsidRPr="004D0065">
        <w:rPr>
          <w:rFonts w:ascii="Arial" w:hAnsi="Arial" w:cs="Arial"/>
          <w:b/>
          <w:bCs/>
          <w:color w:val="000000" w:themeColor="text1"/>
          <w:lang w:val="en-GB"/>
        </w:rPr>
        <w:t>Cent</w:t>
      </w:r>
      <w:r w:rsidR="00C22202" w:rsidRPr="004D0065">
        <w:rPr>
          <w:rFonts w:ascii="Arial" w:hAnsi="Arial" w:cs="Arial"/>
          <w:b/>
          <w:bCs/>
          <w:color w:val="000000" w:themeColor="text1"/>
          <w:lang w:val="en-GB"/>
        </w:rPr>
        <w:t>ralisation vs Decentralisation</w:t>
      </w:r>
      <w:bookmarkEnd w:id="3"/>
    </w:p>
    <w:p w:rsidR="00F32D77" w:rsidRPr="004D0065" w:rsidRDefault="00F32D77" w:rsidP="00CF0BB7">
      <w:pPr>
        <w:spacing w:line="360" w:lineRule="auto"/>
        <w:rPr>
          <w:rFonts w:cs="Arial"/>
          <w:color w:val="000000" w:themeColor="text1"/>
          <w:lang w:val="en-GB"/>
        </w:rPr>
      </w:pPr>
      <w:r w:rsidRPr="004D0065">
        <w:rPr>
          <w:rFonts w:cs="Arial"/>
          <w:color w:val="000000" w:themeColor="text1"/>
          <w:lang w:val="en-GB"/>
        </w:rPr>
        <w:t xml:space="preserve">The healthcare system is characterised by the nature of decision-making: whether centralised or decentralised, this aspect is essential in the determination of patient safety, accountability, and risk responsiveness. Nevertheless, this balance is very critical and failure to balance the control by the </w:t>
      </w:r>
      <w:r w:rsidR="00775CB8" w:rsidRPr="004D0065">
        <w:rPr>
          <w:rFonts w:cs="Arial"/>
          <w:color w:val="000000" w:themeColor="text1"/>
          <w:lang w:val="en-GB"/>
        </w:rPr>
        <w:t>centre</w:t>
      </w:r>
      <w:r w:rsidRPr="004D0065">
        <w:rPr>
          <w:rFonts w:cs="Arial"/>
          <w:color w:val="000000" w:themeColor="text1"/>
          <w:lang w:val="en-GB"/>
        </w:rPr>
        <w:t xml:space="preserve"> and the local autonomy may result in failures of the system as witnessed in the infan</w:t>
      </w:r>
      <w:r w:rsidR="00C22202" w:rsidRPr="004D0065">
        <w:rPr>
          <w:rFonts w:cs="Arial"/>
          <w:color w:val="000000" w:themeColor="text1"/>
          <w:lang w:val="en-GB"/>
        </w:rPr>
        <w:t>t case of overdose of morphine.</w:t>
      </w:r>
      <w:sdt>
        <w:sdtPr>
          <w:rPr>
            <w:rFonts w:cs="Arial"/>
            <w:color w:val="000000" w:themeColor="text1"/>
            <w:lang w:val="en-GB"/>
          </w:rPr>
          <w:id w:val="510733437"/>
          <w:citation/>
        </w:sdtPr>
        <w:sdtContent>
          <w:r w:rsidR="00A2756A" w:rsidRPr="004D0065">
            <w:rPr>
              <w:rFonts w:cs="Arial"/>
              <w:color w:val="000000" w:themeColor="text1"/>
              <w:lang w:val="en-GB"/>
            </w:rPr>
            <w:fldChar w:fldCharType="begin"/>
          </w:r>
          <w:r w:rsidR="009231B1" w:rsidRPr="004D0065">
            <w:rPr>
              <w:rFonts w:cs="Arial"/>
              <w:color w:val="000000" w:themeColor="text1"/>
              <w:lang w:val="en-GB"/>
            </w:rPr>
            <w:instrText xml:space="preserve"> CITATION Alh23 \l 1033 </w:instrText>
          </w:r>
          <w:r w:rsidR="00A2756A" w:rsidRPr="004D0065">
            <w:rPr>
              <w:rFonts w:cs="Arial"/>
              <w:color w:val="000000" w:themeColor="text1"/>
              <w:lang w:val="en-GB"/>
            </w:rPr>
            <w:fldChar w:fldCharType="separate"/>
          </w:r>
          <w:r w:rsidR="009231B1" w:rsidRPr="004D0065">
            <w:rPr>
              <w:rFonts w:cs="Arial"/>
              <w:noProof/>
              <w:color w:val="000000" w:themeColor="text1"/>
              <w:lang w:val="en-GB"/>
            </w:rPr>
            <w:t>(Alharbi et al., 2023)</w:t>
          </w:r>
          <w:r w:rsidR="00A2756A" w:rsidRPr="004D0065">
            <w:rPr>
              <w:rFonts w:cs="Arial"/>
              <w:color w:val="000000" w:themeColor="text1"/>
              <w:lang w:val="en-GB"/>
            </w:rPr>
            <w:fldChar w:fldCharType="end"/>
          </w:r>
        </w:sdtContent>
      </w:sdt>
      <w:r w:rsidR="002D71E6" w:rsidRPr="004D0065">
        <w:rPr>
          <w:rFonts w:cs="Arial"/>
          <w:color w:val="000000" w:themeColor="text1"/>
          <w:lang w:val="en-GB"/>
        </w:rPr>
        <w:t xml:space="preserve"> </w:t>
      </w:r>
      <w:r w:rsidRPr="004D0065">
        <w:rPr>
          <w:rFonts w:cs="Arial"/>
          <w:color w:val="000000" w:themeColor="text1"/>
          <w:lang w:val="en-GB"/>
        </w:rPr>
        <w:t xml:space="preserve">Theoretically, such governance ought to have avoided the prescription and provision of the medication in the primary care. Nevertheless, in spite of this centralised policy, the mistake still turned up, </w:t>
      </w:r>
      <w:r w:rsidR="00B54037" w:rsidRPr="004D0065">
        <w:rPr>
          <w:rFonts w:cs="Arial"/>
          <w:color w:val="000000" w:themeColor="text1"/>
          <w:lang w:val="en-GB"/>
        </w:rPr>
        <w:t>which means the failure in the operation and the implementation of the governance</w:t>
      </w:r>
      <w:r w:rsidR="00A85CD2" w:rsidRPr="004D0065">
        <w:rPr>
          <w:rFonts w:cs="Arial"/>
          <w:color w:val="000000" w:themeColor="text1"/>
          <w:lang w:val="en-GB"/>
        </w:rPr>
        <w:t xml:space="preserve"> practices</w:t>
      </w:r>
      <w:r w:rsidR="00B80D90" w:rsidRPr="004D0065">
        <w:rPr>
          <w:rFonts w:cs="Arial"/>
          <w:color w:val="000000" w:themeColor="text1"/>
          <w:lang w:val="en-GB"/>
        </w:rPr>
        <w:t xml:space="preserve"> </w:t>
      </w:r>
      <w:sdt>
        <w:sdtPr>
          <w:rPr>
            <w:rFonts w:cs="Arial"/>
            <w:color w:val="000000" w:themeColor="text1"/>
            <w:lang w:val="en-GB"/>
          </w:rPr>
          <w:id w:val="-214121198"/>
          <w:citation/>
        </w:sdtPr>
        <w:sdtContent>
          <w:r w:rsidR="00A2756A" w:rsidRPr="004D0065">
            <w:rPr>
              <w:rFonts w:cs="Arial"/>
              <w:color w:val="000000" w:themeColor="text1"/>
              <w:lang w:val="en-GB"/>
            </w:rPr>
            <w:fldChar w:fldCharType="begin"/>
          </w:r>
          <w:r w:rsidR="009231B1" w:rsidRPr="004D0065">
            <w:rPr>
              <w:rFonts w:cs="Arial"/>
              <w:color w:val="000000" w:themeColor="text1"/>
              <w:lang w:val="en-GB"/>
            </w:rPr>
            <w:instrText xml:space="preserve"> CITATION Des25 \l 1033 </w:instrText>
          </w:r>
          <w:r w:rsidR="00A2756A" w:rsidRPr="004D0065">
            <w:rPr>
              <w:rFonts w:cs="Arial"/>
              <w:color w:val="000000" w:themeColor="text1"/>
              <w:lang w:val="en-GB"/>
            </w:rPr>
            <w:fldChar w:fldCharType="separate"/>
          </w:r>
          <w:r w:rsidR="009231B1" w:rsidRPr="004D0065">
            <w:rPr>
              <w:rFonts w:cs="Arial"/>
              <w:noProof/>
              <w:color w:val="000000" w:themeColor="text1"/>
              <w:lang w:val="en-GB"/>
            </w:rPr>
            <w:t>(Despott et al., 2025)</w:t>
          </w:r>
          <w:r w:rsidR="00A2756A" w:rsidRPr="004D0065">
            <w:rPr>
              <w:rFonts w:cs="Arial"/>
              <w:color w:val="000000" w:themeColor="text1"/>
              <w:lang w:val="en-GB"/>
            </w:rPr>
            <w:fldChar w:fldCharType="end"/>
          </w:r>
        </w:sdtContent>
      </w:sdt>
    </w:p>
    <w:p w:rsidR="00B54037" w:rsidRPr="004D0065" w:rsidRDefault="00B54037" w:rsidP="00B54037">
      <w:pPr>
        <w:spacing w:line="360" w:lineRule="auto"/>
        <w:jc w:val="center"/>
        <w:rPr>
          <w:rFonts w:cs="Arial"/>
          <w:color w:val="000000" w:themeColor="text1"/>
          <w:lang w:val="en-GB"/>
        </w:rPr>
      </w:pPr>
      <w:r w:rsidRPr="004D0065">
        <w:rPr>
          <w:rFonts w:cs="Arial"/>
          <w:noProof/>
          <w:color w:val="000000" w:themeColor="text1"/>
        </w:rPr>
        <w:drawing>
          <wp:inline distT="0" distB="0" distL="0" distR="0">
            <wp:extent cx="5943600" cy="2833069"/>
            <wp:effectExtent l="38100" t="57150" r="114300" b="100631"/>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943600" cy="28330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54037" w:rsidRPr="004D0065" w:rsidRDefault="00B54037" w:rsidP="00B54037">
      <w:pPr>
        <w:spacing w:line="360" w:lineRule="auto"/>
        <w:jc w:val="center"/>
        <w:rPr>
          <w:rFonts w:cs="Arial"/>
          <w:b/>
          <w:color w:val="000000" w:themeColor="text1"/>
          <w:lang w:val="en-GB"/>
        </w:rPr>
      </w:pPr>
      <w:r w:rsidRPr="004D0065">
        <w:rPr>
          <w:rFonts w:cs="Arial"/>
          <w:b/>
          <w:color w:val="000000" w:themeColor="text1"/>
          <w:lang w:val="en-GB"/>
        </w:rPr>
        <w:t xml:space="preserve">Figure 3: </w:t>
      </w:r>
      <w:r w:rsidR="00382117" w:rsidRPr="004D0065">
        <w:rPr>
          <w:rFonts w:cs="Arial"/>
          <w:b/>
          <w:color w:val="000000" w:themeColor="text1"/>
          <w:lang w:val="en-GB"/>
        </w:rPr>
        <w:t>Centralisation vs Decentralisation</w:t>
      </w:r>
    </w:p>
    <w:p w:rsidR="00382117" w:rsidRPr="004D0065" w:rsidRDefault="00382117" w:rsidP="00B54037">
      <w:pPr>
        <w:spacing w:line="360" w:lineRule="auto"/>
        <w:jc w:val="center"/>
        <w:rPr>
          <w:rFonts w:cs="Arial"/>
          <w:color w:val="000000" w:themeColor="text1"/>
          <w:lang w:val="en-GB"/>
        </w:rPr>
      </w:pPr>
      <w:r w:rsidRPr="004D0065">
        <w:rPr>
          <w:rFonts w:cs="Arial"/>
          <w:color w:val="000000" w:themeColor="text1"/>
          <w:lang w:val="en-GB"/>
        </w:rPr>
        <w:t>(Source: Influenced by Sharma et al., 2025)</w:t>
      </w:r>
    </w:p>
    <w:p w:rsidR="00F32D77" w:rsidRPr="004D0065" w:rsidRDefault="00382117" w:rsidP="00B80D90">
      <w:pPr>
        <w:pStyle w:val="NormalWeb"/>
        <w:spacing w:before="200" w:beforeAutospacing="0" w:after="0" w:afterAutospacing="0"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t xml:space="preserve">The figure determines </w:t>
      </w:r>
      <w:proofErr w:type="spellStart"/>
      <w:r w:rsidRPr="004D0065">
        <w:rPr>
          <w:rFonts w:ascii="Arial" w:hAnsi="Arial" w:cs="Arial"/>
          <w:color w:val="000000" w:themeColor="text1"/>
          <w:sz w:val="22"/>
          <w:szCs w:val="22"/>
        </w:rPr>
        <w:t>centralisation</w:t>
      </w:r>
      <w:proofErr w:type="spellEnd"/>
      <w:r w:rsidRPr="004D0065">
        <w:rPr>
          <w:rFonts w:ascii="Arial" w:hAnsi="Arial" w:cs="Arial"/>
          <w:color w:val="000000" w:themeColor="text1"/>
          <w:sz w:val="22"/>
          <w:szCs w:val="22"/>
        </w:rPr>
        <w:t xml:space="preserve"> and </w:t>
      </w:r>
      <w:proofErr w:type="spellStart"/>
      <w:r w:rsidRPr="004D0065">
        <w:rPr>
          <w:rFonts w:ascii="Arial" w:hAnsi="Arial" w:cs="Arial"/>
          <w:color w:val="000000" w:themeColor="text1"/>
          <w:sz w:val="22"/>
          <w:szCs w:val="22"/>
        </w:rPr>
        <w:t>decentralisation</w:t>
      </w:r>
      <w:proofErr w:type="spellEnd"/>
      <w:r w:rsidRPr="004D0065">
        <w:rPr>
          <w:rFonts w:ascii="Arial" w:hAnsi="Arial" w:cs="Arial"/>
          <w:color w:val="000000" w:themeColor="text1"/>
          <w:sz w:val="22"/>
          <w:szCs w:val="22"/>
        </w:rPr>
        <w:t xml:space="preserve"> in the decision making in the healthcare sector. The </w:t>
      </w:r>
      <w:proofErr w:type="spellStart"/>
      <w:r w:rsidRPr="004D0065">
        <w:rPr>
          <w:rFonts w:ascii="Arial" w:hAnsi="Arial" w:cs="Arial"/>
          <w:color w:val="000000" w:themeColor="text1"/>
          <w:sz w:val="22"/>
          <w:szCs w:val="22"/>
        </w:rPr>
        <w:t>centralised</w:t>
      </w:r>
      <w:proofErr w:type="spellEnd"/>
      <w:r w:rsidRPr="004D0065">
        <w:rPr>
          <w:rFonts w:ascii="Arial" w:hAnsi="Arial" w:cs="Arial"/>
          <w:color w:val="000000" w:themeColor="text1"/>
          <w:sz w:val="22"/>
          <w:szCs w:val="22"/>
        </w:rPr>
        <w:t xml:space="preserve"> model displays authority concentrated in the hub that ensures uniformity and risks bottlenecks. A </w:t>
      </w:r>
      <w:proofErr w:type="spellStart"/>
      <w:r w:rsidRPr="004D0065">
        <w:rPr>
          <w:rFonts w:ascii="Arial" w:hAnsi="Arial" w:cs="Arial"/>
          <w:color w:val="000000" w:themeColor="text1"/>
          <w:sz w:val="22"/>
          <w:szCs w:val="22"/>
        </w:rPr>
        <w:t>decentralised</w:t>
      </w:r>
      <w:proofErr w:type="spellEnd"/>
      <w:r w:rsidRPr="004D0065">
        <w:rPr>
          <w:rFonts w:ascii="Arial" w:hAnsi="Arial" w:cs="Arial"/>
          <w:color w:val="000000" w:themeColor="text1"/>
          <w:sz w:val="22"/>
          <w:szCs w:val="22"/>
        </w:rPr>
        <w:t xml:space="preserve"> model distributes power among nodes, risking fragmentation and promoting flexibility. This figure shed light on the governance impacts on patient safety outcomes, communication and accountability. </w:t>
      </w:r>
      <w:r w:rsidR="00F32D77" w:rsidRPr="004D0065">
        <w:rPr>
          <w:rFonts w:ascii="Arial" w:hAnsi="Arial" w:cs="Arial"/>
          <w:color w:val="000000" w:themeColor="text1"/>
          <w:sz w:val="22"/>
          <w:szCs w:val="22"/>
          <w:lang w:val="en-GB"/>
        </w:rPr>
        <w:t xml:space="preserve">Consequently, the </w:t>
      </w:r>
      <w:r w:rsidR="00F32D77" w:rsidRPr="004D0065">
        <w:rPr>
          <w:rFonts w:ascii="Arial" w:hAnsi="Arial" w:cs="Arial"/>
          <w:color w:val="000000" w:themeColor="text1"/>
          <w:sz w:val="22"/>
          <w:szCs w:val="22"/>
          <w:lang w:val="en-GB"/>
        </w:rPr>
        <w:lastRenderedPageBreak/>
        <w:t>planned protective measures of centralisation did not work to stop unsuitable prescribing, and this established how top-down governance cannot alone be a sufficient measure without being incorporated into clinical practice.</w:t>
      </w:r>
      <w:sdt>
        <w:sdtPr>
          <w:rPr>
            <w:rFonts w:ascii="Arial" w:hAnsi="Arial" w:cs="Arial"/>
            <w:color w:val="000000" w:themeColor="text1"/>
            <w:sz w:val="22"/>
            <w:szCs w:val="22"/>
            <w:lang w:val="en-GB"/>
          </w:rPr>
          <w:id w:val="1730721650"/>
          <w:citation/>
        </w:sdtPr>
        <w:sdtContent>
          <w:r w:rsidR="00A2756A" w:rsidRPr="004D0065">
            <w:rPr>
              <w:rFonts w:ascii="Arial" w:hAnsi="Arial" w:cs="Arial"/>
              <w:color w:val="000000" w:themeColor="text1"/>
              <w:sz w:val="22"/>
              <w:szCs w:val="22"/>
              <w:lang w:val="en-GB"/>
            </w:rPr>
            <w:fldChar w:fldCharType="begin"/>
          </w:r>
          <w:r w:rsidR="007E0D8D" w:rsidRPr="004D0065">
            <w:rPr>
              <w:rFonts w:ascii="Arial" w:hAnsi="Arial" w:cs="Arial"/>
              <w:color w:val="000000" w:themeColor="text1"/>
              <w:sz w:val="22"/>
              <w:szCs w:val="22"/>
              <w:lang w:val="en-GB"/>
            </w:rPr>
            <w:instrText xml:space="preserve"> CITATION Sha254 \l 1033 </w:instrText>
          </w:r>
          <w:r w:rsidR="00A2756A" w:rsidRPr="004D0065">
            <w:rPr>
              <w:rFonts w:ascii="Arial" w:hAnsi="Arial" w:cs="Arial"/>
              <w:color w:val="000000" w:themeColor="text1"/>
              <w:sz w:val="22"/>
              <w:szCs w:val="22"/>
              <w:lang w:val="en-GB"/>
            </w:rPr>
            <w:fldChar w:fldCharType="separate"/>
          </w:r>
          <w:r w:rsidR="007E0D8D" w:rsidRPr="004D0065">
            <w:rPr>
              <w:rFonts w:ascii="Arial" w:hAnsi="Arial" w:cs="Arial"/>
              <w:noProof/>
              <w:color w:val="000000" w:themeColor="text1"/>
              <w:sz w:val="22"/>
              <w:szCs w:val="22"/>
              <w:lang w:val="en-GB"/>
            </w:rPr>
            <w:t>(Sharma et al., 2025)</w:t>
          </w:r>
          <w:r w:rsidR="00A2756A" w:rsidRPr="004D0065">
            <w:rPr>
              <w:rFonts w:ascii="Arial" w:hAnsi="Arial" w:cs="Arial"/>
              <w:color w:val="000000" w:themeColor="text1"/>
              <w:sz w:val="22"/>
              <w:szCs w:val="22"/>
              <w:lang w:val="en-GB"/>
            </w:rPr>
            <w:fldChar w:fldCharType="end"/>
          </w:r>
        </w:sdtContent>
      </w:sdt>
    </w:p>
    <w:p w:rsidR="00CF7837" w:rsidRPr="004D0065" w:rsidRDefault="00CF7837" w:rsidP="00CF0BB7">
      <w:pPr>
        <w:spacing w:line="360" w:lineRule="auto"/>
        <w:rPr>
          <w:rFonts w:eastAsia="Times New Roman" w:cs="Arial"/>
          <w:color w:val="000000" w:themeColor="text1"/>
          <w:lang w:val="en-GB"/>
        </w:rPr>
      </w:pPr>
      <w:r w:rsidRPr="004D0065">
        <w:rPr>
          <w:rFonts w:eastAsia="Times New Roman" w:cs="Arial"/>
          <w:color w:val="000000" w:themeColor="text1"/>
          <w:lang w:val="en-GB"/>
        </w:rPr>
        <w:t>The medical system too, exhibited the decentralised characteristics that helped in the incident. The authority in the making of decisions was divided amongst the general practitioners, the clinicians in hospitals, and the community pharmacists, and this undermined coordination. The NHS audit data presents the unequal capacity rates and difficulties with communication including the 1:12 staff to patient ratios in primary care and the 1:6 in hospitals and other hospital settings (Chau et al., 2025). Audits on complaints also found that 28 percent of RED drug prescriptions were made beyond the secondary care which was a lapse in ensuring policies were enforced. Practically, practitioners operated separately in their local areas, interpreting information and making decision-making without a cohesive control. Whereas decentralisation may promote responsiveness and adaptability, in this instance it created untidiness and division, especially due to poor communication among system elements (Webb et al., 2025).</w:t>
      </w:r>
    </w:p>
    <w:p w:rsidR="00A46259" w:rsidRDefault="00F32D77" w:rsidP="00CF0BB7">
      <w:pPr>
        <w:spacing w:line="360" w:lineRule="auto"/>
        <w:rPr>
          <w:rFonts w:cs="Arial"/>
          <w:color w:val="000000" w:themeColor="text1"/>
          <w:lang w:val="en-GB"/>
        </w:rPr>
      </w:pPr>
      <w:r w:rsidRPr="004D0065">
        <w:rPr>
          <w:rFonts w:cs="Arial"/>
          <w:color w:val="000000" w:themeColor="text1"/>
          <w:lang w:val="en-GB"/>
        </w:rPr>
        <w:t>This lack of coordination and communication among these various actors made the de</w:t>
      </w:r>
      <w:r w:rsidR="002D71E6" w:rsidRPr="004D0065">
        <w:rPr>
          <w:rFonts w:cs="Arial"/>
          <w:color w:val="000000" w:themeColor="text1"/>
          <w:lang w:val="en-GB"/>
        </w:rPr>
        <w:t>centralised structure a problem</w:t>
      </w:r>
      <w:r w:rsidRPr="004D0065">
        <w:rPr>
          <w:rFonts w:cs="Arial"/>
          <w:color w:val="000000" w:themeColor="text1"/>
          <w:lang w:val="en-GB"/>
        </w:rPr>
        <w:t>. This shows the possibilities of gaps occurring between the safety processes and the likelihood of errors being transferred through several care levels in the case of absence of strong communication systems and accountability when decentral</w:t>
      </w:r>
      <w:r w:rsidR="00C22202" w:rsidRPr="004D0065">
        <w:rPr>
          <w:rFonts w:cs="Arial"/>
          <w:color w:val="000000" w:themeColor="text1"/>
          <w:lang w:val="en-GB"/>
        </w:rPr>
        <w:t>ising</w:t>
      </w:r>
      <w:r w:rsidR="00B80D90" w:rsidRPr="004D0065">
        <w:rPr>
          <w:rFonts w:cs="Arial"/>
          <w:color w:val="000000" w:themeColor="text1"/>
          <w:lang w:val="en-GB"/>
        </w:rPr>
        <w:t xml:space="preserve"> </w:t>
      </w:r>
      <w:sdt>
        <w:sdtPr>
          <w:rPr>
            <w:rFonts w:cs="Arial"/>
            <w:color w:val="000000" w:themeColor="text1"/>
            <w:lang w:val="en-GB"/>
          </w:rPr>
          <w:id w:val="-415625188"/>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Pra251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(Pramesona et al., 2025)</w:t>
          </w:r>
          <w:r w:rsidR="00A2756A" w:rsidRPr="004D0065">
            <w:rPr>
              <w:rFonts w:cs="Arial"/>
              <w:color w:val="000000" w:themeColor="text1"/>
              <w:lang w:val="en-GB"/>
            </w:rPr>
            <w:fldChar w:fldCharType="end"/>
          </w:r>
        </w:sdtContent>
      </w:sdt>
      <w:r w:rsidR="00DD1625" w:rsidRPr="004D0065">
        <w:rPr>
          <w:rFonts w:cs="Arial"/>
          <w:color w:val="000000" w:themeColor="text1"/>
          <w:lang w:val="en-GB"/>
        </w:rPr>
        <w:t xml:space="preserve">. The inefficiency leads towards </w:t>
      </w:r>
      <w:r w:rsidRPr="004D0065">
        <w:rPr>
          <w:rFonts w:cs="Arial"/>
          <w:color w:val="000000" w:themeColor="text1"/>
          <w:lang w:val="en-GB"/>
        </w:rPr>
        <w:t>congruency resulted in a disjointed system where no individual party was in a full view or in control of the medication process which enable</w:t>
      </w:r>
      <w:r w:rsidR="00C22202" w:rsidRPr="004D0065">
        <w:rPr>
          <w:rFonts w:cs="Arial"/>
          <w:color w:val="000000" w:themeColor="text1"/>
          <w:lang w:val="en-GB"/>
        </w:rPr>
        <w:t>d the error to go uncontrolled</w:t>
      </w:r>
      <w:r w:rsidR="00B80D90" w:rsidRPr="004D0065">
        <w:rPr>
          <w:rFonts w:cs="Arial"/>
          <w:color w:val="000000" w:themeColor="text1"/>
          <w:lang w:val="en-GB"/>
        </w:rPr>
        <w:t xml:space="preserve"> </w:t>
      </w:r>
      <w:sdt>
        <w:sdtPr>
          <w:rPr>
            <w:rFonts w:cs="Arial"/>
            <w:color w:val="000000" w:themeColor="text1"/>
            <w:lang w:val="en-GB"/>
          </w:rPr>
          <w:id w:val="-321353322"/>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Tch25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(Tchijevitch et al., 2025)</w:t>
          </w:r>
          <w:r w:rsidR="00A2756A" w:rsidRPr="004D0065">
            <w:rPr>
              <w:rFonts w:cs="Arial"/>
              <w:color w:val="000000" w:themeColor="text1"/>
              <w:lang w:val="en-GB"/>
            </w:rPr>
            <w:fldChar w:fldCharType="end"/>
          </w:r>
        </w:sdtContent>
      </w:sdt>
      <w:r w:rsidR="002D71E6" w:rsidRPr="004D0065">
        <w:rPr>
          <w:rFonts w:cs="Arial"/>
          <w:color w:val="000000" w:themeColor="text1"/>
          <w:lang w:val="en-GB"/>
        </w:rPr>
        <w:t xml:space="preserve"> </w:t>
      </w:r>
      <w:r w:rsidRPr="004D0065">
        <w:rPr>
          <w:rFonts w:cs="Arial"/>
          <w:color w:val="000000" w:themeColor="text1"/>
          <w:lang w:val="en-GB"/>
        </w:rPr>
        <w:t>In the present case, the overdose would have been prevented with more intensive integration of the services delivered by hospital, primary care, and pharmacy with the real-time communica</w:t>
      </w:r>
      <w:r w:rsidR="00C22202" w:rsidRPr="004D0065">
        <w:rPr>
          <w:rFonts w:cs="Arial"/>
          <w:color w:val="000000" w:themeColor="text1"/>
          <w:lang w:val="en-GB"/>
        </w:rPr>
        <w:t>tion and shared accountability.</w:t>
      </w:r>
      <w:sdt>
        <w:sdtPr>
          <w:rPr>
            <w:rFonts w:cs="Arial"/>
            <w:color w:val="000000" w:themeColor="text1"/>
            <w:lang w:val="en-GB"/>
          </w:rPr>
          <w:id w:val="-319735096"/>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Yue251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(Yu et al., 2025)</w:t>
          </w:r>
          <w:r w:rsidR="00A2756A" w:rsidRPr="004D0065">
            <w:rPr>
              <w:rFonts w:cs="Arial"/>
              <w:color w:val="000000" w:themeColor="text1"/>
              <w:lang w:val="en-GB"/>
            </w:rPr>
            <w:fldChar w:fldCharType="end"/>
          </w:r>
        </w:sdtContent>
      </w:sdt>
    </w:p>
    <w:p w:rsidR="00F32D77" w:rsidRPr="004D0065" w:rsidRDefault="00F32D77" w:rsidP="00CF0BB7">
      <w:pPr>
        <w:spacing w:line="360" w:lineRule="auto"/>
        <w:rPr>
          <w:rFonts w:cs="Arial"/>
          <w:color w:val="000000" w:themeColor="text1"/>
          <w:lang w:val="en-GB"/>
        </w:rPr>
      </w:pPr>
      <w:r w:rsidRPr="004D0065">
        <w:rPr>
          <w:rFonts w:cs="Arial"/>
          <w:color w:val="000000" w:themeColor="text1"/>
          <w:lang w:val="en-GB"/>
        </w:rPr>
        <w:t>Finally, the case demonstrates the significance of harmonizing the governance structures with the frontline practice. This needs effective leadership so that when the centralised policies are implemented this would be translated into the action systems as well as when the decisions are made to be decentralised then there should be good communication, coordination, and safety mechanisms that support the systems. In the absence of such alignment, the healthcare systems will be susceptible to being disjointed, which will further expose patients to avoidable harm</w:t>
      </w:r>
      <w:r w:rsidR="00C82B8A" w:rsidRPr="004D0065">
        <w:rPr>
          <w:rFonts w:cs="Arial"/>
          <w:color w:val="000000" w:themeColor="text1"/>
          <w:lang w:val="en-GB"/>
        </w:rPr>
        <w:t xml:space="preserve"> (</w:t>
      </w:r>
      <w:proofErr w:type="spellStart"/>
      <w:r w:rsidR="00C82B8A" w:rsidRPr="004D0065">
        <w:rPr>
          <w:rFonts w:cs="Arial"/>
          <w:color w:val="000000" w:themeColor="text1"/>
        </w:rPr>
        <w:t>Tsiakiri</w:t>
      </w:r>
      <w:proofErr w:type="spellEnd"/>
      <w:r w:rsidR="00C82B8A" w:rsidRPr="004D0065">
        <w:rPr>
          <w:rFonts w:cs="Arial"/>
          <w:color w:val="000000" w:themeColor="text1"/>
        </w:rPr>
        <w:t>, 2025</w:t>
      </w:r>
      <w:r w:rsidR="00C82B8A" w:rsidRPr="004D0065">
        <w:rPr>
          <w:rFonts w:cs="Arial"/>
          <w:color w:val="000000" w:themeColor="text1"/>
          <w:lang w:val="en-GB"/>
        </w:rPr>
        <w:t>)</w:t>
      </w:r>
      <w:r w:rsidRPr="004D0065">
        <w:rPr>
          <w:rFonts w:cs="Arial"/>
          <w:color w:val="000000" w:themeColor="text1"/>
          <w:lang w:val="en-GB"/>
        </w:rPr>
        <w:t>.</w:t>
      </w:r>
    </w:p>
    <w:p w:rsidR="00C22202" w:rsidRPr="004D0065" w:rsidRDefault="00C22202" w:rsidP="00CF0BB7">
      <w:pPr>
        <w:spacing w:line="360" w:lineRule="auto"/>
        <w:rPr>
          <w:rFonts w:cs="Arial"/>
          <w:color w:val="000000" w:themeColor="text1"/>
          <w:lang w:val="en-GB"/>
        </w:rPr>
      </w:pPr>
    </w:p>
    <w:p w:rsidR="00C22202" w:rsidRPr="004D0065" w:rsidRDefault="00C22202" w:rsidP="00CF0BB7">
      <w:pPr>
        <w:pStyle w:val="Heading2"/>
        <w:numPr>
          <w:ilvl w:val="0"/>
          <w:numId w:val="2"/>
        </w:numPr>
        <w:spacing w:line="360" w:lineRule="auto"/>
        <w:rPr>
          <w:rFonts w:ascii="Arial" w:hAnsi="Arial" w:cs="Arial"/>
          <w:b/>
          <w:bCs/>
          <w:color w:val="000000" w:themeColor="text1"/>
          <w:lang w:val="en-GB"/>
        </w:rPr>
      </w:pPr>
      <w:bookmarkStart w:id="4" w:name="_Toc225938361"/>
      <w:r w:rsidRPr="004D0065">
        <w:rPr>
          <w:rFonts w:ascii="Arial" w:hAnsi="Arial" w:cs="Arial"/>
          <w:b/>
          <w:bCs/>
          <w:color w:val="000000" w:themeColor="text1"/>
          <w:lang w:val="en-GB"/>
        </w:rPr>
        <w:lastRenderedPageBreak/>
        <w:t>Leadership Theories</w:t>
      </w:r>
      <w:bookmarkEnd w:id="4"/>
    </w:p>
    <w:p w:rsidR="00A46259" w:rsidRDefault="00C22202" w:rsidP="00872CD1">
      <w:pPr>
        <w:spacing w:line="360" w:lineRule="auto"/>
        <w:rPr>
          <w:rFonts w:cs="Arial"/>
          <w:color w:val="000000" w:themeColor="text1"/>
          <w:lang w:val="en-GB"/>
        </w:rPr>
      </w:pPr>
      <w:r w:rsidRPr="004D0065">
        <w:rPr>
          <w:rFonts w:cs="Arial"/>
          <w:color w:val="000000" w:themeColor="text1"/>
          <w:lang w:val="en-GB"/>
        </w:rPr>
        <w:t>Leadership is among the most significant predictors of patient safety and organisational performance in healthcare systems, specifically in complicated, high-risk settings like medication management. Effective leadership is associated with shaping of the strategic direction as well as influence on safety culture, communication practices as well as behaviour of the healthcare professionals. In the case of infant morphine overdose, the event does not only indicate a breakdown of systems and processes, but also the failure of leadership at various healthcare system levels. Using the leadership theories that are relevant namely transformational, transactional, and situational leadership have offered a form of critically assessing the role of leadership and how it affected the results as perceived.</w:t>
      </w:r>
      <w:sdt>
        <w:sdtPr>
          <w:rPr>
            <w:rFonts w:cs="Arial"/>
            <w:color w:val="000000" w:themeColor="text1"/>
            <w:lang w:val="en-GB"/>
          </w:rPr>
          <w:id w:val="-1375458458"/>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Sha254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(Sharma et al., 2025)</w:t>
          </w:r>
          <w:r w:rsidR="00A2756A" w:rsidRPr="004D0065">
            <w:rPr>
              <w:rFonts w:cs="Arial"/>
              <w:color w:val="000000" w:themeColor="text1"/>
              <w:lang w:val="en-GB"/>
            </w:rPr>
            <w:fldChar w:fldCharType="end"/>
          </w:r>
        </w:sdtContent>
      </w:sdt>
    </w:p>
    <w:p w:rsidR="00A46259" w:rsidRPr="0062598F" w:rsidRDefault="003217F8" w:rsidP="00872CD1">
      <w:pPr>
        <w:spacing w:line="360" w:lineRule="auto"/>
        <w:rPr>
          <w:rFonts w:cs="Arial"/>
          <w:b/>
          <w:color w:val="000000" w:themeColor="text1"/>
          <w:lang w:val="en-GB"/>
        </w:rPr>
      </w:pPr>
      <w:r w:rsidRPr="0062598F">
        <w:rPr>
          <w:rFonts w:cs="Arial"/>
          <w:b/>
          <w:color w:val="000000" w:themeColor="text1"/>
          <w:lang w:val="en-GB"/>
        </w:rPr>
        <w:t>Table of application</w:t>
      </w:r>
      <w:r w:rsidR="00A46259" w:rsidRPr="0062598F">
        <w:rPr>
          <w:b/>
        </w:rPr>
        <w:t xml:space="preserve"> of Leadership Theories to Medication Error Case with Supporting Evidence and Critique</w:t>
      </w:r>
      <w:r w:rsidRPr="0062598F">
        <w:rPr>
          <w:b/>
        </w:rPr>
        <w:t>:</w:t>
      </w:r>
    </w:p>
    <w:tbl>
      <w:tblPr>
        <w:tblStyle w:val="TableGrid"/>
        <w:tblW w:w="0" w:type="auto"/>
        <w:jc w:val="center"/>
        <w:tblLook w:val="04A0"/>
      </w:tblPr>
      <w:tblGrid>
        <w:gridCol w:w="2159"/>
        <w:gridCol w:w="3378"/>
        <w:gridCol w:w="4039"/>
      </w:tblGrid>
      <w:tr w:rsidR="004D0065" w:rsidRPr="004D0065" w:rsidTr="005C74BC">
        <w:trPr>
          <w:jc w:val="center"/>
        </w:trPr>
        <w:tc>
          <w:tcPr>
            <w:tcW w:w="0" w:type="auto"/>
            <w:hideMark/>
          </w:tcPr>
          <w:p w:rsidR="00872CD1" w:rsidRPr="004D0065" w:rsidRDefault="00872CD1" w:rsidP="00872CD1">
            <w:pPr>
              <w:spacing w:line="360" w:lineRule="auto"/>
              <w:jc w:val="center"/>
              <w:rPr>
                <w:rFonts w:eastAsia="Times New Roman" w:cs="Arial"/>
                <w:b/>
                <w:bCs/>
                <w:color w:val="000000" w:themeColor="text1"/>
                <w:lang w:val="en-GB"/>
              </w:rPr>
            </w:pPr>
            <w:r w:rsidRPr="004D0065">
              <w:rPr>
                <w:rFonts w:eastAsia="Times New Roman" w:cs="Arial"/>
                <w:b/>
                <w:bCs/>
                <w:color w:val="000000" w:themeColor="text1"/>
                <w:lang w:val="en-GB"/>
              </w:rPr>
              <w:t>Theory</w:t>
            </w:r>
          </w:p>
        </w:tc>
        <w:tc>
          <w:tcPr>
            <w:tcW w:w="0" w:type="auto"/>
            <w:hideMark/>
          </w:tcPr>
          <w:p w:rsidR="00872CD1" w:rsidRPr="004D0065" w:rsidRDefault="00872CD1" w:rsidP="00872CD1">
            <w:pPr>
              <w:spacing w:line="360" w:lineRule="auto"/>
              <w:jc w:val="center"/>
              <w:rPr>
                <w:rFonts w:eastAsia="Times New Roman" w:cs="Arial"/>
                <w:b/>
                <w:bCs/>
                <w:color w:val="000000" w:themeColor="text1"/>
                <w:lang w:val="en-GB"/>
              </w:rPr>
            </w:pPr>
            <w:r w:rsidRPr="004D0065">
              <w:rPr>
                <w:rFonts w:eastAsia="Times New Roman" w:cs="Arial"/>
                <w:b/>
                <w:bCs/>
                <w:color w:val="000000" w:themeColor="text1"/>
                <w:lang w:val="en-GB"/>
              </w:rPr>
              <w:t>Application to Case</w:t>
            </w:r>
          </w:p>
        </w:tc>
        <w:tc>
          <w:tcPr>
            <w:tcW w:w="0" w:type="auto"/>
            <w:hideMark/>
          </w:tcPr>
          <w:p w:rsidR="00872CD1" w:rsidRPr="004D0065" w:rsidRDefault="00872CD1" w:rsidP="00872CD1">
            <w:pPr>
              <w:spacing w:line="360" w:lineRule="auto"/>
              <w:jc w:val="center"/>
              <w:rPr>
                <w:rFonts w:eastAsia="Times New Roman" w:cs="Arial"/>
                <w:b/>
                <w:bCs/>
                <w:color w:val="000000" w:themeColor="text1"/>
                <w:lang w:val="en-GB"/>
              </w:rPr>
            </w:pPr>
            <w:r w:rsidRPr="004D0065">
              <w:rPr>
                <w:rFonts w:eastAsia="Times New Roman" w:cs="Arial"/>
                <w:b/>
                <w:bCs/>
                <w:color w:val="000000" w:themeColor="text1"/>
                <w:lang w:val="en-GB"/>
              </w:rPr>
              <w:t>Supporting Evidence &amp; Critique</w:t>
            </w:r>
          </w:p>
        </w:tc>
      </w:tr>
      <w:tr w:rsidR="004D0065" w:rsidRPr="004D0065" w:rsidTr="005C74BC">
        <w:trPr>
          <w:jc w:val="center"/>
        </w:trPr>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b/>
                <w:bCs/>
                <w:color w:val="000000" w:themeColor="text1"/>
                <w:lang w:val="en-GB"/>
              </w:rPr>
              <w:t>Transformational Leadership</w:t>
            </w:r>
          </w:p>
        </w:tc>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color w:val="000000" w:themeColor="text1"/>
                <w:lang w:val="en-GB"/>
              </w:rPr>
              <w:t>Largely absent, with weak safety culture and limited empowerment of staff to question prescriptions or escalate concerns regarding high-risk medications.</w:t>
            </w:r>
          </w:p>
        </w:tc>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color w:val="000000" w:themeColor="text1"/>
                <w:lang w:val="en-GB"/>
              </w:rPr>
              <w:t xml:space="preserve">Unsafe care affects </w:t>
            </w:r>
            <w:r w:rsidRPr="004D0065">
              <w:rPr>
                <w:rFonts w:eastAsia="Times New Roman" w:cs="Arial"/>
                <w:b/>
                <w:bCs/>
                <w:color w:val="000000" w:themeColor="text1"/>
                <w:lang w:val="en-GB"/>
              </w:rPr>
              <w:t>1 in 10 patients globally</w:t>
            </w:r>
            <w:r w:rsidRPr="004D0065">
              <w:rPr>
                <w:rFonts w:eastAsia="Times New Roman" w:cs="Arial"/>
                <w:color w:val="000000" w:themeColor="text1"/>
                <w:lang w:val="en-GB"/>
              </w:rPr>
              <w:t>, often due to communication failures. Lack of challenge and poor communication in this case reflects weak transformational leadership and poor psychological safety.</w:t>
            </w:r>
          </w:p>
        </w:tc>
      </w:tr>
      <w:tr w:rsidR="004D0065" w:rsidRPr="004D0065" w:rsidTr="005C74BC">
        <w:trPr>
          <w:jc w:val="center"/>
        </w:trPr>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b/>
                <w:bCs/>
                <w:color w:val="000000" w:themeColor="text1"/>
                <w:lang w:val="en-GB"/>
              </w:rPr>
              <w:t>Transactional Leadership</w:t>
            </w:r>
          </w:p>
        </w:tc>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color w:val="000000" w:themeColor="text1"/>
                <w:lang w:val="en-GB"/>
              </w:rPr>
              <w:t>Governance mechanisms (e.g., RED drug classification) existed but were not enforced effectively, leading to failures in compliance and medication safety checks.</w:t>
            </w:r>
          </w:p>
        </w:tc>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color w:val="000000" w:themeColor="text1"/>
                <w:lang w:val="en-GB"/>
              </w:rPr>
              <w:t xml:space="preserve">Around </w:t>
            </w:r>
            <w:r w:rsidRPr="004D0065">
              <w:rPr>
                <w:rFonts w:eastAsia="Times New Roman" w:cs="Arial"/>
                <w:b/>
                <w:bCs/>
                <w:color w:val="000000" w:themeColor="text1"/>
                <w:lang w:val="en-GB"/>
              </w:rPr>
              <w:t>237 million medication errors occur annually in the NHS</w:t>
            </w:r>
            <w:r w:rsidRPr="004D0065">
              <w:rPr>
                <w:rFonts w:eastAsia="Times New Roman" w:cs="Arial"/>
                <w:color w:val="000000" w:themeColor="text1"/>
                <w:lang w:val="en-GB"/>
              </w:rPr>
              <w:t>. Failure to enforce protocols demonstrates weak transactional leadership and ineffective monitoring systems.</w:t>
            </w:r>
          </w:p>
        </w:tc>
      </w:tr>
      <w:tr w:rsidR="004D0065" w:rsidRPr="004D0065" w:rsidTr="005C74BC">
        <w:trPr>
          <w:jc w:val="center"/>
        </w:trPr>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b/>
                <w:bCs/>
                <w:color w:val="000000" w:themeColor="text1"/>
                <w:lang w:val="en-GB"/>
              </w:rPr>
              <w:t>Situational Leadership</w:t>
            </w:r>
          </w:p>
        </w:tc>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color w:val="000000" w:themeColor="text1"/>
                <w:lang w:val="en-GB"/>
              </w:rPr>
              <w:t>Leadership failed to adapt to a high-risk clinical situation, with indirect and ineffective communication between GP and pharmacy.</w:t>
            </w:r>
          </w:p>
        </w:tc>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color w:val="000000" w:themeColor="text1"/>
                <w:lang w:val="en-GB"/>
              </w:rPr>
              <w:t xml:space="preserve">Over </w:t>
            </w:r>
            <w:r w:rsidRPr="004D0065">
              <w:rPr>
                <w:rFonts w:eastAsia="Times New Roman" w:cs="Arial"/>
                <w:b/>
                <w:bCs/>
                <w:color w:val="000000" w:themeColor="text1"/>
                <w:lang w:val="en-GB"/>
              </w:rPr>
              <w:t>40% of patients experience medication errors post-discharge</w:t>
            </w:r>
            <w:r w:rsidRPr="004D0065">
              <w:rPr>
                <w:rFonts w:eastAsia="Times New Roman" w:cs="Arial"/>
                <w:color w:val="000000" w:themeColor="text1"/>
                <w:lang w:val="en-GB"/>
              </w:rPr>
              <w:t>. Lack of adaptive, risk-sensitive leadership contributed to poor decision-making and missed intervention opportunities.</w:t>
            </w:r>
          </w:p>
        </w:tc>
      </w:tr>
      <w:tr w:rsidR="004D0065" w:rsidRPr="004D0065" w:rsidTr="005C74BC">
        <w:trPr>
          <w:jc w:val="center"/>
        </w:trPr>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b/>
                <w:bCs/>
                <w:color w:val="000000" w:themeColor="text1"/>
                <w:lang w:val="en-GB"/>
              </w:rPr>
              <w:lastRenderedPageBreak/>
              <w:t>Distributed Leadership</w:t>
            </w:r>
          </w:p>
        </w:tc>
        <w:tc>
          <w:tcPr>
            <w:tcW w:w="0" w:type="auto"/>
            <w:hideMark/>
          </w:tcPr>
          <w:p w:rsidR="00872CD1" w:rsidRPr="004D0065" w:rsidRDefault="00872CD1" w:rsidP="00872CD1">
            <w:pPr>
              <w:spacing w:line="360" w:lineRule="auto"/>
              <w:rPr>
                <w:rFonts w:eastAsia="Times New Roman" w:cs="Arial"/>
                <w:color w:val="000000" w:themeColor="text1"/>
                <w:lang w:val="en-GB"/>
              </w:rPr>
            </w:pPr>
            <w:r w:rsidRPr="004D0065">
              <w:rPr>
                <w:rFonts w:eastAsia="Times New Roman" w:cs="Arial"/>
                <w:color w:val="000000" w:themeColor="text1"/>
                <w:lang w:val="en-GB"/>
              </w:rPr>
              <w:t>Breakdown in shared responsibility, with fragmented coordination between hospital, GP, pharmacy, and parents.</w:t>
            </w:r>
          </w:p>
        </w:tc>
        <w:tc>
          <w:tcPr>
            <w:tcW w:w="0" w:type="auto"/>
            <w:hideMark/>
          </w:tcPr>
          <w:p w:rsidR="00872CD1" w:rsidRPr="004D0065" w:rsidRDefault="00872CD1" w:rsidP="00872CD1">
            <w:pPr>
              <w:keepNext/>
              <w:spacing w:line="360" w:lineRule="auto"/>
              <w:rPr>
                <w:rFonts w:eastAsia="Times New Roman" w:cs="Arial"/>
                <w:color w:val="000000" w:themeColor="text1"/>
                <w:lang w:val="en-GB"/>
              </w:rPr>
            </w:pPr>
            <w:r w:rsidRPr="004D0065">
              <w:rPr>
                <w:rFonts w:eastAsia="Times New Roman" w:cs="Arial"/>
                <w:color w:val="000000" w:themeColor="text1"/>
                <w:lang w:val="en-GB"/>
              </w:rPr>
              <w:t>Medication errors occur across multiple stages of care. Lack of integrated collaboration highlights failure of distributed leadership and weak system-wide accountability.</w:t>
            </w:r>
          </w:p>
        </w:tc>
      </w:tr>
    </w:tbl>
    <w:p w:rsidR="00872CD1" w:rsidRPr="004D0065" w:rsidRDefault="00EE6F0A" w:rsidP="005F1DE4">
      <w:pPr>
        <w:pStyle w:val="Caption"/>
        <w:spacing w:line="360" w:lineRule="auto"/>
        <w:jc w:val="center"/>
        <w:rPr>
          <w:rFonts w:cs="Arial"/>
          <w:b/>
          <w:i w:val="0"/>
          <w:color w:val="000000" w:themeColor="text1"/>
          <w:sz w:val="22"/>
          <w:szCs w:val="22"/>
          <w:lang w:val="en-GB"/>
        </w:rPr>
      </w:pPr>
      <w:r w:rsidRPr="004D0065">
        <w:rPr>
          <w:rFonts w:cs="Arial"/>
          <w:b/>
          <w:i w:val="0"/>
          <w:color w:val="000000" w:themeColor="text1"/>
          <w:sz w:val="22"/>
          <w:szCs w:val="22"/>
          <w:lang w:val="en-GB"/>
        </w:rPr>
        <w:t>Table</w:t>
      </w:r>
      <w:r w:rsidR="005C74BC" w:rsidRPr="004D0065">
        <w:rPr>
          <w:rFonts w:cs="Arial"/>
          <w:b/>
          <w:i w:val="0"/>
          <w:color w:val="000000" w:themeColor="text1"/>
          <w:sz w:val="22"/>
          <w:szCs w:val="22"/>
          <w:lang w:val="en-GB"/>
        </w:rPr>
        <w:t>3</w:t>
      </w:r>
      <w:r w:rsidR="00872CD1" w:rsidRPr="004D0065">
        <w:rPr>
          <w:rFonts w:cs="Arial"/>
          <w:b/>
          <w:i w:val="0"/>
          <w:color w:val="000000" w:themeColor="text1"/>
          <w:sz w:val="22"/>
          <w:szCs w:val="22"/>
          <w:lang w:val="en-GB"/>
        </w:rPr>
        <w:t>: Leadership Theory Application WITH EVIDENCE</w:t>
      </w:r>
    </w:p>
    <w:p w:rsidR="005F1DE4" w:rsidRPr="004D0065" w:rsidRDefault="005F1DE4" w:rsidP="005F1DE4">
      <w:pPr>
        <w:spacing w:line="360" w:lineRule="auto"/>
        <w:jc w:val="center"/>
        <w:rPr>
          <w:rFonts w:cs="Arial"/>
          <w:color w:val="000000" w:themeColor="text1"/>
          <w:lang w:val="en-GB"/>
        </w:rPr>
      </w:pPr>
      <w:r w:rsidRPr="004D0065">
        <w:rPr>
          <w:rFonts w:cs="Arial"/>
          <w:color w:val="000000" w:themeColor="text1"/>
          <w:lang w:val="en-GB"/>
        </w:rPr>
        <w:t>(Source: Self-created)</w:t>
      </w:r>
    </w:p>
    <w:p w:rsidR="00C22202" w:rsidRPr="004D0065" w:rsidRDefault="00C22202" w:rsidP="00872CD1">
      <w:pPr>
        <w:spacing w:line="360" w:lineRule="auto"/>
        <w:rPr>
          <w:rFonts w:cs="Arial"/>
          <w:color w:val="000000" w:themeColor="text1"/>
          <w:lang w:val="en-GB"/>
        </w:rPr>
      </w:pPr>
      <w:r w:rsidRPr="004D0065">
        <w:rPr>
          <w:rFonts w:cs="Arial"/>
          <w:color w:val="000000" w:themeColor="text1"/>
          <w:lang w:val="en-GB"/>
        </w:rPr>
        <w:t>Transformational leadership has been commonly considered an important part of the healthcare sector since this leadership approach is focused on inspirational and motivational personnel, a safety culture, and consistent improvement. Transformational leaders encourage unity of values, empower employees to be able to bring issues to the table, and focus on patient-centred care. In the present case, a robust safety culture is not well-evidenced and would promote the identification of risks and their escalation. As an example, in spite of the morphine preparation that was rated as a high-risk drug, it was referred to as such as a RED drug but this did not stop unwarranted prescription as well as dispensing. This indicates that the leadership did not put safety priorities into organisational practices in an effective manner. High-risk medications would have been better highlighted through a transformational leadership strategy, and the collaboration between doctors and other specialists would have been promoted, and the staff would have felt comfortable to challenge incomprehensible prescriptions. In addition, transformational leaders are generally more willing to invest in staff training and system upgrades in form of electronic prescribing alerts, which might have reduced the threat of mistake in the present case.</w:t>
      </w:r>
      <w:sdt>
        <w:sdtPr>
          <w:rPr>
            <w:rFonts w:cs="Arial"/>
            <w:color w:val="000000" w:themeColor="text1"/>
            <w:lang w:val="en-GB"/>
          </w:rPr>
          <w:id w:val="-1540824586"/>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Dir26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(Dirik et al., 2026)</w:t>
          </w:r>
          <w:r w:rsidR="00A2756A" w:rsidRPr="004D0065">
            <w:rPr>
              <w:rFonts w:cs="Arial"/>
              <w:color w:val="000000" w:themeColor="text1"/>
              <w:lang w:val="en-GB"/>
            </w:rPr>
            <w:fldChar w:fldCharType="end"/>
          </w:r>
        </w:sdtContent>
      </w:sdt>
    </w:p>
    <w:p w:rsidR="00C22202" w:rsidRPr="004D0065" w:rsidRDefault="00C22202" w:rsidP="00872CD1">
      <w:pPr>
        <w:spacing w:line="360" w:lineRule="auto"/>
        <w:rPr>
          <w:rFonts w:cs="Arial"/>
          <w:color w:val="000000" w:themeColor="text1"/>
          <w:lang w:val="en-GB"/>
        </w:rPr>
      </w:pPr>
      <w:r w:rsidRPr="004D0065">
        <w:rPr>
          <w:rFonts w:cs="Arial"/>
          <w:color w:val="000000" w:themeColor="text1"/>
          <w:lang w:val="en-GB"/>
        </w:rPr>
        <w:t xml:space="preserve">Transactional leadership, in turn, a more process-oriented approach, emphasizing compliance and performance monitoring, is also relevant to healthcare environments where following procedures is highly important. Transactional leaders present very clear rules, performance monitoring and loyalty, which can involve rewards and corrective measures to ensure compliance. Transactional leadership mechanisms, as in this case, seem not to have been adequate in relation to this case. Despite the presence of governance systems, like RED drug classifications, they were not functionalised in the clinical practice. As an example, a prescription that was made by the GP, but which would have been limited to secondary care, was accepted without complete verification of the suitability of the prescription by the pharmacists. This shows that accountability systems and processes of monitoring are weak. More powerful transactional leadership would have won the stronger compliance with </w:t>
      </w:r>
      <w:r w:rsidRPr="004D0065">
        <w:rPr>
          <w:rFonts w:cs="Arial"/>
          <w:color w:val="000000" w:themeColor="text1"/>
          <w:lang w:val="en-GB"/>
        </w:rPr>
        <w:lastRenderedPageBreak/>
        <w:t>prescribing requirements, greater emphasis on life-threatening drugs quality control, and the adoption of strong audit measures to identify and avoid the breach of the standard procedures.</w:t>
      </w:r>
      <w:sdt>
        <w:sdtPr>
          <w:rPr>
            <w:rFonts w:cs="Arial"/>
            <w:color w:val="000000" w:themeColor="text1"/>
            <w:lang w:val="en-GB"/>
          </w:rPr>
          <w:id w:val="1171146501"/>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Des25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(Despott et al., 2025)</w:t>
          </w:r>
          <w:r w:rsidR="00A2756A" w:rsidRPr="004D0065">
            <w:rPr>
              <w:rFonts w:cs="Arial"/>
              <w:color w:val="000000" w:themeColor="text1"/>
              <w:lang w:val="en-GB"/>
            </w:rPr>
            <w:fldChar w:fldCharType="end"/>
          </w:r>
        </w:sdtContent>
      </w:sdt>
    </w:p>
    <w:p w:rsidR="00C22202" w:rsidRPr="004D0065" w:rsidRDefault="00C22202" w:rsidP="00872CD1">
      <w:pPr>
        <w:spacing w:line="360" w:lineRule="auto"/>
        <w:rPr>
          <w:rFonts w:cs="Arial"/>
          <w:color w:val="000000" w:themeColor="text1"/>
          <w:lang w:val="en-GB"/>
        </w:rPr>
      </w:pPr>
      <w:r w:rsidRPr="004D0065">
        <w:rPr>
          <w:rFonts w:cs="Arial"/>
          <w:color w:val="000000" w:themeColor="text1"/>
          <w:lang w:val="en-GB"/>
        </w:rPr>
        <w:t>Situational leadership, which focuses on changing the leadership style based on the context and the needs of the situation, is more pertinent in complex healthcare settings. Good leaders have to evaluate the risk level, employee competency and emergency of the situation and change their style. In critical situations like prescribing and dispensing of strong medicines to the vulnerable patients, directive and supportive leadership approach is needed. Nevertheless, leadership could be observed as reactive and not proactive in this instance. There was no direct and fragmented communication between the professionals, as the pharmacists could use administrative personnel to communicate queries to the GP instead of having a direct clinical conversation. This was absence of responsive leadership that led to lost chances of early intervention. Situational leadership would have focused on open direct communication and decision-making especially since the medication involved was complicated.</w:t>
      </w:r>
      <w:sdt>
        <w:sdtPr>
          <w:rPr>
            <w:rFonts w:cs="Arial"/>
            <w:color w:val="000000" w:themeColor="text1"/>
            <w:lang w:val="en-GB"/>
          </w:rPr>
          <w:id w:val="1541167625"/>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Rod241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(Rodziewicz et al., 2024)</w:t>
          </w:r>
          <w:r w:rsidR="00A2756A" w:rsidRPr="004D0065">
            <w:rPr>
              <w:rFonts w:cs="Arial"/>
              <w:color w:val="000000" w:themeColor="text1"/>
              <w:lang w:val="en-GB"/>
            </w:rPr>
            <w:fldChar w:fldCharType="end"/>
          </w:r>
        </w:sdtContent>
      </w:sdt>
    </w:p>
    <w:p w:rsidR="00C22202" w:rsidRPr="004D0065" w:rsidRDefault="00C22202" w:rsidP="005C7E72">
      <w:pPr>
        <w:pStyle w:val="NormalWeb"/>
        <w:spacing w:before="200" w:beforeAutospacing="0" w:after="0" w:afterAutospacing="0" w:line="360" w:lineRule="auto"/>
        <w:rPr>
          <w:rFonts w:ascii="Arial" w:hAnsi="Arial" w:cs="Arial"/>
          <w:color w:val="000000" w:themeColor="text1"/>
          <w:sz w:val="22"/>
          <w:szCs w:val="22"/>
        </w:rPr>
      </w:pPr>
      <w:r w:rsidRPr="004D0065">
        <w:rPr>
          <w:rFonts w:ascii="Arial" w:hAnsi="Arial" w:cs="Arial"/>
          <w:color w:val="000000" w:themeColor="text1"/>
          <w:sz w:val="22"/>
          <w:szCs w:val="22"/>
          <w:lang w:val="en-GB"/>
        </w:rPr>
        <w:t xml:space="preserve">Distributed leadership promotes collaboration, collective responsibility, and problem-solving between the various positions and environments. Nevertheless, the incident shows that there was a failure in distributed leadership where the role was not coordinated but compromised. </w:t>
      </w:r>
      <w:r w:rsidR="005C7E72" w:rsidRPr="004D0065">
        <w:rPr>
          <w:rFonts w:ascii="Arial" w:hAnsi="Arial" w:cs="Arial"/>
          <w:color w:val="000000" w:themeColor="text1"/>
          <w:sz w:val="22"/>
          <w:szCs w:val="22"/>
        </w:rPr>
        <w:t>Leadership was widely effective in this study with command driven and reactive factors that failed to adapt in risk sensitive contexts. An NHS staff survey discovered that about 42% of frontline staff felt unable to deal with escalating concerns that reflected poor psychological safety and low transformational leadership (NHS, 2024). </w:t>
      </w:r>
      <w:r w:rsidRPr="004D0065">
        <w:rPr>
          <w:rFonts w:ascii="Arial" w:hAnsi="Arial" w:cs="Arial"/>
          <w:color w:val="000000" w:themeColor="text1"/>
          <w:sz w:val="22"/>
          <w:szCs w:val="22"/>
          <w:lang w:val="en-GB"/>
        </w:rPr>
        <w:t>All the professional groups acting in the hospital, GP, pharmacists, and parents were functioning within their own sphere and were not really well integrated or aware of the risks that were involved. Proper coordination, open communication channels, and joint dedication to checking the safety of medication at all the levels of the treatment process would have been maintained by the effective distributed leadership.</w:t>
      </w:r>
      <w:sdt>
        <w:sdtPr>
          <w:rPr>
            <w:rFonts w:ascii="Arial" w:hAnsi="Arial" w:cs="Arial"/>
            <w:color w:val="000000" w:themeColor="text1"/>
            <w:sz w:val="22"/>
            <w:szCs w:val="22"/>
            <w:lang w:val="en-GB"/>
          </w:rPr>
          <w:id w:val="-1956784586"/>
          <w:citation/>
        </w:sdtPr>
        <w:sdtContent>
          <w:r w:rsidR="00A2756A" w:rsidRPr="004D0065">
            <w:rPr>
              <w:rFonts w:ascii="Arial" w:hAnsi="Arial" w:cs="Arial"/>
              <w:color w:val="000000" w:themeColor="text1"/>
              <w:sz w:val="22"/>
              <w:szCs w:val="22"/>
              <w:lang w:val="en-GB"/>
            </w:rPr>
            <w:fldChar w:fldCharType="begin"/>
          </w:r>
          <w:r w:rsidR="007E0D8D" w:rsidRPr="004D0065">
            <w:rPr>
              <w:rFonts w:ascii="Arial" w:hAnsi="Arial" w:cs="Arial"/>
              <w:color w:val="000000" w:themeColor="text1"/>
              <w:sz w:val="22"/>
              <w:szCs w:val="22"/>
              <w:lang w:val="en-GB"/>
            </w:rPr>
            <w:instrText xml:space="preserve"> CITATION Yan251 \l 1033 </w:instrText>
          </w:r>
          <w:r w:rsidR="00A2756A" w:rsidRPr="004D0065">
            <w:rPr>
              <w:rFonts w:ascii="Arial" w:hAnsi="Arial" w:cs="Arial"/>
              <w:color w:val="000000" w:themeColor="text1"/>
              <w:sz w:val="22"/>
              <w:szCs w:val="22"/>
              <w:lang w:val="en-GB"/>
            </w:rPr>
            <w:fldChar w:fldCharType="separate"/>
          </w:r>
          <w:r w:rsidR="007E0D8D" w:rsidRPr="004D0065">
            <w:rPr>
              <w:rFonts w:ascii="Arial" w:hAnsi="Arial" w:cs="Arial"/>
              <w:noProof/>
              <w:color w:val="000000" w:themeColor="text1"/>
              <w:sz w:val="22"/>
              <w:szCs w:val="22"/>
              <w:lang w:val="en-GB"/>
            </w:rPr>
            <w:t>(Yang et al., 2025)</w:t>
          </w:r>
          <w:r w:rsidR="00A2756A" w:rsidRPr="004D0065">
            <w:rPr>
              <w:rFonts w:ascii="Arial" w:hAnsi="Arial" w:cs="Arial"/>
              <w:color w:val="000000" w:themeColor="text1"/>
              <w:sz w:val="22"/>
              <w:szCs w:val="22"/>
              <w:lang w:val="en-GB"/>
            </w:rPr>
            <w:fldChar w:fldCharType="end"/>
          </w:r>
        </w:sdtContent>
      </w:sdt>
    </w:p>
    <w:p w:rsidR="00C22202" w:rsidRPr="004D0065" w:rsidRDefault="00C22202" w:rsidP="00872CD1">
      <w:pPr>
        <w:spacing w:line="360" w:lineRule="auto"/>
        <w:rPr>
          <w:rFonts w:cs="Arial"/>
          <w:color w:val="000000" w:themeColor="text1"/>
          <w:lang w:val="en-GB"/>
        </w:rPr>
      </w:pPr>
      <w:r w:rsidRPr="004D0065">
        <w:rPr>
          <w:rFonts w:cs="Arial"/>
          <w:color w:val="000000" w:themeColor="text1"/>
          <w:lang w:val="en-GB"/>
        </w:rPr>
        <w:t xml:space="preserve">In general, the leadership style in the case under consideration is fragmented, reactive and lacks alignment with patient safety priorities. Transformational leadership failed to foster the robust safety culture, transactional leadership was ineffective in implementing compliance with the governance frameworks, and situational leadership could not respond in adaptability to the high-risk situation. Such negligence of leadership also played a major role in the systematic breakdowns that caused the overdose. Enhancing leadership on the various tiers of the </w:t>
      </w:r>
      <w:r w:rsidRPr="004D0065">
        <w:rPr>
          <w:rFonts w:cs="Arial"/>
          <w:color w:val="000000" w:themeColor="text1"/>
          <w:lang w:val="en-GB"/>
        </w:rPr>
        <w:lastRenderedPageBreak/>
        <w:t>healthcare system is thus a priority to improving communication, accountability and that the various safety mechanisms put in place should be well established to positively impact the future occurrence of such a similar incident.</w:t>
      </w:r>
    </w:p>
    <w:p w:rsidR="00C22202" w:rsidRPr="004D0065" w:rsidRDefault="00C22202" w:rsidP="00CF0BB7">
      <w:pPr>
        <w:spacing w:line="360" w:lineRule="auto"/>
        <w:rPr>
          <w:rFonts w:cs="Arial"/>
          <w:color w:val="000000" w:themeColor="text1"/>
          <w:lang w:val="en-GB"/>
        </w:rPr>
      </w:pPr>
    </w:p>
    <w:p w:rsidR="00C22202" w:rsidRPr="004D0065" w:rsidRDefault="00C22202" w:rsidP="00CF0BB7">
      <w:pPr>
        <w:pStyle w:val="Heading2"/>
        <w:numPr>
          <w:ilvl w:val="0"/>
          <w:numId w:val="2"/>
        </w:numPr>
        <w:spacing w:line="360" w:lineRule="auto"/>
        <w:rPr>
          <w:rFonts w:ascii="Arial" w:hAnsi="Arial" w:cs="Arial"/>
          <w:b/>
          <w:bCs/>
          <w:color w:val="000000" w:themeColor="text1"/>
          <w:lang w:val="en-GB"/>
        </w:rPr>
      </w:pPr>
      <w:bookmarkStart w:id="5" w:name="_Toc225938362"/>
      <w:r w:rsidRPr="004D0065">
        <w:rPr>
          <w:rFonts w:ascii="Arial" w:hAnsi="Arial" w:cs="Arial"/>
          <w:b/>
          <w:bCs/>
          <w:color w:val="000000" w:themeColor="text1"/>
          <w:lang w:val="en-GB"/>
        </w:rPr>
        <w:t>Improvements and Lessons Learned</w:t>
      </w:r>
      <w:bookmarkEnd w:id="5"/>
    </w:p>
    <w:p w:rsidR="00C22202" w:rsidRDefault="00C22202" w:rsidP="00CF0BB7">
      <w:pPr>
        <w:spacing w:line="360" w:lineRule="auto"/>
        <w:rPr>
          <w:rFonts w:cs="Arial"/>
          <w:color w:val="000000" w:themeColor="text1"/>
          <w:lang w:val="en-GB"/>
        </w:rPr>
      </w:pPr>
      <w:r w:rsidRPr="004D0065">
        <w:rPr>
          <w:rFonts w:cs="Arial"/>
          <w:color w:val="000000" w:themeColor="text1"/>
          <w:lang w:val="en-GB"/>
        </w:rPr>
        <w:t>The case of infant morphine overdose offers important perspectives on the interaction between leadership, governance and system design to affect patient safety outcomes. A systems-based review will show that the incident was not caused by one drawback but an explosion of interrelated vulnerabilities related to multiple steps of care. This means that any meaningful improvement, in turn, would be made through coordinated evidence based interventions addressing the topic of communication, governance, technology and organisational culture at the same time.</w:t>
      </w:r>
      <w:sdt>
        <w:sdtPr>
          <w:rPr>
            <w:rFonts w:cs="Arial"/>
            <w:color w:val="000000" w:themeColor="text1"/>
            <w:lang w:val="en-GB"/>
          </w:rPr>
          <w:id w:val="-2036647448"/>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Mon24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(Mondal et al., 2024)</w:t>
          </w:r>
          <w:r w:rsidR="00A2756A" w:rsidRPr="004D0065">
            <w:rPr>
              <w:rFonts w:cs="Arial"/>
              <w:color w:val="000000" w:themeColor="text1"/>
              <w:lang w:val="en-GB"/>
            </w:rPr>
            <w:fldChar w:fldCharType="end"/>
          </w:r>
        </w:sdtContent>
      </w:sdt>
    </w:p>
    <w:p w:rsidR="003217F8" w:rsidRPr="003217F8" w:rsidRDefault="003217F8" w:rsidP="003217F8">
      <w:pPr>
        <w:pStyle w:val="Caption"/>
        <w:spacing w:line="360" w:lineRule="auto"/>
        <w:jc w:val="center"/>
        <w:rPr>
          <w:rFonts w:cs="Arial"/>
          <w:b/>
          <w:i w:val="0"/>
          <w:color w:val="000000" w:themeColor="text1"/>
          <w:sz w:val="22"/>
          <w:szCs w:val="22"/>
          <w:lang w:val="en-GB"/>
        </w:rPr>
      </w:pPr>
      <w:r w:rsidRPr="004D0065">
        <w:rPr>
          <w:rFonts w:cs="Arial"/>
          <w:b/>
          <w:i w:val="0"/>
          <w:color w:val="000000" w:themeColor="text1"/>
          <w:sz w:val="22"/>
          <w:szCs w:val="22"/>
          <w:lang w:val="en-GB"/>
        </w:rPr>
        <w:t>Table4: Problem–Evidence–Improvement Analysis Identifying Key System Failures and Targeted Interventions</w:t>
      </w:r>
    </w:p>
    <w:tbl>
      <w:tblPr>
        <w:tblStyle w:val="TableGrid"/>
        <w:tblW w:w="0" w:type="auto"/>
        <w:jc w:val="center"/>
        <w:tblLook w:val="04A0"/>
      </w:tblPr>
      <w:tblGrid>
        <w:gridCol w:w="2828"/>
        <w:gridCol w:w="3307"/>
        <w:gridCol w:w="3441"/>
      </w:tblGrid>
      <w:tr w:rsidR="004D0065" w:rsidRPr="004D0065" w:rsidTr="005C74BC">
        <w:trPr>
          <w:jc w:val="center"/>
        </w:trPr>
        <w:tc>
          <w:tcPr>
            <w:tcW w:w="0" w:type="auto"/>
            <w:hideMark/>
          </w:tcPr>
          <w:p w:rsidR="00872CD1" w:rsidRPr="004D0065" w:rsidRDefault="00872CD1" w:rsidP="00FD550B">
            <w:pPr>
              <w:spacing w:line="360" w:lineRule="auto"/>
              <w:jc w:val="center"/>
              <w:rPr>
                <w:rFonts w:cs="Arial"/>
                <w:b/>
                <w:bCs/>
                <w:color w:val="000000" w:themeColor="text1"/>
                <w:lang w:val="en-GB"/>
              </w:rPr>
            </w:pPr>
            <w:r w:rsidRPr="004D0065">
              <w:rPr>
                <w:rStyle w:val="Strong"/>
                <w:rFonts w:cs="Arial"/>
                <w:color w:val="000000" w:themeColor="text1"/>
                <w:lang w:val="en-GB"/>
              </w:rPr>
              <w:t>Problem</w:t>
            </w:r>
          </w:p>
        </w:tc>
        <w:tc>
          <w:tcPr>
            <w:tcW w:w="0" w:type="auto"/>
            <w:hideMark/>
          </w:tcPr>
          <w:p w:rsidR="00872CD1" w:rsidRPr="004D0065" w:rsidRDefault="00872CD1" w:rsidP="00FD550B">
            <w:pPr>
              <w:spacing w:line="360" w:lineRule="auto"/>
              <w:jc w:val="center"/>
              <w:rPr>
                <w:rFonts w:cs="Arial"/>
                <w:b/>
                <w:bCs/>
                <w:color w:val="000000" w:themeColor="text1"/>
                <w:lang w:val="en-GB"/>
              </w:rPr>
            </w:pPr>
            <w:r w:rsidRPr="004D0065">
              <w:rPr>
                <w:rStyle w:val="Strong"/>
                <w:rFonts w:cs="Arial"/>
                <w:color w:val="000000" w:themeColor="text1"/>
                <w:lang w:val="en-GB"/>
              </w:rPr>
              <w:t>Evidence / Data</w:t>
            </w:r>
          </w:p>
        </w:tc>
        <w:tc>
          <w:tcPr>
            <w:tcW w:w="0" w:type="auto"/>
            <w:hideMark/>
          </w:tcPr>
          <w:p w:rsidR="00872CD1" w:rsidRPr="004D0065" w:rsidRDefault="00872CD1" w:rsidP="00FD550B">
            <w:pPr>
              <w:spacing w:line="360" w:lineRule="auto"/>
              <w:jc w:val="center"/>
              <w:rPr>
                <w:rFonts w:cs="Arial"/>
                <w:b/>
                <w:bCs/>
                <w:color w:val="000000" w:themeColor="text1"/>
                <w:lang w:val="en-GB"/>
              </w:rPr>
            </w:pPr>
            <w:r w:rsidRPr="004D0065">
              <w:rPr>
                <w:rStyle w:val="Strong"/>
                <w:rFonts w:cs="Arial"/>
                <w:color w:val="000000" w:themeColor="text1"/>
                <w:lang w:val="en-GB"/>
              </w:rPr>
              <w:t>Improvement Strategy</w:t>
            </w:r>
          </w:p>
        </w:tc>
      </w:tr>
      <w:tr w:rsidR="004D0065" w:rsidRPr="004D0065" w:rsidTr="005C74BC">
        <w:trPr>
          <w:jc w:val="center"/>
        </w:trPr>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Poor communication during transition of care (hospital → GP → pharmacy)</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Medication errors frequently occur at care transitions; globally, medication-related harm affects </w:t>
            </w:r>
            <w:r w:rsidRPr="004D0065">
              <w:rPr>
                <w:rStyle w:val="Strong"/>
                <w:rFonts w:cs="Arial"/>
                <w:color w:val="000000" w:themeColor="text1"/>
                <w:lang w:val="en-GB"/>
              </w:rPr>
              <w:t>1 in 30 patients</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Implement </w:t>
            </w:r>
            <w:r w:rsidRPr="004D0065">
              <w:rPr>
                <w:rStyle w:val="Strong"/>
                <w:rFonts w:cs="Arial"/>
                <w:color w:val="000000" w:themeColor="text1"/>
                <w:lang w:val="en-GB"/>
              </w:rPr>
              <w:t>electronic discharge summaries</w:t>
            </w:r>
            <w:r w:rsidRPr="004D0065">
              <w:rPr>
                <w:rFonts w:cs="Arial"/>
                <w:color w:val="000000" w:themeColor="text1"/>
                <w:lang w:val="en-GB"/>
              </w:rPr>
              <w:t xml:space="preserve"> with standardised fields (drug name, strength, dose, volume) and mandatory completion rules</w:t>
            </w:r>
          </w:p>
        </w:tc>
      </w:tr>
      <w:tr w:rsidR="004D0065" w:rsidRPr="004D0065" w:rsidTr="005C74BC">
        <w:trPr>
          <w:jc w:val="center"/>
        </w:trPr>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Lack of clarity in medication documentation (dose written only in micrograms, abbreviations used)</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Research shows medication errors often occur at prescribing and transcription stages, with </w:t>
            </w:r>
            <w:r w:rsidRPr="004D0065">
              <w:rPr>
                <w:rStyle w:val="Strong"/>
                <w:rFonts w:cs="Arial"/>
                <w:color w:val="000000" w:themeColor="text1"/>
                <w:lang w:val="en-GB"/>
              </w:rPr>
              <w:t>21% of errors linked to prescribing</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Introduce </w:t>
            </w:r>
            <w:r w:rsidRPr="004D0065">
              <w:rPr>
                <w:rStyle w:val="Strong"/>
                <w:rFonts w:cs="Arial"/>
                <w:color w:val="000000" w:themeColor="text1"/>
                <w:lang w:val="en-GB"/>
              </w:rPr>
              <w:t>standardised prescribing protocols</w:t>
            </w:r>
            <w:r w:rsidRPr="004D0065">
              <w:rPr>
                <w:rFonts w:cs="Arial"/>
                <w:color w:val="000000" w:themeColor="text1"/>
                <w:lang w:val="en-GB"/>
              </w:rPr>
              <w:t>: no abbreviations (e.g., “mcg”), mandatory dual-format dosing (mg + ml)</w:t>
            </w:r>
          </w:p>
        </w:tc>
      </w:tr>
      <w:tr w:rsidR="004D0065" w:rsidRPr="004D0065" w:rsidTr="005C74BC">
        <w:trPr>
          <w:jc w:val="center"/>
        </w:trPr>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Failure of governance for high-risk (RED) drugs</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High-risk medications (e.g., opioids) are a major source of patient harm, with thousands of </w:t>
            </w:r>
            <w:r w:rsidR="00FD550B" w:rsidRPr="004D0065">
              <w:rPr>
                <w:rFonts w:cs="Arial"/>
                <w:color w:val="000000" w:themeColor="text1"/>
                <w:lang w:val="en-GB"/>
              </w:rPr>
              <w:t xml:space="preserve">incidents reported in NHS data </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Strengthen </w:t>
            </w:r>
            <w:r w:rsidRPr="004D0065">
              <w:rPr>
                <w:rStyle w:val="Strong"/>
                <w:rFonts w:cs="Arial"/>
                <w:color w:val="000000" w:themeColor="text1"/>
                <w:lang w:val="en-GB"/>
              </w:rPr>
              <w:t>governance enforcement</w:t>
            </w:r>
            <w:r w:rsidRPr="004D0065">
              <w:rPr>
                <w:rFonts w:cs="Arial"/>
                <w:color w:val="000000" w:themeColor="text1"/>
                <w:lang w:val="en-GB"/>
              </w:rPr>
              <w:t xml:space="preserve">: restrict RED drugs to secondary care via </w:t>
            </w:r>
            <w:r w:rsidRPr="004D0065">
              <w:rPr>
                <w:rStyle w:val="Strong"/>
                <w:rFonts w:cs="Arial"/>
                <w:color w:val="000000" w:themeColor="text1"/>
                <w:lang w:val="en-GB"/>
              </w:rPr>
              <w:t>system-level prescribing alerts and policy audits</w:t>
            </w:r>
          </w:p>
        </w:tc>
      </w:tr>
      <w:tr w:rsidR="004D0065" w:rsidRPr="004D0065" w:rsidTr="005C74BC">
        <w:trPr>
          <w:jc w:val="center"/>
        </w:trPr>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Weak system integration between central policies </w:t>
            </w:r>
            <w:r w:rsidRPr="004D0065">
              <w:rPr>
                <w:rFonts w:cs="Arial"/>
                <w:color w:val="000000" w:themeColor="text1"/>
                <w:lang w:val="en-GB"/>
              </w:rPr>
              <w:lastRenderedPageBreak/>
              <w:t>and local practice</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lastRenderedPageBreak/>
              <w:t xml:space="preserve">Around </w:t>
            </w:r>
            <w:r w:rsidRPr="004D0065">
              <w:rPr>
                <w:rStyle w:val="Strong"/>
                <w:rFonts w:cs="Arial"/>
                <w:color w:val="000000" w:themeColor="text1"/>
                <w:lang w:val="en-GB"/>
              </w:rPr>
              <w:t xml:space="preserve">237 million medication errors occur </w:t>
            </w:r>
            <w:r w:rsidRPr="004D0065">
              <w:rPr>
                <w:rStyle w:val="Strong"/>
                <w:rFonts w:cs="Arial"/>
                <w:color w:val="000000" w:themeColor="text1"/>
                <w:lang w:val="en-GB"/>
              </w:rPr>
              <w:lastRenderedPageBreak/>
              <w:t>annually in England</w:t>
            </w:r>
            <w:r w:rsidRPr="004D0065">
              <w:rPr>
                <w:rFonts w:cs="Arial"/>
                <w:color w:val="000000" w:themeColor="text1"/>
                <w:lang w:val="en-GB"/>
              </w:rPr>
              <w:t>, many linked to system fail</w:t>
            </w:r>
            <w:r w:rsidR="00FD550B" w:rsidRPr="004D0065">
              <w:rPr>
                <w:rFonts w:cs="Arial"/>
                <w:color w:val="000000" w:themeColor="text1"/>
                <w:lang w:val="en-GB"/>
              </w:rPr>
              <w:t xml:space="preserve">ures and poor information flow </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lastRenderedPageBreak/>
              <w:t xml:space="preserve">Embed </w:t>
            </w:r>
            <w:r w:rsidRPr="004D0065">
              <w:rPr>
                <w:rStyle w:val="Strong"/>
                <w:rFonts w:cs="Arial"/>
                <w:color w:val="000000" w:themeColor="text1"/>
                <w:lang w:val="en-GB"/>
              </w:rPr>
              <w:t>clinical decision support systems (CDSS)</w:t>
            </w:r>
            <w:r w:rsidRPr="004D0065">
              <w:rPr>
                <w:rFonts w:cs="Arial"/>
                <w:color w:val="000000" w:themeColor="text1"/>
                <w:lang w:val="en-GB"/>
              </w:rPr>
              <w:t xml:space="preserve"> and </w:t>
            </w:r>
            <w:r w:rsidRPr="004D0065">
              <w:rPr>
                <w:rFonts w:cs="Arial"/>
                <w:color w:val="000000" w:themeColor="text1"/>
                <w:lang w:val="en-GB"/>
              </w:rPr>
              <w:lastRenderedPageBreak/>
              <w:t>automated alerts into GP and pharmacy systems</w:t>
            </w:r>
          </w:p>
        </w:tc>
      </w:tr>
      <w:tr w:rsidR="004D0065" w:rsidRPr="004D0065" w:rsidTr="005C74BC">
        <w:trPr>
          <w:jc w:val="center"/>
        </w:trPr>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lastRenderedPageBreak/>
              <w:t>Ineffective multidisciplinary communication (GP–pharmacy indirect communication)</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Medication incidents account for </w:t>
            </w:r>
            <w:r w:rsidRPr="004D0065">
              <w:rPr>
                <w:rStyle w:val="Strong"/>
                <w:rFonts w:cs="Arial"/>
                <w:color w:val="000000" w:themeColor="text1"/>
                <w:lang w:val="en-GB"/>
              </w:rPr>
              <w:t>~10% of all patient safety incidents in the NHS</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Introduce </w:t>
            </w:r>
            <w:r w:rsidRPr="004D0065">
              <w:rPr>
                <w:rStyle w:val="Strong"/>
                <w:rFonts w:cs="Arial"/>
                <w:color w:val="000000" w:themeColor="text1"/>
                <w:lang w:val="en-GB"/>
              </w:rPr>
              <w:t>mandatory direct clinician-to-clinician communication protocols</w:t>
            </w:r>
            <w:r w:rsidRPr="004D0065">
              <w:rPr>
                <w:rFonts w:cs="Arial"/>
                <w:color w:val="000000" w:themeColor="text1"/>
                <w:lang w:val="en-GB"/>
              </w:rPr>
              <w:t xml:space="preserve"> for high-risk prescriptions (e.g., SBAR framework)</w:t>
            </w:r>
          </w:p>
        </w:tc>
      </w:tr>
      <w:tr w:rsidR="004D0065" w:rsidRPr="004D0065" w:rsidTr="005C74BC">
        <w:trPr>
          <w:jc w:val="center"/>
        </w:trPr>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Inadequate pharmacy verification and safety checks</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Studies show </w:t>
            </w:r>
            <w:r w:rsidRPr="004D0065">
              <w:rPr>
                <w:rStyle w:val="Strong"/>
                <w:rFonts w:cs="Arial"/>
                <w:color w:val="000000" w:themeColor="text1"/>
                <w:lang w:val="en-GB"/>
              </w:rPr>
              <w:t>54% of medication errors occur at administration stage</w:t>
            </w:r>
            <w:r w:rsidRPr="004D0065">
              <w:rPr>
                <w:rFonts w:cs="Arial"/>
                <w:color w:val="000000" w:themeColor="text1"/>
                <w:lang w:val="en-GB"/>
              </w:rPr>
              <w:t>, often due to lack of verificat</w:t>
            </w:r>
            <w:r w:rsidR="00FD550B" w:rsidRPr="004D0065">
              <w:rPr>
                <w:rFonts w:cs="Arial"/>
                <w:color w:val="000000" w:themeColor="text1"/>
                <w:lang w:val="en-GB"/>
              </w:rPr>
              <w:t xml:space="preserve">ion and clarity </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Enforce </w:t>
            </w:r>
            <w:r w:rsidRPr="004D0065">
              <w:rPr>
                <w:rStyle w:val="Strong"/>
                <w:rFonts w:cs="Arial"/>
                <w:color w:val="000000" w:themeColor="text1"/>
                <w:lang w:val="en-GB"/>
              </w:rPr>
              <w:t>double-checking procedures</w:t>
            </w:r>
            <w:r w:rsidRPr="004D0065">
              <w:rPr>
                <w:rFonts w:cs="Arial"/>
                <w:color w:val="000000" w:themeColor="text1"/>
                <w:lang w:val="en-GB"/>
              </w:rPr>
              <w:t xml:space="preserve"> for high-risk medications and mandatory volume calculation on labels</w:t>
            </w:r>
          </w:p>
        </w:tc>
      </w:tr>
      <w:tr w:rsidR="004D0065" w:rsidRPr="004D0065" w:rsidTr="005C74BC">
        <w:trPr>
          <w:jc w:val="center"/>
        </w:trPr>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Poor patient/caregiver education and counselling</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WHO identifies patient misunderstanding as a major contributor to medication harm, especially in home administratio</w:t>
            </w:r>
            <w:r w:rsidR="00FD550B" w:rsidRPr="004D0065">
              <w:rPr>
                <w:rFonts w:cs="Arial"/>
                <w:color w:val="000000" w:themeColor="text1"/>
                <w:lang w:val="en-GB"/>
              </w:rPr>
              <w:t xml:space="preserve">n </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Implement </w:t>
            </w:r>
            <w:r w:rsidRPr="004D0065">
              <w:rPr>
                <w:rStyle w:val="Strong"/>
                <w:rFonts w:cs="Arial"/>
                <w:color w:val="000000" w:themeColor="text1"/>
                <w:lang w:val="en-GB"/>
              </w:rPr>
              <w:t>teach-back method</w:t>
            </w:r>
            <w:r w:rsidRPr="004D0065">
              <w:rPr>
                <w:rFonts w:cs="Arial"/>
                <w:color w:val="000000" w:themeColor="text1"/>
                <w:lang w:val="en-GB"/>
              </w:rPr>
              <w:t xml:space="preserve">, provide </w:t>
            </w:r>
            <w:r w:rsidRPr="004D0065">
              <w:rPr>
                <w:rStyle w:val="Strong"/>
                <w:rFonts w:cs="Arial"/>
                <w:color w:val="000000" w:themeColor="text1"/>
                <w:lang w:val="en-GB"/>
              </w:rPr>
              <w:t>1 ml syringes</w:t>
            </w:r>
            <w:r w:rsidRPr="004D0065">
              <w:rPr>
                <w:rFonts w:cs="Arial"/>
                <w:color w:val="000000" w:themeColor="text1"/>
                <w:lang w:val="en-GB"/>
              </w:rPr>
              <w:t>, and ensure demonstration of correct dosing before discharge</w:t>
            </w:r>
          </w:p>
        </w:tc>
      </w:tr>
      <w:tr w:rsidR="00872CD1" w:rsidRPr="004D0065" w:rsidTr="005C74BC">
        <w:trPr>
          <w:jc w:val="center"/>
        </w:trPr>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Lack of safety culture and leadership oversight</w:t>
            </w:r>
          </w:p>
        </w:tc>
        <w:tc>
          <w:tcPr>
            <w:tcW w:w="0" w:type="auto"/>
            <w:hideMark/>
          </w:tcPr>
          <w:p w:rsidR="00872CD1" w:rsidRPr="004D0065" w:rsidRDefault="00872CD1" w:rsidP="00FD550B">
            <w:pPr>
              <w:spacing w:line="360" w:lineRule="auto"/>
              <w:rPr>
                <w:rFonts w:cs="Arial"/>
                <w:color w:val="000000" w:themeColor="text1"/>
                <w:lang w:val="en-GB"/>
              </w:rPr>
            </w:pPr>
            <w:r w:rsidRPr="004D0065">
              <w:rPr>
                <w:rFonts w:cs="Arial"/>
                <w:color w:val="000000" w:themeColor="text1"/>
                <w:lang w:val="en-GB"/>
              </w:rPr>
              <w:t xml:space="preserve">Preventable medication errors contribute to </w:t>
            </w:r>
            <w:r w:rsidRPr="004D0065">
              <w:rPr>
                <w:rStyle w:val="Strong"/>
                <w:rFonts w:cs="Arial"/>
                <w:color w:val="000000" w:themeColor="text1"/>
                <w:lang w:val="en-GB"/>
              </w:rPr>
              <w:t>~1700 deaths annually in the NHS</w:t>
            </w:r>
          </w:p>
        </w:tc>
        <w:tc>
          <w:tcPr>
            <w:tcW w:w="0" w:type="auto"/>
            <w:hideMark/>
          </w:tcPr>
          <w:p w:rsidR="00872CD1" w:rsidRPr="004D0065" w:rsidRDefault="00872CD1" w:rsidP="00FD550B">
            <w:pPr>
              <w:keepNext/>
              <w:spacing w:line="360" w:lineRule="auto"/>
              <w:rPr>
                <w:rFonts w:cs="Arial"/>
                <w:color w:val="000000" w:themeColor="text1"/>
                <w:lang w:val="en-GB"/>
              </w:rPr>
            </w:pPr>
            <w:r w:rsidRPr="004D0065">
              <w:rPr>
                <w:rFonts w:cs="Arial"/>
                <w:color w:val="000000" w:themeColor="text1"/>
                <w:lang w:val="en-GB"/>
              </w:rPr>
              <w:t xml:space="preserve">Promote </w:t>
            </w:r>
            <w:r w:rsidRPr="004D0065">
              <w:rPr>
                <w:rStyle w:val="Strong"/>
                <w:rFonts w:cs="Arial"/>
                <w:color w:val="000000" w:themeColor="text1"/>
                <w:lang w:val="en-GB"/>
              </w:rPr>
              <w:t>transformational leadership</w:t>
            </w:r>
            <w:r w:rsidRPr="004D0065">
              <w:rPr>
                <w:rFonts w:cs="Arial"/>
                <w:color w:val="000000" w:themeColor="text1"/>
                <w:lang w:val="en-GB"/>
              </w:rPr>
              <w:t xml:space="preserve">, safety training, and a </w:t>
            </w:r>
            <w:r w:rsidRPr="004D0065">
              <w:rPr>
                <w:rStyle w:val="Strong"/>
                <w:rFonts w:cs="Arial"/>
                <w:color w:val="000000" w:themeColor="text1"/>
                <w:lang w:val="en-GB"/>
              </w:rPr>
              <w:t>non-blame reporting culture</w:t>
            </w:r>
            <w:r w:rsidRPr="004D0065">
              <w:rPr>
                <w:rFonts w:cs="Arial"/>
                <w:color w:val="000000" w:themeColor="text1"/>
                <w:lang w:val="en-GB"/>
              </w:rPr>
              <w:t xml:space="preserve"> to encourage escalation of risks</w:t>
            </w:r>
          </w:p>
        </w:tc>
      </w:tr>
    </w:tbl>
    <w:p w:rsidR="00FD550B" w:rsidRPr="004D0065" w:rsidRDefault="00FD550B" w:rsidP="00FD550B">
      <w:pPr>
        <w:pStyle w:val="Caption"/>
        <w:spacing w:line="360" w:lineRule="auto"/>
        <w:jc w:val="center"/>
        <w:rPr>
          <w:rFonts w:cs="Arial"/>
          <w:color w:val="000000" w:themeColor="text1"/>
          <w:sz w:val="22"/>
          <w:szCs w:val="22"/>
          <w:lang w:val="en-GB"/>
        </w:rPr>
      </w:pPr>
    </w:p>
    <w:p w:rsidR="00FD550B" w:rsidRPr="004D0065" w:rsidRDefault="003217F8" w:rsidP="005F1DE4">
      <w:pPr>
        <w:spacing w:line="360" w:lineRule="auto"/>
        <w:jc w:val="center"/>
        <w:rPr>
          <w:rFonts w:cs="Arial"/>
          <w:color w:val="000000" w:themeColor="text1"/>
          <w:lang w:val="en-GB"/>
        </w:rPr>
      </w:pPr>
      <w:r w:rsidRPr="004D0065">
        <w:rPr>
          <w:rFonts w:cs="Arial"/>
          <w:color w:val="000000" w:themeColor="text1"/>
          <w:lang w:val="en-GB"/>
        </w:rPr>
        <w:t xml:space="preserve"> </w:t>
      </w:r>
      <w:r w:rsidR="005F1DE4" w:rsidRPr="004D0065">
        <w:rPr>
          <w:rFonts w:cs="Arial"/>
          <w:color w:val="000000" w:themeColor="text1"/>
          <w:lang w:val="en-GB"/>
        </w:rPr>
        <w:t>(Source: Self-created)</w:t>
      </w:r>
    </w:p>
    <w:p w:rsidR="00C22202" w:rsidRPr="004D0065" w:rsidRDefault="00C22202" w:rsidP="00CF0BB7">
      <w:pPr>
        <w:spacing w:line="360" w:lineRule="auto"/>
        <w:rPr>
          <w:rFonts w:cs="Arial"/>
          <w:color w:val="000000" w:themeColor="text1"/>
          <w:lang w:val="en-GB"/>
        </w:rPr>
      </w:pPr>
      <w:r w:rsidRPr="004D0065">
        <w:rPr>
          <w:rFonts w:cs="Arial"/>
          <w:color w:val="000000" w:themeColor="text1"/>
          <w:lang w:val="en-GB"/>
        </w:rPr>
        <w:t xml:space="preserve">The first problem that was detected in this example was slow and inefficient communication between care boundaries, especially between hospital and primary care. The discharge summary was in written form and was not clear when it came to medication strength and dosage, therefore, playing a direct role in downstream prescribing errors. The results of patient safety studies on the issue show that subpar communication during care discharge is a leading cause of medication errors worldwide. As a </w:t>
      </w:r>
      <w:proofErr w:type="spellStart"/>
      <w:r w:rsidRPr="004D0065">
        <w:rPr>
          <w:rFonts w:cs="Arial"/>
          <w:color w:val="000000" w:themeColor="text1"/>
          <w:lang w:val="en-GB"/>
        </w:rPr>
        <w:t>countermeasuring</w:t>
      </w:r>
      <w:proofErr w:type="spellEnd"/>
      <w:r w:rsidRPr="004D0065">
        <w:rPr>
          <w:rFonts w:cs="Arial"/>
          <w:color w:val="000000" w:themeColor="text1"/>
          <w:lang w:val="en-GB"/>
        </w:rPr>
        <w:t xml:space="preserve"> measure, electronic discharge systems which have standardised templates and complete specification of the drug name, drug strength, dosage, and instructions of administration are one of the improvements. The implementation of the electronic prescribing and discharge summaries minimises ambiguity, </w:t>
      </w:r>
      <w:r w:rsidRPr="004D0065">
        <w:rPr>
          <w:rFonts w:cs="Arial"/>
          <w:color w:val="000000" w:themeColor="text1"/>
          <w:lang w:val="en-GB"/>
        </w:rPr>
        <w:lastRenderedPageBreak/>
        <w:t>reliance on interpretation, and sustain care continuity. As a matter of fact, the incident that occurred led to the implementation of electronic systems by the organisation to enhance the accuracy of do</w:t>
      </w:r>
      <w:r w:rsidR="00CF0BB7" w:rsidRPr="004D0065">
        <w:rPr>
          <w:rFonts w:cs="Arial"/>
          <w:color w:val="000000" w:themeColor="text1"/>
          <w:lang w:val="en-GB"/>
        </w:rPr>
        <w:t>cumentation and patient safety.</w:t>
      </w:r>
      <w:sdt>
        <w:sdtPr>
          <w:rPr>
            <w:rFonts w:cs="Arial"/>
            <w:color w:val="000000" w:themeColor="text1"/>
            <w:lang w:val="en-GB"/>
          </w:rPr>
          <w:id w:val="-1538960995"/>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Yue251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(Yu et al., 2025)</w:t>
          </w:r>
          <w:r w:rsidR="00A2756A" w:rsidRPr="004D0065">
            <w:rPr>
              <w:rFonts w:cs="Arial"/>
              <w:color w:val="000000" w:themeColor="text1"/>
              <w:lang w:val="en-GB"/>
            </w:rPr>
            <w:fldChar w:fldCharType="end"/>
          </w:r>
        </w:sdtContent>
      </w:sdt>
    </w:p>
    <w:p w:rsidR="00C22202" w:rsidRPr="004D0065" w:rsidRDefault="00C22202" w:rsidP="00CF0BB7">
      <w:pPr>
        <w:spacing w:line="360" w:lineRule="auto"/>
        <w:rPr>
          <w:rFonts w:cs="Arial"/>
          <w:color w:val="000000" w:themeColor="text1"/>
          <w:lang w:val="en-GB"/>
        </w:rPr>
      </w:pPr>
      <w:r w:rsidRPr="004D0065">
        <w:rPr>
          <w:rFonts w:cs="Arial"/>
          <w:color w:val="000000" w:themeColor="text1"/>
          <w:lang w:val="en-GB"/>
        </w:rPr>
        <w:t>The second urgent matter was a failure of the governance systems related to high-risk medications. The type of morphine preparation was referred to as a “RED drug which meant that they should have been used in specialty care in the secondary care. This protection was, however, not enough to prevent the medication being prescribed during primary care, which points to the incompetence of enforcement and integration of the systems</w:t>
      </w:r>
      <w:sdt>
        <w:sdtPr>
          <w:rPr>
            <w:rFonts w:cs="Arial"/>
            <w:color w:val="000000" w:themeColor="text1"/>
            <w:lang w:val="en-GB"/>
          </w:rPr>
          <w:id w:val="-888418982"/>
          <w:citation/>
        </w:sdtPr>
        <w:sdtContent>
          <w:r w:rsidR="00A2756A" w:rsidRPr="004D0065">
            <w:rPr>
              <w:rFonts w:cs="Arial"/>
              <w:color w:val="000000" w:themeColor="text1"/>
              <w:lang w:val="en-GB"/>
            </w:rPr>
            <w:fldChar w:fldCharType="begin"/>
          </w:r>
          <w:r w:rsidR="000C72FC" w:rsidRPr="004D0065">
            <w:rPr>
              <w:rFonts w:cs="Arial"/>
              <w:color w:val="000000" w:themeColor="text1"/>
              <w:lang w:val="en-GB"/>
            </w:rPr>
            <w:instrText xml:space="preserve"> CITATION Bas24 \l 1033 </w:instrText>
          </w:r>
          <w:r w:rsidR="00A2756A" w:rsidRPr="004D0065">
            <w:rPr>
              <w:rFonts w:cs="Arial"/>
              <w:color w:val="000000" w:themeColor="text1"/>
              <w:lang w:val="en-GB"/>
            </w:rPr>
            <w:fldChar w:fldCharType="separate"/>
          </w:r>
          <w:r w:rsidR="000C72FC" w:rsidRPr="004D0065">
            <w:rPr>
              <w:rFonts w:cs="Arial"/>
              <w:noProof/>
              <w:color w:val="000000" w:themeColor="text1"/>
              <w:lang w:val="en-GB"/>
            </w:rPr>
            <w:t>(Bastani et al., 2024)</w:t>
          </w:r>
          <w:r w:rsidR="00A2756A" w:rsidRPr="004D0065">
            <w:rPr>
              <w:rFonts w:cs="Arial"/>
              <w:color w:val="000000" w:themeColor="text1"/>
              <w:lang w:val="en-GB"/>
            </w:rPr>
            <w:fldChar w:fldCharType="end"/>
          </w:r>
        </w:sdtContent>
      </w:sdt>
      <w:r w:rsidRPr="004D0065">
        <w:rPr>
          <w:rFonts w:cs="Arial"/>
          <w:color w:val="000000" w:themeColor="text1"/>
          <w:lang w:val="en-GB"/>
        </w:rPr>
        <w:t>. To restrain the vice, medical institutions need to enhance governance systems through the integration of the automated alert features to the electronic prescribing systems to decide the prohibited medications. Also, policies must be backed up by frequent audit and staff training and well-defined accountability frameworks so as to maintain adherence to safety regulations. Such reinforcements of governance are consistent with the best practice suggestions on the handling of high-alert medications and minimiz</w:t>
      </w:r>
      <w:r w:rsidR="00CF0BB7" w:rsidRPr="004D0065">
        <w:rPr>
          <w:rFonts w:cs="Arial"/>
          <w:color w:val="000000" w:themeColor="text1"/>
          <w:lang w:val="en-GB"/>
        </w:rPr>
        <w:t>ing harm that can be prevented.</w:t>
      </w:r>
      <w:sdt>
        <w:sdtPr>
          <w:rPr>
            <w:rFonts w:cs="Arial"/>
            <w:color w:val="000000" w:themeColor="text1"/>
            <w:lang w:val="en-GB"/>
          </w:rPr>
          <w:id w:val="1329563204"/>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DeV24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(De Vito et al., 2024)</w:t>
          </w:r>
          <w:r w:rsidR="00A2756A" w:rsidRPr="004D0065">
            <w:rPr>
              <w:rFonts w:cs="Arial"/>
              <w:color w:val="000000" w:themeColor="text1"/>
              <w:lang w:val="en-GB"/>
            </w:rPr>
            <w:fldChar w:fldCharType="end"/>
          </w:r>
        </w:sdtContent>
      </w:sdt>
    </w:p>
    <w:p w:rsidR="00C22202" w:rsidRPr="004D0065" w:rsidRDefault="00C22202" w:rsidP="00CF0BB7">
      <w:pPr>
        <w:spacing w:line="360" w:lineRule="auto"/>
        <w:rPr>
          <w:rFonts w:cs="Arial"/>
          <w:color w:val="000000" w:themeColor="text1"/>
          <w:lang w:val="en-GB"/>
        </w:rPr>
      </w:pPr>
      <w:r w:rsidRPr="004D0065">
        <w:rPr>
          <w:rFonts w:cs="Arial"/>
          <w:color w:val="000000" w:themeColor="text1"/>
          <w:lang w:val="en-GB"/>
        </w:rPr>
        <w:t>The second critical issue that was observed was the inability to have effective multidisciplinary communication and verification. The pharmacy had some anxiety in the prescription, but as the whole trick was to contact the GP, it was done through the administrative person instead of the direct clinician-to-clinician communication. Such failure in communication hindered the prompt clarification on a prescription and it enabled the mistake to continue</w:t>
      </w:r>
      <w:sdt>
        <w:sdtPr>
          <w:rPr>
            <w:rFonts w:cs="Arial"/>
            <w:color w:val="000000" w:themeColor="text1"/>
            <w:lang w:val="en-GB"/>
          </w:rPr>
          <w:id w:val="118504193"/>
          <w:citation/>
        </w:sdtPr>
        <w:sdtContent>
          <w:r w:rsidR="00A2756A" w:rsidRPr="004D0065">
            <w:rPr>
              <w:rFonts w:cs="Arial"/>
              <w:color w:val="000000" w:themeColor="text1"/>
              <w:lang w:val="en-GB"/>
            </w:rPr>
            <w:fldChar w:fldCharType="begin"/>
          </w:r>
          <w:r w:rsidR="000C72FC" w:rsidRPr="004D0065">
            <w:rPr>
              <w:rFonts w:cs="Arial"/>
              <w:color w:val="000000" w:themeColor="text1"/>
              <w:lang w:val="en-GB"/>
            </w:rPr>
            <w:instrText xml:space="preserve"> CITATION Coe24 \l 1033 </w:instrText>
          </w:r>
          <w:r w:rsidR="00A2756A" w:rsidRPr="004D0065">
            <w:rPr>
              <w:rFonts w:cs="Arial"/>
              <w:color w:val="000000" w:themeColor="text1"/>
              <w:lang w:val="en-GB"/>
            </w:rPr>
            <w:fldChar w:fldCharType="separate"/>
          </w:r>
          <w:r w:rsidR="000C72FC" w:rsidRPr="004D0065">
            <w:rPr>
              <w:rFonts w:cs="Arial"/>
              <w:noProof/>
              <w:color w:val="000000" w:themeColor="text1"/>
              <w:lang w:val="en-GB"/>
            </w:rPr>
            <w:t>(Coelho et al., 2024)</w:t>
          </w:r>
          <w:r w:rsidR="00A2756A" w:rsidRPr="004D0065">
            <w:rPr>
              <w:rFonts w:cs="Arial"/>
              <w:color w:val="000000" w:themeColor="text1"/>
              <w:lang w:val="en-GB"/>
            </w:rPr>
            <w:fldChar w:fldCharType="end"/>
          </w:r>
        </w:sdtContent>
      </w:sdt>
      <w:r w:rsidRPr="004D0065">
        <w:rPr>
          <w:rFonts w:cs="Arial"/>
          <w:color w:val="000000" w:themeColor="text1"/>
          <w:lang w:val="en-GB"/>
        </w:rPr>
        <w:t>. One useful thing that emerges here is that an elaborate communication procedure is necessary in situations that pose high risks and therefore direct professional communication is necessary whenever there are medication questions or doubts. The use of structured communication devices, including SBAR (Situation, Background, Assessment, Recommendation), may also contribute to its increased level of clarity and a decrease in the amount of misunderstandi</w:t>
      </w:r>
      <w:r w:rsidR="00CF0BB7" w:rsidRPr="004D0065">
        <w:rPr>
          <w:rFonts w:cs="Arial"/>
          <w:color w:val="000000" w:themeColor="text1"/>
          <w:lang w:val="en-GB"/>
        </w:rPr>
        <w:t>ngs among healthcare providers.</w:t>
      </w:r>
      <w:sdt>
        <w:sdtPr>
          <w:rPr>
            <w:rFonts w:cs="Arial"/>
            <w:color w:val="000000" w:themeColor="text1"/>
            <w:lang w:val="en-GB"/>
          </w:rPr>
          <w:id w:val="-1169093849"/>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Ghe24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(Ghezaywi et al., 2024)</w:t>
          </w:r>
          <w:r w:rsidR="00A2756A" w:rsidRPr="004D0065">
            <w:rPr>
              <w:rFonts w:cs="Arial"/>
              <w:color w:val="000000" w:themeColor="text1"/>
              <w:lang w:val="en-GB"/>
            </w:rPr>
            <w:fldChar w:fldCharType="end"/>
          </w:r>
        </w:sdtContent>
      </w:sdt>
    </w:p>
    <w:p w:rsidR="00C22202" w:rsidRPr="004D0065" w:rsidRDefault="00C22202" w:rsidP="00CF0BB7">
      <w:pPr>
        <w:spacing w:line="360" w:lineRule="auto"/>
        <w:rPr>
          <w:rFonts w:cs="Arial"/>
          <w:color w:val="000000" w:themeColor="text1"/>
          <w:lang w:val="en-GB"/>
        </w:rPr>
      </w:pPr>
      <w:r w:rsidRPr="004D0065">
        <w:rPr>
          <w:rFonts w:cs="Arial"/>
          <w:color w:val="000000" w:themeColor="text1"/>
          <w:lang w:val="en-GB"/>
        </w:rPr>
        <w:t>The lack of patient and caregiver education is also a gap noted in the case, and it contributed to the last part of the error. The parents used the same amount of medicine unaware of the fact that the concentration was different hence the issue of effective counselling. This can be improved by introducing obligatory pharmacist-mediated counselling during which the caregivers are demonstrated the procedure of the accurate dose measurement with the help of corresponding means, i.e., 1 ml syringes to be used when dealing with small amounts of the dosing solution</w:t>
      </w:r>
      <w:sdt>
        <w:sdtPr>
          <w:rPr>
            <w:rFonts w:cs="Arial"/>
            <w:color w:val="000000" w:themeColor="text1"/>
            <w:lang w:val="en-GB"/>
          </w:rPr>
          <w:id w:val="38488855"/>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Pra252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(Pramesona et al., 2025)</w:t>
          </w:r>
          <w:r w:rsidR="00A2756A" w:rsidRPr="004D0065">
            <w:rPr>
              <w:rFonts w:cs="Arial"/>
              <w:color w:val="000000" w:themeColor="text1"/>
              <w:lang w:val="en-GB"/>
            </w:rPr>
            <w:fldChar w:fldCharType="end"/>
          </w:r>
        </w:sdtContent>
      </w:sdt>
      <w:r w:rsidRPr="004D0065">
        <w:rPr>
          <w:rFonts w:cs="Arial"/>
          <w:color w:val="000000" w:themeColor="text1"/>
          <w:lang w:val="en-GB"/>
        </w:rPr>
        <w:t xml:space="preserve">. Also, implementing a so-called teach-back method, </w:t>
      </w:r>
      <w:r w:rsidRPr="004D0065">
        <w:rPr>
          <w:rFonts w:cs="Arial"/>
          <w:color w:val="000000" w:themeColor="text1"/>
          <w:lang w:val="en-GB"/>
        </w:rPr>
        <w:lastRenderedPageBreak/>
        <w:t>when a patient or a caregiver paraphrases instructions in order to make sure they comprehend them, may play a vital role in eliminating medication err</w:t>
      </w:r>
      <w:r w:rsidR="00CF0BB7" w:rsidRPr="004D0065">
        <w:rPr>
          <w:rFonts w:cs="Arial"/>
          <w:color w:val="000000" w:themeColor="text1"/>
          <w:lang w:val="en-GB"/>
        </w:rPr>
        <w:t>ors.</w:t>
      </w:r>
      <w:sdt>
        <w:sdtPr>
          <w:rPr>
            <w:rFonts w:cs="Arial"/>
            <w:color w:val="000000" w:themeColor="text1"/>
            <w:lang w:val="en-GB"/>
          </w:rPr>
          <w:id w:val="1192111534"/>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Cha244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(Chance et al., 2024)</w:t>
          </w:r>
          <w:r w:rsidR="00A2756A" w:rsidRPr="004D0065">
            <w:rPr>
              <w:rFonts w:cs="Arial"/>
              <w:color w:val="000000" w:themeColor="text1"/>
              <w:lang w:val="en-GB"/>
            </w:rPr>
            <w:fldChar w:fldCharType="end"/>
          </w:r>
        </w:sdtContent>
      </w:sdt>
    </w:p>
    <w:p w:rsidR="00C22202" w:rsidRPr="004D0065" w:rsidRDefault="00C22202" w:rsidP="00CF0BB7">
      <w:pPr>
        <w:spacing w:line="360" w:lineRule="auto"/>
        <w:rPr>
          <w:rFonts w:cs="Arial"/>
          <w:color w:val="000000" w:themeColor="text1"/>
          <w:lang w:val="en-GB"/>
        </w:rPr>
      </w:pPr>
      <w:r w:rsidRPr="004D0065">
        <w:rPr>
          <w:rFonts w:cs="Arial"/>
          <w:color w:val="000000" w:themeColor="text1"/>
          <w:lang w:val="en-GB"/>
        </w:rPr>
        <w:t>In the context of leadership, this case creates awareness of the need to create a culture of proactive safety that emphasizes learning, openness, and improvement. It is necessary that the leaders should motivate the staff to ask questions about ambiguous prescriptions, mention near-misses, and do reflective practices without a threat of being blamed</w:t>
      </w:r>
      <w:sdt>
        <w:sdtPr>
          <w:rPr>
            <w:rFonts w:cs="Arial"/>
            <w:color w:val="000000" w:themeColor="text1"/>
            <w:lang w:val="en-GB"/>
          </w:rPr>
          <w:id w:val="-909778307"/>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Agh25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(Aghabarary et al., 2025)</w:t>
          </w:r>
          <w:r w:rsidR="00A2756A" w:rsidRPr="004D0065">
            <w:rPr>
              <w:rFonts w:cs="Arial"/>
              <w:color w:val="000000" w:themeColor="text1"/>
              <w:lang w:val="en-GB"/>
            </w:rPr>
            <w:fldChar w:fldCharType="end"/>
          </w:r>
        </w:sdtContent>
      </w:sdt>
      <w:r w:rsidRPr="004D0065">
        <w:rPr>
          <w:rFonts w:cs="Arial"/>
          <w:color w:val="000000" w:themeColor="text1"/>
          <w:lang w:val="en-GB"/>
        </w:rPr>
        <w:t>. The training programmes should be designed in such a way that they not only impart the technical skills, but also communication, team awareness and situational awareness. Moreover, to ensure that such an incident will never happen again, the learning about incidents throughout the organisation, as suggested in this case, is required to facilitate wider impro</w:t>
      </w:r>
      <w:r w:rsidR="00CF0BB7" w:rsidRPr="004D0065">
        <w:rPr>
          <w:rFonts w:cs="Arial"/>
          <w:color w:val="000000" w:themeColor="text1"/>
          <w:lang w:val="en-GB"/>
        </w:rPr>
        <w:t>vement across the organisation.</w:t>
      </w:r>
      <w:sdt>
        <w:sdtPr>
          <w:rPr>
            <w:rFonts w:cs="Arial"/>
            <w:color w:val="000000" w:themeColor="text1"/>
            <w:lang w:val="en-GB"/>
          </w:rPr>
          <w:id w:val="440112477"/>
          <w:citation/>
        </w:sdtPr>
        <w:sdtContent>
          <w:r w:rsidR="00A2756A" w:rsidRPr="004D0065">
            <w:rPr>
              <w:rFonts w:cs="Arial"/>
              <w:color w:val="000000" w:themeColor="text1"/>
              <w:lang w:val="en-GB"/>
            </w:rPr>
            <w:fldChar w:fldCharType="begin"/>
          </w:r>
          <w:r w:rsidR="007E0D8D" w:rsidRPr="004D0065">
            <w:rPr>
              <w:rFonts w:cs="Arial"/>
              <w:color w:val="000000" w:themeColor="text1"/>
              <w:lang w:val="en-GB"/>
            </w:rPr>
            <w:instrText xml:space="preserve"> CITATION Ste25 \l 1033 </w:instrText>
          </w:r>
          <w:r w:rsidR="00A2756A" w:rsidRPr="004D0065">
            <w:rPr>
              <w:rFonts w:cs="Arial"/>
              <w:color w:val="000000" w:themeColor="text1"/>
              <w:lang w:val="en-GB"/>
            </w:rPr>
            <w:fldChar w:fldCharType="separate"/>
          </w:r>
          <w:r w:rsidR="007E0D8D" w:rsidRPr="004D0065">
            <w:rPr>
              <w:rFonts w:cs="Arial"/>
              <w:noProof/>
              <w:color w:val="000000" w:themeColor="text1"/>
              <w:lang w:val="en-GB"/>
            </w:rPr>
            <w:t>(Stephan et al., 2025)</w:t>
          </w:r>
          <w:r w:rsidR="00A2756A" w:rsidRPr="004D0065">
            <w:rPr>
              <w:rFonts w:cs="Arial"/>
              <w:color w:val="000000" w:themeColor="text1"/>
              <w:lang w:val="en-GB"/>
            </w:rPr>
            <w:fldChar w:fldCharType="end"/>
          </w:r>
        </w:sdtContent>
      </w:sdt>
    </w:p>
    <w:p w:rsidR="00C22202" w:rsidRPr="004D0065" w:rsidRDefault="00C22202" w:rsidP="00CF0BB7">
      <w:pPr>
        <w:spacing w:line="360" w:lineRule="auto"/>
        <w:rPr>
          <w:rFonts w:cs="Arial"/>
          <w:color w:val="000000" w:themeColor="text1"/>
          <w:lang w:val="en-GB"/>
        </w:rPr>
      </w:pPr>
      <w:r w:rsidRPr="004D0065">
        <w:rPr>
          <w:rFonts w:cs="Arial"/>
          <w:color w:val="000000" w:themeColor="text1"/>
          <w:lang w:val="en-GB"/>
        </w:rPr>
        <w:t>Overall, the main lessons of the case are based on necessary improvements in the integrated system which will balance leadership, governance and practice. Better communication systems, better governance structures, better multidisciplinary work, and better patient education are all the requirements of safer delivery of healthcare</w:t>
      </w:r>
      <w:sdt>
        <w:sdtPr>
          <w:rPr>
            <w:rFonts w:cs="Arial"/>
            <w:color w:val="000000" w:themeColor="text1"/>
            <w:lang w:val="en-GB"/>
          </w:rPr>
          <w:id w:val="-1839297682"/>
          <w:citation/>
        </w:sdtPr>
        <w:sdtContent>
          <w:r w:rsidR="00A2756A" w:rsidRPr="004D0065">
            <w:rPr>
              <w:rFonts w:cs="Arial"/>
              <w:color w:val="000000" w:themeColor="text1"/>
              <w:lang w:val="en-GB"/>
            </w:rPr>
            <w:fldChar w:fldCharType="begin"/>
          </w:r>
          <w:r w:rsidR="000C72FC" w:rsidRPr="004D0065">
            <w:rPr>
              <w:rFonts w:cs="Arial"/>
              <w:color w:val="000000" w:themeColor="text1"/>
              <w:lang w:val="en-GB"/>
            </w:rPr>
            <w:instrText xml:space="preserve"> CITATION Tuv25 \l 1033 </w:instrText>
          </w:r>
          <w:r w:rsidR="00A2756A" w:rsidRPr="004D0065">
            <w:rPr>
              <w:rFonts w:cs="Arial"/>
              <w:color w:val="000000" w:themeColor="text1"/>
              <w:lang w:val="en-GB"/>
            </w:rPr>
            <w:fldChar w:fldCharType="separate"/>
          </w:r>
          <w:r w:rsidR="000C72FC" w:rsidRPr="004D0065">
            <w:rPr>
              <w:rFonts w:cs="Arial"/>
              <w:noProof/>
              <w:color w:val="000000" w:themeColor="text1"/>
              <w:lang w:val="en-GB"/>
            </w:rPr>
            <w:t>(Tuvor et al., 2025)</w:t>
          </w:r>
          <w:r w:rsidR="00A2756A" w:rsidRPr="004D0065">
            <w:rPr>
              <w:rFonts w:cs="Arial"/>
              <w:color w:val="000000" w:themeColor="text1"/>
              <w:lang w:val="en-GB"/>
            </w:rPr>
            <w:fldChar w:fldCharType="end"/>
          </w:r>
        </w:sdtContent>
      </w:sdt>
      <w:r w:rsidRPr="004D0065">
        <w:rPr>
          <w:rFonts w:cs="Arial"/>
          <w:color w:val="000000" w:themeColor="text1"/>
          <w:lang w:val="en-GB"/>
        </w:rPr>
        <w:t>. Through the interconnected aspects, healthcare organisations are able to eliminate these variability, increase accountability, and develop resilience systems that would allow them to prevent such incidents in the future.</w:t>
      </w:r>
      <w:sdt>
        <w:sdtPr>
          <w:rPr>
            <w:rFonts w:cs="Arial"/>
            <w:color w:val="000000" w:themeColor="text1"/>
            <w:lang w:val="en-GB"/>
          </w:rPr>
          <w:id w:val="346527999"/>
          <w:citation/>
        </w:sdtPr>
        <w:sdtContent>
          <w:r w:rsidR="00A2756A" w:rsidRPr="004D0065">
            <w:rPr>
              <w:rFonts w:cs="Arial"/>
              <w:color w:val="000000" w:themeColor="text1"/>
              <w:lang w:val="en-GB"/>
            </w:rPr>
            <w:fldChar w:fldCharType="begin"/>
          </w:r>
          <w:r w:rsidR="000C72FC" w:rsidRPr="004D0065">
            <w:rPr>
              <w:rFonts w:cs="Arial"/>
              <w:color w:val="000000" w:themeColor="text1"/>
              <w:lang w:val="en-GB"/>
            </w:rPr>
            <w:instrText xml:space="preserve"> CITATION Fan251 \l 1033 </w:instrText>
          </w:r>
          <w:r w:rsidR="00A2756A" w:rsidRPr="004D0065">
            <w:rPr>
              <w:rFonts w:cs="Arial"/>
              <w:color w:val="000000" w:themeColor="text1"/>
              <w:lang w:val="en-GB"/>
            </w:rPr>
            <w:fldChar w:fldCharType="separate"/>
          </w:r>
          <w:r w:rsidR="000C72FC" w:rsidRPr="004D0065">
            <w:rPr>
              <w:rFonts w:cs="Arial"/>
              <w:noProof/>
              <w:color w:val="000000" w:themeColor="text1"/>
              <w:lang w:val="en-GB"/>
            </w:rPr>
            <w:t>(Fang et al., 2025)</w:t>
          </w:r>
          <w:r w:rsidR="00A2756A" w:rsidRPr="004D0065">
            <w:rPr>
              <w:rFonts w:cs="Arial"/>
              <w:color w:val="000000" w:themeColor="text1"/>
              <w:lang w:val="en-GB"/>
            </w:rPr>
            <w:fldChar w:fldCharType="end"/>
          </w:r>
        </w:sdtContent>
      </w:sdt>
    </w:p>
    <w:p w:rsidR="00CF0BB7" w:rsidRPr="004D0065" w:rsidRDefault="00CF0BB7" w:rsidP="00CF0BB7">
      <w:pPr>
        <w:spacing w:line="360" w:lineRule="auto"/>
        <w:rPr>
          <w:rFonts w:cs="Arial"/>
          <w:color w:val="000000" w:themeColor="text1"/>
          <w:lang w:val="en-GB"/>
        </w:rPr>
      </w:pPr>
    </w:p>
    <w:p w:rsidR="00CF0BB7" w:rsidRPr="004D0065" w:rsidRDefault="00CF0BB7" w:rsidP="00101D91">
      <w:pPr>
        <w:pStyle w:val="Heading1"/>
        <w:rPr>
          <w:rFonts w:ascii="Arial" w:hAnsi="Arial" w:cs="Arial"/>
          <w:color w:val="000000" w:themeColor="text1"/>
          <w:lang w:val="en-GB"/>
        </w:rPr>
      </w:pPr>
      <w:bookmarkStart w:id="6" w:name="_Toc225938363"/>
      <w:r w:rsidRPr="004D0065">
        <w:rPr>
          <w:rFonts w:ascii="Arial" w:hAnsi="Arial" w:cs="Arial"/>
          <w:color w:val="000000" w:themeColor="text1"/>
          <w:lang w:val="en-GB"/>
        </w:rPr>
        <w:t>Recommendations</w:t>
      </w:r>
      <w:bookmarkEnd w:id="6"/>
    </w:p>
    <w:p w:rsidR="00CF0BB7" w:rsidRPr="004D0065" w:rsidRDefault="00CF0BB7" w:rsidP="00CF0BB7">
      <w:pPr>
        <w:spacing w:line="360" w:lineRule="auto"/>
        <w:rPr>
          <w:rFonts w:cs="Arial"/>
          <w:color w:val="000000" w:themeColor="text1"/>
          <w:lang w:val="en-GB"/>
        </w:rPr>
      </w:pPr>
      <w:r w:rsidRPr="004D0065">
        <w:rPr>
          <w:rFonts w:cs="Arial"/>
          <w:color w:val="000000" w:themeColor="text1"/>
          <w:lang w:val="en-GB"/>
        </w:rPr>
        <w:t>The case study on infant morphine overdose shows that the case has a pressing need on the system-wide improvement that incorporates leadership, governance, and operational processes integrate to improve patient safety. The evidence-based, practical, and directly relevant to the identified issues in the case recommendations are the following ones.</w:t>
      </w:r>
    </w:p>
    <w:p w:rsidR="00CF0BB7" w:rsidRPr="004D0065" w:rsidRDefault="00CF0BB7" w:rsidP="00CF0BB7">
      <w:pPr>
        <w:spacing w:line="360" w:lineRule="auto"/>
        <w:rPr>
          <w:rFonts w:cs="Arial"/>
          <w:color w:val="000000" w:themeColor="text1"/>
          <w:lang w:val="en-GB"/>
        </w:rPr>
      </w:pPr>
      <w:r w:rsidRPr="004D0065">
        <w:rPr>
          <w:rFonts w:cs="Arial"/>
          <w:color w:val="000000" w:themeColor="text1"/>
          <w:lang w:val="en-GB"/>
        </w:rPr>
        <w:t xml:space="preserve">To begin with, healthcare organisations ought to adopt complete electronic prescription and discharge platforms to remove the opacities in communication of medication. Such systems should be obligatory in terms of drug name, drug strength, dosage (quantity and volume) and frequency; thus, minimizing the need to be subject to interpretation. The alert system must be automated to identify high-risk medications, including the usage of the so-called RED drugs, to avoid the improper prescription of drugs in a primary care environment. The errors caused due </w:t>
      </w:r>
      <w:r w:rsidRPr="004D0065">
        <w:rPr>
          <w:rFonts w:cs="Arial"/>
          <w:color w:val="000000" w:themeColor="text1"/>
          <w:lang w:val="en-GB"/>
        </w:rPr>
        <w:lastRenderedPageBreak/>
        <w:t>to the bad documentation and system fragmentation would decrease greatly this time thanks to this technological intervention.</w:t>
      </w:r>
      <w:sdt>
        <w:sdtPr>
          <w:rPr>
            <w:rFonts w:cs="Arial"/>
            <w:color w:val="000000" w:themeColor="text1"/>
            <w:lang w:val="en-GB"/>
          </w:rPr>
          <w:id w:val="-1587376033"/>
          <w:citation/>
        </w:sdtPr>
        <w:sdtContent>
          <w:r w:rsidR="00A2756A" w:rsidRPr="004D0065">
            <w:rPr>
              <w:rFonts w:cs="Arial"/>
              <w:color w:val="000000" w:themeColor="text1"/>
              <w:lang w:val="en-GB"/>
            </w:rPr>
            <w:fldChar w:fldCharType="begin"/>
          </w:r>
          <w:r w:rsidR="000C72FC" w:rsidRPr="004D0065">
            <w:rPr>
              <w:rFonts w:cs="Arial"/>
              <w:color w:val="000000" w:themeColor="text1"/>
              <w:lang w:val="en-GB"/>
            </w:rPr>
            <w:instrText xml:space="preserve"> CITATION Mon24 \l 1033 </w:instrText>
          </w:r>
          <w:r w:rsidR="00A2756A" w:rsidRPr="004D0065">
            <w:rPr>
              <w:rFonts w:cs="Arial"/>
              <w:color w:val="000000" w:themeColor="text1"/>
              <w:lang w:val="en-GB"/>
            </w:rPr>
            <w:fldChar w:fldCharType="separate"/>
          </w:r>
          <w:r w:rsidR="000C72FC" w:rsidRPr="004D0065">
            <w:rPr>
              <w:rFonts w:cs="Arial"/>
              <w:noProof/>
              <w:color w:val="000000" w:themeColor="text1"/>
              <w:lang w:val="en-GB"/>
            </w:rPr>
            <w:t>(Mondal et al., 2024)</w:t>
          </w:r>
          <w:r w:rsidR="00A2756A" w:rsidRPr="004D0065">
            <w:rPr>
              <w:rFonts w:cs="Arial"/>
              <w:color w:val="000000" w:themeColor="text1"/>
              <w:lang w:val="en-GB"/>
            </w:rPr>
            <w:fldChar w:fldCharType="end"/>
          </w:r>
        </w:sdtContent>
      </w:sdt>
    </w:p>
    <w:p w:rsidR="00CF0BB7" w:rsidRPr="004D0065" w:rsidRDefault="00CF0BB7" w:rsidP="00CF0BB7">
      <w:pPr>
        <w:spacing w:line="360" w:lineRule="auto"/>
        <w:rPr>
          <w:rFonts w:cs="Arial"/>
          <w:color w:val="000000" w:themeColor="text1"/>
          <w:lang w:val="en-GB"/>
        </w:rPr>
      </w:pPr>
      <w:r w:rsidRPr="004D0065">
        <w:rPr>
          <w:rFonts w:cs="Arial"/>
          <w:color w:val="000000" w:themeColor="text1"/>
          <w:lang w:val="en-GB"/>
        </w:rPr>
        <w:t>Second, the governance systems of high-risk medications should be reinforced by improved accountability and audit procedures. There should be clear accountability structures whereby the responsibility of medication safety is shared between the hospitals, primary care, and pharmacy environments. Also, the implementation of the national and local guidelines needs to be supported by continuous professional development programme to make sure that all medical workers are in the position of knowing the medication safety guidelines.</w:t>
      </w:r>
      <w:sdt>
        <w:sdtPr>
          <w:rPr>
            <w:rFonts w:cs="Arial"/>
            <w:color w:val="000000" w:themeColor="text1"/>
            <w:lang w:val="en-GB"/>
          </w:rPr>
          <w:id w:val="1396856233"/>
          <w:citation/>
        </w:sdtPr>
        <w:sdtContent>
          <w:r w:rsidR="00A2756A" w:rsidRPr="004D0065">
            <w:rPr>
              <w:rFonts w:cs="Arial"/>
              <w:color w:val="000000" w:themeColor="text1"/>
              <w:lang w:val="en-GB"/>
            </w:rPr>
            <w:fldChar w:fldCharType="begin"/>
          </w:r>
          <w:r w:rsidR="000C72FC" w:rsidRPr="004D0065">
            <w:rPr>
              <w:rFonts w:cs="Arial"/>
              <w:color w:val="000000" w:themeColor="text1"/>
              <w:lang w:val="en-GB"/>
            </w:rPr>
            <w:instrText xml:space="preserve"> CITATION Alg26 \l 1033 </w:instrText>
          </w:r>
          <w:r w:rsidR="00A2756A" w:rsidRPr="004D0065">
            <w:rPr>
              <w:rFonts w:cs="Arial"/>
              <w:color w:val="000000" w:themeColor="text1"/>
              <w:lang w:val="en-GB"/>
            </w:rPr>
            <w:fldChar w:fldCharType="separate"/>
          </w:r>
          <w:r w:rsidR="000C72FC" w:rsidRPr="004D0065">
            <w:rPr>
              <w:rFonts w:cs="Arial"/>
              <w:noProof/>
              <w:color w:val="000000" w:themeColor="text1"/>
              <w:lang w:val="en-GB"/>
            </w:rPr>
            <w:t>(Alghamdi et al., 2026)</w:t>
          </w:r>
          <w:r w:rsidR="00A2756A" w:rsidRPr="004D0065">
            <w:rPr>
              <w:rFonts w:cs="Arial"/>
              <w:color w:val="000000" w:themeColor="text1"/>
              <w:lang w:val="en-GB"/>
            </w:rPr>
            <w:fldChar w:fldCharType="end"/>
          </w:r>
        </w:sdtContent>
      </w:sdt>
    </w:p>
    <w:p w:rsidR="00CF0BB7" w:rsidRPr="004D0065" w:rsidRDefault="00CF0BB7" w:rsidP="00CF0BB7">
      <w:pPr>
        <w:spacing w:line="360" w:lineRule="auto"/>
        <w:rPr>
          <w:rFonts w:cs="Arial"/>
          <w:color w:val="000000" w:themeColor="text1"/>
          <w:lang w:val="en-GB"/>
        </w:rPr>
      </w:pPr>
      <w:r w:rsidRPr="004D0065">
        <w:rPr>
          <w:rFonts w:cs="Arial"/>
          <w:color w:val="000000" w:themeColor="text1"/>
          <w:lang w:val="en-GB"/>
        </w:rPr>
        <w:t>Thirdly, multidisciplinary communication and collaboration have to be improved critically. SBAR is one of the structured ways of communication that should be standardised in all healthcare settings as it provides clarity and uniformity with regard to information exchange. It will be beneficial to define these avenues of escalation of medication-related issues to intervene in time and minimize the chances of another error moving up the ladder.</w:t>
      </w:r>
      <w:sdt>
        <w:sdtPr>
          <w:rPr>
            <w:rFonts w:cs="Arial"/>
            <w:color w:val="000000" w:themeColor="text1"/>
            <w:lang w:val="en-GB"/>
          </w:rPr>
          <w:id w:val="-1394579753"/>
          <w:citation/>
        </w:sdtPr>
        <w:sdtContent>
          <w:r w:rsidR="00A2756A" w:rsidRPr="004D0065">
            <w:rPr>
              <w:rFonts w:cs="Arial"/>
              <w:color w:val="000000" w:themeColor="text1"/>
              <w:lang w:val="en-GB"/>
            </w:rPr>
            <w:fldChar w:fldCharType="begin"/>
          </w:r>
          <w:r w:rsidR="000C72FC" w:rsidRPr="004D0065">
            <w:rPr>
              <w:rFonts w:cs="Arial"/>
              <w:color w:val="000000" w:themeColor="text1"/>
              <w:lang w:val="en-GB"/>
            </w:rPr>
            <w:instrText xml:space="preserve"> CITATION Yan251 \l 1033 </w:instrText>
          </w:r>
          <w:r w:rsidR="00A2756A" w:rsidRPr="004D0065">
            <w:rPr>
              <w:rFonts w:cs="Arial"/>
              <w:color w:val="000000" w:themeColor="text1"/>
              <w:lang w:val="en-GB"/>
            </w:rPr>
            <w:fldChar w:fldCharType="separate"/>
          </w:r>
          <w:r w:rsidR="000C72FC" w:rsidRPr="004D0065">
            <w:rPr>
              <w:rFonts w:cs="Arial"/>
              <w:noProof/>
              <w:color w:val="000000" w:themeColor="text1"/>
              <w:lang w:val="en-GB"/>
            </w:rPr>
            <w:t>(Yang et al., 2025)</w:t>
          </w:r>
          <w:r w:rsidR="00A2756A" w:rsidRPr="004D0065">
            <w:rPr>
              <w:rFonts w:cs="Arial"/>
              <w:color w:val="000000" w:themeColor="text1"/>
              <w:lang w:val="en-GB"/>
            </w:rPr>
            <w:fldChar w:fldCharType="end"/>
          </w:r>
        </w:sdtContent>
      </w:sdt>
    </w:p>
    <w:p w:rsidR="00CF0BB7" w:rsidRPr="004D0065" w:rsidRDefault="00CF0BB7" w:rsidP="00931E7A">
      <w:pPr>
        <w:spacing w:line="360" w:lineRule="auto"/>
        <w:rPr>
          <w:rFonts w:cs="Arial"/>
          <w:color w:val="000000" w:themeColor="text1"/>
        </w:rPr>
      </w:pPr>
      <w:r w:rsidRPr="004D0065">
        <w:rPr>
          <w:rFonts w:cs="Arial"/>
          <w:color w:val="000000" w:themeColor="text1"/>
          <w:lang w:val="en-GB"/>
        </w:rPr>
        <w:t>Fourthly, leadership needs to focus on a robust patient safety culture. It is advised to implement transformational leadership style that would allow employee empowerment, open communication and promote the phrase of a non-punitive work environment where one is not afraid to raise some concerns. Lastly, close interaction between the patient and the caregiver should be enhanced by elaborate forms of education and counselling. There should be clear, standardised instructions, demonstration of methods of administering medication, and the use of the, teach back method to ensure that there is an understanding. The right dosing devices must also be made available, e.g. 1 ml syringes with small amounts. Patients and caregivers need to be empowered with relevant knowledge on how to avoid errors in the point of administration.</w:t>
      </w:r>
      <w:sdt>
        <w:sdtPr>
          <w:rPr>
            <w:rFonts w:cs="Arial"/>
            <w:color w:val="000000" w:themeColor="text1"/>
            <w:lang w:val="en-GB"/>
          </w:rPr>
          <w:id w:val="512964068"/>
          <w:citation/>
        </w:sdtPr>
        <w:sdtContent>
          <w:r w:rsidR="00A2756A" w:rsidRPr="004D0065">
            <w:rPr>
              <w:rFonts w:cs="Arial"/>
              <w:color w:val="000000" w:themeColor="text1"/>
              <w:lang w:val="en-GB"/>
            </w:rPr>
            <w:fldChar w:fldCharType="begin"/>
          </w:r>
          <w:r w:rsidR="000C72FC" w:rsidRPr="004D0065">
            <w:rPr>
              <w:rFonts w:cs="Arial"/>
              <w:color w:val="000000" w:themeColor="text1"/>
              <w:lang w:val="en-GB"/>
            </w:rPr>
            <w:instrText xml:space="preserve"> CITATION Hen25 \l 1033 </w:instrText>
          </w:r>
          <w:r w:rsidR="00A2756A" w:rsidRPr="004D0065">
            <w:rPr>
              <w:rFonts w:cs="Arial"/>
              <w:color w:val="000000" w:themeColor="text1"/>
              <w:lang w:val="en-GB"/>
            </w:rPr>
            <w:fldChar w:fldCharType="separate"/>
          </w:r>
          <w:r w:rsidR="000C72FC" w:rsidRPr="004D0065">
            <w:rPr>
              <w:rFonts w:cs="Arial"/>
              <w:noProof/>
              <w:color w:val="000000" w:themeColor="text1"/>
              <w:lang w:val="en-GB"/>
            </w:rPr>
            <w:t>(Hendy et al., 2025)</w:t>
          </w:r>
          <w:r w:rsidR="00A2756A" w:rsidRPr="004D0065">
            <w:rPr>
              <w:rFonts w:cs="Arial"/>
              <w:color w:val="000000" w:themeColor="text1"/>
              <w:lang w:val="en-GB"/>
            </w:rPr>
            <w:fldChar w:fldCharType="end"/>
          </w:r>
        </w:sdtContent>
      </w:sdt>
      <w:r w:rsidR="00931E7A" w:rsidRPr="004D0065">
        <w:rPr>
          <w:rFonts w:cs="Arial"/>
          <w:color w:val="000000" w:themeColor="text1"/>
          <w:lang w:val="en-GB"/>
        </w:rPr>
        <w:t xml:space="preserve">. </w:t>
      </w:r>
      <w:r w:rsidR="008833D0" w:rsidRPr="004D0065">
        <w:rPr>
          <w:rFonts w:cs="Arial"/>
          <w:color w:val="000000" w:themeColor="text1"/>
        </w:rPr>
        <w:t xml:space="preserve">These recommendations aim for developing the technical efficiency through decreasing medication errors by automation like discharge systems, electronic prescribing. </w:t>
      </w:r>
      <w:r w:rsidRPr="004D0065">
        <w:rPr>
          <w:rFonts w:cs="Arial"/>
          <w:color w:val="000000" w:themeColor="text1"/>
          <w:lang w:val="en-GB"/>
        </w:rPr>
        <w:t>Through the application of these strategies, healthcare organisations will be able to increase safety, better communication, and the possibility of such incidents happening in the future.</w:t>
      </w:r>
    </w:p>
    <w:p w:rsidR="00101D91" w:rsidRPr="004D0065" w:rsidRDefault="00101D91" w:rsidP="00101D91">
      <w:pPr>
        <w:pStyle w:val="Heading1"/>
        <w:rPr>
          <w:rFonts w:ascii="Arial" w:hAnsi="Arial" w:cs="Arial"/>
          <w:color w:val="000000" w:themeColor="text1"/>
          <w:lang w:val="en-GB"/>
        </w:rPr>
      </w:pPr>
      <w:bookmarkStart w:id="7" w:name="_Toc225938364"/>
      <w:r w:rsidRPr="004D0065">
        <w:rPr>
          <w:rFonts w:ascii="Arial" w:hAnsi="Arial" w:cs="Arial"/>
          <w:color w:val="000000" w:themeColor="text1"/>
          <w:lang w:val="en-GB"/>
        </w:rPr>
        <w:t>Summary of Findings</w:t>
      </w:r>
      <w:bookmarkEnd w:id="7"/>
    </w:p>
    <w:p w:rsidR="00CF0BB7" w:rsidRPr="004D0065" w:rsidRDefault="00101D91" w:rsidP="00101D91">
      <w:pPr>
        <w:spacing w:line="360" w:lineRule="auto"/>
        <w:rPr>
          <w:rFonts w:cs="Arial"/>
          <w:color w:val="000000" w:themeColor="text1"/>
          <w:lang w:val="en-GB"/>
        </w:rPr>
      </w:pPr>
      <w:r w:rsidRPr="004D0065">
        <w:rPr>
          <w:rFonts w:cs="Arial"/>
          <w:color w:val="000000" w:themeColor="text1"/>
          <w:lang w:val="en-GB"/>
        </w:rPr>
        <w:t xml:space="preserve">This study addressed systematic failures among hospital discharge, pharmacy dispensing, GP prescribing and compounded through weak leadership and governance. This analysis displayed that fragmented decentralisation and poor enforcement of main policies creates risks. Leadership styles were ineffective and failed to foster safe cultures. Lessons learned shed on </w:t>
      </w:r>
      <w:r w:rsidRPr="004D0065">
        <w:rPr>
          <w:rFonts w:cs="Arial"/>
          <w:color w:val="000000" w:themeColor="text1"/>
          <w:lang w:val="en-GB"/>
        </w:rPr>
        <w:lastRenderedPageBreak/>
        <w:t>the requirements to integrate communication, evidence-based leadership strategies and balanced governance for increasing patient safety.</w:t>
      </w:r>
    </w:p>
    <w:p w:rsidR="00CF0BB7" w:rsidRPr="004D0065" w:rsidRDefault="00CF0BB7" w:rsidP="00101D91">
      <w:pPr>
        <w:pStyle w:val="Heading1"/>
        <w:rPr>
          <w:rFonts w:ascii="Arial" w:hAnsi="Arial" w:cs="Arial"/>
          <w:color w:val="000000" w:themeColor="text1"/>
          <w:lang w:val="en-GB"/>
        </w:rPr>
      </w:pPr>
      <w:bookmarkStart w:id="8" w:name="_Toc225938365"/>
      <w:r w:rsidRPr="004D0065">
        <w:rPr>
          <w:rFonts w:ascii="Arial" w:hAnsi="Arial" w:cs="Arial"/>
          <w:color w:val="000000" w:themeColor="text1"/>
          <w:lang w:val="en-GB"/>
        </w:rPr>
        <w:t>Conclusion</w:t>
      </w:r>
      <w:bookmarkEnd w:id="8"/>
    </w:p>
    <w:p w:rsidR="00CF0BB7" w:rsidRPr="004D0065" w:rsidRDefault="00CF0BB7" w:rsidP="00B5569C">
      <w:pPr>
        <w:pStyle w:val="NormalWeb"/>
        <w:spacing w:before="200" w:beforeAutospacing="0" w:after="0" w:afterAutospacing="0"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This report has provided a critical analysis of the case of infant morphine overdose in the context of systems thinking, leadership theory, and organisational governance. </w:t>
      </w:r>
      <w:r w:rsidR="006C66EE" w:rsidRPr="004D0065">
        <w:rPr>
          <w:rFonts w:ascii="Arial" w:hAnsi="Arial" w:cs="Arial"/>
          <w:color w:val="000000" w:themeColor="text1"/>
          <w:sz w:val="22"/>
          <w:szCs w:val="22"/>
        </w:rPr>
        <w:t xml:space="preserve">Other healthcare </w:t>
      </w:r>
      <w:proofErr w:type="spellStart"/>
      <w:r w:rsidR="006C66EE" w:rsidRPr="004D0065">
        <w:rPr>
          <w:rFonts w:ascii="Arial" w:hAnsi="Arial" w:cs="Arial"/>
          <w:color w:val="000000" w:themeColor="text1"/>
          <w:sz w:val="22"/>
          <w:szCs w:val="22"/>
        </w:rPr>
        <w:t>organisations</w:t>
      </w:r>
      <w:proofErr w:type="spellEnd"/>
      <w:r w:rsidR="006C66EE" w:rsidRPr="004D0065">
        <w:rPr>
          <w:rFonts w:ascii="Arial" w:hAnsi="Arial" w:cs="Arial"/>
          <w:color w:val="000000" w:themeColor="text1"/>
          <w:sz w:val="22"/>
          <w:szCs w:val="22"/>
        </w:rPr>
        <w:t xml:space="preserve"> can learn about maintaining </w:t>
      </w:r>
      <w:proofErr w:type="spellStart"/>
      <w:r w:rsidR="006C66EE" w:rsidRPr="004D0065">
        <w:rPr>
          <w:rFonts w:ascii="Arial" w:hAnsi="Arial" w:cs="Arial"/>
          <w:color w:val="000000" w:themeColor="text1"/>
          <w:sz w:val="22"/>
          <w:szCs w:val="22"/>
        </w:rPr>
        <w:t>centralised</w:t>
      </w:r>
      <w:proofErr w:type="spellEnd"/>
      <w:r w:rsidR="006C66EE" w:rsidRPr="004D0065">
        <w:rPr>
          <w:rFonts w:ascii="Arial" w:hAnsi="Arial" w:cs="Arial"/>
          <w:color w:val="000000" w:themeColor="text1"/>
          <w:sz w:val="22"/>
          <w:szCs w:val="22"/>
        </w:rPr>
        <w:t xml:space="preserve"> governance with the </w:t>
      </w:r>
      <w:proofErr w:type="spellStart"/>
      <w:r w:rsidR="006C66EE" w:rsidRPr="004D0065">
        <w:rPr>
          <w:rFonts w:ascii="Arial" w:hAnsi="Arial" w:cs="Arial"/>
          <w:color w:val="000000" w:themeColor="text1"/>
          <w:sz w:val="22"/>
          <w:szCs w:val="22"/>
        </w:rPr>
        <w:t>decentralised</w:t>
      </w:r>
      <w:proofErr w:type="spellEnd"/>
      <w:r w:rsidR="006C66EE" w:rsidRPr="004D0065">
        <w:rPr>
          <w:rFonts w:ascii="Arial" w:hAnsi="Arial" w:cs="Arial"/>
          <w:color w:val="000000" w:themeColor="text1"/>
          <w:sz w:val="22"/>
          <w:szCs w:val="22"/>
        </w:rPr>
        <w:t xml:space="preserve"> frontline practices. It is supported by transformational leadership that is the core factor for eliminating the same incidents. Embedding rapid learning and evidence based governance ensures the resilience among health systems. </w:t>
      </w:r>
      <w:r w:rsidRPr="004D0065">
        <w:rPr>
          <w:rFonts w:ascii="Arial" w:hAnsi="Arial" w:cs="Arial"/>
          <w:color w:val="000000" w:themeColor="text1"/>
          <w:sz w:val="22"/>
          <w:szCs w:val="22"/>
          <w:lang w:val="en-GB"/>
        </w:rPr>
        <w:t>The use of systems thinking has emphasized the presence of complex interactions between various pieces of the healthcare system that can result in a situation that predisposes patient harm. Moreover, the centralisation and decentralisation have been discussed and it has been learned that although there were governance structures, they were not sufficiently integrated with the local practice and hence there are accountability and oversight gaps.</w:t>
      </w:r>
    </w:p>
    <w:p w:rsidR="00931E7A" w:rsidRPr="004D0065" w:rsidRDefault="00931E7A">
      <w:pPr>
        <w:jc w:val="left"/>
        <w:rPr>
          <w:rFonts w:cs="Arial"/>
          <w:b/>
          <w:color w:val="000000" w:themeColor="text1"/>
          <w:sz w:val="28"/>
          <w:szCs w:val="28"/>
          <w:lang w:val="en-GB"/>
        </w:rPr>
      </w:pPr>
      <w:bookmarkStart w:id="9" w:name="_Toc225938366"/>
      <w:r w:rsidRPr="004D0065">
        <w:rPr>
          <w:rFonts w:cs="Arial"/>
          <w:color w:val="000000" w:themeColor="text1"/>
          <w:lang w:val="en-GB"/>
        </w:rPr>
        <w:br w:type="page"/>
      </w:r>
    </w:p>
    <w:p w:rsidR="00AC36EB" w:rsidRPr="004D0065" w:rsidRDefault="00AC36EB" w:rsidP="00101D91">
      <w:pPr>
        <w:pStyle w:val="Heading1"/>
        <w:rPr>
          <w:rFonts w:ascii="Arial" w:hAnsi="Arial" w:cs="Arial"/>
          <w:color w:val="000000" w:themeColor="text1"/>
          <w:lang w:val="en-GB"/>
        </w:rPr>
      </w:pPr>
      <w:r w:rsidRPr="004D0065">
        <w:rPr>
          <w:rFonts w:ascii="Arial" w:hAnsi="Arial" w:cs="Arial"/>
          <w:color w:val="000000" w:themeColor="text1"/>
          <w:lang w:val="en-GB"/>
        </w:rPr>
        <w:lastRenderedPageBreak/>
        <w:t>References</w:t>
      </w:r>
      <w:bookmarkEnd w:id="9"/>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Bastani, P. et al. (2024) </w:t>
      </w:r>
      <w:r w:rsidRPr="004D0065">
        <w:rPr>
          <w:rStyle w:val="Emphasis"/>
          <w:rFonts w:ascii="Arial" w:hAnsi="Arial" w:cs="Arial"/>
          <w:color w:val="000000" w:themeColor="text1"/>
          <w:sz w:val="22"/>
          <w:szCs w:val="22"/>
          <w:lang w:val="en-GB"/>
        </w:rPr>
        <w:t>Medication errors and patient safety culture during COVID-19</w:t>
      </w:r>
      <w:r w:rsidRPr="004D0065">
        <w:rPr>
          <w:rFonts w:ascii="Arial" w:hAnsi="Arial" w:cs="Arial"/>
          <w:color w:val="000000" w:themeColor="text1"/>
          <w:sz w:val="22"/>
          <w:szCs w:val="22"/>
          <w:lang w:val="en-GB"/>
        </w:rPr>
        <w:t xml:space="preserve">, Journal of Healthcare Quality. </w:t>
      </w:r>
      <w:hyperlink r:id="rId12" w:tgtFrame="_new" w:history="1">
        <w:r w:rsidRPr="004D0065">
          <w:rPr>
            <w:rStyle w:val="Hyperlink"/>
            <w:rFonts w:ascii="Arial" w:hAnsi="Arial" w:cs="Arial"/>
            <w:color w:val="000000" w:themeColor="text1"/>
            <w:sz w:val="22"/>
            <w:szCs w:val="22"/>
            <w:lang w:val="en-GB"/>
          </w:rPr>
          <w:t>https://pmc.ncbi.nlm.nih.gov/articles/PMC11825077/</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Eze, A.U. et al. (2025) </w:t>
      </w:r>
      <w:r w:rsidRPr="004D0065">
        <w:rPr>
          <w:rStyle w:val="Emphasis"/>
          <w:rFonts w:ascii="Arial" w:hAnsi="Arial" w:cs="Arial"/>
          <w:color w:val="000000" w:themeColor="text1"/>
          <w:sz w:val="22"/>
          <w:szCs w:val="22"/>
          <w:lang w:val="en-GB"/>
        </w:rPr>
        <w:t>Medication administration errors in hospitals: systematic review</w:t>
      </w:r>
      <w:r w:rsidRPr="004D0065">
        <w:rPr>
          <w:rFonts w:ascii="Arial" w:hAnsi="Arial" w:cs="Arial"/>
          <w:color w:val="000000" w:themeColor="text1"/>
          <w:sz w:val="22"/>
          <w:szCs w:val="22"/>
          <w:lang w:val="en-GB"/>
        </w:rPr>
        <w:t xml:space="preserve">, BMC Health Services Research. </w:t>
      </w:r>
      <w:hyperlink r:id="rId13" w:tgtFrame="_new" w:history="1">
        <w:r w:rsidRPr="004D0065">
          <w:rPr>
            <w:rStyle w:val="Hyperlink"/>
            <w:rFonts w:ascii="Arial" w:hAnsi="Arial" w:cs="Arial"/>
            <w:color w:val="000000" w:themeColor="text1"/>
            <w:sz w:val="22"/>
            <w:szCs w:val="22"/>
            <w:lang w:val="en-GB"/>
          </w:rPr>
          <w:t>https://pmc.ncbi.nlm.nih.gov/articles/PMC12862564/</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Tuvor</w:t>
      </w:r>
      <w:proofErr w:type="spellEnd"/>
      <w:r w:rsidRPr="004D0065">
        <w:rPr>
          <w:rFonts w:ascii="Arial" w:hAnsi="Arial" w:cs="Arial"/>
          <w:color w:val="000000" w:themeColor="text1"/>
          <w:sz w:val="22"/>
          <w:szCs w:val="22"/>
          <w:lang w:val="en-GB"/>
        </w:rPr>
        <w:t xml:space="preserve">, D. et al. (2025) </w:t>
      </w:r>
      <w:r w:rsidRPr="004D0065">
        <w:rPr>
          <w:rStyle w:val="Emphasis"/>
          <w:rFonts w:ascii="Arial" w:hAnsi="Arial" w:cs="Arial"/>
          <w:color w:val="000000" w:themeColor="text1"/>
          <w:sz w:val="22"/>
          <w:szCs w:val="22"/>
          <w:lang w:val="en-GB"/>
        </w:rPr>
        <w:t>Medication error reporting among nurses</w:t>
      </w:r>
      <w:r w:rsidRPr="004D0065">
        <w:rPr>
          <w:rFonts w:ascii="Arial" w:hAnsi="Arial" w:cs="Arial"/>
          <w:color w:val="000000" w:themeColor="text1"/>
          <w:sz w:val="22"/>
          <w:szCs w:val="22"/>
          <w:lang w:val="en-GB"/>
        </w:rPr>
        <w:t xml:space="preserve">, Journal of Nursing Management. </w:t>
      </w:r>
      <w:hyperlink r:id="rId14" w:tgtFrame="_new" w:history="1">
        <w:r w:rsidRPr="004D0065">
          <w:rPr>
            <w:rStyle w:val="Hyperlink"/>
            <w:rFonts w:ascii="Arial" w:hAnsi="Arial" w:cs="Arial"/>
            <w:color w:val="000000" w:themeColor="text1"/>
            <w:sz w:val="22"/>
            <w:szCs w:val="22"/>
            <w:lang w:val="en-GB"/>
          </w:rPr>
          <w:t>https://pmc.ncbi.nlm.nih.gov/articles/PMC12068686/</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Zarandona</w:t>
      </w:r>
      <w:proofErr w:type="spellEnd"/>
      <w:r w:rsidRPr="004D0065">
        <w:rPr>
          <w:rFonts w:ascii="Arial" w:hAnsi="Arial" w:cs="Arial"/>
          <w:color w:val="000000" w:themeColor="text1"/>
          <w:sz w:val="22"/>
          <w:szCs w:val="22"/>
          <w:lang w:val="en-GB"/>
        </w:rPr>
        <w:t xml:space="preserve">, J. et al. (2025) </w:t>
      </w:r>
      <w:r w:rsidRPr="004D0065">
        <w:rPr>
          <w:rStyle w:val="Emphasis"/>
          <w:rFonts w:ascii="Arial" w:hAnsi="Arial" w:cs="Arial"/>
          <w:color w:val="000000" w:themeColor="text1"/>
          <w:sz w:val="22"/>
          <w:szCs w:val="22"/>
          <w:lang w:val="en-GB"/>
        </w:rPr>
        <w:t>Medication safety behaviour among nursing students</w:t>
      </w:r>
      <w:r w:rsidRPr="004D0065">
        <w:rPr>
          <w:rFonts w:ascii="Arial" w:hAnsi="Arial" w:cs="Arial"/>
          <w:color w:val="000000" w:themeColor="text1"/>
          <w:sz w:val="22"/>
          <w:szCs w:val="22"/>
          <w:lang w:val="en-GB"/>
        </w:rPr>
        <w:t xml:space="preserve">, Nurse Education Today. </w:t>
      </w:r>
      <w:hyperlink r:id="rId15" w:tgtFrame="_new" w:history="1">
        <w:r w:rsidRPr="004D0065">
          <w:rPr>
            <w:rStyle w:val="Hyperlink"/>
            <w:rFonts w:ascii="Arial" w:hAnsi="Arial" w:cs="Arial"/>
            <w:color w:val="000000" w:themeColor="text1"/>
            <w:sz w:val="22"/>
            <w:szCs w:val="22"/>
            <w:lang w:val="en-GB"/>
          </w:rPr>
          <w:t>https://pmc.ncbi.nlm.nih.gov/articles/PMC12643790/</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Dirik</w:t>
      </w:r>
      <w:proofErr w:type="spellEnd"/>
      <w:r w:rsidRPr="004D0065">
        <w:rPr>
          <w:rFonts w:ascii="Arial" w:hAnsi="Arial" w:cs="Arial"/>
          <w:color w:val="000000" w:themeColor="text1"/>
          <w:sz w:val="22"/>
          <w:szCs w:val="22"/>
          <w:lang w:val="en-GB"/>
        </w:rPr>
        <w:t xml:space="preserve">, H.F. et al. (2026) </w:t>
      </w:r>
      <w:r w:rsidRPr="004D0065">
        <w:rPr>
          <w:rStyle w:val="Emphasis"/>
          <w:rFonts w:ascii="Arial" w:hAnsi="Arial" w:cs="Arial"/>
          <w:color w:val="000000" w:themeColor="text1"/>
          <w:sz w:val="22"/>
          <w:szCs w:val="22"/>
          <w:lang w:val="en-GB"/>
        </w:rPr>
        <w:t>Impact of leadership styles on medication errors</w:t>
      </w:r>
      <w:r w:rsidRPr="004D0065">
        <w:rPr>
          <w:rFonts w:ascii="Arial" w:hAnsi="Arial" w:cs="Arial"/>
          <w:color w:val="000000" w:themeColor="text1"/>
          <w:sz w:val="22"/>
          <w:szCs w:val="22"/>
          <w:lang w:val="en-GB"/>
        </w:rPr>
        <w:t xml:space="preserve">, Journal of Nursing Management. </w:t>
      </w:r>
      <w:hyperlink r:id="rId16" w:tgtFrame="_new" w:history="1">
        <w:r w:rsidRPr="004D0065">
          <w:rPr>
            <w:rStyle w:val="Hyperlink"/>
            <w:rFonts w:ascii="Arial" w:hAnsi="Arial" w:cs="Arial"/>
            <w:color w:val="000000" w:themeColor="text1"/>
            <w:sz w:val="22"/>
            <w:szCs w:val="22"/>
            <w:lang w:val="en-GB"/>
          </w:rPr>
          <w:t>https://pmc.ncbi.nlm.nih.gov/articles/PMC12927690/</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Yu, W.N. et al. (2025) </w:t>
      </w:r>
      <w:r w:rsidRPr="004D0065">
        <w:rPr>
          <w:rStyle w:val="Emphasis"/>
          <w:rFonts w:ascii="Arial" w:hAnsi="Arial" w:cs="Arial"/>
          <w:color w:val="000000" w:themeColor="text1"/>
          <w:sz w:val="22"/>
          <w:szCs w:val="22"/>
          <w:lang w:val="en-GB"/>
        </w:rPr>
        <w:t>Medication-related technology and patient safety</w:t>
      </w:r>
      <w:r w:rsidRPr="004D0065">
        <w:rPr>
          <w:rFonts w:ascii="Arial" w:hAnsi="Arial" w:cs="Arial"/>
          <w:color w:val="000000" w:themeColor="text1"/>
          <w:sz w:val="22"/>
          <w:szCs w:val="22"/>
          <w:lang w:val="en-GB"/>
        </w:rPr>
        <w:t xml:space="preserve">, Journal of Medical Internet Research. </w:t>
      </w:r>
      <w:hyperlink r:id="rId17" w:tgtFrame="_new" w:history="1">
        <w:r w:rsidRPr="004D0065">
          <w:rPr>
            <w:rStyle w:val="Hyperlink"/>
            <w:rFonts w:ascii="Arial" w:hAnsi="Arial" w:cs="Arial"/>
            <w:color w:val="000000" w:themeColor="text1"/>
            <w:sz w:val="22"/>
            <w:szCs w:val="22"/>
            <w:lang w:val="en-GB"/>
          </w:rPr>
          <w:t>https://www.jmir.org/2025/1/e59220</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Lee, H. et al. (2025) </w:t>
      </w:r>
      <w:r w:rsidRPr="004D0065">
        <w:rPr>
          <w:rStyle w:val="Emphasis"/>
          <w:rFonts w:ascii="Arial" w:hAnsi="Arial" w:cs="Arial"/>
          <w:color w:val="000000" w:themeColor="text1"/>
          <w:sz w:val="22"/>
          <w:szCs w:val="22"/>
          <w:lang w:val="en-GB"/>
        </w:rPr>
        <w:t>Types of medication errors in hospitals: scoping review</w:t>
      </w:r>
      <w:r w:rsidRPr="004D0065">
        <w:rPr>
          <w:rFonts w:ascii="Arial" w:hAnsi="Arial" w:cs="Arial"/>
          <w:color w:val="000000" w:themeColor="text1"/>
          <w:sz w:val="22"/>
          <w:szCs w:val="22"/>
          <w:lang w:val="en-GB"/>
        </w:rPr>
        <w:t xml:space="preserve">, International Journal of Nursing Studies Advances. </w:t>
      </w:r>
      <w:hyperlink r:id="rId18" w:tgtFrame="_new" w:history="1">
        <w:r w:rsidRPr="004D0065">
          <w:rPr>
            <w:rStyle w:val="Hyperlink"/>
            <w:rFonts w:ascii="Arial" w:hAnsi="Arial" w:cs="Arial"/>
            <w:color w:val="000000" w:themeColor="text1"/>
            <w:sz w:val="22"/>
            <w:szCs w:val="22"/>
            <w:lang w:val="en-GB"/>
          </w:rPr>
          <w:t>https://www.sciencedirect.com/science/article/pii/S2666142X25001808</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Alghamdi, S.A. et al. (2026) </w:t>
      </w:r>
      <w:r w:rsidRPr="004D0065">
        <w:rPr>
          <w:rStyle w:val="Emphasis"/>
          <w:rFonts w:ascii="Arial" w:hAnsi="Arial" w:cs="Arial"/>
          <w:color w:val="000000" w:themeColor="text1"/>
          <w:sz w:val="22"/>
          <w:szCs w:val="22"/>
          <w:lang w:val="en-GB"/>
        </w:rPr>
        <w:t>Medication error reporting trends in hospitals</w:t>
      </w:r>
      <w:r w:rsidRPr="004D0065">
        <w:rPr>
          <w:rFonts w:ascii="Arial" w:hAnsi="Arial" w:cs="Arial"/>
          <w:color w:val="000000" w:themeColor="text1"/>
          <w:sz w:val="22"/>
          <w:szCs w:val="22"/>
          <w:lang w:val="en-GB"/>
        </w:rPr>
        <w:t xml:space="preserve">, Healthcare. </w:t>
      </w:r>
      <w:hyperlink r:id="rId19" w:tgtFrame="_new" w:history="1">
        <w:r w:rsidRPr="004D0065">
          <w:rPr>
            <w:rStyle w:val="Hyperlink"/>
            <w:rFonts w:ascii="Arial" w:hAnsi="Arial" w:cs="Arial"/>
            <w:color w:val="000000" w:themeColor="text1"/>
            <w:sz w:val="22"/>
            <w:szCs w:val="22"/>
            <w:lang w:val="en-GB"/>
          </w:rPr>
          <w:t>https://pmc.ncbi.nlm.nih.gov/articles/PMC12862582/</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Rodziewicz, T.L. et al. (2024) </w:t>
      </w:r>
      <w:r w:rsidRPr="004D0065">
        <w:rPr>
          <w:rStyle w:val="Emphasis"/>
          <w:rFonts w:ascii="Arial" w:hAnsi="Arial" w:cs="Arial"/>
          <w:color w:val="000000" w:themeColor="text1"/>
          <w:sz w:val="22"/>
          <w:szCs w:val="22"/>
          <w:lang w:val="en-GB"/>
        </w:rPr>
        <w:t>Medical error reduction and prevention</w:t>
      </w:r>
      <w:r w:rsidRPr="004D0065">
        <w:rPr>
          <w:rFonts w:ascii="Arial" w:hAnsi="Arial" w:cs="Arial"/>
          <w:color w:val="000000" w:themeColor="text1"/>
          <w:sz w:val="22"/>
          <w:szCs w:val="22"/>
          <w:lang w:val="en-GB"/>
        </w:rPr>
        <w:t xml:space="preserve">, </w:t>
      </w:r>
      <w:proofErr w:type="spellStart"/>
      <w:r w:rsidRPr="004D0065">
        <w:rPr>
          <w:rFonts w:ascii="Arial" w:hAnsi="Arial" w:cs="Arial"/>
          <w:color w:val="000000" w:themeColor="text1"/>
          <w:sz w:val="22"/>
          <w:szCs w:val="22"/>
          <w:lang w:val="en-GB"/>
        </w:rPr>
        <w:t>StatPearls</w:t>
      </w:r>
      <w:proofErr w:type="spellEnd"/>
      <w:r w:rsidRPr="004D0065">
        <w:rPr>
          <w:rFonts w:ascii="Arial" w:hAnsi="Arial" w:cs="Arial"/>
          <w:color w:val="000000" w:themeColor="text1"/>
          <w:sz w:val="22"/>
          <w:szCs w:val="22"/>
          <w:lang w:val="en-GB"/>
        </w:rPr>
        <w:t xml:space="preserve">. </w:t>
      </w:r>
      <w:hyperlink r:id="rId20" w:tgtFrame="_new" w:history="1">
        <w:r w:rsidRPr="004D0065">
          <w:rPr>
            <w:rStyle w:val="Hyperlink"/>
            <w:rFonts w:ascii="Arial" w:hAnsi="Arial" w:cs="Arial"/>
            <w:color w:val="000000" w:themeColor="text1"/>
            <w:sz w:val="22"/>
            <w:szCs w:val="22"/>
            <w:lang w:val="en-GB"/>
          </w:rPr>
          <w:t>https://www.ncbi.nlm.nih.gov/books/NBK499956/</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Guntschnig</w:t>
      </w:r>
      <w:proofErr w:type="spellEnd"/>
      <w:r w:rsidRPr="004D0065">
        <w:rPr>
          <w:rFonts w:ascii="Arial" w:hAnsi="Arial" w:cs="Arial"/>
          <w:color w:val="000000" w:themeColor="text1"/>
          <w:sz w:val="22"/>
          <w:szCs w:val="22"/>
          <w:lang w:val="en-GB"/>
        </w:rPr>
        <w:t xml:space="preserve">, S. et al. (2025) </w:t>
      </w:r>
      <w:r w:rsidRPr="004D0065">
        <w:rPr>
          <w:rStyle w:val="Emphasis"/>
          <w:rFonts w:ascii="Arial" w:hAnsi="Arial" w:cs="Arial"/>
          <w:color w:val="000000" w:themeColor="text1"/>
          <w:sz w:val="22"/>
          <w:szCs w:val="22"/>
          <w:lang w:val="en-GB"/>
        </w:rPr>
        <w:t>Systems approach to reducing medication errors</w:t>
      </w:r>
      <w:r w:rsidRPr="004D0065">
        <w:rPr>
          <w:rFonts w:ascii="Arial" w:hAnsi="Arial" w:cs="Arial"/>
          <w:color w:val="000000" w:themeColor="text1"/>
          <w:sz w:val="22"/>
          <w:szCs w:val="22"/>
          <w:lang w:val="en-GB"/>
        </w:rPr>
        <w:t xml:space="preserve">, European Journal of Hospital Pharmacy. </w:t>
      </w:r>
      <w:hyperlink r:id="rId21" w:tgtFrame="_new" w:history="1">
        <w:r w:rsidRPr="004D0065">
          <w:rPr>
            <w:rStyle w:val="Hyperlink"/>
            <w:rFonts w:ascii="Arial" w:hAnsi="Arial" w:cs="Arial"/>
            <w:color w:val="000000" w:themeColor="text1"/>
            <w:sz w:val="22"/>
            <w:szCs w:val="22"/>
            <w:lang w:val="en-GB"/>
          </w:rPr>
          <w:t>https://ejhp.bmj.com/content/early/2025/12/14/ejhpharm-2025-004533</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Chance, E.A. et al. (2024) </w:t>
      </w:r>
      <w:r w:rsidRPr="004D0065">
        <w:rPr>
          <w:rStyle w:val="Emphasis"/>
          <w:rFonts w:ascii="Arial" w:hAnsi="Arial" w:cs="Arial"/>
          <w:color w:val="000000" w:themeColor="text1"/>
          <w:sz w:val="22"/>
          <w:szCs w:val="22"/>
          <w:lang w:val="en-GB"/>
        </w:rPr>
        <w:t>Effectiveness of checklists in reducing errors</w:t>
      </w:r>
      <w:r w:rsidRPr="004D0065">
        <w:rPr>
          <w:rFonts w:ascii="Arial" w:hAnsi="Arial" w:cs="Arial"/>
          <w:color w:val="000000" w:themeColor="text1"/>
          <w:sz w:val="22"/>
          <w:szCs w:val="22"/>
          <w:lang w:val="en-GB"/>
        </w:rPr>
        <w:t xml:space="preserve">, Safety Science. </w:t>
      </w:r>
      <w:hyperlink r:id="rId22" w:tgtFrame="_new" w:history="1">
        <w:r w:rsidRPr="004D0065">
          <w:rPr>
            <w:rStyle w:val="Hyperlink"/>
            <w:rFonts w:ascii="Arial" w:hAnsi="Arial" w:cs="Arial"/>
            <w:color w:val="000000" w:themeColor="text1"/>
            <w:sz w:val="22"/>
            <w:szCs w:val="22"/>
            <w:lang w:val="en-GB"/>
          </w:rPr>
          <w:t>https://www.sciencedirect.com/science/article/pii/S2352013224000577</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Tchijevitch</w:t>
      </w:r>
      <w:proofErr w:type="spellEnd"/>
      <w:r w:rsidRPr="004D0065">
        <w:rPr>
          <w:rFonts w:ascii="Arial" w:hAnsi="Arial" w:cs="Arial"/>
          <w:color w:val="000000" w:themeColor="text1"/>
          <w:sz w:val="22"/>
          <w:szCs w:val="22"/>
          <w:lang w:val="en-GB"/>
        </w:rPr>
        <w:t xml:space="preserve">, O. et al. (2025) </w:t>
      </w:r>
      <w:r w:rsidRPr="004D0065">
        <w:rPr>
          <w:rStyle w:val="Emphasis"/>
          <w:rFonts w:ascii="Arial" w:hAnsi="Arial" w:cs="Arial"/>
          <w:color w:val="000000" w:themeColor="text1"/>
          <w:sz w:val="22"/>
          <w:szCs w:val="22"/>
          <w:lang w:val="en-GB"/>
        </w:rPr>
        <w:t>Medication error analysis frameworks</w:t>
      </w:r>
      <w:r w:rsidRPr="004D0065">
        <w:rPr>
          <w:rFonts w:ascii="Arial" w:hAnsi="Arial" w:cs="Arial"/>
          <w:color w:val="000000" w:themeColor="text1"/>
          <w:sz w:val="22"/>
          <w:szCs w:val="22"/>
          <w:lang w:val="en-GB"/>
        </w:rPr>
        <w:t xml:space="preserve">, Joint Commission Journal. </w:t>
      </w:r>
      <w:hyperlink r:id="rId23" w:tgtFrame="_new" w:history="1">
        <w:r w:rsidRPr="004D0065">
          <w:rPr>
            <w:rStyle w:val="Hyperlink"/>
            <w:rFonts w:ascii="Arial" w:hAnsi="Arial" w:cs="Arial"/>
            <w:color w:val="000000" w:themeColor="text1"/>
            <w:sz w:val="22"/>
            <w:szCs w:val="22"/>
            <w:lang w:val="en-GB"/>
          </w:rPr>
          <w:t>https://www.jointcommissionjournal.com/article/S1553-7250%2824%2900302-7/fulltext</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Ghezaywi</w:t>
      </w:r>
      <w:proofErr w:type="spellEnd"/>
      <w:r w:rsidRPr="004D0065">
        <w:rPr>
          <w:rFonts w:ascii="Arial" w:hAnsi="Arial" w:cs="Arial"/>
          <w:color w:val="000000" w:themeColor="text1"/>
          <w:sz w:val="22"/>
          <w:szCs w:val="22"/>
          <w:lang w:val="en-GB"/>
        </w:rPr>
        <w:t xml:space="preserve">, Z. et al. (2024) </w:t>
      </w:r>
      <w:r w:rsidRPr="004D0065">
        <w:rPr>
          <w:rStyle w:val="Emphasis"/>
          <w:rFonts w:ascii="Arial" w:hAnsi="Arial" w:cs="Arial"/>
          <w:color w:val="000000" w:themeColor="text1"/>
          <w:sz w:val="22"/>
          <w:szCs w:val="22"/>
          <w:lang w:val="en-GB"/>
        </w:rPr>
        <w:t>Reducing medication errors to zero</w:t>
      </w:r>
      <w:r w:rsidRPr="004D0065">
        <w:rPr>
          <w:rFonts w:ascii="Arial" w:hAnsi="Arial" w:cs="Arial"/>
          <w:color w:val="000000" w:themeColor="text1"/>
          <w:sz w:val="22"/>
          <w:szCs w:val="22"/>
          <w:lang w:val="en-GB"/>
        </w:rPr>
        <w:t xml:space="preserve">, Journal of Clinical Nursing. </w:t>
      </w:r>
      <w:hyperlink r:id="rId24" w:tgtFrame="_new" w:history="1">
        <w:r w:rsidRPr="004D0065">
          <w:rPr>
            <w:rStyle w:val="Hyperlink"/>
            <w:rFonts w:ascii="Arial" w:hAnsi="Arial" w:cs="Arial"/>
            <w:color w:val="000000" w:themeColor="text1"/>
            <w:sz w:val="22"/>
            <w:szCs w:val="22"/>
            <w:lang w:val="en-GB"/>
          </w:rPr>
          <w:t>https://www.sciencedirect.com/science/article/pii/S0964339723002136</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Kuitunen, S. et al. (2024) </w:t>
      </w:r>
      <w:r w:rsidRPr="004D0065">
        <w:rPr>
          <w:rStyle w:val="Emphasis"/>
          <w:rFonts w:ascii="Arial" w:hAnsi="Arial" w:cs="Arial"/>
          <w:color w:val="000000" w:themeColor="text1"/>
          <w:sz w:val="22"/>
          <w:szCs w:val="22"/>
          <w:lang w:val="en-GB"/>
        </w:rPr>
        <w:t>Intravenous medication errors and risks</w:t>
      </w:r>
      <w:r w:rsidRPr="004D0065">
        <w:rPr>
          <w:rFonts w:ascii="Arial" w:hAnsi="Arial" w:cs="Arial"/>
          <w:color w:val="000000" w:themeColor="text1"/>
          <w:sz w:val="22"/>
          <w:szCs w:val="22"/>
          <w:lang w:val="en-GB"/>
        </w:rPr>
        <w:t xml:space="preserve">, Journal of Patient Safety. </w:t>
      </w:r>
      <w:hyperlink r:id="rId25" w:tgtFrame="_new" w:history="1">
        <w:r w:rsidRPr="004D0065">
          <w:rPr>
            <w:rStyle w:val="Hyperlink"/>
            <w:rFonts w:ascii="Arial" w:hAnsi="Arial" w:cs="Arial"/>
            <w:color w:val="000000" w:themeColor="text1"/>
            <w:sz w:val="22"/>
            <w:szCs w:val="22"/>
            <w:lang w:val="en-GB"/>
          </w:rPr>
          <w:t>https://journals.lww.com/journalpatientsafety/fulltext/2024/06000/evolution_of_intravenous_medication_errors_and.15.aspx</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Moriwaki, M. et al. (2025) </w:t>
      </w:r>
      <w:r w:rsidRPr="004D0065">
        <w:rPr>
          <w:rStyle w:val="Emphasis"/>
          <w:rFonts w:ascii="Arial" w:hAnsi="Arial" w:cs="Arial"/>
          <w:color w:val="000000" w:themeColor="text1"/>
          <w:sz w:val="22"/>
          <w:szCs w:val="22"/>
          <w:lang w:val="en-GB"/>
        </w:rPr>
        <w:t>Nursing workload and medication errors</w:t>
      </w:r>
      <w:r w:rsidRPr="004D0065">
        <w:rPr>
          <w:rFonts w:ascii="Arial" w:hAnsi="Arial" w:cs="Arial"/>
          <w:color w:val="000000" w:themeColor="text1"/>
          <w:sz w:val="22"/>
          <w:szCs w:val="22"/>
          <w:lang w:val="en-GB"/>
        </w:rPr>
        <w:t xml:space="preserve">, Healthcare. </w:t>
      </w:r>
      <w:hyperlink r:id="rId26" w:tgtFrame="_new" w:history="1">
        <w:r w:rsidRPr="004D0065">
          <w:rPr>
            <w:rStyle w:val="Hyperlink"/>
            <w:rFonts w:ascii="Arial" w:hAnsi="Arial" w:cs="Arial"/>
            <w:color w:val="000000" w:themeColor="text1"/>
            <w:sz w:val="22"/>
            <w:szCs w:val="22"/>
            <w:lang w:val="en-GB"/>
          </w:rPr>
          <w:t>https://www.mdpi.com/2039-4403/15/1/12</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Shi, Q. et al. (2025) </w:t>
      </w:r>
      <w:r w:rsidRPr="004D0065">
        <w:rPr>
          <w:rStyle w:val="Emphasis"/>
          <w:rFonts w:ascii="Arial" w:hAnsi="Arial" w:cs="Arial"/>
          <w:color w:val="000000" w:themeColor="text1"/>
          <w:sz w:val="22"/>
          <w:szCs w:val="22"/>
          <w:lang w:val="en-GB"/>
        </w:rPr>
        <w:t>Nursing informatics and patient safety outcomes</w:t>
      </w:r>
      <w:r w:rsidRPr="004D0065">
        <w:rPr>
          <w:rFonts w:ascii="Arial" w:hAnsi="Arial" w:cs="Arial"/>
          <w:color w:val="000000" w:themeColor="text1"/>
          <w:sz w:val="22"/>
          <w:szCs w:val="22"/>
          <w:lang w:val="en-GB"/>
        </w:rPr>
        <w:t xml:space="preserve">, BMC Nursing. </w:t>
      </w:r>
      <w:hyperlink r:id="rId27" w:tgtFrame="_new" w:history="1">
        <w:r w:rsidRPr="004D0065">
          <w:rPr>
            <w:rStyle w:val="Hyperlink"/>
            <w:rFonts w:ascii="Arial" w:hAnsi="Arial" w:cs="Arial"/>
            <w:color w:val="000000" w:themeColor="text1"/>
            <w:sz w:val="22"/>
            <w:szCs w:val="22"/>
            <w:lang w:val="en-GB"/>
          </w:rPr>
          <w:t>https://link.springer.com/article/10.1186/s12912-025-03195-6</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Mondal, R. et al. (2024) </w:t>
      </w:r>
      <w:r w:rsidRPr="004D0065">
        <w:rPr>
          <w:rStyle w:val="Emphasis"/>
          <w:rFonts w:ascii="Arial" w:hAnsi="Arial" w:cs="Arial"/>
          <w:color w:val="000000" w:themeColor="text1"/>
          <w:sz w:val="22"/>
          <w:szCs w:val="22"/>
          <w:lang w:val="en-GB"/>
        </w:rPr>
        <w:t>Digital health systems to reduce medication errors</w:t>
      </w:r>
      <w:r w:rsidRPr="004D0065">
        <w:rPr>
          <w:rFonts w:ascii="Arial" w:hAnsi="Arial" w:cs="Arial"/>
          <w:color w:val="000000" w:themeColor="text1"/>
          <w:sz w:val="22"/>
          <w:szCs w:val="22"/>
          <w:lang w:val="en-GB"/>
        </w:rPr>
        <w:t xml:space="preserve">, Healthcare Informatics Research. </w:t>
      </w:r>
      <w:hyperlink r:id="rId28" w:tgtFrame="_new" w:history="1">
        <w:r w:rsidRPr="004D0065">
          <w:rPr>
            <w:rStyle w:val="Hyperlink"/>
            <w:rFonts w:ascii="Arial" w:hAnsi="Arial" w:cs="Arial"/>
            <w:color w:val="000000" w:themeColor="text1"/>
            <w:sz w:val="22"/>
            <w:szCs w:val="22"/>
            <w:lang w:val="en-GB"/>
          </w:rPr>
          <w:t>https://pmc.ncbi.nlm.nih.gov/articles/PMC11808857/</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Sharma, L. et al. (2025) </w:t>
      </w:r>
      <w:r w:rsidRPr="004D0065">
        <w:rPr>
          <w:rStyle w:val="Emphasis"/>
          <w:rFonts w:ascii="Arial" w:hAnsi="Arial" w:cs="Arial"/>
          <w:color w:val="000000" w:themeColor="text1"/>
          <w:sz w:val="22"/>
          <w:szCs w:val="22"/>
          <w:lang w:val="en-GB"/>
        </w:rPr>
        <w:t>Ensuring medication safety in healthcare systems</w:t>
      </w:r>
      <w:r w:rsidRPr="004D0065">
        <w:rPr>
          <w:rFonts w:ascii="Arial" w:hAnsi="Arial" w:cs="Arial"/>
          <w:color w:val="000000" w:themeColor="text1"/>
          <w:sz w:val="22"/>
          <w:szCs w:val="22"/>
          <w:lang w:val="en-GB"/>
        </w:rPr>
        <w:t xml:space="preserve">, Journal of Patient Safety. </w:t>
      </w:r>
      <w:hyperlink r:id="rId29" w:tgtFrame="_new" w:history="1">
        <w:r w:rsidRPr="004D0065">
          <w:rPr>
            <w:rStyle w:val="Hyperlink"/>
            <w:rFonts w:ascii="Arial" w:hAnsi="Arial" w:cs="Arial"/>
            <w:color w:val="000000" w:themeColor="text1"/>
            <w:sz w:val="22"/>
            <w:szCs w:val="22"/>
            <w:lang w:val="en-GB"/>
          </w:rPr>
          <w:t>https://pmc.ncbi.nlm.nih.gov/articles/PMC11913332/</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Yang, L. et al. (2025) </w:t>
      </w:r>
      <w:r w:rsidRPr="004D0065">
        <w:rPr>
          <w:rStyle w:val="Emphasis"/>
          <w:rFonts w:ascii="Arial" w:hAnsi="Arial" w:cs="Arial"/>
          <w:color w:val="000000" w:themeColor="text1"/>
          <w:sz w:val="22"/>
          <w:szCs w:val="22"/>
          <w:lang w:val="en-GB"/>
        </w:rPr>
        <w:t>Barriers to medication error reporting</w:t>
      </w:r>
      <w:r w:rsidRPr="004D0065">
        <w:rPr>
          <w:rFonts w:ascii="Arial" w:hAnsi="Arial" w:cs="Arial"/>
          <w:color w:val="000000" w:themeColor="text1"/>
          <w:sz w:val="22"/>
          <w:szCs w:val="22"/>
          <w:lang w:val="en-GB"/>
        </w:rPr>
        <w:t xml:space="preserve">, BMJ Open. </w:t>
      </w:r>
      <w:hyperlink r:id="rId30" w:tgtFrame="_new" w:history="1">
        <w:r w:rsidRPr="004D0065">
          <w:rPr>
            <w:rStyle w:val="Hyperlink"/>
            <w:rFonts w:ascii="Arial" w:hAnsi="Arial" w:cs="Arial"/>
            <w:color w:val="000000" w:themeColor="text1"/>
            <w:sz w:val="22"/>
            <w:szCs w:val="22"/>
            <w:lang w:val="en-GB"/>
          </w:rPr>
          <w:t>https://bmjopen.bmj.com/content/15/4/e091058</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Aghabarary</w:t>
      </w:r>
      <w:proofErr w:type="spellEnd"/>
      <w:r w:rsidRPr="004D0065">
        <w:rPr>
          <w:rFonts w:ascii="Arial" w:hAnsi="Arial" w:cs="Arial"/>
          <w:color w:val="000000" w:themeColor="text1"/>
          <w:sz w:val="22"/>
          <w:szCs w:val="22"/>
          <w:lang w:val="en-GB"/>
        </w:rPr>
        <w:t xml:space="preserve">, M. et al. (2025) </w:t>
      </w:r>
      <w:r w:rsidRPr="004D0065">
        <w:rPr>
          <w:rStyle w:val="Emphasis"/>
          <w:rFonts w:ascii="Arial" w:hAnsi="Arial" w:cs="Arial"/>
          <w:color w:val="000000" w:themeColor="text1"/>
          <w:sz w:val="22"/>
          <w:szCs w:val="22"/>
          <w:lang w:val="en-GB"/>
        </w:rPr>
        <w:t>Medication safety competence and error rates</w:t>
      </w:r>
      <w:r w:rsidRPr="004D0065">
        <w:rPr>
          <w:rFonts w:ascii="Arial" w:hAnsi="Arial" w:cs="Arial"/>
          <w:color w:val="000000" w:themeColor="text1"/>
          <w:sz w:val="22"/>
          <w:szCs w:val="22"/>
          <w:lang w:val="en-GB"/>
        </w:rPr>
        <w:t xml:space="preserve">, Healthcare. </w:t>
      </w:r>
      <w:hyperlink r:id="rId31" w:tgtFrame="_new" w:history="1">
        <w:r w:rsidRPr="004D0065">
          <w:rPr>
            <w:rStyle w:val="Hyperlink"/>
            <w:rFonts w:ascii="Arial" w:hAnsi="Arial" w:cs="Arial"/>
            <w:color w:val="000000" w:themeColor="text1"/>
            <w:sz w:val="22"/>
            <w:szCs w:val="22"/>
            <w:lang w:val="en-GB"/>
          </w:rPr>
          <w:t>https://pmc.ncbi.nlm.nih.gov/articles/PMC12078960/</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Alghamdi, S.A. et al. (2026) </w:t>
      </w:r>
      <w:r w:rsidRPr="004D0065">
        <w:rPr>
          <w:rStyle w:val="Emphasis"/>
          <w:rFonts w:ascii="Arial" w:hAnsi="Arial" w:cs="Arial"/>
          <w:color w:val="000000" w:themeColor="text1"/>
          <w:sz w:val="22"/>
          <w:szCs w:val="22"/>
          <w:lang w:val="en-GB"/>
        </w:rPr>
        <w:t>Medication errors reporting and analysis in hospital settings</w:t>
      </w:r>
      <w:r w:rsidRPr="004D0065">
        <w:rPr>
          <w:rFonts w:ascii="Arial" w:hAnsi="Arial" w:cs="Arial"/>
          <w:color w:val="000000" w:themeColor="text1"/>
          <w:sz w:val="22"/>
          <w:szCs w:val="22"/>
          <w:lang w:val="en-GB"/>
        </w:rPr>
        <w:t xml:space="preserve">, Healthcare. </w:t>
      </w:r>
      <w:hyperlink r:id="rId32" w:tgtFrame="_new" w:history="1">
        <w:r w:rsidRPr="004D0065">
          <w:rPr>
            <w:rStyle w:val="Hyperlink"/>
            <w:rFonts w:ascii="Arial" w:hAnsi="Arial" w:cs="Arial"/>
            <w:color w:val="000000" w:themeColor="text1"/>
            <w:sz w:val="22"/>
            <w:szCs w:val="22"/>
            <w:lang w:val="en-GB"/>
          </w:rPr>
          <w:t>https://pmc.ncbi.nlm.nih.gov/articles/PMC12862582/</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Despott, R.A. et al. (2025) </w:t>
      </w:r>
      <w:r w:rsidRPr="004D0065">
        <w:rPr>
          <w:rStyle w:val="Emphasis"/>
          <w:rFonts w:ascii="Arial" w:hAnsi="Arial" w:cs="Arial"/>
          <w:color w:val="000000" w:themeColor="text1"/>
          <w:sz w:val="22"/>
          <w:szCs w:val="22"/>
          <w:lang w:val="en-GB"/>
        </w:rPr>
        <w:t>Risk management of medication errors and quality improvement strategies</w:t>
      </w:r>
      <w:r w:rsidRPr="004D0065">
        <w:rPr>
          <w:rFonts w:ascii="Arial" w:hAnsi="Arial" w:cs="Arial"/>
          <w:color w:val="000000" w:themeColor="text1"/>
          <w:sz w:val="22"/>
          <w:szCs w:val="22"/>
          <w:lang w:val="en-GB"/>
        </w:rPr>
        <w:t xml:space="preserve">, Journal of Clinical Pharmacy. </w:t>
      </w:r>
      <w:hyperlink r:id="rId33" w:tgtFrame="_new" w:history="1">
        <w:r w:rsidRPr="004D0065">
          <w:rPr>
            <w:rStyle w:val="Hyperlink"/>
            <w:rFonts w:ascii="Arial" w:hAnsi="Arial" w:cs="Arial"/>
            <w:color w:val="000000" w:themeColor="text1"/>
            <w:sz w:val="22"/>
            <w:szCs w:val="22"/>
            <w:lang w:val="en-GB"/>
          </w:rPr>
          <w:t>https://pmc.ncbi.nlm.nih.gov/articles/PMC12003922/</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Bastani, P. et al. (2024) </w:t>
      </w:r>
      <w:r w:rsidRPr="004D0065">
        <w:rPr>
          <w:rStyle w:val="Emphasis"/>
          <w:rFonts w:ascii="Arial" w:hAnsi="Arial" w:cs="Arial"/>
          <w:color w:val="000000" w:themeColor="text1"/>
          <w:sz w:val="22"/>
          <w:szCs w:val="22"/>
          <w:lang w:val="en-GB"/>
        </w:rPr>
        <w:t>Medication errors and patient safety culture</w:t>
      </w:r>
      <w:r w:rsidRPr="004D0065">
        <w:rPr>
          <w:rFonts w:ascii="Arial" w:hAnsi="Arial" w:cs="Arial"/>
          <w:color w:val="000000" w:themeColor="text1"/>
          <w:sz w:val="22"/>
          <w:szCs w:val="22"/>
          <w:lang w:val="en-GB"/>
        </w:rPr>
        <w:t xml:space="preserve">, Iranian Journal of Nursing Research. </w:t>
      </w:r>
      <w:hyperlink r:id="rId34" w:tgtFrame="_new" w:history="1">
        <w:r w:rsidRPr="004D0065">
          <w:rPr>
            <w:rStyle w:val="Hyperlink"/>
            <w:rFonts w:ascii="Arial" w:hAnsi="Arial" w:cs="Arial"/>
            <w:color w:val="000000" w:themeColor="text1"/>
            <w:sz w:val="22"/>
            <w:szCs w:val="22"/>
            <w:lang w:val="en-GB"/>
          </w:rPr>
          <w:t>https://pmc.ncbi.nlm.nih.gov/articles/PMC11825077/</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Webb, C. et al. (2025) </w:t>
      </w:r>
      <w:r w:rsidRPr="004D0065">
        <w:rPr>
          <w:rStyle w:val="Emphasis"/>
          <w:rFonts w:ascii="Arial" w:hAnsi="Arial" w:cs="Arial"/>
          <w:color w:val="000000" w:themeColor="text1"/>
          <w:sz w:val="22"/>
          <w:szCs w:val="22"/>
          <w:lang w:val="en-GB"/>
        </w:rPr>
        <w:t>Factors contributing to medication administration errors</w:t>
      </w:r>
      <w:r w:rsidRPr="004D0065">
        <w:rPr>
          <w:rFonts w:ascii="Arial" w:hAnsi="Arial" w:cs="Arial"/>
          <w:color w:val="000000" w:themeColor="text1"/>
          <w:sz w:val="22"/>
          <w:szCs w:val="22"/>
          <w:lang w:val="en-GB"/>
        </w:rPr>
        <w:t xml:space="preserve">, Journal of Advanced Nursing. </w:t>
      </w:r>
      <w:hyperlink r:id="rId35" w:tgtFrame="_new" w:history="1">
        <w:r w:rsidRPr="004D0065">
          <w:rPr>
            <w:rStyle w:val="Hyperlink"/>
            <w:rFonts w:ascii="Arial" w:hAnsi="Arial" w:cs="Arial"/>
            <w:color w:val="000000" w:themeColor="text1"/>
            <w:sz w:val="22"/>
            <w:szCs w:val="22"/>
            <w:lang w:val="en-GB"/>
          </w:rPr>
          <w:t>https://pmc.ncbi.nlm.nih.gov/articles/PMC12489426/</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Salman, B.M. et al. (2025) </w:t>
      </w:r>
      <w:r w:rsidRPr="004D0065">
        <w:rPr>
          <w:rStyle w:val="Emphasis"/>
          <w:rFonts w:ascii="Arial" w:hAnsi="Arial" w:cs="Arial"/>
          <w:color w:val="000000" w:themeColor="text1"/>
          <w:sz w:val="22"/>
          <w:szCs w:val="22"/>
          <w:lang w:val="en-GB"/>
        </w:rPr>
        <w:t>Reducing medication administration errors through intervention frameworks</w:t>
      </w:r>
      <w:r w:rsidRPr="004D0065">
        <w:rPr>
          <w:rFonts w:ascii="Arial" w:hAnsi="Arial" w:cs="Arial"/>
          <w:color w:val="000000" w:themeColor="text1"/>
          <w:sz w:val="22"/>
          <w:szCs w:val="22"/>
          <w:lang w:val="en-GB"/>
        </w:rPr>
        <w:t xml:space="preserve">, Healthcare. </w:t>
      </w:r>
      <w:hyperlink r:id="rId36" w:tgtFrame="_new" w:history="1">
        <w:r w:rsidRPr="004D0065">
          <w:rPr>
            <w:rStyle w:val="Hyperlink"/>
            <w:rFonts w:ascii="Arial" w:hAnsi="Arial" w:cs="Arial"/>
            <w:color w:val="000000" w:themeColor="text1"/>
            <w:sz w:val="22"/>
            <w:szCs w:val="22"/>
            <w:lang w:val="en-GB"/>
          </w:rPr>
          <w:t>https://pmc.ncbi.nlm.nih.gov/articles/PMC12082395/</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Yu, W.N. et al. (2025) </w:t>
      </w:r>
      <w:r w:rsidRPr="004D0065">
        <w:rPr>
          <w:rStyle w:val="Emphasis"/>
          <w:rFonts w:ascii="Arial" w:hAnsi="Arial" w:cs="Arial"/>
          <w:color w:val="000000" w:themeColor="text1"/>
          <w:sz w:val="22"/>
          <w:szCs w:val="22"/>
          <w:lang w:val="en-GB"/>
        </w:rPr>
        <w:t>Implementation of medication-related technology and patient safety outcomes</w:t>
      </w:r>
      <w:r w:rsidRPr="004D0065">
        <w:rPr>
          <w:rFonts w:ascii="Arial" w:hAnsi="Arial" w:cs="Arial"/>
          <w:color w:val="000000" w:themeColor="text1"/>
          <w:sz w:val="22"/>
          <w:szCs w:val="22"/>
          <w:lang w:val="en-GB"/>
        </w:rPr>
        <w:t xml:space="preserve">, JMIR. </w:t>
      </w:r>
      <w:hyperlink r:id="rId37" w:tgtFrame="_new" w:history="1">
        <w:r w:rsidRPr="004D0065">
          <w:rPr>
            <w:rStyle w:val="Hyperlink"/>
            <w:rFonts w:ascii="Arial" w:hAnsi="Arial" w:cs="Arial"/>
            <w:color w:val="000000" w:themeColor="text1"/>
            <w:sz w:val="22"/>
            <w:szCs w:val="22"/>
            <w:lang w:val="en-GB"/>
          </w:rPr>
          <w:t>https://pmc.ncbi.nlm.nih.gov/articles/PMC11986387/</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Eze, A.U. et al. (2025) </w:t>
      </w:r>
      <w:r w:rsidRPr="004D0065">
        <w:rPr>
          <w:rStyle w:val="Emphasis"/>
          <w:rFonts w:ascii="Arial" w:hAnsi="Arial" w:cs="Arial"/>
          <w:color w:val="000000" w:themeColor="text1"/>
          <w:sz w:val="22"/>
          <w:szCs w:val="22"/>
          <w:lang w:val="en-GB"/>
        </w:rPr>
        <w:t>Nurse-led interventions to reduce medication errors: systematic review</w:t>
      </w:r>
      <w:r w:rsidRPr="004D0065">
        <w:rPr>
          <w:rFonts w:ascii="Arial" w:hAnsi="Arial" w:cs="Arial"/>
          <w:color w:val="000000" w:themeColor="text1"/>
          <w:sz w:val="22"/>
          <w:szCs w:val="22"/>
          <w:lang w:val="en-GB"/>
        </w:rPr>
        <w:t xml:space="preserve">, BMC Health Services Research. </w:t>
      </w:r>
      <w:hyperlink r:id="rId38" w:tgtFrame="_new" w:history="1">
        <w:r w:rsidRPr="004D0065">
          <w:rPr>
            <w:rStyle w:val="Hyperlink"/>
            <w:rFonts w:ascii="Arial" w:hAnsi="Arial" w:cs="Arial"/>
            <w:color w:val="000000" w:themeColor="text1"/>
            <w:sz w:val="22"/>
            <w:szCs w:val="22"/>
            <w:lang w:val="en-GB"/>
          </w:rPr>
          <w:t>https://pmc.ncbi.nlm.nih.gov/articles/PMC12862564/</w:t>
        </w:r>
      </w:hyperlink>
      <w:r w:rsidR="004D0065" w:rsidRPr="004D0065">
        <w:rPr>
          <w:rStyle w:val="Hyperlink"/>
          <w:rFonts w:ascii="Arial" w:hAnsi="Arial" w:cs="Arial"/>
          <w:color w:val="000000" w:themeColor="text1"/>
          <w:sz w:val="22"/>
          <w:szCs w:val="22"/>
          <w:lang w:val="en-GB"/>
        </w:rPr>
        <w:t xml:space="preserve"> </w:t>
      </w:r>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Govil, D. et al. (2025) </w:t>
      </w:r>
      <w:r w:rsidRPr="004D0065">
        <w:rPr>
          <w:rStyle w:val="Emphasis"/>
          <w:rFonts w:ascii="Arial" w:hAnsi="Arial" w:cs="Arial"/>
          <w:color w:val="000000" w:themeColor="text1"/>
          <w:sz w:val="22"/>
          <w:szCs w:val="22"/>
          <w:lang w:val="en-GB"/>
        </w:rPr>
        <w:t>Epidemiology of medication errors in hospitals</w:t>
      </w:r>
      <w:r w:rsidRPr="004D0065">
        <w:rPr>
          <w:rFonts w:ascii="Arial" w:hAnsi="Arial" w:cs="Arial"/>
          <w:color w:val="000000" w:themeColor="text1"/>
          <w:sz w:val="22"/>
          <w:szCs w:val="22"/>
          <w:lang w:val="en-GB"/>
        </w:rPr>
        <w:t xml:space="preserve">, Indian Journal of Critical Care Medicine. </w:t>
      </w:r>
      <w:hyperlink r:id="rId39" w:tgtFrame="_new" w:history="1">
        <w:r w:rsidRPr="004D0065">
          <w:rPr>
            <w:rStyle w:val="Hyperlink"/>
            <w:rFonts w:ascii="Arial" w:hAnsi="Arial" w:cs="Arial"/>
            <w:color w:val="000000" w:themeColor="text1"/>
            <w:sz w:val="22"/>
            <w:szCs w:val="22"/>
            <w:lang w:val="en-GB"/>
          </w:rPr>
          <w:t>https://pmc.ncbi.nlm.nih.gov/articles/PMC12683552/</w:t>
        </w:r>
      </w:hyperlink>
    </w:p>
    <w:p w:rsidR="00AC36EB" w:rsidRPr="004D0065" w:rsidRDefault="00AC36EB"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lastRenderedPageBreak/>
        <w:t>Pramesona</w:t>
      </w:r>
      <w:proofErr w:type="spellEnd"/>
      <w:r w:rsidRPr="004D0065">
        <w:rPr>
          <w:rFonts w:ascii="Arial" w:hAnsi="Arial" w:cs="Arial"/>
          <w:color w:val="000000" w:themeColor="text1"/>
          <w:sz w:val="22"/>
          <w:szCs w:val="22"/>
          <w:lang w:val="en-GB"/>
        </w:rPr>
        <w:t xml:space="preserve">, B.A. et al. (2025) </w:t>
      </w:r>
      <w:r w:rsidRPr="004D0065">
        <w:rPr>
          <w:rStyle w:val="Emphasis"/>
          <w:rFonts w:ascii="Arial" w:hAnsi="Arial" w:cs="Arial"/>
          <w:color w:val="000000" w:themeColor="text1"/>
          <w:sz w:val="22"/>
          <w:szCs w:val="22"/>
          <w:lang w:val="en-GB"/>
        </w:rPr>
        <w:t>Barriers to medication error reporting</w:t>
      </w:r>
      <w:r w:rsidRPr="004D0065">
        <w:rPr>
          <w:rFonts w:ascii="Arial" w:hAnsi="Arial" w:cs="Arial"/>
          <w:color w:val="000000" w:themeColor="text1"/>
          <w:sz w:val="22"/>
          <w:szCs w:val="22"/>
          <w:lang w:val="en-GB"/>
        </w:rPr>
        <w:t xml:space="preserve">, BMC Nursing. </w:t>
      </w:r>
      <w:hyperlink r:id="rId40" w:tgtFrame="_new" w:history="1">
        <w:r w:rsidRPr="004D0065">
          <w:rPr>
            <w:rStyle w:val="Hyperlink"/>
            <w:rFonts w:ascii="Arial" w:hAnsi="Arial" w:cs="Arial"/>
            <w:color w:val="000000" w:themeColor="text1"/>
            <w:sz w:val="22"/>
            <w:szCs w:val="22"/>
            <w:lang w:val="en-GB"/>
          </w:rPr>
          <w:t>https://pmc.ncbi.nlm.nih.gov/articles/PMC12648230/</w:t>
        </w:r>
      </w:hyperlink>
    </w:p>
    <w:p w:rsidR="000F7C48" w:rsidRPr="004D0065" w:rsidRDefault="000F7C4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Eze, A.U. (2025) </w:t>
      </w:r>
      <w:r w:rsidRPr="004D0065">
        <w:rPr>
          <w:rStyle w:val="Emphasis"/>
          <w:rFonts w:ascii="Arial" w:hAnsi="Arial" w:cs="Arial"/>
          <w:color w:val="000000" w:themeColor="text1"/>
          <w:sz w:val="22"/>
          <w:szCs w:val="22"/>
          <w:lang w:val="en-GB"/>
        </w:rPr>
        <w:t>Medication administration errors in acute healthcare settings: A systematic review</w:t>
      </w:r>
      <w:r w:rsidRPr="004D0065">
        <w:rPr>
          <w:rFonts w:ascii="Arial" w:hAnsi="Arial" w:cs="Arial"/>
          <w:color w:val="000000" w:themeColor="text1"/>
          <w:sz w:val="22"/>
          <w:szCs w:val="22"/>
          <w:lang w:val="en-GB"/>
        </w:rPr>
        <w:t xml:space="preserve">. </w:t>
      </w:r>
      <w:hyperlink r:id="rId41" w:tgtFrame="_new" w:history="1">
        <w:r w:rsidRPr="004D0065">
          <w:rPr>
            <w:rStyle w:val="Hyperlink"/>
            <w:rFonts w:ascii="Arial" w:hAnsi="Arial" w:cs="Arial"/>
            <w:color w:val="000000" w:themeColor="text1"/>
            <w:sz w:val="22"/>
            <w:szCs w:val="22"/>
            <w:lang w:val="en-GB"/>
          </w:rPr>
          <w:t>https://pmc.ncbi.nlm.nih.gov/articles/PMC12862564/</w:t>
        </w:r>
      </w:hyperlink>
    </w:p>
    <w:p w:rsidR="000F7C48" w:rsidRPr="004D0065" w:rsidRDefault="000F7C48"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Kwiecień-Jaguś</w:t>
      </w:r>
      <w:proofErr w:type="spellEnd"/>
      <w:r w:rsidRPr="004D0065">
        <w:rPr>
          <w:rFonts w:ascii="Arial" w:hAnsi="Arial" w:cs="Arial"/>
          <w:color w:val="000000" w:themeColor="text1"/>
          <w:sz w:val="22"/>
          <w:szCs w:val="22"/>
          <w:lang w:val="en-GB"/>
        </w:rPr>
        <w:t xml:space="preserve">, K. et al. (2025) </w:t>
      </w:r>
      <w:r w:rsidRPr="004D0065">
        <w:rPr>
          <w:rStyle w:val="Emphasis"/>
          <w:rFonts w:ascii="Arial" w:hAnsi="Arial" w:cs="Arial"/>
          <w:color w:val="000000" w:themeColor="text1"/>
          <w:sz w:val="22"/>
          <w:szCs w:val="22"/>
          <w:lang w:val="en-GB"/>
        </w:rPr>
        <w:t>Medication errors in intensive care units: A systematic review</w:t>
      </w:r>
      <w:r w:rsidRPr="004D0065">
        <w:rPr>
          <w:rFonts w:ascii="Arial" w:hAnsi="Arial" w:cs="Arial"/>
          <w:color w:val="000000" w:themeColor="text1"/>
          <w:sz w:val="22"/>
          <w:szCs w:val="22"/>
          <w:lang w:val="en-GB"/>
        </w:rPr>
        <w:t xml:space="preserve">. </w:t>
      </w:r>
      <w:hyperlink r:id="rId42" w:tgtFrame="_new" w:history="1">
        <w:r w:rsidRPr="004D0065">
          <w:rPr>
            <w:rStyle w:val="Hyperlink"/>
            <w:rFonts w:ascii="Arial" w:hAnsi="Arial" w:cs="Arial"/>
            <w:color w:val="000000" w:themeColor="text1"/>
            <w:sz w:val="22"/>
            <w:szCs w:val="22"/>
            <w:lang w:val="en-GB"/>
          </w:rPr>
          <w:t>https://www.mdpi.com/1648-9144/61/3/369</w:t>
        </w:r>
      </w:hyperlink>
    </w:p>
    <w:p w:rsidR="000F7C48" w:rsidRPr="004D0065" w:rsidRDefault="000F7C48"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Baolenwo</w:t>
      </w:r>
      <w:proofErr w:type="spellEnd"/>
      <w:r w:rsidRPr="004D0065">
        <w:rPr>
          <w:rFonts w:ascii="Arial" w:hAnsi="Arial" w:cs="Arial"/>
          <w:color w:val="000000" w:themeColor="text1"/>
          <w:sz w:val="22"/>
          <w:szCs w:val="22"/>
          <w:lang w:val="en-GB"/>
        </w:rPr>
        <w:t xml:space="preserve">, A.B. et al. (2025) </w:t>
      </w:r>
      <w:r w:rsidRPr="004D0065">
        <w:rPr>
          <w:rStyle w:val="Emphasis"/>
          <w:rFonts w:ascii="Arial" w:hAnsi="Arial" w:cs="Arial"/>
          <w:color w:val="000000" w:themeColor="text1"/>
          <w:sz w:val="22"/>
          <w:szCs w:val="22"/>
          <w:lang w:val="en-GB"/>
        </w:rPr>
        <w:t>Prevalence of medication errors among children</w:t>
      </w:r>
      <w:r w:rsidRPr="004D0065">
        <w:rPr>
          <w:rFonts w:ascii="Arial" w:hAnsi="Arial" w:cs="Arial"/>
          <w:color w:val="000000" w:themeColor="text1"/>
          <w:sz w:val="22"/>
          <w:szCs w:val="22"/>
          <w:lang w:val="en-GB"/>
        </w:rPr>
        <w:t xml:space="preserve">. </w:t>
      </w:r>
      <w:hyperlink r:id="rId43" w:tgtFrame="_new" w:history="1">
        <w:r w:rsidRPr="004D0065">
          <w:rPr>
            <w:rStyle w:val="Hyperlink"/>
            <w:rFonts w:ascii="Arial" w:hAnsi="Arial" w:cs="Arial"/>
            <w:color w:val="000000" w:themeColor="text1"/>
            <w:sz w:val="22"/>
            <w:szCs w:val="22"/>
            <w:lang w:val="en-GB"/>
          </w:rPr>
          <w:t>https://link.springer.com/article/10.1186/s12875-025-03072-w</w:t>
        </w:r>
      </w:hyperlink>
    </w:p>
    <w:p w:rsidR="000F7C48" w:rsidRPr="004D0065" w:rsidRDefault="000F7C4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Fang, J. et al. (2025) </w:t>
      </w:r>
      <w:r w:rsidRPr="004D0065">
        <w:rPr>
          <w:rStyle w:val="Emphasis"/>
          <w:rFonts w:ascii="Arial" w:hAnsi="Arial" w:cs="Arial"/>
          <w:color w:val="000000" w:themeColor="text1"/>
          <w:sz w:val="22"/>
          <w:szCs w:val="22"/>
          <w:lang w:val="en-GB"/>
        </w:rPr>
        <w:t>Medication near-miss reporting and safety culture</w:t>
      </w:r>
      <w:r w:rsidRPr="004D0065">
        <w:rPr>
          <w:rFonts w:ascii="Arial" w:hAnsi="Arial" w:cs="Arial"/>
          <w:color w:val="000000" w:themeColor="text1"/>
          <w:sz w:val="22"/>
          <w:szCs w:val="22"/>
          <w:lang w:val="en-GB"/>
        </w:rPr>
        <w:t xml:space="preserve">. </w:t>
      </w:r>
      <w:hyperlink r:id="rId44" w:tgtFrame="_new" w:history="1">
        <w:r w:rsidRPr="004D0065">
          <w:rPr>
            <w:rStyle w:val="Hyperlink"/>
            <w:rFonts w:ascii="Arial" w:hAnsi="Arial" w:cs="Arial"/>
            <w:color w:val="000000" w:themeColor="text1"/>
            <w:sz w:val="22"/>
            <w:szCs w:val="22"/>
            <w:lang w:val="en-GB"/>
          </w:rPr>
          <w:t>https://link.springer.com/article/10.1186/s12912-025-03678-6</w:t>
        </w:r>
      </w:hyperlink>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Jia, Y. et al. (2021) ‘A framework for improving medication safety using system-based approaches’, </w:t>
      </w:r>
      <w:r w:rsidRPr="004D0065">
        <w:rPr>
          <w:rStyle w:val="Emphasis"/>
          <w:rFonts w:ascii="Arial" w:hAnsi="Arial" w:cs="Arial"/>
          <w:color w:val="000000" w:themeColor="text1"/>
          <w:sz w:val="22"/>
          <w:szCs w:val="22"/>
          <w:lang w:val="en-GB"/>
        </w:rPr>
        <w:t>Journal of Patient Safety</w:t>
      </w:r>
      <w:r w:rsidRPr="004D0065">
        <w:rPr>
          <w:rFonts w:ascii="Arial" w:hAnsi="Arial" w:cs="Arial"/>
          <w:color w:val="000000" w:themeColor="text1"/>
          <w:sz w:val="22"/>
          <w:szCs w:val="22"/>
          <w:lang w:val="en-GB"/>
        </w:rPr>
        <w:t xml:space="preserve">. </w:t>
      </w:r>
      <w:hyperlink r:id="rId45" w:tgtFrame="_new" w:history="1">
        <w:r w:rsidRPr="004D0065">
          <w:rPr>
            <w:rStyle w:val="Hyperlink"/>
            <w:rFonts w:ascii="Arial" w:hAnsi="Arial" w:cs="Arial"/>
            <w:color w:val="000000" w:themeColor="text1"/>
            <w:sz w:val="22"/>
            <w:szCs w:val="22"/>
            <w:lang w:val="en-GB"/>
          </w:rPr>
          <w:t>https://arxiv.org/abs/2101.05620</w:t>
        </w:r>
      </w:hyperlink>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Liang, S. et al. (2024) ‘Causal inference-driven medication safety models’, </w:t>
      </w:r>
      <w:r w:rsidRPr="004D0065">
        <w:rPr>
          <w:rStyle w:val="Emphasis"/>
          <w:rFonts w:ascii="Arial" w:hAnsi="Arial" w:cs="Arial"/>
          <w:color w:val="000000" w:themeColor="text1"/>
          <w:sz w:val="22"/>
          <w:szCs w:val="22"/>
          <w:lang w:val="en-GB"/>
        </w:rPr>
        <w:t>IEEE Access</w:t>
      </w:r>
      <w:r w:rsidRPr="004D0065">
        <w:rPr>
          <w:rFonts w:ascii="Arial" w:hAnsi="Arial" w:cs="Arial"/>
          <w:color w:val="000000" w:themeColor="text1"/>
          <w:sz w:val="22"/>
          <w:szCs w:val="22"/>
          <w:lang w:val="en-GB"/>
        </w:rPr>
        <w:t xml:space="preserve">. </w:t>
      </w:r>
      <w:hyperlink r:id="rId46" w:tgtFrame="_new" w:history="1">
        <w:r w:rsidRPr="004D0065">
          <w:rPr>
            <w:rStyle w:val="Hyperlink"/>
            <w:rFonts w:ascii="Arial" w:hAnsi="Arial" w:cs="Arial"/>
            <w:color w:val="000000" w:themeColor="text1"/>
            <w:sz w:val="22"/>
            <w:szCs w:val="22"/>
            <w:lang w:val="en-GB"/>
          </w:rPr>
          <w:t>https://arxiv.org/abs/2403.00880</w:t>
        </w:r>
      </w:hyperlink>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Biswas, A. and Talukdar, W. (2024) ‘AI-driven clinical documentation and patient safety’, </w:t>
      </w:r>
      <w:r w:rsidRPr="004D0065">
        <w:rPr>
          <w:rStyle w:val="Emphasis"/>
          <w:rFonts w:ascii="Arial" w:hAnsi="Arial" w:cs="Arial"/>
          <w:color w:val="000000" w:themeColor="text1"/>
          <w:sz w:val="22"/>
          <w:szCs w:val="22"/>
          <w:lang w:val="en-GB"/>
        </w:rPr>
        <w:t>Journal of Medical Systems</w:t>
      </w:r>
      <w:r w:rsidRPr="004D0065">
        <w:rPr>
          <w:rFonts w:ascii="Arial" w:hAnsi="Arial" w:cs="Arial"/>
          <w:color w:val="000000" w:themeColor="text1"/>
          <w:sz w:val="22"/>
          <w:szCs w:val="22"/>
          <w:lang w:val="en-GB"/>
        </w:rPr>
        <w:t xml:space="preserve">. </w:t>
      </w:r>
      <w:hyperlink r:id="rId47" w:tgtFrame="_new" w:history="1">
        <w:r w:rsidRPr="004D0065">
          <w:rPr>
            <w:rStyle w:val="Hyperlink"/>
            <w:rFonts w:ascii="Arial" w:hAnsi="Arial" w:cs="Arial"/>
            <w:color w:val="000000" w:themeColor="text1"/>
            <w:sz w:val="22"/>
            <w:szCs w:val="22"/>
            <w:lang w:val="en-GB"/>
          </w:rPr>
          <w:t>https://arxiv.org/abs/2405.18346</w:t>
        </w:r>
      </w:hyperlink>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De Vito, G. et al. (2024) ‘Clinical decision support systems for medication safety’, </w:t>
      </w:r>
      <w:r w:rsidRPr="004D0065">
        <w:rPr>
          <w:rStyle w:val="Emphasis"/>
          <w:rFonts w:ascii="Arial" w:hAnsi="Arial" w:cs="Arial"/>
          <w:color w:val="000000" w:themeColor="text1"/>
          <w:sz w:val="22"/>
          <w:szCs w:val="22"/>
          <w:lang w:val="en-GB"/>
        </w:rPr>
        <w:t>Artificial Intelligence in Medicine</w:t>
      </w:r>
      <w:r w:rsidRPr="004D0065">
        <w:rPr>
          <w:rFonts w:ascii="Arial" w:hAnsi="Arial" w:cs="Arial"/>
          <w:color w:val="000000" w:themeColor="text1"/>
          <w:sz w:val="22"/>
          <w:szCs w:val="22"/>
          <w:lang w:val="en-GB"/>
        </w:rPr>
        <w:t xml:space="preserve">. </w:t>
      </w:r>
      <w:hyperlink r:id="rId48" w:tgtFrame="_new" w:history="1">
        <w:r w:rsidRPr="004D0065">
          <w:rPr>
            <w:rStyle w:val="Hyperlink"/>
            <w:rFonts w:ascii="Arial" w:hAnsi="Arial" w:cs="Arial"/>
            <w:color w:val="000000" w:themeColor="text1"/>
            <w:sz w:val="22"/>
            <w:szCs w:val="22"/>
            <w:lang w:val="en-GB"/>
          </w:rPr>
          <w:t>https://arxiv.org/abs/2409.16395</w:t>
        </w:r>
      </w:hyperlink>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Althobaiti</w:t>
      </w:r>
      <w:proofErr w:type="spellEnd"/>
      <w:r w:rsidRPr="004D0065">
        <w:rPr>
          <w:rFonts w:ascii="Arial" w:hAnsi="Arial" w:cs="Arial"/>
          <w:color w:val="000000" w:themeColor="text1"/>
          <w:sz w:val="22"/>
          <w:szCs w:val="22"/>
          <w:lang w:val="en-GB"/>
        </w:rPr>
        <w:t xml:space="preserve">, F.M. and </w:t>
      </w:r>
      <w:proofErr w:type="spellStart"/>
      <w:r w:rsidRPr="004D0065">
        <w:rPr>
          <w:rFonts w:ascii="Arial" w:hAnsi="Arial" w:cs="Arial"/>
          <w:color w:val="000000" w:themeColor="text1"/>
          <w:sz w:val="22"/>
          <w:szCs w:val="22"/>
          <w:lang w:val="en-GB"/>
        </w:rPr>
        <w:t>Alshammari</w:t>
      </w:r>
      <w:proofErr w:type="spellEnd"/>
      <w:r w:rsidRPr="004D0065">
        <w:rPr>
          <w:rFonts w:ascii="Arial" w:hAnsi="Arial" w:cs="Arial"/>
          <w:color w:val="000000" w:themeColor="text1"/>
          <w:sz w:val="22"/>
          <w:szCs w:val="22"/>
          <w:lang w:val="en-GB"/>
        </w:rPr>
        <w:t xml:space="preserve">, M. (2025) ‘Leadership styles and patient safety culture in hospitals’, </w:t>
      </w:r>
      <w:r w:rsidRPr="004D0065">
        <w:rPr>
          <w:rStyle w:val="Emphasis"/>
          <w:rFonts w:ascii="Arial" w:hAnsi="Arial" w:cs="Arial"/>
          <w:color w:val="000000" w:themeColor="text1"/>
          <w:sz w:val="22"/>
          <w:szCs w:val="22"/>
          <w:lang w:val="en-GB"/>
        </w:rPr>
        <w:t>BMC Nursing</w:t>
      </w:r>
      <w:r w:rsidRPr="004D0065">
        <w:rPr>
          <w:rFonts w:ascii="Arial" w:hAnsi="Arial" w:cs="Arial"/>
          <w:color w:val="000000" w:themeColor="text1"/>
          <w:sz w:val="22"/>
          <w:szCs w:val="22"/>
          <w:lang w:val="en-GB"/>
        </w:rPr>
        <w:t xml:space="preserve">. </w:t>
      </w:r>
      <w:hyperlink r:id="rId49" w:tgtFrame="_new" w:history="1">
        <w:r w:rsidRPr="004D0065">
          <w:rPr>
            <w:rStyle w:val="Hyperlink"/>
            <w:rFonts w:ascii="Arial" w:hAnsi="Arial" w:cs="Arial"/>
            <w:color w:val="000000" w:themeColor="text1"/>
            <w:sz w:val="22"/>
            <w:szCs w:val="22"/>
            <w:lang w:val="en-GB"/>
          </w:rPr>
          <w:t>https://link.springer.com/article/10.1186/s12912-025-04263-7</w:t>
        </w:r>
      </w:hyperlink>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Kim, M.S. et al. (2024) ‘Transformational leadership and medication-error management climate’, </w:t>
      </w:r>
      <w:r w:rsidRPr="004D0065">
        <w:rPr>
          <w:rStyle w:val="Emphasis"/>
          <w:rFonts w:ascii="Arial" w:hAnsi="Arial" w:cs="Arial"/>
          <w:color w:val="000000" w:themeColor="text1"/>
          <w:sz w:val="22"/>
          <w:szCs w:val="22"/>
          <w:lang w:val="en-GB"/>
        </w:rPr>
        <w:t>Journal of Research in Nursing</w:t>
      </w:r>
      <w:r w:rsidRPr="004D0065">
        <w:rPr>
          <w:rFonts w:ascii="Arial" w:hAnsi="Arial" w:cs="Arial"/>
          <w:color w:val="000000" w:themeColor="text1"/>
          <w:sz w:val="22"/>
          <w:szCs w:val="22"/>
          <w:lang w:val="en-GB"/>
        </w:rPr>
        <w:t>. https://doi.org/10.1177/1744987118824621</w:t>
      </w:r>
    </w:p>
    <w:p w:rsidR="000F7C4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Stephan, C. et al. (2025) ‘Instruments for measuring healthcare professionals’ medication safety competence: A scoping review’, </w:t>
      </w:r>
      <w:r w:rsidRPr="004D0065">
        <w:rPr>
          <w:rStyle w:val="Emphasis"/>
          <w:rFonts w:ascii="Arial" w:eastAsiaTheme="majorEastAsia" w:hAnsi="Arial" w:cs="Arial"/>
          <w:color w:val="000000" w:themeColor="text1"/>
          <w:sz w:val="22"/>
          <w:szCs w:val="22"/>
          <w:lang w:val="en-GB"/>
        </w:rPr>
        <w:t>Journal of Multidisciplinary Healthcare</w:t>
      </w:r>
      <w:r w:rsidRPr="004D0065">
        <w:rPr>
          <w:rFonts w:ascii="Arial" w:hAnsi="Arial" w:cs="Arial"/>
          <w:color w:val="000000" w:themeColor="text1"/>
          <w:sz w:val="22"/>
          <w:szCs w:val="22"/>
          <w:lang w:val="en-GB"/>
        </w:rPr>
        <w:t xml:space="preserve">. </w:t>
      </w:r>
      <w:hyperlink r:id="rId50" w:tgtFrame="_new" w:history="1">
        <w:r w:rsidRPr="004D0065">
          <w:rPr>
            <w:rStyle w:val="Hyperlink"/>
            <w:rFonts w:ascii="Arial" w:hAnsi="Arial" w:cs="Arial"/>
            <w:color w:val="000000" w:themeColor="text1"/>
            <w:sz w:val="22"/>
            <w:szCs w:val="22"/>
            <w:lang w:val="en-GB"/>
          </w:rPr>
          <w:t>https://doi.org/10.2147/JMDH.S508151</w:t>
        </w:r>
      </w:hyperlink>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Hendy, A. et al. (2025) ‘Nursing organisational culture and medication safety climate’, </w:t>
      </w:r>
      <w:r w:rsidRPr="004D0065">
        <w:rPr>
          <w:rStyle w:val="Emphasis"/>
          <w:rFonts w:ascii="Arial" w:eastAsiaTheme="majorEastAsia" w:hAnsi="Arial" w:cs="Arial"/>
          <w:color w:val="000000" w:themeColor="text1"/>
          <w:sz w:val="22"/>
          <w:szCs w:val="22"/>
          <w:lang w:val="en-GB"/>
        </w:rPr>
        <w:t xml:space="preserve">Journal of </w:t>
      </w:r>
      <w:proofErr w:type="spellStart"/>
      <w:r w:rsidRPr="004D0065">
        <w:rPr>
          <w:rStyle w:val="Emphasis"/>
          <w:rFonts w:ascii="Arial" w:eastAsiaTheme="majorEastAsia" w:hAnsi="Arial" w:cs="Arial"/>
          <w:color w:val="000000" w:themeColor="text1"/>
          <w:sz w:val="22"/>
          <w:szCs w:val="22"/>
          <w:lang w:val="en-GB"/>
        </w:rPr>
        <w:t>Pediatric</w:t>
      </w:r>
      <w:proofErr w:type="spellEnd"/>
      <w:r w:rsidRPr="004D0065">
        <w:rPr>
          <w:rStyle w:val="Emphasis"/>
          <w:rFonts w:ascii="Arial" w:eastAsiaTheme="majorEastAsia" w:hAnsi="Arial" w:cs="Arial"/>
          <w:color w:val="000000" w:themeColor="text1"/>
          <w:sz w:val="22"/>
          <w:szCs w:val="22"/>
          <w:lang w:val="en-GB"/>
        </w:rPr>
        <w:t xml:space="preserve"> Nursing</w:t>
      </w:r>
      <w:r w:rsidRPr="004D0065">
        <w:rPr>
          <w:rFonts w:ascii="Arial" w:hAnsi="Arial" w:cs="Arial"/>
          <w:color w:val="000000" w:themeColor="text1"/>
          <w:sz w:val="22"/>
          <w:szCs w:val="22"/>
          <w:lang w:val="en-GB"/>
        </w:rPr>
        <w:t xml:space="preserve">. </w:t>
      </w:r>
      <w:hyperlink r:id="rId51" w:tgtFrame="_new" w:history="1">
        <w:r w:rsidRPr="004D0065">
          <w:rPr>
            <w:rStyle w:val="Hyperlink"/>
            <w:rFonts w:ascii="Arial" w:hAnsi="Arial" w:cs="Arial"/>
            <w:color w:val="000000" w:themeColor="text1"/>
            <w:sz w:val="22"/>
            <w:szCs w:val="22"/>
            <w:lang w:val="en-GB"/>
          </w:rPr>
          <w:t>https://www.sciencedirect.com/science/article/pii/S0882596325002611</w:t>
        </w:r>
      </w:hyperlink>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Leahy, I.C. et al. (2024) ‘Enhancing medication safety: characteristics and quality improvement strategies’, </w:t>
      </w:r>
      <w:r w:rsidRPr="004D0065">
        <w:rPr>
          <w:rStyle w:val="Emphasis"/>
          <w:rFonts w:ascii="Arial" w:hAnsi="Arial" w:cs="Arial"/>
          <w:color w:val="000000" w:themeColor="text1"/>
          <w:sz w:val="22"/>
          <w:szCs w:val="22"/>
          <w:lang w:val="en-GB"/>
        </w:rPr>
        <w:t xml:space="preserve">Journal of Clinical </w:t>
      </w:r>
      <w:proofErr w:type="spellStart"/>
      <w:r w:rsidRPr="004D0065">
        <w:rPr>
          <w:rStyle w:val="Emphasis"/>
          <w:rFonts w:ascii="Arial" w:hAnsi="Arial" w:cs="Arial"/>
          <w:color w:val="000000" w:themeColor="text1"/>
          <w:sz w:val="22"/>
          <w:szCs w:val="22"/>
          <w:lang w:val="en-GB"/>
        </w:rPr>
        <w:t>Anesthesia</w:t>
      </w:r>
      <w:proofErr w:type="spellEnd"/>
      <w:r w:rsidRPr="004D0065">
        <w:rPr>
          <w:rFonts w:ascii="Arial" w:hAnsi="Arial" w:cs="Arial"/>
          <w:color w:val="000000" w:themeColor="text1"/>
          <w:sz w:val="22"/>
          <w:szCs w:val="22"/>
          <w:lang w:val="en-GB"/>
        </w:rPr>
        <w:t xml:space="preserve">. </w:t>
      </w:r>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Coelho, F. et al. (2024) ‘Predisposing factors to medication errors among nurses and healthcare professionals’, </w:t>
      </w:r>
      <w:r w:rsidRPr="004D0065">
        <w:rPr>
          <w:rStyle w:val="Emphasis"/>
          <w:rFonts w:ascii="Arial" w:hAnsi="Arial" w:cs="Arial"/>
          <w:color w:val="000000" w:themeColor="text1"/>
          <w:sz w:val="22"/>
          <w:szCs w:val="22"/>
          <w:lang w:val="en-GB"/>
        </w:rPr>
        <w:t>Healthcare</w:t>
      </w:r>
      <w:r w:rsidRPr="004D0065">
        <w:rPr>
          <w:rFonts w:ascii="Arial" w:hAnsi="Arial" w:cs="Arial"/>
          <w:color w:val="000000" w:themeColor="text1"/>
          <w:sz w:val="22"/>
          <w:szCs w:val="22"/>
          <w:lang w:val="en-GB"/>
        </w:rPr>
        <w:t xml:space="preserve">. </w:t>
      </w:r>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Yu, W.N. et al. (2025) ‘Medication-related technology and patient safety outcomes: A systematic evaluation’, </w:t>
      </w:r>
      <w:r w:rsidRPr="004D0065">
        <w:rPr>
          <w:rStyle w:val="Emphasis"/>
          <w:rFonts w:ascii="Arial" w:hAnsi="Arial" w:cs="Arial"/>
          <w:color w:val="000000" w:themeColor="text1"/>
          <w:sz w:val="22"/>
          <w:szCs w:val="22"/>
          <w:lang w:val="en-GB"/>
        </w:rPr>
        <w:t>Journal of Medical Internet Research</w:t>
      </w:r>
      <w:r w:rsidRPr="004D0065">
        <w:rPr>
          <w:rFonts w:ascii="Arial" w:hAnsi="Arial" w:cs="Arial"/>
          <w:color w:val="000000" w:themeColor="text1"/>
          <w:sz w:val="22"/>
          <w:szCs w:val="22"/>
          <w:lang w:val="en-GB"/>
        </w:rPr>
        <w:t xml:space="preserve">. </w:t>
      </w:r>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lastRenderedPageBreak/>
        <w:t xml:space="preserve">Atmaja, D.S. et al. (2024) ‘Evaluation of medication errors in public healthcare systems’, </w:t>
      </w:r>
      <w:r w:rsidRPr="004D0065">
        <w:rPr>
          <w:rStyle w:val="Emphasis"/>
          <w:rFonts w:ascii="Arial" w:hAnsi="Arial" w:cs="Arial"/>
          <w:color w:val="000000" w:themeColor="text1"/>
          <w:sz w:val="22"/>
          <w:szCs w:val="22"/>
          <w:lang w:val="en-GB"/>
        </w:rPr>
        <w:t>Clinical Epidemiology and Global Health</w:t>
      </w:r>
      <w:r w:rsidRPr="004D0065">
        <w:rPr>
          <w:rFonts w:ascii="Arial" w:hAnsi="Arial" w:cs="Arial"/>
          <w:color w:val="000000" w:themeColor="text1"/>
          <w:sz w:val="22"/>
          <w:szCs w:val="22"/>
          <w:lang w:val="en-GB"/>
        </w:rPr>
        <w:t xml:space="preserve">. </w:t>
      </w:r>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lang w:val="en-GB"/>
        </w:rPr>
        <w:t>Anggraini</w:t>
      </w:r>
      <w:proofErr w:type="spellEnd"/>
      <w:r w:rsidRPr="004D0065">
        <w:rPr>
          <w:rFonts w:ascii="Arial" w:hAnsi="Arial" w:cs="Arial"/>
          <w:color w:val="000000" w:themeColor="text1"/>
          <w:sz w:val="22"/>
          <w:szCs w:val="22"/>
          <w:lang w:val="en-GB"/>
        </w:rPr>
        <w:t xml:space="preserve">, N.D. et al. (2024) ‘Influence of patient safety culture on medication administration errors’, </w:t>
      </w:r>
      <w:r w:rsidRPr="004D0065">
        <w:rPr>
          <w:rStyle w:val="Emphasis"/>
          <w:rFonts w:ascii="Arial" w:hAnsi="Arial" w:cs="Arial"/>
          <w:color w:val="000000" w:themeColor="text1"/>
          <w:sz w:val="22"/>
          <w:szCs w:val="22"/>
          <w:lang w:val="en-GB"/>
        </w:rPr>
        <w:t>Pakistan Journal of Life and Social Sciences</w:t>
      </w:r>
      <w:r w:rsidRPr="004D0065">
        <w:rPr>
          <w:rFonts w:ascii="Arial" w:hAnsi="Arial" w:cs="Arial"/>
          <w:color w:val="000000" w:themeColor="text1"/>
          <w:sz w:val="22"/>
          <w:szCs w:val="22"/>
          <w:lang w:val="en-GB"/>
        </w:rPr>
        <w:t xml:space="preserve">. </w:t>
      </w:r>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Kuitunen, S. et al. (2024) ‘Intravenous medication errors and preventive strategies in hospitals’, </w:t>
      </w:r>
      <w:r w:rsidRPr="004D0065">
        <w:rPr>
          <w:rStyle w:val="Emphasis"/>
          <w:rFonts w:ascii="Arial" w:hAnsi="Arial" w:cs="Arial"/>
          <w:color w:val="000000" w:themeColor="text1"/>
          <w:sz w:val="22"/>
          <w:szCs w:val="22"/>
          <w:lang w:val="en-GB"/>
        </w:rPr>
        <w:t>Journal of Patient Safety</w:t>
      </w:r>
      <w:r w:rsidRPr="004D0065">
        <w:rPr>
          <w:rFonts w:ascii="Arial" w:hAnsi="Arial" w:cs="Arial"/>
          <w:color w:val="000000" w:themeColor="text1"/>
          <w:sz w:val="22"/>
          <w:szCs w:val="22"/>
          <w:lang w:val="en-GB"/>
        </w:rPr>
        <w:t xml:space="preserve">. </w:t>
      </w:r>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Bastani, P. et al. (2024) ‘Medication errors and patient safety culture in healthcare systems’, </w:t>
      </w:r>
      <w:r w:rsidRPr="004D0065">
        <w:rPr>
          <w:rStyle w:val="Emphasis"/>
          <w:rFonts w:ascii="Arial" w:hAnsi="Arial" w:cs="Arial"/>
          <w:color w:val="000000" w:themeColor="text1"/>
          <w:sz w:val="22"/>
          <w:szCs w:val="22"/>
          <w:lang w:val="en-GB"/>
        </w:rPr>
        <w:t>Iranian Journal of Nursing Research</w:t>
      </w:r>
      <w:r w:rsidRPr="004D0065">
        <w:rPr>
          <w:rFonts w:ascii="Arial" w:hAnsi="Arial" w:cs="Arial"/>
          <w:color w:val="000000" w:themeColor="text1"/>
          <w:sz w:val="22"/>
          <w:szCs w:val="22"/>
          <w:lang w:val="en-GB"/>
        </w:rPr>
        <w:t xml:space="preserve">. </w:t>
      </w:r>
    </w:p>
    <w:p w:rsidR="00744FA8" w:rsidRPr="004D0065" w:rsidRDefault="00744FA8" w:rsidP="009231B1">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Alharbi, A.A. et al. (2023) ‘Medication safety practices and error reduction strategies in hospitals’, </w:t>
      </w:r>
      <w:r w:rsidRPr="004D0065">
        <w:rPr>
          <w:rStyle w:val="Emphasis"/>
          <w:rFonts w:ascii="Arial" w:hAnsi="Arial" w:cs="Arial"/>
          <w:color w:val="000000" w:themeColor="text1"/>
          <w:sz w:val="22"/>
          <w:szCs w:val="22"/>
          <w:lang w:val="en-GB"/>
        </w:rPr>
        <w:t>Saudi Medical Journal</w:t>
      </w:r>
      <w:r w:rsidRPr="004D0065">
        <w:rPr>
          <w:rFonts w:ascii="Arial" w:hAnsi="Arial" w:cs="Arial"/>
          <w:color w:val="000000" w:themeColor="text1"/>
          <w:sz w:val="22"/>
          <w:szCs w:val="22"/>
          <w:lang w:val="en-GB"/>
        </w:rPr>
        <w:t xml:space="preserve">. </w:t>
      </w:r>
    </w:p>
    <w:p w:rsidR="00280206" w:rsidRPr="004D0065" w:rsidRDefault="00744FA8" w:rsidP="00280206">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lang w:val="en-GB"/>
        </w:rPr>
        <w:t xml:space="preserve">Rahman, M.M. et al. (2023) ‘Medication errors in healthcare: causes, impacts and prevention strategies’, </w:t>
      </w:r>
      <w:r w:rsidRPr="004D0065">
        <w:rPr>
          <w:rStyle w:val="Emphasis"/>
          <w:rFonts w:ascii="Arial" w:hAnsi="Arial" w:cs="Arial"/>
          <w:color w:val="000000" w:themeColor="text1"/>
          <w:sz w:val="22"/>
          <w:szCs w:val="22"/>
          <w:lang w:val="en-GB"/>
        </w:rPr>
        <w:t>Journal of Drug Delivery and Therapeutics</w:t>
      </w:r>
      <w:r w:rsidRPr="004D0065">
        <w:rPr>
          <w:rFonts w:ascii="Arial" w:hAnsi="Arial" w:cs="Arial"/>
          <w:color w:val="000000" w:themeColor="text1"/>
          <w:sz w:val="22"/>
          <w:szCs w:val="22"/>
          <w:lang w:val="en-GB"/>
        </w:rPr>
        <w:t>.</w:t>
      </w:r>
    </w:p>
    <w:p w:rsidR="00280206" w:rsidRPr="004D0065" w:rsidRDefault="00280206" w:rsidP="00280206">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t xml:space="preserve">NHS, (2026). </w:t>
      </w:r>
      <w:r w:rsidRPr="004D0065">
        <w:rPr>
          <w:rFonts w:ascii="Arial" w:hAnsi="Arial" w:cs="Arial"/>
          <w:i/>
          <w:iCs/>
          <w:color w:val="000000" w:themeColor="text1"/>
          <w:sz w:val="22"/>
          <w:szCs w:val="22"/>
        </w:rPr>
        <w:t>Social prescribing</w:t>
      </w:r>
      <w:r w:rsidRPr="004D0065">
        <w:rPr>
          <w:rFonts w:ascii="Arial" w:hAnsi="Arial" w:cs="Arial"/>
          <w:color w:val="000000" w:themeColor="text1"/>
          <w:sz w:val="22"/>
          <w:szCs w:val="22"/>
        </w:rPr>
        <w:t xml:space="preserve">. Available at: </w:t>
      </w:r>
      <w:hyperlink r:id="rId52" w:history="1">
        <w:r w:rsidR="0005235A" w:rsidRPr="004D0065">
          <w:rPr>
            <w:rStyle w:val="Hyperlink"/>
            <w:rFonts w:ascii="Arial" w:hAnsi="Arial" w:cs="Arial"/>
            <w:color w:val="000000" w:themeColor="text1"/>
            <w:sz w:val="22"/>
            <w:szCs w:val="22"/>
          </w:rPr>
          <w:t>https://www.england.nhs.uk/personalisedcare/social-prescribing/</w:t>
        </w:r>
      </w:hyperlink>
      <w:r w:rsidRPr="004D0065">
        <w:rPr>
          <w:rFonts w:ascii="Arial" w:hAnsi="Arial" w:cs="Arial"/>
          <w:color w:val="000000" w:themeColor="text1"/>
          <w:sz w:val="22"/>
          <w:szCs w:val="22"/>
        </w:rPr>
        <w:t>[Accessed on: 30th March 2026]</w:t>
      </w:r>
    </w:p>
    <w:p w:rsidR="00280206" w:rsidRPr="004D0065" w:rsidRDefault="00280206" w:rsidP="00280206">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t xml:space="preserve">NHS, (2024). </w:t>
      </w:r>
      <w:r w:rsidRPr="004D0065">
        <w:rPr>
          <w:rFonts w:ascii="Arial" w:hAnsi="Arial" w:cs="Arial"/>
          <w:i/>
          <w:iCs/>
          <w:color w:val="000000" w:themeColor="text1"/>
          <w:sz w:val="22"/>
          <w:szCs w:val="22"/>
        </w:rPr>
        <w:t>NHS Long Term Workforce Plan</w:t>
      </w:r>
      <w:r w:rsidRPr="004D0065">
        <w:rPr>
          <w:rFonts w:ascii="Arial" w:hAnsi="Arial" w:cs="Arial"/>
          <w:color w:val="000000" w:themeColor="text1"/>
          <w:sz w:val="22"/>
          <w:szCs w:val="22"/>
        </w:rPr>
        <w:t xml:space="preserve">. Available at: </w:t>
      </w:r>
      <w:hyperlink r:id="rId53" w:history="1">
        <w:r w:rsidR="0005235A" w:rsidRPr="004D0065">
          <w:rPr>
            <w:rStyle w:val="Hyperlink"/>
            <w:rFonts w:ascii="Arial" w:hAnsi="Arial" w:cs="Arial"/>
            <w:color w:val="000000" w:themeColor="text1"/>
            <w:sz w:val="22"/>
            <w:szCs w:val="22"/>
          </w:rPr>
          <w:t>https://www.england.nhs.uk/long-read/nhs-long-term-workforce-plan-2/</w:t>
        </w:r>
      </w:hyperlink>
      <w:r w:rsidRPr="004D0065">
        <w:rPr>
          <w:rFonts w:ascii="Arial" w:hAnsi="Arial" w:cs="Arial"/>
          <w:color w:val="000000" w:themeColor="text1"/>
          <w:sz w:val="22"/>
          <w:szCs w:val="22"/>
        </w:rPr>
        <w:t>[Accessed on: 30th March 2026]</w:t>
      </w:r>
    </w:p>
    <w:p w:rsidR="00280206" w:rsidRPr="004D0065" w:rsidRDefault="00280206" w:rsidP="00280206">
      <w:pPr>
        <w:pStyle w:val="NormalWeb"/>
        <w:numPr>
          <w:ilvl w:val="0"/>
          <w:numId w:val="5"/>
        </w:numPr>
        <w:spacing w:line="360" w:lineRule="auto"/>
        <w:rPr>
          <w:rStyle w:val="Hyperlink"/>
          <w:rFonts w:ascii="Arial" w:hAnsi="Arial" w:cs="Arial"/>
          <w:color w:val="000000" w:themeColor="text1"/>
          <w:sz w:val="22"/>
          <w:szCs w:val="22"/>
          <w:u w:val="none"/>
          <w:lang w:val="en-GB"/>
        </w:rPr>
      </w:pPr>
      <w:r w:rsidRPr="004D0065">
        <w:rPr>
          <w:rFonts w:ascii="Arial" w:hAnsi="Arial" w:cs="Arial"/>
          <w:color w:val="000000" w:themeColor="text1"/>
          <w:sz w:val="22"/>
          <w:szCs w:val="22"/>
          <w:shd w:val="clear" w:color="auto" w:fill="FFFFFF"/>
        </w:rPr>
        <w:t xml:space="preserve">Chau, J.P.C., Lo, S.H.S., Choi, K.C., Tong, D.W.K., Kwok, A.M.L., Butt, L., Chan, E.L.S., Lee, I.F.K., Lee, D.T.F., </w:t>
      </w:r>
      <w:proofErr w:type="spellStart"/>
      <w:r w:rsidRPr="004D0065">
        <w:rPr>
          <w:rFonts w:ascii="Arial" w:hAnsi="Arial" w:cs="Arial"/>
          <w:color w:val="000000" w:themeColor="text1"/>
          <w:sz w:val="22"/>
          <w:szCs w:val="22"/>
          <w:shd w:val="clear" w:color="auto" w:fill="FFFFFF"/>
        </w:rPr>
        <w:t>Mchugh</w:t>
      </w:r>
      <w:proofErr w:type="spellEnd"/>
      <w:r w:rsidRPr="004D0065">
        <w:rPr>
          <w:rFonts w:ascii="Arial" w:hAnsi="Arial" w:cs="Arial"/>
          <w:color w:val="000000" w:themeColor="text1"/>
          <w:sz w:val="22"/>
          <w:szCs w:val="22"/>
          <w:shd w:val="clear" w:color="auto" w:fill="FFFFFF"/>
        </w:rPr>
        <w:t>, M.D. and Thompson, D.R., (2025). Associations between nurse</w:t>
      </w:r>
      <w:r w:rsidRPr="004D0065">
        <w:rPr>
          <w:rFonts w:ascii="Cambria Math" w:hAnsi="Cambria Math" w:cs="Arial"/>
          <w:color w:val="000000" w:themeColor="text1"/>
          <w:sz w:val="22"/>
          <w:szCs w:val="22"/>
          <w:shd w:val="clear" w:color="auto" w:fill="FFFFFF"/>
        </w:rPr>
        <w:t>‐</w:t>
      </w:r>
      <w:r w:rsidRPr="004D0065">
        <w:rPr>
          <w:rFonts w:ascii="Arial" w:hAnsi="Arial" w:cs="Arial"/>
          <w:color w:val="000000" w:themeColor="text1"/>
          <w:sz w:val="22"/>
          <w:szCs w:val="22"/>
          <w:shd w:val="clear" w:color="auto" w:fill="FFFFFF"/>
        </w:rPr>
        <w:t>to</w:t>
      </w:r>
      <w:r w:rsidRPr="004D0065">
        <w:rPr>
          <w:rFonts w:ascii="Cambria Math" w:hAnsi="Cambria Math" w:cs="Arial"/>
          <w:color w:val="000000" w:themeColor="text1"/>
          <w:sz w:val="22"/>
          <w:szCs w:val="22"/>
          <w:shd w:val="clear" w:color="auto" w:fill="FFFFFF"/>
        </w:rPr>
        <w:t>‐</w:t>
      </w:r>
      <w:r w:rsidRPr="004D0065">
        <w:rPr>
          <w:rFonts w:ascii="Arial" w:hAnsi="Arial" w:cs="Arial"/>
          <w:color w:val="000000" w:themeColor="text1"/>
          <w:sz w:val="22"/>
          <w:szCs w:val="22"/>
          <w:shd w:val="clear" w:color="auto" w:fill="FFFFFF"/>
        </w:rPr>
        <w:t>patient ratio, nurse educational level, and nurse</w:t>
      </w:r>
      <w:r w:rsidRPr="004D0065">
        <w:rPr>
          <w:rFonts w:ascii="Cambria Math" w:hAnsi="Cambria Math" w:cs="Arial"/>
          <w:color w:val="000000" w:themeColor="text1"/>
          <w:sz w:val="22"/>
          <w:szCs w:val="22"/>
          <w:shd w:val="clear" w:color="auto" w:fill="FFFFFF"/>
        </w:rPr>
        <w:t>‐</w:t>
      </w:r>
      <w:r w:rsidRPr="004D0065">
        <w:rPr>
          <w:rFonts w:ascii="Arial" w:hAnsi="Arial" w:cs="Arial"/>
          <w:color w:val="000000" w:themeColor="text1"/>
          <w:sz w:val="22"/>
          <w:szCs w:val="22"/>
          <w:shd w:val="clear" w:color="auto" w:fill="FFFFFF"/>
        </w:rPr>
        <w:t>sensitive patient outcomes: A 12</w:t>
      </w:r>
      <w:r w:rsidRPr="004D0065">
        <w:rPr>
          <w:rFonts w:ascii="Cambria Math" w:hAnsi="Cambria Math" w:cs="Arial"/>
          <w:color w:val="000000" w:themeColor="text1"/>
          <w:sz w:val="22"/>
          <w:szCs w:val="22"/>
          <w:shd w:val="clear" w:color="auto" w:fill="FFFFFF"/>
        </w:rPr>
        <w:t>‐</w:t>
      </w:r>
      <w:r w:rsidRPr="004D0065">
        <w:rPr>
          <w:rFonts w:ascii="Arial" w:hAnsi="Arial" w:cs="Arial"/>
          <w:color w:val="000000" w:themeColor="text1"/>
          <w:sz w:val="22"/>
          <w:szCs w:val="22"/>
          <w:shd w:val="clear" w:color="auto" w:fill="FFFFFF"/>
        </w:rPr>
        <w:t xml:space="preserve">month prospective observational study. </w:t>
      </w:r>
      <w:r w:rsidRPr="004D0065">
        <w:rPr>
          <w:rFonts w:ascii="Arial" w:hAnsi="Arial" w:cs="Arial"/>
          <w:i/>
          <w:iCs/>
          <w:color w:val="000000" w:themeColor="text1"/>
          <w:sz w:val="22"/>
          <w:szCs w:val="22"/>
          <w:shd w:val="clear" w:color="auto" w:fill="FFFFFF"/>
        </w:rPr>
        <w:t>International Nursing Review</w:t>
      </w:r>
      <w:r w:rsidRPr="004D0065">
        <w:rPr>
          <w:rFonts w:ascii="Arial" w:hAnsi="Arial" w:cs="Arial"/>
          <w:color w:val="000000" w:themeColor="text1"/>
          <w:sz w:val="22"/>
          <w:szCs w:val="22"/>
          <w:shd w:val="clear" w:color="auto" w:fill="FFFFFF"/>
        </w:rPr>
        <w:t xml:space="preserve">, </w:t>
      </w:r>
      <w:r w:rsidRPr="004D0065">
        <w:rPr>
          <w:rFonts w:ascii="Arial" w:hAnsi="Arial" w:cs="Arial"/>
          <w:i/>
          <w:iCs/>
          <w:color w:val="000000" w:themeColor="text1"/>
          <w:sz w:val="22"/>
          <w:szCs w:val="22"/>
          <w:shd w:val="clear" w:color="auto" w:fill="FFFFFF"/>
        </w:rPr>
        <w:t>72</w:t>
      </w:r>
      <w:r w:rsidRPr="004D0065">
        <w:rPr>
          <w:rFonts w:ascii="Arial" w:hAnsi="Arial" w:cs="Arial"/>
          <w:color w:val="000000" w:themeColor="text1"/>
          <w:sz w:val="22"/>
          <w:szCs w:val="22"/>
          <w:shd w:val="clear" w:color="auto" w:fill="FFFFFF"/>
        </w:rPr>
        <w:t>(1), p.e13091.</w:t>
      </w:r>
      <w:hyperlink r:id="rId54" w:history="1">
        <w:r w:rsidR="0005235A" w:rsidRPr="004D0065">
          <w:rPr>
            <w:rStyle w:val="Hyperlink"/>
            <w:rFonts w:ascii="Arial" w:hAnsi="Arial" w:cs="Arial"/>
            <w:color w:val="000000" w:themeColor="text1"/>
            <w:sz w:val="22"/>
            <w:szCs w:val="22"/>
            <w:shd w:val="clear" w:color="auto" w:fill="FFFFFF"/>
          </w:rPr>
          <w:t>https://doi.org/10.1111/inr.13091</w:t>
        </w:r>
      </w:hyperlink>
    </w:p>
    <w:p w:rsidR="00975B8B" w:rsidRPr="004D0065" w:rsidRDefault="00723639" w:rsidP="00975B8B">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rPr>
        <w:t>Tsiakiri</w:t>
      </w:r>
      <w:proofErr w:type="spellEnd"/>
      <w:r w:rsidRPr="004D0065">
        <w:rPr>
          <w:rFonts w:ascii="Arial" w:hAnsi="Arial" w:cs="Arial"/>
          <w:color w:val="000000" w:themeColor="text1"/>
          <w:sz w:val="22"/>
          <w:szCs w:val="22"/>
        </w:rPr>
        <w:t xml:space="preserve">, L., </w:t>
      </w:r>
      <w:r w:rsidR="00E2138A" w:rsidRPr="004D0065">
        <w:rPr>
          <w:rFonts w:ascii="Arial" w:hAnsi="Arial" w:cs="Arial"/>
          <w:color w:val="000000" w:themeColor="text1"/>
          <w:sz w:val="22"/>
          <w:szCs w:val="22"/>
        </w:rPr>
        <w:t>(</w:t>
      </w:r>
      <w:r w:rsidRPr="004D0065">
        <w:rPr>
          <w:rFonts w:ascii="Arial" w:hAnsi="Arial" w:cs="Arial"/>
          <w:color w:val="000000" w:themeColor="text1"/>
          <w:sz w:val="22"/>
          <w:szCs w:val="22"/>
        </w:rPr>
        <w:t>2025</w:t>
      </w:r>
      <w:r w:rsidR="00E2138A" w:rsidRPr="004D0065">
        <w:rPr>
          <w:rFonts w:ascii="Arial" w:hAnsi="Arial" w:cs="Arial"/>
          <w:color w:val="000000" w:themeColor="text1"/>
          <w:sz w:val="22"/>
          <w:szCs w:val="22"/>
        </w:rPr>
        <w:t>)</w:t>
      </w:r>
      <w:r w:rsidRPr="004D0065">
        <w:rPr>
          <w:rFonts w:ascii="Arial" w:hAnsi="Arial" w:cs="Arial"/>
          <w:color w:val="000000" w:themeColor="text1"/>
          <w:sz w:val="22"/>
          <w:szCs w:val="22"/>
        </w:rPr>
        <w:t>. Why a responsibility sensitive healthcare system is not disrespectful. </w:t>
      </w:r>
      <w:r w:rsidRPr="004D0065">
        <w:rPr>
          <w:rFonts w:ascii="Arial" w:hAnsi="Arial" w:cs="Arial"/>
          <w:i/>
          <w:iCs/>
          <w:color w:val="000000" w:themeColor="text1"/>
          <w:sz w:val="22"/>
          <w:szCs w:val="22"/>
        </w:rPr>
        <w:t>Medicine, Health Care and Philosophy</w:t>
      </w:r>
      <w:r w:rsidRPr="004D0065">
        <w:rPr>
          <w:rFonts w:ascii="Arial" w:hAnsi="Arial" w:cs="Arial"/>
          <w:color w:val="000000" w:themeColor="text1"/>
          <w:sz w:val="22"/>
          <w:szCs w:val="22"/>
        </w:rPr>
        <w:t>, </w:t>
      </w:r>
      <w:r w:rsidRPr="004D0065">
        <w:rPr>
          <w:rFonts w:ascii="Arial" w:hAnsi="Arial" w:cs="Arial"/>
          <w:i/>
          <w:iCs/>
          <w:color w:val="000000" w:themeColor="text1"/>
          <w:sz w:val="22"/>
          <w:szCs w:val="22"/>
        </w:rPr>
        <w:t>28</w:t>
      </w:r>
      <w:r w:rsidRPr="004D0065">
        <w:rPr>
          <w:rFonts w:ascii="Arial" w:hAnsi="Arial" w:cs="Arial"/>
          <w:color w:val="000000" w:themeColor="text1"/>
          <w:sz w:val="22"/>
          <w:szCs w:val="22"/>
        </w:rPr>
        <w:t xml:space="preserve">(2), pp.315-325. </w:t>
      </w:r>
      <w:hyperlink r:id="rId55" w:history="1">
        <w:r w:rsidRPr="004D0065">
          <w:rPr>
            <w:rStyle w:val="Hyperlink"/>
            <w:rFonts w:ascii="Arial" w:hAnsi="Arial" w:cs="Arial"/>
            <w:color w:val="000000" w:themeColor="text1"/>
            <w:sz w:val="22"/>
            <w:szCs w:val="22"/>
          </w:rPr>
          <w:t>https://doi.org/10.1007/s11019-025-10262-x</w:t>
        </w:r>
      </w:hyperlink>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t xml:space="preserve">HSSIB, (2022). </w:t>
      </w:r>
      <w:r w:rsidRPr="004D0065">
        <w:rPr>
          <w:rFonts w:ascii="Arial" w:hAnsi="Arial" w:cs="Arial"/>
          <w:i/>
          <w:iCs/>
          <w:color w:val="000000" w:themeColor="text1"/>
          <w:sz w:val="22"/>
          <w:szCs w:val="22"/>
        </w:rPr>
        <w:t>Unintentional overdose of morphine sulfate oral solution</w:t>
      </w:r>
      <w:r w:rsidRPr="004D0065">
        <w:rPr>
          <w:rFonts w:ascii="Arial" w:hAnsi="Arial" w:cs="Arial"/>
          <w:color w:val="000000" w:themeColor="text1"/>
          <w:sz w:val="22"/>
          <w:szCs w:val="22"/>
        </w:rPr>
        <w:t>. Available at: https://www.hssib.org.uk/patient-safety-investigations/unintentional-overdose-of-morphine-sulfate-oral-solution/investigation-report/ [Accessed on: 20th April 2026]</w:t>
      </w:r>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t xml:space="preserve">WHO, (2025). </w:t>
      </w:r>
      <w:r w:rsidRPr="004D0065">
        <w:rPr>
          <w:rFonts w:ascii="Arial" w:hAnsi="Arial" w:cs="Arial"/>
          <w:i/>
          <w:iCs/>
          <w:color w:val="000000" w:themeColor="text1"/>
          <w:sz w:val="22"/>
          <w:szCs w:val="22"/>
        </w:rPr>
        <w:t>Medication Without Harm</w:t>
      </w:r>
      <w:r w:rsidRPr="004D0065">
        <w:rPr>
          <w:rFonts w:ascii="Arial" w:hAnsi="Arial" w:cs="Arial"/>
          <w:color w:val="000000" w:themeColor="text1"/>
          <w:sz w:val="22"/>
          <w:szCs w:val="22"/>
        </w:rPr>
        <w:t>. Available at: https://www.who.int/initiatives/medication-without-harm [Accessed on: 20th April 2026]</w:t>
      </w:r>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t xml:space="preserve">WHO, (2023). </w:t>
      </w:r>
      <w:r w:rsidRPr="004D0065">
        <w:rPr>
          <w:rFonts w:ascii="Arial" w:hAnsi="Arial" w:cs="Arial"/>
          <w:i/>
          <w:iCs/>
          <w:color w:val="000000" w:themeColor="text1"/>
          <w:sz w:val="22"/>
          <w:szCs w:val="22"/>
        </w:rPr>
        <w:t>Patient safety</w:t>
      </w:r>
      <w:r w:rsidRPr="004D0065">
        <w:rPr>
          <w:rFonts w:ascii="Arial" w:hAnsi="Arial" w:cs="Arial"/>
          <w:color w:val="000000" w:themeColor="text1"/>
          <w:sz w:val="22"/>
          <w:szCs w:val="22"/>
        </w:rPr>
        <w:t>. Available at: https://www.who.int/news-room/fact-sheets/detail/patient-safety [Accessed on: 20th April 2026]</w:t>
      </w:r>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lastRenderedPageBreak/>
        <w:t xml:space="preserve">GOV, (2025). </w:t>
      </w:r>
      <w:r w:rsidRPr="004D0065">
        <w:rPr>
          <w:rFonts w:ascii="Arial" w:hAnsi="Arial" w:cs="Arial"/>
          <w:i/>
          <w:iCs/>
          <w:color w:val="000000" w:themeColor="text1"/>
          <w:sz w:val="22"/>
          <w:szCs w:val="22"/>
        </w:rPr>
        <w:t>Review of patient safety across the health and care landscape</w:t>
      </w:r>
      <w:r w:rsidRPr="004D0065">
        <w:rPr>
          <w:rFonts w:ascii="Arial" w:hAnsi="Arial" w:cs="Arial"/>
          <w:color w:val="000000" w:themeColor="text1"/>
          <w:sz w:val="22"/>
          <w:szCs w:val="22"/>
        </w:rPr>
        <w:t>. Available at: https://www.gov.uk/government/publications/review-of-patient-safety-across-the-health-and-care-landscape/review-of-patient-safety-across-the-health-and-care-landscape [Accessed on: 20th April 2026]</w:t>
      </w:r>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shd w:val="clear" w:color="auto" w:fill="FFFFFF"/>
        </w:rPr>
        <w:t xml:space="preserve">Sutherland, A., Gerrard, W.S., Patel, A., Randall, M. and Weston, E., 2022. The impact of drug error reduction software on preventing harmful adverse drug events in England: a retrospective database study. </w:t>
      </w:r>
      <w:r w:rsidRPr="004D0065">
        <w:rPr>
          <w:rFonts w:ascii="Arial" w:hAnsi="Arial" w:cs="Arial"/>
          <w:i/>
          <w:iCs/>
          <w:color w:val="000000" w:themeColor="text1"/>
          <w:sz w:val="22"/>
          <w:szCs w:val="22"/>
          <w:shd w:val="clear" w:color="auto" w:fill="FFFFFF"/>
        </w:rPr>
        <w:t>BMJ Open Quality</w:t>
      </w:r>
      <w:r w:rsidRPr="004D0065">
        <w:rPr>
          <w:rFonts w:ascii="Arial" w:hAnsi="Arial" w:cs="Arial"/>
          <w:color w:val="000000" w:themeColor="text1"/>
          <w:sz w:val="22"/>
          <w:szCs w:val="22"/>
          <w:shd w:val="clear" w:color="auto" w:fill="FFFFFF"/>
        </w:rPr>
        <w:t xml:space="preserve">, </w:t>
      </w:r>
      <w:r w:rsidRPr="004D0065">
        <w:rPr>
          <w:rFonts w:ascii="Arial" w:hAnsi="Arial" w:cs="Arial"/>
          <w:i/>
          <w:iCs/>
          <w:color w:val="000000" w:themeColor="text1"/>
          <w:sz w:val="22"/>
          <w:szCs w:val="22"/>
          <w:shd w:val="clear" w:color="auto" w:fill="FFFFFF"/>
        </w:rPr>
        <w:t>11</w:t>
      </w:r>
      <w:r w:rsidRPr="004D0065">
        <w:rPr>
          <w:rFonts w:ascii="Arial" w:hAnsi="Arial" w:cs="Arial"/>
          <w:color w:val="000000" w:themeColor="text1"/>
          <w:sz w:val="22"/>
          <w:szCs w:val="22"/>
          <w:shd w:val="clear" w:color="auto" w:fill="FFFFFF"/>
        </w:rPr>
        <w:t>(3).</w:t>
      </w:r>
      <w:r w:rsidRPr="004D0065">
        <w:rPr>
          <w:rFonts w:ascii="Arial" w:hAnsi="Arial" w:cs="Arial"/>
          <w:color w:val="000000" w:themeColor="text1"/>
          <w:sz w:val="22"/>
          <w:szCs w:val="22"/>
        </w:rPr>
        <w:t xml:space="preserve"> </w:t>
      </w:r>
      <w:hyperlink r:id="rId56" w:history="1">
        <w:r w:rsidRPr="004D0065">
          <w:rPr>
            <w:rStyle w:val="Hyperlink"/>
            <w:rFonts w:ascii="Arial" w:hAnsi="Arial" w:cs="Arial"/>
            <w:color w:val="000000" w:themeColor="text1"/>
            <w:sz w:val="22"/>
            <w:szCs w:val="22"/>
          </w:rPr>
          <w:t>http://dx.doi.org/10.1136/bmjoq-2021-001708</w:t>
        </w:r>
      </w:hyperlink>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proofErr w:type="spellStart"/>
      <w:r w:rsidRPr="004D0065">
        <w:rPr>
          <w:rFonts w:ascii="Arial" w:hAnsi="Arial" w:cs="Arial"/>
          <w:color w:val="000000" w:themeColor="text1"/>
          <w:sz w:val="22"/>
          <w:szCs w:val="22"/>
          <w:shd w:val="clear" w:color="auto" w:fill="FFFFFF"/>
        </w:rPr>
        <w:t>Alrowily</w:t>
      </w:r>
      <w:proofErr w:type="spellEnd"/>
      <w:r w:rsidRPr="004D0065">
        <w:rPr>
          <w:rFonts w:ascii="Arial" w:hAnsi="Arial" w:cs="Arial"/>
          <w:color w:val="000000" w:themeColor="text1"/>
          <w:sz w:val="22"/>
          <w:szCs w:val="22"/>
          <w:shd w:val="clear" w:color="auto" w:fill="FFFFFF"/>
        </w:rPr>
        <w:t xml:space="preserve">, A., </w:t>
      </w:r>
      <w:proofErr w:type="spellStart"/>
      <w:r w:rsidRPr="004D0065">
        <w:rPr>
          <w:rFonts w:ascii="Arial" w:hAnsi="Arial" w:cs="Arial"/>
          <w:color w:val="000000" w:themeColor="text1"/>
          <w:sz w:val="22"/>
          <w:szCs w:val="22"/>
          <w:shd w:val="clear" w:color="auto" w:fill="FFFFFF"/>
        </w:rPr>
        <w:t>Alfaraidy</w:t>
      </w:r>
      <w:proofErr w:type="spellEnd"/>
      <w:r w:rsidRPr="004D0065">
        <w:rPr>
          <w:rFonts w:ascii="Arial" w:hAnsi="Arial" w:cs="Arial"/>
          <w:color w:val="000000" w:themeColor="text1"/>
          <w:sz w:val="22"/>
          <w:szCs w:val="22"/>
          <w:shd w:val="clear" w:color="auto" w:fill="FFFFFF"/>
        </w:rPr>
        <w:t xml:space="preserve">, K., Almutairi, S., Alamri, A., </w:t>
      </w:r>
      <w:proofErr w:type="spellStart"/>
      <w:r w:rsidRPr="004D0065">
        <w:rPr>
          <w:rFonts w:ascii="Arial" w:hAnsi="Arial" w:cs="Arial"/>
          <w:color w:val="000000" w:themeColor="text1"/>
          <w:sz w:val="22"/>
          <w:szCs w:val="22"/>
          <w:shd w:val="clear" w:color="auto" w:fill="FFFFFF"/>
        </w:rPr>
        <w:t>Alrowily</w:t>
      </w:r>
      <w:proofErr w:type="spellEnd"/>
      <w:r w:rsidRPr="004D0065">
        <w:rPr>
          <w:rFonts w:ascii="Arial" w:hAnsi="Arial" w:cs="Arial"/>
          <w:color w:val="000000" w:themeColor="text1"/>
          <w:sz w:val="22"/>
          <w:szCs w:val="22"/>
          <w:shd w:val="clear" w:color="auto" w:fill="FFFFFF"/>
        </w:rPr>
        <w:t xml:space="preserve">, W., Abutaleb, M., </w:t>
      </w:r>
      <w:proofErr w:type="spellStart"/>
      <w:r w:rsidRPr="004D0065">
        <w:rPr>
          <w:rFonts w:ascii="Arial" w:hAnsi="Arial" w:cs="Arial"/>
          <w:color w:val="000000" w:themeColor="text1"/>
          <w:sz w:val="22"/>
          <w:szCs w:val="22"/>
          <w:shd w:val="clear" w:color="auto" w:fill="FFFFFF"/>
        </w:rPr>
        <w:t>Zaitoun</w:t>
      </w:r>
      <w:proofErr w:type="spellEnd"/>
      <w:r w:rsidRPr="004D0065">
        <w:rPr>
          <w:rFonts w:ascii="Arial" w:hAnsi="Arial" w:cs="Arial"/>
          <w:color w:val="000000" w:themeColor="text1"/>
          <w:sz w:val="22"/>
          <w:szCs w:val="22"/>
          <w:shd w:val="clear" w:color="auto" w:fill="FFFFFF"/>
        </w:rPr>
        <w:t xml:space="preserve">, M., </w:t>
      </w:r>
      <w:proofErr w:type="spellStart"/>
      <w:r w:rsidRPr="004D0065">
        <w:rPr>
          <w:rFonts w:ascii="Arial" w:hAnsi="Arial" w:cs="Arial"/>
          <w:color w:val="000000" w:themeColor="text1"/>
          <w:sz w:val="22"/>
          <w:szCs w:val="22"/>
          <w:shd w:val="clear" w:color="auto" w:fill="FFFFFF"/>
        </w:rPr>
        <w:t>Sarawi</w:t>
      </w:r>
      <w:proofErr w:type="spellEnd"/>
      <w:r w:rsidRPr="004D0065">
        <w:rPr>
          <w:rFonts w:ascii="Arial" w:hAnsi="Arial" w:cs="Arial"/>
          <w:color w:val="000000" w:themeColor="text1"/>
          <w:sz w:val="22"/>
          <w:szCs w:val="22"/>
          <w:shd w:val="clear" w:color="auto" w:fill="FFFFFF"/>
        </w:rPr>
        <w:t xml:space="preserve">, W. and </w:t>
      </w:r>
      <w:proofErr w:type="spellStart"/>
      <w:r w:rsidRPr="004D0065">
        <w:rPr>
          <w:rFonts w:ascii="Arial" w:hAnsi="Arial" w:cs="Arial"/>
          <w:color w:val="000000" w:themeColor="text1"/>
          <w:sz w:val="22"/>
          <w:szCs w:val="22"/>
          <w:shd w:val="clear" w:color="auto" w:fill="FFFFFF"/>
        </w:rPr>
        <w:t>Aljead</w:t>
      </w:r>
      <w:proofErr w:type="spellEnd"/>
      <w:r w:rsidRPr="004D0065">
        <w:rPr>
          <w:rFonts w:ascii="Arial" w:hAnsi="Arial" w:cs="Arial"/>
          <w:color w:val="000000" w:themeColor="text1"/>
          <w:sz w:val="22"/>
          <w:szCs w:val="22"/>
          <w:shd w:val="clear" w:color="auto" w:fill="FFFFFF"/>
        </w:rPr>
        <w:t xml:space="preserve">, M., 2025. High-risk medication errors: Insight from the UK National Reporting and learning system. </w:t>
      </w:r>
      <w:r w:rsidRPr="004D0065">
        <w:rPr>
          <w:rFonts w:ascii="Arial" w:hAnsi="Arial" w:cs="Arial"/>
          <w:i/>
          <w:iCs/>
          <w:color w:val="000000" w:themeColor="text1"/>
          <w:sz w:val="22"/>
          <w:szCs w:val="22"/>
          <w:shd w:val="clear" w:color="auto" w:fill="FFFFFF"/>
        </w:rPr>
        <w:t>Exploratory Research in Clinical and Social Pharmacy</w:t>
      </w:r>
      <w:r w:rsidRPr="004D0065">
        <w:rPr>
          <w:rFonts w:ascii="Arial" w:hAnsi="Arial" w:cs="Arial"/>
          <w:color w:val="000000" w:themeColor="text1"/>
          <w:sz w:val="22"/>
          <w:szCs w:val="22"/>
          <w:shd w:val="clear" w:color="auto" w:fill="FFFFFF"/>
        </w:rPr>
        <w:t xml:space="preserve">, </w:t>
      </w:r>
      <w:r w:rsidRPr="004D0065">
        <w:rPr>
          <w:rFonts w:ascii="Arial" w:hAnsi="Arial" w:cs="Arial"/>
          <w:i/>
          <w:iCs/>
          <w:color w:val="000000" w:themeColor="text1"/>
          <w:sz w:val="22"/>
          <w:szCs w:val="22"/>
          <w:shd w:val="clear" w:color="auto" w:fill="FFFFFF"/>
        </w:rPr>
        <w:t>17</w:t>
      </w:r>
      <w:r w:rsidRPr="004D0065">
        <w:rPr>
          <w:rFonts w:ascii="Arial" w:hAnsi="Arial" w:cs="Arial"/>
          <w:color w:val="000000" w:themeColor="text1"/>
          <w:sz w:val="22"/>
          <w:szCs w:val="22"/>
          <w:shd w:val="clear" w:color="auto" w:fill="FFFFFF"/>
        </w:rPr>
        <w:t>, p.100531.</w:t>
      </w:r>
      <w:r w:rsidRPr="004D0065">
        <w:rPr>
          <w:rFonts w:ascii="Arial" w:hAnsi="Arial" w:cs="Arial"/>
          <w:color w:val="000000" w:themeColor="text1"/>
          <w:sz w:val="22"/>
          <w:szCs w:val="22"/>
        </w:rPr>
        <w:t xml:space="preserve">  </w:t>
      </w:r>
      <w:hyperlink r:id="rId57" w:history="1">
        <w:r w:rsidRPr="004D0065">
          <w:rPr>
            <w:rStyle w:val="Hyperlink"/>
            <w:rFonts w:ascii="Arial" w:hAnsi="Arial" w:cs="Arial"/>
            <w:color w:val="000000" w:themeColor="text1"/>
            <w:sz w:val="22"/>
            <w:szCs w:val="22"/>
          </w:rPr>
          <w:t>https://doi.org/10.1016/j.rcsop.2024.100531</w:t>
        </w:r>
      </w:hyperlink>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shd w:val="clear" w:color="auto" w:fill="FFFFFF"/>
        </w:rPr>
        <w:t xml:space="preserve">Brabcova, I., </w:t>
      </w:r>
      <w:proofErr w:type="spellStart"/>
      <w:r w:rsidRPr="004D0065">
        <w:rPr>
          <w:rFonts w:ascii="Arial" w:hAnsi="Arial" w:cs="Arial"/>
          <w:color w:val="000000" w:themeColor="text1"/>
          <w:sz w:val="22"/>
          <w:szCs w:val="22"/>
          <w:shd w:val="clear" w:color="auto" w:fill="FFFFFF"/>
        </w:rPr>
        <w:t>Hajduchová</w:t>
      </w:r>
      <w:proofErr w:type="spellEnd"/>
      <w:r w:rsidRPr="004D0065">
        <w:rPr>
          <w:rFonts w:ascii="Arial" w:hAnsi="Arial" w:cs="Arial"/>
          <w:color w:val="000000" w:themeColor="text1"/>
          <w:sz w:val="22"/>
          <w:szCs w:val="22"/>
          <w:shd w:val="clear" w:color="auto" w:fill="FFFFFF"/>
        </w:rPr>
        <w:t xml:space="preserve">, H., </w:t>
      </w:r>
      <w:proofErr w:type="spellStart"/>
      <w:r w:rsidRPr="004D0065">
        <w:rPr>
          <w:rFonts w:ascii="Arial" w:hAnsi="Arial" w:cs="Arial"/>
          <w:color w:val="000000" w:themeColor="text1"/>
          <w:sz w:val="22"/>
          <w:szCs w:val="22"/>
          <w:shd w:val="clear" w:color="auto" w:fill="FFFFFF"/>
        </w:rPr>
        <w:t>Tóthová</w:t>
      </w:r>
      <w:proofErr w:type="spellEnd"/>
      <w:r w:rsidRPr="004D0065">
        <w:rPr>
          <w:rFonts w:ascii="Arial" w:hAnsi="Arial" w:cs="Arial"/>
          <w:color w:val="000000" w:themeColor="text1"/>
          <w:sz w:val="22"/>
          <w:szCs w:val="22"/>
          <w:shd w:val="clear" w:color="auto" w:fill="FFFFFF"/>
        </w:rPr>
        <w:t xml:space="preserve">, V., Chloubová, I., Červený, M., Prokešová, R., Malý, J., Vlček, J., </w:t>
      </w:r>
      <w:proofErr w:type="spellStart"/>
      <w:r w:rsidRPr="004D0065">
        <w:rPr>
          <w:rFonts w:ascii="Arial" w:hAnsi="Arial" w:cs="Arial"/>
          <w:color w:val="000000" w:themeColor="text1"/>
          <w:sz w:val="22"/>
          <w:szCs w:val="22"/>
          <w:shd w:val="clear" w:color="auto" w:fill="FFFFFF"/>
        </w:rPr>
        <w:t>Doseděl</w:t>
      </w:r>
      <w:proofErr w:type="spellEnd"/>
      <w:r w:rsidRPr="004D0065">
        <w:rPr>
          <w:rFonts w:ascii="Arial" w:hAnsi="Arial" w:cs="Arial"/>
          <w:color w:val="000000" w:themeColor="text1"/>
          <w:sz w:val="22"/>
          <w:szCs w:val="22"/>
          <w:shd w:val="clear" w:color="auto" w:fill="FFFFFF"/>
        </w:rPr>
        <w:t xml:space="preserve">, M., </w:t>
      </w:r>
      <w:proofErr w:type="spellStart"/>
      <w:r w:rsidRPr="004D0065">
        <w:rPr>
          <w:rFonts w:ascii="Arial" w:hAnsi="Arial" w:cs="Arial"/>
          <w:color w:val="000000" w:themeColor="text1"/>
          <w:sz w:val="22"/>
          <w:szCs w:val="22"/>
          <w:shd w:val="clear" w:color="auto" w:fill="FFFFFF"/>
        </w:rPr>
        <w:t>Malá-Ládová</w:t>
      </w:r>
      <w:proofErr w:type="spellEnd"/>
      <w:r w:rsidRPr="004D0065">
        <w:rPr>
          <w:rFonts w:ascii="Arial" w:hAnsi="Arial" w:cs="Arial"/>
          <w:color w:val="000000" w:themeColor="text1"/>
          <w:sz w:val="22"/>
          <w:szCs w:val="22"/>
          <w:shd w:val="clear" w:color="auto" w:fill="FFFFFF"/>
        </w:rPr>
        <w:t xml:space="preserve">, K. and Tesař, O., 2023. Reasons for medication administration errors, barriers to reporting them and the number of reported medication administration errors from the perspective of nurses: A cross-sectional survey. </w:t>
      </w:r>
      <w:r w:rsidRPr="004D0065">
        <w:rPr>
          <w:rFonts w:ascii="Arial" w:hAnsi="Arial" w:cs="Arial"/>
          <w:i/>
          <w:iCs/>
          <w:color w:val="000000" w:themeColor="text1"/>
          <w:sz w:val="22"/>
          <w:szCs w:val="22"/>
          <w:shd w:val="clear" w:color="auto" w:fill="FFFFFF"/>
        </w:rPr>
        <w:t>Nurse education in practice</w:t>
      </w:r>
      <w:r w:rsidRPr="004D0065">
        <w:rPr>
          <w:rFonts w:ascii="Arial" w:hAnsi="Arial" w:cs="Arial"/>
          <w:color w:val="000000" w:themeColor="text1"/>
          <w:sz w:val="22"/>
          <w:szCs w:val="22"/>
          <w:shd w:val="clear" w:color="auto" w:fill="FFFFFF"/>
        </w:rPr>
        <w:t xml:space="preserve">, </w:t>
      </w:r>
      <w:r w:rsidRPr="004D0065">
        <w:rPr>
          <w:rFonts w:ascii="Arial" w:hAnsi="Arial" w:cs="Arial"/>
          <w:i/>
          <w:iCs/>
          <w:color w:val="000000" w:themeColor="text1"/>
          <w:sz w:val="22"/>
          <w:szCs w:val="22"/>
          <w:shd w:val="clear" w:color="auto" w:fill="FFFFFF"/>
        </w:rPr>
        <w:t>70</w:t>
      </w:r>
      <w:r w:rsidRPr="004D0065">
        <w:rPr>
          <w:rFonts w:ascii="Arial" w:hAnsi="Arial" w:cs="Arial"/>
          <w:color w:val="000000" w:themeColor="text1"/>
          <w:sz w:val="22"/>
          <w:szCs w:val="22"/>
          <w:shd w:val="clear" w:color="auto" w:fill="FFFFFF"/>
        </w:rPr>
        <w:t>, p.103642.</w:t>
      </w:r>
      <w:r w:rsidRPr="004D0065">
        <w:rPr>
          <w:rFonts w:ascii="Arial" w:hAnsi="Arial" w:cs="Arial"/>
          <w:color w:val="000000" w:themeColor="text1"/>
          <w:sz w:val="22"/>
          <w:szCs w:val="22"/>
        </w:rPr>
        <w:t xml:space="preserve"> </w:t>
      </w:r>
      <w:hyperlink r:id="rId58" w:history="1">
        <w:r w:rsidRPr="004D0065">
          <w:rPr>
            <w:rStyle w:val="Hyperlink"/>
            <w:rFonts w:ascii="Arial" w:hAnsi="Arial" w:cs="Arial"/>
            <w:color w:val="000000" w:themeColor="text1"/>
            <w:sz w:val="22"/>
            <w:szCs w:val="22"/>
          </w:rPr>
          <w:t>https://doi.org/10.1016/j.nepr.2023.103642</w:t>
        </w:r>
      </w:hyperlink>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rPr>
        <w:t xml:space="preserve">NHS, (2026). </w:t>
      </w:r>
      <w:r w:rsidRPr="004D0065">
        <w:rPr>
          <w:rFonts w:ascii="Arial" w:hAnsi="Arial" w:cs="Arial"/>
          <w:i/>
          <w:iCs/>
          <w:color w:val="000000" w:themeColor="text1"/>
          <w:sz w:val="22"/>
          <w:szCs w:val="22"/>
        </w:rPr>
        <w:t>Medication safety</w:t>
      </w:r>
      <w:r w:rsidRPr="004D0065">
        <w:rPr>
          <w:rFonts w:ascii="Arial" w:hAnsi="Arial" w:cs="Arial"/>
          <w:color w:val="000000" w:themeColor="text1"/>
          <w:sz w:val="22"/>
          <w:szCs w:val="22"/>
        </w:rPr>
        <w:t>. Available at: https://www.england.nhs.uk/patient-safety/patient-safety-insight/patient-safety-alerts/enduring-standards/standards-that-remain-valid/medication-safety/ [Accessed on: 20th April 2026]</w:t>
      </w:r>
    </w:p>
    <w:p w:rsidR="00975B8B" w:rsidRPr="004D0065" w:rsidRDefault="00975B8B" w:rsidP="00975B8B">
      <w:pPr>
        <w:pStyle w:val="NormalWeb"/>
        <w:numPr>
          <w:ilvl w:val="0"/>
          <w:numId w:val="5"/>
        </w:numPr>
        <w:spacing w:line="360" w:lineRule="auto"/>
        <w:rPr>
          <w:rFonts w:ascii="Arial" w:hAnsi="Arial" w:cs="Arial"/>
          <w:color w:val="000000" w:themeColor="text1"/>
          <w:sz w:val="22"/>
          <w:szCs w:val="22"/>
          <w:lang w:val="en-GB"/>
        </w:rPr>
      </w:pPr>
      <w:r w:rsidRPr="004D0065">
        <w:rPr>
          <w:rFonts w:ascii="Arial" w:hAnsi="Arial" w:cs="Arial"/>
          <w:color w:val="000000" w:themeColor="text1"/>
          <w:sz w:val="22"/>
          <w:szCs w:val="22"/>
          <w:shd w:val="clear" w:color="auto" w:fill="FFFFFF"/>
        </w:rPr>
        <w:t xml:space="preserve">Mulac, A., </w:t>
      </w:r>
      <w:proofErr w:type="spellStart"/>
      <w:r w:rsidRPr="004D0065">
        <w:rPr>
          <w:rFonts w:ascii="Arial" w:hAnsi="Arial" w:cs="Arial"/>
          <w:color w:val="000000" w:themeColor="text1"/>
          <w:sz w:val="22"/>
          <w:szCs w:val="22"/>
          <w:shd w:val="clear" w:color="auto" w:fill="FFFFFF"/>
        </w:rPr>
        <w:t>Hagesaether</w:t>
      </w:r>
      <w:proofErr w:type="spellEnd"/>
      <w:r w:rsidRPr="004D0065">
        <w:rPr>
          <w:rFonts w:ascii="Arial" w:hAnsi="Arial" w:cs="Arial"/>
          <w:color w:val="000000" w:themeColor="text1"/>
          <w:sz w:val="22"/>
          <w:szCs w:val="22"/>
          <w:shd w:val="clear" w:color="auto" w:fill="FFFFFF"/>
        </w:rPr>
        <w:t xml:space="preserve">, E. and </w:t>
      </w:r>
      <w:proofErr w:type="spellStart"/>
      <w:r w:rsidRPr="004D0065">
        <w:rPr>
          <w:rFonts w:ascii="Arial" w:hAnsi="Arial" w:cs="Arial"/>
          <w:color w:val="000000" w:themeColor="text1"/>
          <w:sz w:val="22"/>
          <w:szCs w:val="22"/>
          <w:shd w:val="clear" w:color="auto" w:fill="FFFFFF"/>
        </w:rPr>
        <w:t>Granas</w:t>
      </w:r>
      <w:proofErr w:type="spellEnd"/>
      <w:r w:rsidRPr="004D0065">
        <w:rPr>
          <w:rFonts w:ascii="Arial" w:hAnsi="Arial" w:cs="Arial"/>
          <w:color w:val="000000" w:themeColor="text1"/>
          <w:sz w:val="22"/>
          <w:szCs w:val="22"/>
          <w:shd w:val="clear" w:color="auto" w:fill="FFFFFF"/>
        </w:rPr>
        <w:t xml:space="preserve">, A.G., 2022. Medication dose calculation errors and other numeracy mishaps in hospitals: analysis of the nature and enablers of incident reports. </w:t>
      </w:r>
      <w:r w:rsidRPr="004D0065">
        <w:rPr>
          <w:rFonts w:ascii="Arial" w:hAnsi="Arial" w:cs="Arial"/>
          <w:i/>
          <w:iCs/>
          <w:color w:val="000000" w:themeColor="text1"/>
          <w:sz w:val="22"/>
          <w:szCs w:val="22"/>
          <w:shd w:val="clear" w:color="auto" w:fill="FFFFFF"/>
        </w:rPr>
        <w:t>Journal of Advanced Nursing</w:t>
      </w:r>
      <w:r w:rsidRPr="004D0065">
        <w:rPr>
          <w:rFonts w:ascii="Arial" w:hAnsi="Arial" w:cs="Arial"/>
          <w:color w:val="000000" w:themeColor="text1"/>
          <w:sz w:val="22"/>
          <w:szCs w:val="22"/>
          <w:shd w:val="clear" w:color="auto" w:fill="FFFFFF"/>
        </w:rPr>
        <w:t xml:space="preserve">, </w:t>
      </w:r>
      <w:r w:rsidRPr="004D0065">
        <w:rPr>
          <w:rFonts w:ascii="Arial" w:hAnsi="Arial" w:cs="Arial"/>
          <w:i/>
          <w:iCs/>
          <w:color w:val="000000" w:themeColor="text1"/>
          <w:sz w:val="22"/>
          <w:szCs w:val="22"/>
          <w:shd w:val="clear" w:color="auto" w:fill="FFFFFF"/>
        </w:rPr>
        <w:t>78</w:t>
      </w:r>
      <w:r w:rsidRPr="004D0065">
        <w:rPr>
          <w:rFonts w:ascii="Arial" w:hAnsi="Arial" w:cs="Arial"/>
          <w:color w:val="000000" w:themeColor="text1"/>
          <w:sz w:val="22"/>
          <w:szCs w:val="22"/>
          <w:shd w:val="clear" w:color="auto" w:fill="FFFFFF"/>
        </w:rPr>
        <w:t>(1), pp.224-238.</w:t>
      </w:r>
      <w:r w:rsidRPr="004D0065">
        <w:rPr>
          <w:rFonts w:ascii="Arial" w:hAnsi="Arial" w:cs="Arial"/>
          <w:color w:val="000000" w:themeColor="text1"/>
          <w:sz w:val="22"/>
          <w:szCs w:val="22"/>
        </w:rPr>
        <w:t xml:space="preserve"> https://doi.org/10.1111/jan.15072</w:t>
      </w:r>
    </w:p>
    <w:p w:rsidR="00744FA8" w:rsidRPr="004D0065" w:rsidRDefault="00744FA8" w:rsidP="009231B1">
      <w:pPr>
        <w:pStyle w:val="NormalWeb"/>
        <w:spacing w:line="360" w:lineRule="auto"/>
        <w:ind w:left="360"/>
        <w:rPr>
          <w:rFonts w:ascii="Arial" w:hAnsi="Arial" w:cs="Arial"/>
          <w:color w:val="000000" w:themeColor="text1"/>
          <w:sz w:val="22"/>
          <w:szCs w:val="22"/>
          <w:lang w:val="en-GB"/>
        </w:rPr>
      </w:pPr>
    </w:p>
    <w:p w:rsidR="00AC36EB" w:rsidRPr="004D0065" w:rsidRDefault="00AC36EB" w:rsidP="009231B1">
      <w:pPr>
        <w:spacing w:line="360" w:lineRule="auto"/>
        <w:rPr>
          <w:rFonts w:cs="Arial"/>
          <w:color w:val="000000" w:themeColor="text1"/>
          <w:lang w:val="en-GB"/>
        </w:rPr>
      </w:pPr>
    </w:p>
    <w:sectPr w:rsidR="00AC36EB" w:rsidRPr="004D0065" w:rsidSect="0054211E">
      <w:headerReference w:type="default" r:id="rId59"/>
      <w:footerReference w:type="default" r:id="rId6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B1167" w:rsidRDefault="001B1167" w:rsidP="004D1390">
      <w:pPr>
        <w:spacing w:after="0" w:line="240" w:lineRule="auto"/>
      </w:pPr>
      <w:r>
        <w:separator/>
      </w:r>
    </w:p>
  </w:endnote>
  <w:endnote w:type="continuationSeparator" w:id="0">
    <w:p w:rsidR="001B1167" w:rsidRDefault="001B1167" w:rsidP="004D13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84250"/>
      <w:docPartObj>
        <w:docPartGallery w:val="Page Numbers (Bottom of Page)"/>
        <w:docPartUnique/>
      </w:docPartObj>
    </w:sdtPr>
    <w:sdtEndPr>
      <w:rPr>
        <w:color w:val="7F7F7F" w:themeColor="background1" w:themeShade="7F"/>
        <w:spacing w:val="60"/>
      </w:rPr>
    </w:sdtEndPr>
    <w:sdtContent>
      <w:p w:rsidR="00C23CAC" w:rsidRDefault="00A2756A">
        <w:pPr>
          <w:pStyle w:val="Footer"/>
          <w:pBdr>
            <w:top w:val="single" w:sz="4" w:space="1" w:color="D9D9D9" w:themeColor="background1" w:themeShade="D9"/>
          </w:pBdr>
          <w:rPr>
            <w:b/>
          </w:rPr>
        </w:pPr>
        <w:r w:rsidRPr="00A2756A">
          <w:fldChar w:fldCharType="begin"/>
        </w:r>
        <w:r w:rsidR="007774B6">
          <w:instrText xml:space="preserve"> PAGE   \* MERGEFORMAT </w:instrText>
        </w:r>
        <w:r w:rsidRPr="00A2756A">
          <w:fldChar w:fldCharType="separate"/>
        </w:r>
        <w:r w:rsidR="0062598F" w:rsidRPr="0062598F">
          <w:rPr>
            <w:b/>
            <w:noProof/>
          </w:rPr>
          <w:t>19</w:t>
        </w:r>
        <w:r>
          <w:rPr>
            <w:b/>
            <w:noProof/>
          </w:rPr>
          <w:fldChar w:fldCharType="end"/>
        </w:r>
        <w:r w:rsidR="00C23CAC">
          <w:rPr>
            <w:b/>
          </w:rPr>
          <w:t xml:space="preserve"> | </w:t>
        </w:r>
        <w:r w:rsidR="00C23CAC">
          <w:rPr>
            <w:color w:val="7F7F7F" w:themeColor="background1" w:themeShade="7F"/>
            <w:spacing w:val="60"/>
          </w:rPr>
          <w:t>Page</w:t>
        </w:r>
      </w:p>
    </w:sdtContent>
  </w:sdt>
  <w:p w:rsidR="00C23CAC" w:rsidRDefault="00C23C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B1167" w:rsidRDefault="001B1167" w:rsidP="004D1390">
      <w:pPr>
        <w:spacing w:after="0" w:line="240" w:lineRule="auto"/>
      </w:pPr>
      <w:r>
        <w:separator/>
      </w:r>
    </w:p>
  </w:footnote>
  <w:footnote w:type="continuationSeparator" w:id="0">
    <w:p w:rsidR="001B1167" w:rsidRDefault="001B1167" w:rsidP="004D139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1390" w:rsidRDefault="004D1390" w:rsidP="004D1390">
    <w:pPr>
      <w:pStyle w:val="Header"/>
      <w:jc w:val="right"/>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2150FF"/>
    <w:multiLevelType w:val="hybridMultilevel"/>
    <w:tmpl w:val="1284CDB6"/>
    <w:lvl w:ilvl="0" w:tplc="030C4FD6">
      <w:start w:val="1"/>
      <w:numFmt w:val="decimal"/>
      <w:lvlText w:val="%1."/>
      <w:lvlJc w:val="left"/>
      <w:pPr>
        <w:ind w:left="-3780" w:hanging="360"/>
      </w:pPr>
      <w:rPr>
        <w:rFonts w:hint="default"/>
        <w:b/>
      </w:rPr>
    </w:lvl>
    <w:lvl w:ilvl="1" w:tplc="04090019" w:tentative="1">
      <w:start w:val="1"/>
      <w:numFmt w:val="lowerLetter"/>
      <w:lvlText w:val="%2."/>
      <w:lvlJc w:val="left"/>
      <w:pPr>
        <w:ind w:left="-306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1620" w:hanging="360"/>
      </w:pPr>
    </w:lvl>
    <w:lvl w:ilvl="4" w:tplc="04090019" w:tentative="1">
      <w:start w:val="1"/>
      <w:numFmt w:val="lowerLetter"/>
      <w:lvlText w:val="%5."/>
      <w:lvlJc w:val="left"/>
      <w:pPr>
        <w:ind w:left="-900" w:hanging="360"/>
      </w:pPr>
    </w:lvl>
    <w:lvl w:ilvl="5" w:tplc="0409001B" w:tentative="1">
      <w:start w:val="1"/>
      <w:numFmt w:val="lowerRoman"/>
      <w:lvlText w:val="%6."/>
      <w:lvlJc w:val="right"/>
      <w:pPr>
        <w:ind w:left="-180" w:hanging="180"/>
      </w:pPr>
    </w:lvl>
    <w:lvl w:ilvl="6" w:tplc="0409000F" w:tentative="1">
      <w:start w:val="1"/>
      <w:numFmt w:val="decimal"/>
      <w:lvlText w:val="%7."/>
      <w:lvlJc w:val="left"/>
      <w:pPr>
        <w:ind w:left="540" w:hanging="360"/>
      </w:pPr>
    </w:lvl>
    <w:lvl w:ilvl="7" w:tplc="04090019" w:tentative="1">
      <w:start w:val="1"/>
      <w:numFmt w:val="lowerLetter"/>
      <w:lvlText w:val="%8."/>
      <w:lvlJc w:val="left"/>
      <w:pPr>
        <w:ind w:left="1260" w:hanging="360"/>
      </w:pPr>
    </w:lvl>
    <w:lvl w:ilvl="8" w:tplc="0409001B" w:tentative="1">
      <w:start w:val="1"/>
      <w:numFmt w:val="lowerRoman"/>
      <w:lvlText w:val="%9."/>
      <w:lvlJc w:val="right"/>
      <w:pPr>
        <w:ind w:left="1980" w:hanging="180"/>
      </w:pPr>
    </w:lvl>
  </w:abstractNum>
  <w:abstractNum w:abstractNumId="1">
    <w:nsid w:val="272730B4"/>
    <w:multiLevelType w:val="hybridMultilevel"/>
    <w:tmpl w:val="BF4A2F1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nsid w:val="40972022"/>
    <w:multiLevelType w:val="hybridMultilevel"/>
    <w:tmpl w:val="C062E330"/>
    <w:lvl w:ilvl="0" w:tplc="3B4E6DD2">
      <w:start w:val="1"/>
      <w:numFmt w:val="decimal"/>
      <w:pStyle w:val="Heading1"/>
      <w:lvlText w:val="%1."/>
      <w:lvlJc w:val="left"/>
      <w:pPr>
        <w:ind w:left="9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98A7CAD"/>
    <w:multiLevelType w:val="hybridMultilevel"/>
    <w:tmpl w:val="BF4A2F1E"/>
    <w:lvl w:ilvl="0" w:tplc="030C4FD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4B66698"/>
    <w:multiLevelType w:val="hybridMultilevel"/>
    <w:tmpl w:val="34D40F88"/>
    <w:lvl w:ilvl="0" w:tplc="030C4FD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DE12CD9"/>
    <w:multiLevelType w:val="hybridMultilevel"/>
    <w:tmpl w:val="E5B4EA0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1DA0389"/>
    <w:multiLevelType w:val="hybridMultilevel"/>
    <w:tmpl w:val="BF4A2F1E"/>
    <w:lvl w:ilvl="0" w:tplc="030C4FD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4"/>
  </w:num>
  <w:num w:numId="4">
    <w:abstractNumId w:val="0"/>
  </w:num>
  <w:num w:numId="5">
    <w:abstractNumId w:val="6"/>
  </w:num>
  <w:num w:numId="6">
    <w:abstractNumId w:val="2"/>
    <w:lvlOverride w:ilvl="0">
      <w:startOverride w:val="1"/>
    </w:lvlOverride>
  </w:num>
  <w:num w:numId="7">
    <w:abstractNumId w:val="3"/>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8194"/>
  </w:hdrShapeDefaults>
  <w:footnotePr>
    <w:footnote w:id="-1"/>
    <w:footnote w:id="0"/>
  </w:footnotePr>
  <w:endnotePr>
    <w:endnote w:id="-1"/>
    <w:endnote w:id="0"/>
  </w:endnotePr>
  <w:compat/>
  <w:rsids>
    <w:rsidRoot w:val="000F2FD4"/>
    <w:rsid w:val="0001114F"/>
    <w:rsid w:val="0003084F"/>
    <w:rsid w:val="0005235A"/>
    <w:rsid w:val="00092D66"/>
    <w:rsid w:val="000B3CA4"/>
    <w:rsid w:val="000B3EA9"/>
    <w:rsid w:val="000C72FC"/>
    <w:rsid w:val="000F2FD4"/>
    <w:rsid w:val="000F7C48"/>
    <w:rsid w:val="00101D91"/>
    <w:rsid w:val="00106700"/>
    <w:rsid w:val="0011449C"/>
    <w:rsid w:val="00133EC7"/>
    <w:rsid w:val="00164EAC"/>
    <w:rsid w:val="0017052B"/>
    <w:rsid w:val="001778BC"/>
    <w:rsid w:val="001912CE"/>
    <w:rsid w:val="001A0DE8"/>
    <w:rsid w:val="001B1167"/>
    <w:rsid w:val="001C4657"/>
    <w:rsid w:val="001E1BD5"/>
    <w:rsid w:val="001F06C6"/>
    <w:rsid w:val="001F2056"/>
    <w:rsid w:val="002024CC"/>
    <w:rsid w:val="0024283D"/>
    <w:rsid w:val="00280206"/>
    <w:rsid w:val="00290A9E"/>
    <w:rsid w:val="002D204C"/>
    <w:rsid w:val="002D71E6"/>
    <w:rsid w:val="00303DB1"/>
    <w:rsid w:val="003217F8"/>
    <w:rsid w:val="003468AB"/>
    <w:rsid w:val="00362F60"/>
    <w:rsid w:val="00382117"/>
    <w:rsid w:val="003B23CA"/>
    <w:rsid w:val="003E63A1"/>
    <w:rsid w:val="00436403"/>
    <w:rsid w:val="00436C2C"/>
    <w:rsid w:val="00454612"/>
    <w:rsid w:val="004A2E2C"/>
    <w:rsid w:val="004C25C5"/>
    <w:rsid w:val="004C64A9"/>
    <w:rsid w:val="004D0065"/>
    <w:rsid w:val="004D1390"/>
    <w:rsid w:val="004F54BA"/>
    <w:rsid w:val="00505506"/>
    <w:rsid w:val="005255D2"/>
    <w:rsid w:val="0054211E"/>
    <w:rsid w:val="00553C76"/>
    <w:rsid w:val="005549FA"/>
    <w:rsid w:val="00591E42"/>
    <w:rsid w:val="005C74BC"/>
    <w:rsid w:val="005C7E72"/>
    <w:rsid w:val="005E0BAB"/>
    <w:rsid w:val="005F07F7"/>
    <w:rsid w:val="005F1DE4"/>
    <w:rsid w:val="005F58A8"/>
    <w:rsid w:val="00620013"/>
    <w:rsid w:val="0062598F"/>
    <w:rsid w:val="00663E37"/>
    <w:rsid w:val="00681F61"/>
    <w:rsid w:val="006970F6"/>
    <w:rsid w:val="006C0CEB"/>
    <w:rsid w:val="006C303B"/>
    <w:rsid w:val="006C66EE"/>
    <w:rsid w:val="006E025D"/>
    <w:rsid w:val="006E2542"/>
    <w:rsid w:val="00723639"/>
    <w:rsid w:val="00744FA8"/>
    <w:rsid w:val="007460B6"/>
    <w:rsid w:val="00775CB8"/>
    <w:rsid w:val="007774B6"/>
    <w:rsid w:val="00777B05"/>
    <w:rsid w:val="0079775F"/>
    <w:rsid w:val="007C76EB"/>
    <w:rsid w:val="007E0D8D"/>
    <w:rsid w:val="007E1FB0"/>
    <w:rsid w:val="007F259A"/>
    <w:rsid w:val="00872CD1"/>
    <w:rsid w:val="0088176C"/>
    <w:rsid w:val="008833D0"/>
    <w:rsid w:val="008C3B4E"/>
    <w:rsid w:val="008C64CA"/>
    <w:rsid w:val="008E584F"/>
    <w:rsid w:val="008F07BA"/>
    <w:rsid w:val="008F37D6"/>
    <w:rsid w:val="009231B1"/>
    <w:rsid w:val="00931E7A"/>
    <w:rsid w:val="00975B8B"/>
    <w:rsid w:val="00981EAC"/>
    <w:rsid w:val="009825D4"/>
    <w:rsid w:val="009A67E1"/>
    <w:rsid w:val="009E02AA"/>
    <w:rsid w:val="009F31B9"/>
    <w:rsid w:val="009F3BBB"/>
    <w:rsid w:val="009F653E"/>
    <w:rsid w:val="00A2756A"/>
    <w:rsid w:val="00A46259"/>
    <w:rsid w:val="00A53806"/>
    <w:rsid w:val="00A85CD2"/>
    <w:rsid w:val="00AB0988"/>
    <w:rsid w:val="00AC36EB"/>
    <w:rsid w:val="00AE178D"/>
    <w:rsid w:val="00AE1FE4"/>
    <w:rsid w:val="00AF538A"/>
    <w:rsid w:val="00B000B1"/>
    <w:rsid w:val="00B00149"/>
    <w:rsid w:val="00B02400"/>
    <w:rsid w:val="00B23AC6"/>
    <w:rsid w:val="00B355F7"/>
    <w:rsid w:val="00B54037"/>
    <w:rsid w:val="00B5569C"/>
    <w:rsid w:val="00B65022"/>
    <w:rsid w:val="00B77A67"/>
    <w:rsid w:val="00B80D90"/>
    <w:rsid w:val="00B948ED"/>
    <w:rsid w:val="00BF7AA7"/>
    <w:rsid w:val="00C22202"/>
    <w:rsid w:val="00C23CAC"/>
    <w:rsid w:val="00C256B6"/>
    <w:rsid w:val="00C42E38"/>
    <w:rsid w:val="00C44FE3"/>
    <w:rsid w:val="00C5011E"/>
    <w:rsid w:val="00C82B8A"/>
    <w:rsid w:val="00C87D90"/>
    <w:rsid w:val="00C90AD5"/>
    <w:rsid w:val="00C90D0C"/>
    <w:rsid w:val="00CB6B84"/>
    <w:rsid w:val="00CD3A6C"/>
    <w:rsid w:val="00CF0BB7"/>
    <w:rsid w:val="00CF11CB"/>
    <w:rsid w:val="00CF7705"/>
    <w:rsid w:val="00CF7837"/>
    <w:rsid w:val="00D34B63"/>
    <w:rsid w:val="00D46166"/>
    <w:rsid w:val="00D57229"/>
    <w:rsid w:val="00D57E42"/>
    <w:rsid w:val="00D915B6"/>
    <w:rsid w:val="00D93B30"/>
    <w:rsid w:val="00DA6EAA"/>
    <w:rsid w:val="00DB08C0"/>
    <w:rsid w:val="00DD1625"/>
    <w:rsid w:val="00DF5FE0"/>
    <w:rsid w:val="00DF652F"/>
    <w:rsid w:val="00E0242C"/>
    <w:rsid w:val="00E134EF"/>
    <w:rsid w:val="00E154CA"/>
    <w:rsid w:val="00E2138A"/>
    <w:rsid w:val="00E32949"/>
    <w:rsid w:val="00E43357"/>
    <w:rsid w:val="00E6462A"/>
    <w:rsid w:val="00E71C87"/>
    <w:rsid w:val="00E9268D"/>
    <w:rsid w:val="00E94422"/>
    <w:rsid w:val="00ED0FDB"/>
    <w:rsid w:val="00EE182A"/>
    <w:rsid w:val="00EE1EA4"/>
    <w:rsid w:val="00EE2A3B"/>
    <w:rsid w:val="00EE6F0A"/>
    <w:rsid w:val="00F15381"/>
    <w:rsid w:val="00F15AA0"/>
    <w:rsid w:val="00F32D77"/>
    <w:rsid w:val="00F65D7C"/>
    <w:rsid w:val="00FA21BC"/>
    <w:rsid w:val="00FD550B"/>
    <w:rsid w:val="00FF065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4422"/>
    <w:pPr>
      <w:jc w:val="both"/>
    </w:pPr>
    <w:rPr>
      <w:rFonts w:ascii="Arial" w:hAnsi="Arial"/>
    </w:rPr>
  </w:style>
  <w:style w:type="paragraph" w:styleId="Heading1">
    <w:name w:val="heading 1"/>
    <w:basedOn w:val="ListParagraph"/>
    <w:next w:val="Normal"/>
    <w:link w:val="Heading1Char"/>
    <w:uiPriority w:val="9"/>
    <w:qFormat/>
    <w:rsid w:val="00101D91"/>
    <w:pPr>
      <w:numPr>
        <w:numId w:val="1"/>
      </w:numPr>
      <w:spacing w:line="360" w:lineRule="auto"/>
      <w:ind w:left="720"/>
      <w:outlineLvl w:val="0"/>
    </w:pPr>
    <w:rPr>
      <w:rFonts w:ascii="Times New Roman" w:hAnsi="Times New Roman" w:cs="Times New Roman"/>
      <w:b/>
      <w:sz w:val="28"/>
      <w:szCs w:val="28"/>
    </w:rPr>
  </w:style>
  <w:style w:type="paragraph" w:styleId="Heading2">
    <w:name w:val="heading 2"/>
    <w:basedOn w:val="Normal"/>
    <w:next w:val="Normal"/>
    <w:link w:val="Heading2Char"/>
    <w:uiPriority w:val="9"/>
    <w:unhideWhenUsed/>
    <w:qFormat/>
    <w:rsid w:val="000F2F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D91"/>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0F2FD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0F2FD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F2FD4"/>
    <w:rPr>
      <w:b/>
      <w:bCs/>
    </w:rPr>
  </w:style>
  <w:style w:type="paragraph" w:styleId="Title">
    <w:name w:val="Title"/>
    <w:basedOn w:val="Normal"/>
    <w:next w:val="Normal"/>
    <w:link w:val="TitleChar"/>
    <w:uiPriority w:val="10"/>
    <w:qFormat/>
    <w:rsid w:val="000F2F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2FD4"/>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0F2FD4"/>
    <w:rPr>
      <w:i/>
      <w:iCs/>
    </w:rPr>
  </w:style>
  <w:style w:type="paragraph" w:styleId="TOCHeading">
    <w:name w:val="TOC Heading"/>
    <w:basedOn w:val="Heading1"/>
    <w:next w:val="Normal"/>
    <w:uiPriority w:val="39"/>
    <w:unhideWhenUsed/>
    <w:qFormat/>
    <w:rsid w:val="000F2FD4"/>
    <w:pPr>
      <w:outlineLvl w:val="9"/>
    </w:pPr>
  </w:style>
  <w:style w:type="paragraph" w:styleId="TOC1">
    <w:name w:val="toc 1"/>
    <w:basedOn w:val="Normal"/>
    <w:next w:val="Normal"/>
    <w:autoRedefine/>
    <w:uiPriority w:val="39"/>
    <w:unhideWhenUsed/>
    <w:rsid w:val="000F2FD4"/>
    <w:pPr>
      <w:spacing w:after="100"/>
    </w:pPr>
  </w:style>
  <w:style w:type="paragraph" w:styleId="TOC2">
    <w:name w:val="toc 2"/>
    <w:basedOn w:val="Normal"/>
    <w:next w:val="Normal"/>
    <w:autoRedefine/>
    <w:uiPriority w:val="39"/>
    <w:unhideWhenUsed/>
    <w:rsid w:val="000F2FD4"/>
    <w:pPr>
      <w:spacing w:after="100"/>
      <w:ind w:left="220"/>
    </w:pPr>
  </w:style>
  <w:style w:type="character" w:styleId="Hyperlink">
    <w:name w:val="Hyperlink"/>
    <w:basedOn w:val="DefaultParagraphFont"/>
    <w:uiPriority w:val="99"/>
    <w:unhideWhenUsed/>
    <w:rsid w:val="000F2FD4"/>
    <w:rPr>
      <w:color w:val="0563C1" w:themeColor="hyperlink"/>
      <w:u w:val="single"/>
    </w:rPr>
  </w:style>
  <w:style w:type="table" w:styleId="TableGrid">
    <w:name w:val="Table Grid"/>
    <w:basedOn w:val="TableNormal"/>
    <w:uiPriority w:val="59"/>
    <w:rsid w:val="00872CD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872CD1"/>
    <w:pPr>
      <w:spacing w:after="200" w:line="240" w:lineRule="auto"/>
    </w:pPr>
    <w:rPr>
      <w:i/>
      <w:iCs/>
      <w:color w:val="44546A" w:themeColor="text2"/>
      <w:sz w:val="18"/>
      <w:szCs w:val="18"/>
    </w:rPr>
  </w:style>
  <w:style w:type="paragraph" w:styleId="ListParagraph">
    <w:name w:val="List Paragraph"/>
    <w:basedOn w:val="Normal"/>
    <w:uiPriority w:val="34"/>
    <w:qFormat/>
    <w:rsid w:val="00AC36EB"/>
    <w:pPr>
      <w:ind w:left="720"/>
      <w:contextualSpacing/>
    </w:pPr>
  </w:style>
  <w:style w:type="paragraph" w:styleId="Header">
    <w:name w:val="header"/>
    <w:basedOn w:val="Normal"/>
    <w:link w:val="HeaderChar"/>
    <w:uiPriority w:val="99"/>
    <w:unhideWhenUsed/>
    <w:rsid w:val="004D13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1390"/>
  </w:style>
  <w:style w:type="paragraph" w:styleId="Footer">
    <w:name w:val="footer"/>
    <w:basedOn w:val="Normal"/>
    <w:link w:val="FooterChar"/>
    <w:uiPriority w:val="99"/>
    <w:unhideWhenUsed/>
    <w:rsid w:val="004D13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1390"/>
  </w:style>
  <w:style w:type="table" w:customStyle="1" w:styleId="TableGrid0">
    <w:name w:val="TableGrid"/>
    <w:rsid w:val="00CF7705"/>
    <w:pPr>
      <w:spacing w:after="0" w:line="240" w:lineRule="auto"/>
    </w:pPr>
    <w:rPr>
      <w:rFonts w:eastAsiaTheme="minorEastAsia"/>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1705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52B"/>
    <w:rPr>
      <w:rFonts w:ascii="Tahoma" w:hAnsi="Tahoma" w:cs="Tahoma"/>
      <w:sz w:val="16"/>
      <w:szCs w:val="16"/>
    </w:rPr>
  </w:style>
  <w:style w:type="character" w:customStyle="1" w:styleId="UnresolvedMention1">
    <w:name w:val="Unresolved Mention1"/>
    <w:basedOn w:val="DefaultParagraphFont"/>
    <w:uiPriority w:val="99"/>
    <w:semiHidden/>
    <w:unhideWhenUsed/>
    <w:rsid w:val="0005235A"/>
    <w:rPr>
      <w:color w:val="605E5C"/>
      <w:shd w:val="clear" w:color="auto" w:fill="E1DFDD"/>
    </w:rPr>
  </w:style>
  <w:style w:type="character" w:styleId="CommentReference">
    <w:name w:val="annotation reference"/>
    <w:basedOn w:val="DefaultParagraphFont"/>
    <w:uiPriority w:val="99"/>
    <w:semiHidden/>
    <w:unhideWhenUsed/>
    <w:rsid w:val="00B80D90"/>
    <w:rPr>
      <w:sz w:val="16"/>
      <w:szCs w:val="16"/>
    </w:rPr>
  </w:style>
  <w:style w:type="character" w:customStyle="1" w:styleId="UnresolvedMention">
    <w:name w:val="Unresolved Mention"/>
    <w:basedOn w:val="DefaultParagraphFont"/>
    <w:uiPriority w:val="99"/>
    <w:semiHidden/>
    <w:unhideWhenUsed/>
    <w:rsid w:val="00975B8B"/>
    <w:rPr>
      <w:color w:val="605E5C"/>
      <w:shd w:val="clear" w:color="auto" w:fill="E1DFDD"/>
    </w:rPr>
  </w:style>
  <w:style w:type="character" w:styleId="FollowedHyperlink">
    <w:name w:val="FollowedHyperlink"/>
    <w:basedOn w:val="DefaultParagraphFont"/>
    <w:uiPriority w:val="99"/>
    <w:semiHidden/>
    <w:unhideWhenUsed/>
    <w:rsid w:val="004D0065"/>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6493797">
      <w:bodyDiv w:val="1"/>
      <w:marLeft w:val="0"/>
      <w:marRight w:val="0"/>
      <w:marTop w:val="0"/>
      <w:marBottom w:val="0"/>
      <w:divBdr>
        <w:top w:val="none" w:sz="0" w:space="0" w:color="auto"/>
        <w:left w:val="none" w:sz="0" w:space="0" w:color="auto"/>
        <w:bottom w:val="none" w:sz="0" w:space="0" w:color="auto"/>
        <w:right w:val="none" w:sz="0" w:space="0" w:color="auto"/>
      </w:divBdr>
    </w:div>
    <w:div w:id="74208241">
      <w:bodyDiv w:val="1"/>
      <w:marLeft w:val="0"/>
      <w:marRight w:val="0"/>
      <w:marTop w:val="0"/>
      <w:marBottom w:val="0"/>
      <w:divBdr>
        <w:top w:val="none" w:sz="0" w:space="0" w:color="auto"/>
        <w:left w:val="none" w:sz="0" w:space="0" w:color="auto"/>
        <w:bottom w:val="none" w:sz="0" w:space="0" w:color="auto"/>
        <w:right w:val="none" w:sz="0" w:space="0" w:color="auto"/>
      </w:divBdr>
    </w:div>
    <w:div w:id="83185200">
      <w:bodyDiv w:val="1"/>
      <w:marLeft w:val="0"/>
      <w:marRight w:val="0"/>
      <w:marTop w:val="0"/>
      <w:marBottom w:val="0"/>
      <w:divBdr>
        <w:top w:val="none" w:sz="0" w:space="0" w:color="auto"/>
        <w:left w:val="none" w:sz="0" w:space="0" w:color="auto"/>
        <w:bottom w:val="none" w:sz="0" w:space="0" w:color="auto"/>
        <w:right w:val="none" w:sz="0" w:space="0" w:color="auto"/>
      </w:divBdr>
    </w:div>
    <w:div w:id="98064373">
      <w:bodyDiv w:val="1"/>
      <w:marLeft w:val="0"/>
      <w:marRight w:val="0"/>
      <w:marTop w:val="0"/>
      <w:marBottom w:val="0"/>
      <w:divBdr>
        <w:top w:val="none" w:sz="0" w:space="0" w:color="auto"/>
        <w:left w:val="none" w:sz="0" w:space="0" w:color="auto"/>
        <w:bottom w:val="none" w:sz="0" w:space="0" w:color="auto"/>
        <w:right w:val="none" w:sz="0" w:space="0" w:color="auto"/>
      </w:divBdr>
    </w:div>
    <w:div w:id="144131195">
      <w:bodyDiv w:val="1"/>
      <w:marLeft w:val="0"/>
      <w:marRight w:val="0"/>
      <w:marTop w:val="0"/>
      <w:marBottom w:val="0"/>
      <w:divBdr>
        <w:top w:val="none" w:sz="0" w:space="0" w:color="auto"/>
        <w:left w:val="none" w:sz="0" w:space="0" w:color="auto"/>
        <w:bottom w:val="none" w:sz="0" w:space="0" w:color="auto"/>
        <w:right w:val="none" w:sz="0" w:space="0" w:color="auto"/>
      </w:divBdr>
    </w:div>
    <w:div w:id="176235016">
      <w:bodyDiv w:val="1"/>
      <w:marLeft w:val="0"/>
      <w:marRight w:val="0"/>
      <w:marTop w:val="0"/>
      <w:marBottom w:val="0"/>
      <w:divBdr>
        <w:top w:val="none" w:sz="0" w:space="0" w:color="auto"/>
        <w:left w:val="none" w:sz="0" w:space="0" w:color="auto"/>
        <w:bottom w:val="none" w:sz="0" w:space="0" w:color="auto"/>
        <w:right w:val="none" w:sz="0" w:space="0" w:color="auto"/>
      </w:divBdr>
    </w:div>
    <w:div w:id="217981954">
      <w:bodyDiv w:val="1"/>
      <w:marLeft w:val="0"/>
      <w:marRight w:val="0"/>
      <w:marTop w:val="0"/>
      <w:marBottom w:val="0"/>
      <w:divBdr>
        <w:top w:val="none" w:sz="0" w:space="0" w:color="auto"/>
        <w:left w:val="none" w:sz="0" w:space="0" w:color="auto"/>
        <w:bottom w:val="none" w:sz="0" w:space="0" w:color="auto"/>
        <w:right w:val="none" w:sz="0" w:space="0" w:color="auto"/>
      </w:divBdr>
    </w:div>
    <w:div w:id="288971206">
      <w:bodyDiv w:val="1"/>
      <w:marLeft w:val="0"/>
      <w:marRight w:val="0"/>
      <w:marTop w:val="0"/>
      <w:marBottom w:val="0"/>
      <w:divBdr>
        <w:top w:val="none" w:sz="0" w:space="0" w:color="auto"/>
        <w:left w:val="none" w:sz="0" w:space="0" w:color="auto"/>
        <w:bottom w:val="none" w:sz="0" w:space="0" w:color="auto"/>
        <w:right w:val="none" w:sz="0" w:space="0" w:color="auto"/>
      </w:divBdr>
    </w:div>
    <w:div w:id="319426506">
      <w:bodyDiv w:val="1"/>
      <w:marLeft w:val="0"/>
      <w:marRight w:val="0"/>
      <w:marTop w:val="0"/>
      <w:marBottom w:val="0"/>
      <w:divBdr>
        <w:top w:val="none" w:sz="0" w:space="0" w:color="auto"/>
        <w:left w:val="none" w:sz="0" w:space="0" w:color="auto"/>
        <w:bottom w:val="none" w:sz="0" w:space="0" w:color="auto"/>
        <w:right w:val="none" w:sz="0" w:space="0" w:color="auto"/>
      </w:divBdr>
    </w:div>
    <w:div w:id="320501269">
      <w:bodyDiv w:val="1"/>
      <w:marLeft w:val="0"/>
      <w:marRight w:val="0"/>
      <w:marTop w:val="0"/>
      <w:marBottom w:val="0"/>
      <w:divBdr>
        <w:top w:val="none" w:sz="0" w:space="0" w:color="auto"/>
        <w:left w:val="none" w:sz="0" w:space="0" w:color="auto"/>
        <w:bottom w:val="none" w:sz="0" w:space="0" w:color="auto"/>
        <w:right w:val="none" w:sz="0" w:space="0" w:color="auto"/>
      </w:divBdr>
    </w:div>
    <w:div w:id="326056452">
      <w:bodyDiv w:val="1"/>
      <w:marLeft w:val="0"/>
      <w:marRight w:val="0"/>
      <w:marTop w:val="0"/>
      <w:marBottom w:val="0"/>
      <w:divBdr>
        <w:top w:val="none" w:sz="0" w:space="0" w:color="auto"/>
        <w:left w:val="none" w:sz="0" w:space="0" w:color="auto"/>
        <w:bottom w:val="none" w:sz="0" w:space="0" w:color="auto"/>
        <w:right w:val="none" w:sz="0" w:space="0" w:color="auto"/>
      </w:divBdr>
    </w:div>
    <w:div w:id="362294364">
      <w:bodyDiv w:val="1"/>
      <w:marLeft w:val="0"/>
      <w:marRight w:val="0"/>
      <w:marTop w:val="0"/>
      <w:marBottom w:val="0"/>
      <w:divBdr>
        <w:top w:val="none" w:sz="0" w:space="0" w:color="auto"/>
        <w:left w:val="none" w:sz="0" w:space="0" w:color="auto"/>
        <w:bottom w:val="none" w:sz="0" w:space="0" w:color="auto"/>
        <w:right w:val="none" w:sz="0" w:space="0" w:color="auto"/>
      </w:divBdr>
    </w:div>
    <w:div w:id="389035604">
      <w:bodyDiv w:val="1"/>
      <w:marLeft w:val="0"/>
      <w:marRight w:val="0"/>
      <w:marTop w:val="0"/>
      <w:marBottom w:val="0"/>
      <w:divBdr>
        <w:top w:val="none" w:sz="0" w:space="0" w:color="auto"/>
        <w:left w:val="none" w:sz="0" w:space="0" w:color="auto"/>
        <w:bottom w:val="none" w:sz="0" w:space="0" w:color="auto"/>
        <w:right w:val="none" w:sz="0" w:space="0" w:color="auto"/>
      </w:divBdr>
    </w:div>
    <w:div w:id="420879195">
      <w:bodyDiv w:val="1"/>
      <w:marLeft w:val="0"/>
      <w:marRight w:val="0"/>
      <w:marTop w:val="0"/>
      <w:marBottom w:val="0"/>
      <w:divBdr>
        <w:top w:val="none" w:sz="0" w:space="0" w:color="auto"/>
        <w:left w:val="none" w:sz="0" w:space="0" w:color="auto"/>
        <w:bottom w:val="none" w:sz="0" w:space="0" w:color="auto"/>
        <w:right w:val="none" w:sz="0" w:space="0" w:color="auto"/>
      </w:divBdr>
    </w:div>
    <w:div w:id="443155762">
      <w:bodyDiv w:val="1"/>
      <w:marLeft w:val="0"/>
      <w:marRight w:val="0"/>
      <w:marTop w:val="0"/>
      <w:marBottom w:val="0"/>
      <w:divBdr>
        <w:top w:val="none" w:sz="0" w:space="0" w:color="auto"/>
        <w:left w:val="none" w:sz="0" w:space="0" w:color="auto"/>
        <w:bottom w:val="none" w:sz="0" w:space="0" w:color="auto"/>
        <w:right w:val="none" w:sz="0" w:space="0" w:color="auto"/>
      </w:divBdr>
    </w:div>
    <w:div w:id="469634280">
      <w:bodyDiv w:val="1"/>
      <w:marLeft w:val="0"/>
      <w:marRight w:val="0"/>
      <w:marTop w:val="0"/>
      <w:marBottom w:val="0"/>
      <w:divBdr>
        <w:top w:val="none" w:sz="0" w:space="0" w:color="auto"/>
        <w:left w:val="none" w:sz="0" w:space="0" w:color="auto"/>
        <w:bottom w:val="none" w:sz="0" w:space="0" w:color="auto"/>
        <w:right w:val="none" w:sz="0" w:space="0" w:color="auto"/>
      </w:divBdr>
    </w:div>
    <w:div w:id="510534431">
      <w:bodyDiv w:val="1"/>
      <w:marLeft w:val="0"/>
      <w:marRight w:val="0"/>
      <w:marTop w:val="0"/>
      <w:marBottom w:val="0"/>
      <w:divBdr>
        <w:top w:val="none" w:sz="0" w:space="0" w:color="auto"/>
        <w:left w:val="none" w:sz="0" w:space="0" w:color="auto"/>
        <w:bottom w:val="none" w:sz="0" w:space="0" w:color="auto"/>
        <w:right w:val="none" w:sz="0" w:space="0" w:color="auto"/>
      </w:divBdr>
    </w:div>
    <w:div w:id="547573111">
      <w:bodyDiv w:val="1"/>
      <w:marLeft w:val="0"/>
      <w:marRight w:val="0"/>
      <w:marTop w:val="0"/>
      <w:marBottom w:val="0"/>
      <w:divBdr>
        <w:top w:val="none" w:sz="0" w:space="0" w:color="auto"/>
        <w:left w:val="none" w:sz="0" w:space="0" w:color="auto"/>
        <w:bottom w:val="none" w:sz="0" w:space="0" w:color="auto"/>
        <w:right w:val="none" w:sz="0" w:space="0" w:color="auto"/>
      </w:divBdr>
    </w:div>
    <w:div w:id="548223211">
      <w:bodyDiv w:val="1"/>
      <w:marLeft w:val="0"/>
      <w:marRight w:val="0"/>
      <w:marTop w:val="0"/>
      <w:marBottom w:val="0"/>
      <w:divBdr>
        <w:top w:val="none" w:sz="0" w:space="0" w:color="auto"/>
        <w:left w:val="none" w:sz="0" w:space="0" w:color="auto"/>
        <w:bottom w:val="none" w:sz="0" w:space="0" w:color="auto"/>
        <w:right w:val="none" w:sz="0" w:space="0" w:color="auto"/>
      </w:divBdr>
    </w:div>
    <w:div w:id="628508787">
      <w:bodyDiv w:val="1"/>
      <w:marLeft w:val="0"/>
      <w:marRight w:val="0"/>
      <w:marTop w:val="0"/>
      <w:marBottom w:val="0"/>
      <w:divBdr>
        <w:top w:val="none" w:sz="0" w:space="0" w:color="auto"/>
        <w:left w:val="none" w:sz="0" w:space="0" w:color="auto"/>
        <w:bottom w:val="none" w:sz="0" w:space="0" w:color="auto"/>
        <w:right w:val="none" w:sz="0" w:space="0" w:color="auto"/>
      </w:divBdr>
    </w:div>
    <w:div w:id="645090699">
      <w:bodyDiv w:val="1"/>
      <w:marLeft w:val="0"/>
      <w:marRight w:val="0"/>
      <w:marTop w:val="0"/>
      <w:marBottom w:val="0"/>
      <w:divBdr>
        <w:top w:val="none" w:sz="0" w:space="0" w:color="auto"/>
        <w:left w:val="none" w:sz="0" w:space="0" w:color="auto"/>
        <w:bottom w:val="none" w:sz="0" w:space="0" w:color="auto"/>
        <w:right w:val="none" w:sz="0" w:space="0" w:color="auto"/>
      </w:divBdr>
    </w:div>
    <w:div w:id="670448507">
      <w:bodyDiv w:val="1"/>
      <w:marLeft w:val="0"/>
      <w:marRight w:val="0"/>
      <w:marTop w:val="0"/>
      <w:marBottom w:val="0"/>
      <w:divBdr>
        <w:top w:val="none" w:sz="0" w:space="0" w:color="auto"/>
        <w:left w:val="none" w:sz="0" w:space="0" w:color="auto"/>
        <w:bottom w:val="none" w:sz="0" w:space="0" w:color="auto"/>
        <w:right w:val="none" w:sz="0" w:space="0" w:color="auto"/>
      </w:divBdr>
    </w:div>
    <w:div w:id="698507953">
      <w:bodyDiv w:val="1"/>
      <w:marLeft w:val="0"/>
      <w:marRight w:val="0"/>
      <w:marTop w:val="0"/>
      <w:marBottom w:val="0"/>
      <w:divBdr>
        <w:top w:val="none" w:sz="0" w:space="0" w:color="auto"/>
        <w:left w:val="none" w:sz="0" w:space="0" w:color="auto"/>
        <w:bottom w:val="none" w:sz="0" w:space="0" w:color="auto"/>
        <w:right w:val="none" w:sz="0" w:space="0" w:color="auto"/>
      </w:divBdr>
    </w:div>
    <w:div w:id="772285503">
      <w:bodyDiv w:val="1"/>
      <w:marLeft w:val="0"/>
      <w:marRight w:val="0"/>
      <w:marTop w:val="0"/>
      <w:marBottom w:val="0"/>
      <w:divBdr>
        <w:top w:val="none" w:sz="0" w:space="0" w:color="auto"/>
        <w:left w:val="none" w:sz="0" w:space="0" w:color="auto"/>
        <w:bottom w:val="none" w:sz="0" w:space="0" w:color="auto"/>
        <w:right w:val="none" w:sz="0" w:space="0" w:color="auto"/>
      </w:divBdr>
    </w:div>
    <w:div w:id="812254572">
      <w:bodyDiv w:val="1"/>
      <w:marLeft w:val="0"/>
      <w:marRight w:val="0"/>
      <w:marTop w:val="0"/>
      <w:marBottom w:val="0"/>
      <w:divBdr>
        <w:top w:val="none" w:sz="0" w:space="0" w:color="auto"/>
        <w:left w:val="none" w:sz="0" w:space="0" w:color="auto"/>
        <w:bottom w:val="none" w:sz="0" w:space="0" w:color="auto"/>
        <w:right w:val="none" w:sz="0" w:space="0" w:color="auto"/>
      </w:divBdr>
    </w:div>
    <w:div w:id="847447811">
      <w:bodyDiv w:val="1"/>
      <w:marLeft w:val="0"/>
      <w:marRight w:val="0"/>
      <w:marTop w:val="0"/>
      <w:marBottom w:val="0"/>
      <w:divBdr>
        <w:top w:val="none" w:sz="0" w:space="0" w:color="auto"/>
        <w:left w:val="none" w:sz="0" w:space="0" w:color="auto"/>
        <w:bottom w:val="none" w:sz="0" w:space="0" w:color="auto"/>
        <w:right w:val="none" w:sz="0" w:space="0" w:color="auto"/>
      </w:divBdr>
    </w:div>
    <w:div w:id="900287238">
      <w:bodyDiv w:val="1"/>
      <w:marLeft w:val="0"/>
      <w:marRight w:val="0"/>
      <w:marTop w:val="0"/>
      <w:marBottom w:val="0"/>
      <w:divBdr>
        <w:top w:val="none" w:sz="0" w:space="0" w:color="auto"/>
        <w:left w:val="none" w:sz="0" w:space="0" w:color="auto"/>
        <w:bottom w:val="none" w:sz="0" w:space="0" w:color="auto"/>
        <w:right w:val="none" w:sz="0" w:space="0" w:color="auto"/>
      </w:divBdr>
    </w:div>
    <w:div w:id="915434348">
      <w:bodyDiv w:val="1"/>
      <w:marLeft w:val="0"/>
      <w:marRight w:val="0"/>
      <w:marTop w:val="0"/>
      <w:marBottom w:val="0"/>
      <w:divBdr>
        <w:top w:val="none" w:sz="0" w:space="0" w:color="auto"/>
        <w:left w:val="none" w:sz="0" w:space="0" w:color="auto"/>
        <w:bottom w:val="none" w:sz="0" w:space="0" w:color="auto"/>
        <w:right w:val="none" w:sz="0" w:space="0" w:color="auto"/>
      </w:divBdr>
    </w:div>
    <w:div w:id="917978505">
      <w:bodyDiv w:val="1"/>
      <w:marLeft w:val="0"/>
      <w:marRight w:val="0"/>
      <w:marTop w:val="0"/>
      <w:marBottom w:val="0"/>
      <w:divBdr>
        <w:top w:val="none" w:sz="0" w:space="0" w:color="auto"/>
        <w:left w:val="none" w:sz="0" w:space="0" w:color="auto"/>
        <w:bottom w:val="none" w:sz="0" w:space="0" w:color="auto"/>
        <w:right w:val="none" w:sz="0" w:space="0" w:color="auto"/>
      </w:divBdr>
    </w:div>
    <w:div w:id="958298945">
      <w:bodyDiv w:val="1"/>
      <w:marLeft w:val="0"/>
      <w:marRight w:val="0"/>
      <w:marTop w:val="0"/>
      <w:marBottom w:val="0"/>
      <w:divBdr>
        <w:top w:val="none" w:sz="0" w:space="0" w:color="auto"/>
        <w:left w:val="none" w:sz="0" w:space="0" w:color="auto"/>
        <w:bottom w:val="none" w:sz="0" w:space="0" w:color="auto"/>
        <w:right w:val="none" w:sz="0" w:space="0" w:color="auto"/>
      </w:divBdr>
    </w:div>
    <w:div w:id="981421548">
      <w:bodyDiv w:val="1"/>
      <w:marLeft w:val="0"/>
      <w:marRight w:val="0"/>
      <w:marTop w:val="0"/>
      <w:marBottom w:val="0"/>
      <w:divBdr>
        <w:top w:val="none" w:sz="0" w:space="0" w:color="auto"/>
        <w:left w:val="none" w:sz="0" w:space="0" w:color="auto"/>
        <w:bottom w:val="none" w:sz="0" w:space="0" w:color="auto"/>
        <w:right w:val="none" w:sz="0" w:space="0" w:color="auto"/>
      </w:divBdr>
    </w:div>
    <w:div w:id="1014696619">
      <w:bodyDiv w:val="1"/>
      <w:marLeft w:val="0"/>
      <w:marRight w:val="0"/>
      <w:marTop w:val="0"/>
      <w:marBottom w:val="0"/>
      <w:divBdr>
        <w:top w:val="none" w:sz="0" w:space="0" w:color="auto"/>
        <w:left w:val="none" w:sz="0" w:space="0" w:color="auto"/>
        <w:bottom w:val="none" w:sz="0" w:space="0" w:color="auto"/>
        <w:right w:val="none" w:sz="0" w:space="0" w:color="auto"/>
      </w:divBdr>
    </w:div>
    <w:div w:id="1056513313">
      <w:bodyDiv w:val="1"/>
      <w:marLeft w:val="0"/>
      <w:marRight w:val="0"/>
      <w:marTop w:val="0"/>
      <w:marBottom w:val="0"/>
      <w:divBdr>
        <w:top w:val="none" w:sz="0" w:space="0" w:color="auto"/>
        <w:left w:val="none" w:sz="0" w:space="0" w:color="auto"/>
        <w:bottom w:val="none" w:sz="0" w:space="0" w:color="auto"/>
        <w:right w:val="none" w:sz="0" w:space="0" w:color="auto"/>
      </w:divBdr>
    </w:div>
    <w:div w:id="1162769073">
      <w:bodyDiv w:val="1"/>
      <w:marLeft w:val="0"/>
      <w:marRight w:val="0"/>
      <w:marTop w:val="0"/>
      <w:marBottom w:val="0"/>
      <w:divBdr>
        <w:top w:val="none" w:sz="0" w:space="0" w:color="auto"/>
        <w:left w:val="none" w:sz="0" w:space="0" w:color="auto"/>
        <w:bottom w:val="none" w:sz="0" w:space="0" w:color="auto"/>
        <w:right w:val="none" w:sz="0" w:space="0" w:color="auto"/>
      </w:divBdr>
    </w:div>
    <w:div w:id="1176967630">
      <w:bodyDiv w:val="1"/>
      <w:marLeft w:val="0"/>
      <w:marRight w:val="0"/>
      <w:marTop w:val="0"/>
      <w:marBottom w:val="0"/>
      <w:divBdr>
        <w:top w:val="none" w:sz="0" w:space="0" w:color="auto"/>
        <w:left w:val="none" w:sz="0" w:space="0" w:color="auto"/>
        <w:bottom w:val="none" w:sz="0" w:space="0" w:color="auto"/>
        <w:right w:val="none" w:sz="0" w:space="0" w:color="auto"/>
      </w:divBdr>
    </w:div>
    <w:div w:id="1215240680">
      <w:bodyDiv w:val="1"/>
      <w:marLeft w:val="0"/>
      <w:marRight w:val="0"/>
      <w:marTop w:val="0"/>
      <w:marBottom w:val="0"/>
      <w:divBdr>
        <w:top w:val="none" w:sz="0" w:space="0" w:color="auto"/>
        <w:left w:val="none" w:sz="0" w:space="0" w:color="auto"/>
        <w:bottom w:val="none" w:sz="0" w:space="0" w:color="auto"/>
        <w:right w:val="none" w:sz="0" w:space="0" w:color="auto"/>
      </w:divBdr>
    </w:div>
    <w:div w:id="1218009592">
      <w:bodyDiv w:val="1"/>
      <w:marLeft w:val="0"/>
      <w:marRight w:val="0"/>
      <w:marTop w:val="0"/>
      <w:marBottom w:val="0"/>
      <w:divBdr>
        <w:top w:val="none" w:sz="0" w:space="0" w:color="auto"/>
        <w:left w:val="none" w:sz="0" w:space="0" w:color="auto"/>
        <w:bottom w:val="none" w:sz="0" w:space="0" w:color="auto"/>
        <w:right w:val="none" w:sz="0" w:space="0" w:color="auto"/>
      </w:divBdr>
    </w:div>
    <w:div w:id="1238788782">
      <w:bodyDiv w:val="1"/>
      <w:marLeft w:val="0"/>
      <w:marRight w:val="0"/>
      <w:marTop w:val="0"/>
      <w:marBottom w:val="0"/>
      <w:divBdr>
        <w:top w:val="none" w:sz="0" w:space="0" w:color="auto"/>
        <w:left w:val="none" w:sz="0" w:space="0" w:color="auto"/>
        <w:bottom w:val="none" w:sz="0" w:space="0" w:color="auto"/>
        <w:right w:val="none" w:sz="0" w:space="0" w:color="auto"/>
      </w:divBdr>
    </w:div>
    <w:div w:id="1360936303">
      <w:bodyDiv w:val="1"/>
      <w:marLeft w:val="0"/>
      <w:marRight w:val="0"/>
      <w:marTop w:val="0"/>
      <w:marBottom w:val="0"/>
      <w:divBdr>
        <w:top w:val="none" w:sz="0" w:space="0" w:color="auto"/>
        <w:left w:val="none" w:sz="0" w:space="0" w:color="auto"/>
        <w:bottom w:val="none" w:sz="0" w:space="0" w:color="auto"/>
        <w:right w:val="none" w:sz="0" w:space="0" w:color="auto"/>
      </w:divBdr>
    </w:div>
    <w:div w:id="1386177852">
      <w:bodyDiv w:val="1"/>
      <w:marLeft w:val="0"/>
      <w:marRight w:val="0"/>
      <w:marTop w:val="0"/>
      <w:marBottom w:val="0"/>
      <w:divBdr>
        <w:top w:val="none" w:sz="0" w:space="0" w:color="auto"/>
        <w:left w:val="none" w:sz="0" w:space="0" w:color="auto"/>
        <w:bottom w:val="none" w:sz="0" w:space="0" w:color="auto"/>
        <w:right w:val="none" w:sz="0" w:space="0" w:color="auto"/>
      </w:divBdr>
    </w:div>
    <w:div w:id="1452171441">
      <w:bodyDiv w:val="1"/>
      <w:marLeft w:val="0"/>
      <w:marRight w:val="0"/>
      <w:marTop w:val="0"/>
      <w:marBottom w:val="0"/>
      <w:divBdr>
        <w:top w:val="none" w:sz="0" w:space="0" w:color="auto"/>
        <w:left w:val="none" w:sz="0" w:space="0" w:color="auto"/>
        <w:bottom w:val="none" w:sz="0" w:space="0" w:color="auto"/>
        <w:right w:val="none" w:sz="0" w:space="0" w:color="auto"/>
      </w:divBdr>
    </w:div>
    <w:div w:id="1520467694">
      <w:bodyDiv w:val="1"/>
      <w:marLeft w:val="0"/>
      <w:marRight w:val="0"/>
      <w:marTop w:val="0"/>
      <w:marBottom w:val="0"/>
      <w:divBdr>
        <w:top w:val="none" w:sz="0" w:space="0" w:color="auto"/>
        <w:left w:val="none" w:sz="0" w:space="0" w:color="auto"/>
        <w:bottom w:val="none" w:sz="0" w:space="0" w:color="auto"/>
        <w:right w:val="none" w:sz="0" w:space="0" w:color="auto"/>
      </w:divBdr>
    </w:div>
    <w:div w:id="1533226446">
      <w:bodyDiv w:val="1"/>
      <w:marLeft w:val="0"/>
      <w:marRight w:val="0"/>
      <w:marTop w:val="0"/>
      <w:marBottom w:val="0"/>
      <w:divBdr>
        <w:top w:val="none" w:sz="0" w:space="0" w:color="auto"/>
        <w:left w:val="none" w:sz="0" w:space="0" w:color="auto"/>
        <w:bottom w:val="none" w:sz="0" w:space="0" w:color="auto"/>
        <w:right w:val="none" w:sz="0" w:space="0" w:color="auto"/>
      </w:divBdr>
    </w:div>
    <w:div w:id="1555920460">
      <w:bodyDiv w:val="1"/>
      <w:marLeft w:val="0"/>
      <w:marRight w:val="0"/>
      <w:marTop w:val="0"/>
      <w:marBottom w:val="0"/>
      <w:divBdr>
        <w:top w:val="none" w:sz="0" w:space="0" w:color="auto"/>
        <w:left w:val="none" w:sz="0" w:space="0" w:color="auto"/>
        <w:bottom w:val="none" w:sz="0" w:space="0" w:color="auto"/>
        <w:right w:val="none" w:sz="0" w:space="0" w:color="auto"/>
      </w:divBdr>
    </w:div>
    <w:div w:id="1612275187">
      <w:bodyDiv w:val="1"/>
      <w:marLeft w:val="0"/>
      <w:marRight w:val="0"/>
      <w:marTop w:val="0"/>
      <w:marBottom w:val="0"/>
      <w:divBdr>
        <w:top w:val="none" w:sz="0" w:space="0" w:color="auto"/>
        <w:left w:val="none" w:sz="0" w:space="0" w:color="auto"/>
        <w:bottom w:val="none" w:sz="0" w:space="0" w:color="auto"/>
        <w:right w:val="none" w:sz="0" w:space="0" w:color="auto"/>
      </w:divBdr>
    </w:div>
    <w:div w:id="1654916242">
      <w:bodyDiv w:val="1"/>
      <w:marLeft w:val="0"/>
      <w:marRight w:val="0"/>
      <w:marTop w:val="0"/>
      <w:marBottom w:val="0"/>
      <w:divBdr>
        <w:top w:val="none" w:sz="0" w:space="0" w:color="auto"/>
        <w:left w:val="none" w:sz="0" w:space="0" w:color="auto"/>
        <w:bottom w:val="none" w:sz="0" w:space="0" w:color="auto"/>
        <w:right w:val="none" w:sz="0" w:space="0" w:color="auto"/>
      </w:divBdr>
    </w:div>
    <w:div w:id="1658915851">
      <w:bodyDiv w:val="1"/>
      <w:marLeft w:val="0"/>
      <w:marRight w:val="0"/>
      <w:marTop w:val="0"/>
      <w:marBottom w:val="0"/>
      <w:divBdr>
        <w:top w:val="none" w:sz="0" w:space="0" w:color="auto"/>
        <w:left w:val="none" w:sz="0" w:space="0" w:color="auto"/>
        <w:bottom w:val="none" w:sz="0" w:space="0" w:color="auto"/>
        <w:right w:val="none" w:sz="0" w:space="0" w:color="auto"/>
      </w:divBdr>
    </w:div>
    <w:div w:id="1693216359">
      <w:bodyDiv w:val="1"/>
      <w:marLeft w:val="0"/>
      <w:marRight w:val="0"/>
      <w:marTop w:val="0"/>
      <w:marBottom w:val="0"/>
      <w:divBdr>
        <w:top w:val="none" w:sz="0" w:space="0" w:color="auto"/>
        <w:left w:val="none" w:sz="0" w:space="0" w:color="auto"/>
        <w:bottom w:val="none" w:sz="0" w:space="0" w:color="auto"/>
        <w:right w:val="none" w:sz="0" w:space="0" w:color="auto"/>
      </w:divBdr>
    </w:div>
    <w:div w:id="1704742440">
      <w:bodyDiv w:val="1"/>
      <w:marLeft w:val="0"/>
      <w:marRight w:val="0"/>
      <w:marTop w:val="0"/>
      <w:marBottom w:val="0"/>
      <w:divBdr>
        <w:top w:val="none" w:sz="0" w:space="0" w:color="auto"/>
        <w:left w:val="none" w:sz="0" w:space="0" w:color="auto"/>
        <w:bottom w:val="none" w:sz="0" w:space="0" w:color="auto"/>
        <w:right w:val="none" w:sz="0" w:space="0" w:color="auto"/>
      </w:divBdr>
    </w:div>
    <w:div w:id="1707176361">
      <w:bodyDiv w:val="1"/>
      <w:marLeft w:val="0"/>
      <w:marRight w:val="0"/>
      <w:marTop w:val="0"/>
      <w:marBottom w:val="0"/>
      <w:divBdr>
        <w:top w:val="none" w:sz="0" w:space="0" w:color="auto"/>
        <w:left w:val="none" w:sz="0" w:space="0" w:color="auto"/>
        <w:bottom w:val="none" w:sz="0" w:space="0" w:color="auto"/>
        <w:right w:val="none" w:sz="0" w:space="0" w:color="auto"/>
      </w:divBdr>
    </w:div>
    <w:div w:id="1878270949">
      <w:bodyDiv w:val="1"/>
      <w:marLeft w:val="0"/>
      <w:marRight w:val="0"/>
      <w:marTop w:val="0"/>
      <w:marBottom w:val="0"/>
      <w:divBdr>
        <w:top w:val="none" w:sz="0" w:space="0" w:color="auto"/>
        <w:left w:val="none" w:sz="0" w:space="0" w:color="auto"/>
        <w:bottom w:val="none" w:sz="0" w:space="0" w:color="auto"/>
        <w:right w:val="none" w:sz="0" w:space="0" w:color="auto"/>
      </w:divBdr>
    </w:div>
    <w:div w:id="1902012443">
      <w:bodyDiv w:val="1"/>
      <w:marLeft w:val="0"/>
      <w:marRight w:val="0"/>
      <w:marTop w:val="0"/>
      <w:marBottom w:val="0"/>
      <w:divBdr>
        <w:top w:val="none" w:sz="0" w:space="0" w:color="auto"/>
        <w:left w:val="none" w:sz="0" w:space="0" w:color="auto"/>
        <w:bottom w:val="none" w:sz="0" w:space="0" w:color="auto"/>
        <w:right w:val="none" w:sz="0" w:space="0" w:color="auto"/>
      </w:divBdr>
    </w:div>
    <w:div w:id="1914781062">
      <w:bodyDiv w:val="1"/>
      <w:marLeft w:val="0"/>
      <w:marRight w:val="0"/>
      <w:marTop w:val="0"/>
      <w:marBottom w:val="0"/>
      <w:divBdr>
        <w:top w:val="none" w:sz="0" w:space="0" w:color="auto"/>
        <w:left w:val="none" w:sz="0" w:space="0" w:color="auto"/>
        <w:bottom w:val="none" w:sz="0" w:space="0" w:color="auto"/>
        <w:right w:val="none" w:sz="0" w:space="0" w:color="auto"/>
      </w:divBdr>
    </w:div>
    <w:div w:id="1949460797">
      <w:bodyDiv w:val="1"/>
      <w:marLeft w:val="0"/>
      <w:marRight w:val="0"/>
      <w:marTop w:val="0"/>
      <w:marBottom w:val="0"/>
      <w:divBdr>
        <w:top w:val="none" w:sz="0" w:space="0" w:color="auto"/>
        <w:left w:val="none" w:sz="0" w:space="0" w:color="auto"/>
        <w:bottom w:val="none" w:sz="0" w:space="0" w:color="auto"/>
        <w:right w:val="none" w:sz="0" w:space="0" w:color="auto"/>
      </w:divBdr>
    </w:div>
    <w:div w:id="1997955911">
      <w:bodyDiv w:val="1"/>
      <w:marLeft w:val="0"/>
      <w:marRight w:val="0"/>
      <w:marTop w:val="0"/>
      <w:marBottom w:val="0"/>
      <w:divBdr>
        <w:top w:val="none" w:sz="0" w:space="0" w:color="auto"/>
        <w:left w:val="none" w:sz="0" w:space="0" w:color="auto"/>
        <w:bottom w:val="none" w:sz="0" w:space="0" w:color="auto"/>
        <w:right w:val="none" w:sz="0" w:space="0" w:color="auto"/>
      </w:divBdr>
    </w:div>
    <w:div w:id="2023387607">
      <w:bodyDiv w:val="1"/>
      <w:marLeft w:val="0"/>
      <w:marRight w:val="0"/>
      <w:marTop w:val="0"/>
      <w:marBottom w:val="0"/>
      <w:divBdr>
        <w:top w:val="none" w:sz="0" w:space="0" w:color="auto"/>
        <w:left w:val="none" w:sz="0" w:space="0" w:color="auto"/>
        <w:bottom w:val="none" w:sz="0" w:space="0" w:color="auto"/>
        <w:right w:val="none" w:sz="0" w:space="0" w:color="auto"/>
      </w:divBdr>
    </w:div>
    <w:div w:id="2029060177">
      <w:bodyDiv w:val="1"/>
      <w:marLeft w:val="0"/>
      <w:marRight w:val="0"/>
      <w:marTop w:val="0"/>
      <w:marBottom w:val="0"/>
      <w:divBdr>
        <w:top w:val="none" w:sz="0" w:space="0" w:color="auto"/>
        <w:left w:val="none" w:sz="0" w:space="0" w:color="auto"/>
        <w:bottom w:val="none" w:sz="0" w:space="0" w:color="auto"/>
        <w:right w:val="none" w:sz="0" w:space="0" w:color="auto"/>
      </w:divBdr>
    </w:div>
    <w:div w:id="2062704127">
      <w:bodyDiv w:val="1"/>
      <w:marLeft w:val="0"/>
      <w:marRight w:val="0"/>
      <w:marTop w:val="0"/>
      <w:marBottom w:val="0"/>
      <w:divBdr>
        <w:top w:val="none" w:sz="0" w:space="0" w:color="auto"/>
        <w:left w:val="none" w:sz="0" w:space="0" w:color="auto"/>
        <w:bottom w:val="none" w:sz="0" w:space="0" w:color="auto"/>
        <w:right w:val="none" w:sz="0" w:space="0" w:color="auto"/>
      </w:divBdr>
    </w:div>
    <w:div w:id="2073847473">
      <w:bodyDiv w:val="1"/>
      <w:marLeft w:val="0"/>
      <w:marRight w:val="0"/>
      <w:marTop w:val="0"/>
      <w:marBottom w:val="0"/>
      <w:divBdr>
        <w:top w:val="none" w:sz="0" w:space="0" w:color="auto"/>
        <w:left w:val="none" w:sz="0" w:space="0" w:color="auto"/>
        <w:bottom w:val="none" w:sz="0" w:space="0" w:color="auto"/>
        <w:right w:val="none" w:sz="0" w:space="0" w:color="auto"/>
      </w:divBdr>
    </w:div>
    <w:div w:id="2085831518">
      <w:bodyDiv w:val="1"/>
      <w:marLeft w:val="0"/>
      <w:marRight w:val="0"/>
      <w:marTop w:val="0"/>
      <w:marBottom w:val="0"/>
      <w:divBdr>
        <w:top w:val="none" w:sz="0" w:space="0" w:color="auto"/>
        <w:left w:val="none" w:sz="0" w:space="0" w:color="auto"/>
        <w:bottom w:val="none" w:sz="0" w:space="0" w:color="auto"/>
        <w:right w:val="none" w:sz="0" w:space="0" w:color="auto"/>
      </w:divBdr>
    </w:div>
    <w:div w:id="2132702006">
      <w:bodyDiv w:val="1"/>
      <w:marLeft w:val="0"/>
      <w:marRight w:val="0"/>
      <w:marTop w:val="0"/>
      <w:marBottom w:val="0"/>
      <w:divBdr>
        <w:top w:val="none" w:sz="0" w:space="0" w:color="auto"/>
        <w:left w:val="none" w:sz="0" w:space="0" w:color="auto"/>
        <w:bottom w:val="none" w:sz="0" w:space="0" w:color="auto"/>
        <w:right w:val="none" w:sz="0" w:space="0" w:color="auto"/>
      </w:divBdr>
    </w:div>
    <w:div w:id="2141990097">
      <w:bodyDiv w:val="1"/>
      <w:marLeft w:val="0"/>
      <w:marRight w:val="0"/>
      <w:marTop w:val="0"/>
      <w:marBottom w:val="0"/>
      <w:divBdr>
        <w:top w:val="none" w:sz="0" w:space="0" w:color="auto"/>
        <w:left w:val="none" w:sz="0" w:space="0" w:color="auto"/>
        <w:bottom w:val="none" w:sz="0" w:space="0" w:color="auto"/>
        <w:right w:val="none" w:sz="0" w:space="0" w:color="auto"/>
      </w:divBdr>
    </w:div>
    <w:div w:id="2142839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2862564/" TargetMode="External"/><Relationship Id="rId18" Type="http://schemas.openxmlformats.org/officeDocument/2006/relationships/hyperlink" Target="https://www.sciencedirect.com/science/article/pii/S2666142X25001808" TargetMode="External"/><Relationship Id="rId26" Type="http://schemas.openxmlformats.org/officeDocument/2006/relationships/hyperlink" Target="https://www.mdpi.com/2039-4403/15/1/12" TargetMode="External"/><Relationship Id="rId39" Type="http://schemas.openxmlformats.org/officeDocument/2006/relationships/hyperlink" Target="https://pmc.ncbi.nlm.nih.gov/articles/PMC12683552/" TargetMode="External"/><Relationship Id="rId21" Type="http://schemas.openxmlformats.org/officeDocument/2006/relationships/hyperlink" Target="https://ejhp.bmj.com/content/early/2025/12/14/ejhpharm-2025-004533" TargetMode="External"/><Relationship Id="rId34" Type="http://schemas.openxmlformats.org/officeDocument/2006/relationships/hyperlink" Target="https://pmc.ncbi.nlm.nih.gov/articles/PMC11825077/" TargetMode="External"/><Relationship Id="rId42" Type="http://schemas.openxmlformats.org/officeDocument/2006/relationships/hyperlink" Target="https://www.mdpi.com/1648-9144/61/3/369" TargetMode="External"/><Relationship Id="rId47" Type="http://schemas.openxmlformats.org/officeDocument/2006/relationships/hyperlink" Target="https://arxiv.org/abs/2405.18346" TargetMode="External"/><Relationship Id="rId50" Type="http://schemas.openxmlformats.org/officeDocument/2006/relationships/hyperlink" Target="https://doi.org/10.2147/JMDH.S508151" TargetMode="External"/><Relationship Id="rId55" Type="http://schemas.openxmlformats.org/officeDocument/2006/relationships/hyperlink" Target="https://doi.org/10.1007/s11019-025-10262-x"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mc.ncbi.nlm.nih.gov/articles/PMC12927690/" TargetMode="External"/><Relationship Id="rId20" Type="http://schemas.openxmlformats.org/officeDocument/2006/relationships/hyperlink" Target="https://www.ncbi.nlm.nih.gov/books/NBK499956/" TargetMode="External"/><Relationship Id="rId29" Type="http://schemas.openxmlformats.org/officeDocument/2006/relationships/hyperlink" Target="https://pmc.ncbi.nlm.nih.gov/articles/PMC11913332/" TargetMode="External"/><Relationship Id="rId41" Type="http://schemas.openxmlformats.org/officeDocument/2006/relationships/hyperlink" Target="https://pmc.ncbi.nlm.nih.gov/articles/PMC12862564/" TargetMode="External"/><Relationship Id="rId54" Type="http://schemas.openxmlformats.org/officeDocument/2006/relationships/hyperlink" Target="https://doi.org/10.1111/inr.13091"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pii/S0964339723002136" TargetMode="External"/><Relationship Id="rId32" Type="http://schemas.openxmlformats.org/officeDocument/2006/relationships/hyperlink" Target="https://pmc.ncbi.nlm.nih.gov/articles/PMC12862582/" TargetMode="External"/><Relationship Id="rId37" Type="http://schemas.openxmlformats.org/officeDocument/2006/relationships/hyperlink" Target="https://pmc.ncbi.nlm.nih.gov/articles/PMC11986387/" TargetMode="External"/><Relationship Id="rId40" Type="http://schemas.openxmlformats.org/officeDocument/2006/relationships/hyperlink" Target="https://pmc.ncbi.nlm.nih.gov/articles/PMC12648230/" TargetMode="External"/><Relationship Id="rId45" Type="http://schemas.openxmlformats.org/officeDocument/2006/relationships/hyperlink" Target="https://arxiv.org/abs/2101.05620" TargetMode="External"/><Relationship Id="rId53" Type="http://schemas.openxmlformats.org/officeDocument/2006/relationships/hyperlink" Target="https://www.england.nhs.uk/long-read/nhs-long-term-workforce-plan-2/" TargetMode="External"/><Relationship Id="rId58" Type="http://schemas.openxmlformats.org/officeDocument/2006/relationships/hyperlink" Target="https://doi.org/10.1016/j.nepr.2023.103642" TargetMode="External"/><Relationship Id="rId5" Type="http://schemas.openxmlformats.org/officeDocument/2006/relationships/webSettings" Target="webSettings.xml"/><Relationship Id="rId15" Type="http://schemas.openxmlformats.org/officeDocument/2006/relationships/hyperlink" Target="https://pmc.ncbi.nlm.nih.gov/articles/PMC12643790/" TargetMode="External"/><Relationship Id="rId23" Type="http://schemas.openxmlformats.org/officeDocument/2006/relationships/hyperlink" Target="https://www.jointcommissionjournal.com/article/S1553-7250%2824%2900302-7/fulltext" TargetMode="External"/><Relationship Id="rId28" Type="http://schemas.openxmlformats.org/officeDocument/2006/relationships/hyperlink" Target="https://pmc.ncbi.nlm.nih.gov/articles/PMC11808857/" TargetMode="External"/><Relationship Id="rId36" Type="http://schemas.openxmlformats.org/officeDocument/2006/relationships/hyperlink" Target="https://pmc.ncbi.nlm.nih.gov/articles/PMC12082395/" TargetMode="External"/><Relationship Id="rId49" Type="http://schemas.openxmlformats.org/officeDocument/2006/relationships/hyperlink" Target="https://link.springer.com/article/10.1186/s12912-025-04263-7" TargetMode="External"/><Relationship Id="rId57" Type="http://schemas.openxmlformats.org/officeDocument/2006/relationships/hyperlink" Target="https://doi.org/10.1016/j.rcsop.2024.100531" TargetMode="External"/><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pmc.ncbi.nlm.nih.gov/articles/PMC12862582/" TargetMode="External"/><Relationship Id="rId31" Type="http://schemas.openxmlformats.org/officeDocument/2006/relationships/hyperlink" Target="https://pmc.ncbi.nlm.nih.gov/articles/PMC12078960/" TargetMode="External"/><Relationship Id="rId44" Type="http://schemas.openxmlformats.org/officeDocument/2006/relationships/hyperlink" Target="https://link.springer.com/article/10.1186/s12912-025-03678-6" TargetMode="External"/><Relationship Id="rId52" Type="http://schemas.openxmlformats.org/officeDocument/2006/relationships/hyperlink" Target="https://www.england.nhs.uk/personalisedcare/social-prescribing/"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mc.ncbi.nlm.nih.gov/articles/PMC12068686/" TargetMode="External"/><Relationship Id="rId22" Type="http://schemas.openxmlformats.org/officeDocument/2006/relationships/hyperlink" Target="https://www.sciencedirect.com/science/article/pii/S2352013224000577" TargetMode="External"/><Relationship Id="rId27" Type="http://schemas.openxmlformats.org/officeDocument/2006/relationships/hyperlink" Target="https://link.springer.com/article/10.1186/s12912-025-03195-6" TargetMode="External"/><Relationship Id="rId30" Type="http://schemas.openxmlformats.org/officeDocument/2006/relationships/hyperlink" Target="https://bmjopen.bmj.com/content/15/4/e091058" TargetMode="External"/><Relationship Id="rId35" Type="http://schemas.openxmlformats.org/officeDocument/2006/relationships/hyperlink" Target="https://pmc.ncbi.nlm.nih.gov/articles/PMC12489426/" TargetMode="External"/><Relationship Id="rId43" Type="http://schemas.openxmlformats.org/officeDocument/2006/relationships/hyperlink" Target="https://link.springer.com/article/10.1186/s12875-025-03072-w" TargetMode="External"/><Relationship Id="rId48" Type="http://schemas.openxmlformats.org/officeDocument/2006/relationships/hyperlink" Target="https://arxiv.org/abs/2409.16395" TargetMode="External"/><Relationship Id="rId56" Type="http://schemas.openxmlformats.org/officeDocument/2006/relationships/hyperlink" Target="http://dx.doi.org/10.1136/bmjoq-2021-001708" TargetMode="External"/><Relationship Id="rId8" Type="http://schemas.openxmlformats.org/officeDocument/2006/relationships/image" Target="media/image1.png"/><Relationship Id="rId51" Type="http://schemas.openxmlformats.org/officeDocument/2006/relationships/hyperlink" Target="https://www.sciencedirect.com/science/article/pii/S0882596325002611" TargetMode="External"/><Relationship Id="rId3" Type="http://schemas.openxmlformats.org/officeDocument/2006/relationships/styles" Target="styles.xml"/><Relationship Id="rId12" Type="http://schemas.openxmlformats.org/officeDocument/2006/relationships/hyperlink" Target="https://pmc.ncbi.nlm.nih.gov/articles/PMC11825077/" TargetMode="External"/><Relationship Id="rId17" Type="http://schemas.openxmlformats.org/officeDocument/2006/relationships/hyperlink" Target="https://www.jmir.org/2025/1/e59220" TargetMode="External"/><Relationship Id="rId25" Type="http://schemas.openxmlformats.org/officeDocument/2006/relationships/hyperlink" Target="https://journals.lww.com/journalpatientsafety/fulltext/2024/06000/evolution_of_intravenous_medication_errors_and.15.aspx" TargetMode="External"/><Relationship Id="rId33" Type="http://schemas.openxmlformats.org/officeDocument/2006/relationships/hyperlink" Target="https://pmc.ncbi.nlm.nih.gov/articles/PMC12003922/" TargetMode="External"/><Relationship Id="rId38" Type="http://schemas.openxmlformats.org/officeDocument/2006/relationships/hyperlink" Target="https://pmc.ncbi.nlm.nih.gov/articles/PMC12862564/" TargetMode="External"/><Relationship Id="rId46" Type="http://schemas.openxmlformats.org/officeDocument/2006/relationships/hyperlink" Target="https://arxiv.org/abs/2403.00880"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Lia24</b:Tag>
    <b:SourceType>JournalArticle</b:SourceType>
    <b:Guid>{C1303610-35D2-4E0E-91D0-203A05B8296B}</b:Guid>
    <b:Author>
      <b:Author>
        <b:NameList>
          <b:Person>
            <b:Last>Liang et al.</b:Last>
          </b:Person>
        </b:NameList>
      </b:Author>
    </b:Author>
    <b:Year>2024</b:Year>
    <b:RefOrder>2</b:RefOrder>
  </b:Source>
  <b:Source>
    <b:Tag>Rod241</b:Tag>
    <b:SourceType>JournalArticle</b:SourceType>
    <b:Guid>{2B1C8095-762E-4683-AF62-0C2D07D420D5}</b:Guid>
    <b:Author>
      <b:Author>
        <b:NameList>
          <b:Person>
            <b:Last>Rodziewicz et al.</b:Last>
          </b:Person>
        </b:NameList>
      </b:Author>
    </b:Author>
    <b:Year>2024</b:Year>
    <b:RefOrder>1</b:RefOrder>
  </b:Source>
  <b:Source>
    <b:Tag>Alt25</b:Tag>
    <b:SourceType>JournalArticle</b:SourceType>
    <b:Guid>{B203158B-8F93-4592-B461-AC8DD078A38F}</b:Guid>
    <b:Author>
      <b:Author>
        <b:NameList>
          <b:Person>
            <b:Last>Althobaiti and Alshammari</b:Last>
          </b:Person>
        </b:NameList>
      </b:Author>
    </b:Author>
    <b:Year>2025</b:Year>
    <b:RefOrder>3</b:RefOrder>
  </b:Source>
  <b:Source>
    <b:Tag>Gun25</b:Tag>
    <b:SourceType>JournalArticle</b:SourceType>
    <b:Guid>{51A71E12-7EB4-4255-9164-9B098FD32BFF}</b:Guid>
    <b:Author>
      <b:Author>
        <b:NameList>
          <b:Person>
            <b:Last>Guntschnig et al.</b:Last>
          </b:Person>
        </b:NameList>
      </b:Author>
    </b:Author>
    <b:Year>2025</b:Year>
    <b:RefOrder>5</b:RefOrder>
  </b:Source>
  <b:Source>
    <b:Tag>Dir26</b:Tag>
    <b:SourceType>JournalArticle</b:SourceType>
    <b:Guid>{50AACEDB-77A8-4D0C-A59C-B108980C1326}</b:Guid>
    <b:Author>
      <b:Author>
        <b:NameList>
          <b:Person>
            <b:Last>Dirik et al.</b:Last>
          </b:Person>
        </b:NameList>
      </b:Author>
    </b:Author>
    <b:Year>2026</b:Year>
    <b:RefOrder>4</b:RefOrder>
  </b:Source>
  <b:Source>
    <b:Tag>Tch25</b:Tag>
    <b:SourceType>JournalArticle</b:SourceType>
    <b:Guid>{D40F160F-D4C6-4819-8002-9D0E2C09FB56}</b:Guid>
    <b:Author>
      <b:Author>
        <b:NameList>
          <b:Person>
            <b:Last>Tchijevitch et al.</b:Last>
          </b:Person>
        </b:NameList>
      </b:Author>
    </b:Author>
    <b:Year>2025</b:Year>
    <b:RefOrder>6</b:RefOrder>
  </b:Source>
  <b:Source>
    <b:Tag>Bao25</b:Tag>
    <b:SourceType>JournalArticle</b:SourceType>
    <b:Guid>{4586CD86-CE09-4FD3-9E9A-BA7E0FF81622}</b:Guid>
    <b:Author>
      <b:Author>
        <b:NameList>
          <b:Person>
            <b:Last>Baolenwo et al.</b:Last>
          </b:Person>
        </b:NameList>
      </b:Author>
    </b:Author>
    <b:Year>2025</b:Year>
    <b:RefOrder>7</b:RefOrder>
  </b:Source>
  <b:Source>
    <b:Tag>Jia21</b:Tag>
    <b:SourceType>JournalArticle</b:SourceType>
    <b:Guid>{EE30EECC-3C80-460A-AE7B-11E0F3E20807}</b:Guid>
    <b:Author>
      <b:Author>
        <b:NameList>
          <b:Person>
            <b:Last>Jia et al.</b:Last>
          </b:Person>
        </b:NameList>
      </b:Author>
    </b:Author>
    <b:Year>2021</b:Year>
    <b:RefOrder>8</b:RefOrder>
  </b:Source>
  <b:Source>
    <b:Tag>Rah231</b:Tag>
    <b:SourceType>JournalArticle</b:SourceType>
    <b:Guid>{4263915B-86E5-4C69-B6D8-AB3831A0DCF7}</b:Guid>
    <b:Author>
      <b:Author>
        <b:NameList>
          <b:Person>
            <b:Last>Rahman et al.</b:Last>
          </b:Person>
        </b:NameList>
      </b:Author>
    </b:Author>
    <b:Year>2023</b:Year>
    <b:RefOrder>9</b:RefOrder>
  </b:Source>
  <b:Source>
    <b:Tag>Eze25</b:Tag>
    <b:SourceType>JournalArticle</b:SourceType>
    <b:Guid>{7F3DBFC7-93DF-440E-8A49-5D715A5627EE}</b:Guid>
    <b:Author>
      <b:Author>
        <b:NameList>
          <b:Person>
            <b:Last>Eze et al.</b:Last>
          </b:Person>
        </b:NameList>
      </b:Author>
    </b:Author>
    <b:Year>2025</b:Year>
    <b:RefOrder>10</b:RefOrder>
  </b:Source>
  <b:Source>
    <b:Tag>Sal254</b:Tag>
    <b:SourceType>JournalArticle</b:SourceType>
    <b:Guid>{9F21A225-6F42-4050-B79A-EA75433287BC}</b:Guid>
    <b:Author>
      <b:Author>
        <b:NameList>
          <b:Person>
            <b:Last>Salman et al.</b:Last>
          </b:Person>
        </b:NameList>
      </b:Author>
    </b:Author>
    <b:Year>2025</b:Year>
    <b:RefOrder>11</b:RefOrder>
  </b:Source>
  <b:Source>
    <b:Tag>Alh23</b:Tag>
    <b:SourceType>JournalArticle</b:SourceType>
    <b:Guid>{06AF4D79-BC7F-4F75-9434-4B8BFDA8A820}</b:Guid>
    <b:Author>
      <b:Author>
        <b:NameList>
          <b:Person>
            <b:Last>Alharbi et al.</b:Last>
          </b:Person>
        </b:NameList>
      </b:Author>
    </b:Author>
    <b:Year>2023</b:Year>
    <b:RefOrder>12</b:RefOrder>
  </b:Source>
  <b:Source>
    <b:Tag>Des25</b:Tag>
    <b:SourceType>JournalArticle</b:SourceType>
    <b:Guid>{AF02528F-4159-43F6-AECD-050D79E67B64}</b:Guid>
    <b:Author>
      <b:Author>
        <b:NameList>
          <b:Person>
            <b:Last>Despott et al.</b:Last>
          </b:Person>
        </b:NameList>
      </b:Author>
    </b:Author>
    <b:Year>2025</b:Year>
    <b:RefOrder>13</b:RefOrder>
  </b:Source>
  <b:Source>
    <b:Tag>Sha254</b:Tag>
    <b:SourceType>JournalArticle</b:SourceType>
    <b:Guid>{F9F5F018-7EFB-4A51-8B3D-5DC1FE8B430E}</b:Guid>
    <b:Author>
      <b:Author>
        <b:NameList>
          <b:Person>
            <b:Last>Sharma et al.</b:Last>
          </b:Person>
        </b:NameList>
      </b:Author>
    </b:Author>
    <b:Year>2025</b:Year>
    <b:RefOrder>14</b:RefOrder>
  </b:Source>
  <b:Source>
    <b:Tag>Web25</b:Tag>
    <b:SourceType>JournalArticle</b:SourceType>
    <b:Guid>{A8FAD7C4-B334-4FFB-BCD2-18ACB2904533}</b:Guid>
    <b:Author>
      <b:Author>
        <b:NameList>
          <b:Person>
            <b:Last>Webb et al.</b:Last>
          </b:Person>
        </b:NameList>
      </b:Author>
    </b:Author>
    <b:Year>2025</b:Year>
    <b:RefOrder>15</b:RefOrder>
  </b:Source>
  <b:Source>
    <b:Tag>Pra251</b:Tag>
    <b:SourceType>JournalArticle</b:SourceType>
    <b:Guid>{5A7595E0-880D-4BAD-BC28-67B8D57667BF}</b:Guid>
    <b:Author>
      <b:Author>
        <b:NameList>
          <b:Person>
            <b:Last>Pramesona et al.</b:Last>
          </b:Person>
        </b:NameList>
      </b:Author>
    </b:Author>
    <b:Year>2025</b:Year>
    <b:RefOrder>16</b:RefOrder>
  </b:Source>
  <b:Source>
    <b:Tag>Yue25</b:Tag>
    <b:SourceType>JournalArticle</b:SourceType>
    <b:Guid>{819DAEBB-2FCE-450C-A313-1ECA6B896C2B}</b:Guid>
    <b:Author>
      <b:Author>
        <b:NameList>
          <b:Person>
            <b:Last>Yu et al.</b:Last>
          </b:Person>
        </b:NameList>
      </b:Author>
    </b:Author>
    <b:Year>2025]</b:Year>
    <b:RefOrder>32</b:RefOrder>
  </b:Source>
  <b:Source>
    <b:Tag>Yue251</b:Tag>
    <b:SourceType>JournalArticle</b:SourceType>
    <b:Guid>{6566D0FE-CE67-4F6C-B6F7-A04D3CE437C6}</b:Guid>
    <b:Author>
      <b:Author>
        <b:NameList>
          <b:Person>
            <b:Last>Yu et al.</b:Last>
          </b:Person>
        </b:NameList>
      </b:Author>
    </b:Author>
    <b:Year>2025</b:Year>
    <b:RefOrder>17</b:RefOrder>
  </b:Source>
  <b:Source>
    <b:Tag>Yan251</b:Tag>
    <b:SourceType>JournalArticle</b:SourceType>
    <b:Guid>{35274A59-5656-4A0F-BEAD-44C122590BA4}</b:Guid>
    <b:Author>
      <b:Author>
        <b:NameList>
          <b:Person>
            <b:Last>Yang et al.</b:Last>
          </b:Person>
        </b:NameList>
      </b:Author>
    </b:Author>
    <b:Year>2025</b:Year>
    <b:RefOrder>18</b:RefOrder>
  </b:Source>
  <b:Source>
    <b:Tag>Mon24</b:Tag>
    <b:SourceType>JournalArticle</b:SourceType>
    <b:Guid>{2F8DA857-8268-486B-A7C9-FE8D8A5983A6}</b:Guid>
    <b:Author>
      <b:Author>
        <b:NameList>
          <b:Person>
            <b:Last>Mondal et al.</b:Last>
          </b:Person>
        </b:NameList>
      </b:Author>
    </b:Author>
    <b:Year>2024</b:Year>
    <b:RefOrder>19</b:RefOrder>
  </b:Source>
  <b:Source>
    <b:Tag>DeV24</b:Tag>
    <b:SourceType>JournalArticle</b:SourceType>
    <b:Guid>{99F8AFDE-4D2A-4E55-9D9B-4E6AAC613970}</b:Guid>
    <b:Author>
      <b:Author>
        <b:NameList>
          <b:Person>
            <b:Last>De Vito et al.</b:Last>
          </b:Person>
        </b:NameList>
      </b:Author>
    </b:Author>
    <b:Year>2024</b:Year>
    <b:RefOrder>21</b:RefOrder>
  </b:Source>
  <b:Source>
    <b:Tag>Ghe24</b:Tag>
    <b:SourceType>JournalArticle</b:SourceType>
    <b:Guid>{ADEEAB34-AC95-40C0-B8CF-32A18ADDFEA0}</b:Guid>
    <b:Author>
      <b:Author>
        <b:NameList>
          <b:Person>
            <b:Last>Ghezaywi et al.</b:Last>
          </b:Person>
        </b:NameList>
      </b:Author>
    </b:Author>
    <b:Year>2024</b:Year>
    <b:RefOrder>23</b:RefOrder>
  </b:Source>
  <b:Source>
    <b:Tag>Pra252</b:Tag>
    <b:SourceType>JournalArticle</b:SourceType>
    <b:Guid>{F8E8B2BD-8982-43C4-B16A-0CB4525D21B9}</b:Guid>
    <b:Author>
      <b:Author>
        <b:NameList>
          <b:Person>
            <b:Last>Pramesona et al.</b:Last>
          </b:Person>
        </b:NameList>
      </b:Author>
    </b:Author>
    <b:Year>2025</b:Year>
    <b:RefOrder>24</b:RefOrder>
  </b:Source>
  <b:Source>
    <b:Tag>Cha244</b:Tag>
    <b:SourceType>JournalArticle</b:SourceType>
    <b:Guid>{E637287A-AD0A-4FF8-985F-4E9574BF8F63}</b:Guid>
    <b:Author>
      <b:Author>
        <b:NameList>
          <b:Person>
            <b:Last>Chance et al.</b:Last>
          </b:Person>
        </b:NameList>
      </b:Author>
    </b:Author>
    <b:Year>2024</b:Year>
    <b:RefOrder>25</b:RefOrder>
  </b:Source>
  <b:Source>
    <b:Tag>Ste25</b:Tag>
    <b:SourceType>JournalArticle</b:SourceType>
    <b:Guid>{F5AF039A-B29B-4A68-B0D8-92F450EC6E70}</b:Guid>
    <b:Author>
      <b:Author>
        <b:NameList>
          <b:Person>
            <b:Last>Stephan et al.</b:Last>
          </b:Person>
        </b:NameList>
      </b:Author>
    </b:Author>
    <b:Year>2025</b:Year>
    <b:RefOrder>27</b:RefOrder>
  </b:Source>
  <b:Source>
    <b:Tag>Agh25</b:Tag>
    <b:SourceType>JournalArticle</b:SourceType>
    <b:Guid>{69A6D229-A163-4025-9DAB-C097313B022E}</b:Guid>
    <b:Author>
      <b:Author>
        <b:NameList>
          <b:Person>
            <b:Last>Aghabarary et al.</b:Last>
          </b:Person>
        </b:NameList>
      </b:Author>
    </b:Author>
    <b:Year>2025</b:Year>
    <b:RefOrder>26</b:RefOrder>
  </b:Source>
  <b:Source>
    <b:Tag>Fan251</b:Tag>
    <b:SourceType>JournalArticle</b:SourceType>
    <b:Guid>{A44EFA96-0EE0-4FF0-AA58-CC28AF765E77}</b:Guid>
    <b:Author>
      <b:Author>
        <b:NameList>
          <b:Person>
            <b:Last>Fang et al.</b:Last>
          </b:Person>
        </b:NameList>
      </b:Author>
    </b:Author>
    <b:Year>2025</b:Year>
    <b:RefOrder>29</b:RefOrder>
  </b:Source>
  <b:Source>
    <b:Tag>Tuv25</b:Tag>
    <b:SourceType>JournalArticle</b:SourceType>
    <b:Guid>{043B088C-5B1E-4D4F-A98D-DBFAB5C61419}</b:Guid>
    <b:Author>
      <b:Author>
        <b:NameList>
          <b:Person>
            <b:Last>Tuvor et al.</b:Last>
          </b:Person>
        </b:NameList>
      </b:Author>
    </b:Author>
    <b:Year>2025</b:Year>
    <b:RefOrder>28</b:RefOrder>
  </b:Source>
  <b:Source>
    <b:Tag>Coe24</b:Tag>
    <b:SourceType>JournalArticle</b:SourceType>
    <b:Guid>{FCCA4539-623F-4B87-B930-E6D11FEF20AD}</b:Guid>
    <b:Author>
      <b:Author>
        <b:NameList>
          <b:Person>
            <b:Last>Coelho et al.</b:Last>
          </b:Person>
        </b:NameList>
      </b:Author>
    </b:Author>
    <b:Year>2024</b:Year>
    <b:RefOrder>22</b:RefOrder>
  </b:Source>
  <b:Source>
    <b:Tag>Bas24</b:Tag>
    <b:SourceType>JournalArticle</b:SourceType>
    <b:Guid>{41042E0E-18D4-461E-AFB9-37AC75006B47}</b:Guid>
    <b:Author>
      <b:Author>
        <b:NameList>
          <b:Person>
            <b:Last>Bastani et al.</b:Last>
          </b:Person>
        </b:NameList>
      </b:Author>
    </b:Author>
    <b:Year>2024</b:Year>
    <b:RefOrder>20</b:RefOrder>
  </b:Source>
  <b:Source>
    <b:Tag>Alg26</b:Tag>
    <b:SourceType>JournalArticle</b:SourceType>
    <b:Guid>{3A51F13E-203E-40EC-B8EF-166CC9E2C4E7}</b:Guid>
    <b:Author>
      <b:Author>
        <b:NameList>
          <b:Person>
            <b:Last>Alghamdi et al.</b:Last>
          </b:Person>
        </b:NameList>
      </b:Author>
    </b:Author>
    <b:Year>2026</b:Year>
    <b:RefOrder>30</b:RefOrder>
  </b:Source>
  <b:Source>
    <b:Tag>Hen25</b:Tag>
    <b:SourceType>JournalArticle</b:SourceType>
    <b:Guid>{BD651235-BE62-4931-81D2-70D0BF8942D6}</b:Guid>
    <b:Author>
      <b:Author>
        <b:NameList>
          <b:Person>
            <b:Last>Hendy et al.</b:Last>
          </b:Person>
        </b:NameList>
      </b:Author>
    </b:Author>
    <b:Year>2025</b:Year>
    <b:RefOrder>31</b:RefOrder>
  </b:Source>
</b:Sources>
</file>

<file path=customXml/itemProps1.xml><?xml version="1.0" encoding="utf-8"?>
<ds:datastoreItem xmlns:ds="http://schemas.openxmlformats.org/officeDocument/2006/customXml" ds:itemID="{26F4BEB4-C5CE-4CBD-8A1A-7489BFA6B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7878</Words>
  <Characters>44908</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2026-04-21T07:50:00Z</dcterms:created>
  <dcterms:modified xsi:type="dcterms:W3CDTF">2026-04-21T09:00:00Z</dcterms:modified>
</cp:coreProperties>
</file>