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F8330" w14:textId="77777777" w:rsidR="00ED4E95" w:rsidRDefault="00B06483" w:rsidP="00D820F8">
      <w:pPr>
        <w:jc w:val="center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C</w:t>
      </w:r>
      <w:r w:rsidR="008445F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omprehensive Assessment Strategies for D</w:t>
      </w:r>
      <w:r w:rsidR="00ED4E9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ementia Management </w:t>
      </w:r>
    </w:p>
    <w:p w14:paraId="4B7D8F40" w14:textId="0CF7442F" w:rsidR="0058612E" w:rsidRPr="00D36E4C" w:rsidRDefault="007D2B19" w:rsidP="00D820F8">
      <w:pPr>
        <w:jc w:val="center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 w:rsidRPr="00D36E4C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ID 225854718</w:t>
      </w:r>
      <w:r w:rsidR="00D820F8" w:rsidRPr="00D36E4C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</w:t>
      </w:r>
    </w:p>
    <w:p w14:paraId="3AFE9EF6" w14:textId="77777777" w:rsidR="00C36165" w:rsidRDefault="00C36165" w:rsidP="00D820F8">
      <w:pPr>
        <w:jc w:val="center"/>
        <w:rPr>
          <w:rFonts w:ascii="Arial" w:hAnsi="Arial" w:cs="Arial"/>
          <w:color w:val="1D2125"/>
          <w:sz w:val="28"/>
          <w:szCs w:val="28"/>
          <w:shd w:val="clear" w:color="auto" w:fill="FFFFFF"/>
        </w:rPr>
      </w:pPr>
    </w:p>
    <w:p w14:paraId="6E307B09" w14:textId="77777777" w:rsidR="00062A3E" w:rsidRDefault="004834DE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1: </w:t>
      </w:r>
      <w:r w:rsidR="00BC421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INTRODUCTION</w:t>
      </w:r>
      <w:r w:rsidR="00062A3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23A484B4" w14:textId="77777777" w:rsidR="00062A3E" w:rsidRDefault="00062A3E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</w:p>
    <w:p w14:paraId="1CE64D28" w14:textId="10E2AFC7" w:rsidR="00771465" w:rsidRDefault="00771465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This report presents a thorough risk</w:t>
      </w:r>
      <w:r w:rsidR="0006298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assessment of transporting dementia patients to a newly established high</w:t>
      </w:r>
      <w:r w:rsidR="00BF55F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 w:rsidR="0006298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dependency unit at a local hospital. The report has been made to </w:t>
      </w:r>
      <w:r w:rsidR="0080683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assess risks thoroughly. Patient relocation from neighbouring hosp</w:t>
      </w:r>
      <w:r w:rsidR="00750FE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itals will involve analysis and mitigation of the potential risks associated with patien</w:t>
      </w:r>
      <w:r w:rsidR="00C36DC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 transportation. Upon arrival at the relocated facility, patients will also need follow-up care. To ensure </w:t>
      </w:r>
      <w:r w:rsidR="00BB3D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that transportation and care processes are carried out as </w:t>
      </w:r>
      <w:r w:rsidR="00062A3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safely</w:t>
      </w:r>
      <w:r w:rsidR="00BB3D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as possible, this report aims to provide a </w:t>
      </w:r>
      <w:r w:rsidR="00231F9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structure.</w:t>
      </w:r>
      <w:r w:rsidR="000E3AB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R</w:t>
      </w:r>
      <w:r w:rsidR="00231F9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educing potential risks and enhancing dementia care, will enhance the </w:t>
      </w:r>
      <w:r w:rsidR="00062A3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upcoming high</w:t>
      </w:r>
      <w:r w:rsidR="00D71D4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 w:rsidR="00062A3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dependency unit.</w:t>
      </w:r>
    </w:p>
    <w:p w14:paraId="1389E9F1" w14:textId="65628FF4" w:rsidR="002C7694" w:rsidRDefault="002C7694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Context of the Report </w:t>
      </w:r>
    </w:p>
    <w:p w14:paraId="53492F43" w14:textId="575F92C9" w:rsidR="005573C5" w:rsidRDefault="005573C5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New high</w:t>
      </w:r>
      <w:r w:rsidR="0069191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</w:t>
      </w:r>
      <w:r w:rsidR="0092264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dency units have been inaugurated at the local hospital for dementia </w:t>
      </w:r>
      <w:r w:rsidR="00247AE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patients. A newly renovated dementia ward will provide specialized care, </w:t>
      </w:r>
      <w:r w:rsidR="0001316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improving patients’ quality of life and safety while meeting </w:t>
      </w:r>
      <w:r w:rsidR="00F204E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patients’</w:t>
      </w:r>
      <w:r w:rsidR="00EA0D8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unique needs. As </w:t>
      </w:r>
      <w:r w:rsidR="00F204E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part</w:t>
      </w:r>
      <w:r w:rsidR="00EA0D8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of its initial operational phase, patients diagnosed with dementia from </w:t>
      </w:r>
      <w:r w:rsidR="00532D4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neighbouring hospital</w:t>
      </w:r>
      <w:r w:rsidR="0069191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</w:t>
      </w:r>
      <w:r w:rsidR="00532D4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will be transported to this special unit. There are some risks to consider</w:t>
      </w:r>
      <w:r w:rsidR="00280E1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when transferring and adapting a patient to another healthcare environment.</w:t>
      </w:r>
    </w:p>
    <w:p w14:paraId="5D739D6E" w14:textId="44B8F0CC" w:rsidR="00747787" w:rsidRDefault="001225A5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Key Definitions</w:t>
      </w:r>
    </w:p>
    <w:p w14:paraId="7B6E3D3D" w14:textId="798BCEA9" w:rsidR="001225A5" w:rsidRDefault="001225A5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Dementia</w:t>
      </w:r>
      <w:r w:rsidR="007B673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, </w:t>
      </w:r>
      <w:r w:rsidR="007A497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is </w:t>
      </w:r>
      <w:r w:rsidR="00C75CD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 degree of decline in mental capacity severe enough to affect daily life, typi</w:t>
      </w:r>
      <w:r w:rsidR="00D6463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cally manifesting as memory loss and other cognitive abilities, most often affecting the elderly.</w:t>
      </w:r>
      <w:r w:rsidR="00BE140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Older people are disproportionately affected by dementia</w:t>
      </w:r>
      <w:r w:rsidR="00DF48D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(Cipriani et al, 2020).</w:t>
      </w:r>
    </w:p>
    <w:p w14:paraId="50E9CB7F" w14:textId="1E7C29A1" w:rsidR="00BE1407" w:rsidRDefault="00D8731D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The High Dependency Unit (HDU) is a </w:t>
      </w:r>
      <w:r w:rsidR="002336D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specialized ward in a hospital that provides more inten</w:t>
      </w:r>
      <w:r w:rsidR="0065359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sive observation, treatment, and nursing care than can be prov</w:t>
      </w:r>
      <w:r w:rsidR="00DC044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ided </w:t>
      </w:r>
      <w:r w:rsidR="0093347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in </w:t>
      </w:r>
      <w:r w:rsidR="00DC044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 general ward</w:t>
      </w:r>
      <w:r w:rsidR="000D5D5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AC65D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Ohbe et al</w:t>
      </w:r>
      <w:r w:rsidR="00F6388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</w:t>
      </w:r>
      <w:r w:rsidR="00AC65D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2021).</w:t>
      </w:r>
    </w:p>
    <w:p w14:paraId="3C95FDD3" w14:textId="1C55B60B" w:rsidR="00DC0444" w:rsidRDefault="00DC0444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lastRenderedPageBreak/>
        <w:t>Risk Assessment</w:t>
      </w:r>
      <w:r w:rsidR="00AE1D5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: </w:t>
      </w:r>
      <w:r w:rsidR="00FE11B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Analysing</w:t>
      </w:r>
      <w:r w:rsidR="00AE1D5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what could happen if danger occurs and identifying potential hazards. The </w:t>
      </w:r>
      <w:r w:rsidR="00F1282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purpose of this report is to identify and evaluate risks associated with transporting </w:t>
      </w:r>
      <w:r w:rsidR="00FE11B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and caring for dementia patients. The aim is to mitigate these risks</w:t>
      </w:r>
      <w:r w:rsidR="008E193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1A1F1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Hains et al, 2011).</w:t>
      </w:r>
    </w:p>
    <w:p w14:paraId="07B1824D" w14:textId="0A5BA7C2" w:rsidR="00D178BF" w:rsidRDefault="00D178BF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2:</w:t>
      </w:r>
      <w:r w:rsidR="00AB1BE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METHOD </w:t>
      </w:r>
    </w:p>
    <w:p w14:paraId="11EB71AB" w14:textId="65400012" w:rsidR="00AB1BE7" w:rsidRDefault="002D1B9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As </w:t>
      </w:r>
      <w:r w:rsidR="00E1378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part of this risk assessment methodology, a systematic approach was taken to </w:t>
      </w:r>
      <w:r w:rsidR="00AB00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identify, </w:t>
      </w:r>
      <w:r w:rsidR="00E44A0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analyse</w:t>
      </w:r>
      <w:r w:rsidR="00AB00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, and mitigate the risks associated with </w:t>
      </w:r>
      <w:r w:rsidR="00AC3D2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the transportation and subsequent care of dementia patie</w:t>
      </w:r>
      <w:r w:rsidR="00C14D8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nts moving into the newly constructed high</w:t>
      </w:r>
      <w:r w:rsidR="00F6388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 w:rsidR="00C14D8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dependency unit. Having a compre</w:t>
      </w:r>
      <w:r w:rsidR="002847C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hensive understanding of potential hazards is </w:t>
      </w:r>
      <w:r w:rsidR="0005552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achieved by combining qualitative assessments with </w:t>
      </w:r>
      <w:r w:rsidR="00A710D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consultations with healthcare professionals </w:t>
      </w:r>
      <w:r w:rsidR="00E44A0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to</w:t>
      </w:r>
      <w:r w:rsidR="00A710D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ensure a </w:t>
      </w:r>
      <w:r w:rsidR="00E44A0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thorough understanding of the risks. </w:t>
      </w:r>
      <w:r w:rsidR="0033756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2EB9B671" w14:textId="6A358FC6" w:rsidR="00BD7A4E" w:rsidRDefault="002E59FB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Description and Justification of Methodology</w:t>
      </w:r>
    </w:p>
    <w:p w14:paraId="6E6D1083" w14:textId="106ED7A2" w:rsidR="002E59FB" w:rsidRDefault="00904D76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An </w:t>
      </w:r>
      <w:r w:rsidR="003A4F5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extensive literature review was </w:t>
      </w:r>
      <w:r w:rsidR="00035EA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conducted on dementia care and patient transportation. A </w:t>
      </w:r>
      <w:r w:rsidR="0073007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foundational </w:t>
      </w:r>
      <w:r w:rsidR="003F618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understanding</w:t>
      </w:r>
      <w:r w:rsidR="0073007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of common risks and effective strategie</w:t>
      </w:r>
      <w:r w:rsidR="003F618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 for managing dementia patients in similar settings was provided</w:t>
      </w:r>
      <w:r w:rsidR="00BB240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(Roberts et all</w:t>
      </w:r>
      <w:r w:rsidR="00D339F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 2010).</w:t>
      </w:r>
    </w:p>
    <w:p w14:paraId="528A0B26" w14:textId="10A2EA01" w:rsidR="00803E84" w:rsidRDefault="00CE17F5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Healthcare professionals were consulted, including neuro</w:t>
      </w:r>
      <w:r w:rsidR="00EF5F2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logists, geriatricians, nurses, and transport service providers. </w:t>
      </w:r>
      <w:r w:rsidR="001C09F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Based on these consultations, specific risks associated with the patient group</w:t>
      </w:r>
      <w:r w:rsidR="00815AD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and </w:t>
      </w:r>
      <w:r w:rsidR="004D58C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the </w:t>
      </w:r>
      <w:r w:rsidR="00815AD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logistics of their transportation and care were identified</w:t>
      </w:r>
      <w:r w:rsidR="00363E4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(Nice, 2018).</w:t>
      </w:r>
    </w:p>
    <w:p w14:paraId="29BCD3FA" w14:textId="1B65197A" w:rsidR="00815ADE" w:rsidRDefault="00B413BC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 evaluation of potential risks was facilitated by utilizing risk ana</w:t>
      </w:r>
      <w:r w:rsidR="00DC762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lysis tools such as SWOT (S</w:t>
      </w:r>
      <w:r w:rsidR="0064281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trengths, Weaknesses, O</w:t>
      </w:r>
      <w:r w:rsidR="007B738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pportunities, Threats) analysis and a Risk Matrix that </w:t>
      </w:r>
      <w:r w:rsidR="00125CA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were used for a structured evaluation of potential risks. There are </w:t>
      </w:r>
      <w:r w:rsidR="00CC06C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several tools available that help to pri</w:t>
      </w:r>
      <w:r w:rsidR="006867F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oritize risks based on their likelihood and </w:t>
      </w:r>
      <w:r w:rsidR="00052E4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impact, and therefore facilitate the </w:t>
      </w:r>
      <w:r w:rsidR="00EF6BE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development of more targeted mitigation strategies</w:t>
      </w:r>
      <w:r w:rsidR="004D217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A77B5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Elizaga Rebollar et al, 2020).</w:t>
      </w:r>
    </w:p>
    <w:p w14:paraId="5700B8CA" w14:textId="46060C4E" w:rsidR="000C7421" w:rsidRDefault="00CE3060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Analysing</w:t>
      </w:r>
      <w:r w:rsidR="000C742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past incident reports involving the transportation of dementia patients </w:t>
      </w:r>
      <w:r w:rsidR="001E496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helped identify </w:t>
      </w:r>
      <w:r w:rsidR="00362A9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recurring issues, and what their root causes might be, </w:t>
      </w:r>
      <w:r w:rsidR="00173EE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thus providing a ba</w:t>
      </w:r>
      <w:r w:rsidR="00445C0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sis </w:t>
      </w:r>
      <w:r w:rsidR="00173EE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for formulating th</w:t>
      </w:r>
      <w:r w:rsidR="00C21BD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 risk mitigation strategies included in this assessment, as well</w:t>
      </w:r>
      <w:r w:rsidR="00F8430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(Giebel, </w:t>
      </w:r>
      <w:r w:rsidR="0011173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2020).</w:t>
      </w:r>
    </w:p>
    <w:p w14:paraId="1D9D1E85" w14:textId="6D142E61" w:rsidR="00553706" w:rsidRDefault="00553706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Areas Assessed</w:t>
      </w:r>
      <w:r w:rsidR="00722BF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655889E2" w14:textId="778A6D5B" w:rsidR="00722BF1" w:rsidRPr="00A8502B" w:rsidRDefault="00722BF1" w:rsidP="00A8502B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 w:rsidRPr="00A8502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Transportation Risks:</w:t>
      </w:r>
    </w:p>
    <w:p w14:paraId="74363B69" w14:textId="1AEF9D3F" w:rsidR="00722BF1" w:rsidRDefault="00A34CA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lastRenderedPageBreak/>
        <w:t>P</w:t>
      </w:r>
      <w:r w:rsidR="00722BF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ati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ents’ medical stability</w:t>
      </w:r>
    </w:p>
    <w:p w14:paraId="6F4EEF00" w14:textId="4AE70CED" w:rsidR="00A34CA7" w:rsidRDefault="00A34CA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Transportation </w:t>
      </w:r>
      <w:r w:rsidR="00B0065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and personnel appropriateness</w:t>
      </w:r>
    </w:p>
    <w:p w14:paraId="02EE85AE" w14:textId="17536201" w:rsidR="00B00650" w:rsidRDefault="00B00650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Traffic, distance,</w:t>
      </w:r>
      <w:r w:rsidR="00893A0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  <w:r w:rsidR="00445C0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and </w:t>
      </w:r>
      <w:r w:rsidR="00893A0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emergency access risks along the route</w:t>
      </w:r>
    </w:p>
    <w:p w14:paraId="74536948" w14:textId="37674F7F" w:rsidR="00893A0E" w:rsidRDefault="00893A0E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Facility-to-fac</w:t>
      </w:r>
      <w:r w:rsidR="0092565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ility communication</w:t>
      </w:r>
    </w:p>
    <w:p w14:paraId="66AB975A" w14:textId="492747C6" w:rsidR="00925651" w:rsidRDefault="00925651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Arrival and Initial Care Risks:</w:t>
      </w:r>
    </w:p>
    <w:p w14:paraId="20E380E2" w14:textId="15D00E1A" w:rsidR="00925651" w:rsidRDefault="002A7B8C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Assessment and integration of new patients</w:t>
      </w:r>
    </w:p>
    <w:p w14:paraId="149218BC" w14:textId="23E520E4" w:rsidR="002A7B8C" w:rsidRDefault="002A7B8C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Keeping high</w:t>
      </w:r>
      <w:r w:rsidR="004144E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dependency units</w:t>
      </w:r>
      <w:r w:rsidR="006123B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safe and suitable</w:t>
      </w:r>
    </w:p>
    <w:p w14:paraId="29DE747D" w14:textId="0BE44B75" w:rsidR="006123B7" w:rsidRDefault="006123B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Preparation of staff for dementia-specific care</w:t>
      </w:r>
    </w:p>
    <w:p w14:paraId="4A652BA5" w14:textId="28D2E684" w:rsidR="006123B7" w:rsidRDefault="00BD5613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Monitor and respond to emergencies.</w:t>
      </w:r>
      <w:r w:rsidR="00C9545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6D2B8C95" w14:textId="61CAD2F5" w:rsidR="00747C32" w:rsidRDefault="007A5022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Filed Observation: the sending facilities and transport units were observed in real</w:t>
      </w:r>
      <w:r w:rsidR="004144E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t</w:t>
      </w:r>
      <w:r w:rsidR="00B0270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ime to assess the processes. Evaluations included preparation stages, actual transport</w:t>
      </w:r>
      <w:r w:rsidR="004637A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 and the unit’s initial reception and adaptation</w:t>
      </w:r>
      <w:r w:rsidR="005E7EE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7D5D6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Kulshrestha and Singh, 20160).</w:t>
      </w:r>
    </w:p>
    <w:p w14:paraId="65C1EA30" w14:textId="6C806ACF" w:rsidR="002C670E" w:rsidRDefault="002C670E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Stakeholder Feedback: </w:t>
      </w:r>
      <w:r w:rsidR="00500DA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patient family feedback, healthcare staff feedback, and administrative staff feed</w:t>
      </w:r>
      <w:r w:rsidR="001333E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back w</w:t>
      </w:r>
      <w:r w:rsidR="003E2DA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ere </w:t>
      </w:r>
      <w:r w:rsidR="001333E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collected. </w:t>
      </w:r>
      <w:r w:rsidR="00C9611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Fee</w:t>
      </w:r>
      <w:r w:rsidR="003E2DA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</w:t>
      </w:r>
      <w:r w:rsidR="00C9611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back revealed areas not fully covered by </w:t>
      </w:r>
      <w:r w:rsidR="00C7263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theoretical analysis and incident data. Patients and staff</w:t>
      </w:r>
      <w:r w:rsidR="000B2C5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were more prepared as</w:t>
      </w:r>
      <w:r w:rsidR="00E7055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  <w:r w:rsidR="000B2C5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 result</w:t>
      </w:r>
      <w:r w:rsidR="005C2A1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(Baldie et </w:t>
      </w:r>
      <w:r w:rsidR="00D138E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al</w:t>
      </w:r>
      <w:r w:rsidR="003E2DA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</w:t>
      </w:r>
      <w:r w:rsidR="00D138E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2017).</w:t>
      </w:r>
    </w:p>
    <w:p w14:paraId="0A0475BD" w14:textId="553CA273" w:rsidR="000B2C5D" w:rsidRDefault="00AC2EC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Compliance Checks:</w:t>
      </w:r>
      <w:r w:rsidR="00E7055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all operational aspects</w:t>
      </w:r>
      <w:r w:rsidR="000C645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of patient transport and care were reviewed </w:t>
      </w:r>
      <w:r w:rsidR="008D353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for compliance with healthcare regulations </w:t>
      </w:r>
      <w:r w:rsidR="0074514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and standards. </w:t>
      </w:r>
      <w:r w:rsidR="0057110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7E61C428" w14:textId="0FDBA532" w:rsidR="0057110A" w:rsidRDefault="00DE5350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The risk assessment provides a detaile</w:t>
      </w:r>
      <w:r w:rsidR="00B47E4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d, actionable plan to manage and reduce the risks associ</w:t>
      </w:r>
      <w:r w:rsidR="00C845C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ated with transporting and caring for dementia </w:t>
      </w:r>
      <w:r w:rsidR="00B668E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patients. A high</w:t>
      </w:r>
      <w:r w:rsidR="0035008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 w:rsidR="00B668E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dependency unit is update</w:t>
      </w:r>
      <w:r w:rsidR="00286F2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 </w:t>
      </w:r>
      <w:r w:rsidR="00B668E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for this. </w:t>
      </w:r>
      <w:r w:rsidR="00BA1D4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Identifying, understanding, and </w:t>
      </w:r>
      <w:r w:rsidR="0009661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managing potential hazards ensures patients’ hea</w:t>
      </w:r>
      <w:r w:rsidR="0042388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lth and safety</w:t>
      </w:r>
      <w:r w:rsidR="00A4591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(Health and Safety Executive, 2019).</w:t>
      </w:r>
    </w:p>
    <w:p w14:paraId="4E410C31" w14:textId="7467E747" w:rsidR="00476EAD" w:rsidRDefault="00476EAD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3: Compliance</w:t>
      </w:r>
      <w:r w:rsidR="00706EC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68E6E0B6" w14:textId="164F5ECA" w:rsidR="00706ECD" w:rsidRDefault="00D906E2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In a new high</w:t>
      </w:r>
      <w:r w:rsidR="003E2DA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dependency unit, conducting a risk assessment ensures compliance with legislative requirements, industry-specific regulations, and established best practices. </w:t>
      </w:r>
      <w:r w:rsidR="00EB0F3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Compliance with these standards is essential for operational success in the risk assessment. </w:t>
      </w:r>
    </w:p>
    <w:p w14:paraId="1274B37F" w14:textId="1EF7539B" w:rsidR="00507BD6" w:rsidRDefault="008745ED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lastRenderedPageBreak/>
        <w:t>Legislative Re</w:t>
      </w:r>
      <w:r w:rsidR="00CE214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quirements</w:t>
      </w:r>
    </w:p>
    <w:p w14:paraId="23C2FED6" w14:textId="1FF29A99" w:rsidR="00CE2142" w:rsidRDefault="00A05450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Health and safety laws are common in most jur</w:t>
      </w:r>
      <w:r w:rsidR="008956C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isdictions. The purpose </w:t>
      </w:r>
      <w:r w:rsidR="001211C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of a risk </w:t>
      </w:r>
      <w:r w:rsidR="0083541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Law</w:t>
      </w:r>
      <w:r w:rsidR="00347E6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  <w:r w:rsidR="0083541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require</w:t>
      </w:r>
      <w:r w:rsidR="0006542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</w:t>
      </w:r>
      <w:r w:rsidR="0083541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healthcare facilities to provide safe environments for patients and staff: </w:t>
      </w:r>
      <w:r w:rsidR="001211C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assessment is to identify potential hazards and </w:t>
      </w:r>
      <w:r w:rsidR="00F3113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implement measures to mitigate them, thereby </w:t>
      </w:r>
      <w:r w:rsidR="002651D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reducing the risk of accidents and injuries</w:t>
      </w:r>
      <w:r w:rsidR="008219C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9E77D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McGowan, Wojahn and Nicolini, 2023).</w:t>
      </w:r>
    </w:p>
    <w:p w14:paraId="478B3453" w14:textId="6B188CC1" w:rsidR="00165819" w:rsidRDefault="00165819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During the transfer and </w:t>
      </w:r>
      <w:r w:rsidR="00815FE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integration of patient data into a new care facility, compliance with data protection law</w:t>
      </w:r>
      <w:r w:rsidR="00F766F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 like GDPR (General Data Protection Regulation) or HIP</w:t>
      </w:r>
      <w:r w:rsidR="00C42BC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AA (Health Insurance Portability and Accountability Act)</w:t>
      </w:r>
      <w:r w:rsidR="006635D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is crucial. Personal information is handled, transferred, and stored securely. In this way, patient conf</w:t>
      </w:r>
      <w:r w:rsidR="00D46CF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identiality is protected</w:t>
      </w:r>
      <w:r w:rsidR="007A518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CA4CD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Mocydlarz-Adamcewicz, 2021).</w:t>
      </w:r>
    </w:p>
    <w:p w14:paraId="3A36A12D" w14:textId="713FBCB5" w:rsidR="00D46CFB" w:rsidRDefault="00D46CFB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Dementia patients’ special needs require compliance with accessibility </w:t>
      </w:r>
      <w:r w:rsidR="003965C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standards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.</w:t>
      </w:r>
      <w:r w:rsidR="00F40E6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V</w:t>
      </w:r>
      <w:r w:rsidR="003965C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ehicles and the new facility are assessed for accessibility, ensuring that </w:t>
      </w:r>
      <w:r w:rsidR="00355EF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these environments can handle patients with reduced mobility and other </w:t>
      </w:r>
      <w:r w:rsidR="00E3597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disabilities according to ADA (</w:t>
      </w:r>
      <w:r w:rsidR="00930F3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Americans</w:t>
      </w:r>
      <w:r w:rsidR="00E3597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with Disability Act) </w:t>
      </w:r>
      <w:r w:rsidR="00930F3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guidelines</w:t>
      </w:r>
      <w:r w:rsidR="006120D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D24E9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Kapsalis, Jaeger and Hale, 2022).</w:t>
      </w:r>
    </w:p>
    <w:p w14:paraId="1D010E57" w14:textId="743ADD4C" w:rsidR="008E3A14" w:rsidRDefault="008E3A14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Industry</w:t>
      </w:r>
      <w:r w:rsidR="00F724A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specific Requirements</w:t>
      </w:r>
    </w:p>
    <w:p w14:paraId="69EBF647" w14:textId="53D27253" w:rsidR="008E3A14" w:rsidRDefault="008E3A14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Generally,</w:t>
      </w:r>
      <w:r w:rsidR="00F8783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hospitals and</w:t>
      </w:r>
      <w:r w:rsidR="005427B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other healthcare facilit</w:t>
      </w:r>
      <w:r w:rsidR="00196A4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ies </w:t>
      </w:r>
      <w:r w:rsidR="005427B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are accredited by a variety of accrediting </w:t>
      </w:r>
      <w:r w:rsidR="0018477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bodies such as the Joint Commission or similar organization</w:t>
      </w:r>
      <w:r w:rsidR="00C5008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 in other countries, which accredit hospitals and </w:t>
      </w:r>
      <w:r w:rsidR="00A86DA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another</w:t>
      </w:r>
      <w:r w:rsidR="00C5008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healthcare </w:t>
      </w:r>
      <w:r w:rsidR="00A4493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facilit</w:t>
      </w:r>
      <w:r w:rsidR="00C257B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ies.</w:t>
      </w:r>
      <w:r w:rsidR="00A4493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In the field of patient </w:t>
      </w:r>
      <w:r w:rsidR="00F8783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safety and care, these</w:t>
      </w:r>
      <w:r w:rsidR="0058730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bodies set standards. As part of the risk assessment process, it is ensured that the transportation and care processes meet these standards</w:t>
      </w:r>
      <w:r w:rsidR="00CB413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, particularly those that relate to patient safety, staff qualifications, and emergency </w:t>
      </w:r>
      <w:r w:rsidR="001A346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preparedness</w:t>
      </w:r>
      <w:r w:rsidR="00963B1D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(Sperling and Pikkel, 2020).</w:t>
      </w:r>
    </w:p>
    <w:p w14:paraId="4AC19C93" w14:textId="1DE40C9E" w:rsidR="001A346F" w:rsidRDefault="001A346F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Best Practice in Dementia Care: following best practice</w:t>
      </w:r>
      <w:r w:rsidR="000A3FF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in dementia care, such as those recommen</w:t>
      </w:r>
      <w:r w:rsidR="00EF313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ded by the Alzheimer’s Association or dementia care frameworks used in the UK</w:t>
      </w:r>
      <w:r w:rsidR="00FA380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 is crucial. Risk assessments incorporate these practices, including care plans, environmental ad</w:t>
      </w:r>
      <w:r w:rsidR="00DC1EF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justments, and staff training</w:t>
      </w:r>
      <w:r w:rsidR="001D166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(Faz</w:t>
      </w:r>
      <w:r w:rsidR="007A35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io et al</w:t>
      </w:r>
      <w:r w:rsidR="006469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</w:t>
      </w:r>
      <w:r w:rsidR="007A35F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2018).</w:t>
      </w:r>
    </w:p>
    <w:p w14:paraId="30BD724E" w14:textId="72905126" w:rsidR="006B2A88" w:rsidRDefault="000C7088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Compliance is an essential part of any organization’s work, and proper documentation i</w:t>
      </w:r>
      <w:r w:rsidR="00921DF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 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one of the most important com</w:t>
      </w:r>
      <w:r w:rsidR="00F42395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ponents. As part of the risk assessment process, it is important to keep detailed records of all assessments</w:t>
      </w:r>
      <w:r w:rsidR="00E40DC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, decisions made, actions taken, and reasons for </w:t>
      </w:r>
      <w:r w:rsidR="00E40DC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lastRenderedPageBreak/>
        <w:t xml:space="preserve">taking these actions as part of the risk assessment process. As part of the auditing and inspection process by regulatory </w:t>
      </w:r>
      <w:r w:rsidR="00CA5A2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bodies, this documentation is helpful.</w:t>
      </w:r>
    </w:p>
    <w:p w14:paraId="1DEBFC6E" w14:textId="21DFF847" w:rsidR="00CA5A20" w:rsidRDefault="00CA5A20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Maintaining compliance is a contin</w:t>
      </w:r>
      <w:r w:rsidR="00AF136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uous process. Regularly update</w:t>
      </w:r>
      <w:r w:rsidR="003251B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</w:t>
      </w:r>
      <w:r w:rsidR="00AF136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as new issues arise or regulations change</w:t>
      </w:r>
      <w:r w:rsidR="003251B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,</w:t>
      </w:r>
      <w:r w:rsidR="00AF136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the risk assessments </w:t>
      </w:r>
      <w:r w:rsidR="00D2565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are</w:t>
      </w:r>
      <w:r w:rsidR="00AF136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a living document. </w:t>
      </w:r>
      <w:r w:rsidR="00006FC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Ensures ongoing compliance and adapts to changing regulations.</w:t>
      </w:r>
      <w:r w:rsidR="00D2565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6F73BD05" w14:textId="2418A78F" w:rsidR="00D25659" w:rsidRDefault="00D25659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Stakeholder engagement ensure</w:t>
      </w:r>
      <w:r w:rsidR="009610E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</w:t>
      </w: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compliance aspects </w:t>
      </w:r>
      <w:r w:rsidR="004C096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are thoroughly discussed during the risk assessment process. The unit’s operations are </w:t>
      </w:r>
      <w:r w:rsidR="008E3B0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periodically reviewed wit</w:t>
      </w:r>
      <w:r w:rsidR="008C7D0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h </w:t>
      </w:r>
      <w:r w:rsidR="008E3B0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these bodies to ensure compliance</w:t>
      </w:r>
      <w:r w:rsidR="0086698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(K</w:t>
      </w:r>
      <w:r w:rsidR="00523EF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ujala et al</w:t>
      </w:r>
      <w:r w:rsidR="009610E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, </w:t>
      </w:r>
      <w:r w:rsidR="00523EF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2022).</w:t>
      </w:r>
    </w:p>
    <w:p w14:paraId="21F37238" w14:textId="2D766798" w:rsidR="00F863B0" w:rsidRDefault="00FD779B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Risk assessment plays an important role in the health and safety of both patients and </w:t>
      </w:r>
      <w:r w:rsidR="00972D7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staff as it addresses these aspects of compliance. Furthermore, the </w:t>
      </w:r>
      <w:r w:rsidR="002323A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accreditation process </w:t>
      </w:r>
      <w:r w:rsidR="00DD1FB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ensures</w:t>
      </w:r>
      <w:r w:rsidR="002323A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that the facility operates within </w:t>
      </w:r>
      <w:r w:rsidR="00CA173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the </w:t>
      </w:r>
      <w:r w:rsidR="00DD1FB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legal</w:t>
      </w:r>
      <w:r w:rsidR="00CA173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framework dictated by the relevant authorities and the standards dictated by the accredited organizations. </w:t>
      </w:r>
      <w:r w:rsidR="00AE124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The protective approach minimizes the risk of non-compliance pen</w:t>
      </w:r>
      <w:r w:rsidR="003335B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alties and supports the mission of the high</w:t>
      </w:r>
      <w:r w:rsidR="008C7D0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 w:rsidR="003335B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dependency unit to provide s</w:t>
      </w:r>
      <w:r w:rsidR="00757E1E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afe, effective, and compassionate care to dementia patients who suffer f</w:t>
      </w:r>
      <w:r w:rsidR="00DD1FB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rom the disease</w:t>
      </w:r>
      <w:r w:rsidR="009B125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</w:t>
      </w:r>
      <w:r w:rsidR="003B335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Kaya, Ward and Clarkson, 2</w:t>
      </w:r>
      <w:r w:rsidR="001D2CD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019).</w:t>
      </w:r>
    </w:p>
    <w:p w14:paraId="34D26F4B" w14:textId="3BD1681D" w:rsidR="000B2327" w:rsidRDefault="000B232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4. Risk Assessment Register</w:t>
      </w:r>
    </w:p>
    <w:p w14:paraId="24E25E9A" w14:textId="420A77BF" w:rsidR="000B2327" w:rsidRDefault="00915C0B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Description of Risk Li</w:t>
      </w:r>
      <w:r w:rsidR="00BD28E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kelihood of Occurrence Impact of Occurrence Risk Score</w:t>
      </w:r>
      <w:r w:rsidR="00B667D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(Likelihood x Occurrence) Risk Severity </w:t>
      </w:r>
      <w:r w:rsidR="00136BF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(High, Medium, Low).</w:t>
      </w:r>
      <w:r w:rsidR="00C65010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The Risk assessment Register</w:t>
      </w:r>
      <w:r w:rsidR="00037D51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  <w:r w:rsidR="000F352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for dementia patients in a new high</w:t>
      </w:r>
      <w:r w:rsidR="0061062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-</w:t>
      </w:r>
      <w:r w:rsidR="000F352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dependency unit will identi</w:t>
      </w:r>
      <w:r w:rsidR="00DA67B6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fy key risks, determine their likelihoo</w:t>
      </w:r>
      <w:r w:rsidR="00971AB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 and impact, calculate a risk score, and assign a severity level. </w:t>
      </w:r>
      <w:r w:rsidR="00A24A9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Here’s </w:t>
      </w:r>
      <w:r w:rsidR="0061062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the </w:t>
      </w:r>
      <w:r w:rsidR="00A24A9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structured format to follow:</w:t>
      </w:r>
    </w:p>
    <w:tbl>
      <w:tblPr>
        <w:tblStyle w:val="TableGrid"/>
        <w:tblpPr w:leftFromText="180" w:rightFromText="180" w:vertAnchor="text" w:horzAnchor="margin" w:tblpY="181"/>
        <w:tblW w:w="9946" w:type="dxa"/>
        <w:tblLook w:val="04A0" w:firstRow="1" w:lastRow="0" w:firstColumn="1" w:lastColumn="0" w:noHBand="0" w:noVBand="1"/>
      </w:tblPr>
      <w:tblGrid>
        <w:gridCol w:w="1657"/>
        <w:gridCol w:w="1657"/>
        <w:gridCol w:w="1658"/>
        <w:gridCol w:w="1658"/>
        <w:gridCol w:w="1658"/>
        <w:gridCol w:w="1658"/>
      </w:tblGrid>
      <w:tr w:rsidR="00C540D5" w14:paraId="366FF0A3" w14:textId="77777777" w:rsidTr="00D51A32">
        <w:trPr>
          <w:trHeight w:val="1266"/>
        </w:trPr>
        <w:tc>
          <w:tcPr>
            <w:tcW w:w="1657" w:type="dxa"/>
          </w:tcPr>
          <w:p w14:paraId="597DD850" w14:textId="77777777" w:rsidR="00C540D5" w:rsidRPr="00A75416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hd w:val="clear" w:color="auto" w:fill="FFFFFF"/>
              </w:rPr>
              <w:t>Ref</w:t>
            </w:r>
          </w:p>
        </w:tc>
        <w:tc>
          <w:tcPr>
            <w:tcW w:w="1657" w:type="dxa"/>
          </w:tcPr>
          <w:p w14:paraId="4BE06BD3" w14:textId="77777777" w:rsidR="00C540D5" w:rsidRPr="00A75416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hd w:val="clear" w:color="auto" w:fill="FFFFFF"/>
              </w:rPr>
              <w:t>Risk Description</w:t>
            </w:r>
          </w:p>
        </w:tc>
        <w:tc>
          <w:tcPr>
            <w:tcW w:w="1658" w:type="dxa"/>
          </w:tcPr>
          <w:p w14:paraId="7B9553AB" w14:textId="77777777" w:rsidR="00C540D5" w:rsidRPr="00A75416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hd w:val="clear" w:color="auto" w:fill="FFFFFF"/>
              </w:rPr>
              <w:t>Likelihood of Occurrence (1-5)</w:t>
            </w:r>
          </w:p>
        </w:tc>
        <w:tc>
          <w:tcPr>
            <w:tcW w:w="1658" w:type="dxa"/>
          </w:tcPr>
          <w:p w14:paraId="2AB7B50B" w14:textId="77777777" w:rsidR="00C540D5" w:rsidRPr="00A75416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hd w:val="clear" w:color="auto" w:fill="FFFFFF"/>
              </w:rPr>
              <w:t>Impact of Risk Occurrence (1-5)</w:t>
            </w:r>
          </w:p>
        </w:tc>
        <w:tc>
          <w:tcPr>
            <w:tcW w:w="1658" w:type="dxa"/>
          </w:tcPr>
          <w:p w14:paraId="64A92C74" w14:textId="77777777" w:rsidR="00C540D5" w:rsidRPr="00A75416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hd w:val="clear" w:color="auto" w:fill="FFFFFF"/>
              </w:rPr>
              <w:t>Risk Score (Likelihood x Impact)</w:t>
            </w:r>
          </w:p>
        </w:tc>
        <w:tc>
          <w:tcPr>
            <w:tcW w:w="1658" w:type="dxa"/>
          </w:tcPr>
          <w:p w14:paraId="491B4697" w14:textId="77777777" w:rsidR="00C540D5" w:rsidRPr="00A75416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hd w:val="clear" w:color="auto" w:fill="FFFFFF"/>
              </w:rPr>
              <w:t>Risk Severity</w:t>
            </w:r>
          </w:p>
        </w:tc>
      </w:tr>
      <w:tr w:rsidR="00C540D5" w14:paraId="535DB32B" w14:textId="77777777" w:rsidTr="00D51A32">
        <w:trPr>
          <w:trHeight w:val="562"/>
        </w:trPr>
        <w:tc>
          <w:tcPr>
            <w:tcW w:w="1657" w:type="dxa"/>
          </w:tcPr>
          <w:p w14:paraId="7F6F78A0" w14:textId="77777777" w:rsidR="00C540D5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657" w:type="dxa"/>
          </w:tcPr>
          <w:p w14:paraId="7273830A" w14:textId="6FE0F3C9" w:rsidR="00C540D5" w:rsidRPr="00A75416" w:rsidRDefault="009E1218" w:rsidP="00C540D5">
            <w:pPr>
              <w:spacing w:line="360" w:lineRule="auto"/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>Medical incident during transportation</w:t>
            </w:r>
          </w:p>
        </w:tc>
        <w:tc>
          <w:tcPr>
            <w:tcW w:w="1658" w:type="dxa"/>
          </w:tcPr>
          <w:p w14:paraId="54770CA5" w14:textId="69228C8E" w:rsidR="00C540D5" w:rsidRDefault="00E650AE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658" w:type="dxa"/>
          </w:tcPr>
          <w:p w14:paraId="762CF313" w14:textId="60DD86EE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658" w:type="dxa"/>
          </w:tcPr>
          <w:p w14:paraId="357617A4" w14:textId="449F54F6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1658" w:type="dxa"/>
          </w:tcPr>
          <w:p w14:paraId="0E75AC3F" w14:textId="2FCEC939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High</w:t>
            </w:r>
          </w:p>
        </w:tc>
      </w:tr>
      <w:tr w:rsidR="00C540D5" w14:paraId="4445E3F0" w14:textId="77777777" w:rsidTr="00D51A32">
        <w:trPr>
          <w:trHeight w:val="579"/>
        </w:trPr>
        <w:tc>
          <w:tcPr>
            <w:tcW w:w="1657" w:type="dxa"/>
          </w:tcPr>
          <w:p w14:paraId="4CAF60FF" w14:textId="77777777" w:rsidR="00C540D5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657" w:type="dxa"/>
          </w:tcPr>
          <w:p w14:paraId="7F28F172" w14:textId="1B101780" w:rsidR="00C540D5" w:rsidRPr="00A75416" w:rsidRDefault="00172242" w:rsidP="00C540D5">
            <w:pPr>
              <w:spacing w:line="360" w:lineRule="auto"/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 xml:space="preserve">Inadequate staff training for </w:t>
            </w:r>
            <w:r w:rsidRPr="00A75416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lastRenderedPageBreak/>
              <w:t>dementia-specific care</w:t>
            </w:r>
          </w:p>
        </w:tc>
        <w:tc>
          <w:tcPr>
            <w:tcW w:w="1658" w:type="dxa"/>
          </w:tcPr>
          <w:p w14:paraId="60C3A84F" w14:textId="2B0A55B1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1658" w:type="dxa"/>
          </w:tcPr>
          <w:p w14:paraId="4D1CCF51" w14:textId="468633CD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658" w:type="dxa"/>
          </w:tcPr>
          <w:p w14:paraId="654A307D" w14:textId="743BA599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658" w:type="dxa"/>
          </w:tcPr>
          <w:p w14:paraId="6A3311FC" w14:textId="73AFDD0C" w:rsidR="00C540D5" w:rsidRDefault="009F3D57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High</w:t>
            </w:r>
          </w:p>
        </w:tc>
      </w:tr>
      <w:tr w:rsidR="00C540D5" w14:paraId="057FAB75" w14:textId="77777777" w:rsidTr="00D51A32">
        <w:trPr>
          <w:trHeight w:val="562"/>
        </w:trPr>
        <w:tc>
          <w:tcPr>
            <w:tcW w:w="1657" w:type="dxa"/>
          </w:tcPr>
          <w:p w14:paraId="48463D89" w14:textId="77777777" w:rsidR="00C540D5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657" w:type="dxa"/>
          </w:tcPr>
          <w:p w14:paraId="49B39852" w14:textId="33ED4DAB" w:rsidR="00C540D5" w:rsidRPr="00A75416" w:rsidRDefault="00D51A32" w:rsidP="00C540D5">
            <w:pPr>
              <w:spacing w:line="360" w:lineRule="auto"/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</w:pPr>
            <w:r w:rsidRPr="00A75416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 xml:space="preserve">Loss of patient data or breach of confidentiality </w:t>
            </w:r>
          </w:p>
        </w:tc>
        <w:tc>
          <w:tcPr>
            <w:tcW w:w="1658" w:type="dxa"/>
          </w:tcPr>
          <w:p w14:paraId="09E75CAE" w14:textId="67899619" w:rsidR="00C540D5" w:rsidRDefault="004C6D43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658" w:type="dxa"/>
          </w:tcPr>
          <w:p w14:paraId="0BDB3F5A" w14:textId="2450314C" w:rsidR="00C540D5" w:rsidRDefault="004C6D43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658" w:type="dxa"/>
          </w:tcPr>
          <w:p w14:paraId="751A25C0" w14:textId="508861AF" w:rsidR="00C540D5" w:rsidRDefault="004C6D43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658" w:type="dxa"/>
          </w:tcPr>
          <w:p w14:paraId="07273096" w14:textId="7F693BA8" w:rsidR="00C540D5" w:rsidRDefault="004C6D43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High</w:t>
            </w:r>
          </w:p>
        </w:tc>
      </w:tr>
      <w:tr w:rsidR="00C540D5" w14:paraId="2A2D40FC" w14:textId="77777777" w:rsidTr="00D51A32">
        <w:trPr>
          <w:trHeight w:val="579"/>
        </w:trPr>
        <w:tc>
          <w:tcPr>
            <w:tcW w:w="1657" w:type="dxa"/>
          </w:tcPr>
          <w:p w14:paraId="0DE16D7E" w14:textId="77777777" w:rsidR="00C540D5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657" w:type="dxa"/>
          </w:tcPr>
          <w:p w14:paraId="1C3220EA" w14:textId="1DEC2AEC" w:rsidR="00C540D5" w:rsidRPr="004B05EA" w:rsidRDefault="008B73B0" w:rsidP="00C540D5">
            <w:pPr>
              <w:spacing w:line="360" w:lineRule="auto"/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</w:pPr>
            <w:r w:rsidRPr="004B05EA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 xml:space="preserve">Inadequate environmental safety </w:t>
            </w:r>
            <w:r w:rsidR="001642B6" w:rsidRPr="004B05EA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>features in HDU</w:t>
            </w:r>
          </w:p>
        </w:tc>
        <w:tc>
          <w:tcPr>
            <w:tcW w:w="1658" w:type="dxa"/>
          </w:tcPr>
          <w:p w14:paraId="4A2575F1" w14:textId="17F049A8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658" w:type="dxa"/>
          </w:tcPr>
          <w:p w14:paraId="1A2A7C97" w14:textId="784666C7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658" w:type="dxa"/>
          </w:tcPr>
          <w:p w14:paraId="6AFA5EC1" w14:textId="3FE1DBB3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658" w:type="dxa"/>
          </w:tcPr>
          <w:p w14:paraId="22121145" w14:textId="487A5DAB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Medium</w:t>
            </w:r>
          </w:p>
        </w:tc>
      </w:tr>
      <w:tr w:rsidR="00C540D5" w14:paraId="3E00BD1F" w14:textId="77777777" w:rsidTr="00D51A32">
        <w:trPr>
          <w:trHeight w:val="562"/>
        </w:trPr>
        <w:tc>
          <w:tcPr>
            <w:tcW w:w="1657" w:type="dxa"/>
          </w:tcPr>
          <w:p w14:paraId="2522D0E0" w14:textId="77777777" w:rsidR="00C540D5" w:rsidRDefault="00C540D5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657" w:type="dxa"/>
          </w:tcPr>
          <w:p w14:paraId="43B3E63C" w14:textId="56276386" w:rsidR="00C540D5" w:rsidRPr="004B05EA" w:rsidRDefault="001642B6" w:rsidP="00C540D5">
            <w:pPr>
              <w:spacing w:line="360" w:lineRule="auto"/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</w:pPr>
            <w:r w:rsidRPr="004B05EA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>Communication fail</w:t>
            </w:r>
            <w:r w:rsidR="004B05EA" w:rsidRPr="004B05EA">
              <w:rPr>
                <w:rFonts w:ascii="Calibri" w:hAnsi="Calibri" w:cs="Calibri"/>
                <w:color w:val="1D2125"/>
                <w:sz w:val="20"/>
                <w:szCs w:val="20"/>
                <w:shd w:val="clear" w:color="auto" w:fill="FFFFFF"/>
              </w:rPr>
              <w:t>ures between sending and receiving units</w:t>
            </w:r>
          </w:p>
        </w:tc>
        <w:tc>
          <w:tcPr>
            <w:tcW w:w="1658" w:type="dxa"/>
          </w:tcPr>
          <w:p w14:paraId="679462DD" w14:textId="19684DE7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658" w:type="dxa"/>
          </w:tcPr>
          <w:p w14:paraId="42A194AC" w14:textId="51815628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658" w:type="dxa"/>
          </w:tcPr>
          <w:p w14:paraId="4BD162E6" w14:textId="69D3220F" w:rsidR="00C540D5" w:rsidRDefault="003C61A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658" w:type="dxa"/>
          </w:tcPr>
          <w:p w14:paraId="3ACBF848" w14:textId="33245CBA" w:rsidR="00C540D5" w:rsidRDefault="00C85D34" w:rsidP="00C540D5">
            <w:pPr>
              <w:spacing w:line="360" w:lineRule="auto"/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 w:cs="Calibri"/>
                <w:color w:val="1D2125"/>
                <w:sz w:val="24"/>
                <w:szCs w:val="24"/>
                <w:shd w:val="clear" w:color="auto" w:fill="FFFFFF"/>
              </w:rPr>
              <w:t>Medium</w:t>
            </w:r>
          </w:p>
        </w:tc>
      </w:tr>
    </w:tbl>
    <w:p w14:paraId="7A16E972" w14:textId="77777777" w:rsidR="00A24A92" w:rsidRDefault="00A24A92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</w:p>
    <w:p w14:paraId="25497C2D" w14:textId="3886A771" w:rsidR="00C85D34" w:rsidRDefault="005B7C98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Expl</w:t>
      </w:r>
      <w:r w:rsidR="003704E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anation of Risk Register</w:t>
      </w:r>
    </w:p>
    <w:p w14:paraId="45B777DC" w14:textId="02AA8509" w:rsidR="003704EA" w:rsidRDefault="003704EA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Ref 1</w:t>
      </w:r>
      <w:r w:rsidR="005D4258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: </w:t>
      </w:r>
      <w:r w:rsidR="001D031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Transportation </w:t>
      </w:r>
      <w:r w:rsidR="009307F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medical incident </w:t>
      </w:r>
    </w:p>
    <w:p w14:paraId="7FEA890A" w14:textId="0FDCD156" w:rsidR="00EF4BC7" w:rsidRDefault="006E1A98" w:rsidP="006E1A98">
      <w:pPr>
        <w:pStyle w:val="ListParagraph"/>
        <w:numPr>
          <w:ilvl w:val="0"/>
          <w:numId w:val="5"/>
        </w:num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Lik</w:t>
      </w:r>
      <w:r w:rsidR="0081059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elihood: Moderate given the </w:t>
      </w:r>
      <w:r w:rsidR="00AA095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potential for changes in patient condition during transfer.</w:t>
      </w:r>
    </w:p>
    <w:p w14:paraId="2F9AFF9D" w14:textId="3B9A225B" w:rsidR="0087729A" w:rsidRDefault="0087729A" w:rsidP="006E1A98">
      <w:pPr>
        <w:pStyle w:val="ListParagraph"/>
        <w:numPr>
          <w:ilvl w:val="0"/>
          <w:numId w:val="5"/>
        </w:num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Impact: </w:t>
      </w:r>
      <w:r w:rsidR="005E1D5B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Dementia patients are at risk of severe outcomes </w:t>
      </w:r>
      <w:r w:rsidR="006A36B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from incidents.</w:t>
      </w:r>
    </w:p>
    <w:p w14:paraId="5463E91C" w14:textId="640466DA" w:rsidR="006A36B3" w:rsidRPr="006E1A98" w:rsidRDefault="006A36B3" w:rsidP="006E1A98">
      <w:pPr>
        <w:pStyle w:val="ListParagraph"/>
        <w:numPr>
          <w:ilvl w:val="0"/>
          <w:numId w:val="5"/>
        </w:num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Severity: High due to </w:t>
      </w:r>
      <w:r w:rsidR="00F87F4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the </w:t>
      </w:r>
      <w:r w:rsidR="00151607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critical nature of ensuring patient stability. </w:t>
      </w:r>
    </w:p>
    <w:p w14:paraId="44E1D34A" w14:textId="01AB7046" w:rsidR="00BD5613" w:rsidRDefault="00151607" w:rsidP="00C36165">
      <w:p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Ref </w:t>
      </w:r>
      <w:r w:rsidR="00A71F23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2: Lack of dementia-specific staff training</w:t>
      </w:r>
      <w:r w:rsidR="00573EDA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</w:t>
      </w:r>
    </w:p>
    <w:p w14:paraId="559F4F1A" w14:textId="1CA53D06" w:rsidR="00573EDA" w:rsidRDefault="00573EDA" w:rsidP="00573EDA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Li</w:t>
      </w:r>
      <w:r w:rsidR="004874CC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kelihood: Low if ongoing training programs are in place, </w:t>
      </w:r>
      <w:r w:rsidR="00D93782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but lapses can occur.</w:t>
      </w:r>
    </w:p>
    <w:p w14:paraId="76163039" w14:textId="4AC6544A" w:rsidR="00D93782" w:rsidRDefault="00D93782" w:rsidP="00573EDA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Impact:</w:t>
      </w:r>
      <w:r w:rsidR="006214AF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 High, as improper care negatively impacts </w:t>
      </w:r>
      <w:r w:rsidR="00490F74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patient outcomes.</w:t>
      </w:r>
    </w:p>
    <w:p w14:paraId="4C76430E" w14:textId="06833183" w:rsidR="00490F74" w:rsidRPr="00573EDA" w:rsidRDefault="00490F74" w:rsidP="00573EDA">
      <w:pPr>
        <w:pStyle w:val="ListParagraph"/>
        <w:numPr>
          <w:ilvl w:val="0"/>
          <w:numId w:val="6"/>
        </w:numPr>
        <w:spacing w:line="360" w:lineRule="auto"/>
        <w:rPr>
          <w:rFonts w:ascii="Calibri" w:hAnsi="Calibri" w:cs="Calibri"/>
          <w:color w:val="1D2125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 xml:space="preserve">Severity: High, indicating the </w:t>
      </w:r>
      <w:r w:rsidR="00777619">
        <w:rPr>
          <w:rFonts w:ascii="Calibri" w:hAnsi="Calibri" w:cs="Calibri"/>
          <w:color w:val="1D2125"/>
          <w:sz w:val="24"/>
          <w:szCs w:val="24"/>
          <w:shd w:val="clear" w:color="auto" w:fill="FFFFFF"/>
        </w:rPr>
        <w:t>need for specialized dementia training.</w:t>
      </w:r>
    </w:p>
    <w:p w14:paraId="431792B6" w14:textId="4B09BD15" w:rsidR="0093034B" w:rsidRDefault="00527658" w:rsidP="00C36165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Ref 3: </w:t>
      </w:r>
      <w:r w:rsidR="00883BB5">
        <w:rPr>
          <w:rFonts w:ascii="Calibri" w:hAnsi="Calibri" w:cs="Calibri"/>
          <w:sz w:val="24"/>
          <w:szCs w:val="24"/>
        </w:rPr>
        <w:t xml:space="preserve">Data loss or breach of </w:t>
      </w:r>
      <w:r w:rsidR="00D6586A">
        <w:rPr>
          <w:rFonts w:ascii="Calibri" w:hAnsi="Calibri" w:cs="Calibri"/>
          <w:sz w:val="24"/>
          <w:szCs w:val="24"/>
        </w:rPr>
        <w:t>confidentiality</w:t>
      </w:r>
    </w:p>
    <w:p w14:paraId="7FDACD46" w14:textId="4A4D8431" w:rsidR="00D6586A" w:rsidRDefault="002829E2" w:rsidP="00D6586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Likelihood: This risk is less likely with string</w:t>
      </w:r>
      <w:r w:rsidR="00627285">
        <w:rPr>
          <w:rFonts w:ascii="Calibri" w:hAnsi="Calibri" w:cs="Calibri"/>
          <w:sz w:val="24"/>
          <w:szCs w:val="24"/>
        </w:rPr>
        <w:t>ent data protection measures.</w:t>
      </w:r>
    </w:p>
    <w:p w14:paraId="7C90A794" w14:textId="371DB508" w:rsidR="00627285" w:rsidRDefault="00627285" w:rsidP="00D6586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Impact: High in terms of legal, ethical, and </w:t>
      </w:r>
      <w:r w:rsidR="00184FFC">
        <w:rPr>
          <w:rFonts w:ascii="Calibri" w:hAnsi="Calibri" w:cs="Calibri"/>
          <w:sz w:val="24"/>
          <w:szCs w:val="24"/>
        </w:rPr>
        <w:t>trust implications.</w:t>
      </w:r>
    </w:p>
    <w:p w14:paraId="45B501E9" w14:textId="5DBA8990" w:rsidR="00184FFC" w:rsidRDefault="00184FFC" w:rsidP="00D6586A">
      <w:pPr>
        <w:pStyle w:val="ListParagraph"/>
        <w:numPr>
          <w:ilvl w:val="0"/>
          <w:numId w:val="7"/>
        </w:num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Severity: High, highlighting the need for robust data security.</w:t>
      </w:r>
      <w:r w:rsidR="008539CE">
        <w:rPr>
          <w:rFonts w:ascii="Calibri" w:hAnsi="Calibri" w:cs="Calibri"/>
          <w:sz w:val="24"/>
          <w:szCs w:val="24"/>
        </w:rPr>
        <w:t xml:space="preserve"> </w:t>
      </w:r>
    </w:p>
    <w:p w14:paraId="1B6BAF59" w14:textId="22A2730A" w:rsidR="008539CE" w:rsidRDefault="008539CE" w:rsidP="008539CE">
      <w:r>
        <w:t>Ref 4: HDUs lack envir</w:t>
      </w:r>
      <w:r w:rsidR="00832C2C">
        <w:t>onmental safety features.</w:t>
      </w:r>
    </w:p>
    <w:p w14:paraId="1484AEE8" w14:textId="39D452BF" w:rsidR="00832C2C" w:rsidRDefault="00832C2C" w:rsidP="00832C2C">
      <w:pPr>
        <w:pStyle w:val="ListParagraph"/>
        <w:numPr>
          <w:ilvl w:val="0"/>
          <w:numId w:val="8"/>
        </w:numPr>
      </w:pPr>
      <w:r>
        <w:t>Likelihood:</w:t>
      </w:r>
      <w:r w:rsidR="00596D60">
        <w:t xml:space="preserve"> Minor issues are likely to be overlooked if initial standards </w:t>
      </w:r>
      <w:r w:rsidR="00D802B8">
        <w:t>are followed.</w:t>
      </w:r>
    </w:p>
    <w:p w14:paraId="7669649A" w14:textId="2C095714" w:rsidR="00D802B8" w:rsidRDefault="00D802B8" w:rsidP="00832C2C">
      <w:pPr>
        <w:pStyle w:val="ListParagraph"/>
        <w:numPr>
          <w:ilvl w:val="0"/>
          <w:numId w:val="8"/>
        </w:numPr>
      </w:pPr>
      <w:r>
        <w:t xml:space="preserve">Impact: High, as </w:t>
      </w:r>
      <w:r w:rsidR="005A134C">
        <w:t xml:space="preserve">the </w:t>
      </w:r>
      <w:r>
        <w:t>environment plays a significant role in dementia care.</w:t>
      </w:r>
    </w:p>
    <w:p w14:paraId="6C2D5E70" w14:textId="76B18732" w:rsidR="00D802B8" w:rsidRDefault="00D802B8" w:rsidP="00832C2C">
      <w:pPr>
        <w:pStyle w:val="ListParagraph"/>
        <w:numPr>
          <w:ilvl w:val="0"/>
          <w:numId w:val="8"/>
        </w:numPr>
      </w:pPr>
      <w:r>
        <w:lastRenderedPageBreak/>
        <w:t xml:space="preserve">Severity: Medium, depending on the extent </w:t>
      </w:r>
      <w:r w:rsidR="000E6728">
        <w:t xml:space="preserve">and nature of the deficiencies. </w:t>
      </w:r>
    </w:p>
    <w:p w14:paraId="0A52AB3D" w14:textId="2A22A6E6" w:rsidR="000E6728" w:rsidRDefault="000E6728" w:rsidP="000E6728">
      <w:r>
        <w:t xml:space="preserve">Ref 5: </w:t>
      </w:r>
      <w:r w:rsidR="00034F41">
        <w:t>Units fail to communicate.</w:t>
      </w:r>
    </w:p>
    <w:p w14:paraId="2EE35840" w14:textId="2E6DD648" w:rsidR="00034F41" w:rsidRDefault="00034F41" w:rsidP="00034F41">
      <w:pPr>
        <w:pStyle w:val="ListParagraph"/>
        <w:numPr>
          <w:ilvl w:val="0"/>
          <w:numId w:val="9"/>
        </w:numPr>
      </w:pPr>
      <w:r>
        <w:t xml:space="preserve">Likelihood: </w:t>
      </w:r>
      <w:r w:rsidR="004B1620">
        <w:t>Transitions are prone to coordination challenges.</w:t>
      </w:r>
    </w:p>
    <w:p w14:paraId="414B6E24" w14:textId="1B1B1518" w:rsidR="004B1620" w:rsidRDefault="00E27DFB" w:rsidP="00034F41">
      <w:pPr>
        <w:pStyle w:val="ListParagraph"/>
        <w:numPr>
          <w:ilvl w:val="0"/>
          <w:numId w:val="9"/>
        </w:numPr>
      </w:pPr>
      <w:r>
        <w:t xml:space="preserve">Impact: Moderate, since they complicate patient reception and initial care, </w:t>
      </w:r>
      <w:r w:rsidR="00A31E00">
        <w:t>but can generally be fixed.</w:t>
      </w:r>
    </w:p>
    <w:p w14:paraId="3E933BAC" w14:textId="4893F4D7" w:rsidR="00405BEC" w:rsidRDefault="00A31E00" w:rsidP="00405BEC">
      <w:pPr>
        <w:pStyle w:val="ListParagraph"/>
        <w:numPr>
          <w:ilvl w:val="0"/>
          <w:numId w:val="9"/>
        </w:numPr>
      </w:pPr>
      <w:r>
        <w:t xml:space="preserve">Severity: Medium, given manageable but </w:t>
      </w:r>
      <w:r w:rsidR="00405BEC">
        <w:t>significant consequences</w:t>
      </w:r>
      <w:r w:rsidR="005A64BD">
        <w:t xml:space="preserve"> (</w:t>
      </w:r>
      <w:r w:rsidR="00536E4D">
        <w:t xml:space="preserve">National Institute for </w:t>
      </w:r>
      <w:r w:rsidR="001B6209">
        <w:t>Health and Care Excellence, 2018).</w:t>
      </w:r>
    </w:p>
    <w:p w14:paraId="64BD6370" w14:textId="1A43BEAB" w:rsidR="00405BEC" w:rsidRDefault="00405BEC" w:rsidP="00405BEC">
      <w:r>
        <w:t xml:space="preserve">The purpose of this register is to serve as a tool </w:t>
      </w:r>
      <w:r w:rsidR="009725D0">
        <w:t xml:space="preserve">for </w:t>
      </w:r>
      <w:r>
        <w:t xml:space="preserve">managing the risks associated with </w:t>
      </w:r>
      <w:r w:rsidR="00925E68">
        <w:t>the proposed high</w:t>
      </w:r>
      <w:r w:rsidR="009725D0">
        <w:t>-</w:t>
      </w:r>
      <w:r w:rsidR="00925E68">
        <w:t xml:space="preserve">dependency unit </w:t>
      </w:r>
      <w:r w:rsidR="008A4350">
        <w:t>continuously</w:t>
      </w:r>
      <w:r w:rsidR="00925E68">
        <w:t>. A dementia patient’s health</w:t>
      </w:r>
      <w:r w:rsidR="00E0331E">
        <w:t xml:space="preserve"> and safety are safeguarded through mitigation efforts </w:t>
      </w:r>
      <w:r w:rsidR="003E564B">
        <w:t>and resource allocation that prioritizes the allocation of resources</w:t>
      </w:r>
      <w:r w:rsidR="005C0C49">
        <w:t xml:space="preserve"> (</w:t>
      </w:r>
      <w:r w:rsidR="00F43E67">
        <w:t>Haikio, Sagbakken and Rugkasa, 2019).</w:t>
      </w:r>
    </w:p>
    <w:p w14:paraId="3DA28500" w14:textId="77777777" w:rsidR="003E564B" w:rsidRDefault="003E564B" w:rsidP="00405BEC"/>
    <w:p w14:paraId="5E143764" w14:textId="76C6CCF2" w:rsidR="00AD095A" w:rsidRDefault="00AD095A" w:rsidP="00405BEC">
      <w:r>
        <w:t>Conclusion and Recommendations</w:t>
      </w:r>
    </w:p>
    <w:p w14:paraId="061A7826" w14:textId="367D1CDB" w:rsidR="00AD095A" w:rsidRDefault="00AD095A" w:rsidP="00405BEC">
      <w:r>
        <w:t xml:space="preserve">As part of this risk assessment report, an </w:t>
      </w:r>
      <w:r w:rsidR="00FC6B0C">
        <w:t>analysis was made of the potential hazards associated with the transportation and care of dementia patients re</w:t>
      </w:r>
      <w:r w:rsidR="004C0D07">
        <w:t>locating to a newly constructed high</w:t>
      </w:r>
      <w:r w:rsidR="009A7CB4">
        <w:t>-</w:t>
      </w:r>
      <w:r w:rsidR="004C0D07">
        <w:t xml:space="preserve">dependency unit. </w:t>
      </w:r>
      <w:r w:rsidR="000F1160">
        <w:t>T</w:t>
      </w:r>
      <w:r w:rsidR="00EB1666">
        <w:t xml:space="preserve">he application of </w:t>
      </w:r>
      <w:r w:rsidR="006D0048">
        <w:t xml:space="preserve">risk analysis tools has enabled us to identify and evaluate key risks associated with the processes of patient transport and </w:t>
      </w:r>
      <w:r w:rsidR="005F5D0C">
        <w:t>the integration of these patients into high</w:t>
      </w:r>
      <w:r w:rsidR="005C3046">
        <w:t>-</w:t>
      </w:r>
      <w:r w:rsidR="005F5D0C">
        <w:t xml:space="preserve">dependency care environments. </w:t>
      </w:r>
    </w:p>
    <w:p w14:paraId="545EB5AA" w14:textId="2F78F8C6" w:rsidR="005F5D0C" w:rsidRDefault="00EB6731" w:rsidP="00405BEC">
      <w:r>
        <w:t xml:space="preserve">Summary of </w:t>
      </w:r>
      <w:r w:rsidR="008E26C3">
        <w:t xml:space="preserve">Findings: </w:t>
      </w:r>
    </w:p>
    <w:p w14:paraId="6306676C" w14:textId="7DA4A63E" w:rsidR="008E26C3" w:rsidRDefault="008E26C3" w:rsidP="008E26C3">
      <w:pPr>
        <w:pStyle w:val="ListParagraph"/>
        <w:numPr>
          <w:ilvl w:val="0"/>
          <w:numId w:val="10"/>
        </w:numPr>
      </w:pPr>
      <w:r>
        <w:t>During patient transportation, there is a significant risk</w:t>
      </w:r>
      <w:r w:rsidR="00D10FE7">
        <w:t xml:space="preserve"> of medical incidents occurring due to the potential instability </w:t>
      </w:r>
      <w:r w:rsidR="00995770">
        <w:t xml:space="preserve">of dementia patients, resulting in a significant risk of medical incidents. The risk of </w:t>
      </w:r>
      <w:r w:rsidR="00177B2C">
        <w:t xml:space="preserve">inadequate response to emergent medical needs during transit was also noted as a concern that </w:t>
      </w:r>
      <w:r w:rsidR="00156626">
        <w:t>should be addressed.</w:t>
      </w:r>
    </w:p>
    <w:p w14:paraId="4F48B25F" w14:textId="4D64AF8F" w:rsidR="00156626" w:rsidRDefault="00156626" w:rsidP="008E26C3">
      <w:pPr>
        <w:pStyle w:val="ListParagraph"/>
        <w:numPr>
          <w:ilvl w:val="0"/>
          <w:numId w:val="10"/>
        </w:numPr>
      </w:pPr>
      <w:r>
        <w:t xml:space="preserve">Data Security: Given the sensitive nature of </w:t>
      </w:r>
      <w:r w:rsidR="0046459C">
        <w:t xml:space="preserve">patient information and the stringent regulatory requirements that accompany it, </w:t>
      </w:r>
      <w:r w:rsidR="008243E7">
        <w:t>the risk of losing patient data or breaching confidentiality has been ident</w:t>
      </w:r>
      <w:r w:rsidR="005411E6">
        <w:t>ified as a significant concern.</w:t>
      </w:r>
    </w:p>
    <w:p w14:paraId="358C1E86" w14:textId="21D753E9" w:rsidR="005411E6" w:rsidRDefault="005411E6" w:rsidP="008E26C3">
      <w:pPr>
        <w:pStyle w:val="ListParagraph"/>
        <w:numPr>
          <w:ilvl w:val="0"/>
          <w:numId w:val="10"/>
        </w:numPr>
      </w:pPr>
      <w:r>
        <w:t xml:space="preserve">Staff Training: </w:t>
      </w:r>
      <w:r w:rsidR="00B70C08">
        <w:t xml:space="preserve">There is a significant risk of patient safety and quality of care being compromised </w:t>
      </w:r>
      <w:r w:rsidR="00C43136">
        <w:t>because of</w:t>
      </w:r>
      <w:r w:rsidR="00B70C08">
        <w:t xml:space="preserve"> the lack of </w:t>
      </w:r>
      <w:r w:rsidR="003E377E">
        <w:t>adequate staff training in dementia-specific care.</w:t>
      </w:r>
    </w:p>
    <w:p w14:paraId="4B47BE73" w14:textId="1B98CE97" w:rsidR="003E377E" w:rsidRDefault="003E377E" w:rsidP="008E26C3">
      <w:pPr>
        <w:pStyle w:val="ListParagraph"/>
        <w:numPr>
          <w:ilvl w:val="0"/>
          <w:numId w:val="10"/>
        </w:numPr>
      </w:pPr>
      <w:r>
        <w:t>Environmental S</w:t>
      </w:r>
      <w:r w:rsidR="00963932">
        <w:t>afety: One of the main concerns for the new high</w:t>
      </w:r>
      <w:r w:rsidR="005C3046">
        <w:t>-</w:t>
      </w:r>
      <w:r w:rsidR="00963932">
        <w:t xml:space="preserve">dependency unit is that it must be equipped with all the safety equipment </w:t>
      </w:r>
      <w:r w:rsidR="004105F5">
        <w:t xml:space="preserve">necessary to accommodate the unique needs of patients with </w:t>
      </w:r>
      <w:r w:rsidR="00C43136">
        <w:t>dementia, including</w:t>
      </w:r>
      <w:r w:rsidR="00484814">
        <w:t xml:space="preserve"> secured exits, non-slip </w:t>
      </w:r>
      <w:r w:rsidR="00C43136">
        <w:t>floors</w:t>
      </w:r>
      <w:r w:rsidR="00484814">
        <w:t>, and clear signs that are easily understood.</w:t>
      </w:r>
    </w:p>
    <w:p w14:paraId="19F29A05" w14:textId="0174824A" w:rsidR="00484814" w:rsidRDefault="00484814" w:rsidP="008E26C3">
      <w:pPr>
        <w:pStyle w:val="ListParagraph"/>
        <w:numPr>
          <w:ilvl w:val="0"/>
          <w:numId w:val="10"/>
        </w:numPr>
      </w:pPr>
      <w:r>
        <w:t xml:space="preserve">Communication issues: During the transition process, it was identified that the communication between sending and </w:t>
      </w:r>
      <w:r w:rsidR="00DF3627">
        <w:t>receiving facilities could</w:t>
      </w:r>
      <w:r w:rsidR="000B302F">
        <w:t xml:space="preserve"> </w:t>
      </w:r>
      <w:r w:rsidR="00DF3627">
        <w:t xml:space="preserve">lead to </w:t>
      </w:r>
      <w:r w:rsidR="00C43136">
        <w:t>errors</w:t>
      </w:r>
      <w:r w:rsidR="00DF3627">
        <w:t xml:space="preserve"> in </w:t>
      </w:r>
      <w:r w:rsidR="00B73A50">
        <w:t xml:space="preserve">the </w:t>
      </w:r>
      <w:r w:rsidR="00DF3627">
        <w:t>continuity of care for patients if they do not communicate properly</w:t>
      </w:r>
      <w:r w:rsidR="00E81B68">
        <w:t xml:space="preserve"> (</w:t>
      </w:r>
      <w:r w:rsidR="00E837FA">
        <w:t>Szary et all, 2010).</w:t>
      </w:r>
    </w:p>
    <w:p w14:paraId="028A90F3" w14:textId="5371DAEC" w:rsidR="00C43136" w:rsidRDefault="00C43136" w:rsidP="00C43136">
      <w:r>
        <w:t>Recommendations to Mitigate Risks:</w:t>
      </w:r>
    </w:p>
    <w:p w14:paraId="602EEFA5" w14:textId="3AB962CD" w:rsidR="00C43136" w:rsidRDefault="00657033" w:rsidP="00C43136">
      <w:r>
        <w:t xml:space="preserve">Enhancing Medical Support During Transport: </w:t>
      </w:r>
      <w:r w:rsidR="00576A1E">
        <w:t>assuring that transport vehicles contain all the necessary medical devices as well as the presence of medical person</w:t>
      </w:r>
      <w:r w:rsidR="00ED6568">
        <w:t>nel skilled in the care of patients with emergency dementia during the transportation process.</w:t>
      </w:r>
    </w:p>
    <w:p w14:paraId="04A9B6F8" w14:textId="34AC3A33" w:rsidR="00ED6568" w:rsidRDefault="002852EF" w:rsidP="00C43136">
      <w:r>
        <w:lastRenderedPageBreak/>
        <w:t xml:space="preserve">Strengthen Data Protection Measures: ensure all the staff are trained on the importance of data protection and ensure </w:t>
      </w:r>
      <w:r w:rsidR="009B72BC">
        <w:t>the implement</w:t>
      </w:r>
      <w:r w:rsidR="00B543B8">
        <w:t xml:space="preserve">ation of </w:t>
      </w:r>
      <w:r w:rsidR="009B72BC">
        <w:t xml:space="preserve">robust IT security protocols. To prevent breaches of data security measures, regular audits should be conducted to ensure that </w:t>
      </w:r>
      <w:r w:rsidR="00FF6DE5">
        <w:t>they are in place.</w:t>
      </w:r>
    </w:p>
    <w:p w14:paraId="6EC7723E" w14:textId="1A7EA6E1" w:rsidR="00FF6DE5" w:rsidRDefault="002D7825" w:rsidP="00C43136">
      <w:r>
        <w:t>Dementia</w:t>
      </w:r>
      <w:r w:rsidR="00FF6DE5">
        <w:t xml:space="preserve">-Specific Training for Staff: </w:t>
      </w:r>
      <w:r w:rsidR="005302E0">
        <w:t>to improve the quality of care and handling of dementia patients in the u</w:t>
      </w:r>
      <w:r w:rsidR="00BF1454">
        <w:t>nit, are developing and implementing a comprehensive train</w:t>
      </w:r>
      <w:r w:rsidR="00060B4D">
        <w:t xml:space="preserve">ing program for all healthcare staff in the unit that focuses on the specific needs and care practices required for dementia </w:t>
      </w:r>
      <w:r w:rsidR="00466F71">
        <w:t>patients.</w:t>
      </w:r>
    </w:p>
    <w:p w14:paraId="0BA04DA8" w14:textId="00F1F5D9" w:rsidR="00466F71" w:rsidRDefault="002D7825" w:rsidP="00C43136">
      <w:r>
        <w:t>Upgraded</w:t>
      </w:r>
      <w:r w:rsidR="00466F71">
        <w:t xml:space="preserve"> Environmental Safety Features: review </w:t>
      </w:r>
      <w:r w:rsidR="00B836E4">
        <w:t xml:space="preserve">the environment of the new unit in detail </w:t>
      </w:r>
      <w:r>
        <w:t>to</w:t>
      </w:r>
      <w:r w:rsidR="00B836E4">
        <w:t xml:space="preserve"> identify and </w:t>
      </w:r>
      <w:r>
        <w:t>rectify</w:t>
      </w:r>
      <w:r w:rsidR="00B836E4">
        <w:t xml:space="preserve"> potential hazards that may pose a safety risk. As </w:t>
      </w:r>
      <w:r>
        <w:t>part</w:t>
      </w:r>
      <w:r w:rsidR="00B836E4">
        <w:t xml:space="preserve"> of this proce</w:t>
      </w:r>
      <w:r w:rsidR="005D4A15">
        <w:t>ss, additional safety measures tailored specifically to the needs of patients with dementia should be installed.</w:t>
      </w:r>
    </w:p>
    <w:p w14:paraId="05D30F3D" w14:textId="234A6645" w:rsidR="005D4A15" w:rsidRDefault="005D4A15" w:rsidP="00C43136">
      <w:r>
        <w:t>Improve Communication Protocols: there should be standar</w:t>
      </w:r>
      <w:r w:rsidR="00764A24">
        <w:t xml:space="preserve">dized communication procedures between all entities involved in the transportation and care of patients who suffer from dementia. There are several ways to ensure </w:t>
      </w:r>
      <w:r w:rsidR="00B543B8">
        <w:t xml:space="preserve">the </w:t>
      </w:r>
      <w:r w:rsidR="00764A24">
        <w:t>continuity and accuracy of patient information, including check</w:t>
      </w:r>
      <w:r w:rsidR="00A1281E">
        <w:t>lists, data</w:t>
      </w:r>
      <w:r w:rsidR="00C045CB">
        <w:t>-</w:t>
      </w:r>
      <w:r w:rsidR="00A1281E">
        <w:t>sharing systems, and real-time monitoring.</w:t>
      </w:r>
      <w:r w:rsidR="00C94782">
        <w:t xml:space="preserve"> </w:t>
      </w:r>
    </w:p>
    <w:p w14:paraId="73A45776" w14:textId="39541C6C" w:rsidR="00C94782" w:rsidRDefault="00C94782" w:rsidP="00C43136">
      <w:r>
        <w:t>This new high</w:t>
      </w:r>
      <w:r w:rsidR="00C045CB">
        <w:t>-</w:t>
      </w:r>
      <w:r>
        <w:t xml:space="preserve">dependency unit care significantly </w:t>
      </w:r>
      <w:r w:rsidR="002D7825">
        <w:t>enhances</w:t>
      </w:r>
      <w:r>
        <w:t xml:space="preserve"> the quality of care provided to dementia pat</w:t>
      </w:r>
      <w:r w:rsidR="00403A98">
        <w:t>ients to save residents</w:t>
      </w:r>
      <w:r w:rsidR="00C045CB">
        <w:t xml:space="preserve">’ </w:t>
      </w:r>
      <w:r w:rsidR="00403A98">
        <w:t>lives and patients</w:t>
      </w:r>
      <w:r w:rsidR="00637E51">
        <w:t xml:space="preserve">’ </w:t>
      </w:r>
      <w:r w:rsidR="00403A98">
        <w:t xml:space="preserve">quality of life by addressing these identified risks with the </w:t>
      </w:r>
      <w:r w:rsidR="002D7825">
        <w:t>recommended</w:t>
      </w:r>
      <w:r w:rsidR="00403A98">
        <w:t xml:space="preserve"> measures. By taking these steps</w:t>
      </w:r>
      <w:r w:rsidR="00CC45CD">
        <w:t xml:space="preserve">, the hospital will not only be able to </w:t>
      </w:r>
      <w:r w:rsidR="002D7825">
        <w:t>meet regulatory</w:t>
      </w:r>
      <w:r w:rsidR="00CC45CD">
        <w:t xml:space="preserve"> standards</w:t>
      </w:r>
      <w:r w:rsidR="00637E51">
        <w:t xml:space="preserve"> </w:t>
      </w:r>
      <w:r w:rsidR="00A5564F">
        <w:t>but will also lay the foundation for high-</w:t>
      </w:r>
      <w:r w:rsidR="002D7825">
        <w:t>quality</w:t>
      </w:r>
      <w:r w:rsidR="00A5564F">
        <w:t xml:space="preserve">, compassionate care that is </w:t>
      </w:r>
      <w:r w:rsidR="00F12A28">
        <w:t xml:space="preserve">tailored to the </w:t>
      </w:r>
      <w:r w:rsidR="002D7825">
        <w:t>needs</w:t>
      </w:r>
      <w:r w:rsidR="00F12A28">
        <w:t xml:space="preserve"> of each patient.</w:t>
      </w:r>
      <w:r w:rsidR="0015187A">
        <w:t xml:space="preserve"> </w:t>
      </w:r>
    </w:p>
    <w:p w14:paraId="136A439A" w14:textId="77777777" w:rsidR="0015187A" w:rsidRDefault="0015187A" w:rsidP="00C43136"/>
    <w:p w14:paraId="7C31833B" w14:textId="77777777" w:rsidR="000459AB" w:rsidRDefault="000459AB" w:rsidP="00C43136"/>
    <w:p w14:paraId="7DC8F2A1" w14:textId="77777777" w:rsidR="000459AB" w:rsidRDefault="000459AB" w:rsidP="00C43136"/>
    <w:p w14:paraId="272FCA53" w14:textId="77777777" w:rsidR="000459AB" w:rsidRDefault="000459AB" w:rsidP="00C43136"/>
    <w:p w14:paraId="76D1A197" w14:textId="77777777" w:rsidR="000459AB" w:rsidRDefault="000459AB" w:rsidP="00C43136"/>
    <w:p w14:paraId="6BA3567E" w14:textId="77777777" w:rsidR="000459AB" w:rsidRDefault="000459AB" w:rsidP="00C43136"/>
    <w:p w14:paraId="701E22B6" w14:textId="77777777" w:rsidR="000459AB" w:rsidRDefault="000459AB" w:rsidP="00C43136"/>
    <w:p w14:paraId="171244DA" w14:textId="77777777" w:rsidR="000459AB" w:rsidRDefault="000459AB" w:rsidP="00C43136"/>
    <w:p w14:paraId="0B94487F" w14:textId="77777777" w:rsidR="000459AB" w:rsidRDefault="000459AB" w:rsidP="00C43136"/>
    <w:p w14:paraId="75749F05" w14:textId="77777777" w:rsidR="000459AB" w:rsidRDefault="000459AB" w:rsidP="00C43136"/>
    <w:p w14:paraId="6D40BFF9" w14:textId="77777777" w:rsidR="000459AB" w:rsidRDefault="000459AB" w:rsidP="00C43136"/>
    <w:p w14:paraId="05498438" w14:textId="77777777" w:rsidR="000459AB" w:rsidRDefault="000459AB" w:rsidP="00C43136"/>
    <w:p w14:paraId="7BA5F1E2" w14:textId="77777777" w:rsidR="000459AB" w:rsidRDefault="000459AB" w:rsidP="00C43136"/>
    <w:p w14:paraId="53DAC8A8" w14:textId="77777777" w:rsidR="000459AB" w:rsidRDefault="000459AB" w:rsidP="00C43136"/>
    <w:p w14:paraId="318DCFF8" w14:textId="77777777" w:rsidR="000459AB" w:rsidRDefault="000459AB" w:rsidP="00C43136"/>
    <w:p w14:paraId="726E7236" w14:textId="77777777" w:rsidR="000459AB" w:rsidRDefault="000459AB" w:rsidP="00C43136"/>
    <w:p w14:paraId="026F1A7E" w14:textId="77777777" w:rsidR="000459AB" w:rsidRDefault="000459AB" w:rsidP="00C43136"/>
    <w:p w14:paraId="530F3525" w14:textId="77777777" w:rsidR="000459AB" w:rsidRDefault="000459AB" w:rsidP="00C43136"/>
    <w:p w14:paraId="2779EDF8" w14:textId="77777777" w:rsidR="000459AB" w:rsidRDefault="000459AB" w:rsidP="00C43136"/>
    <w:p w14:paraId="3B34B485" w14:textId="77777777" w:rsidR="000459AB" w:rsidRDefault="000459AB" w:rsidP="00C43136"/>
    <w:p w14:paraId="7C4E8615" w14:textId="6FFE1BAB" w:rsidR="000459AB" w:rsidRDefault="000459AB" w:rsidP="00C43136">
      <w:r>
        <w:t xml:space="preserve">Reference list </w:t>
      </w:r>
    </w:p>
    <w:p w14:paraId="6053C07B" w14:textId="77777777" w:rsidR="000459AB" w:rsidRDefault="000459AB" w:rsidP="00C43136"/>
    <w:p w14:paraId="55EE48F5" w14:textId="44C0EF50" w:rsidR="000459AB" w:rsidRDefault="00FE76EF" w:rsidP="00144F46">
      <w:pPr>
        <w:pStyle w:val="ListParagraph"/>
      </w:pPr>
      <w:r>
        <w:t>Baldie, D.J.,</w:t>
      </w:r>
      <w:r w:rsidR="00AB28D6">
        <w:t xml:space="preserve"> Guthrie, B., Entwistle, V.</w:t>
      </w:r>
      <w:r w:rsidR="000D752E">
        <w:t xml:space="preserve"> and Kroll, T. (2017). Exploring the impact and use of </w:t>
      </w:r>
      <w:r w:rsidR="00BE5683">
        <w:t xml:space="preserve">patients’ feedback about their care experiences in </w:t>
      </w:r>
      <w:r w:rsidR="00B4644B">
        <w:t>general practice settings- a realist sy</w:t>
      </w:r>
      <w:r w:rsidR="00542536">
        <w:t>nthesis</w:t>
      </w:r>
      <w:r w:rsidR="00542536" w:rsidRPr="002546DC">
        <w:rPr>
          <w:i/>
          <w:iCs/>
        </w:rPr>
        <w:t>. Family Practice</w:t>
      </w:r>
      <w:r w:rsidR="00542536">
        <w:t>, 35(</w:t>
      </w:r>
      <w:r w:rsidR="00F64E2B">
        <w:t xml:space="preserve">1), pp.13-21. </w:t>
      </w:r>
    </w:p>
    <w:p w14:paraId="5D3033E3" w14:textId="6F99266A" w:rsidR="00F64E2B" w:rsidRDefault="00F64E2B" w:rsidP="00F64E2B">
      <w:pPr>
        <w:pStyle w:val="ListParagraph"/>
      </w:pPr>
      <w:r>
        <w:t xml:space="preserve">Available at: </w:t>
      </w:r>
      <w:r w:rsidR="00EE2575" w:rsidRPr="00144F46">
        <w:t>https://doi.org/10.1093/fampra/cmx067</w:t>
      </w:r>
      <w:r w:rsidR="00EE2575">
        <w:t>.</w:t>
      </w:r>
    </w:p>
    <w:p w14:paraId="735067C1" w14:textId="77777777" w:rsidR="00144F46" w:rsidRDefault="00144F46" w:rsidP="00F64E2B">
      <w:pPr>
        <w:pStyle w:val="ListParagraph"/>
      </w:pPr>
    </w:p>
    <w:p w14:paraId="049B39A4" w14:textId="350E6C28" w:rsidR="00EE2575" w:rsidRDefault="00C50FBE" w:rsidP="00144F46">
      <w:pPr>
        <w:pStyle w:val="ListParagraph"/>
      </w:pPr>
      <w:r>
        <w:t>Cipriani, G., Danti, S., P</w:t>
      </w:r>
      <w:r w:rsidR="0062377B">
        <w:t>icchi, L. Nuti, A. and Fiorino, M</w:t>
      </w:r>
      <w:r w:rsidR="003256DD">
        <w:t xml:space="preserve">.D. (2020). Daily functioning and </w:t>
      </w:r>
      <w:r w:rsidR="008D0F91">
        <w:t xml:space="preserve">dementia. </w:t>
      </w:r>
      <w:r w:rsidR="008D0F91" w:rsidRPr="002546DC">
        <w:rPr>
          <w:i/>
          <w:iCs/>
        </w:rPr>
        <w:t xml:space="preserve">Dementia &amp; </w:t>
      </w:r>
      <w:r w:rsidR="00A7558E" w:rsidRPr="002546DC">
        <w:rPr>
          <w:i/>
          <w:iCs/>
        </w:rPr>
        <w:t>Neuropsychologic</w:t>
      </w:r>
      <w:r w:rsidR="008D0F91">
        <w:t>, 14(2)</w:t>
      </w:r>
      <w:r w:rsidR="00A7558E">
        <w:t xml:space="preserve">, pp93-102. </w:t>
      </w:r>
    </w:p>
    <w:p w14:paraId="1B9A1A26" w14:textId="1AC5AF12" w:rsidR="00A7558E" w:rsidRDefault="00A7558E" w:rsidP="00A7558E">
      <w:pPr>
        <w:pStyle w:val="ListParagraph"/>
      </w:pPr>
      <w:r>
        <w:t xml:space="preserve">Available at: </w:t>
      </w:r>
      <w:r w:rsidR="0053720A" w:rsidRPr="00144F46">
        <w:t>https://doi.org/10.1590/1980-57642020dn14-020001</w:t>
      </w:r>
      <w:r w:rsidR="0053720A">
        <w:t>.</w:t>
      </w:r>
      <w:r w:rsidR="00144F46">
        <w:t xml:space="preserve"> </w:t>
      </w:r>
    </w:p>
    <w:p w14:paraId="42DB1553" w14:textId="77777777" w:rsidR="00144F46" w:rsidRDefault="00144F46" w:rsidP="00A7558E">
      <w:pPr>
        <w:pStyle w:val="ListParagraph"/>
      </w:pPr>
    </w:p>
    <w:p w14:paraId="7C5E9517" w14:textId="5EF028E1" w:rsidR="0053720A" w:rsidRDefault="001E6DDC" w:rsidP="002546DC">
      <w:pPr>
        <w:pStyle w:val="ListParagraph"/>
      </w:pPr>
      <w:r>
        <w:t>Eizaga R</w:t>
      </w:r>
      <w:r w:rsidR="002963E9">
        <w:t>ebollar, R., Garcia Palacios, M.V</w:t>
      </w:r>
      <w:r w:rsidR="00BA44A8">
        <w:t>., Fernandez Mangas, M. del</w:t>
      </w:r>
      <w:r w:rsidR="00B91300">
        <w:t xml:space="preserve"> C., Arroyo Fernandez, F</w:t>
      </w:r>
      <w:r w:rsidR="00FA310F">
        <w:t>.J., Marques Rodriguez, C.M</w:t>
      </w:r>
      <w:r w:rsidR="007A5D8F">
        <w:t xml:space="preserve">., Carnota Martin, </w:t>
      </w:r>
      <w:r w:rsidR="00095058">
        <w:t>A.I., Morales Guerrero, J. and T</w:t>
      </w:r>
      <w:r w:rsidR="00AA3B37">
        <w:t>orres Morera, L.M. (2020). Strengths-Weaknesses-</w:t>
      </w:r>
      <w:r w:rsidR="00087CB2">
        <w:t>Opportunities</w:t>
      </w:r>
      <w:r w:rsidR="009153A1">
        <w:t xml:space="preserve">-Threats Analysis for a </w:t>
      </w:r>
      <w:r w:rsidR="00121B54">
        <w:t>Ped</w:t>
      </w:r>
      <w:r w:rsidR="00291016">
        <w:t>iatric</w:t>
      </w:r>
      <w:r w:rsidR="00121B54">
        <w:t xml:space="preserve"> </w:t>
      </w:r>
      <w:r w:rsidR="00B300A5">
        <w:t>Anaesthesia</w:t>
      </w:r>
      <w:r w:rsidR="00121B54">
        <w:t xml:space="preserve"> Program. </w:t>
      </w:r>
      <w:r w:rsidR="00121B54" w:rsidRPr="00061561">
        <w:rPr>
          <w:i/>
          <w:iCs/>
        </w:rPr>
        <w:t>Ped</w:t>
      </w:r>
      <w:r w:rsidR="00087CB2" w:rsidRPr="00061561">
        <w:rPr>
          <w:i/>
          <w:iCs/>
        </w:rPr>
        <w:t>i</w:t>
      </w:r>
      <w:r w:rsidR="00121B54" w:rsidRPr="00061561">
        <w:rPr>
          <w:i/>
          <w:iCs/>
        </w:rPr>
        <w:t>a</w:t>
      </w:r>
      <w:r w:rsidR="00B300A5" w:rsidRPr="00061561">
        <w:rPr>
          <w:i/>
          <w:iCs/>
        </w:rPr>
        <w:t xml:space="preserve">tric </w:t>
      </w:r>
      <w:r w:rsidR="001672A6" w:rsidRPr="00061561">
        <w:rPr>
          <w:i/>
          <w:iCs/>
        </w:rPr>
        <w:t>Quality and Safety</w:t>
      </w:r>
      <w:r w:rsidR="001672A6">
        <w:t>, [online] 5</w:t>
      </w:r>
      <w:r w:rsidR="00D076E7">
        <w:t xml:space="preserve">(1), p.e254. </w:t>
      </w:r>
    </w:p>
    <w:p w14:paraId="37BE4906" w14:textId="7E6052D2" w:rsidR="00D076E7" w:rsidRDefault="00D076E7" w:rsidP="00D076E7">
      <w:pPr>
        <w:pStyle w:val="ListParagraph"/>
      </w:pPr>
      <w:r>
        <w:t>Available at:</w:t>
      </w:r>
      <w:r w:rsidR="00BF67D8">
        <w:t xml:space="preserve"> </w:t>
      </w:r>
      <w:r w:rsidR="002A6C94" w:rsidRPr="002546DC">
        <w:t>https://doi.org/10.1097/pq9.0000000000000254</w:t>
      </w:r>
      <w:r w:rsidR="002A6C94">
        <w:t>.</w:t>
      </w:r>
    </w:p>
    <w:p w14:paraId="0B9DA624" w14:textId="77777777" w:rsidR="002546DC" w:rsidRDefault="002546DC" w:rsidP="00D076E7">
      <w:pPr>
        <w:pStyle w:val="ListParagraph"/>
      </w:pPr>
    </w:p>
    <w:p w14:paraId="009F219A" w14:textId="4C8902B2" w:rsidR="00A408AC" w:rsidRDefault="00291016" w:rsidP="00061561">
      <w:pPr>
        <w:pStyle w:val="ListParagraph"/>
      </w:pPr>
      <w:r>
        <w:t>F</w:t>
      </w:r>
      <w:r w:rsidR="00C8026A">
        <w:t>azio, S., Pace, D.,</w:t>
      </w:r>
      <w:r w:rsidR="00C802A2">
        <w:t xml:space="preserve"> Maslow</w:t>
      </w:r>
      <w:r w:rsidR="003C503E">
        <w:t xml:space="preserve">, K., Zimmerman, S. and Kallmyer, B. </w:t>
      </w:r>
      <w:r w:rsidR="005E70B0">
        <w:t>(2018). Alzheimer’s Association Dementia C</w:t>
      </w:r>
      <w:r w:rsidR="00A408AC">
        <w:t xml:space="preserve">are Practice Recommendations. </w:t>
      </w:r>
      <w:r w:rsidR="008B080D" w:rsidRPr="00061561">
        <w:rPr>
          <w:i/>
          <w:iCs/>
        </w:rPr>
        <w:t>The Gerontologist</w:t>
      </w:r>
      <w:r w:rsidR="008B080D">
        <w:t xml:space="preserve">, 58(1), </w:t>
      </w:r>
      <w:r w:rsidR="001B211F">
        <w:t>pp. S</w:t>
      </w:r>
      <w:r w:rsidR="008B080D">
        <w:t>1-</w:t>
      </w:r>
      <w:r w:rsidR="001B211F">
        <w:t>S9.</w:t>
      </w:r>
    </w:p>
    <w:p w14:paraId="7E566A4D" w14:textId="0B2707ED" w:rsidR="001B211F" w:rsidRDefault="001B211F" w:rsidP="001B211F">
      <w:pPr>
        <w:pStyle w:val="ListParagraph"/>
      </w:pPr>
      <w:r>
        <w:t xml:space="preserve">Available at: </w:t>
      </w:r>
      <w:r w:rsidR="00112766" w:rsidRPr="00061561">
        <w:t>https://doi.org/10.1093/geront/gnx182</w:t>
      </w:r>
      <w:r w:rsidR="00112766">
        <w:t>.</w:t>
      </w:r>
      <w:r w:rsidR="00061561">
        <w:t xml:space="preserve"> </w:t>
      </w:r>
    </w:p>
    <w:p w14:paraId="436993FC" w14:textId="77777777" w:rsidR="00061561" w:rsidRDefault="00061561" w:rsidP="001B211F">
      <w:pPr>
        <w:pStyle w:val="ListParagraph"/>
      </w:pPr>
    </w:p>
    <w:p w14:paraId="7FFB41F0" w14:textId="01D959D1" w:rsidR="00112766" w:rsidRDefault="00112766" w:rsidP="00061561">
      <w:pPr>
        <w:pStyle w:val="ListParagraph"/>
      </w:pPr>
      <w:r>
        <w:t>Giebel, C. (2020)</w:t>
      </w:r>
      <w:r w:rsidR="00770126">
        <w:t xml:space="preserve">. </w:t>
      </w:r>
      <w:r w:rsidR="00CE71F9">
        <w:t>‘</w:t>
      </w:r>
      <w:r w:rsidR="00770126">
        <w:t xml:space="preserve">Current dementia care: what </w:t>
      </w:r>
      <w:r w:rsidR="004610E8">
        <w:t>are the difficulties and how can we advance care globally?</w:t>
      </w:r>
      <w:r w:rsidR="00CE71F9">
        <w:t xml:space="preserve">’ </w:t>
      </w:r>
      <w:r w:rsidR="00CE71F9" w:rsidRPr="00031C9B">
        <w:rPr>
          <w:i/>
          <w:iCs/>
        </w:rPr>
        <w:t>BMC Health Services Res</w:t>
      </w:r>
      <w:r w:rsidR="008B6C1F" w:rsidRPr="00031C9B">
        <w:rPr>
          <w:i/>
          <w:iCs/>
        </w:rPr>
        <w:t>earch</w:t>
      </w:r>
      <w:r w:rsidR="008B6C1F">
        <w:t xml:space="preserve">, [online] 20(1). </w:t>
      </w:r>
    </w:p>
    <w:p w14:paraId="52F20193" w14:textId="068E8BD6" w:rsidR="008B6C1F" w:rsidRDefault="008B6C1F" w:rsidP="008B6C1F">
      <w:pPr>
        <w:pStyle w:val="ListParagraph"/>
      </w:pPr>
      <w:r>
        <w:t xml:space="preserve">Available at: </w:t>
      </w:r>
      <w:r w:rsidR="003A7942" w:rsidRPr="00031C9B">
        <w:t>https://doi.org/10.1186/s12913-020-05307-1</w:t>
      </w:r>
      <w:r w:rsidR="003A7942">
        <w:t>.</w:t>
      </w:r>
      <w:r w:rsidR="00061561">
        <w:t xml:space="preserve"> </w:t>
      </w:r>
    </w:p>
    <w:p w14:paraId="3CDACC8B" w14:textId="77777777" w:rsidR="00061561" w:rsidRDefault="00061561" w:rsidP="008B6C1F">
      <w:pPr>
        <w:pStyle w:val="ListParagraph"/>
      </w:pPr>
    </w:p>
    <w:p w14:paraId="7F0DB5BC" w14:textId="157AFDB8" w:rsidR="003A7942" w:rsidRDefault="00EA7591" w:rsidP="00031C9B">
      <w:pPr>
        <w:pStyle w:val="ListParagraph"/>
      </w:pPr>
      <w:r>
        <w:t>H</w:t>
      </w:r>
      <w:r w:rsidR="002D685F">
        <w:t>aikio, K., Sagbakken, M</w:t>
      </w:r>
      <w:r w:rsidR="0013343B">
        <w:t>. and Rugkasa, J. (2019).</w:t>
      </w:r>
      <w:r w:rsidR="003A3868">
        <w:t xml:space="preserve"> Dementia and patient safety</w:t>
      </w:r>
      <w:r w:rsidR="0047494C">
        <w:t xml:space="preserve"> in the community: a qualitative study of </w:t>
      </w:r>
      <w:r w:rsidR="00AB582D">
        <w:t xml:space="preserve">family carer’s protective practices and implications for </w:t>
      </w:r>
      <w:r w:rsidR="0042729E">
        <w:t xml:space="preserve">service. </w:t>
      </w:r>
      <w:r w:rsidR="0042729E" w:rsidRPr="00120C81">
        <w:rPr>
          <w:i/>
          <w:iCs/>
        </w:rPr>
        <w:t>BMC Health Services Research</w:t>
      </w:r>
      <w:r w:rsidR="0042729E">
        <w:t>, [online]</w:t>
      </w:r>
      <w:r w:rsidR="00D2622E">
        <w:t xml:space="preserve"> 19(1). </w:t>
      </w:r>
    </w:p>
    <w:p w14:paraId="6EBAA22D" w14:textId="2A91D89A" w:rsidR="00031C9B" w:rsidRDefault="00D2622E" w:rsidP="00D2622E">
      <w:pPr>
        <w:pStyle w:val="ListParagraph"/>
      </w:pPr>
      <w:r>
        <w:t xml:space="preserve">Available at: </w:t>
      </w:r>
      <w:r w:rsidR="00F20B7F" w:rsidRPr="00120C81">
        <w:t>https://doi.org/10.1186/s12913-019-4478-2</w:t>
      </w:r>
      <w:r w:rsidR="00F20B7F">
        <w:t>.</w:t>
      </w:r>
      <w:r w:rsidR="00031C9B">
        <w:t xml:space="preserve"> </w:t>
      </w:r>
    </w:p>
    <w:p w14:paraId="64A29E7B" w14:textId="39403193" w:rsidR="00D2622E" w:rsidRDefault="00F20B7F" w:rsidP="00D2622E">
      <w:pPr>
        <w:pStyle w:val="ListParagraph"/>
      </w:pPr>
      <w:r>
        <w:t xml:space="preserve"> </w:t>
      </w:r>
    </w:p>
    <w:p w14:paraId="35B01C6C" w14:textId="39A4FA92" w:rsidR="000459AB" w:rsidRDefault="00F20B7F" w:rsidP="003244EB">
      <w:pPr>
        <w:pStyle w:val="ListParagraph"/>
      </w:pPr>
      <w:r>
        <w:t>Hains, I</w:t>
      </w:r>
      <w:r w:rsidR="00EA7983">
        <w:t xml:space="preserve">.M., Marks, A., Georgiou, A. and Westbrook, </w:t>
      </w:r>
      <w:r w:rsidR="00E73B6C">
        <w:t>J.L. (2011). Non-emergency patient</w:t>
      </w:r>
      <w:r w:rsidR="00E3657D">
        <w:t xml:space="preserve"> transport: what are the quality and safety issues? A systematic review. </w:t>
      </w:r>
      <w:r w:rsidR="0058495C" w:rsidRPr="00120C81">
        <w:rPr>
          <w:i/>
          <w:iCs/>
        </w:rPr>
        <w:t xml:space="preserve">International </w:t>
      </w:r>
      <w:r w:rsidR="00147FAA">
        <w:rPr>
          <w:i/>
          <w:iCs/>
        </w:rPr>
        <w:t>J</w:t>
      </w:r>
      <w:r w:rsidR="0058495C" w:rsidRPr="00120C81">
        <w:rPr>
          <w:i/>
          <w:iCs/>
        </w:rPr>
        <w:t xml:space="preserve">ournal for </w:t>
      </w:r>
      <w:r w:rsidR="00147FAA">
        <w:rPr>
          <w:i/>
          <w:iCs/>
        </w:rPr>
        <w:t>Q</w:t>
      </w:r>
      <w:r w:rsidR="0058495C" w:rsidRPr="00120C81">
        <w:rPr>
          <w:i/>
          <w:iCs/>
        </w:rPr>
        <w:t xml:space="preserve">uality in </w:t>
      </w:r>
      <w:r w:rsidR="00147FAA">
        <w:rPr>
          <w:i/>
          <w:iCs/>
        </w:rPr>
        <w:t>H</w:t>
      </w:r>
      <w:r w:rsidR="0058495C" w:rsidRPr="00120C81">
        <w:rPr>
          <w:i/>
          <w:iCs/>
        </w:rPr>
        <w:t xml:space="preserve">ealth </w:t>
      </w:r>
      <w:r w:rsidR="007823BA">
        <w:rPr>
          <w:i/>
          <w:iCs/>
        </w:rPr>
        <w:t>C</w:t>
      </w:r>
      <w:r w:rsidR="0058495C" w:rsidRPr="00120C81">
        <w:rPr>
          <w:i/>
          <w:iCs/>
        </w:rPr>
        <w:t xml:space="preserve">are: </w:t>
      </w:r>
      <w:r w:rsidR="00B91DB6">
        <w:rPr>
          <w:i/>
          <w:iCs/>
        </w:rPr>
        <w:t>J</w:t>
      </w:r>
      <w:r w:rsidR="0058495C" w:rsidRPr="00120C81">
        <w:rPr>
          <w:i/>
          <w:iCs/>
        </w:rPr>
        <w:t xml:space="preserve">ournal of the International </w:t>
      </w:r>
      <w:r w:rsidR="00A44468" w:rsidRPr="00120C81">
        <w:rPr>
          <w:i/>
          <w:iCs/>
        </w:rPr>
        <w:t>Society for Quality in Health Care,</w:t>
      </w:r>
      <w:r w:rsidR="00A44468">
        <w:t xml:space="preserve"> [online]</w:t>
      </w:r>
      <w:r w:rsidR="002254DA">
        <w:t xml:space="preserve"> 23(1), pp. 68-75. </w:t>
      </w:r>
    </w:p>
    <w:p w14:paraId="6D652BA9" w14:textId="3BC119AC" w:rsidR="002254DA" w:rsidRDefault="002254DA" w:rsidP="002254DA">
      <w:pPr>
        <w:pStyle w:val="ListParagraph"/>
      </w:pPr>
      <w:r>
        <w:t>Available at:</w:t>
      </w:r>
      <w:r w:rsidR="00615E78">
        <w:t xml:space="preserve"> </w:t>
      </w:r>
      <w:r w:rsidR="00BC5511" w:rsidRPr="00120C81">
        <w:t>https://doi.org/10.1093/intqhc/mzq076</w:t>
      </w:r>
      <w:r w:rsidR="00BC5511">
        <w:t>.</w:t>
      </w:r>
      <w:r w:rsidR="00120C81">
        <w:t xml:space="preserve"> </w:t>
      </w:r>
    </w:p>
    <w:p w14:paraId="1C5E72DB" w14:textId="77777777" w:rsidR="00120C81" w:rsidRDefault="00120C81" w:rsidP="002254DA">
      <w:pPr>
        <w:pStyle w:val="ListParagraph"/>
      </w:pPr>
    </w:p>
    <w:p w14:paraId="14276597" w14:textId="5CFF0A36" w:rsidR="00BC5511" w:rsidRDefault="00BC5511" w:rsidP="003244EB">
      <w:pPr>
        <w:pStyle w:val="ListParagraph"/>
      </w:pPr>
      <w:r>
        <w:t xml:space="preserve">Health and Safety Executive (2019). </w:t>
      </w:r>
      <w:r w:rsidRPr="003244EB">
        <w:rPr>
          <w:i/>
          <w:iCs/>
        </w:rPr>
        <w:t>R</w:t>
      </w:r>
      <w:r w:rsidR="00032D3C" w:rsidRPr="003244EB">
        <w:rPr>
          <w:i/>
          <w:iCs/>
        </w:rPr>
        <w:t>isk Assessment: Steps Needed to Manage Risk</w:t>
      </w:r>
      <w:r w:rsidR="00032D3C">
        <w:t xml:space="preserve">. </w:t>
      </w:r>
      <w:r w:rsidR="00E7777E">
        <w:t xml:space="preserve">[online] Health and Safety Executive. </w:t>
      </w:r>
    </w:p>
    <w:p w14:paraId="552BBE21" w14:textId="519A695D" w:rsidR="00E7777E" w:rsidRDefault="00E7777E" w:rsidP="00E7777E">
      <w:pPr>
        <w:pStyle w:val="ListParagraph"/>
      </w:pPr>
      <w:r>
        <w:lastRenderedPageBreak/>
        <w:t>Avai</w:t>
      </w:r>
      <w:r w:rsidR="000C1809">
        <w:t xml:space="preserve">lable at: </w:t>
      </w:r>
      <w:r w:rsidR="00245C6E" w:rsidRPr="00120C81">
        <w:t>https://www.hse.gov.uk/simple-health-safety/risk/steps-needed-to-manage-risk.htm</w:t>
      </w:r>
      <w:r w:rsidR="00245C6E">
        <w:t>.</w:t>
      </w:r>
      <w:r w:rsidR="00120C81">
        <w:t xml:space="preserve"> </w:t>
      </w:r>
    </w:p>
    <w:p w14:paraId="675309E9" w14:textId="77777777" w:rsidR="00120C81" w:rsidRDefault="00120C81" w:rsidP="00E7777E">
      <w:pPr>
        <w:pStyle w:val="ListParagraph"/>
      </w:pPr>
    </w:p>
    <w:p w14:paraId="121419A7" w14:textId="4B823EBF" w:rsidR="00245C6E" w:rsidRDefault="009D012C" w:rsidP="003244EB">
      <w:pPr>
        <w:pStyle w:val="ListParagraph"/>
      </w:pPr>
      <w:r>
        <w:t>Kapsalis, E., Jaeger, N. and Hale, J</w:t>
      </w:r>
      <w:r w:rsidR="00D92093">
        <w:t>. (2022). Disabled-by-design: effects of inaccessible urban</w:t>
      </w:r>
      <w:r w:rsidR="00C85D4C">
        <w:t xml:space="preserve"> public spaces on users of mobility assistive </w:t>
      </w:r>
      <w:r w:rsidR="00824484">
        <w:t xml:space="preserve">devices- a systematic review. </w:t>
      </w:r>
      <w:r w:rsidR="00824484" w:rsidRPr="003244EB">
        <w:rPr>
          <w:i/>
          <w:iCs/>
        </w:rPr>
        <w:t xml:space="preserve">Disability and </w:t>
      </w:r>
      <w:r w:rsidR="00307CDC" w:rsidRPr="003244EB">
        <w:rPr>
          <w:i/>
          <w:iCs/>
        </w:rPr>
        <w:t>Rehabilitation: Assistive Technology</w:t>
      </w:r>
      <w:r w:rsidR="00307CDC">
        <w:t>, pp. 1-19.</w:t>
      </w:r>
      <w:r w:rsidR="00540869">
        <w:t xml:space="preserve"> </w:t>
      </w:r>
    </w:p>
    <w:p w14:paraId="53676E47" w14:textId="6E7EA8EB" w:rsidR="00540869" w:rsidRDefault="00540869" w:rsidP="00540869">
      <w:pPr>
        <w:pStyle w:val="ListParagraph"/>
      </w:pPr>
      <w:r>
        <w:t xml:space="preserve">Available at: </w:t>
      </w:r>
      <w:r w:rsidR="00D74035" w:rsidRPr="003244EB">
        <w:t>https://doi.org/10.1080/17483107.2022.2111723</w:t>
      </w:r>
      <w:r w:rsidR="00D74035">
        <w:t>.</w:t>
      </w:r>
    </w:p>
    <w:p w14:paraId="0BA62FAE" w14:textId="2B1B495E" w:rsidR="00D74035" w:rsidRDefault="00D74035" w:rsidP="00983BD9">
      <w:pPr>
        <w:pStyle w:val="ListParagraph"/>
      </w:pPr>
      <w:r>
        <w:t>Kaya, G.K., W</w:t>
      </w:r>
      <w:r w:rsidR="00F07422">
        <w:t xml:space="preserve">ard, J.R. and Clarkson, P.J. (2019). </w:t>
      </w:r>
      <w:r w:rsidR="009866F9">
        <w:t>A Framework to Support Risk A</w:t>
      </w:r>
      <w:r w:rsidR="006B6459">
        <w:t xml:space="preserve">ssessment in Hospitals. </w:t>
      </w:r>
      <w:r w:rsidR="006249EC" w:rsidRPr="00983BD9">
        <w:rPr>
          <w:i/>
          <w:iCs/>
        </w:rPr>
        <w:t>International</w:t>
      </w:r>
      <w:r w:rsidR="006B6459" w:rsidRPr="00983BD9">
        <w:rPr>
          <w:i/>
          <w:iCs/>
        </w:rPr>
        <w:t xml:space="preserve"> Jour</w:t>
      </w:r>
      <w:r w:rsidR="007E09B1" w:rsidRPr="00983BD9">
        <w:rPr>
          <w:i/>
          <w:iCs/>
        </w:rPr>
        <w:t xml:space="preserve">nal for Quality in Health </w:t>
      </w:r>
      <w:r w:rsidR="0017423C" w:rsidRPr="00983BD9">
        <w:rPr>
          <w:i/>
          <w:iCs/>
        </w:rPr>
        <w:t>Care</w:t>
      </w:r>
      <w:r w:rsidR="0017423C">
        <w:t xml:space="preserve">, [online] 31(5), pp. 393-401. </w:t>
      </w:r>
    </w:p>
    <w:p w14:paraId="65D2B615" w14:textId="2F5E404B" w:rsidR="006249EC" w:rsidRDefault="006249EC" w:rsidP="006249EC">
      <w:pPr>
        <w:pStyle w:val="ListParagraph"/>
      </w:pPr>
      <w:r>
        <w:t xml:space="preserve">Available at: </w:t>
      </w:r>
      <w:r w:rsidR="00D630F3" w:rsidRPr="00983BD9">
        <w:t>https://doi.org/10.1093/intqhc/mzy194</w:t>
      </w:r>
      <w:r w:rsidR="00D630F3">
        <w:t>.</w:t>
      </w:r>
      <w:r w:rsidR="003244EB">
        <w:t xml:space="preserve"> </w:t>
      </w:r>
    </w:p>
    <w:p w14:paraId="6CBFDB31" w14:textId="77777777" w:rsidR="003244EB" w:rsidRDefault="003244EB" w:rsidP="006249EC">
      <w:pPr>
        <w:pStyle w:val="ListParagraph"/>
      </w:pPr>
    </w:p>
    <w:p w14:paraId="5F164450" w14:textId="7E058CBC" w:rsidR="00D630F3" w:rsidRDefault="00D630F3" w:rsidP="00983BD9">
      <w:pPr>
        <w:pStyle w:val="ListParagraph"/>
      </w:pPr>
      <w:r>
        <w:t>Kujala, J., Sachs, S</w:t>
      </w:r>
      <w:r w:rsidR="006430F8">
        <w:t>., Leinonen, H., Heikkinen, A</w:t>
      </w:r>
      <w:r w:rsidR="009535A7">
        <w:t>. and Laude, D. (2022). Stakeholder</w:t>
      </w:r>
      <w:r w:rsidR="00BC2FFF">
        <w:t xml:space="preserve"> Engagement: Past, Present, and Fut</w:t>
      </w:r>
      <w:r w:rsidR="00CC17B1">
        <w:t xml:space="preserve">ure. </w:t>
      </w:r>
      <w:r w:rsidR="00CC17B1" w:rsidRPr="00983BD9">
        <w:rPr>
          <w:i/>
          <w:iCs/>
        </w:rPr>
        <w:t>Business &amp; Society</w:t>
      </w:r>
      <w:r w:rsidR="00CC17B1">
        <w:t>, [online] 61(5)</w:t>
      </w:r>
      <w:r w:rsidR="00947505">
        <w:t xml:space="preserve">, pp. 1136-1196. </w:t>
      </w:r>
    </w:p>
    <w:p w14:paraId="11AD86C5" w14:textId="0B0AC939" w:rsidR="00947505" w:rsidRDefault="00947505" w:rsidP="00947505">
      <w:pPr>
        <w:pStyle w:val="ListParagraph"/>
      </w:pPr>
      <w:r>
        <w:t xml:space="preserve">Available at: </w:t>
      </w:r>
      <w:r w:rsidR="007A5F29" w:rsidRPr="00983BD9">
        <w:t>https://doi.org/10.1177/00076503211066595</w:t>
      </w:r>
      <w:r w:rsidR="007A5F29">
        <w:t>.</w:t>
      </w:r>
      <w:r w:rsidR="003244EB">
        <w:t xml:space="preserve"> </w:t>
      </w:r>
    </w:p>
    <w:p w14:paraId="7903D65D" w14:textId="77777777" w:rsidR="003244EB" w:rsidRDefault="003244EB" w:rsidP="00947505">
      <w:pPr>
        <w:pStyle w:val="ListParagraph"/>
      </w:pPr>
    </w:p>
    <w:p w14:paraId="4C25733A" w14:textId="157A1E72" w:rsidR="007A5F29" w:rsidRDefault="009F0367" w:rsidP="00E51D7C">
      <w:pPr>
        <w:pStyle w:val="ListParagraph"/>
      </w:pPr>
      <w:r>
        <w:t xml:space="preserve">Kulshrestha, </w:t>
      </w:r>
      <w:r w:rsidR="005E7A7E">
        <w:t>A.,</w:t>
      </w:r>
      <w:r>
        <w:t xml:space="preserve"> and Singh. J</w:t>
      </w:r>
      <w:r w:rsidR="005E7A7E">
        <w:t>. (2016). Inter-hospital and intra</w:t>
      </w:r>
      <w:r w:rsidR="008A6657">
        <w:t xml:space="preserve">-hospital patient transfer: Recent concepts. </w:t>
      </w:r>
      <w:r w:rsidR="008A6657" w:rsidRPr="00E51D7C">
        <w:rPr>
          <w:i/>
          <w:iCs/>
        </w:rPr>
        <w:t xml:space="preserve">Indian Journal of </w:t>
      </w:r>
      <w:r w:rsidR="0092666C" w:rsidRPr="00E51D7C">
        <w:rPr>
          <w:i/>
          <w:iCs/>
        </w:rPr>
        <w:t>Anaesthesia</w:t>
      </w:r>
      <w:r w:rsidR="0092666C">
        <w:t>, [online] 60(7), p.</w:t>
      </w:r>
      <w:r w:rsidR="006C742E">
        <w:t>451</w:t>
      </w:r>
      <w:r w:rsidR="00D730E9">
        <w:t>.</w:t>
      </w:r>
    </w:p>
    <w:p w14:paraId="479BA286" w14:textId="7B57C000" w:rsidR="006C742E" w:rsidRDefault="006C742E" w:rsidP="006C742E">
      <w:pPr>
        <w:pStyle w:val="ListParagraph"/>
      </w:pPr>
      <w:r>
        <w:t>Available at:</w:t>
      </w:r>
      <w:r w:rsidR="00D730E9">
        <w:t xml:space="preserve"> </w:t>
      </w:r>
      <w:r w:rsidR="00417A7E" w:rsidRPr="00E51D7C">
        <w:t>https://doi.org/10.4103/0019-5049.186012</w:t>
      </w:r>
      <w:r w:rsidR="00417A7E">
        <w:t>.</w:t>
      </w:r>
      <w:r w:rsidR="00E51D7C">
        <w:t xml:space="preserve"> </w:t>
      </w:r>
    </w:p>
    <w:p w14:paraId="34FE3B9A" w14:textId="77777777" w:rsidR="00E51D7C" w:rsidRDefault="00E51D7C" w:rsidP="006C742E">
      <w:pPr>
        <w:pStyle w:val="ListParagraph"/>
      </w:pPr>
    </w:p>
    <w:p w14:paraId="0142FAF6" w14:textId="01945D48" w:rsidR="00417A7E" w:rsidRDefault="00417A7E" w:rsidP="00E51D7C">
      <w:pPr>
        <w:pStyle w:val="ListParagraph"/>
      </w:pPr>
      <w:r>
        <w:t>McGowan, J</w:t>
      </w:r>
      <w:r w:rsidR="0081736B">
        <w:t>., Wojahn, A. and Nicolini, J.R</w:t>
      </w:r>
      <w:r w:rsidR="00257A09">
        <w:t xml:space="preserve">. (2023). </w:t>
      </w:r>
      <w:r w:rsidR="00257A09" w:rsidRPr="00E51D7C">
        <w:rPr>
          <w:i/>
          <w:iCs/>
        </w:rPr>
        <w:t xml:space="preserve">Risk management event </w:t>
      </w:r>
      <w:r w:rsidR="001120B4" w:rsidRPr="00E51D7C">
        <w:rPr>
          <w:i/>
          <w:iCs/>
        </w:rPr>
        <w:t>evaluation and</w:t>
      </w:r>
      <w:r w:rsidR="00257A09" w:rsidRPr="00E51D7C">
        <w:rPr>
          <w:i/>
          <w:iCs/>
        </w:rPr>
        <w:t xml:space="preserve"> </w:t>
      </w:r>
      <w:r w:rsidR="004D21D3" w:rsidRPr="00E51D7C">
        <w:rPr>
          <w:i/>
          <w:iCs/>
        </w:rPr>
        <w:t>responsibilities.</w:t>
      </w:r>
      <w:r w:rsidR="004D21D3">
        <w:t xml:space="preserve"> [online] PubMed.</w:t>
      </w:r>
    </w:p>
    <w:p w14:paraId="0C860B43" w14:textId="3E9B6F64" w:rsidR="004D21D3" w:rsidRDefault="004D21D3" w:rsidP="004D21D3">
      <w:pPr>
        <w:pStyle w:val="ListParagraph"/>
      </w:pPr>
      <w:r>
        <w:t>Available at</w:t>
      </w:r>
      <w:r w:rsidR="00BC0AC0">
        <w:t xml:space="preserve">: </w:t>
      </w:r>
      <w:r w:rsidR="001120B4" w:rsidRPr="00E51D7C">
        <w:t>https://www.ncbi.nlm.nih.gov/books/NBK559326/</w:t>
      </w:r>
      <w:r w:rsidR="001120B4">
        <w:t xml:space="preserve">. </w:t>
      </w:r>
    </w:p>
    <w:p w14:paraId="1AD427C2" w14:textId="77777777" w:rsidR="00E51D7C" w:rsidRDefault="00E51D7C" w:rsidP="004D21D3">
      <w:pPr>
        <w:pStyle w:val="ListParagraph"/>
      </w:pPr>
    </w:p>
    <w:p w14:paraId="233C1169" w14:textId="4B4A98D4" w:rsidR="001120B4" w:rsidRDefault="00764DB8" w:rsidP="00D82F46">
      <w:pPr>
        <w:pStyle w:val="ListParagraph"/>
      </w:pPr>
      <w:r>
        <w:t>Mocydlarz-Adamcewicz, M</w:t>
      </w:r>
      <w:r w:rsidR="0031088A">
        <w:t xml:space="preserve">. (2021). Effective communication between hospital staff </w:t>
      </w:r>
      <w:r w:rsidR="0083565E">
        <w:t xml:space="preserve">and patients in compliance with personal data </w:t>
      </w:r>
      <w:r w:rsidR="00514CEF">
        <w:t xml:space="preserve">protection regulations. </w:t>
      </w:r>
      <w:r w:rsidR="00514CEF" w:rsidRPr="00D82F46">
        <w:rPr>
          <w:i/>
          <w:iCs/>
        </w:rPr>
        <w:t xml:space="preserve">Reports of Practical Oncology and </w:t>
      </w:r>
      <w:r w:rsidR="002A2DB5" w:rsidRPr="00D82F46">
        <w:rPr>
          <w:i/>
          <w:iCs/>
        </w:rPr>
        <w:t>Radiotherapy</w:t>
      </w:r>
      <w:r w:rsidR="002A2DB5">
        <w:t xml:space="preserve">, 26(6). </w:t>
      </w:r>
    </w:p>
    <w:p w14:paraId="2F9258E6" w14:textId="7ABAD3F4" w:rsidR="002A2DB5" w:rsidRDefault="002A2DB5" w:rsidP="002A2DB5">
      <w:pPr>
        <w:pStyle w:val="ListParagraph"/>
      </w:pPr>
      <w:r>
        <w:t>Available at:</w:t>
      </w:r>
      <w:r w:rsidR="0043501A">
        <w:t xml:space="preserve"> </w:t>
      </w:r>
      <w:r w:rsidR="00EB19CD" w:rsidRPr="00D82F46">
        <w:t>https://doi.org/10.5603/rpor.a2021.0138</w:t>
      </w:r>
      <w:r w:rsidR="00EB19CD">
        <w:t>.</w:t>
      </w:r>
      <w:r w:rsidR="00E51D7C">
        <w:t xml:space="preserve"> </w:t>
      </w:r>
    </w:p>
    <w:p w14:paraId="3258D69B" w14:textId="77777777" w:rsidR="00E51D7C" w:rsidRDefault="00E51D7C" w:rsidP="002A2DB5">
      <w:pPr>
        <w:pStyle w:val="ListParagraph"/>
      </w:pPr>
    </w:p>
    <w:p w14:paraId="0BF2AF7A" w14:textId="04B1DD86" w:rsidR="00EB19CD" w:rsidRDefault="00EB19CD" w:rsidP="000F0A4B">
      <w:pPr>
        <w:pStyle w:val="ListParagraph"/>
      </w:pPr>
      <w:r>
        <w:t xml:space="preserve">National Institute </w:t>
      </w:r>
      <w:r w:rsidR="0025668F">
        <w:t>for</w:t>
      </w:r>
      <w:r>
        <w:t xml:space="preserve"> Health </w:t>
      </w:r>
      <w:r w:rsidR="00212DCA">
        <w:t xml:space="preserve">and Care Excellence (2018). </w:t>
      </w:r>
      <w:r w:rsidR="00212DCA" w:rsidRPr="000F0A4B">
        <w:rPr>
          <w:i/>
          <w:iCs/>
        </w:rPr>
        <w:t xml:space="preserve">Dementia assessment, </w:t>
      </w:r>
      <w:r w:rsidR="00BC3AE3" w:rsidRPr="000F0A4B">
        <w:rPr>
          <w:i/>
          <w:iCs/>
        </w:rPr>
        <w:t>Management and Dementia: assessment, Management and S</w:t>
      </w:r>
      <w:r w:rsidR="008C020F" w:rsidRPr="000F0A4B">
        <w:rPr>
          <w:i/>
          <w:iCs/>
        </w:rPr>
        <w:t xml:space="preserve">upport for </w:t>
      </w:r>
      <w:r w:rsidR="00CF537A">
        <w:rPr>
          <w:i/>
          <w:iCs/>
        </w:rPr>
        <w:t>P</w:t>
      </w:r>
      <w:r w:rsidR="008C020F" w:rsidRPr="000F0A4B">
        <w:rPr>
          <w:i/>
          <w:iCs/>
        </w:rPr>
        <w:t xml:space="preserve">eople Living </w:t>
      </w:r>
      <w:r w:rsidR="0025668F" w:rsidRPr="000F0A4B">
        <w:rPr>
          <w:i/>
          <w:iCs/>
        </w:rPr>
        <w:t>with</w:t>
      </w:r>
      <w:r w:rsidR="008C020F" w:rsidRPr="000F0A4B">
        <w:rPr>
          <w:i/>
          <w:iCs/>
        </w:rPr>
        <w:t xml:space="preserve"> Dementia Support </w:t>
      </w:r>
      <w:r w:rsidR="001C0491" w:rsidRPr="000F0A4B">
        <w:rPr>
          <w:i/>
          <w:iCs/>
        </w:rPr>
        <w:t xml:space="preserve">for People Living with Dementia and Their Carers and Their </w:t>
      </w:r>
      <w:r w:rsidR="00941B9C" w:rsidRPr="000F0A4B">
        <w:rPr>
          <w:i/>
          <w:iCs/>
        </w:rPr>
        <w:t>Carers NICE Guideline.</w:t>
      </w:r>
      <w:r w:rsidR="00941B9C">
        <w:t xml:space="preserve"> [online].</w:t>
      </w:r>
    </w:p>
    <w:p w14:paraId="1B4478F0" w14:textId="0016402B" w:rsidR="00941B9C" w:rsidRDefault="0025668F" w:rsidP="0025668F">
      <w:pPr>
        <w:pStyle w:val="ListParagraph"/>
      </w:pPr>
      <w:r>
        <w:t xml:space="preserve">Available at: </w:t>
      </w:r>
      <w:r w:rsidR="001508DE" w:rsidRPr="000F0A4B">
        <w:t>https://www.nice.org.uk/guidance/ng97/resources/dementia-assessment-management-and-support-for-people-living-with-dementia-and-their-carers-pdf-1837760199109</w:t>
      </w:r>
      <w:r w:rsidR="001508DE">
        <w:t>.</w:t>
      </w:r>
      <w:r w:rsidR="00E51D7C">
        <w:t xml:space="preserve"> </w:t>
      </w:r>
    </w:p>
    <w:p w14:paraId="57B7F45F" w14:textId="77777777" w:rsidR="00E51D7C" w:rsidRDefault="00E51D7C" w:rsidP="0025668F">
      <w:pPr>
        <w:pStyle w:val="ListParagraph"/>
      </w:pPr>
    </w:p>
    <w:p w14:paraId="4F6E36ED" w14:textId="492FF174" w:rsidR="001508DE" w:rsidRDefault="00282CCE" w:rsidP="00A94497">
      <w:pPr>
        <w:pStyle w:val="ListParagraph"/>
      </w:pPr>
      <w:r>
        <w:t xml:space="preserve">Nice (2018). </w:t>
      </w:r>
      <w:r w:rsidR="00800215" w:rsidRPr="00A94497">
        <w:rPr>
          <w:i/>
          <w:iCs/>
        </w:rPr>
        <w:t xml:space="preserve">Recommendations/ Dementia: Assessment, Management and Support for People </w:t>
      </w:r>
      <w:r w:rsidR="00C6348B" w:rsidRPr="00A94497">
        <w:rPr>
          <w:i/>
          <w:iCs/>
        </w:rPr>
        <w:t>Living with Dementia and Their Carers / Guidance / NICE</w:t>
      </w:r>
      <w:r w:rsidR="00A81307">
        <w:t xml:space="preserve">. [online] Nice.org.uk. </w:t>
      </w:r>
    </w:p>
    <w:p w14:paraId="1B7B82A0" w14:textId="4EE0CC0D" w:rsidR="00A81307" w:rsidRDefault="00A81307" w:rsidP="00A81307">
      <w:pPr>
        <w:pStyle w:val="ListParagraph"/>
      </w:pPr>
      <w:r>
        <w:t xml:space="preserve">Available at: </w:t>
      </w:r>
      <w:r w:rsidR="00130638" w:rsidRPr="00A94497">
        <w:t>https://www.nice.org.uk/guidance/ng97/chapter/Recommendations</w:t>
      </w:r>
      <w:r w:rsidR="00130638">
        <w:t>.</w:t>
      </w:r>
      <w:r w:rsidR="000F0A4B">
        <w:t xml:space="preserve"> </w:t>
      </w:r>
    </w:p>
    <w:p w14:paraId="168F5336" w14:textId="77777777" w:rsidR="000F0A4B" w:rsidRDefault="000F0A4B" w:rsidP="00A81307">
      <w:pPr>
        <w:pStyle w:val="ListParagraph"/>
      </w:pPr>
    </w:p>
    <w:p w14:paraId="39147D45" w14:textId="4967A56A" w:rsidR="00130638" w:rsidRDefault="008A4703" w:rsidP="001C6AFC">
      <w:pPr>
        <w:pStyle w:val="ListParagraph"/>
      </w:pPr>
      <w:r>
        <w:t xml:space="preserve">Ohbe, H., Sasabuchi, Y., Yamana, H., </w:t>
      </w:r>
      <w:r w:rsidR="00F30C5D">
        <w:t xml:space="preserve">Matsui, H. and Yasunaga, H. (2021). </w:t>
      </w:r>
      <w:r w:rsidR="00C8488D">
        <w:t xml:space="preserve">Intensive care unit versus high-dependency care unit </w:t>
      </w:r>
      <w:r w:rsidR="00D76B09">
        <w:t>for mechanically ventilated patients with pneu</w:t>
      </w:r>
      <w:r w:rsidR="00BF5E4D">
        <w:t>monia: a nationwide comparative effectiveness study.</w:t>
      </w:r>
      <w:r w:rsidR="00734F8C">
        <w:t xml:space="preserve"> </w:t>
      </w:r>
      <w:r w:rsidR="00734F8C" w:rsidRPr="00A94497">
        <w:rPr>
          <w:i/>
          <w:iCs/>
        </w:rPr>
        <w:t xml:space="preserve">The Lancet Regional </w:t>
      </w:r>
      <w:r w:rsidR="00FE23FE">
        <w:rPr>
          <w:i/>
          <w:iCs/>
        </w:rPr>
        <w:t>H</w:t>
      </w:r>
      <w:r w:rsidR="00734F8C" w:rsidRPr="00A94497">
        <w:rPr>
          <w:i/>
          <w:iCs/>
        </w:rPr>
        <w:t>ealth – Western Pacific,</w:t>
      </w:r>
      <w:r w:rsidR="00734F8C">
        <w:t xml:space="preserve"> </w:t>
      </w:r>
      <w:r w:rsidR="00AB27CC">
        <w:t xml:space="preserve">[online] 13, p. 100185. </w:t>
      </w:r>
    </w:p>
    <w:p w14:paraId="29C2EC51" w14:textId="3CCC7821" w:rsidR="00AB27CC" w:rsidRDefault="00AB27CC" w:rsidP="00AB27CC">
      <w:pPr>
        <w:pStyle w:val="ListParagraph"/>
      </w:pPr>
      <w:r>
        <w:t xml:space="preserve">Available at: </w:t>
      </w:r>
      <w:r w:rsidR="00363144" w:rsidRPr="00A94497">
        <w:t>https://doi.org/10.1016/j.lanwpc.2021.100185</w:t>
      </w:r>
      <w:r w:rsidR="00363144">
        <w:t>.</w:t>
      </w:r>
      <w:r w:rsidR="000F0A4B">
        <w:t xml:space="preserve"> </w:t>
      </w:r>
    </w:p>
    <w:p w14:paraId="44C476D3" w14:textId="77777777" w:rsidR="000F0A4B" w:rsidRDefault="000F0A4B" w:rsidP="00AB27CC">
      <w:pPr>
        <w:pStyle w:val="ListParagraph"/>
      </w:pPr>
    </w:p>
    <w:p w14:paraId="3673D3E4" w14:textId="5A98AF23" w:rsidR="00363144" w:rsidRDefault="00284EB0" w:rsidP="001C6AFC">
      <w:pPr>
        <w:pStyle w:val="ListParagraph"/>
      </w:pPr>
      <w:r>
        <w:lastRenderedPageBreak/>
        <w:t>Roberts, N., Curran, S.</w:t>
      </w:r>
      <w:r w:rsidR="009408DC">
        <w:t xml:space="preserve">, </w:t>
      </w:r>
      <w:r>
        <w:t xml:space="preserve">Minogue, V., </w:t>
      </w:r>
      <w:r w:rsidR="009408DC">
        <w:t xml:space="preserve">Shewan, J., </w:t>
      </w:r>
      <w:r w:rsidR="00FE096F">
        <w:t xml:space="preserve">Spencer, R. and </w:t>
      </w:r>
      <w:r w:rsidR="00272D4B">
        <w:t>Wattis</w:t>
      </w:r>
      <w:r w:rsidR="00FE096F">
        <w:t xml:space="preserve">, J. (2010). A </w:t>
      </w:r>
      <w:r w:rsidR="00272D4B">
        <w:t xml:space="preserve">Pilot Study of the Impact of NHS Patient </w:t>
      </w:r>
      <w:r w:rsidR="008A416D">
        <w:t xml:space="preserve">Transportation on Older People with Dementia. </w:t>
      </w:r>
      <w:r w:rsidR="008A416D" w:rsidRPr="001C6AFC">
        <w:rPr>
          <w:i/>
          <w:iCs/>
        </w:rPr>
        <w:t xml:space="preserve">International </w:t>
      </w:r>
      <w:r w:rsidR="00E21492" w:rsidRPr="001C6AFC">
        <w:rPr>
          <w:i/>
          <w:iCs/>
        </w:rPr>
        <w:t>Journal of Alzheimer’s Disease</w:t>
      </w:r>
      <w:r w:rsidR="00E21492">
        <w:t xml:space="preserve">, [online] 2010. </w:t>
      </w:r>
    </w:p>
    <w:p w14:paraId="38EEA6B7" w14:textId="321B134E" w:rsidR="001C6AFC" w:rsidRDefault="00E21492" w:rsidP="00E21492">
      <w:pPr>
        <w:pStyle w:val="ListParagraph"/>
      </w:pPr>
      <w:r>
        <w:t xml:space="preserve">Available at: </w:t>
      </w:r>
      <w:r w:rsidR="00D80506" w:rsidRPr="001C6AFC">
        <w:t>https://doi.org/10.4061/2010/348065</w:t>
      </w:r>
      <w:r w:rsidR="00D80506">
        <w:t>.</w:t>
      </w:r>
      <w:r w:rsidR="001C6AFC">
        <w:t xml:space="preserve"> </w:t>
      </w:r>
    </w:p>
    <w:p w14:paraId="10304C08" w14:textId="76EE8EF1" w:rsidR="00E21492" w:rsidRDefault="001C6AFC" w:rsidP="00E21492">
      <w:pPr>
        <w:pStyle w:val="ListParagraph"/>
      </w:pPr>
      <w:r>
        <w:t xml:space="preserve"> </w:t>
      </w:r>
    </w:p>
    <w:p w14:paraId="131D92A6" w14:textId="6EEAB2C5" w:rsidR="00D80506" w:rsidRDefault="00D80506" w:rsidP="00A91736">
      <w:pPr>
        <w:pStyle w:val="ListParagraph"/>
      </w:pPr>
      <w:r>
        <w:t>Sperling, D. and Pikkel</w:t>
      </w:r>
      <w:r w:rsidR="00661890">
        <w:t xml:space="preserve">, R.B. (2020). Promoting </w:t>
      </w:r>
      <w:r w:rsidR="001C6AFC">
        <w:t>patients ‘rights</w:t>
      </w:r>
      <w:r w:rsidR="00661890">
        <w:t xml:space="preserve"> through </w:t>
      </w:r>
      <w:r w:rsidR="00F05F63">
        <w:t xml:space="preserve">hospital accreditation. </w:t>
      </w:r>
      <w:r w:rsidR="00F05F63" w:rsidRPr="00A91736">
        <w:rPr>
          <w:i/>
          <w:iCs/>
        </w:rPr>
        <w:t xml:space="preserve">Israel Journal of Health </w:t>
      </w:r>
      <w:r w:rsidR="00821C3E" w:rsidRPr="00A91736">
        <w:rPr>
          <w:i/>
          <w:iCs/>
        </w:rPr>
        <w:t>Policy Research</w:t>
      </w:r>
      <w:r w:rsidR="00821C3E">
        <w:t>, 9(1).</w:t>
      </w:r>
    </w:p>
    <w:p w14:paraId="291C1E61" w14:textId="38A8E533" w:rsidR="00821C3E" w:rsidRDefault="00821C3E" w:rsidP="00821C3E">
      <w:pPr>
        <w:pStyle w:val="ListParagraph"/>
      </w:pPr>
      <w:r>
        <w:t xml:space="preserve">Available at: </w:t>
      </w:r>
      <w:r w:rsidR="009F2635" w:rsidRPr="00A91736">
        <w:t>https://oi.org/10.1186/s13584-020-00405-1</w:t>
      </w:r>
      <w:r w:rsidR="009F2635">
        <w:t>.</w:t>
      </w:r>
      <w:r w:rsidR="00A91736">
        <w:t xml:space="preserve"> </w:t>
      </w:r>
    </w:p>
    <w:p w14:paraId="13D4A816" w14:textId="77777777" w:rsidR="00A91736" w:rsidRDefault="00A91736" w:rsidP="00821C3E">
      <w:pPr>
        <w:pStyle w:val="ListParagraph"/>
      </w:pPr>
    </w:p>
    <w:p w14:paraId="589C2A9C" w14:textId="7FCA68FA" w:rsidR="009F2635" w:rsidRDefault="009F2635" w:rsidP="00A91736">
      <w:pPr>
        <w:pStyle w:val="ListParagraph"/>
      </w:pPr>
      <w:r>
        <w:t xml:space="preserve">Szary, N.M., </w:t>
      </w:r>
      <w:r w:rsidR="002732DD">
        <w:t xml:space="preserve">Sarwal, A., Boshard, B.J. and </w:t>
      </w:r>
      <w:r w:rsidR="0072623A">
        <w:t>Hall, L. W. (201). Transfer of Care Communication</w:t>
      </w:r>
      <w:r w:rsidR="000A750B">
        <w:t>: Improving Communication during Inter-Facility Patient Transfer</w:t>
      </w:r>
      <w:r w:rsidR="00D311D1">
        <w:t xml:space="preserve">. </w:t>
      </w:r>
      <w:r w:rsidR="00D311D1" w:rsidRPr="00A91736">
        <w:rPr>
          <w:i/>
          <w:iCs/>
        </w:rPr>
        <w:t>Missouri Medicine</w:t>
      </w:r>
      <w:r w:rsidR="00D311D1">
        <w:t>, [online] 107(2)</w:t>
      </w:r>
      <w:r w:rsidR="000D1503">
        <w:t>, pp. 127-130.</w:t>
      </w:r>
    </w:p>
    <w:p w14:paraId="57DD2E32" w14:textId="0360CCAC" w:rsidR="000D1503" w:rsidRDefault="000D1503" w:rsidP="000D1503">
      <w:pPr>
        <w:pStyle w:val="ListParagraph"/>
      </w:pPr>
      <w:r>
        <w:t xml:space="preserve">Available at: </w:t>
      </w:r>
      <w:r w:rsidR="00784F66" w:rsidRPr="00A91736">
        <w:t>https://www.ncbi.nlm.nih.gov/pmc/articles/PMC6188263/</w:t>
      </w:r>
      <w:r w:rsidR="00784F66">
        <w:t>.</w:t>
      </w:r>
    </w:p>
    <w:p w14:paraId="6013CDFC" w14:textId="77777777" w:rsidR="00784F66" w:rsidRDefault="00784F66" w:rsidP="000D1503">
      <w:pPr>
        <w:pStyle w:val="ListParagraph"/>
      </w:pPr>
    </w:p>
    <w:p w14:paraId="771F6B35" w14:textId="77777777" w:rsidR="001120B4" w:rsidRPr="00C43136" w:rsidRDefault="001120B4" w:rsidP="004D21D3">
      <w:pPr>
        <w:pStyle w:val="ListParagraph"/>
      </w:pPr>
    </w:p>
    <w:sectPr w:rsidR="001120B4" w:rsidRPr="00C43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B57"/>
    <w:multiLevelType w:val="hybridMultilevel"/>
    <w:tmpl w:val="052E2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B07CC"/>
    <w:multiLevelType w:val="hybridMultilevel"/>
    <w:tmpl w:val="B8E01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725CC"/>
    <w:multiLevelType w:val="hybridMultilevel"/>
    <w:tmpl w:val="89F85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17D8A"/>
    <w:multiLevelType w:val="hybridMultilevel"/>
    <w:tmpl w:val="D8A4C3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2669B"/>
    <w:multiLevelType w:val="hybridMultilevel"/>
    <w:tmpl w:val="3AFA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09FA"/>
    <w:multiLevelType w:val="hybridMultilevel"/>
    <w:tmpl w:val="5EFEB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70815"/>
    <w:multiLevelType w:val="hybridMultilevel"/>
    <w:tmpl w:val="9CE0C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763C9"/>
    <w:multiLevelType w:val="hybridMultilevel"/>
    <w:tmpl w:val="DF44E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351954"/>
    <w:multiLevelType w:val="hybridMultilevel"/>
    <w:tmpl w:val="4AC26B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C849C1"/>
    <w:multiLevelType w:val="hybridMultilevel"/>
    <w:tmpl w:val="6E74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06657"/>
    <w:multiLevelType w:val="hybridMultilevel"/>
    <w:tmpl w:val="14B230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411038">
    <w:abstractNumId w:val="10"/>
  </w:num>
  <w:num w:numId="2" w16cid:durableId="568200221">
    <w:abstractNumId w:val="3"/>
  </w:num>
  <w:num w:numId="3" w16cid:durableId="1596161116">
    <w:abstractNumId w:val="8"/>
  </w:num>
  <w:num w:numId="4" w16cid:durableId="644698455">
    <w:abstractNumId w:val="5"/>
  </w:num>
  <w:num w:numId="5" w16cid:durableId="1827092448">
    <w:abstractNumId w:val="6"/>
  </w:num>
  <w:num w:numId="6" w16cid:durableId="289559729">
    <w:abstractNumId w:val="7"/>
  </w:num>
  <w:num w:numId="7" w16cid:durableId="704913583">
    <w:abstractNumId w:val="1"/>
  </w:num>
  <w:num w:numId="8" w16cid:durableId="2036613785">
    <w:abstractNumId w:val="2"/>
  </w:num>
  <w:num w:numId="9" w16cid:durableId="1768305009">
    <w:abstractNumId w:val="9"/>
  </w:num>
  <w:num w:numId="10" w16cid:durableId="500005297">
    <w:abstractNumId w:val="4"/>
  </w:num>
  <w:num w:numId="11" w16cid:durableId="265577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19"/>
    <w:rsid w:val="00006FC7"/>
    <w:rsid w:val="00013164"/>
    <w:rsid w:val="000307ED"/>
    <w:rsid w:val="00031C9B"/>
    <w:rsid w:val="00032D3C"/>
    <w:rsid w:val="00034F41"/>
    <w:rsid w:val="00035EAE"/>
    <w:rsid w:val="00037D51"/>
    <w:rsid w:val="000459AB"/>
    <w:rsid w:val="00052E41"/>
    <w:rsid w:val="00055526"/>
    <w:rsid w:val="00060B4D"/>
    <w:rsid w:val="00061561"/>
    <w:rsid w:val="0006298B"/>
    <w:rsid w:val="00062A3E"/>
    <w:rsid w:val="00065428"/>
    <w:rsid w:val="00087CB2"/>
    <w:rsid w:val="00087DE3"/>
    <w:rsid w:val="00094029"/>
    <w:rsid w:val="00095058"/>
    <w:rsid w:val="00096617"/>
    <w:rsid w:val="000A3FF5"/>
    <w:rsid w:val="000A750B"/>
    <w:rsid w:val="000B2327"/>
    <w:rsid w:val="000B2C5D"/>
    <w:rsid w:val="000B302F"/>
    <w:rsid w:val="000C1809"/>
    <w:rsid w:val="000C6453"/>
    <w:rsid w:val="000C7088"/>
    <w:rsid w:val="000C7421"/>
    <w:rsid w:val="000D1503"/>
    <w:rsid w:val="000D5D54"/>
    <w:rsid w:val="000D752E"/>
    <w:rsid w:val="000E3AB9"/>
    <w:rsid w:val="000E6728"/>
    <w:rsid w:val="000F0A4B"/>
    <w:rsid w:val="000F1160"/>
    <w:rsid w:val="000F352A"/>
    <w:rsid w:val="001014D3"/>
    <w:rsid w:val="00111734"/>
    <w:rsid w:val="001120B4"/>
    <w:rsid w:val="00112766"/>
    <w:rsid w:val="00120C81"/>
    <w:rsid w:val="001211C7"/>
    <w:rsid w:val="00121B54"/>
    <w:rsid w:val="001225A5"/>
    <w:rsid w:val="00125CAA"/>
    <w:rsid w:val="00130638"/>
    <w:rsid w:val="001333E8"/>
    <w:rsid w:val="0013343B"/>
    <w:rsid w:val="00136BF7"/>
    <w:rsid w:val="00144F46"/>
    <w:rsid w:val="00147FAA"/>
    <w:rsid w:val="001508DE"/>
    <w:rsid w:val="00151607"/>
    <w:rsid w:val="0015187A"/>
    <w:rsid w:val="00156626"/>
    <w:rsid w:val="001642B6"/>
    <w:rsid w:val="00165819"/>
    <w:rsid w:val="001672A6"/>
    <w:rsid w:val="00172242"/>
    <w:rsid w:val="00173EEC"/>
    <w:rsid w:val="0017423C"/>
    <w:rsid w:val="00174A5D"/>
    <w:rsid w:val="00177B2C"/>
    <w:rsid w:val="0018477D"/>
    <w:rsid w:val="00184FFC"/>
    <w:rsid w:val="00196A45"/>
    <w:rsid w:val="001A1AF7"/>
    <w:rsid w:val="001A1F15"/>
    <w:rsid w:val="001A346F"/>
    <w:rsid w:val="001B211F"/>
    <w:rsid w:val="001B6209"/>
    <w:rsid w:val="001C0491"/>
    <w:rsid w:val="001C09F7"/>
    <w:rsid w:val="001C6AFC"/>
    <w:rsid w:val="001D0317"/>
    <w:rsid w:val="001D166E"/>
    <w:rsid w:val="001D2CD3"/>
    <w:rsid w:val="001E496F"/>
    <w:rsid w:val="001E6DDC"/>
    <w:rsid w:val="00212DCA"/>
    <w:rsid w:val="002254DA"/>
    <w:rsid w:val="00231F92"/>
    <w:rsid w:val="002323A6"/>
    <w:rsid w:val="00232707"/>
    <w:rsid w:val="00232C82"/>
    <w:rsid w:val="002336DF"/>
    <w:rsid w:val="002356FD"/>
    <w:rsid w:val="00245C6E"/>
    <w:rsid w:val="00247AE2"/>
    <w:rsid w:val="002546DC"/>
    <w:rsid w:val="0025668F"/>
    <w:rsid w:val="00257A09"/>
    <w:rsid w:val="002651DF"/>
    <w:rsid w:val="00272D4B"/>
    <w:rsid w:val="002732DD"/>
    <w:rsid w:val="00280E15"/>
    <w:rsid w:val="002829E2"/>
    <w:rsid w:val="00282CCE"/>
    <w:rsid w:val="002847CA"/>
    <w:rsid w:val="00284EB0"/>
    <w:rsid w:val="002852EF"/>
    <w:rsid w:val="00286F2F"/>
    <w:rsid w:val="00291016"/>
    <w:rsid w:val="002963E9"/>
    <w:rsid w:val="002A2DB5"/>
    <w:rsid w:val="002A6C94"/>
    <w:rsid w:val="002A7B8C"/>
    <w:rsid w:val="002B0B83"/>
    <w:rsid w:val="002C670E"/>
    <w:rsid w:val="002C7694"/>
    <w:rsid w:val="002D1B97"/>
    <w:rsid w:val="002D685F"/>
    <w:rsid w:val="002D7825"/>
    <w:rsid w:val="002E59FB"/>
    <w:rsid w:val="00307CDC"/>
    <w:rsid w:val="0031088A"/>
    <w:rsid w:val="00314D97"/>
    <w:rsid w:val="003244EB"/>
    <w:rsid w:val="003251B7"/>
    <w:rsid w:val="003256DD"/>
    <w:rsid w:val="003335BF"/>
    <w:rsid w:val="00337563"/>
    <w:rsid w:val="00347E60"/>
    <w:rsid w:val="0035008C"/>
    <w:rsid w:val="00355EF2"/>
    <w:rsid w:val="00362A91"/>
    <w:rsid w:val="00363144"/>
    <w:rsid w:val="00363E43"/>
    <w:rsid w:val="003666D4"/>
    <w:rsid w:val="003704EA"/>
    <w:rsid w:val="003965C7"/>
    <w:rsid w:val="003A3868"/>
    <w:rsid w:val="003A4F55"/>
    <w:rsid w:val="003A7942"/>
    <w:rsid w:val="003B3357"/>
    <w:rsid w:val="003C391A"/>
    <w:rsid w:val="003C503E"/>
    <w:rsid w:val="003C61A4"/>
    <w:rsid w:val="003E2DA4"/>
    <w:rsid w:val="003E377E"/>
    <w:rsid w:val="003E564B"/>
    <w:rsid w:val="003F6185"/>
    <w:rsid w:val="004013ED"/>
    <w:rsid w:val="004035FA"/>
    <w:rsid w:val="00403A98"/>
    <w:rsid w:val="00405BEC"/>
    <w:rsid w:val="004105F5"/>
    <w:rsid w:val="004144EA"/>
    <w:rsid w:val="00417A7E"/>
    <w:rsid w:val="00423881"/>
    <w:rsid w:val="0042729E"/>
    <w:rsid w:val="0043501A"/>
    <w:rsid w:val="00445C08"/>
    <w:rsid w:val="004610E8"/>
    <w:rsid w:val="004637A7"/>
    <w:rsid w:val="0046459C"/>
    <w:rsid w:val="00466F71"/>
    <w:rsid w:val="004672CB"/>
    <w:rsid w:val="00472E7B"/>
    <w:rsid w:val="0047494C"/>
    <w:rsid w:val="00476EAD"/>
    <w:rsid w:val="004834DE"/>
    <w:rsid w:val="00484814"/>
    <w:rsid w:val="004874CC"/>
    <w:rsid w:val="00490F74"/>
    <w:rsid w:val="004B05EA"/>
    <w:rsid w:val="004B1620"/>
    <w:rsid w:val="004C096C"/>
    <w:rsid w:val="004C0D07"/>
    <w:rsid w:val="004C6D43"/>
    <w:rsid w:val="004D2171"/>
    <w:rsid w:val="004D21D3"/>
    <w:rsid w:val="004D58C1"/>
    <w:rsid w:val="004E4A95"/>
    <w:rsid w:val="00500DA9"/>
    <w:rsid w:val="00507BD6"/>
    <w:rsid w:val="00514CEF"/>
    <w:rsid w:val="00523EF1"/>
    <w:rsid w:val="00527658"/>
    <w:rsid w:val="005302E0"/>
    <w:rsid w:val="00532D40"/>
    <w:rsid w:val="00536E4D"/>
    <w:rsid w:val="0053720A"/>
    <w:rsid w:val="00540869"/>
    <w:rsid w:val="005411E6"/>
    <w:rsid w:val="00542536"/>
    <w:rsid w:val="005427B0"/>
    <w:rsid w:val="00553706"/>
    <w:rsid w:val="005573C5"/>
    <w:rsid w:val="0057110A"/>
    <w:rsid w:val="00573EDA"/>
    <w:rsid w:val="00576A1E"/>
    <w:rsid w:val="0058255C"/>
    <w:rsid w:val="0058495C"/>
    <w:rsid w:val="0058612E"/>
    <w:rsid w:val="00587303"/>
    <w:rsid w:val="00596D60"/>
    <w:rsid w:val="005A134C"/>
    <w:rsid w:val="005A64BD"/>
    <w:rsid w:val="005B7C98"/>
    <w:rsid w:val="005C0C49"/>
    <w:rsid w:val="005C2A17"/>
    <w:rsid w:val="005C3046"/>
    <w:rsid w:val="005D4258"/>
    <w:rsid w:val="005D4A15"/>
    <w:rsid w:val="005E1D5B"/>
    <w:rsid w:val="005E70B0"/>
    <w:rsid w:val="005E7A7E"/>
    <w:rsid w:val="005E7EE7"/>
    <w:rsid w:val="005F5D0C"/>
    <w:rsid w:val="00610622"/>
    <w:rsid w:val="00610A71"/>
    <w:rsid w:val="006120DA"/>
    <w:rsid w:val="006123B7"/>
    <w:rsid w:val="00615E78"/>
    <w:rsid w:val="006214AF"/>
    <w:rsid w:val="0062377B"/>
    <w:rsid w:val="006249EC"/>
    <w:rsid w:val="00626B75"/>
    <w:rsid w:val="00627285"/>
    <w:rsid w:val="00637E51"/>
    <w:rsid w:val="00642819"/>
    <w:rsid w:val="006430F8"/>
    <w:rsid w:val="006469F4"/>
    <w:rsid w:val="0065284B"/>
    <w:rsid w:val="0065359B"/>
    <w:rsid w:val="00657033"/>
    <w:rsid w:val="00661890"/>
    <w:rsid w:val="006635D1"/>
    <w:rsid w:val="006867FC"/>
    <w:rsid w:val="00691911"/>
    <w:rsid w:val="006A36B3"/>
    <w:rsid w:val="006B2A88"/>
    <w:rsid w:val="006B6459"/>
    <w:rsid w:val="006C742E"/>
    <w:rsid w:val="006D0048"/>
    <w:rsid w:val="006E1A98"/>
    <w:rsid w:val="00703FA6"/>
    <w:rsid w:val="00704C9D"/>
    <w:rsid w:val="00706ECD"/>
    <w:rsid w:val="00722BF1"/>
    <w:rsid w:val="0072623A"/>
    <w:rsid w:val="00730073"/>
    <w:rsid w:val="00734F8C"/>
    <w:rsid w:val="0074514F"/>
    <w:rsid w:val="00747787"/>
    <w:rsid w:val="00747C32"/>
    <w:rsid w:val="00750FE3"/>
    <w:rsid w:val="00757E1E"/>
    <w:rsid w:val="00764A24"/>
    <w:rsid w:val="00764DB8"/>
    <w:rsid w:val="00770126"/>
    <w:rsid w:val="00771465"/>
    <w:rsid w:val="00777619"/>
    <w:rsid w:val="007823BA"/>
    <w:rsid w:val="00784F66"/>
    <w:rsid w:val="007A35F4"/>
    <w:rsid w:val="007A497C"/>
    <w:rsid w:val="007A5022"/>
    <w:rsid w:val="007A5184"/>
    <w:rsid w:val="007A5D8F"/>
    <w:rsid w:val="007A5F29"/>
    <w:rsid w:val="007B6734"/>
    <w:rsid w:val="007B7384"/>
    <w:rsid w:val="007D2B19"/>
    <w:rsid w:val="007D5D67"/>
    <w:rsid w:val="007E09B1"/>
    <w:rsid w:val="00800215"/>
    <w:rsid w:val="00803E84"/>
    <w:rsid w:val="00806831"/>
    <w:rsid w:val="00810599"/>
    <w:rsid w:val="00810E6C"/>
    <w:rsid w:val="00815ADE"/>
    <w:rsid w:val="00815FEA"/>
    <w:rsid w:val="0081736B"/>
    <w:rsid w:val="008219C2"/>
    <w:rsid w:val="00821C3E"/>
    <w:rsid w:val="008243E7"/>
    <w:rsid w:val="00824484"/>
    <w:rsid w:val="00832C2C"/>
    <w:rsid w:val="0083541F"/>
    <w:rsid w:val="0083565E"/>
    <w:rsid w:val="008445F5"/>
    <w:rsid w:val="008539CE"/>
    <w:rsid w:val="00854663"/>
    <w:rsid w:val="0086698C"/>
    <w:rsid w:val="008745ED"/>
    <w:rsid w:val="0087729A"/>
    <w:rsid w:val="00883BB5"/>
    <w:rsid w:val="00893A0E"/>
    <w:rsid w:val="008956C0"/>
    <w:rsid w:val="00897AB4"/>
    <w:rsid w:val="008A416D"/>
    <w:rsid w:val="008A4350"/>
    <w:rsid w:val="008A4703"/>
    <w:rsid w:val="008A6657"/>
    <w:rsid w:val="008B080D"/>
    <w:rsid w:val="008B3102"/>
    <w:rsid w:val="008B6C1F"/>
    <w:rsid w:val="008B73B0"/>
    <w:rsid w:val="008C020F"/>
    <w:rsid w:val="008C7D0E"/>
    <w:rsid w:val="008D0F91"/>
    <w:rsid w:val="008D3538"/>
    <w:rsid w:val="008D3DE6"/>
    <w:rsid w:val="008E1937"/>
    <w:rsid w:val="008E26C3"/>
    <w:rsid w:val="008E3A14"/>
    <w:rsid w:val="008E3B04"/>
    <w:rsid w:val="00904D76"/>
    <w:rsid w:val="009153A1"/>
    <w:rsid w:val="00915C0B"/>
    <w:rsid w:val="00921DFE"/>
    <w:rsid w:val="00922647"/>
    <w:rsid w:val="00925651"/>
    <w:rsid w:val="00925E68"/>
    <w:rsid w:val="0092666C"/>
    <w:rsid w:val="0093034B"/>
    <w:rsid w:val="009307FC"/>
    <w:rsid w:val="00930F30"/>
    <w:rsid w:val="00933472"/>
    <w:rsid w:val="009408DC"/>
    <w:rsid w:val="00941B9C"/>
    <w:rsid w:val="00947505"/>
    <w:rsid w:val="009535A7"/>
    <w:rsid w:val="009610E9"/>
    <w:rsid w:val="00963932"/>
    <w:rsid w:val="00963B1D"/>
    <w:rsid w:val="00971AB2"/>
    <w:rsid w:val="009725D0"/>
    <w:rsid w:val="00972D70"/>
    <w:rsid w:val="00983BB3"/>
    <w:rsid w:val="00983BD9"/>
    <w:rsid w:val="009866F9"/>
    <w:rsid w:val="00995770"/>
    <w:rsid w:val="009A7CB4"/>
    <w:rsid w:val="009B1253"/>
    <w:rsid w:val="009B72BC"/>
    <w:rsid w:val="009D012C"/>
    <w:rsid w:val="009D68EC"/>
    <w:rsid w:val="009E1218"/>
    <w:rsid w:val="009E77D9"/>
    <w:rsid w:val="009F0367"/>
    <w:rsid w:val="009F2635"/>
    <w:rsid w:val="009F3D57"/>
    <w:rsid w:val="00A0501B"/>
    <w:rsid w:val="00A05450"/>
    <w:rsid w:val="00A1281E"/>
    <w:rsid w:val="00A225E5"/>
    <w:rsid w:val="00A24A92"/>
    <w:rsid w:val="00A31E00"/>
    <w:rsid w:val="00A34CA7"/>
    <w:rsid w:val="00A408AC"/>
    <w:rsid w:val="00A44468"/>
    <w:rsid w:val="00A44934"/>
    <w:rsid w:val="00A45910"/>
    <w:rsid w:val="00A5564F"/>
    <w:rsid w:val="00A710DC"/>
    <w:rsid w:val="00A71F23"/>
    <w:rsid w:val="00A740FB"/>
    <w:rsid w:val="00A75416"/>
    <w:rsid w:val="00A7558E"/>
    <w:rsid w:val="00A77B57"/>
    <w:rsid w:val="00A81307"/>
    <w:rsid w:val="00A8502B"/>
    <w:rsid w:val="00A86DAB"/>
    <w:rsid w:val="00A91736"/>
    <w:rsid w:val="00A93A11"/>
    <w:rsid w:val="00A94497"/>
    <w:rsid w:val="00AA095F"/>
    <w:rsid w:val="00AA3B37"/>
    <w:rsid w:val="00AB00F4"/>
    <w:rsid w:val="00AB0546"/>
    <w:rsid w:val="00AB1BE7"/>
    <w:rsid w:val="00AB27CC"/>
    <w:rsid w:val="00AB28D6"/>
    <w:rsid w:val="00AB582D"/>
    <w:rsid w:val="00AC2EC7"/>
    <w:rsid w:val="00AC3D2D"/>
    <w:rsid w:val="00AC65D0"/>
    <w:rsid w:val="00AD095A"/>
    <w:rsid w:val="00AE1246"/>
    <w:rsid w:val="00AE1D5F"/>
    <w:rsid w:val="00AF1367"/>
    <w:rsid w:val="00AF506F"/>
    <w:rsid w:val="00B00650"/>
    <w:rsid w:val="00B02701"/>
    <w:rsid w:val="00B06483"/>
    <w:rsid w:val="00B300A5"/>
    <w:rsid w:val="00B413BC"/>
    <w:rsid w:val="00B4644B"/>
    <w:rsid w:val="00B47E45"/>
    <w:rsid w:val="00B543B8"/>
    <w:rsid w:val="00B667DB"/>
    <w:rsid w:val="00B668E0"/>
    <w:rsid w:val="00B669E8"/>
    <w:rsid w:val="00B70C08"/>
    <w:rsid w:val="00B73A50"/>
    <w:rsid w:val="00B836E4"/>
    <w:rsid w:val="00B91300"/>
    <w:rsid w:val="00B91DB6"/>
    <w:rsid w:val="00BA1D4A"/>
    <w:rsid w:val="00BA44A8"/>
    <w:rsid w:val="00BB240F"/>
    <w:rsid w:val="00BB3DF4"/>
    <w:rsid w:val="00BC0AC0"/>
    <w:rsid w:val="00BC2FFF"/>
    <w:rsid w:val="00BC3AE3"/>
    <w:rsid w:val="00BC4213"/>
    <w:rsid w:val="00BC5511"/>
    <w:rsid w:val="00BD28E6"/>
    <w:rsid w:val="00BD5613"/>
    <w:rsid w:val="00BD7A4E"/>
    <w:rsid w:val="00BE1407"/>
    <w:rsid w:val="00BE5683"/>
    <w:rsid w:val="00BF1454"/>
    <w:rsid w:val="00BF55FE"/>
    <w:rsid w:val="00BF5E4D"/>
    <w:rsid w:val="00BF67D8"/>
    <w:rsid w:val="00C045CB"/>
    <w:rsid w:val="00C14D8B"/>
    <w:rsid w:val="00C21BDD"/>
    <w:rsid w:val="00C257B5"/>
    <w:rsid w:val="00C26D73"/>
    <w:rsid w:val="00C36165"/>
    <w:rsid w:val="00C36DCC"/>
    <w:rsid w:val="00C42BCB"/>
    <w:rsid w:val="00C43136"/>
    <w:rsid w:val="00C5008B"/>
    <w:rsid w:val="00C50FBE"/>
    <w:rsid w:val="00C52FED"/>
    <w:rsid w:val="00C540D5"/>
    <w:rsid w:val="00C6348B"/>
    <w:rsid w:val="00C65010"/>
    <w:rsid w:val="00C72635"/>
    <w:rsid w:val="00C75CD1"/>
    <w:rsid w:val="00C8026A"/>
    <w:rsid w:val="00C802A2"/>
    <w:rsid w:val="00C845C3"/>
    <w:rsid w:val="00C8488D"/>
    <w:rsid w:val="00C85D34"/>
    <w:rsid w:val="00C85D4C"/>
    <w:rsid w:val="00C94782"/>
    <w:rsid w:val="00C94A5C"/>
    <w:rsid w:val="00C95456"/>
    <w:rsid w:val="00C9611A"/>
    <w:rsid w:val="00CA1736"/>
    <w:rsid w:val="00CA4CD7"/>
    <w:rsid w:val="00CA5A20"/>
    <w:rsid w:val="00CB4130"/>
    <w:rsid w:val="00CC06C3"/>
    <w:rsid w:val="00CC17B1"/>
    <w:rsid w:val="00CC45CD"/>
    <w:rsid w:val="00CD46DD"/>
    <w:rsid w:val="00CE17F5"/>
    <w:rsid w:val="00CE1AC6"/>
    <w:rsid w:val="00CE2142"/>
    <w:rsid w:val="00CE3060"/>
    <w:rsid w:val="00CE71F9"/>
    <w:rsid w:val="00CF1883"/>
    <w:rsid w:val="00CF4B66"/>
    <w:rsid w:val="00CF537A"/>
    <w:rsid w:val="00D076E7"/>
    <w:rsid w:val="00D10FE7"/>
    <w:rsid w:val="00D138E7"/>
    <w:rsid w:val="00D178BF"/>
    <w:rsid w:val="00D24E9E"/>
    <w:rsid w:val="00D25659"/>
    <w:rsid w:val="00D2622E"/>
    <w:rsid w:val="00D311D1"/>
    <w:rsid w:val="00D339FC"/>
    <w:rsid w:val="00D36514"/>
    <w:rsid w:val="00D36E4C"/>
    <w:rsid w:val="00D46CFB"/>
    <w:rsid w:val="00D51A32"/>
    <w:rsid w:val="00D630F3"/>
    <w:rsid w:val="00D64634"/>
    <w:rsid w:val="00D6586A"/>
    <w:rsid w:val="00D71D43"/>
    <w:rsid w:val="00D730E9"/>
    <w:rsid w:val="00D74035"/>
    <w:rsid w:val="00D76B09"/>
    <w:rsid w:val="00D777D3"/>
    <w:rsid w:val="00D802B8"/>
    <w:rsid w:val="00D80506"/>
    <w:rsid w:val="00D820F8"/>
    <w:rsid w:val="00D82F46"/>
    <w:rsid w:val="00D8731D"/>
    <w:rsid w:val="00D906E2"/>
    <w:rsid w:val="00D92093"/>
    <w:rsid w:val="00D93782"/>
    <w:rsid w:val="00DA0C45"/>
    <w:rsid w:val="00DA25B2"/>
    <w:rsid w:val="00DA67B6"/>
    <w:rsid w:val="00DC0444"/>
    <w:rsid w:val="00DC1EFF"/>
    <w:rsid w:val="00DC7627"/>
    <w:rsid w:val="00DD1FBF"/>
    <w:rsid w:val="00DE3DF7"/>
    <w:rsid w:val="00DE5350"/>
    <w:rsid w:val="00DE7BA3"/>
    <w:rsid w:val="00DF3627"/>
    <w:rsid w:val="00DF48DE"/>
    <w:rsid w:val="00E0331E"/>
    <w:rsid w:val="00E050AD"/>
    <w:rsid w:val="00E1378A"/>
    <w:rsid w:val="00E21492"/>
    <w:rsid w:val="00E27DFB"/>
    <w:rsid w:val="00E35977"/>
    <w:rsid w:val="00E3657D"/>
    <w:rsid w:val="00E40DC1"/>
    <w:rsid w:val="00E44A07"/>
    <w:rsid w:val="00E51D7C"/>
    <w:rsid w:val="00E650AE"/>
    <w:rsid w:val="00E70558"/>
    <w:rsid w:val="00E73B6C"/>
    <w:rsid w:val="00E7777E"/>
    <w:rsid w:val="00E81B68"/>
    <w:rsid w:val="00E837FA"/>
    <w:rsid w:val="00EA0D8F"/>
    <w:rsid w:val="00EA51C1"/>
    <w:rsid w:val="00EA7591"/>
    <w:rsid w:val="00EA7983"/>
    <w:rsid w:val="00EB0F39"/>
    <w:rsid w:val="00EB1666"/>
    <w:rsid w:val="00EB19CD"/>
    <w:rsid w:val="00EB6731"/>
    <w:rsid w:val="00ED4E95"/>
    <w:rsid w:val="00ED6568"/>
    <w:rsid w:val="00EE2575"/>
    <w:rsid w:val="00EF313A"/>
    <w:rsid w:val="00EF39C9"/>
    <w:rsid w:val="00EF4BC7"/>
    <w:rsid w:val="00EF5F2B"/>
    <w:rsid w:val="00EF6BEB"/>
    <w:rsid w:val="00F05F63"/>
    <w:rsid w:val="00F07422"/>
    <w:rsid w:val="00F1282A"/>
    <w:rsid w:val="00F12A28"/>
    <w:rsid w:val="00F204EF"/>
    <w:rsid w:val="00F20B7F"/>
    <w:rsid w:val="00F30C5D"/>
    <w:rsid w:val="00F31137"/>
    <w:rsid w:val="00F40E6E"/>
    <w:rsid w:val="00F42395"/>
    <w:rsid w:val="00F43E67"/>
    <w:rsid w:val="00F6388F"/>
    <w:rsid w:val="00F64E2B"/>
    <w:rsid w:val="00F724AD"/>
    <w:rsid w:val="00F766FE"/>
    <w:rsid w:val="00F84305"/>
    <w:rsid w:val="00F863B0"/>
    <w:rsid w:val="00F87833"/>
    <w:rsid w:val="00F87F4C"/>
    <w:rsid w:val="00FA310F"/>
    <w:rsid w:val="00FA3808"/>
    <w:rsid w:val="00FC6B0C"/>
    <w:rsid w:val="00FD2636"/>
    <w:rsid w:val="00FD779B"/>
    <w:rsid w:val="00FE096F"/>
    <w:rsid w:val="00FE11B6"/>
    <w:rsid w:val="00FE23FE"/>
    <w:rsid w:val="00FE76EF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B4DAB"/>
  <w15:chartTrackingRefBased/>
  <w15:docId w15:val="{26F78C41-7DCC-4A21-98A3-D77AA875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2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2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2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2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B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4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F4BC7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EE25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EF524-C174-42CB-9C0B-DCBC03AF3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11</Pages>
  <Words>3106</Words>
  <Characters>17708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Cojocariu</dc:creator>
  <cp:keywords/>
  <dc:description/>
  <cp:lastModifiedBy>Maria Cojocariu</cp:lastModifiedBy>
  <cp:revision>563</cp:revision>
  <dcterms:created xsi:type="dcterms:W3CDTF">2024-04-11T11:20:00Z</dcterms:created>
  <dcterms:modified xsi:type="dcterms:W3CDTF">2024-05-01T13:56:00Z</dcterms:modified>
</cp:coreProperties>
</file>