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1E785" w14:textId="62FD06EE" w:rsidR="00CA0BC0" w:rsidRDefault="00CA0BC0" w:rsidP="00CA0BC0">
      <w:pPr>
        <w:pStyle w:val="NormalWeb"/>
        <w:spacing w:before="0" w:beforeAutospacing="0" w:after="0" w:afterAutospacing="0"/>
        <w:ind w:left="-180" w:right="-334"/>
      </w:pPr>
      <w:r>
        <w:rPr>
          <w:noProof/>
        </w:rPr>
        <w:drawing>
          <wp:inline distT="0" distB="0" distL="0" distR="0" wp14:anchorId="1023F16F" wp14:editId="1FFFC03D">
            <wp:extent cx="1905000" cy="638175"/>
            <wp:effectExtent l="19050" t="19050" r="19050" b="28575"/>
            <wp:docPr id="1272993552"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993552" name="Picture 1"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544BBBFF" w14:textId="77777777" w:rsidR="00CA0BC0" w:rsidRDefault="00CA0BC0" w:rsidP="00CA0BC0">
      <w:pPr>
        <w:pStyle w:val="NormalWeb"/>
        <w:spacing w:before="0" w:beforeAutospacing="0" w:after="0" w:afterAutospacing="0"/>
        <w:ind w:left="-180" w:right="-334"/>
      </w:pPr>
    </w:p>
    <w:p w14:paraId="787807F1" w14:textId="77777777" w:rsidR="00CA0BC0" w:rsidRDefault="00CA0BC0" w:rsidP="00CA0BC0">
      <w:pPr>
        <w:pStyle w:val="NormalWeb"/>
        <w:spacing w:before="0" w:beforeAutospacing="0" w:after="0" w:afterAutospacing="0"/>
        <w:ind w:left="-180" w:right="-334"/>
      </w:pPr>
    </w:p>
    <w:p w14:paraId="2FD58E61" w14:textId="77777777" w:rsidR="00CA0BC0" w:rsidRDefault="00CA0BC0" w:rsidP="00CA0BC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EC3F362" w14:textId="77777777" w:rsidR="00CA0BC0" w:rsidRPr="00230F35" w:rsidRDefault="00CA0BC0" w:rsidP="00CA0BC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E5CCFC5" w14:textId="77777777" w:rsidR="00CA0BC0" w:rsidRPr="00230F35" w:rsidRDefault="00CA0BC0" w:rsidP="00CA0BC0">
      <w:pPr>
        <w:rPr>
          <w:rFonts w:ascii="Arial" w:hAnsi="Arial" w:cs="Arial"/>
          <w:sz w:val="28"/>
          <w:szCs w:val="28"/>
          <w:lang w:val="cy-GB"/>
        </w:rPr>
      </w:pPr>
    </w:p>
    <w:p w14:paraId="399B71E3" w14:textId="77777777" w:rsidR="00CA0BC0" w:rsidRDefault="00CA0BC0" w:rsidP="00CA0BC0">
      <w:pPr>
        <w:pStyle w:val="Heading3"/>
        <w:jc w:val="center"/>
        <w:rPr>
          <w:lang w:val="cy-GB"/>
        </w:rPr>
      </w:pPr>
      <w:r>
        <w:rPr>
          <w:lang w:val="cy-GB"/>
        </w:rPr>
        <w:t>THIS SHEET MUST BE THE FIRST PAGE OF THE ASSIGNMENT YOU ARE SUBMITTING  (DO NOT SEND AS A SEPARATE FILE)</w:t>
      </w:r>
    </w:p>
    <w:p w14:paraId="1B6CE995" w14:textId="77777777" w:rsidR="00CA0BC0" w:rsidRDefault="00CA0BC0" w:rsidP="00CA0BC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A0BC0" w:rsidRPr="00230F35" w14:paraId="74F05FA1" w14:textId="77777777" w:rsidTr="001325EA">
        <w:trPr>
          <w:trHeight w:val="614"/>
        </w:trPr>
        <w:tc>
          <w:tcPr>
            <w:tcW w:w="8856" w:type="dxa"/>
            <w:gridSpan w:val="5"/>
          </w:tcPr>
          <w:p w14:paraId="3C49C3FC" w14:textId="77777777" w:rsidR="00CA0BC0" w:rsidRPr="00230F35" w:rsidRDefault="00CA0BC0" w:rsidP="001325E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A0BC0" w:rsidRPr="00230F35" w14:paraId="79D5F13C" w14:textId="77777777" w:rsidTr="001325EA">
        <w:trPr>
          <w:trHeight w:val="718"/>
        </w:trPr>
        <w:tc>
          <w:tcPr>
            <w:tcW w:w="8856" w:type="dxa"/>
            <w:gridSpan w:val="5"/>
          </w:tcPr>
          <w:p w14:paraId="44918F76" w14:textId="77777777" w:rsidR="00CA0BC0" w:rsidRDefault="00CA0BC0" w:rsidP="001325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1F3971F8" w14:textId="5458D57E" w:rsidR="00CA0BC0" w:rsidRPr="00230F35" w:rsidRDefault="007C11F8" w:rsidP="001325EA">
            <w:pPr>
              <w:pStyle w:val="NormalWeb"/>
              <w:spacing w:before="0" w:beforeAutospacing="0" w:after="0" w:afterAutospacing="0"/>
              <w:ind w:right="34"/>
              <w:rPr>
                <w:rFonts w:ascii="Arial" w:hAnsi="Arial" w:cs="Arial"/>
                <w:sz w:val="22"/>
                <w:szCs w:val="22"/>
              </w:rPr>
            </w:pPr>
            <w:r>
              <w:rPr>
                <w:rFonts w:ascii="Arial" w:hAnsi="Arial" w:cs="Arial"/>
                <w:sz w:val="22"/>
                <w:szCs w:val="22"/>
              </w:rPr>
              <w:t>Emily Nixon</w:t>
            </w:r>
          </w:p>
        </w:tc>
      </w:tr>
      <w:tr w:rsidR="00CA0BC0" w:rsidRPr="00230F35" w14:paraId="635EBB17" w14:textId="77777777" w:rsidTr="001325EA">
        <w:trPr>
          <w:trHeight w:val="849"/>
        </w:trPr>
        <w:tc>
          <w:tcPr>
            <w:tcW w:w="4788" w:type="dxa"/>
          </w:tcPr>
          <w:p w14:paraId="1F948934" w14:textId="7E3C65C4" w:rsidR="00CA0BC0" w:rsidRPr="00230F35" w:rsidRDefault="00CA0BC0" w:rsidP="001325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BC71BF">
              <w:rPr>
                <w:rFonts w:ascii="Arial" w:hAnsi="Arial" w:cs="Arial"/>
                <w:sz w:val="22"/>
                <w:szCs w:val="22"/>
              </w:rPr>
              <w:t xml:space="preserve"> </w:t>
            </w:r>
            <w:r w:rsidR="00BC71BF" w:rsidRPr="00BC71BF">
              <w:rPr>
                <w:rFonts w:ascii="Arial" w:hAnsi="Arial" w:cs="Arial"/>
                <w:sz w:val="22"/>
                <w:szCs w:val="22"/>
              </w:rPr>
              <w:t>HPCA7027</w:t>
            </w:r>
          </w:p>
          <w:p w14:paraId="206053DA" w14:textId="77777777" w:rsidR="00CA0BC0" w:rsidRPr="00230F35" w:rsidRDefault="00CA0BC0" w:rsidP="001325EA">
            <w:pPr>
              <w:pStyle w:val="NormalWeb"/>
              <w:spacing w:before="0" w:beforeAutospacing="0" w:after="0" w:afterAutospacing="0"/>
              <w:ind w:right="34"/>
              <w:rPr>
                <w:rFonts w:ascii="Arial" w:hAnsi="Arial" w:cs="Arial"/>
                <w:sz w:val="22"/>
                <w:szCs w:val="22"/>
              </w:rPr>
            </w:pPr>
          </w:p>
          <w:p w14:paraId="2A7DA25F" w14:textId="1EEDE0BD" w:rsidR="00CA0BC0" w:rsidRDefault="00CA0BC0" w:rsidP="001325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AF51C1">
              <w:rPr>
                <w:rFonts w:ascii="Arial" w:hAnsi="Arial" w:cs="Arial"/>
                <w:sz w:val="22"/>
                <w:szCs w:val="22"/>
              </w:rPr>
              <w:t xml:space="preserve"> </w:t>
            </w:r>
            <w:r w:rsidR="00AF51C1" w:rsidRPr="00AF51C1">
              <w:rPr>
                <w:rFonts w:ascii="Arial" w:hAnsi="Arial" w:cs="Arial"/>
                <w:sz w:val="22"/>
                <w:szCs w:val="22"/>
              </w:rPr>
              <w:t>Cosmology, Magic and Divination</w:t>
            </w:r>
          </w:p>
          <w:p w14:paraId="30CAD7A0" w14:textId="77777777" w:rsidR="00CA0BC0" w:rsidRDefault="00CA0BC0" w:rsidP="001325EA">
            <w:pPr>
              <w:pStyle w:val="NormalWeb"/>
              <w:spacing w:before="0" w:beforeAutospacing="0" w:after="0" w:afterAutospacing="0"/>
              <w:ind w:right="34"/>
              <w:rPr>
                <w:rFonts w:ascii="Arial" w:hAnsi="Arial" w:cs="Arial"/>
                <w:sz w:val="22"/>
                <w:szCs w:val="22"/>
              </w:rPr>
            </w:pPr>
          </w:p>
          <w:p w14:paraId="70BEE90B" w14:textId="77777777" w:rsidR="00CA0BC0" w:rsidRPr="00230F35" w:rsidRDefault="00CA0BC0" w:rsidP="001325EA">
            <w:pPr>
              <w:pStyle w:val="NormalWeb"/>
              <w:spacing w:before="0" w:beforeAutospacing="0" w:after="0" w:afterAutospacing="0"/>
              <w:ind w:right="34"/>
              <w:rPr>
                <w:rFonts w:ascii="Arial" w:hAnsi="Arial" w:cs="Arial"/>
                <w:sz w:val="22"/>
                <w:szCs w:val="22"/>
              </w:rPr>
            </w:pPr>
          </w:p>
        </w:tc>
        <w:tc>
          <w:tcPr>
            <w:tcW w:w="2266" w:type="dxa"/>
            <w:gridSpan w:val="3"/>
          </w:tcPr>
          <w:p w14:paraId="65B56179" w14:textId="77777777" w:rsidR="00CA0BC0" w:rsidRDefault="00CA0BC0" w:rsidP="001325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375279C" w14:textId="77777777" w:rsidR="007C11F8" w:rsidRDefault="007C11F8" w:rsidP="001325EA">
            <w:pPr>
              <w:pStyle w:val="NormalWeb"/>
              <w:spacing w:before="0" w:beforeAutospacing="0" w:after="0" w:afterAutospacing="0"/>
              <w:ind w:right="34"/>
              <w:rPr>
                <w:rFonts w:ascii="Arial" w:hAnsi="Arial" w:cs="Arial"/>
                <w:sz w:val="22"/>
                <w:szCs w:val="22"/>
              </w:rPr>
            </w:pPr>
          </w:p>
          <w:p w14:paraId="66FF359E" w14:textId="73D53C7E" w:rsidR="007C11F8" w:rsidRPr="00230F35" w:rsidRDefault="007C11F8" w:rsidP="001325EA">
            <w:pPr>
              <w:pStyle w:val="NormalWeb"/>
              <w:spacing w:before="0" w:beforeAutospacing="0" w:after="0" w:afterAutospacing="0"/>
              <w:ind w:right="34"/>
              <w:rPr>
                <w:rFonts w:ascii="Arial" w:hAnsi="Arial" w:cs="Arial"/>
                <w:sz w:val="22"/>
                <w:szCs w:val="22"/>
              </w:rPr>
            </w:pPr>
            <w:r>
              <w:rPr>
                <w:rFonts w:ascii="Arial" w:hAnsi="Arial" w:cs="Arial"/>
                <w:sz w:val="22"/>
                <w:szCs w:val="22"/>
              </w:rPr>
              <w:t>2212291</w:t>
            </w:r>
          </w:p>
        </w:tc>
        <w:tc>
          <w:tcPr>
            <w:tcW w:w="1802" w:type="dxa"/>
          </w:tcPr>
          <w:p w14:paraId="67B8DA85" w14:textId="77777777" w:rsidR="00CA0BC0" w:rsidRPr="00230F35" w:rsidRDefault="00CA0BC0" w:rsidP="001325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9A3FE47" w14:textId="77777777" w:rsidR="00CA0BC0" w:rsidRPr="00230F35" w:rsidRDefault="00CA0BC0" w:rsidP="001325EA">
            <w:pPr>
              <w:pStyle w:val="NormalWeb"/>
              <w:spacing w:before="0" w:beforeAutospacing="0" w:after="0" w:afterAutospacing="0"/>
              <w:ind w:right="34"/>
              <w:rPr>
                <w:rFonts w:ascii="Arial" w:hAnsi="Arial" w:cs="Arial"/>
                <w:sz w:val="22"/>
                <w:szCs w:val="22"/>
              </w:rPr>
            </w:pPr>
            <w:r w:rsidRPr="007C11F8">
              <w:rPr>
                <w:rFonts w:ascii="Arial" w:hAnsi="Arial" w:cs="Arial"/>
                <w:sz w:val="22"/>
                <w:szCs w:val="22"/>
                <w:highlight w:val="yellow"/>
              </w:rPr>
              <w:t>Yes</w:t>
            </w:r>
            <w:r w:rsidRPr="00230F35">
              <w:rPr>
                <w:rFonts w:ascii="Arial" w:hAnsi="Arial" w:cs="Arial"/>
                <w:sz w:val="22"/>
                <w:szCs w:val="22"/>
              </w:rPr>
              <w:t>/No</w:t>
            </w:r>
          </w:p>
        </w:tc>
      </w:tr>
      <w:tr w:rsidR="00CA0BC0" w:rsidRPr="00230F35" w14:paraId="50543EA5" w14:textId="77777777" w:rsidTr="001325EA">
        <w:trPr>
          <w:trHeight w:val="1139"/>
        </w:trPr>
        <w:tc>
          <w:tcPr>
            <w:tcW w:w="8856" w:type="dxa"/>
            <w:gridSpan w:val="5"/>
          </w:tcPr>
          <w:p w14:paraId="443C3E44" w14:textId="5C26EFBB" w:rsidR="00CA0BC0" w:rsidRPr="00230F35" w:rsidRDefault="00CA0BC0" w:rsidP="001325EA">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96517E">
              <w:rPr>
                <w:rFonts w:ascii="Arial" w:hAnsi="Arial" w:cs="Arial"/>
                <w:sz w:val="22"/>
                <w:szCs w:val="22"/>
              </w:rPr>
              <w:t xml:space="preserve"> </w:t>
            </w:r>
            <w:r w:rsidR="0096517E" w:rsidRPr="0096517E">
              <w:rPr>
                <w:rFonts w:ascii="Arial" w:hAnsi="Arial" w:cs="Arial"/>
                <w:sz w:val="22"/>
                <w:szCs w:val="22"/>
              </w:rPr>
              <w:t>Dr Dorian Greenbaum</w:t>
            </w:r>
            <w:r w:rsidR="0096517E">
              <w:rPr>
                <w:rFonts w:ascii="Arial" w:hAnsi="Arial" w:cs="Arial"/>
                <w:sz w:val="22"/>
                <w:szCs w:val="22"/>
              </w:rPr>
              <w:t xml:space="preserve"> &amp;</w:t>
            </w:r>
            <w:r w:rsidR="00F70E03">
              <w:rPr>
                <w:rFonts w:ascii="Arial" w:hAnsi="Arial" w:cs="Arial"/>
                <w:sz w:val="22"/>
                <w:szCs w:val="22"/>
              </w:rPr>
              <w:t xml:space="preserve"> </w:t>
            </w:r>
            <w:r w:rsidR="00F70E03" w:rsidRPr="00F70E03">
              <w:rPr>
                <w:rFonts w:ascii="Arial" w:hAnsi="Arial" w:cs="Arial"/>
                <w:sz w:val="22"/>
                <w:szCs w:val="22"/>
              </w:rPr>
              <w:t>Dr Dawn Collins</w:t>
            </w:r>
          </w:p>
          <w:p w14:paraId="562D9988" w14:textId="77777777" w:rsidR="00CA0BC0" w:rsidRPr="00230F35" w:rsidRDefault="00CA0BC0" w:rsidP="001325EA">
            <w:pPr>
              <w:pStyle w:val="NormalWeb"/>
              <w:spacing w:before="0" w:beforeAutospacing="0" w:after="0" w:afterAutospacing="0"/>
              <w:ind w:right="34"/>
              <w:rPr>
                <w:rFonts w:ascii="Arial" w:hAnsi="Arial" w:cs="Arial"/>
                <w:sz w:val="22"/>
                <w:szCs w:val="22"/>
              </w:rPr>
            </w:pPr>
          </w:p>
          <w:p w14:paraId="2E67E6A6" w14:textId="77777777" w:rsidR="00CA0BC0" w:rsidRDefault="00CA0BC0" w:rsidP="001325EA">
            <w:pPr>
              <w:pStyle w:val="NormalWeb"/>
              <w:spacing w:before="0" w:beforeAutospacing="0" w:after="0" w:afterAutospacing="0"/>
              <w:ind w:right="34"/>
              <w:rPr>
                <w:rFonts w:ascii="Arial" w:hAnsi="Arial" w:cs="Arial"/>
                <w:sz w:val="22"/>
                <w:szCs w:val="22"/>
              </w:rPr>
            </w:pPr>
          </w:p>
          <w:p w14:paraId="63084BE3" w14:textId="1796EC59" w:rsidR="00CA0BC0" w:rsidRPr="00230F35" w:rsidRDefault="00CA0BC0" w:rsidP="001325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AF51C1">
              <w:rPr>
                <w:rFonts w:ascii="Arial" w:hAnsi="Arial" w:cs="Arial"/>
                <w:sz w:val="22"/>
                <w:szCs w:val="22"/>
              </w:rPr>
              <w:t xml:space="preserve"> 29</w:t>
            </w:r>
            <w:r w:rsidR="00AF51C1" w:rsidRPr="00AF51C1">
              <w:rPr>
                <w:rFonts w:ascii="Arial" w:hAnsi="Arial" w:cs="Arial"/>
                <w:sz w:val="22"/>
                <w:szCs w:val="22"/>
                <w:vertAlign w:val="superscript"/>
              </w:rPr>
              <w:t>th</w:t>
            </w:r>
            <w:r w:rsidR="00AF51C1">
              <w:rPr>
                <w:rFonts w:ascii="Arial" w:hAnsi="Arial" w:cs="Arial"/>
                <w:sz w:val="22"/>
                <w:szCs w:val="22"/>
              </w:rPr>
              <w:t xml:space="preserve"> April 2024 (Differentiated Deadline 13</w:t>
            </w:r>
            <w:r w:rsidR="00AF51C1" w:rsidRPr="00AF51C1">
              <w:rPr>
                <w:rFonts w:ascii="Arial" w:hAnsi="Arial" w:cs="Arial"/>
                <w:sz w:val="22"/>
                <w:szCs w:val="22"/>
                <w:vertAlign w:val="superscript"/>
              </w:rPr>
              <w:t>th</w:t>
            </w:r>
            <w:r w:rsidR="00AF51C1">
              <w:rPr>
                <w:rFonts w:ascii="Arial" w:hAnsi="Arial" w:cs="Arial"/>
                <w:sz w:val="22"/>
                <w:szCs w:val="22"/>
              </w:rPr>
              <w:t xml:space="preserve"> May 2024)</w:t>
            </w:r>
          </w:p>
        </w:tc>
      </w:tr>
      <w:tr w:rsidR="00CA0BC0" w:rsidRPr="00230F35" w14:paraId="3320FC95" w14:textId="77777777" w:rsidTr="001325EA">
        <w:trPr>
          <w:trHeight w:val="978"/>
        </w:trPr>
        <w:tc>
          <w:tcPr>
            <w:tcW w:w="8856" w:type="dxa"/>
            <w:gridSpan w:val="5"/>
            <w:tcBorders>
              <w:bottom w:val="single" w:sz="4" w:space="0" w:color="000000"/>
            </w:tcBorders>
          </w:tcPr>
          <w:p w14:paraId="4AF43175" w14:textId="77777777" w:rsidR="00CA0BC0" w:rsidRDefault="00CA0BC0" w:rsidP="001325EA">
            <w:pPr>
              <w:rPr>
                <w:rFonts w:ascii="Arial" w:hAnsi="Arial" w:cs="Arial"/>
                <w:sz w:val="22"/>
                <w:szCs w:val="22"/>
              </w:rPr>
            </w:pPr>
            <w:r>
              <w:rPr>
                <w:rFonts w:ascii="Arial" w:hAnsi="Arial" w:cs="Arial"/>
                <w:sz w:val="22"/>
                <w:szCs w:val="22"/>
              </w:rPr>
              <w:t>If your module has multiple submissions please indicate which piece of work this is.</w:t>
            </w:r>
          </w:p>
          <w:p w14:paraId="151A3677" w14:textId="77777777" w:rsidR="00CA0BC0" w:rsidRDefault="00CA0BC0" w:rsidP="001325EA">
            <w:pPr>
              <w:rPr>
                <w:rFonts w:ascii="Arial" w:hAnsi="Arial" w:cs="Arial"/>
                <w:sz w:val="22"/>
                <w:szCs w:val="22"/>
              </w:rPr>
            </w:pPr>
          </w:p>
          <w:p w14:paraId="29A8285B" w14:textId="77777777" w:rsidR="00CA0BC0" w:rsidRPr="00230F35" w:rsidRDefault="00CA0BC0" w:rsidP="001325EA">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BA1BE4">
              <w:rPr>
                <w:rFonts w:ascii="Arial" w:hAnsi="Arial" w:cs="Arial"/>
                <w:sz w:val="22"/>
                <w:szCs w:val="22"/>
              </w:rPr>
            </w:r>
            <w:r w:rsidR="00BA1BE4">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w:t>
            </w:r>
            <w:r w:rsidRPr="00AF51C1">
              <w:rPr>
                <w:rFonts w:ascii="Arial" w:hAnsi="Arial" w:cs="Arial"/>
                <w:sz w:val="22"/>
                <w:szCs w:val="22"/>
                <w:highlight w:val="yellow"/>
              </w:rPr>
              <w:t>2</w:t>
            </w:r>
            <w:r w:rsidRPr="00AF51C1">
              <w:rPr>
                <w:rFonts w:ascii="Arial" w:hAnsi="Arial" w:cs="Arial"/>
                <w:sz w:val="22"/>
                <w:szCs w:val="22"/>
                <w:highlight w:val="yellow"/>
                <w:vertAlign w:val="superscript"/>
              </w:rPr>
              <w:t>nd</w:t>
            </w:r>
            <w:r w:rsidRPr="00AF51C1">
              <w:rPr>
                <w:rFonts w:ascii="Arial" w:hAnsi="Arial" w:cs="Arial"/>
                <w:sz w:val="22"/>
                <w:szCs w:val="22"/>
                <w:highlight w:val="yellow"/>
              </w:rPr>
              <w:t xml:space="preserve">  </w:t>
            </w:r>
            <w:r w:rsidRPr="00AF51C1">
              <w:rPr>
                <w:rFonts w:ascii="Arial" w:hAnsi="Arial" w:cs="Arial"/>
                <w:sz w:val="22"/>
                <w:szCs w:val="22"/>
                <w:highlight w:val="yellow"/>
              </w:rPr>
              <w:fldChar w:fldCharType="begin">
                <w:ffData>
                  <w:name w:val="Check14"/>
                  <w:enabled/>
                  <w:calcOnExit w:val="0"/>
                  <w:checkBox>
                    <w:sizeAuto/>
                    <w:default w:val="0"/>
                  </w:checkBox>
                </w:ffData>
              </w:fldChar>
            </w:r>
            <w:bookmarkStart w:id="1" w:name="Check14"/>
            <w:r w:rsidRPr="00AF51C1">
              <w:rPr>
                <w:rFonts w:ascii="Arial" w:hAnsi="Arial" w:cs="Arial"/>
                <w:sz w:val="22"/>
                <w:szCs w:val="22"/>
                <w:highlight w:val="yellow"/>
              </w:rPr>
              <w:instrText xml:space="preserve"> FORMCHECKBOX </w:instrText>
            </w:r>
            <w:r w:rsidR="00BA1BE4">
              <w:rPr>
                <w:rFonts w:ascii="Arial" w:hAnsi="Arial" w:cs="Arial"/>
                <w:sz w:val="22"/>
                <w:szCs w:val="22"/>
                <w:highlight w:val="yellow"/>
              </w:rPr>
            </w:r>
            <w:r w:rsidR="00BA1BE4">
              <w:rPr>
                <w:rFonts w:ascii="Arial" w:hAnsi="Arial" w:cs="Arial"/>
                <w:sz w:val="22"/>
                <w:szCs w:val="22"/>
                <w:highlight w:val="yellow"/>
              </w:rPr>
              <w:fldChar w:fldCharType="separate"/>
            </w:r>
            <w:r w:rsidRPr="00AF51C1">
              <w:rPr>
                <w:rFonts w:ascii="Arial" w:hAnsi="Arial" w:cs="Arial"/>
                <w:sz w:val="22"/>
                <w:szCs w:val="22"/>
                <w:highlight w:val="yellow"/>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BA1BE4">
              <w:rPr>
                <w:rFonts w:ascii="Arial" w:hAnsi="Arial" w:cs="Arial"/>
                <w:sz w:val="22"/>
                <w:szCs w:val="22"/>
              </w:rPr>
            </w:r>
            <w:r w:rsidR="00BA1BE4">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BA1BE4">
              <w:rPr>
                <w:rFonts w:ascii="Arial" w:hAnsi="Arial" w:cs="Arial"/>
                <w:sz w:val="22"/>
                <w:szCs w:val="22"/>
              </w:rPr>
            </w:r>
            <w:r w:rsidR="00BA1BE4">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BA1BE4">
              <w:rPr>
                <w:rFonts w:ascii="Arial" w:hAnsi="Arial" w:cs="Arial"/>
                <w:sz w:val="22"/>
                <w:szCs w:val="22"/>
              </w:rPr>
            </w:r>
            <w:r w:rsidR="00BA1BE4">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BA1BE4">
              <w:rPr>
                <w:rFonts w:ascii="Arial" w:hAnsi="Arial" w:cs="Arial"/>
                <w:sz w:val="22"/>
                <w:szCs w:val="22"/>
              </w:rPr>
            </w:r>
            <w:r w:rsidR="00BA1BE4">
              <w:rPr>
                <w:rFonts w:ascii="Arial" w:hAnsi="Arial" w:cs="Arial"/>
                <w:sz w:val="22"/>
                <w:szCs w:val="22"/>
              </w:rPr>
              <w:fldChar w:fldCharType="separate"/>
            </w:r>
            <w:r w:rsidRPr="00230F35">
              <w:rPr>
                <w:rFonts w:ascii="Arial" w:hAnsi="Arial" w:cs="Arial"/>
                <w:sz w:val="22"/>
                <w:szCs w:val="22"/>
              </w:rPr>
              <w:fldChar w:fldCharType="end"/>
            </w:r>
            <w:bookmarkEnd w:id="5"/>
          </w:p>
        </w:tc>
      </w:tr>
      <w:tr w:rsidR="00CA0BC0" w:rsidRPr="00230F35" w14:paraId="48836352" w14:textId="77777777" w:rsidTr="001325EA">
        <w:trPr>
          <w:trHeight w:val="978"/>
        </w:trPr>
        <w:tc>
          <w:tcPr>
            <w:tcW w:w="8856" w:type="dxa"/>
            <w:gridSpan w:val="5"/>
            <w:shd w:val="clear" w:color="auto" w:fill="D9D9D9"/>
          </w:tcPr>
          <w:p w14:paraId="1386AB96" w14:textId="77777777" w:rsidR="00CA0BC0" w:rsidRPr="00230F35" w:rsidRDefault="00CA0BC0" w:rsidP="001325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0714999" w14:textId="4EE7CCF8" w:rsidR="00CA0BC0" w:rsidRDefault="00CA0BC0" w:rsidP="001325E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roofErr w:type="spellStart"/>
            <w:r w:rsidR="00F70E03">
              <w:rPr>
                <w:rFonts w:ascii="Arial" w:hAnsi="Arial" w:cs="Arial"/>
                <w:sz w:val="22"/>
                <w:szCs w:val="22"/>
              </w:rPr>
              <w:t>EFNixon</w:t>
            </w:r>
            <w:proofErr w:type="spellEnd"/>
            <w:r w:rsidRPr="00230F35">
              <w:rPr>
                <w:rFonts w:ascii="Arial" w:hAnsi="Arial" w:cs="Arial"/>
                <w:sz w:val="22"/>
                <w:szCs w:val="22"/>
              </w:rPr>
              <w:t>………………………………………………………</w:t>
            </w:r>
          </w:p>
          <w:p w14:paraId="05213D97" w14:textId="77777777" w:rsidR="00CA0BC0" w:rsidRDefault="00CA0BC0" w:rsidP="001325E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67447683" w14:textId="77777777" w:rsidR="00CA0BC0" w:rsidRPr="00230F35" w:rsidRDefault="00CA0BC0" w:rsidP="001325E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A0BC0" w:rsidRPr="00230F35" w14:paraId="6E061E27" w14:textId="77777777" w:rsidTr="001325EA">
        <w:trPr>
          <w:trHeight w:val="3972"/>
        </w:trPr>
        <w:tc>
          <w:tcPr>
            <w:tcW w:w="8856" w:type="dxa"/>
            <w:gridSpan w:val="5"/>
          </w:tcPr>
          <w:p w14:paraId="7386118F" w14:textId="77777777" w:rsidR="00CA0BC0" w:rsidRDefault="00CA0BC0" w:rsidP="001325EA">
            <w:pPr>
              <w:rPr>
                <w:rFonts w:ascii="Arial" w:hAnsi="Arial"/>
                <w:b/>
              </w:rPr>
            </w:pPr>
          </w:p>
          <w:p w14:paraId="795C93CE" w14:textId="77777777" w:rsidR="00CA0BC0" w:rsidRPr="00116CE6" w:rsidRDefault="00CA0BC0" w:rsidP="001325E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A0BC0" w:rsidRPr="00116CE6" w14:paraId="7FBED256" w14:textId="77777777" w:rsidTr="001325EA">
              <w:tc>
                <w:tcPr>
                  <w:tcW w:w="6970" w:type="dxa"/>
                </w:tcPr>
                <w:p w14:paraId="6F9F4596" w14:textId="77777777" w:rsidR="00CA0BC0" w:rsidRPr="00116CE6" w:rsidRDefault="00CA0BC0" w:rsidP="001325EA">
                  <w:pPr>
                    <w:rPr>
                      <w:rFonts w:ascii="Arial" w:hAnsi="Arial"/>
                      <w:sz w:val="20"/>
                      <w:szCs w:val="20"/>
                    </w:rPr>
                  </w:pPr>
                </w:p>
                <w:p w14:paraId="4C3D8028" w14:textId="77777777" w:rsidR="00CA0BC0" w:rsidRPr="00116CE6" w:rsidRDefault="00CA0BC0" w:rsidP="001325E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E6A5153" w14:textId="77777777" w:rsidR="00CA0BC0" w:rsidRPr="00116CE6" w:rsidRDefault="00CA0BC0" w:rsidP="001325EA">
                  <w:pPr>
                    <w:rPr>
                      <w:rFonts w:ascii="Arial" w:hAnsi="Arial"/>
                      <w:sz w:val="20"/>
                      <w:szCs w:val="20"/>
                    </w:rPr>
                  </w:pPr>
                </w:p>
              </w:tc>
            </w:tr>
            <w:tr w:rsidR="00CA0BC0" w:rsidRPr="0059126E" w14:paraId="370161A4" w14:textId="77777777" w:rsidTr="001325EA">
              <w:tc>
                <w:tcPr>
                  <w:tcW w:w="6970" w:type="dxa"/>
                </w:tcPr>
                <w:p w14:paraId="569830BE" w14:textId="77777777" w:rsidR="00CA0BC0" w:rsidRPr="00CA0BC0" w:rsidRDefault="00CA0BC0" w:rsidP="001325EA">
                  <w:pPr>
                    <w:rPr>
                      <w:rFonts w:ascii="Arial" w:hAnsi="Arial"/>
                      <w:sz w:val="20"/>
                      <w:szCs w:val="20"/>
                      <w:lang w:val="de-DE"/>
                    </w:rPr>
                  </w:pPr>
                </w:p>
                <w:p w14:paraId="2792BA79" w14:textId="77777777" w:rsidR="00CA0BC0" w:rsidRPr="00CA0BC0" w:rsidRDefault="00CA0BC0" w:rsidP="001325EA">
                  <w:pPr>
                    <w:rPr>
                      <w:rFonts w:ascii="Arial" w:hAnsi="Arial"/>
                      <w:sz w:val="20"/>
                      <w:szCs w:val="20"/>
                      <w:lang w:val="de-DE"/>
                    </w:rPr>
                  </w:pPr>
                  <w:r w:rsidRPr="00CA0BC0">
                    <w:rPr>
                      <w:rFonts w:ascii="Arial" w:hAnsi="Arial"/>
                      <w:sz w:val="20"/>
                      <w:szCs w:val="20"/>
                      <w:lang w:val="de-DE"/>
                    </w:rPr>
                    <w:t>2</w:t>
                  </w:r>
                  <w:r w:rsidRPr="00CA0BC0">
                    <w:rPr>
                      <w:rFonts w:ascii="Arial" w:hAnsi="Arial"/>
                      <w:sz w:val="20"/>
                      <w:szCs w:val="20"/>
                      <w:vertAlign w:val="superscript"/>
                      <w:lang w:val="de-DE"/>
                    </w:rPr>
                    <w:t>nd</w:t>
                  </w:r>
                  <w:r w:rsidRPr="00CA0BC0">
                    <w:rPr>
                      <w:rFonts w:ascii="Arial" w:hAnsi="Arial"/>
                      <w:sz w:val="20"/>
                      <w:szCs w:val="20"/>
                      <w:lang w:val="de-DE"/>
                    </w:rPr>
                    <w:t xml:space="preserve"> </w:t>
                  </w:r>
                  <w:proofErr w:type="spellStart"/>
                  <w:r w:rsidRPr="00CA0BC0">
                    <w:rPr>
                      <w:rFonts w:ascii="Arial" w:hAnsi="Arial"/>
                      <w:sz w:val="20"/>
                      <w:szCs w:val="20"/>
                      <w:lang w:val="de-DE"/>
                    </w:rPr>
                    <w:t>Marker’s</w:t>
                  </w:r>
                  <w:proofErr w:type="spellEnd"/>
                  <w:r w:rsidRPr="00CA0BC0">
                    <w:rPr>
                      <w:rFonts w:ascii="Arial" w:hAnsi="Arial"/>
                      <w:sz w:val="20"/>
                      <w:szCs w:val="20"/>
                      <w:lang w:val="de-DE"/>
                    </w:rPr>
                    <w:t>/</w:t>
                  </w:r>
                  <w:proofErr w:type="spellStart"/>
                  <w:r w:rsidRPr="00CA0BC0">
                    <w:rPr>
                      <w:rFonts w:ascii="Arial" w:hAnsi="Arial"/>
                      <w:sz w:val="20"/>
                      <w:szCs w:val="20"/>
                      <w:lang w:val="de-DE"/>
                    </w:rPr>
                    <w:t>Moderator’s</w:t>
                  </w:r>
                  <w:proofErr w:type="spellEnd"/>
                  <w:r w:rsidRPr="00CA0BC0">
                    <w:rPr>
                      <w:rFonts w:ascii="Arial" w:hAnsi="Arial"/>
                      <w:sz w:val="20"/>
                      <w:szCs w:val="20"/>
                      <w:lang w:val="de-DE"/>
                    </w:rPr>
                    <w:t xml:space="preserve"> </w:t>
                  </w:r>
                  <w:proofErr w:type="spellStart"/>
                  <w:r w:rsidRPr="00CA0BC0">
                    <w:rPr>
                      <w:rFonts w:ascii="Arial" w:hAnsi="Arial"/>
                      <w:sz w:val="20"/>
                      <w:szCs w:val="20"/>
                      <w:lang w:val="de-DE"/>
                    </w:rPr>
                    <w:t>provisional</w:t>
                  </w:r>
                  <w:proofErr w:type="spellEnd"/>
                  <w:r w:rsidRPr="00CA0BC0">
                    <w:rPr>
                      <w:rFonts w:ascii="Arial" w:hAnsi="Arial"/>
                      <w:sz w:val="20"/>
                      <w:szCs w:val="20"/>
                      <w:lang w:val="de-DE"/>
                    </w:rPr>
                    <w:t xml:space="preserve"> </w:t>
                  </w:r>
                  <w:proofErr w:type="spellStart"/>
                  <w:r w:rsidRPr="00CA0BC0">
                    <w:rPr>
                      <w:rFonts w:ascii="Arial" w:hAnsi="Arial"/>
                      <w:sz w:val="20"/>
                      <w:szCs w:val="20"/>
                      <w:lang w:val="de-DE"/>
                    </w:rPr>
                    <w:t>mark</w:t>
                  </w:r>
                  <w:proofErr w:type="spellEnd"/>
                </w:p>
              </w:tc>
              <w:tc>
                <w:tcPr>
                  <w:tcW w:w="1660" w:type="dxa"/>
                </w:tcPr>
                <w:p w14:paraId="43087871" w14:textId="77777777" w:rsidR="00CA0BC0" w:rsidRPr="00CA0BC0" w:rsidRDefault="00CA0BC0" w:rsidP="001325EA">
                  <w:pPr>
                    <w:rPr>
                      <w:rFonts w:ascii="Arial" w:hAnsi="Arial"/>
                      <w:sz w:val="20"/>
                      <w:szCs w:val="20"/>
                      <w:lang w:val="de-DE"/>
                    </w:rPr>
                  </w:pPr>
                </w:p>
              </w:tc>
            </w:tr>
            <w:tr w:rsidR="00CA0BC0" w:rsidRPr="00116CE6" w14:paraId="47388E87" w14:textId="77777777" w:rsidTr="001325EA">
              <w:tc>
                <w:tcPr>
                  <w:tcW w:w="6970" w:type="dxa"/>
                </w:tcPr>
                <w:p w14:paraId="4B0B9B35" w14:textId="77777777" w:rsidR="00CA0BC0" w:rsidRPr="006367FD" w:rsidRDefault="00CA0BC0" w:rsidP="001325EA">
                  <w:pPr>
                    <w:rPr>
                      <w:rFonts w:ascii="Arial" w:hAnsi="Arial"/>
                      <w:color w:val="000000"/>
                      <w:sz w:val="20"/>
                      <w:szCs w:val="20"/>
                    </w:rPr>
                  </w:pPr>
                  <w:r w:rsidRPr="006367FD">
                    <w:rPr>
                      <w:rFonts w:ascii="Arial" w:hAnsi="Arial"/>
                      <w:color w:val="000000"/>
                      <w:sz w:val="20"/>
                      <w:szCs w:val="20"/>
                    </w:rPr>
                    <w:t xml:space="preserve">Agreed Internal Mark: </w:t>
                  </w:r>
                </w:p>
                <w:p w14:paraId="174E16CD" w14:textId="77777777" w:rsidR="00CA0BC0" w:rsidRPr="00E14D2E" w:rsidRDefault="00CA0BC0" w:rsidP="001325EA">
                  <w:pPr>
                    <w:rPr>
                      <w:rFonts w:ascii="Arial" w:hAnsi="Arial"/>
                      <w:sz w:val="20"/>
                      <w:szCs w:val="20"/>
                      <w:highlight w:val="yellow"/>
                    </w:rPr>
                  </w:pPr>
                </w:p>
              </w:tc>
              <w:tc>
                <w:tcPr>
                  <w:tcW w:w="1660" w:type="dxa"/>
                </w:tcPr>
                <w:p w14:paraId="29CD6215" w14:textId="77777777" w:rsidR="00CA0BC0" w:rsidRPr="00E14D2E" w:rsidRDefault="00CA0BC0" w:rsidP="001325EA">
                  <w:pPr>
                    <w:rPr>
                      <w:rFonts w:ascii="Arial" w:hAnsi="Arial"/>
                      <w:sz w:val="20"/>
                      <w:szCs w:val="20"/>
                      <w:highlight w:val="yellow"/>
                    </w:rPr>
                  </w:pPr>
                </w:p>
              </w:tc>
            </w:tr>
            <w:tr w:rsidR="00CA0BC0" w:rsidRPr="00116CE6" w14:paraId="6E8E0DF1" w14:textId="77777777" w:rsidTr="001325EA">
              <w:tc>
                <w:tcPr>
                  <w:tcW w:w="6970" w:type="dxa"/>
                </w:tcPr>
                <w:p w14:paraId="5FC0B525" w14:textId="77777777" w:rsidR="00CA0BC0" w:rsidRPr="00116CE6" w:rsidRDefault="00CA0BC0" w:rsidP="001325EA">
                  <w:pPr>
                    <w:rPr>
                      <w:rFonts w:ascii="Arial" w:hAnsi="Arial"/>
                      <w:sz w:val="20"/>
                      <w:szCs w:val="20"/>
                    </w:rPr>
                  </w:pPr>
                </w:p>
                <w:p w14:paraId="7EF2400D" w14:textId="77777777" w:rsidR="00CA0BC0" w:rsidRPr="00116CE6" w:rsidRDefault="00CA0BC0" w:rsidP="001325E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E903D57" w14:textId="77777777" w:rsidR="00CA0BC0" w:rsidRPr="00116CE6" w:rsidRDefault="00CA0BC0" w:rsidP="001325EA">
                  <w:pPr>
                    <w:rPr>
                      <w:rFonts w:ascii="Arial" w:hAnsi="Arial"/>
                      <w:sz w:val="20"/>
                      <w:szCs w:val="20"/>
                    </w:rPr>
                  </w:pPr>
                </w:p>
              </w:tc>
            </w:tr>
            <w:tr w:rsidR="00CA0BC0" w:rsidRPr="00116CE6" w14:paraId="1E130D15" w14:textId="77777777" w:rsidTr="001325EA">
              <w:tc>
                <w:tcPr>
                  <w:tcW w:w="6970" w:type="dxa"/>
                </w:tcPr>
                <w:p w14:paraId="5AB9C080" w14:textId="77777777" w:rsidR="00CA0BC0" w:rsidRDefault="00CA0BC0" w:rsidP="001325EA">
                  <w:pPr>
                    <w:rPr>
                      <w:rFonts w:ascii="Arial" w:hAnsi="Arial"/>
                      <w:sz w:val="20"/>
                      <w:szCs w:val="20"/>
                    </w:rPr>
                  </w:pPr>
                </w:p>
                <w:p w14:paraId="231AC259" w14:textId="77777777" w:rsidR="00CA0BC0" w:rsidRPr="00022345" w:rsidRDefault="00CA0BC0" w:rsidP="001325EA">
                  <w:pPr>
                    <w:rPr>
                      <w:rFonts w:ascii="Arial" w:hAnsi="Arial"/>
                      <w:b/>
                      <w:sz w:val="20"/>
                      <w:szCs w:val="20"/>
                    </w:rPr>
                  </w:pPr>
                  <w:r w:rsidRPr="00022345">
                    <w:rPr>
                      <w:rFonts w:ascii="Arial" w:hAnsi="Arial"/>
                      <w:b/>
                      <w:sz w:val="20"/>
                      <w:szCs w:val="20"/>
                    </w:rPr>
                    <w:t>Final Mark</w:t>
                  </w:r>
                </w:p>
                <w:p w14:paraId="549E8D9F" w14:textId="77777777" w:rsidR="00CA0BC0" w:rsidRPr="00116CE6" w:rsidRDefault="00CA0BC0" w:rsidP="001325EA">
                  <w:pPr>
                    <w:rPr>
                      <w:rFonts w:ascii="Arial" w:hAnsi="Arial"/>
                      <w:sz w:val="20"/>
                      <w:szCs w:val="20"/>
                    </w:rPr>
                  </w:pPr>
                </w:p>
              </w:tc>
              <w:tc>
                <w:tcPr>
                  <w:tcW w:w="1660" w:type="dxa"/>
                </w:tcPr>
                <w:p w14:paraId="61ABFCED" w14:textId="77777777" w:rsidR="00CA0BC0" w:rsidRPr="00116CE6" w:rsidRDefault="00CA0BC0" w:rsidP="001325EA">
                  <w:pPr>
                    <w:rPr>
                      <w:rFonts w:ascii="Arial" w:hAnsi="Arial"/>
                      <w:sz w:val="20"/>
                      <w:szCs w:val="20"/>
                    </w:rPr>
                  </w:pPr>
                </w:p>
              </w:tc>
            </w:tr>
          </w:tbl>
          <w:p w14:paraId="5BE99134" w14:textId="77777777" w:rsidR="00CA0BC0" w:rsidRDefault="00CA0BC0" w:rsidP="001325EA">
            <w:pPr>
              <w:pStyle w:val="NormalWeb"/>
              <w:spacing w:before="0" w:beforeAutospacing="0" w:after="0" w:afterAutospacing="0"/>
              <w:ind w:left="142" w:right="34"/>
              <w:rPr>
                <w:rFonts w:ascii="Arial" w:hAnsi="Arial" w:cs="Arial"/>
                <w:b/>
                <w:sz w:val="22"/>
                <w:szCs w:val="22"/>
              </w:rPr>
            </w:pPr>
          </w:p>
          <w:p w14:paraId="2A746909" w14:textId="77777777" w:rsidR="00CA0BC0" w:rsidRPr="00230F35" w:rsidRDefault="00CA0BC0" w:rsidP="001325E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EEE3C62" w14:textId="77777777" w:rsidR="00CA0BC0" w:rsidRDefault="00CA0BC0" w:rsidP="001325EA">
            <w:pPr>
              <w:pStyle w:val="NormalWeb"/>
              <w:spacing w:before="0" w:beforeAutospacing="0" w:after="0" w:afterAutospacing="0"/>
              <w:rPr>
                <w:rFonts w:ascii="Arial" w:hAnsi="Arial" w:cs="Arial"/>
                <w:b/>
                <w:sz w:val="22"/>
                <w:szCs w:val="22"/>
              </w:rPr>
            </w:pPr>
          </w:p>
          <w:p w14:paraId="248F6BB2" w14:textId="77777777" w:rsidR="00CA0BC0" w:rsidRDefault="00CA0BC0" w:rsidP="001325EA">
            <w:pPr>
              <w:pStyle w:val="NormalWeb"/>
              <w:spacing w:before="0" w:beforeAutospacing="0" w:after="0" w:afterAutospacing="0"/>
              <w:rPr>
                <w:rFonts w:ascii="Arial" w:hAnsi="Arial" w:cs="Arial"/>
                <w:b/>
                <w:sz w:val="22"/>
                <w:szCs w:val="22"/>
              </w:rPr>
            </w:pPr>
          </w:p>
          <w:p w14:paraId="2D235B50" w14:textId="77777777" w:rsidR="00CA0BC0" w:rsidRDefault="00CA0BC0" w:rsidP="001325EA">
            <w:pPr>
              <w:pStyle w:val="NormalWeb"/>
              <w:spacing w:before="0" w:beforeAutospacing="0" w:after="0" w:afterAutospacing="0"/>
              <w:rPr>
                <w:rFonts w:ascii="Arial" w:hAnsi="Arial" w:cs="Arial"/>
                <w:b/>
                <w:sz w:val="22"/>
                <w:szCs w:val="22"/>
              </w:rPr>
            </w:pPr>
          </w:p>
          <w:p w14:paraId="4072E920" w14:textId="77777777" w:rsidR="00CA0BC0" w:rsidRDefault="00CA0BC0" w:rsidP="001325EA">
            <w:pPr>
              <w:pStyle w:val="NormalWeb"/>
              <w:spacing w:before="0" w:beforeAutospacing="0" w:after="0" w:afterAutospacing="0"/>
              <w:rPr>
                <w:rFonts w:ascii="Arial" w:hAnsi="Arial" w:cs="Arial"/>
                <w:b/>
                <w:sz w:val="22"/>
                <w:szCs w:val="22"/>
              </w:rPr>
            </w:pPr>
          </w:p>
          <w:p w14:paraId="13663B08" w14:textId="77777777" w:rsidR="00CA0BC0" w:rsidRPr="00230F35" w:rsidRDefault="00CA0BC0" w:rsidP="001325E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53F3638B" w14:textId="77777777" w:rsidR="00CA0BC0" w:rsidRDefault="00CA0BC0" w:rsidP="001325E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B3EA9D5" w14:textId="77777777" w:rsidR="00CA0BC0" w:rsidRPr="00001C3B" w:rsidRDefault="00CA0BC0" w:rsidP="001325EA">
            <w:pPr>
              <w:pStyle w:val="NormalWeb"/>
              <w:rPr>
                <w:rFonts w:ascii="Arial" w:hAnsi="Arial" w:cs="Arial"/>
                <w:sz w:val="22"/>
                <w:szCs w:val="22"/>
              </w:rPr>
            </w:pPr>
          </w:p>
        </w:tc>
      </w:tr>
      <w:tr w:rsidR="00CA0BC0" w:rsidRPr="00230F35" w14:paraId="26743DFF" w14:textId="77777777" w:rsidTr="001325EA">
        <w:trPr>
          <w:trHeight w:val="492"/>
        </w:trPr>
        <w:tc>
          <w:tcPr>
            <w:tcW w:w="6768" w:type="dxa"/>
            <w:gridSpan w:val="3"/>
          </w:tcPr>
          <w:p w14:paraId="7BBFACD5" w14:textId="77777777" w:rsidR="00CA0BC0" w:rsidRPr="00230F35" w:rsidRDefault="00CA0BC0" w:rsidP="001325E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3567286" w14:textId="77777777" w:rsidR="00CA0BC0" w:rsidRPr="00230F35" w:rsidRDefault="00CA0BC0" w:rsidP="001325EA">
            <w:pPr>
              <w:pStyle w:val="NormalWeb"/>
              <w:spacing w:after="0"/>
              <w:ind w:left="142" w:right="34"/>
              <w:rPr>
                <w:rFonts w:ascii="Arial" w:hAnsi="Arial" w:cs="Arial"/>
                <w:sz w:val="22"/>
                <w:szCs w:val="22"/>
              </w:rPr>
            </w:pPr>
            <w:r w:rsidRPr="00230F35">
              <w:rPr>
                <w:rFonts w:ascii="Arial" w:hAnsi="Arial" w:cs="Arial"/>
                <w:sz w:val="22"/>
                <w:szCs w:val="22"/>
              </w:rPr>
              <w:t>Date:</w:t>
            </w:r>
          </w:p>
        </w:tc>
      </w:tr>
      <w:tr w:rsidR="00CA0BC0" w:rsidRPr="002F467C" w14:paraId="78ADE3A2" w14:textId="77777777" w:rsidTr="001325EA">
        <w:tc>
          <w:tcPr>
            <w:tcW w:w="8856" w:type="dxa"/>
            <w:gridSpan w:val="5"/>
          </w:tcPr>
          <w:p w14:paraId="547B25C5" w14:textId="77777777" w:rsidR="00CA0BC0" w:rsidRPr="00230F35" w:rsidRDefault="00CA0BC0" w:rsidP="001325EA">
            <w:pPr>
              <w:pStyle w:val="NormalWeb"/>
              <w:spacing w:before="0" w:beforeAutospacing="0" w:after="0" w:afterAutospacing="0"/>
              <w:ind w:right="-334"/>
              <w:rPr>
                <w:rFonts w:ascii="Arial" w:hAnsi="Arial" w:cs="Arial"/>
                <w:bCs/>
                <w:i/>
                <w:sz w:val="22"/>
                <w:szCs w:val="22"/>
              </w:rPr>
            </w:pPr>
          </w:p>
          <w:p w14:paraId="1364D102" w14:textId="77777777" w:rsidR="00CA0BC0" w:rsidRPr="00230F35" w:rsidRDefault="00CA0BC0" w:rsidP="001325E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DB2F66C" w14:textId="77777777" w:rsidR="00CA0BC0" w:rsidRPr="00230F35" w:rsidRDefault="00CA0BC0" w:rsidP="001325EA">
            <w:pPr>
              <w:pStyle w:val="NormalWeb"/>
              <w:spacing w:before="0" w:beforeAutospacing="0" w:after="0" w:afterAutospacing="0"/>
              <w:ind w:right="-334"/>
              <w:rPr>
                <w:rFonts w:ascii="Arial" w:hAnsi="Arial" w:cs="Arial"/>
                <w:b/>
                <w:bCs/>
                <w:sz w:val="22"/>
                <w:szCs w:val="22"/>
              </w:rPr>
            </w:pPr>
          </w:p>
          <w:p w14:paraId="75A445A7" w14:textId="77777777" w:rsidR="00CA0BC0" w:rsidRPr="00230F35" w:rsidRDefault="00CA0BC0" w:rsidP="001325E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A110F41" w14:textId="77777777" w:rsidR="00CA0BC0" w:rsidRPr="00230F35" w:rsidRDefault="00CA0BC0" w:rsidP="001325EA">
            <w:pPr>
              <w:pStyle w:val="NormalWeb"/>
              <w:spacing w:before="0" w:beforeAutospacing="0" w:after="0" w:afterAutospacing="0"/>
              <w:ind w:right="-334"/>
              <w:rPr>
                <w:rFonts w:ascii="Arial" w:hAnsi="Arial" w:cs="Arial"/>
                <w:bCs/>
                <w:sz w:val="22"/>
                <w:szCs w:val="22"/>
              </w:rPr>
            </w:pPr>
          </w:p>
          <w:p w14:paraId="3B83068E" w14:textId="77777777" w:rsidR="00CA0BC0" w:rsidRPr="00230F35" w:rsidRDefault="00CA0BC0" w:rsidP="001325EA">
            <w:pPr>
              <w:pStyle w:val="NormalWeb"/>
              <w:spacing w:before="0" w:beforeAutospacing="0" w:after="0" w:afterAutospacing="0"/>
              <w:ind w:right="-334"/>
              <w:rPr>
                <w:rFonts w:ascii="Arial" w:hAnsi="Arial" w:cs="Arial"/>
                <w:bCs/>
                <w:sz w:val="22"/>
                <w:szCs w:val="22"/>
              </w:rPr>
            </w:pPr>
          </w:p>
          <w:p w14:paraId="2C9F5C8A" w14:textId="77777777" w:rsidR="00CA0BC0" w:rsidRPr="00230F35" w:rsidRDefault="00CA0BC0" w:rsidP="001325EA">
            <w:pPr>
              <w:pStyle w:val="NormalWeb"/>
              <w:spacing w:before="0" w:beforeAutospacing="0" w:after="0" w:afterAutospacing="0"/>
              <w:ind w:right="-334"/>
              <w:rPr>
                <w:rFonts w:ascii="Arial" w:hAnsi="Arial" w:cs="Arial"/>
                <w:bCs/>
                <w:sz w:val="22"/>
                <w:szCs w:val="22"/>
              </w:rPr>
            </w:pPr>
          </w:p>
        </w:tc>
      </w:tr>
      <w:tr w:rsidR="00CA0BC0" w:rsidRPr="002F467C" w14:paraId="0B6C3B44" w14:textId="77777777" w:rsidTr="001325EA">
        <w:trPr>
          <w:trHeight w:val="720"/>
        </w:trPr>
        <w:tc>
          <w:tcPr>
            <w:tcW w:w="5211" w:type="dxa"/>
            <w:gridSpan w:val="2"/>
          </w:tcPr>
          <w:p w14:paraId="4202C552" w14:textId="77777777" w:rsidR="00CA0BC0" w:rsidRPr="00230F35" w:rsidRDefault="00CA0BC0" w:rsidP="001325E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F58C436" w14:textId="77777777" w:rsidR="00CA0BC0" w:rsidRPr="00230F35" w:rsidRDefault="00CA0BC0" w:rsidP="001325E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A0BC0" w:rsidRPr="002F467C" w14:paraId="3CC435F7" w14:textId="77777777" w:rsidTr="001325EA">
        <w:trPr>
          <w:trHeight w:val="720"/>
        </w:trPr>
        <w:tc>
          <w:tcPr>
            <w:tcW w:w="8856" w:type="dxa"/>
            <w:gridSpan w:val="5"/>
          </w:tcPr>
          <w:p w14:paraId="522A45B1" w14:textId="77777777" w:rsidR="00CA0BC0" w:rsidRPr="006367FD" w:rsidRDefault="00CA0BC0" w:rsidP="001325EA">
            <w:pPr>
              <w:rPr>
                <w:rFonts w:ascii="Arial" w:hAnsi="Arial" w:cs="Arial"/>
                <w:b/>
                <w:sz w:val="22"/>
                <w:szCs w:val="22"/>
              </w:rPr>
            </w:pPr>
            <w:r w:rsidRPr="006367FD">
              <w:rPr>
                <w:rFonts w:ascii="Arial" w:hAnsi="Arial" w:cs="Arial"/>
                <w:b/>
                <w:sz w:val="22"/>
                <w:szCs w:val="22"/>
              </w:rPr>
              <w:t>AGREED INTERNAL MARK (where necessary):</w:t>
            </w:r>
          </w:p>
          <w:p w14:paraId="3AC074A9" w14:textId="77777777" w:rsidR="00CA0BC0" w:rsidRPr="006367FD" w:rsidRDefault="00CA0BC0" w:rsidP="001325EA">
            <w:pPr>
              <w:rPr>
                <w:rFonts w:ascii="Arial" w:hAnsi="Arial" w:cs="Arial"/>
                <w:b/>
                <w:sz w:val="22"/>
                <w:szCs w:val="22"/>
              </w:rPr>
            </w:pPr>
          </w:p>
          <w:p w14:paraId="04485DAD" w14:textId="77777777" w:rsidR="00CA0BC0" w:rsidRDefault="00CA0BC0" w:rsidP="001325EA">
            <w:pPr>
              <w:rPr>
                <w:rFonts w:ascii="Arial" w:hAnsi="Arial" w:cs="Arial"/>
                <w:b/>
                <w:sz w:val="22"/>
                <w:szCs w:val="22"/>
              </w:rPr>
            </w:pPr>
            <w:r w:rsidRPr="006367FD">
              <w:rPr>
                <w:rFonts w:ascii="Arial" w:hAnsi="Arial" w:cs="Arial"/>
                <w:b/>
                <w:sz w:val="22"/>
                <w:szCs w:val="22"/>
              </w:rPr>
              <w:t>Comment on process of arriving at agreed mark:</w:t>
            </w:r>
          </w:p>
          <w:p w14:paraId="673E6700" w14:textId="77777777" w:rsidR="00CA0BC0" w:rsidRDefault="00CA0BC0" w:rsidP="001325EA">
            <w:pPr>
              <w:rPr>
                <w:rFonts w:ascii="Arial" w:hAnsi="Arial" w:cs="Arial"/>
                <w:b/>
                <w:sz w:val="22"/>
                <w:szCs w:val="22"/>
              </w:rPr>
            </w:pPr>
          </w:p>
          <w:p w14:paraId="60024AD5" w14:textId="77777777" w:rsidR="00CA0BC0" w:rsidRDefault="00CA0BC0" w:rsidP="001325EA">
            <w:pPr>
              <w:rPr>
                <w:rFonts w:ascii="Arial" w:hAnsi="Arial" w:cs="Arial"/>
                <w:b/>
                <w:sz w:val="22"/>
                <w:szCs w:val="22"/>
              </w:rPr>
            </w:pPr>
          </w:p>
          <w:p w14:paraId="52FDB36E" w14:textId="77777777" w:rsidR="00CA0BC0" w:rsidRDefault="00CA0BC0" w:rsidP="001325EA">
            <w:pPr>
              <w:rPr>
                <w:rFonts w:ascii="Arial" w:hAnsi="Arial" w:cs="Arial"/>
                <w:b/>
                <w:sz w:val="22"/>
                <w:szCs w:val="22"/>
              </w:rPr>
            </w:pPr>
          </w:p>
          <w:p w14:paraId="69D96BEF" w14:textId="77777777" w:rsidR="00CA0BC0" w:rsidRDefault="00CA0BC0" w:rsidP="001325EA">
            <w:pPr>
              <w:rPr>
                <w:rFonts w:ascii="Arial" w:hAnsi="Arial" w:cs="Arial"/>
                <w:b/>
                <w:sz w:val="22"/>
                <w:szCs w:val="22"/>
              </w:rPr>
            </w:pPr>
          </w:p>
          <w:p w14:paraId="550E9C05" w14:textId="77777777" w:rsidR="00CA0BC0" w:rsidRDefault="00CA0BC0" w:rsidP="001325EA">
            <w:pPr>
              <w:rPr>
                <w:rFonts w:ascii="Arial" w:hAnsi="Arial" w:cs="Arial"/>
                <w:b/>
                <w:sz w:val="22"/>
                <w:szCs w:val="22"/>
              </w:rPr>
            </w:pPr>
          </w:p>
          <w:p w14:paraId="2C8450BF" w14:textId="77777777" w:rsidR="00CA0BC0" w:rsidRDefault="00CA0BC0" w:rsidP="001325EA">
            <w:pPr>
              <w:rPr>
                <w:rFonts w:ascii="Arial" w:hAnsi="Arial" w:cs="Arial"/>
                <w:b/>
                <w:sz w:val="22"/>
                <w:szCs w:val="22"/>
              </w:rPr>
            </w:pPr>
          </w:p>
          <w:p w14:paraId="6B1A7C90" w14:textId="77777777" w:rsidR="00CA0BC0" w:rsidRDefault="00CA0BC0" w:rsidP="001325EA">
            <w:pPr>
              <w:rPr>
                <w:rFonts w:ascii="Arial" w:hAnsi="Arial" w:cs="Arial"/>
                <w:b/>
                <w:sz w:val="22"/>
                <w:szCs w:val="22"/>
              </w:rPr>
            </w:pPr>
          </w:p>
          <w:p w14:paraId="72297D98" w14:textId="77777777" w:rsidR="00CA0BC0" w:rsidRPr="00B34964" w:rsidRDefault="00CA0BC0" w:rsidP="001325EA">
            <w:pPr>
              <w:rPr>
                <w:rFonts w:ascii="Arial" w:hAnsi="Arial" w:cs="Arial"/>
                <w:b/>
                <w:sz w:val="22"/>
                <w:szCs w:val="22"/>
              </w:rPr>
            </w:pPr>
          </w:p>
        </w:tc>
      </w:tr>
      <w:tr w:rsidR="00CA0BC0" w:rsidRPr="002F467C" w14:paraId="6ADE1FB9" w14:textId="77777777" w:rsidTr="001325EA">
        <w:trPr>
          <w:trHeight w:val="720"/>
        </w:trPr>
        <w:tc>
          <w:tcPr>
            <w:tcW w:w="8856" w:type="dxa"/>
            <w:gridSpan w:val="5"/>
          </w:tcPr>
          <w:p w14:paraId="4E572769" w14:textId="77777777" w:rsidR="00CA0BC0" w:rsidRPr="00B34964" w:rsidRDefault="00CA0BC0" w:rsidP="001325EA">
            <w:pPr>
              <w:rPr>
                <w:rFonts w:ascii="Arial" w:hAnsi="Arial" w:cs="Arial"/>
                <w:b/>
                <w:sz w:val="22"/>
                <w:szCs w:val="22"/>
              </w:rPr>
            </w:pPr>
            <w:r w:rsidRPr="00B34964">
              <w:rPr>
                <w:rFonts w:ascii="Arial" w:hAnsi="Arial" w:cs="Arial"/>
                <w:b/>
                <w:sz w:val="22"/>
                <w:szCs w:val="22"/>
              </w:rPr>
              <w:lastRenderedPageBreak/>
              <w:t>External Examiner’s comments (if relevant)</w:t>
            </w:r>
          </w:p>
          <w:p w14:paraId="008FC974" w14:textId="77777777" w:rsidR="00CA0BC0" w:rsidRDefault="00CA0BC0" w:rsidP="001325EA">
            <w:pPr>
              <w:pStyle w:val="NormalWeb"/>
              <w:spacing w:before="0" w:beforeAutospacing="0" w:after="0" w:afterAutospacing="0"/>
              <w:ind w:right="-334"/>
              <w:rPr>
                <w:rFonts w:ascii="Arial" w:hAnsi="Arial" w:cs="Arial"/>
                <w:bCs/>
                <w:sz w:val="22"/>
                <w:szCs w:val="22"/>
              </w:rPr>
            </w:pPr>
          </w:p>
          <w:p w14:paraId="2730269B" w14:textId="77777777" w:rsidR="00CA0BC0" w:rsidRDefault="00CA0BC0" w:rsidP="001325EA">
            <w:pPr>
              <w:pStyle w:val="NormalWeb"/>
              <w:spacing w:before="0" w:beforeAutospacing="0" w:after="0" w:afterAutospacing="0"/>
              <w:ind w:right="-334"/>
              <w:rPr>
                <w:rFonts w:ascii="Arial" w:hAnsi="Arial" w:cs="Arial"/>
                <w:bCs/>
                <w:sz w:val="22"/>
                <w:szCs w:val="22"/>
              </w:rPr>
            </w:pPr>
          </w:p>
          <w:p w14:paraId="7D45DC60" w14:textId="77777777" w:rsidR="00CA0BC0" w:rsidRDefault="00CA0BC0" w:rsidP="001325EA">
            <w:pPr>
              <w:pStyle w:val="NormalWeb"/>
              <w:spacing w:before="0" w:beforeAutospacing="0" w:after="0" w:afterAutospacing="0"/>
              <w:ind w:right="-334"/>
              <w:rPr>
                <w:rFonts w:ascii="Arial" w:hAnsi="Arial" w:cs="Arial"/>
                <w:bCs/>
                <w:sz w:val="22"/>
                <w:szCs w:val="22"/>
              </w:rPr>
            </w:pPr>
          </w:p>
          <w:p w14:paraId="7C2452EF" w14:textId="77777777" w:rsidR="00CA0BC0" w:rsidRDefault="00CA0BC0" w:rsidP="001325EA">
            <w:pPr>
              <w:pStyle w:val="NormalWeb"/>
              <w:spacing w:before="0" w:beforeAutospacing="0" w:after="0" w:afterAutospacing="0"/>
              <w:ind w:right="-334"/>
              <w:rPr>
                <w:rFonts w:ascii="Arial" w:hAnsi="Arial" w:cs="Arial"/>
                <w:bCs/>
                <w:sz w:val="22"/>
                <w:szCs w:val="22"/>
              </w:rPr>
            </w:pPr>
          </w:p>
          <w:p w14:paraId="188E8D64" w14:textId="77777777" w:rsidR="00CA0BC0" w:rsidRPr="00230F35" w:rsidRDefault="00CA0BC0" w:rsidP="001325EA">
            <w:pPr>
              <w:pStyle w:val="NormalWeb"/>
              <w:spacing w:before="0" w:beforeAutospacing="0" w:after="0" w:afterAutospacing="0"/>
              <w:ind w:right="-334"/>
              <w:rPr>
                <w:rFonts w:ascii="Arial" w:hAnsi="Arial" w:cs="Arial"/>
                <w:bCs/>
                <w:sz w:val="22"/>
                <w:szCs w:val="22"/>
              </w:rPr>
            </w:pPr>
          </w:p>
          <w:p w14:paraId="2FD304D4" w14:textId="77777777" w:rsidR="00CA0BC0" w:rsidRPr="00230F35" w:rsidRDefault="00CA0BC0" w:rsidP="001325EA">
            <w:pPr>
              <w:pStyle w:val="NormalWeb"/>
              <w:spacing w:before="0" w:beforeAutospacing="0" w:after="0" w:afterAutospacing="0"/>
              <w:ind w:right="-334"/>
              <w:rPr>
                <w:rFonts w:ascii="Arial" w:hAnsi="Arial" w:cs="Arial"/>
                <w:bCs/>
                <w:sz w:val="22"/>
                <w:szCs w:val="22"/>
              </w:rPr>
            </w:pPr>
          </w:p>
          <w:p w14:paraId="4D6D0824" w14:textId="77777777" w:rsidR="00CA0BC0" w:rsidRPr="00230F35" w:rsidRDefault="00CA0BC0" w:rsidP="001325EA">
            <w:pPr>
              <w:pStyle w:val="NormalWeb"/>
              <w:spacing w:before="0" w:beforeAutospacing="0" w:after="0" w:afterAutospacing="0"/>
              <w:ind w:right="-334"/>
              <w:rPr>
                <w:rFonts w:ascii="Arial" w:hAnsi="Arial" w:cs="Arial"/>
                <w:bCs/>
                <w:sz w:val="22"/>
                <w:szCs w:val="22"/>
              </w:rPr>
            </w:pPr>
          </w:p>
        </w:tc>
      </w:tr>
      <w:tr w:rsidR="00CA0BC0" w:rsidRPr="002F467C" w14:paraId="56044277" w14:textId="77777777" w:rsidTr="001325EA">
        <w:trPr>
          <w:trHeight w:val="720"/>
        </w:trPr>
        <w:tc>
          <w:tcPr>
            <w:tcW w:w="5211" w:type="dxa"/>
            <w:gridSpan w:val="2"/>
          </w:tcPr>
          <w:p w14:paraId="6673E375" w14:textId="77777777" w:rsidR="00CA0BC0" w:rsidRPr="00230F35" w:rsidRDefault="00CA0BC0" w:rsidP="001325EA">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6E9E509" w14:textId="77777777" w:rsidR="00CA0BC0" w:rsidRPr="00230F35" w:rsidRDefault="00CA0BC0" w:rsidP="001325EA">
            <w:pPr>
              <w:rPr>
                <w:rFonts w:ascii="Arial" w:hAnsi="Arial" w:cs="Arial"/>
                <w:sz w:val="22"/>
                <w:szCs w:val="22"/>
              </w:rPr>
            </w:pPr>
            <w:r w:rsidRPr="00230F35">
              <w:rPr>
                <w:rFonts w:ascii="Arial" w:hAnsi="Arial" w:cs="Arial"/>
                <w:sz w:val="22"/>
                <w:szCs w:val="22"/>
              </w:rPr>
              <w:t>Date:</w:t>
            </w:r>
          </w:p>
        </w:tc>
      </w:tr>
    </w:tbl>
    <w:p w14:paraId="63D653FE" w14:textId="77777777" w:rsidR="00CA0BC0" w:rsidRDefault="00CA0BC0" w:rsidP="00623E1F">
      <w:pPr>
        <w:jc w:val="both"/>
        <w:rPr>
          <w:highlight w:val="cyan"/>
        </w:rPr>
      </w:pPr>
      <w:r w:rsidRPr="007743E8">
        <w:rPr>
          <w:highlight w:val="cyan"/>
        </w:rPr>
        <w:t xml:space="preserve"> </w:t>
      </w:r>
    </w:p>
    <w:p w14:paraId="19CE5532" w14:textId="77777777" w:rsidR="00CA0BC0" w:rsidRDefault="00CA0BC0" w:rsidP="00623E1F">
      <w:pPr>
        <w:jc w:val="both"/>
        <w:rPr>
          <w:highlight w:val="cyan"/>
        </w:rPr>
      </w:pPr>
    </w:p>
    <w:p w14:paraId="77BE9E7E" w14:textId="77777777" w:rsidR="00CA0BC0" w:rsidRDefault="00CA0BC0" w:rsidP="00623E1F">
      <w:pPr>
        <w:jc w:val="both"/>
        <w:rPr>
          <w:highlight w:val="cyan"/>
        </w:rPr>
      </w:pPr>
    </w:p>
    <w:p w14:paraId="4F8ED565" w14:textId="77777777" w:rsidR="00CA0BC0" w:rsidRDefault="00CA0BC0" w:rsidP="00623E1F">
      <w:pPr>
        <w:jc w:val="both"/>
        <w:rPr>
          <w:highlight w:val="cyan"/>
        </w:rPr>
      </w:pPr>
    </w:p>
    <w:p w14:paraId="73560257" w14:textId="77777777" w:rsidR="00CA0BC0" w:rsidRDefault="00CA0BC0" w:rsidP="00623E1F">
      <w:pPr>
        <w:jc w:val="both"/>
        <w:rPr>
          <w:highlight w:val="cyan"/>
        </w:rPr>
      </w:pPr>
    </w:p>
    <w:p w14:paraId="5ABCA79B" w14:textId="77777777" w:rsidR="00CA0BC0" w:rsidRDefault="00CA0BC0" w:rsidP="00623E1F">
      <w:pPr>
        <w:jc w:val="both"/>
        <w:rPr>
          <w:highlight w:val="cyan"/>
        </w:rPr>
      </w:pPr>
    </w:p>
    <w:p w14:paraId="72A96E4A" w14:textId="77777777" w:rsidR="00CA0BC0" w:rsidRDefault="00CA0BC0" w:rsidP="00623E1F">
      <w:pPr>
        <w:jc w:val="both"/>
        <w:rPr>
          <w:highlight w:val="cyan"/>
        </w:rPr>
      </w:pPr>
    </w:p>
    <w:p w14:paraId="34E53D43" w14:textId="77777777" w:rsidR="00CA0BC0" w:rsidRDefault="00CA0BC0" w:rsidP="00623E1F">
      <w:pPr>
        <w:jc w:val="both"/>
        <w:rPr>
          <w:highlight w:val="cyan"/>
        </w:rPr>
      </w:pPr>
    </w:p>
    <w:p w14:paraId="1E31B2B1" w14:textId="77777777" w:rsidR="00CA0BC0" w:rsidRDefault="00CA0BC0" w:rsidP="00623E1F">
      <w:pPr>
        <w:jc w:val="both"/>
        <w:rPr>
          <w:highlight w:val="cyan"/>
        </w:rPr>
      </w:pPr>
    </w:p>
    <w:p w14:paraId="001DE626" w14:textId="77777777" w:rsidR="00CA0BC0" w:rsidRDefault="00CA0BC0" w:rsidP="00623E1F">
      <w:pPr>
        <w:jc w:val="both"/>
        <w:rPr>
          <w:highlight w:val="cyan"/>
        </w:rPr>
      </w:pPr>
    </w:p>
    <w:p w14:paraId="6E4B7700" w14:textId="77777777" w:rsidR="00CA0BC0" w:rsidRDefault="00CA0BC0" w:rsidP="00623E1F">
      <w:pPr>
        <w:jc w:val="both"/>
        <w:rPr>
          <w:highlight w:val="cyan"/>
        </w:rPr>
      </w:pPr>
    </w:p>
    <w:p w14:paraId="769A8B98" w14:textId="77777777" w:rsidR="00CA0BC0" w:rsidRDefault="00CA0BC0" w:rsidP="00623E1F">
      <w:pPr>
        <w:jc w:val="both"/>
        <w:rPr>
          <w:highlight w:val="cyan"/>
        </w:rPr>
      </w:pPr>
    </w:p>
    <w:p w14:paraId="3029F69C" w14:textId="77777777" w:rsidR="00CA0BC0" w:rsidRDefault="00CA0BC0" w:rsidP="00623E1F">
      <w:pPr>
        <w:jc w:val="both"/>
        <w:rPr>
          <w:highlight w:val="cyan"/>
        </w:rPr>
      </w:pPr>
    </w:p>
    <w:p w14:paraId="2D44CD76" w14:textId="77777777" w:rsidR="00CA0BC0" w:rsidRDefault="00CA0BC0" w:rsidP="00623E1F">
      <w:pPr>
        <w:jc w:val="both"/>
        <w:rPr>
          <w:highlight w:val="cyan"/>
        </w:rPr>
      </w:pPr>
    </w:p>
    <w:p w14:paraId="45BC3AB6" w14:textId="77777777" w:rsidR="00CA0BC0" w:rsidRDefault="00CA0BC0" w:rsidP="00623E1F">
      <w:pPr>
        <w:jc w:val="both"/>
        <w:rPr>
          <w:highlight w:val="cyan"/>
        </w:rPr>
      </w:pPr>
    </w:p>
    <w:p w14:paraId="3B38445F" w14:textId="77777777" w:rsidR="00CA0BC0" w:rsidRDefault="00CA0BC0" w:rsidP="00623E1F">
      <w:pPr>
        <w:jc w:val="both"/>
        <w:rPr>
          <w:highlight w:val="cyan"/>
        </w:rPr>
      </w:pPr>
    </w:p>
    <w:p w14:paraId="049165A7" w14:textId="46E1F1B4" w:rsidR="00BB4AC1" w:rsidRDefault="00BB4AC1" w:rsidP="00775313">
      <w:pPr>
        <w:pStyle w:val="Heading1"/>
        <w:jc w:val="center"/>
      </w:pPr>
      <w:r>
        <w:lastRenderedPageBreak/>
        <w:t>Analyse the role of divination within the theory and practice of ancient Greek medicine</w:t>
      </w:r>
    </w:p>
    <w:p w14:paraId="7491D50E" w14:textId="77777777" w:rsidR="0001789D" w:rsidRPr="0001789D" w:rsidRDefault="0001789D" w:rsidP="0001789D">
      <w:pPr>
        <w:rPr>
          <w:highlight w:val="cyan"/>
        </w:rPr>
      </w:pPr>
    </w:p>
    <w:p w14:paraId="5CA6E86C" w14:textId="77777777" w:rsidR="000F0E8B" w:rsidRPr="005E4F7A" w:rsidRDefault="000F0E8B" w:rsidP="007320F0">
      <w:pPr>
        <w:pStyle w:val="Heading2"/>
        <w:spacing w:line="480" w:lineRule="auto"/>
        <w:rPr>
          <w:rFonts w:asciiTheme="minorHAnsi" w:hAnsiTheme="minorHAnsi"/>
          <w:sz w:val="28"/>
          <w:szCs w:val="28"/>
          <w:u w:val="single"/>
        </w:rPr>
      </w:pPr>
      <w:r w:rsidRPr="005E4F7A">
        <w:rPr>
          <w:rFonts w:asciiTheme="minorHAnsi" w:hAnsiTheme="minorHAnsi"/>
          <w:sz w:val="28"/>
          <w:szCs w:val="28"/>
          <w:u w:val="single"/>
        </w:rPr>
        <w:t>Introduction</w:t>
      </w:r>
    </w:p>
    <w:p w14:paraId="0A2F62E9" w14:textId="3CE560D4" w:rsidR="000F0E8B" w:rsidRDefault="00AA55E7" w:rsidP="007320F0">
      <w:pPr>
        <w:spacing w:line="480" w:lineRule="auto"/>
        <w:jc w:val="both"/>
      </w:pPr>
      <w:r w:rsidRPr="00D4106D">
        <w:t>Divination</w:t>
      </w:r>
      <w:r w:rsidR="00F7753D" w:rsidRPr="00D4106D">
        <w:t xml:space="preserve"> in the ancient world was the</w:t>
      </w:r>
      <w:r w:rsidR="00AB1BC1" w:rsidRPr="00D4106D">
        <w:t xml:space="preserve"> engagement </w:t>
      </w:r>
      <w:r w:rsidR="00F7753D" w:rsidRPr="00D4106D">
        <w:t xml:space="preserve">in communication with the gods. This took place in a range of contexts, </w:t>
      </w:r>
      <w:r w:rsidR="003949BD" w:rsidRPr="00D4106D">
        <w:t xml:space="preserve">through a variety of methods and for various purposes. </w:t>
      </w:r>
      <w:r w:rsidR="00215D60" w:rsidRPr="00D4106D">
        <w:t>Religion</w:t>
      </w:r>
      <w:r w:rsidR="003949BD" w:rsidRPr="00D4106D">
        <w:t xml:space="preserve"> was a thread which </w:t>
      </w:r>
      <w:r w:rsidR="00215D60" w:rsidRPr="00D4106D">
        <w:t xml:space="preserve">ran through every aspect </w:t>
      </w:r>
      <w:r w:rsidR="00CB7E5F" w:rsidRPr="00D4106D">
        <w:t xml:space="preserve"> of </w:t>
      </w:r>
      <w:r w:rsidR="00215D60" w:rsidRPr="00D4106D">
        <w:t xml:space="preserve">life in Ancient Greece, with divination acting as a </w:t>
      </w:r>
      <w:r w:rsidR="00CB7E5F" w:rsidRPr="00D4106D">
        <w:t xml:space="preserve">key form of expression. </w:t>
      </w:r>
      <w:r w:rsidR="000F0E8B" w:rsidRPr="00D4106D">
        <w:t>The</w:t>
      </w:r>
      <w:r w:rsidR="004C658B" w:rsidRPr="00D4106D">
        <w:t xml:space="preserve"> </w:t>
      </w:r>
      <w:r w:rsidR="000F0E8B" w:rsidRPr="00D4106D">
        <w:t xml:space="preserve">role of divination in the practice of ancient medicine, will </w:t>
      </w:r>
      <w:r w:rsidR="009328E3" w:rsidRPr="00D4106D">
        <w:t>analysed</w:t>
      </w:r>
      <w:r w:rsidR="000F0E8B" w:rsidRPr="00D4106D">
        <w:t xml:space="preserve"> thematically, through the </w:t>
      </w:r>
      <w:r w:rsidR="004C658B" w:rsidRPr="00D4106D">
        <w:t>exploration</w:t>
      </w:r>
      <w:r w:rsidR="000F0E8B" w:rsidRPr="00D4106D">
        <w:t xml:space="preserve"> of the practices of medical astrology, mirror divination and dream incubation and through </w:t>
      </w:r>
      <w:r w:rsidR="00905A9E" w:rsidRPr="00D4106D">
        <w:t>reflecting on</w:t>
      </w:r>
      <w:r w:rsidR="000F0E8B" w:rsidRPr="00D4106D">
        <w:t xml:space="preserve"> the underlying theory which situates the use of divination in medical practice</w:t>
      </w:r>
      <w:r w:rsidR="009E4890" w:rsidRPr="00D4106D">
        <w:t>.</w:t>
      </w:r>
      <w:r w:rsidR="000F0E8B" w:rsidRPr="00D4106D">
        <w:t xml:space="preserve"> </w:t>
      </w:r>
      <w:r w:rsidR="009E4890" w:rsidRPr="00D4106D">
        <w:t xml:space="preserve">These </w:t>
      </w:r>
      <w:r w:rsidR="000F0E8B" w:rsidRPr="00D4106D">
        <w:t>includ</w:t>
      </w:r>
      <w:r w:rsidR="009E4890" w:rsidRPr="00D4106D">
        <w:t>e</w:t>
      </w:r>
      <w:r w:rsidR="000F0E8B" w:rsidRPr="00D4106D">
        <w:t xml:space="preserve"> the concepts of </w:t>
      </w:r>
      <w:r w:rsidR="00F543FA" w:rsidRPr="00D4106D">
        <w:t xml:space="preserve">a </w:t>
      </w:r>
      <w:r w:rsidR="000F0E8B" w:rsidRPr="00D4106D">
        <w:t>macrocosm</w:t>
      </w:r>
      <w:r w:rsidR="00F543FA" w:rsidRPr="00D4106D">
        <w:t xml:space="preserve"> and </w:t>
      </w:r>
      <w:r w:rsidR="000F0E8B" w:rsidRPr="00D4106D">
        <w:t xml:space="preserve">microcosm nature of the ancient Greek universe, connecting the gods, planetary systems and nature to the lives and health of humans. </w:t>
      </w:r>
    </w:p>
    <w:p w14:paraId="10EC0019" w14:textId="77777777" w:rsidR="005E4F7A" w:rsidRPr="00D4106D" w:rsidRDefault="005E4F7A" w:rsidP="007320F0">
      <w:pPr>
        <w:spacing w:line="480" w:lineRule="auto"/>
        <w:jc w:val="both"/>
      </w:pPr>
    </w:p>
    <w:p w14:paraId="4CFD5DB0" w14:textId="307999D3" w:rsidR="004C658B" w:rsidRPr="005E4F7A" w:rsidRDefault="000F0E8B" w:rsidP="007320F0">
      <w:pPr>
        <w:pStyle w:val="Heading2"/>
        <w:spacing w:line="480" w:lineRule="auto"/>
        <w:rPr>
          <w:rFonts w:asciiTheme="minorHAnsi" w:hAnsiTheme="minorHAnsi"/>
          <w:sz w:val="28"/>
          <w:szCs w:val="28"/>
          <w:u w:val="single"/>
        </w:rPr>
      </w:pPr>
      <w:r w:rsidRPr="005E4F7A">
        <w:rPr>
          <w:rFonts w:asciiTheme="minorHAnsi" w:hAnsiTheme="minorHAnsi"/>
          <w:sz w:val="28"/>
          <w:szCs w:val="28"/>
          <w:u w:val="single"/>
        </w:rPr>
        <w:t>Ancient Medicine</w:t>
      </w:r>
      <w:r w:rsidR="00912CA6" w:rsidRPr="005E4F7A">
        <w:rPr>
          <w:rFonts w:asciiTheme="minorHAnsi" w:hAnsiTheme="minorHAnsi"/>
          <w:sz w:val="28"/>
          <w:szCs w:val="28"/>
          <w:u w:val="single"/>
        </w:rPr>
        <w:t xml:space="preserve"> and Divination </w:t>
      </w:r>
    </w:p>
    <w:p w14:paraId="66A34176" w14:textId="68617A3A" w:rsidR="0075380E" w:rsidRPr="00D4106D" w:rsidRDefault="000F0E8B" w:rsidP="007320F0">
      <w:pPr>
        <w:spacing w:line="480" w:lineRule="auto"/>
        <w:jc w:val="both"/>
      </w:pPr>
      <w:r w:rsidRPr="00D4106D">
        <w:t xml:space="preserve">While medicine in modern times has come to be synonymous with a wholly secular practice of scientifically verified methods of healing, the Ancient Greek interpretation of this term was considerably different. </w:t>
      </w:r>
      <w:r w:rsidR="009B1522" w:rsidRPr="00D4106D">
        <w:t xml:space="preserve">Ancient </w:t>
      </w:r>
      <w:r w:rsidR="003C2157" w:rsidRPr="00D4106D">
        <w:t>Gree</w:t>
      </w:r>
      <w:r w:rsidR="005D7C39" w:rsidRPr="00D4106D">
        <w:t xml:space="preserve">k </w:t>
      </w:r>
      <w:r w:rsidR="009B1522" w:rsidRPr="00D4106D">
        <w:t>medicin</w:t>
      </w:r>
      <w:r w:rsidR="00876C53" w:rsidRPr="00D4106D">
        <w:t>e</w:t>
      </w:r>
      <w:r w:rsidR="005D7C39" w:rsidRPr="00D4106D">
        <w:t xml:space="preserve"> has its</w:t>
      </w:r>
      <w:r w:rsidR="00876C53" w:rsidRPr="00D4106D">
        <w:t xml:space="preserve"> foundation </w:t>
      </w:r>
      <w:r w:rsidR="009C691C" w:rsidRPr="00D4106D">
        <w:t>entwined</w:t>
      </w:r>
      <w:r w:rsidR="005D7C39" w:rsidRPr="00D4106D">
        <w:t xml:space="preserve"> with</w:t>
      </w:r>
      <w:r w:rsidR="003C2157" w:rsidRPr="00D4106D">
        <w:t xml:space="preserve"> a relationship with gods</w:t>
      </w:r>
      <w:r w:rsidR="005D7C39" w:rsidRPr="00D4106D">
        <w:t>, who were</w:t>
      </w:r>
      <w:r w:rsidR="003C2157" w:rsidRPr="00D4106D">
        <w:t xml:space="preserve"> willing to both communicate and intervene in </w:t>
      </w:r>
      <w:r w:rsidR="00946E4E" w:rsidRPr="00D4106D">
        <w:t>matters of health and healing.</w:t>
      </w:r>
      <w:r w:rsidR="00946E4E" w:rsidRPr="00D4106D">
        <w:rPr>
          <w:rStyle w:val="FootnoteReference"/>
        </w:rPr>
        <w:footnoteReference w:id="1"/>
      </w:r>
      <w:r w:rsidR="00946E4E" w:rsidRPr="00D4106D">
        <w:t xml:space="preserve"> </w:t>
      </w:r>
      <w:r w:rsidRPr="00D4106D">
        <w:t xml:space="preserve">Greenbaum highlights that the term ‘ancient </w:t>
      </w:r>
      <w:r w:rsidRPr="00D4106D">
        <w:lastRenderedPageBreak/>
        <w:t>medicine’ “…reveals such diversity that even the very concept…becomes fraught with interpretative difficulties from the very beginning.”</w:t>
      </w:r>
      <w:r w:rsidRPr="00D4106D">
        <w:rPr>
          <w:rStyle w:val="FootnoteReference"/>
        </w:rPr>
        <w:footnoteReference w:id="2"/>
      </w:r>
      <w:r w:rsidR="00DA124C" w:rsidRPr="00D4106D">
        <w:t xml:space="preserve"> Medicine so</w:t>
      </w:r>
      <w:r w:rsidR="00451403" w:rsidRPr="00D4106D">
        <w:t>ugh</w:t>
      </w:r>
      <w:r w:rsidR="00DA124C" w:rsidRPr="00D4106D">
        <w:t>t to gain knowledge of healing, which often in</w:t>
      </w:r>
      <w:r w:rsidR="00794FFB" w:rsidRPr="00D4106D">
        <w:t>volved divinatory communication with the gods</w:t>
      </w:r>
      <w:r w:rsidR="00772E4B" w:rsidRPr="00D4106D">
        <w:t xml:space="preserve"> as its source</w:t>
      </w:r>
      <w:r w:rsidR="00582FAB" w:rsidRPr="00D4106D">
        <w:t xml:space="preserve">. </w:t>
      </w:r>
      <w:r w:rsidR="0075380E" w:rsidRPr="00D4106D">
        <w:t>Medicine cannot be considered secular, free or separate from either religion or divination. Addey aptly characterises divination as “ubiquitous, authoritative and extremely well respected…[as well as] a central dimension of ancient religious and ritual traditions embedded in the daily lives of the Greeks.”</w:t>
      </w:r>
      <w:r w:rsidR="0075380E" w:rsidRPr="00D4106D">
        <w:rPr>
          <w:rStyle w:val="FootnoteReference"/>
        </w:rPr>
        <w:footnoteReference w:id="3"/>
      </w:r>
      <w:r w:rsidR="0075380E" w:rsidRPr="00D4106D">
        <w:t xml:space="preserve"> Though divination was not limited to medical practices, nor did all medical practices use divination, it would be fair to say that divination influenced decision making in all areas of life. </w:t>
      </w:r>
    </w:p>
    <w:p w14:paraId="6DAB3897" w14:textId="72101A97" w:rsidR="000F0E8B" w:rsidRPr="00D4106D" w:rsidRDefault="006431FD" w:rsidP="007320F0">
      <w:pPr>
        <w:spacing w:line="480" w:lineRule="auto"/>
        <w:jc w:val="both"/>
      </w:pPr>
      <w:r w:rsidRPr="00D4106D">
        <w:t>M</w:t>
      </w:r>
      <w:r w:rsidR="000F0E8B" w:rsidRPr="00D4106D">
        <w:t>edicine</w:t>
      </w:r>
      <w:r w:rsidRPr="00D4106D">
        <w:t xml:space="preserve"> and divination could be </w:t>
      </w:r>
      <w:r w:rsidR="00B42F16" w:rsidRPr="00D4106D">
        <w:t xml:space="preserve">categorised as </w:t>
      </w:r>
      <w:r w:rsidR="000F0E8B" w:rsidRPr="00D4106D">
        <w:t xml:space="preserve"> “scholastic art</w:t>
      </w:r>
      <w:r w:rsidR="00B42F16" w:rsidRPr="00D4106D">
        <w:t>s</w:t>
      </w:r>
      <w:r w:rsidR="000F0E8B" w:rsidRPr="00D4106D">
        <w:t>,”</w:t>
      </w:r>
      <w:r w:rsidR="000F0E8B" w:rsidRPr="00D4106D">
        <w:rPr>
          <w:rStyle w:val="FootnoteReference"/>
        </w:rPr>
        <w:footnoteReference w:id="4"/>
      </w:r>
      <w:r w:rsidR="000F0E8B" w:rsidRPr="00D4106D">
        <w:t xml:space="preserve"> </w:t>
      </w:r>
      <w:r w:rsidR="00B42F16" w:rsidRPr="00D4106D">
        <w:t>both</w:t>
      </w:r>
      <w:r w:rsidR="000F0E8B" w:rsidRPr="00D4106D">
        <w:t xml:space="preserve"> pursuing knowledge through experience and skill “</w:t>
      </w:r>
      <w:r w:rsidR="00DC0C0B" w:rsidRPr="00D4106D">
        <w:t>…</w:t>
      </w:r>
      <w:r w:rsidR="000F0E8B" w:rsidRPr="00D4106D">
        <w:t>where predicted outcomes, though not certain to happen, were based on the knowledge and educated conjecture of astrologers and doctors.”</w:t>
      </w:r>
      <w:r w:rsidR="000F0E8B" w:rsidRPr="00D4106D">
        <w:rPr>
          <w:rStyle w:val="FootnoteReference"/>
        </w:rPr>
        <w:footnoteReference w:id="5"/>
      </w:r>
      <w:r w:rsidR="000F0E8B" w:rsidRPr="00D4106D">
        <w:t xml:space="preserve"> This can be seen through the astrological assignments, in which doctors are categorised with philosophers, mystics, dream interpreters, diviners and astrologers.</w:t>
      </w:r>
      <w:r w:rsidRPr="00D4106D">
        <w:t xml:space="preserve"> </w:t>
      </w:r>
      <w:r w:rsidR="000F0E8B" w:rsidRPr="00D4106D">
        <w:t>Machemer demonstrates this differentiation betwe</w:t>
      </w:r>
      <w:r w:rsidR="00E477AB" w:rsidRPr="00D4106D">
        <w:t>en</w:t>
      </w:r>
      <w:r w:rsidR="000F0E8B" w:rsidRPr="00D4106D">
        <w:t xml:space="preserve"> a modern perception of medicine  </w:t>
      </w:r>
      <w:r w:rsidR="008D7696" w:rsidRPr="00D4106D">
        <w:t xml:space="preserve">and an ancient artist approach to medicine, </w:t>
      </w:r>
      <w:r w:rsidR="000F0E8B" w:rsidRPr="00D4106D">
        <w:t>in his discussion in “Medicine, Music and Magic</w:t>
      </w:r>
      <w:r w:rsidR="00227B6E" w:rsidRPr="00D4106D">
        <w:t>,</w:t>
      </w:r>
      <w:r w:rsidR="000F0E8B" w:rsidRPr="00D4106D">
        <w:t xml:space="preserve">” </w:t>
      </w:r>
      <w:r w:rsidRPr="00D4106D">
        <w:t>stressing</w:t>
      </w:r>
      <w:r w:rsidR="000F0E8B" w:rsidRPr="00D4106D">
        <w:t xml:space="preserve"> that rather than being in “opposition” to one another, as we may imagine within a modern context, “…the healer’s and the poet’s art…” can be viewed </w:t>
      </w:r>
      <w:r w:rsidR="000F0E8B" w:rsidRPr="00D4106D">
        <w:lastRenderedPageBreak/>
        <w:t>comparatively for their “effectiveness.”</w:t>
      </w:r>
      <w:r w:rsidR="000F0E8B" w:rsidRPr="00D4106D">
        <w:rPr>
          <w:rStyle w:val="FootnoteReference"/>
        </w:rPr>
        <w:footnoteReference w:id="6"/>
      </w:r>
      <w:r w:rsidR="000F0E8B" w:rsidRPr="00D4106D">
        <w:t xml:space="preserve"> </w:t>
      </w:r>
      <w:r w:rsidR="004B32C6" w:rsidRPr="00D4106D">
        <w:t>Further d</w:t>
      </w:r>
      <w:r w:rsidR="00C43EAC" w:rsidRPr="00D4106D">
        <w:t xml:space="preserve">emonstrating the </w:t>
      </w:r>
      <w:r w:rsidR="004B32C6" w:rsidRPr="00D4106D">
        <w:t xml:space="preserve">artistic approach to medicine. </w:t>
      </w:r>
    </w:p>
    <w:p w14:paraId="65A84242" w14:textId="3B57FCD2" w:rsidR="007346D4" w:rsidRDefault="007346D4" w:rsidP="007320F0">
      <w:pPr>
        <w:spacing w:line="480" w:lineRule="auto"/>
        <w:jc w:val="both"/>
      </w:pPr>
      <w:r w:rsidRPr="00D4106D">
        <w:t>The use of divination took place in formal and informal surroundings,</w:t>
      </w:r>
      <w:r w:rsidRPr="00D4106D">
        <w:rPr>
          <w:rStyle w:val="FootnoteReference"/>
        </w:rPr>
        <w:footnoteReference w:id="7"/>
      </w:r>
      <w:r w:rsidRPr="00D4106D">
        <w:t xml:space="preserve"> acting as a practical resource, to obtain trusted courses of action during times of uncertainty.</w:t>
      </w:r>
      <w:r w:rsidRPr="00D4106D">
        <w:rPr>
          <w:rStyle w:val="FootnoteReference"/>
        </w:rPr>
        <w:t xml:space="preserve"> </w:t>
      </w:r>
      <w:r w:rsidRPr="00D4106D">
        <w:rPr>
          <w:rStyle w:val="FootnoteReference"/>
        </w:rPr>
        <w:footnoteReference w:id="8"/>
      </w:r>
      <w:r w:rsidRPr="00D4106D">
        <w:t xml:space="preserve"> Engaging a range of methods, practices and skills to communicate with gods to gain “clarity over the opaque.”</w:t>
      </w:r>
      <w:r w:rsidRPr="00D4106D">
        <w:rPr>
          <w:rStyle w:val="FootnoteReference"/>
        </w:rPr>
        <w:footnoteReference w:id="9"/>
      </w:r>
      <w:r w:rsidRPr="00D4106D">
        <w:t xml:space="preserve">  Medical divination included both ‘inspired’ approaches such as dream incubation and ‘inductive’ types of divination such as astrology.</w:t>
      </w:r>
      <w:r w:rsidRPr="00D4106D">
        <w:rPr>
          <w:rStyle w:val="FootnoteReference"/>
        </w:rPr>
        <w:footnoteReference w:id="10"/>
      </w:r>
      <w:r w:rsidRPr="00D4106D">
        <w:t xml:space="preserve"> Plato stated that, “…the Cosmic Order, by discovering all the effects which the divine causes produce upon human life, down to divination and the art of medicine which aims at health…”</w:t>
      </w:r>
      <w:r w:rsidR="00A36D66">
        <w:rPr>
          <w:rStyle w:val="FootnoteReference"/>
        </w:rPr>
        <w:footnoteReference w:id="11"/>
      </w:r>
      <w:r w:rsidRPr="00D4106D">
        <w:t xml:space="preserve"> </w:t>
      </w:r>
      <w:r w:rsidR="00CB7A79" w:rsidRPr="00D4106D">
        <w:t>establishes</w:t>
      </w:r>
      <w:r w:rsidRPr="00D4106D">
        <w:t xml:space="preserve"> the </w:t>
      </w:r>
      <w:r w:rsidR="00CB7A79" w:rsidRPr="00D4106D">
        <w:t xml:space="preserve">weight of the </w:t>
      </w:r>
      <w:r w:rsidRPr="00D4106D">
        <w:t xml:space="preserve">connections between divination, the cosmos and ancient medicine. </w:t>
      </w:r>
    </w:p>
    <w:p w14:paraId="748A9963" w14:textId="77777777" w:rsidR="005E4F7A" w:rsidRPr="00D4106D" w:rsidRDefault="005E4F7A" w:rsidP="007320F0">
      <w:pPr>
        <w:spacing w:line="480" w:lineRule="auto"/>
        <w:jc w:val="both"/>
      </w:pPr>
    </w:p>
    <w:p w14:paraId="4317466B" w14:textId="06287D2A" w:rsidR="007738BA" w:rsidRPr="005E4F7A" w:rsidRDefault="007738BA" w:rsidP="007320F0">
      <w:pPr>
        <w:pStyle w:val="Heading2"/>
        <w:spacing w:line="480" w:lineRule="auto"/>
        <w:rPr>
          <w:rFonts w:asciiTheme="minorHAnsi" w:hAnsiTheme="minorHAnsi"/>
          <w:sz w:val="28"/>
          <w:szCs w:val="28"/>
          <w:u w:val="single"/>
        </w:rPr>
      </w:pPr>
      <w:r w:rsidRPr="005E4F7A">
        <w:rPr>
          <w:rFonts w:asciiTheme="minorHAnsi" w:hAnsiTheme="minorHAnsi"/>
          <w:sz w:val="28"/>
          <w:szCs w:val="28"/>
          <w:u w:val="single"/>
        </w:rPr>
        <w:t xml:space="preserve">The </w:t>
      </w:r>
      <w:r w:rsidR="00F75151" w:rsidRPr="005E4F7A">
        <w:rPr>
          <w:rFonts w:asciiTheme="minorHAnsi" w:hAnsiTheme="minorHAnsi"/>
          <w:sz w:val="28"/>
          <w:szCs w:val="28"/>
          <w:u w:val="single"/>
        </w:rPr>
        <w:t xml:space="preserve">Nature of the </w:t>
      </w:r>
      <w:r w:rsidRPr="005E4F7A">
        <w:rPr>
          <w:rFonts w:asciiTheme="minorHAnsi" w:hAnsiTheme="minorHAnsi"/>
          <w:sz w:val="28"/>
          <w:szCs w:val="28"/>
          <w:u w:val="single"/>
        </w:rPr>
        <w:t>Cosmos</w:t>
      </w:r>
    </w:p>
    <w:p w14:paraId="6EF54EC2" w14:textId="17CE2884" w:rsidR="007738BA" w:rsidRPr="00D4106D" w:rsidRDefault="006431FD" w:rsidP="007320F0">
      <w:pPr>
        <w:spacing w:line="480" w:lineRule="auto"/>
        <w:jc w:val="both"/>
      </w:pPr>
      <w:r w:rsidRPr="00D4106D">
        <w:t xml:space="preserve">Divinatory practices </w:t>
      </w:r>
      <w:r w:rsidR="00F75151" w:rsidRPr="00D4106D">
        <w:t xml:space="preserve">were arguably </w:t>
      </w:r>
      <w:r w:rsidRPr="00D4106D">
        <w:t xml:space="preserve">integral </w:t>
      </w:r>
      <w:r w:rsidR="00F75151" w:rsidRPr="00D4106D">
        <w:t>to</w:t>
      </w:r>
      <w:r w:rsidRPr="00D4106D">
        <w:t xml:space="preserve"> medical practice, due to its fundamental position within the Ancient Greek theoretical approach to the cosmos. </w:t>
      </w:r>
      <w:r w:rsidR="007738BA" w:rsidRPr="00D4106D">
        <w:t xml:space="preserve">The Stoic view of </w:t>
      </w:r>
      <w:r w:rsidR="007738BA" w:rsidRPr="00D4106D">
        <w:lastRenderedPageBreak/>
        <w:t xml:space="preserve">the cosmos in the ancient Greek world was understood to consist of a macrocosm and a microcosm. The macrocosm </w:t>
      </w:r>
      <w:r w:rsidR="00F75151" w:rsidRPr="00D4106D">
        <w:t>comprised of</w:t>
      </w:r>
      <w:r w:rsidR="007738BA" w:rsidRPr="00D4106D">
        <w:t xml:space="preserve"> the universe outside of the human world, such as the planetary bodies and stars and the microcosm  which contained all of the human world.</w:t>
      </w:r>
      <w:r w:rsidR="007738BA" w:rsidRPr="00D4106D">
        <w:rPr>
          <w:rStyle w:val="FootnoteReference"/>
        </w:rPr>
        <w:footnoteReference w:id="12"/>
      </w:r>
      <w:r w:rsidR="007738BA" w:rsidRPr="00D4106D">
        <w:t xml:space="preserve"> The macrocosm and microcosm</w:t>
      </w:r>
      <w:r w:rsidR="005304C5" w:rsidRPr="00D4106D">
        <w:t xml:space="preserve"> </w:t>
      </w:r>
      <w:r w:rsidR="00546776" w:rsidRPr="00D4106D">
        <w:t xml:space="preserve">were believed to be </w:t>
      </w:r>
      <w:r w:rsidR="007738BA" w:rsidRPr="00D4106D">
        <w:t xml:space="preserve">connected, </w:t>
      </w:r>
      <w:r w:rsidR="00546776" w:rsidRPr="00D4106D">
        <w:t xml:space="preserve">with </w:t>
      </w:r>
      <w:r w:rsidR="007738BA" w:rsidRPr="00D4106D">
        <w:t>the changes within the macrocosm</w:t>
      </w:r>
      <w:r w:rsidR="00546776" w:rsidRPr="00D4106D">
        <w:t>,</w:t>
      </w:r>
      <w:r w:rsidR="007738BA" w:rsidRPr="00D4106D">
        <w:t xml:space="preserve"> impacting and altering the microcosm.</w:t>
      </w:r>
      <w:r w:rsidR="007738BA" w:rsidRPr="00D4106D">
        <w:rPr>
          <w:rStyle w:val="FootnoteReference"/>
        </w:rPr>
        <w:footnoteReference w:id="13"/>
      </w:r>
      <w:r w:rsidR="007738BA" w:rsidRPr="00D4106D">
        <w:t xml:space="preserve"> The changes within the macrocosm could be observed and used as signs</w:t>
      </w:r>
      <w:r w:rsidR="00A12D1E" w:rsidRPr="00D4106D">
        <w:t>,</w:t>
      </w:r>
      <w:r w:rsidR="0086566E" w:rsidRPr="00D4106D">
        <w:t xml:space="preserve"> to</w:t>
      </w:r>
      <w:r w:rsidR="007738BA" w:rsidRPr="00D4106D">
        <w:t xml:space="preserve"> gain knowledge of the gods but also the events which may impact</w:t>
      </w:r>
      <w:r w:rsidR="00A12D1E" w:rsidRPr="00D4106D">
        <w:t xml:space="preserve"> people</w:t>
      </w:r>
      <w:r w:rsidR="007738BA" w:rsidRPr="00D4106D">
        <w:t xml:space="preserve">, including </w:t>
      </w:r>
      <w:r w:rsidR="0086566E" w:rsidRPr="00D4106D">
        <w:t xml:space="preserve">issues of </w:t>
      </w:r>
      <w:r w:rsidR="007738BA" w:rsidRPr="00D4106D">
        <w:t>health.</w:t>
      </w:r>
      <w:r w:rsidR="007738BA" w:rsidRPr="00D4106D">
        <w:rPr>
          <w:rStyle w:val="FootnoteReference"/>
        </w:rPr>
        <w:footnoteReference w:id="14"/>
      </w:r>
      <w:r w:rsidR="007738BA" w:rsidRPr="00D4106D">
        <w:t xml:space="preserve"> </w:t>
      </w:r>
      <w:r w:rsidR="005276DC" w:rsidRPr="00D4106D">
        <w:t xml:space="preserve">Astrology is underpinned by this </w:t>
      </w:r>
      <w:r w:rsidR="0008518F" w:rsidRPr="00D4106D">
        <w:t xml:space="preserve">philosophical concept, as the observable universe </w:t>
      </w:r>
      <w:r w:rsidR="003676AC" w:rsidRPr="00D4106D">
        <w:t>becomes a practical tool within daily life.</w:t>
      </w:r>
      <w:r w:rsidR="007738BA" w:rsidRPr="00D4106D">
        <w:rPr>
          <w:rStyle w:val="FootnoteReference"/>
        </w:rPr>
        <w:t xml:space="preserve"> </w:t>
      </w:r>
      <w:r w:rsidR="007738BA" w:rsidRPr="00D4106D">
        <w:rPr>
          <w:rStyle w:val="FootnoteReference"/>
        </w:rPr>
        <w:footnoteReference w:id="15"/>
      </w:r>
      <w:r w:rsidR="007738BA" w:rsidRPr="00D4106D">
        <w:t xml:space="preserve"> </w:t>
      </w:r>
    </w:p>
    <w:p w14:paraId="1B4F239C" w14:textId="164F0051" w:rsidR="00C926D4" w:rsidRPr="00D4106D" w:rsidRDefault="007738BA" w:rsidP="007320F0">
      <w:pPr>
        <w:spacing w:line="480" w:lineRule="auto"/>
        <w:jc w:val="both"/>
      </w:pPr>
      <w:r w:rsidRPr="00D4106D">
        <w:t xml:space="preserve">The connections between the macro and microcosm can </w:t>
      </w:r>
      <w:r w:rsidR="003676AC" w:rsidRPr="00D4106D">
        <w:t xml:space="preserve">be </w:t>
      </w:r>
      <w:r w:rsidRPr="00D4106D">
        <w:t xml:space="preserve">observed clearly when examining the astrological connections made between planets, elements, gods, zodiac signs and for example animals or character traits. The Stoics refer to this connection, as </w:t>
      </w:r>
      <w:proofErr w:type="spellStart"/>
      <w:r w:rsidRPr="00D4106D">
        <w:t>sympatheia</w:t>
      </w:r>
      <w:proofErr w:type="spellEnd"/>
      <w:r w:rsidRPr="00D4106D">
        <w:t>, a cosmic sympathy</w:t>
      </w:r>
      <w:r w:rsidRPr="00D4106D">
        <w:rPr>
          <w:rStyle w:val="FootnoteReference"/>
        </w:rPr>
        <w:footnoteReference w:id="16"/>
      </w:r>
      <w:r w:rsidRPr="00D4106D">
        <w:t>, which is a series of complex cosmic connections and order.</w:t>
      </w:r>
      <w:r w:rsidRPr="00D4106D">
        <w:rPr>
          <w:rStyle w:val="FootnoteReference"/>
        </w:rPr>
        <w:footnoteReference w:id="17"/>
      </w:r>
      <w:r w:rsidRPr="00D4106D">
        <w:t xml:space="preserve"> Greenbaum argues that to understand “…the cosmos in Greek antiquity…more than one ancient philosophical view…” is needed.</w:t>
      </w:r>
      <w:r w:rsidRPr="00D4106D">
        <w:rPr>
          <w:rStyle w:val="FootnoteReference"/>
        </w:rPr>
        <w:footnoteReference w:id="18"/>
      </w:r>
      <w:r w:rsidRPr="00D4106D">
        <w:t xml:space="preserve"> In contrast to the Stoic view, the Platonic</w:t>
      </w:r>
      <w:r w:rsidR="0031377A" w:rsidRPr="00D4106D">
        <w:t xml:space="preserve"> theory of the</w:t>
      </w:r>
      <w:r w:rsidRPr="00D4106D">
        <w:t xml:space="preserve"> cosmos does not rely on a macro and microcosm but similarly is divine in nature, with different areas of the universe interacting.</w:t>
      </w:r>
      <w:r w:rsidRPr="00D4106D">
        <w:rPr>
          <w:rStyle w:val="FootnoteReference"/>
        </w:rPr>
        <w:footnoteReference w:id="19"/>
      </w:r>
      <w:r w:rsidRPr="00D4106D">
        <w:t xml:space="preserve">  Both the Stoic and </w:t>
      </w:r>
      <w:r w:rsidRPr="00D4106D">
        <w:lastRenderedPageBreak/>
        <w:t xml:space="preserve">Platonic theoretical understandings of the universe are very significant to the practice of medicine. </w:t>
      </w:r>
      <w:r w:rsidR="004C5DFF" w:rsidRPr="00D4106D">
        <w:t>As humans are impacted by connections within the cosmos</w:t>
      </w:r>
      <w:r w:rsidR="00024203" w:rsidRPr="00D4106D">
        <w:t>, therefore</w:t>
      </w:r>
      <w:r w:rsidR="004C5DFF" w:rsidRPr="00D4106D">
        <w:t xml:space="preserve"> the application of astrology within medicine can seek to find the connections between human health and particular planets or stars.</w:t>
      </w:r>
      <w:r w:rsidR="004C5DFF" w:rsidRPr="00D4106D">
        <w:rPr>
          <w:rStyle w:val="FootnoteReference"/>
        </w:rPr>
        <w:footnoteReference w:id="20"/>
      </w:r>
    </w:p>
    <w:p w14:paraId="3ED620BF" w14:textId="0E7F2279" w:rsidR="007E5801" w:rsidRPr="00D4106D" w:rsidRDefault="00F11085" w:rsidP="007320F0">
      <w:pPr>
        <w:spacing w:line="480" w:lineRule="auto"/>
        <w:jc w:val="both"/>
      </w:pPr>
      <w:r w:rsidRPr="00D4106D">
        <w:t xml:space="preserve">Within </w:t>
      </w:r>
      <w:r w:rsidR="00CF59E0" w:rsidRPr="00D4106D">
        <w:t>the Hip</w:t>
      </w:r>
      <w:r w:rsidR="00D4106D">
        <w:t>p</w:t>
      </w:r>
      <w:r w:rsidR="00CF59E0" w:rsidRPr="00D4106D">
        <w:t xml:space="preserve">ocratic </w:t>
      </w:r>
      <w:r w:rsidRPr="00D4106D">
        <w:rPr>
          <w:i/>
          <w:iCs/>
        </w:rPr>
        <w:t>Water, Airs, Places</w:t>
      </w:r>
      <w:r w:rsidR="00CF59E0" w:rsidRPr="00D4106D">
        <w:rPr>
          <w:i/>
          <w:iCs/>
        </w:rPr>
        <w:t xml:space="preserve">, </w:t>
      </w:r>
      <w:r w:rsidR="00CF59E0" w:rsidRPr="00D4106D">
        <w:t xml:space="preserve">it is stated that: </w:t>
      </w:r>
    </w:p>
    <w:p w14:paraId="4615E9B8" w14:textId="22CB4308" w:rsidR="00C926D4" w:rsidRPr="00D4106D" w:rsidRDefault="00C926D4" w:rsidP="007320F0">
      <w:pPr>
        <w:spacing w:line="480" w:lineRule="auto"/>
        <w:jc w:val="both"/>
        <w:rPr>
          <w:color w:val="333333"/>
          <w:spacing w:val="-2"/>
          <w:shd w:val="clear" w:color="auto" w:fill="FFFFFF"/>
        </w:rPr>
      </w:pPr>
      <w:r w:rsidRPr="00D4106D">
        <w:rPr>
          <w:color w:val="333333"/>
          <w:spacing w:val="-2"/>
          <w:shd w:val="clear" w:color="auto" w:fill="FFFFFF"/>
        </w:rPr>
        <w:t>“If someone thinks that all this belongs rather to meteorology,</w:t>
      </w:r>
      <w:r w:rsidR="004C5DFF" w:rsidRPr="00D4106D">
        <w:rPr>
          <w:color w:val="333333"/>
          <w:spacing w:val="-2"/>
          <w:shd w:val="clear" w:color="auto" w:fill="FFFFFF"/>
        </w:rPr>
        <w:t xml:space="preserve"> </w:t>
      </w:r>
      <w:r w:rsidRPr="00D4106D">
        <w:rPr>
          <w:color w:val="333333"/>
          <w:spacing w:val="-2"/>
          <w:shd w:val="clear" w:color="auto" w:fill="FFFFFF"/>
        </w:rPr>
        <w:t xml:space="preserve">by keeping his mind open he will learn that astronomy makes no small contribution to the art of medicine, but a very great one:” </w:t>
      </w:r>
      <w:r w:rsidRPr="00D4106D">
        <w:rPr>
          <w:rStyle w:val="FootnoteReference"/>
          <w:color w:val="333333"/>
          <w:spacing w:val="-2"/>
          <w:shd w:val="clear" w:color="auto" w:fill="FFFFFF"/>
        </w:rPr>
        <w:footnoteReference w:id="21"/>
      </w:r>
    </w:p>
    <w:p w14:paraId="4F907150" w14:textId="1E817388" w:rsidR="004C5DFF" w:rsidRPr="00D4106D" w:rsidRDefault="00FA3EEB" w:rsidP="007320F0">
      <w:pPr>
        <w:spacing w:line="480" w:lineRule="auto"/>
        <w:jc w:val="both"/>
        <w:rPr>
          <w:color w:val="333333"/>
          <w:spacing w:val="-2"/>
          <w:shd w:val="clear" w:color="auto" w:fill="FFFFFF"/>
        </w:rPr>
      </w:pPr>
      <w:r w:rsidRPr="00D4106D">
        <w:rPr>
          <w:color w:val="333333"/>
          <w:spacing w:val="-2"/>
          <w:shd w:val="clear" w:color="auto" w:fill="FFFFFF"/>
        </w:rPr>
        <w:t xml:space="preserve">This </w:t>
      </w:r>
      <w:r w:rsidR="00E33E39" w:rsidRPr="00D4106D">
        <w:rPr>
          <w:color w:val="333333"/>
          <w:spacing w:val="-2"/>
          <w:shd w:val="clear" w:color="auto" w:fill="FFFFFF"/>
        </w:rPr>
        <w:t>indicates</w:t>
      </w:r>
      <w:r w:rsidRPr="00D4106D">
        <w:rPr>
          <w:color w:val="333333"/>
          <w:spacing w:val="-2"/>
          <w:shd w:val="clear" w:color="auto" w:fill="FFFFFF"/>
        </w:rPr>
        <w:t xml:space="preserve"> that rather than acting as solely independent disciplines, </w:t>
      </w:r>
      <w:r w:rsidR="006B2BCA" w:rsidRPr="00D4106D">
        <w:rPr>
          <w:color w:val="333333"/>
          <w:spacing w:val="-2"/>
          <w:shd w:val="clear" w:color="auto" w:fill="FFFFFF"/>
        </w:rPr>
        <w:t>the o</w:t>
      </w:r>
      <w:r w:rsidR="008F61CA" w:rsidRPr="00D4106D">
        <w:rPr>
          <w:color w:val="333333"/>
          <w:spacing w:val="-2"/>
          <w:shd w:val="clear" w:color="auto" w:fill="FFFFFF"/>
        </w:rPr>
        <w:t>bserv</w:t>
      </w:r>
      <w:r w:rsidR="006B2BCA" w:rsidRPr="00D4106D">
        <w:rPr>
          <w:color w:val="333333"/>
          <w:spacing w:val="-2"/>
          <w:shd w:val="clear" w:color="auto" w:fill="FFFFFF"/>
        </w:rPr>
        <w:t>ation of</w:t>
      </w:r>
      <w:r w:rsidR="008F61CA" w:rsidRPr="00D4106D">
        <w:rPr>
          <w:color w:val="333333"/>
          <w:spacing w:val="-2"/>
          <w:shd w:val="clear" w:color="auto" w:fill="FFFFFF"/>
        </w:rPr>
        <w:t xml:space="preserve"> the</w:t>
      </w:r>
      <w:r w:rsidR="000F6256" w:rsidRPr="00D4106D">
        <w:rPr>
          <w:color w:val="333333"/>
          <w:spacing w:val="-2"/>
          <w:shd w:val="clear" w:color="auto" w:fill="FFFFFF"/>
        </w:rPr>
        <w:t xml:space="preserve"> signs of the macrocosm</w:t>
      </w:r>
      <w:r w:rsidR="008F61CA" w:rsidRPr="00D4106D">
        <w:rPr>
          <w:color w:val="333333"/>
          <w:spacing w:val="-2"/>
          <w:shd w:val="clear" w:color="auto" w:fill="FFFFFF"/>
        </w:rPr>
        <w:t>, through astrology and meteorology</w:t>
      </w:r>
      <w:r w:rsidR="006B2BCA" w:rsidRPr="00D4106D">
        <w:rPr>
          <w:color w:val="333333"/>
          <w:spacing w:val="-2"/>
          <w:shd w:val="clear" w:color="auto" w:fill="FFFFFF"/>
        </w:rPr>
        <w:t xml:space="preserve">, were in fact integral to medicine. </w:t>
      </w:r>
    </w:p>
    <w:p w14:paraId="26954691" w14:textId="6739FB6D" w:rsidR="00CF58D5" w:rsidRPr="00D4106D" w:rsidRDefault="00CF58D5" w:rsidP="007320F0">
      <w:pPr>
        <w:spacing w:line="480" w:lineRule="auto"/>
        <w:jc w:val="both"/>
        <w:rPr>
          <w:color w:val="333333"/>
          <w:spacing w:val="-2"/>
          <w:u w:val="single"/>
          <w:shd w:val="clear" w:color="auto" w:fill="FFFFFF"/>
        </w:rPr>
      </w:pPr>
      <w:r w:rsidRPr="00D4106D">
        <w:rPr>
          <w:color w:val="333333"/>
          <w:spacing w:val="-2"/>
          <w:shd w:val="clear" w:color="auto" w:fill="FFFFFF"/>
        </w:rPr>
        <w:t>“For by knowing the changes of the seasons, as well as the risings and settings of the stars that determine these changes, he will know in advance how any year is going to proceed.”</w:t>
      </w:r>
      <w:r w:rsidRPr="00D4106D">
        <w:rPr>
          <w:rStyle w:val="FootnoteReference"/>
          <w:color w:val="333333"/>
          <w:spacing w:val="-2"/>
          <w:shd w:val="clear" w:color="auto" w:fill="FFFFFF"/>
        </w:rPr>
        <w:footnoteReference w:id="22"/>
      </w:r>
    </w:p>
    <w:p w14:paraId="6BCB1B02" w14:textId="0F7E169A" w:rsidR="004B3DB4" w:rsidRPr="00D4106D" w:rsidRDefault="00CF58D5" w:rsidP="007320F0">
      <w:pPr>
        <w:spacing w:line="480" w:lineRule="auto"/>
        <w:jc w:val="both"/>
        <w:rPr>
          <w:color w:val="333333"/>
          <w:spacing w:val="-2"/>
          <w:shd w:val="clear" w:color="auto" w:fill="FFFFFF"/>
        </w:rPr>
      </w:pPr>
      <w:r w:rsidRPr="00D4106D">
        <w:rPr>
          <w:color w:val="333333"/>
          <w:spacing w:val="-2"/>
          <w:shd w:val="clear" w:color="auto" w:fill="FFFFFF"/>
        </w:rPr>
        <w:t xml:space="preserve">The ability to predict patterns of disease through different seasons, </w:t>
      </w:r>
      <w:r w:rsidR="00C33CFF" w:rsidRPr="00D4106D">
        <w:rPr>
          <w:color w:val="333333"/>
          <w:spacing w:val="-2"/>
          <w:shd w:val="clear" w:color="auto" w:fill="FFFFFF"/>
        </w:rPr>
        <w:t>as well as understand the roles of the stars</w:t>
      </w:r>
      <w:r w:rsidR="007C42A3" w:rsidRPr="00D4106D">
        <w:rPr>
          <w:color w:val="333333"/>
          <w:spacing w:val="-2"/>
          <w:shd w:val="clear" w:color="auto" w:fill="FFFFFF"/>
        </w:rPr>
        <w:t>, allowed doctors to anticipate the medical issues which may arise in their patients</w:t>
      </w:r>
      <w:r w:rsidR="00CF477D" w:rsidRPr="00D4106D">
        <w:rPr>
          <w:color w:val="333333"/>
          <w:spacing w:val="-2"/>
          <w:shd w:val="clear" w:color="auto" w:fill="FFFFFF"/>
        </w:rPr>
        <w:t>. Astrology therefore</w:t>
      </w:r>
      <w:r w:rsidR="00836144" w:rsidRPr="00D4106D">
        <w:rPr>
          <w:color w:val="333333"/>
          <w:spacing w:val="-2"/>
          <w:shd w:val="clear" w:color="auto" w:fill="FFFFFF"/>
        </w:rPr>
        <w:t xml:space="preserve"> was naturally incorporated into medicine due to the principal pantheistic worldview. </w:t>
      </w:r>
    </w:p>
    <w:p w14:paraId="43D05CA9" w14:textId="77777777" w:rsidR="00E33E39" w:rsidRPr="005E4F7A" w:rsidRDefault="00E33E39" w:rsidP="007320F0">
      <w:pPr>
        <w:pStyle w:val="Heading2"/>
        <w:spacing w:line="480" w:lineRule="auto"/>
        <w:rPr>
          <w:rFonts w:asciiTheme="minorHAnsi" w:hAnsiTheme="minorHAnsi"/>
          <w:sz w:val="28"/>
          <w:szCs w:val="28"/>
          <w:u w:val="single"/>
        </w:rPr>
      </w:pPr>
      <w:r w:rsidRPr="005E4F7A">
        <w:rPr>
          <w:rFonts w:asciiTheme="minorHAnsi" w:hAnsiTheme="minorHAnsi"/>
          <w:sz w:val="28"/>
          <w:szCs w:val="28"/>
          <w:u w:val="single"/>
        </w:rPr>
        <w:lastRenderedPageBreak/>
        <w:t xml:space="preserve">Astrology </w:t>
      </w:r>
    </w:p>
    <w:p w14:paraId="0B50DE7E" w14:textId="1D4AA5EC" w:rsidR="00E33E39" w:rsidRPr="00D4106D" w:rsidRDefault="00E33E39" w:rsidP="007320F0">
      <w:pPr>
        <w:spacing w:line="480" w:lineRule="auto"/>
        <w:jc w:val="both"/>
      </w:pPr>
      <w:r w:rsidRPr="00D4106D">
        <w:t>Astrology was a major form of divination in Ancient Greece</w:t>
      </w:r>
      <w:r w:rsidRPr="00D4106D">
        <w:rPr>
          <w:rStyle w:val="FootnoteReference"/>
        </w:rPr>
        <w:footnoteReference w:id="23"/>
      </w:r>
      <w:r w:rsidRPr="00D4106D">
        <w:t xml:space="preserve"> be</w:t>
      </w:r>
      <w:r w:rsidR="003A7523" w:rsidRPr="00D4106D">
        <w:t>ing</w:t>
      </w:r>
      <w:r w:rsidRPr="00D4106D">
        <w:t xml:space="preserve"> used within medicine practice, known as </w:t>
      </w:r>
      <w:proofErr w:type="spellStart"/>
      <w:r w:rsidRPr="00D4106D">
        <w:t>iatromathemaika</w:t>
      </w:r>
      <w:proofErr w:type="spellEnd"/>
      <w:r w:rsidR="003A7523" w:rsidRPr="00D4106D">
        <w:t>.</w:t>
      </w:r>
      <w:r w:rsidRPr="00D4106D">
        <w:rPr>
          <w:rStyle w:val="FootnoteReference"/>
        </w:rPr>
        <w:footnoteReference w:id="24"/>
      </w:r>
      <w:r w:rsidRPr="00D4106D">
        <w:t xml:space="preserve">  It could be used to aid prognosis, treatment and the diagnosis of the sick.</w:t>
      </w:r>
      <w:r w:rsidRPr="00D4106D">
        <w:rPr>
          <w:rStyle w:val="FootnoteReference"/>
        </w:rPr>
        <w:footnoteReference w:id="25"/>
      </w:r>
      <w:r w:rsidR="00AA279B" w:rsidRPr="00D4106D">
        <w:t xml:space="preserve"> A</w:t>
      </w:r>
      <w:r w:rsidRPr="00D4106D">
        <w:t xml:space="preserve">strology could be </w:t>
      </w:r>
      <w:r w:rsidR="00D2153F" w:rsidRPr="00D4106D">
        <w:t>applied to</w:t>
      </w:r>
      <w:r w:rsidRPr="00D4106D">
        <w:t xml:space="preserve"> generally consider diseases throughout the seasons</w:t>
      </w:r>
      <w:r w:rsidR="00D2153F" w:rsidRPr="00D4106D">
        <w:t xml:space="preserve"> and </w:t>
      </w:r>
      <w:r w:rsidRPr="00D4106D">
        <w:t>more precise</w:t>
      </w:r>
      <w:r w:rsidR="00D2153F" w:rsidRPr="00D4106D">
        <w:t>ly, to</w:t>
      </w:r>
      <w:r w:rsidRPr="00D4106D">
        <w:t xml:space="preserve"> target at individual patients. When using astrological divination within medical practice, particular factors were useful for determining the state of health or recovery </w:t>
      </w:r>
      <w:r w:rsidR="00D2153F" w:rsidRPr="00D4106D">
        <w:t>of</w:t>
      </w:r>
      <w:r w:rsidRPr="00D4106D">
        <w:t xml:space="preserve"> a patient. This included the visibility of celestial bodies, their brightness and position in the sky in relation to earth and to each other. </w:t>
      </w:r>
      <w:r w:rsidRPr="00D4106D">
        <w:rPr>
          <w:i/>
          <w:iCs/>
        </w:rPr>
        <w:t xml:space="preserve">On Regimen IV </w:t>
      </w:r>
      <w:r w:rsidRPr="00D4106D">
        <w:t>indicates that:</w:t>
      </w:r>
    </w:p>
    <w:p w14:paraId="38742D3D" w14:textId="77777777" w:rsidR="00E33E39" w:rsidRPr="00D4106D" w:rsidRDefault="00E33E39" w:rsidP="007320F0">
      <w:pPr>
        <w:spacing w:line="480" w:lineRule="auto"/>
        <w:jc w:val="both"/>
        <w:rPr>
          <w:color w:val="333333"/>
          <w:spacing w:val="-2"/>
          <w:shd w:val="clear" w:color="auto" w:fill="FFFFFF"/>
        </w:rPr>
      </w:pPr>
      <w:r w:rsidRPr="00D4106D">
        <w:rPr>
          <w:color w:val="333333"/>
          <w:spacing w:val="-2"/>
          <w:shd w:val="clear" w:color="auto" w:fill="FFFFFF"/>
        </w:rPr>
        <w:t xml:space="preserve">“To see the sun, moon, heavens and stars clear and bright, each in the proper order, is good, as it indicates physical health in all its signs“ </w:t>
      </w:r>
      <w:r w:rsidRPr="00D4106D">
        <w:rPr>
          <w:rStyle w:val="FootnoteReference"/>
          <w:color w:val="333333"/>
          <w:spacing w:val="-2"/>
          <w:shd w:val="clear" w:color="auto" w:fill="FFFFFF"/>
        </w:rPr>
        <w:footnoteReference w:id="26"/>
      </w:r>
    </w:p>
    <w:p w14:paraId="5BF8501B" w14:textId="77777777" w:rsidR="00E33E39" w:rsidRPr="00D4106D" w:rsidRDefault="00E33E39" w:rsidP="007320F0">
      <w:pPr>
        <w:spacing w:line="480" w:lineRule="auto"/>
        <w:jc w:val="both"/>
      </w:pPr>
      <w:r w:rsidRPr="00D4106D">
        <w:t xml:space="preserve">Where clear skies and visible planets, stars, the sun and moon, suggest good health, the opposite present in the sky, in turn suggest the opposite outcomes in health. For example: </w:t>
      </w:r>
    </w:p>
    <w:p w14:paraId="6025F891" w14:textId="77777777" w:rsidR="00E33E39" w:rsidRPr="00D4106D" w:rsidRDefault="00E33E39" w:rsidP="007320F0">
      <w:pPr>
        <w:spacing w:line="480" w:lineRule="auto"/>
        <w:jc w:val="both"/>
        <w:rPr>
          <w:color w:val="333333"/>
          <w:spacing w:val="-2"/>
          <w:shd w:val="clear" w:color="auto" w:fill="FFFFFF"/>
        </w:rPr>
      </w:pPr>
      <w:r w:rsidRPr="00D4106D">
        <w:rPr>
          <w:color w:val="333333"/>
          <w:spacing w:val="-2"/>
          <w:shd w:val="clear" w:color="auto" w:fill="FFFFFF"/>
        </w:rPr>
        <w:t xml:space="preserve">“When any one of the heavenly bodies appears to be disfigured, to disappear, or to be arrested in its revolution, if it be through mist or cloud, the malign influence is comparatively weak; if through rain also or hail, the influence is more powerful.” </w:t>
      </w:r>
      <w:r w:rsidRPr="00D4106D">
        <w:rPr>
          <w:rStyle w:val="FootnoteReference"/>
          <w:color w:val="333333"/>
          <w:spacing w:val="-2"/>
          <w:shd w:val="clear" w:color="auto" w:fill="FFFFFF"/>
        </w:rPr>
        <w:footnoteReference w:id="27"/>
      </w:r>
    </w:p>
    <w:p w14:paraId="2BBDCDEF" w14:textId="0F6E2486" w:rsidR="00E33E39" w:rsidRPr="00D4106D" w:rsidRDefault="00E33E39" w:rsidP="007320F0">
      <w:pPr>
        <w:spacing w:line="480" w:lineRule="auto"/>
        <w:jc w:val="both"/>
      </w:pPr>
      <w:r w:rsidRPr="00D4106D">
        <w:lastRenderedPageBreak/>
        <w:t xml:space="preserve">These astrological </w:t>
      </w:r>
      <w:r w:rsidR="00D2153F" w:rsidRPr="00D4106D">
        <w:t xml:space="preserve">and meteorological </w:t>
      </w:r>
      <w:r w:rsidRPr="00D4106D">
        <w:t>signs, could then be used to inform health</w:t>
      </w:r>
      <w:r w:rsidR="00D2153F" w:rsidRPr="00D4106D">
        <w:t xml:space="preserve"> and</w:t>
      </w:r>
      <w:r w:rsidRPr="00D4106D">
        <w:t xml:space="preserve"> to determine the correct acts of treatment. </w:t>
      </w:r>
      <w:r w:rsidRPr="00D4106D">
        <w:rPr>
          <w:i/>
          <w:iCs/>
        </w:rPr>
        <w:t>On Regimen</w:t>
      </w:r>
      <w:r w:rsidR="00D2153F" w:rsidRPr="00D4106D">
        <w:rPr>
          <w:i/>
          <w:iCs/>
        </w:rPr>
        <w:t xml:space="preserve"> IV</w:t>
      </w:r>
      <w:r w:rsidRPr="00D4106D">
        <w:rPr>
          <w:i/>
          <w:iCs/>
        </w:rPr>
        <w:t xml:space="preserve"> </w:t>
      </w:r>
      <w:r w:rsidRPr="00D4106D">
        <w:t xml:space="preserve">is extremely important in providing insight into these medical applications of astrological divination. The following passage outlines the key prescriptions to be taken forward, solely determined by the conditions in the sky. </w:t>
      </w:r>
    </w:p>
    <w:p w14:paraId="2B921BF2" w14:textId="77777777" w:rsidR="00E33E39" w:rsidRPr="00D4106D" w:rsidRDefault="00E33E39" w:rsidP="007320F0">
      <w:pPr>
        <w:spacing w:line="480" w:lineRule="auto"/>
        <w:jc w:val="both"/>
        <w:rPr>
          <w:color w:val="333333"/>
          <w:spacing w:val="-2"/>
          <w:shd w:val="clear" w:color="auto" w:fill="FFFFFF"/>
        </w:rPr>
      </w:pPr>
      <w:r w:rsidRPr="00D4106D">
        <w:rPr>
          <w:color w:val="333333"/>
          <w:spacing w:val="-2"/>
          <w:shd w:val="clear" w:color="auto" w:fill="FFFFFF"/>
        </w:rPr>
        <w:t xml:space="preserve">“…if it be the moon that shows these signs at all, it is beneficial to effect the revulsion inwards... There should be sharp circular runs, walks, voice-exercises, omission of luncheon…But if it be the sun that manifests the phenomena, the malady is more potent, and harder to eliminate. It is necessary to…employ running on the double track and on the round track, walks and all other exercises, the same reduction and gradual increase of food.” </w:t>
      </w:r>
      <w:r w:rsidRPr="00D4106D">
        <w:rPr>
          <w:rStyle w:val="FootnoteReference"/>
          <w:color w:val="333333"/>
          <w:spacing w:val="-2"/>
          <w:shd w:val="clear" w:color="auto" w:fill="FFFFFF"/>
        </w:rPr>
        <w:footnoteReference w:id="28"/>
      </w:r>
    </w:p>
    <w:p w14:paraId="7F68749C" w14:textId="1B16F3D4" w:rsidR="00E33E39" w:rsidRDefault="00E33E39" w:rsidP="005E4F7A">
      <w:pPr>
        <w:spacing w:line="480" w:lineRule="auto"/>
        <w:jc w:val="both"/>
      </w:pPr>
      <w:r w:rsidRPr="00D4106D">
        <w:rPr>
          <w:color w:val="333333"/>
          <w:spacing w:val="-2"/>
          <w:shd w:val="clear" w:color="auto" w:fill="FFFFFF"/>
        </w:rPr>
        <w:t>It is also clear from this extract that different celestial bodies have differing levels of impact (positive or negative) upon health.</w:t>
      </w:r>
      <w:r w:rsidRPr="00D4106D">
        <w:rPr>
          <w:rStyle w:val="FootnoteReference"/>
        </w:rPr>
        <w:t xml:space="preserve"> </w:t>
      </w:r>
      <w:r w:rsidRPr="00D4106D">
        <w:rPr>
          <w:rStyle w:val="FootnoteReference"/>
        </w:rPr>
        <w:footnoteReference w:id="29"/>
      </w:r>
      <w:r w:rsidRPr="00D4106D">
        <w:t xml:space="preserve"> </w:t>
      </w:r>
      <w:r w:rsidRPr="00D4106D">
        <w:rPr>
          <w:color w:val="333333"/>
          <w:spacing w:val="-2"/>
          <w:shd w:val="clear" w:color="auto" w:fill="FFFFFF"/>
        </w:rPr>
        <w:t>It is also important to not</w:t>
      </w:r>
      <w:r w:rsidR="00D2153F" w:rsidRPr="00D4106D">
        <w:rPr>
          <w:color w:val="333333"/>
          <w:spacing w:val="-2"/>
          <w:shd w:val="clear" w:color="auto" w:fill="FFFFFF"/>
        </w:rPr>
        <w:t>e</w:t>
      </w:r>
      <w:r w:rsidRPr="00D4106D">
        <w:rPr>
          <w:color w:val="333333"/>
          <w:spacing w:val="-2"/>
          <w:shd w:val="clear" w:color="auto" w:fill="FFFFFF"/>
        </w:rPr>
        <w:t xml:space="preserve"> that different schools favour different interpretations of astrology. In the forecasting and prescribing treatments for illness, Hippocratic medicine focuses on the seasons and the suns cycles.</w:t>
      </w:r>
      <w:r w:rsidRPr="00D4106D">
        <w:rPr>
          <w:rStyle w:val="FootnoteReference"/>
        </w:rPr>
        <w:t xml:space="preserve"> </w:t>
      </w:r>
      <w:r w:rsidRPr="00D4106D">
        <w:rPr>
          <w:rStyle w:val="FootnoteReference"/>
        </w:rPr>
        <w:footnoteReference w:id="30"/>
      </w:r>
      <w:r w:rsidRPr="00D4106D">
        <w:t xml:space="preserve"> Both the Hippocratic approach and Galen</w:t>
      </w:r>
      <w:r w:rsidRPr="00D4106D">
        <w:rPr>
          <w:rStyle w:val="FootnoteReference"/>
        </w:rPr>
        <w:footnoteReference w:id="31"/>
      </w:r>
      <w:r w:rsidRPr="00D4106D">
        <w:t xml:space="preserve"> consider the moon to cast the “critical days” of a disease.</w:t>
      </w:r>
      <w:r w:rsidRPr="00D4106D">
        <w:rPr>
          <w:rStyle w:val="FootnoteReference"/>
        </w:rPr>
        <w:footnoteReference w:id="32"/>
      </w:r>
      <w:r w:rsidRPr="00D4106D">
        <w:t xml:space="preserve"> This may then inform the timing of treatment of the disease for the optimal results.  Other examples of the astrological influence on medicine can be seen in </w:t>
      </w:r>
      <w:proofErr w:type="spellStart"/>
      <w:r w:rsidRPr="00D4106D">
        <w:lastRenderedPageBreak/>
        <w:t>Melothesia</w:t>
      </w:r>
      <w:proofErr w:type="spellEnd"/>
      <w:r w:rsidRPr="00D4106D">
        <w:t xml:space="preserve"> and the humours.</w:t>
      </w:r>
      <w:r w:rsidRPr="00D4106D">
        <w:rPr>
          <w:rStyle w:val="FootnoteReference"/>
        </w:rPr>
        <w:footnoteReference w:id="33"/>
      </w:r>
      <w:r w:rsidRPr="00D4106D">
        <w:t xml:space="preserve"> </w:t>
      </w:r>
      <w:proofErr w:type="spellStart"/>
      <w:r w:rsidRPr="00D4106D">
        <w:t>Melothesia</w:t>
      </w:r>
      <w:proofErr w:type="spellEnd"/>
      <w:r w:rsidRPr="00D4106D">
        <w:t xml:space="preserve">  was the connection of body parts to the planets and the zodiac, such as, “…Cancer…for the breast, Pisces the feet…”</w:t>
      </w:r>
      <w:r w:rsidRPr="00D4106D">
        <w:rPr>
          <w:rStyle w:val="FootnoteReference"/>
        </w:rPr>
        <w:footnoteReference w:id="34"/>
      </w:r>
      <w:r w:rsidRPr="00D4106D">
        <w:t xml:space="preserve"> While the humours mirrored the “qualities of hot, cold, wet and dry to fluids in the body”</w:t>
      </w:r>
      <w:r w:rsidRPr="00D4106D">
        <w:rPr>
          <w:rStyle w:val="FootnoteReference"/>
        </w:rPr>
        <w:t xml:space="preserve"> </w:t>
      </w:r>
      <w:r w:rsidRPr="00D4106D">
        <w:rPr>
          <w:rStyle w:val="FootnoteReference"/>
        </w:rPr>
        <w:footnoteReference w:id="35"/>
      </w:r>
      <w:r w:rsidRPr="00D4106D">
        <w:t xml:space="preserve"> with the elements of fire, water, earth and air connected to zodiac signs. </w:t>
      </w:r>
    </w:p>
    <w:p w14:paraId="1718BB3C" w14:textId="77777777" w:rsidR="005E4F7A" w:rsidRPr="00D4106D" w:rsidRDefault="005E4F7A" w:rsidP="005E4F7A">
      <w:pPr>
        <w:spacing w:line="480" w:lineRule="auto"/>
        <w:jc w:val="both"/>
      </w:pPr>
    </w:p>
    <w:p w14:paraId="11F0D715" w14:textId="20C24A53" w:rsidR="003A7523" w:rsidRPr="005E4F7A" w:rsidRDefault="003A7523" w:rsidP="007320F0">
      <w:pPr>
        <w:pStyle w:val="Heading2"/>
        <w:spacing w:line="480" w:lineRule="auto"/>
        <w:rPr>
          <w:rFonts w:asciiTheme="minorHAnsi" w:hAnsiTheme="minorHAnsi"/>
          <w:sz w:val="28"/>
          <w:szCs w:val="28"/>
          <w:u w:val="single"/>
        </w:rPr>
      </w:pPr>
      <w:r w:rsidRPr="005E4F7A">
        <w:rPr>
          <w:rFonts w:asciiTheme="minorHAnsi" w:hAnsiTheme="minorHAnsi"/>
          <w:sz w:val="28"/>
          <w:szCs w:val="28"/>
          <w:u w:val="single"/>
        </w:rPr>
        <w:t>Kairos</w:t>
      </w:r>
      <w:r w:rsidR="00D2153F" w:rsidRPr="005E4F7A">
        <w:rPr>
          <w:rFonts w:asciiTheme="minorHAnsi" w:hAnsiTheme="minorHAnsi"/>
          <w:sz w:val="28"/>
          <w:szCs w:val="28"/>
          <w:u w:val="single"/>
        </w:rPr>
        <w:t xml:space="preserve">: </w:t>
      </w:r>
      <w:r w:rsidRPr="005E4F7A">
        <w:rPr>
          <w:rFonts w:asciiTheme="minorHAnsi" w:hAnsiTheme="minorHAnsi"/>
          <w:sz w:val="28"/>
          <w:szCs w:val="28"/>
          <w:u w:val="single"/>
        </w:rPr>
        <w:t xml:space="preserve">Right </w:t>
      </w:r>
      <w:r w:rsidR="00D2153F" w:rsidRPr="005E4F7A">
        <w:rPr>
          <w:rFonts w:asciiTheme="minorHAnsi" w:hAnsiTheme="minorHAnsi"/>
          <w:sz w:val="28"/>
          <w:szCs w:val="28"/>
          <w:u w:val="single"/>
        </w:rPr>
        <w:t>T</w:t>
      </w:r>
      <w:r w:rsidRPr="005E4F7A">
        <w:rPr>
          <w:rFonts w:asciiTheme="minorHAnsi" w:hAnsiTheme="minorHAnsi"/>
          <w:sz w:val="28"/>
          <w:szCs w:val="28"/>
          <w:u w:val="single"/>
        </w:rPr>
        <w:t>ime</w:t>
      </w:r>
    </w:p>
    <w:p w14:paraId="5F77EB90" w14:textId="4A4A89A2" w:rsidR="003A7523" w:rsidRPr="00D4106D" w:rsidRDefault="003A7523" w:rsidP="007320F0">
      <w:pPr>
        <w:spacing w:line="480" w:lineRule="auto"/>
        <w:jc w:val="both"/>
      </w:pPr>
      <w:r w:rsidRPr="00D4106D">
        <w:t>A critical concept within the theoretical and practical approaches to divinatory medicine in the ancient Greek world was ‘Kairos’, meaning ‘right time’.</w:t>
      </w:r>
      <w:r w:rsidRPr="00D4106D">
        <w:rPr>
          <w:rStyle w:val="FootnoteReference"/>
        </w:rPr>
        <w:footnoteReference w:id="36"/>
      </w:r>
      <w:r w:rsidRPr="00D4106D">
        <w:t xml:space="preserve"> The correct timing was critically important for every aspect of life in the ancient Greek world. Divination was used to seek out and confirm the correct timings for all manner of endeavours including business ventures, war, political changes, marriages and significantly medical treatments. Kairos encapsulates the overarching worldview of balance within the alignment of “both the cosmos and the divine…”</w:t>
      </w:r>
      <w:r w:rsidRPr="00D4106D">
        <w:rPr>
          <w:rStyle w:val="FootnoteReference"/>
        </w:rPr>
        <w:footnoteReference w:id="37"/>
      </w:r>
      <w:r w:rsidRPr="00D4106D">
        <w:t xml:space="preserve"> which was essential for gaining the optimal results from treatments administered. This opportune moment of medical practice can be best understood through the Hippocratic aphorism, </w:t>
      </w:r>
      <w:r w:rsidRPr="00D4106D">
        <w:rPr>
          <w:color w:val="333333"/>
          <w:spacing w:val="-2"/>
          <w:shd w:val="clear" w:color="auto" w:fill="FFFFFF"/>
        </w:rPr>
        <w:t>“</w:t>
      </w:r>
      <w:r w:rsidRPr="00D4106D">
        <w:rPr>
          <w:rStyle w:val="sc"/>
          <w:color w:val="333333"/>
          <w:shd w:val="clear" w:color="auto" w:fill="FFFFFF"/>
        </w:rPr>
        <w:t>Life</w:t>
      </w:r>
      <w:r w:rsidRPr="00D4106D">
        <w:rPr>
          <w:color w:val="333333"/>
          <w:spacing w:val="-2"/>
          <w:shd w:val="clear" w:color="auto" w:fill="FFFFFF"/>
        </w:rPr>
        <w:t> is short, the Art long, opportunity fleeting, experiment treacherous, judgment</w:t>
      </w:r>
      <w:hyperlink r:id="rId9" w:anchor="note_LCL150_99_2" w:history="1"/>
      <w:r w:rsidRPr="00D4106D">
        <w:rPr>
          <w:rStyle w:val="Hyperlink"/>
          <w:color w:val="777777"/>
          <w:spacing w:val="-2"/>
          <w:shd w:val="clear" w:color="auto" w:fill="FFFFFF"/>
          <w:vertAlign w:val="superscript"/>
        </w:rPr>
        <w:t xml:space="preserve"> </w:t>
      </w:r>
      <w:r w:rsidRPr="00D4106D">
        <w:rPr>
          <w:color w:val="333333"/>
          <w:spacing w:val="-2"/>
          <w:shd w:val="clear" w:color="auto" w:fill="FFFFFF"/>
        </w:rPr>
        <w:t xml:space="preserve"> difficult.” </w:t>
      </w:r>
      <w:r w:rsidRPr="00D4106D">
        <w:rPr>
          <w:rStyle w:val="FootnoteReference"/>
          <w:color w:val="333333"/>
          <w:spacing w:val="-2"/>
          <w:shd w:val="clear" w:color="auto" w:fill="FFFFFF"/>
        </w:rPr>
        <w:footnoteReference w:id="38"/>
      </w:r>
      <w:r w:rsidRPr="00D4106D">
        <w:rPr>
          <w:color w:val="333333"/>
          <w:spacing w:val="-2"/>
          <w:shd w:val="clear" w:color="auto" w:fill="FFFFFF"/>
        </w:rPr>
        <w:t xml:space="preserve"> The inclusion of the term ‘opportunity fleeting’ highlights the reliance on critical moments within the </w:t>
      </w:r>
      <w:r w:rsidRPr="00D4106D">
        <w:rPr>
          <w:color w:val="333333"/>
          <w:spacing w:val="-2"/>
          <w:shd w:val="clear" w:color="auto" w:fill="FFFFFF"/>
        </w:rPr>
        <w:lastRenderedPageBreak/>
        <w:t>treatment of medical ailments and also the ability of these moments to “vanish quickly.”</w:t>
      </w:r>
      <w:r w:rsidRPr="00D4106D">
        <w:rPr>
          <w:rStyle w:val="FootnoteReference"/>
        </w:rPr>
        <w:t xml:space="preserve"> </w:t>
      </w:r>
      <w:r w:rsidRPr="00D4106D">
        <w:rPr>
          <w:rStyle w:val="FootnoteReference"/>
        </w:rPr>
        <w:footnoteReference w:id="39"/>
      </w:r>
      <w:r w:rsidRPr="00D4106D">
        <w:t xml:space="preserve"> The theory of Kairos transfers into practice through the establishment of medical astrological divination, particularly through the casting of charts, to seek the correct times of healing treatments and consultations with the gods.</w:t>
      </w:r>
      <w:r w:rsidRPr="00D4106D">
        <w:rPr>
          <w:rStyle w:val="FootnoteReference"/>
        </w:rPr>
        <w:t xml:space="preserve"> </w:t>
      </w:r>
    </w:p>
    <w:p w14:paraId="1694D03A" w14:textId="05F9E5D3" w:rsidR="003A7523" w:rsidRPr="00D4106D" w:rsidRDefault="003A7523" w:rsidP="007320F0">
      <w:pPr>
        <w:spacing w:line="480" w:lineRule="auto"/>
        <w:jc w:val="both"/>
      </w:pPr>
      <w:r w:rsidRPr="00D4106D">
        <w:t>Therefore when considering the connections between medicine and divination and the knowledge necessary in the art of medical practice, an understanding of humans and illness but also of astrology, “time and cosmos”</w:t>
      </w:r>
      <w:r w:rsidRPr="00D4106D">
        <w:rPr>
          <w:rStyle w:val="FootnoteReference"/>
        </w:rPr>
        <w:t xml:space="preserve"> </w:t>
      </w:r>
      <w:r w:rsidRPr="00D4106D">
        <w:rPr>
          <w:rStyle w:val="FootnoteReference"/>
        </w:rPr>
        <w:footnoteReference w:id="40"/>
      </w:r>
      <w:r w:rsidRPr="00D4106D">
        <w:t xml:space="preserve"> was vital. Kairos included but was not limited to phases of the moon, stars and planets</w:t>
      </w:r>
      <w:r w:rsidR="00D2153F" w:rsidRPr="00D4106D">
        <w:t>,</w:t>
      </w:r>
      <w:r w:rsidRPr="00D4106D">
        <w:t xml:space="preserve"> the time of year</w:t>
      </w:r>
      <w:r w:rsidR="00D2153F" w:rsidRPr="00D4106D">
        <w:t xml:space="preserve"> and </w:t>
      </w:r>
      <w:r w:rsidRPr="00D4106D">
        <w:t>the seasons</w:t>
      </w:r>
      <w:r w:rsidR="00D2153F" w:rsidRPr="00D4106D">
        <w:t>.</w:t>
      </w:r>
      <w:r w:rsidRPr="00D4106D">
        <w:rPr>
          <w:rStyle w:val="FootnoteReference"/>
        </w:rPr>
        <w:footnoteReference w:id="41"/>
      </w:r>
      <w:r w:rsidRPr="00D4106D">
        <w:t xml:space="preserve"> </w:t>
      </w:r>
      <w:r w:rsidR="00D2153F" w:rsidRPr="00D4106D">
        <w:t>T</w:t>
      </w:r>
      <w:r w:rsidRPr="00D4106D">
        <w:t>his was particularly useful in medicine as it sought to understand the patterns of diseases throughout the year, in different weather conditions and climates.</w:t>
      </w:r>
      <w:r w:rsidRPr="00D4106D">
        <w:rPr>
          <w:rStyle w:val="FootnoteReference"/>
        </w:rPr>
        <w:t xml:space="preserve"> </w:t>
      </w:r>
    </w:p>
    <w:p w14:paraId="6604FD89" w14:textId="534AD080" w:rsidR="003A7523" w:rsidRPr="00D4106D" w:rsidRDefault="003A7523" w:rsidP="007320F0">
      <w:pPr>
        <w:spacing w:line="480" w:lineRule="auto"/>
        <w:jc w:val="both"/>
      </w:pPr>
      <w:r w:rsidRPr="00D4106D">
        <w:t>Galen applied the use of critical days within his treatment of medicine, focusing particular attention on the phases of the moon.</w:t>
      </w:r>
      <w:r w:rsidRPr="00D4106D">
        <w:rPr>
          <w:rStyle w:val="FootnoteReference"/>
        </w:rPr>
        <w:t xml:space="preserve"> </w:t>
      </w:r>
      <w:r w:rsidRPr="00D4106D">
        <w:rPr>
          <w:rStyle w:val="FootnoteReference"/>
        </w:rPr>
        <w:footnoteReference w:id="42"/>
      </w:r>
      <w:r w:rsidRPr="00D4106D">
        <w:t xml:space="preserve"> Critical days could be used then by </w:t>
      </w:r>
      <w:r w:rsidR="00D2153F" w:rsidRPr="00D4106D">
        <w:t>physicians</w:t>
      </w:r>
      <w:r w:rsidRPr="00D4106D">
        <w:t xml:space="preserve"> to make key decision upon the timing of treatments or they could be used in preparation and</w:t>
      </w:r>
      <w:r w:rsidR="00DD1976" w:rsidRPr="00D4106D">
        <w:t xml:space="preserve"> in</w:t>
      </w:r>
      <w:r w:rsidRPr="00D4106D">
        <w:t xml:space="preserve"> conjunction with further divinatory practices, for example in understanding the best time to communicate with the divine in acts such as dream incubation and then the best time to act upon their instructions.</w:t>
      </w:r>
      <w:r w:rsidRPr="00D4106D">
        <w:rPr>
          <w:rStyle w:val="FootnoteReference"/>
        </w:rPr>
        <w:t xml:space="preserve"> </w:t>
      </w:r>
      <w:r w:rsidRPr="00D4106D">
        <w:rPr>
          <w:rStyle w:val="FootnoteReference"/>
        </w:rPr>
        <w:footnoteReference w:id="43"/>
      </w:r>
    </w:p>
    <w:p w14:paraId="0E862B8F" w14:textId="77777777" w:rsidR="00E33E39" w:rsidRPr="005E4F7A" w:rsidRDefault="00E33E39" w:rsidP="007320F0">
      <w:pPr>
        <w:pStyle w:val="Heading2"/>
        <w:spacing w:line="480" w:lineRule="auto"/>
        <w:rPr>
          <w:rFonts w:asciiTheme="minorHAnsi" w:hAnsiTheme="minorHAnsi"/>
          <w:sz w:val="28"/>
          <w:szCs w:val="28"/>
          <w:u w:val="single"/>
        </w:rPr>
      </w:pPr>
      <w:proofErr w:type="spellStart"/>
      <w:r w:rsidRPr="005E4F7A">
        <w:rPr>
          <w:rFonts w:asciiTheme="minorHAnsi" w:hAnsiTheme="minorHAnsi"/>
          <w:sz w:val="28"/>
          <w:szCs w:val="28"/>
          <w:u w:val="single"/>
        </w:rPr>
        <w:lastRenderedPageBreak/>
        <w:t>Katarchic</w:t>
      </w:r>
      <w:proofErr w:type="spellEnd"/>
      <w:r w:rsidRPr="005E4F7A">
        <w:rPr>
          <w:rFonts w:asciiTheme="minorHAnsi" w:hAnsiTheme="minorHAnsi"/>
          <w:sz w:val="28"/>
          <w:szCs w:val="28"/>
          <w:u w:val="single"/>
        </w:rPr>
        <w:t xml:space="preserve"> Astrology </w:t>
      </w:r>
    </w:p>
    <w:p w14:paraId="58650488" w14:textId="366BEE2D" w:rsidR="00E33E39" w:rsidRDefault="00E33E39" w:rsidP="00EE1570">
      <w:pPr>
        <w:spacing w:line="480" w:lineRule="auto"/>
        <w:jc w:val="both"/>
      </w:pPr>
      <w:proofErr w:type="spellStart"/>
      <w:r w:rsidRPr="00D4106D">
        <w:t>Katarchic</w:t>
      </w:r>
      <w:proofErr w:type="spellEnd"/>
      <w:r w:rsidRPr="00D4106D">
        <w:t xml:space="preserve"> Astrology is the practice of casting astrological charts to determine the Kairos, or the correct time to begin (in this case healing treatments).</w:t>
      </w:r>
      <w:r w:rsidRPr="00D4106D">
        <w:rPr>
          <w:rStyle w:val="FootnoteReference"/>
        </w:rPr>
        <w:footnoteReference w:id="44"/>
      </w:r>
      <w:r w:rsidRPr="00D4106D">
        <w:t xml:space="preserve"> This branch of astrology was centred on finding the best outcome and like all branches of medical divination and astrology was heavily focused on timing.</w:t>
      </w:r>
      <w:r w:rsidRPr="00D4106D">
        <w:rPr>
          <w:rStyle w:val="FootnoteReference"/>
        </w:rPr>
        <w:footnoteReference w:id="45"/>
      </w:r>
      <w:r w:rsidRPr="00D4106D">
        <w:t xml:space="preserve"> A sub-branch of </w:t>
      </w:r>
      <w:proofErr w:type="spellStart"/>
      <w:r w:rsidRPr="00D4106D">
        <w:t>Katarchic</w:t>
      </w:r>
      <w:proofErr w:type="spellEnd"/>
      <w:r w:rsidRPr="00D4106D">
        <w:t xml:space="preserve"> astrology, which focused solely on medicine was </w:t>
      </w:r>
      <w:proofErr w:type="spellStart"/>
      <w:r w:rsidRPr="00D4106D">
        <w:t>decumbiture</w:t>
      </w:r>
      <w:proofErr w:type="spellEnd"/>
      <w:r w:rsidRPr="00D4106D">
        <w:t xml:space="preserve">. </w:t>
      </w:r>
      <w:proofErr w:type="spellStart"/>
      <w:r w:rsidRPr="00D4106D">
        <w:t>Decumbiture</w:t>
      </w:r>
      <w:proofErr w:type="spellEnd"/>
      <w:r w:rsidRPr="00D4106D">
        <w:t xml:space="preserve"> involved the casting of astrological charts from the beginning of an illness, alongside other factors such as the relevant charts from a person’s nativity. Particular attention was paid to the cycle of the moon in determining critical days</w:t>
      </w:r>
      <w:r w:rsidRPr="00D4106D">
        <w:rPr>
          <w:rStyle w:val="FootnoteReference"/>
        </w:rPr>
        <w:footnoteReference w:id="46"/>
      </w:r>
      <w:r w:rsidRPr="00D4106D">
        <w:t xml:space="preserve"> and potential beneficial or problematic planets.</w:t>
      </w:r>
      <w:r w:rsidRPr="00D4106D">
        <w:rPr>
          <w:rStyle w:val="FootnoteReference"/>
        </w:rPr>
        <w:footnoteReference w:id="47"/>
      </w:r>
      <w:r w:rsidRPr="00D4106D">
        <w:t xml:space="preserve">  Though the beginning of illness is often subjective, this was usually taken to mean the beginning of fever or the time a patient took to their bed or </w:t>
      </w:r>
      <w:proofErr w:type="spellStart"/>
      <w:r w:rsidRPr="00D4106D">
        <w:t>Kataklisis</w:t>
      </w:r>
      <w:proofErr w:type="spellEnd"/>
      <w:r w:rsidRPr="00D4106D">
        <w:t>, meaning ‘lying down’.</w:t>
      </w:r>
      <w:r w:rsidRPr="00D4106D">
        <w:rPr>
          <w:rStyle w:val="FootnoteReference"/>
        </w:rPr>
        <w:footnoteReference w:id="48"/>
      </w:r>
      <w:r w:rsidR="00EE1570">
        <w:t xml:space="preserve"> </w:t>
      </w:r>
      <w:proofErr w:type="spellStart"/>
      <w:r w:rsidRPr="00D4106D">
        <w:t>Decumbiture</w:t>
      </w:r>
      <w:proofErr w:type="spellEnd"/>
      <w:r w:rsidRPr="00D4106D">
        <w:t xml:space="preserve"> was used as a tool to aid diagnosis and treatment.</w:t>
      </w:r>
      <w:r w:rsidRPr="00D4106D">
        <w:rPr>
          <w:rStyle w:val="FootnoteReference"/>
        </w:rPr>
        <w:footnoteReference w:id="49"/>
      </w:r>
      <w:r w:rsidRPr="00D4106D">
        <w:t xml:space="preserve"> Physical tools could be used to aid this, such as the elaborate ivory boards seen in Figure </w:t>
      </w:r>
      <w:r w:rsidR="001B5944" w:rsidRPr="00D4106D">
        <w:t>one</w:t>
      </w:r>
      <w:r w:rsidRPr="00D4106D">
        <w:t xml:space="preserve">. Figure </w:t>
      </w:r>
      <w:r w:rsidR="001B5944" w:rsidRPr="00D4106D">
        <w:t>one</w:t>
      </w:r>
      <w:r w:rsidRPr="00D4106D">
        <w:t xml:space="preserve">, found in Grand, France, was used to visually present </w:t>
      </w:r>
      <w:proofErr w:type="spellStart"/>
      <w:r w:rsidRPr="00D4106D">
        <w:t>decumbitures</w:t>
      </w:r>
      <w:proofErr w:type="spellEnd"/>
      <w:r w:rsidRPr="00D4106D">
        <w:t xml:space="preserve"> to patients and for the astrologer.</w:t>
      </w:r>
      <w:r w:rsidRPr="00D4106D">
        <w:rPr>
          <w:rStyle w:val="FootnoteReference"/>
        </w:rPr>
        <w:footnoteReference w:id="50"/>
      </w:r>
      <w:r w:rsidRPr="00D4106D">
        <w:t xml:space="preserve"> This practice took place at the Sanctuary of Grand, highlighting the role of sanctuaries in divinatory medical practice.</w:t>
      </w:r>
      <w:r w:rsidRPr="00D4106D">
        <w:rPr>
          <w:rStyle w:val="FootnoteReference"/>
        </w:rPr>
        <w:footnoteReference w:id="51"/>
      </w:r>
    </w:p>
    <w:p w14:paraId="7BCAF8AF" w14:textId="77777777" w:rsidR="005E4F7A" w:rsidRDefault="005E4F7A" w:rsidP="005E4F7A">
      <w:pPr>
        <w:jc w:val="both"/>
        <w:rPr>
          <w:u w:val="single"/>
        </w:rPr>
      </w:pPr>
      <w:r w:rsidRPr="006B0459">
        <w:rPr>
          <w:noProof/>
        </w:rPr>
        <w:lastRenderedPageBreak/>
        <w:drawing>
          <wp:inline distT="0" distB="0" distL="0" distR="0" wp14:anchorId="73856F22" wp14:editId="61056CAD">
            <wp:extent cx="5429250" cy="6903825"/>
            <wp:effectExtent l="0" t="0" r="0" b="0"/>
            <wp:docPr id="511098666" name="Picture 1" descr="A close-up of a wooden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98666" name="Picture 1" descr="A close-up of a wooden board&#10;&#10;Description automatically generated"/>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5444563" cy="6923297"/>
                    </a:xfrm>
                    <a:prstGeom prst="rect">
                      <a:avLst/>
                    </a:prstGeom>
                    <a:ln>
                      <a:noFill/>
                    </a:ln>
                    <a:extLst>
                      <a:ext uri="{53640926-AAD7-44D8-BBD7-CCE9431645EC}">
                        <a14:shadowObscured xmlns:a14="http://schemas.microsoft.com/office/drawing/2010/main"/>
                      </a:ext>
                    </a:extLst>
                  </pic:spPr>
                </pic:pic>
              </a:graphicData>
            </a:graphic>
          </wp:inline>
        </w:drawing>
      </w:r>
    </w:p>
    <w:p w14:paraId="34B33C3C" w14:textId="77777777" w:rsidR="005E4F7A" w:rsidRDefault="005E4F7A" w:rsidP="005E4F7A">
      <w:pPr>
        <w:jc w:val="both"/>
        <w:rPr>
          <w:u w:val="single"/>
        </w:rPr>
      </w:pPr>
    </w:p>
    <w:p w14:paraId="0AFD54C2" w14:textId="77777777" w:rsidR="00EE1570" w:rsidRDefault="005E4F7A" w:rsidP="00EE1570">
      <w:pPr>
        <w:pStyle w:val="Heading3"/>
      </w:pPr>
      <w:r>
        <w:t>Figure One:</w:t>
      </w:r>
    </w:p>
    <w:p w14:paraId="5B1AA62F" w14:textId="3DE7AC52" w:rsidR="005E4F7A" w:rsidRDefault="005E4F7A" w:rsidP="005E4F7A">
      <w:pPr>
        <w:jc w:val="both"/>
      </w:pPr>
      <w:r>
        <w:t>Ivory Astrological Board from Grand, France</w:t>
      </w:r>
    </w:p>
    <w:p w14:paraId="2866317E" w14:textId="77777777" w:rsidR="005E4F7A" w:rsidRDefault="005E4F7A" w:rsidP="005E4F7A">
      <w:pPr>
        <w:spacing w:line="480" w:lineRule="auto"/>
      </w:pPr>
      <w:r>
        <w:t xml:space="preserve">Source: </w:t>
      </w:r>
      <w:r w:rsidRPr="000E2038">
        <w:rPr>
          <w:color w:val="3A3A3A"/>
        </w:rPr>
        <w:t xml:space="preserve">Evans, James, ‘The Astrologer's Apparatus: A Picture of Professional Practice in Greco-Roman Egypt,’ </w:t>
      </w:r>
      <w:r w:rsidRPr="000E2038">
        <w:rPr>
          <w:i/>
          <w:iCs/>
          <w:color w:val="3A3A3A"/>
        </w:rPr>
        <w:t xml:space="preserve">Journal for the History of Astronomy, </w:t>
      </w:r>
      <w:r w:rsidRPr="000E2038">
        <w:rPr>
          <w:color w:val="3A3A3A"/>
        </w:rPr>
        <w:t>35:1 (2004-2), 1-44</w:t>
      </w:r>
      <w:r>
        <w:rPr>
          <w:color w:val="3A3A3A"/>
        </w:rPr>
        <w:t xml:space="preserve"> (p.6). </w:t>
      </w:r>
      <w:r>
        <w:t xml:space="preserve"> </w:t>
      </w:r>
    </w:p>
    <w:p w14:paraId="53C7E5F6" w14:textId="77777777" w:rsidR="00CE6998" w:rsidRDefault="00CE6998" w:rsidP="007320F0">
      <w:pPr>
        <w:spacing w:line="480" w:lineRule="auto"/>
        <w:jc w:val="both"/>
      </w:pPr>
    </w:p>
    <w:p w14:paraId="7CB265E3" w14:textId="2987A4BE" w:rsidR="00714369" w:rsidRPr="00D4106D" w:rsidRDefault="00E33E39" w:rsidP="007320F0">
      <w:pPr>
        <w:spacing w:line="480" w:lineRule="auto"/>
        <w:jc w:val="both"/>
      </w:pPr>
      <w:r w:rsidRPr="00D4106D">
        <w:t>The boards show the Sun and Moon as central, surrounded by the zodiac signs, then by a circle of terms (five per zodiac sign) and then the thirty six decans.</w:t>
      </w:r>
      <w:r w:rsidRPr="00D4106D">
        <w:rPr>
          <w:rStyle w:val="FootnoteReference"/>
        </w:rPr>
        <w:footnoteReference w:id="52"/>
      </w:r>
      <w:r w:rsidRPr="00D4106D">
        <w:t xml:space="preserve"> The tablets use a mixture of a Greek and Egyptian style, using for example the Greek language but Egyptian names, exemplifying the sharing of knowledge in the astrological medical field at this time.</w:t>
      </w:r>
      <w:r w:rsidRPr="00D4106D">
        <w:rPr>
          <w:rStyle w:val="FootnoteReference"/>
        </w:rPr>
        <w:footnoteReference w:id="53"/>
      </w:r>
      <w:r w:rsidRPr="00D4106D">
        <w:t xml:space="preserve"> </w:t>
      </w:r>
      <w:r w:rsidR="00714369" w:rsidRPr="00D4106D">
        <w:t>When considering ancient Greek medicine and divinatory practices, it is important to remember the transference and sharing of ideas and practices across regions. Particularly with Babylonia and Egypt, during the Hellenistic period.</w:t>
      </w:r>
      <w:r w:rsidR="00714369" w:rsidRPr="00D4106D">
        <w:rPr>
          <w:rStyle w:val="FootnoteReference"/>
        </w:rPr>
        <w:footnoteReference w:id="54"/>
      </w:r>
      <w:r w:rsidR="00714369" w:rsidRPr="00D4106D">
        <w:t xml:space="preserve"> </w:t>
      </w:r>
      <w:r w:rsidR="009C1C92" w:rsidRPr="00D4106D">
        <w:t xml:space="preserve">Astrological divination for the purpose of healing was connected more directly with the god </w:t>
      </w:r>
      <w:proofErr w:type="spellStart"/>
      <w:r w:rsidR="009C1C92" w:rsidRPr="00D4106D">
        <w:t>Sarapis</w:t>
      </w:r>
      <w:proofErr w:type="spellEnd"/>
      <w:r w:rsidR="009C1C92" w:rsidRPr="00D4106D">
        <w:t xml:space="preserve"> and the goddess Isis. </w:t>
      </w:r>
    </w:p>
    <w:p w14:paraId="62FBB5BE" w14:textId="77777777" w:rsidR="00714369" w:rsidRPr="00D4106D" w:rsidRDefault="00714369" w:rsidP="007320F0">
      <w:pPr>
        <w:spacing w:line="480" w:lineRule="auto"/>
        <w:jc w:val="both"/>
        <w:rPr>
          <w:color w:val="333333"/>
          <w:spacing w:val="-2"/>
          <w:shd w:val="clear" w:color="auto" w:fill="FFFFFF"/>
        </w:rPr>
      </w:pPr>
      <w:r w:rsidRPr="00D4106D">
        <w:rPr>
          <w:color w:val="333333"/>
          <w:spacing w:val="-2"/>
          <w:shd w:val="clear" w:color="auto" w:fill="FFFFFF"/>
        </w:rPr>
        <w:t xml:space="preserve">“ In fact, men assert that Pluto is none other than Serapis and that Persephone is Isis” </w:t>
      </w:r>
      <w:r w:rsidRPr="00D4106D">
        <w:rPr>
          <w:rStyle w:val="FootnoteReference"/>
          <w:color w:val="333333"/>
          <w:spacing w:val="-2"/>
          <w:shd w:val="clear" w:color="auto" w:fill="FFFFFF"/>
        </w:rPr>
        <w:footnoteReference w:id="55"/>
      </w:r>
    </w:p>
    <w:p w14:paraId="04BABB74" w14:textId="22EB4620" w:rsidR="00714369" w:rsidRDefault="00714369" w:rsidP="007320F0">
      <w:pPr>
        <w:spacing w:line="480" w:lineRule="auto"/>
        <w:jc w:val="both"/>
      </w:pPr>
      <w:r w:rsidRPr="00D4106D">
        <w:rPr>
          <w:color w:val="333333"/>
          <w:spacing w:val="-2"/>
          <w:shd w:val="clear" w:color="auto" w:fill="FFFFFF"/>
        </w:rPr>
        <w:t>Figure</w:t>
      </w:r>
      <w:r w:rsidR="001B5944" w:rsidRPr="00D4106D">
        <w:rPr>
          <w:color w:val="333333"/>
          <w:spacing w:val="-2"/>
          <w:shd w:val="clear" w:color="auto" w:fill="FFFFFF"/>
        </w:rPr>
        <w:t xml:space="preserve"> Two</w:t>
      </w:r>
      <w:r w:rsidRPr="00D4106D">
        <w:rPr>
          <w:color w:val="333333"/>
          <w:spacing w:val="-2"/>
          <w:shd w:val="clear" w:color="auto" w:fill="FFFFFF"/>
        </w:rPr>
        <w:t xml:space="preserve"> demonstrates the deep connection between </w:t>
      </w:r>
      <w:proofErr w:type="spellStart"/>
      <w:r w:rsidRPr="00D4106D">
        <w:rPr>
          <w:color w:val="333333"/>
          <w:spacing w:val="-2"/>
          <w:shd w:val="clear" w:color="auto" w:fill="FFFFFF"/>
        </w:rPr>
        <w:t>Sarapis</w:t>
      </w:r>
      <w:proofErr w:type="spellEnd"/>
      <w:r w:rsidRPr="00D4106D">
        <w:rPr>
          <w:color w:val="333333"/>
          <w:spacing w:val="-2"/>
          <w:shd w:val="clear" w:color="auto" w:fill="FFFFFF"/>
        </w:rPr>
        <w:t xml:space="preserve"> as a healing deity with astrology. Figure </w:t>
      </w:r>
      <w:r w:rsidR="00B83CDB" w:rsidRPr="00D4106D">
        <w:rPr>
          <w:color w:val="333333"/>
          <w:spacing w:val="-2"/>
          <w:shd w:val="clear" w:color="auto" w:fill="FFFFFF"/>
        </w:rPr>
        <w:t>Two</w:t>
      </w:r>
      <w:r w:rsidRPr="00D4106D">
        <w:rPr>
          <w:color w:val="333333"/>
          <w:spacing w:val="-2"/>
          <w:shd w:val="clear" w:color="auto" w:fill="FFFFFF"/>
        </w:rPr>
        <w:t xml:space="preserve"> shows </w:t>
      </w:r>
      <w:proofErr w:type="spellStart"/>
      <w:r w:rsidRPr="00D4106D">
        <w:rPr>
          <w:color w:val="333333"/>
          <w:spacing w:val="-2"/>
          <w:shd w:val="clear" w:color="auto" w:fill="FFFFFF"/>
        </w:rPr>
        <w:t>Sarapis</w:t>
      </w:r>
      <w:proofErr w:type="spellEnd"/>
      <w:r w:rsidRPr="00D4106D">
        <w:rPr>
          <w:color w:val="333333"/>
          <w:spacing w:val="-2"/>
          <w:shd w:val="clear" w:color="auto" w:fill="FFFFFF"/>
        </w:rPr>
        <w:t xml:space="preserve"> carved into the centre of an oval shaped Amethyst gem, surrounded by two concentric circles. The inner circle contains seven gods, each representing one of the known planets. The outer circle containing the twelve signs of the zodiac.</w:t>
      </w:r>
      <w:r w:rsidRPr="00D4106D">
        <w:rPr>
          <w:rStyle w:val="FootnoteReference"/>
        </w:rPr>
        <w:t xml:space="preserve"> </w:t>
      </w:r>
      <w:r w:rsidRPr="00D4106D">
        <w:rPr>
          <w:rStyle w:val="FootnoteReference"/>
        </w:rPr>
        <w:footnoteReference w:id="56"/>
      </w:r>
      <w:r w:rsidRPr="00D4106D">
        <w:t xml:space="preserve"> It </w:t>
      </w:r>
      <w:r w:rsidR="003E0FC7" w:rsidRPr="00D4106D">
        <w:t xml:space="preserve">could </w:t>
      </w:r>
      <w:r w:rsidRPr="00D4106D">
        <w:t xml:space="preserve">therefore be strongly suggested that astrological practice was embedded into healing divinatory practices with </w:t>
      </w:r>
      <w:proofErr w:type="spellStart"/>
      <w:r w:rsidRPr="00D4106D">
        <w:t>Sarapis</w:t>
      </w:r>
      <w:proofErr w:type="spellEnd"/>
      <w:r w:rsidRPr="00D4106D">
        <w:t xml:space="preserve">. </w:t>
      </w:r>
    </w:p>
    <w:p w14:paraId="53504EF7" w14:textId="77777777" w:rsidR="00EE1570" w:rsidRDefault="00EE1570" w:rsidP="007320F0">
      <w:pPr>
        <w:spacing w:line="480" w:lineRule="auto"/>
        <w:jc w:val="both"/>
      </w:pPr>
    </w:p>
    <w:p w14:paraId="5ECCE115" w14:textId="77777777" w:rsidR="00EE1570" w:rsidRDefault="00EE1570" w:rsidP="00EE1570">
      <w:pPr>
        <w:jc w:val="both"/>
        <w:rPr>
          <w:u w:val="single"/>
        </w:rPr>
      </w:pPr>
    </w:p>
    <w:p w14:paraId="74E3C6BB" w14:textId="77777777" w:rsidR="00EE1570" w:rsidRDefault="00EE1570" w:rsidP="00EE1570">
      <w:pPr>
        <w:jc w:val="both"/>
        <w:rPr>
          <w:u w:val="single"/>
        </w:rPr>
      </w:pPr>
    </w:p>
    <w:p w14:paraId="614BE78C" w14:textId="77777777" w:rsidR="00EE1570" w:rsidRDefault="00EE1570" w:rsidP="00EE1570">
      <w:pPr>
        <w:jc w:val="both"/>
        <w:rPr>
          <w:u w:val="single"/>
        </w:rPr>
      </w:pPr>
      <w:r>
        <w:rPr>
          <w:noProof/>
        </w:rPr>
        <w:drawing>
          <wp:anchor distT="0" distB="0" distL="114300" distR="114300" simplePos="0" relativeHeight="251659264" behindDoc="1" locked="0" layoutInCell="1" allowOverlap="1" wp14:anchorId="362ADDA7" wp14:editId="25862A68">
            <wp:simplePos x="0" y="0"/>
            <wp:positionH relativeFrom="column">
              <wp:posOffset>-112144</wp:posOffset>
            </wp:positionH>
            <wp:positionV relativeFrom="paragraph">
              <wp:posOffset>2564</wp:posOffset>
            </wp:positionV>
            <wp:extent cx="4123427" cy="4280422"/>
            <wp:effectExtent l="0" t="0" r="0" b="6350"/>
            <wp:wrapTight wrapText="bothSides">
              <wp:wrapPolygon edited="0">
                <wp:start x="0" y="0"/>
                <wp:lineTo x="0" y="21536"/>
                <wp:lineTo x="21457" y="21536"/>
                <wp:lineTo x="21457" y="0"/>
                <wp:lineTo x="0" y="0"/>
              </wp:wrapPolygon>
            </wp:wrapTight>
            <wp:docPr id="1597411496" name="Picture 1" descr="A circular object with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11496" name="Picture 1" descr="A circular object with symbols&#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4123427" cy="428042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FECA30" w14:textId="77777777" w:rsidR="00EE1570" w:rsidRDefault="00EE1570" w:rsidP="00EE1570">
      <w:pPr>
        <w:jc w:val="both"/>
        <w:rPr>
          <w:u w:val="single"/>
        </w:rPr>
      </w:pPr>
    </w:p>
    <w:p w14:paraId="449F7598" w14:textId="77777777" w:rsidR="00EE1570" w:rsidRDefault="00EE1570" w:rsidP="00EE1570">
      <w:pPr>
        <w:jc w:val="both"/>
        <w:rPr>
          <w:u w:val="single"/>
        </w:rPr>
      </w:pPr>
    </w:p>
    <w:p w14:paraId="346F201C" w14:textId="77777777" w:rsidR="00EE1570" w:rsidRDefault="00EE1570" w:rsidP="00EE1570">
      <w:pPr>
        <w:jc w:val="both"/>
        <w:rPr>
          <w:u w:val="single"/>
        </w:rPr>
      </w:pPr>
    </w:p>
    <w:p w14:paraId="262FAE7C" w14:textId="77777777" w:rsidR="00EE1570" w:rsidRDefault="00EE1570" w:rsidP="00EE1570">
      <w:pPr>
        <w:jc w:val="both"/>
        <w:rPr>
          <w:u w:val="single"/>
        </w:rPr>
      </w:pPr>
    </w:p>
    <w:p w14:paraId="0E459C7F" w14:textId="77777777" w:rsidR="00EE1570" w:rsidRDefault="00EE1570" w:rsidP="00EE1570">
      <w:pPr>
        <w:jc w:val="both"/>
        <w:rPr>
          <w:u w:val="single"/>
        </w:rPr>
      </w:pPr>
    </w:p>
    <w:p w14:paraId="1F9178A0" w14:textId="77777777" w:rsidR="00EE1570" w:rsidRDefault="00EE1570" w:rsidP="00EE1570">
      <w:pPr>
        <w:jc w:val="both"/>
        <w:rPr>
          <w:u w:val="single"/>
        </w:rPr>
      </w:pPr>
    </w:p>
    <w:p w14:paraId="2ACD465A" w14:textId="77777777" w:rsidR="00EE1570" w:rsidRDefault="00EE1570" w:rsidP="00EE1570">
      <w:pPr>
        <w:jc w:val="both"/>
        <w:rPr>
          <w:u w:val="single"/>
        </w:rPr>
      </w:pPr>
    </w:p>
    <w:p w14:paraId="2010B553" w14:textId="77777777" w:rsidR="00EE1570" w:rsidRDefault="00EE1570" w:rsidP="00EE1570">
      <w:pPr>
        <w:jc w:val="both"/>
        <w:rPr>
          <w:u w:val="single"/>
        </w:rPr>
      </w:pPr>
    </w:p>
    <w:p w14:paraId="3C0907B2" w14:textId="77777777" w:rsidR="00EE1570" w:rsidRDefault="00EE1570" w:rsidP="00EE1570">
      <w:pPr>
        <w:jc w:val="both"/>
        <w:rPr>
          <w:u w:val="single"/>
        </w:rPr>
      </w:pPr>
    </w:p>
    <w:p w14:paraId="417909A3" w14:textId="77777777" w:rsidR="00EE1570" w:rsidRDefault="00EE1570" w:rsidP="00EE1570">
      <w:pPr>
        <w:jc w:val="both"/>
        <w:rPr>
          <w:u w:val="single"/>
        </w:rPr>
      </w:pPr>
    </w:p>
    <w:p w14:paraId="5B73811D" w14:textId="77777777" w:rsidR="00EE1570" w:rsidRDefault="00EE1570" w:rsidP="00EE1570">
      <w:pPr>
        <w:jc w:val="both"/>
        <w:rPr>
          <w:u w:val="single"/>
        </w:rPr>
      </w:pPr>
    </w:p>
    <w:p w14:paraId="792D19A3" w14:textId="77777777" w:rsidR="00EE1570" w:rsidRDefault="00EE1570" w:rsidP="00EE1570">
      <w:pPr>
        <w:jc w:val="both"/>
        <w:rPr>
          <w:u w:val="single"/>
        </w:rPr>
      </w:pPr>
    </w:p>
    <w:p w14:paraId="523D75D4" w14:textId="77777777" w:rsidR="00EE1570" w:rsidRDefault="00EE1570" w:rsidP="00EE1570">
      <w:pPr>
        <w:jc w:val="both"/>
        <w:rPr>
          <w:u w:val="single"/>
        </w:rPr>
      </w:pPr>
    </w:p>
    <w:p w14:paraId="1ADE2A59" w14:textId="77777777" w:rsidR="00EE1570" w:rsidRDefault="00EE1570" w:rsidP="00EE1570">
      <w:pPr>
        <w:jc w:val="both"/>
        <w:rPr>
          <w:u w:val="single"/>
        </w:rPr>
      </w:pPr>
    </w:p>
    <w:p w14:paraId="580B5420" w14:textId="77777777" w:rsidR="00EE1570" w:rsidRDefault="00EE1570" w:rsidP="00EE1570">
      <w:pPr>
        <w:pStyle w:val="Heading3"/>
      </w:pPr>
      <w:r>
        <w:t xml:space="preserve">Figure Two: </w:t>
      </w:r>
    </w:p>
    <w:p w14:paraId="45A72784" w14:textId="77777777" w:rsidR="00EE1570" w:rsidRDefault="00EE1570" w:rsidP="00EE1570">
      <w:pPr>
        <w:jc w:val="both"/>
        <w:rPr>
          <w:rFonts w:ascii="Helvetica" w:hAnsi="Helvetica"/>
          <w:color w:val="000000"/>
          <w:shd w:val="clear" w:color="auto" w:fill="FFFFFF"/>
        </w:rPr>
      </w:pPr>
      <w:r>
        <w:rPr>
          <w:rFonts w:ascii="Helvetica" w:hAnsi="Helvetica"/>
          <w:color w:val="000000"/>
          <w:shd w:val="clear" w:color="auto" w:fill="FFFFFF"/>
        </w:rPr>
        <w:t xml:space="preserve">Amethyst Gem engraved with an image of </w:t>
      </w:r>
      <w:proofErr w:type="spellStart"/>
      <w:r>
        <w:rPr>
          <w:rFonts w:ascii="Helvetica" w:hAnsi="Helvetica"/>
          <w:color w:val="000000"/>
          <w:shd w:val="clear" w:color="auto" w:fill="FFFFFF"/>
        </w:rPr>
        <w:t>Sarapis</w:t>
      </w:r>
      <w:proofErr w:type="spellEnd"/>
      <w:r>
        <w:rPr>
          <w:rFonts w:ascii="Helvetica" w:hAnsi="Helvetica"/>
          <w:color w:val="000000"/>
          <w:shd w:val="clear" w:color="auto" w:fill="FFFFFF"/>
        </w:rPr>
        <w:t xml:space="preserve"> in the centre, </w:t>
      </w:r>
    </w:p>
    <w:p w14:paraId="38A3CF44" w14:textId="77777777" w:rsidR="00EE1570" w:rsidRDefault="00EE1570" w:rsidP="00EE1570">
      <w:pPr>
        <w:jc w:val="both"/>
        <w:rPr>
          <w:rFonts w:ascii="Helvetica" w:hAnsi="Helvetica"/>
          <w:color w:val="000000"/>
          <w:shd w:val="clear" w:color="auto" w:fill="FFFFFF"/>
        </w:rPr>
      </w:pPr>
      <w:r>
        <w:rPr>
          <w:rFonts w:ascii="Helvetica" w:hAnsi="Helvetica"/>
          <w:color w:val="000000"/>
          <w:shd w:val="clear" w:color="auto" w:fill="FFFFFF"/>
        </w:rPr>
        <w:t>Source: The British Museum, Museum Number 1907,0717.1</w:t>
      </w:r>
    </w:p>
    <w:p w14:paraId="7F533526" w14:textId="77777777" w:rsidR="00EE1570" w:rsidRDefault="00EE1570" w:rsidP="00EE1570">
      <w:pPr>
        <w:jc w:val="both"/>
        <w:rPr>
          <w:rFonts w:ascii="Helvetica" w:hAnsi="Helvetica"/>
          <w:color w:val="000000"/>
          <w:shd w:val="clear" w:color="auto" w:fill="FFFFFF"/>
        </w:rPr>
      </w:pPr>
      <w:r>
        <w:rPr>
          <w:rFonts w:ascii="Helvetica" w:hAnsi="Helvetica"/>
          <w:color w:val="000000"/>
          <w:shd w:val="clear" w:color="auto" w:fill="FFFFFF"/>
        </w:rPr>
        <w:t xml:space="preserve">Accessed: </w:t>
      </w:r>
      <w:hyperlink r:id="rId12" w:history="1">
        <w:r w:rsidRPr="003A6B92">
          <w:rPr>
            <w:rStyle w:val="Hyperlink"/>
            <w:rFonts w:ascii="Helvetica" w:hAnsi="Helvetica"/>
            <w:shd w:val="clear" w:color="auto" w:fill="FFFFFF"/>
          </w:rPr>
          <w:t>https://www.britishmuseum.org/collection/object/G_1907-0717-1</w:t>
        </w:r>
      </w:hyperlink>
    </w:p>
    <w:p w14:paraId="49831045" w14:textId="77777777" w:rsidR="00EE1570" w:rsidRPr="00D4106D" w:rsidRDefault="00EE1570" w:rsidP="007320F0">
      <w:pPr>
        <w:spacing w:line="480" w:lineRule="auto"/>
        <w:jc w:val="both"/>
        <w:rPr>
          <w:color w:val="333333"/>
          <w:spacing w:val="-2"/>
          <w:shd w:val="clear" w:color="auto" w:fill="FFFFFF"/>
        </w:rPr>
      </w:pPr>
    </w:p>
    <w:p w14:paraId="67ECF739" w14:textId="77777777" w:rsidR="00523EEA" w:rsidRPr="00D4106D" w:rsidRDefault="00523EEA" w:rsidP="007320F0">
      <w:pPr>
        <w:pStyle w:val="Heading2"/>
        <w:spacing w:line="480" w:lineRule="auto"/>
        <w:rPr>
          <w:rFonts w:asciiTheme="minorHAnsi" w:hAnsiTheme="minorHAnsi"/>
          <w:sz w:val="24"/>
          <w:szCs w:val="24"/>
        </w:rPr>
      </w:pPr>
    </w:p>
    <w:p w14:paraId="250E6C71" w14:textId="531501A5" w:rsidR="00C67072" w:rsidRPr="005E4F7A" w:rsidRDefault="00C67072" w:rsidP="007320F0">
      <w:pPr>
        <w:pStyle w:val="Heading2"/>
        <w:spacing w:line="480" w:lineRule="auto"/>
        <w:rPr>
          <w:rFonts w:asciiTheme="minorHAnsi" w:hAnsiTheme="minorHAnsi"/>
          <w:sz w:val="28"/>
          <w:szCs w:val="28"/>
          <w:u w:val="single"/>
        </w:rPr>
      </w:pPr>
      <w:r w:rsidRPr="005E4F7A">
        <w:rPr>
          <w:rFonts w:asciiTheme="minorHAnsi" w:hAnsiTheme="minorHAnsi"/>
          <w:sz w:val="28"/>
          <w:szCs w:val="28"/>
          <w:u w:val="single"/>
        </w:rPr>
        <w:t xml:space="preserve">The </w:t>
      </w:r>
      <w:r w:rsidR="001B5944" w:rsidRPr="005E4F7A">
        <w:rPr>
          <w:rFonts w:asciiTheme="minorHAnsi" w:hAnsiTheme="minorHAnsi"/>
          <w:sz w:val="28"/>
          <w:szCs w:val="28"/>
          <w:u w:val="single"/>
        </w:rPr>
        <w:t>S</w:t>
      </w:r>
      <w:r w:rsidRPr="005E4F7A">
        <w:rPr>
          <w:rFonts w:asciiTheme="minorHAnsi" w:hAnsiTheme="minorHAnsi"/>
          <w:sz w:val="28"/>
          <w:szCs w:val="28"/>
          <w:u w:val="single"/>
        </w:rPr>
        <w:t xml:space="preserve">acred </w:t>
      </w:r>
      <w:r w:rsidR="001B5944" w:rsidRPr="005E4F7A">
        <w:rPr>
          <w:rFonts w:asciiTheme="minorHAnsi" w:hAnsiTheme="minorHAnsi"/>
          <w:sz w:val="28"/>
          <w:szCs w:val="28"/>
          <w:u w:val="single"/>
        </w:rPr>
        <w:t>D</w:t>
      </w:r>
      <w:r w:rsidRPr="005E4F7A">
        <w:rPr>
          <w:rFonts w:asciiTheme="minorHAnsi" w:hAnsiTheme="minorHAnsi"/>
          <w:sz w:val="28"/>
          <w:szCs w:val="28"/>
          <w:u w:val="single"/>
        </w:rPr>
        <w:t>isease</w:t>
      </w:r>
    </w:p>
    <w:p w14:paraId="3562EC50" w14:textId="4858B071" w:rsidR="00C67072" w:rsidRPr="00D4106D" w:rsidRDefault="00C67072" w:rsidP="007320F0">
      <w:pPr>
        <w:spacing w:line="480" w:lineRule="auto"/>
        <w:jc w:val="both"/>
      </w:pPr>
      <w:r w:rsidRPr="00D4106D">
        <w:t xml:space="preserve">To </w:t>
      </w:r>
      <w:r w:rsidR="001B5944" w:rsidRPr="00D4106D">
        <w:t xml:space="preserve">further </w:t>
      </w:r>
      <w:r w:rsidRPr="00D4106D">
        <w:t xml:space="preserve">understand the approaches to medicine it is </w:t>
      </w:r>
      <w:r w:rsidR="001B5944" w:rsidRPr="00D4106D">
        <w:t>beneficial</w:t>
      </w:r>
      <w:r w:rsidRPr="00D4106D">
        <w:t xml:space="preserve"> to understand the theories of why people became afflicted with illness</w:t>
      </w:r>
      <w:r w:rsidR="00936076" w:rsidRPr="00D4106D">
        <w:t>. It provides key insights into both</w:t>
      </w:r>
      <w:r w:rsidRPr="00D4106D">
        <w:t xml:space="preserve"> the </w:t>
      </w:r>
      <w:r w:rsidRPr="00D4106D">
        <w:lastRenderedPageBreak/>
        <w:t>approach</w:t>
      </w:r>
      <w:r w:rsidR="00936076" w:rsidRPr="00D4106D">
        <w:t>es</w:t>
      </w:r>
      <w:r w:rsidRPr="00D4106D">
        <w:t xml:space="preserve"> to treatment</w:t>
      </w:r>
      <w:r w:rsidR="00936076" w:rsidRPr="00D4106D">
        <w:t xml:space="preserve"> and the nature of the human relationship with the gods</w:t>
      </w:r>
      <w:r w:rsidRPr="00D4106D">
        <w:t xml:space="preserve">. Epilepsy was known widely as the ‘Sacred Disease’ as it was believed to be inflicted by gods in order to communicate their dissatisfaction. </w:t>
      </w:r>
      <w:r w:rsidRPr="00D4106D">
        <w:rPr>
          <w:i/>
          <w:iCs/>
        </w:rPr>
        <w:t xml:space="preserve">Sacred Disease, </w:t>
      </w:r>
      <w:r w:rsidRPr="00D4106D">
        <w:t>written by the Hippocratic School,</w:t>
      </w:r>
      <w:r w:rsidRPr="00D4106D">
        <w:rPr>
          <w:i/>
          <w:iCs/>
        </w:rPr>
        <w:t xml:space="preserve"> </w:t>
      </w:r>
      <w:r w:rsidRPr="00D4106D">
        <w:t xml:space="preserve">however is highly critical of this, stating: </w:t>
      </w:r>
    </w:p>
    <w:p w14:paraId="2F109AEC" w14:textId="77777777" w:rsidR="00C67072" w:rsidRPr="00D4106D" w:rsidRDefault="00C67072" w:rsidP="007320F0">
      <w:pPr>
        <w:spacing w:line="480" w:lineRule="auto"/>
        <w:jc w:val="both"/>
        <w:rPr>
          <w:color w:val="333333"/>
          <w:spacing w:val="-2"/>
          <w:shd w:val="clear" w:color="auto" w:fill="FFFFFF"/>
        </w:rPr>
      </w:pPr>
      <w:r w:rsidRPr="00D4106D">
        <w:t>“</w:t>
      </w:r>
      <w:r w:rsidRPr="00D4106D">
        <w:rPr>
          <w:color w:val="333333"/>
          <w:spacing w:val="-2"/>
          <w:shd w:val="clear" w:color="auto" w:fill="FFFFFF"/>
        </w:rPr>
        <w:t>But they should by rights have carried the cleanings to sanctuaries and offered them to the god, if that god is truly the cause. I personally am convinced that a person’s body could never be defiled by a god, the most corruptible thing by the most divine, and even if it happens to have been defiled by something else or injured in some way, a god would cleanse it and sanctify it rather than defiling it.”</w:t>
      </w:r>
      <w:r w:rsidRPr="00D4106D">
        <w:rPr>
          <w:rStyle w:val="FootnoteReference"/>
          <w:color w:val="333333"/>
          <w:spacing w:val="-2"/>
          <w:shd w:val="clear" w:color="auto" w:fill="FFFFFF"/>
        </w:rPr>
        <w:footnoteReference w:id="57"/>
      </w:r>
    </w:p>
    <w:p w14:paraId="2B140BC1" w14:textId="796223C5" w:rsidR="00C67072" w:rsidRPr="00D4106D" w:rsidRDefault="00C67072" w:rsidP="007320F0">
      <w:pPr>
        <w:spacing w:line="480" w:lineRule="auto"/>
        <w:jc w:val="both"/>
      </w:pPr>
      <w:r w:rsidRPr="00D4106D">
        <w:t>They criticise seers, diviners and interpreters of dreams,</w:t>
      </w:r>
      <w:r w:rsidRPr="00D4106D">
        <w:rPr>
          <w:rStyle w:val="FootnoteReference"/>
        </w:rPr>
        <w:footnoteReference w:id="58"/>
      </w:r>
      <w:r w:rsidRPr="00D4106D">
        <w:t xml:space="preserve"> accusing them of actively blaming the gods.</w:t>
      </w:r>
      <w:r w:rsidR="007C2605" w:rsidRPr="00D4106D">
        <w:t xml:space="preserve"> The gods in contrast </w:t>
      </w:r>
      <w:r w:rsidR="00A80ECC" w:rsidRPr="00D4106D">
        <w:t>are show</w:t>
      </w:r>
      <w:r w:rsidR="00682468" w:rsidRPr="00D4106D">
        <w:t>n</w:t>
      </w:r>
      <w:r w:rsidR="007E3AE0" w:rsidRPr="00D4106D">
        <w:t xml:space="preserve"> as</w:t>
      </w:r>
      <w:r w:rsidR="00915E7A" w:rsidRPr="00D4106D">
        <w:t xml:space="preserve"> divine in intention as well as action, with </w:t>
      </w:r>
      <w:r w:rsidR="00D73EE5" w:rsidRPr="00D4106D">
        <w:t>this form of direct causation of illness from the gods, in</w:t>
      </w:r>
      <w:r w:rsidR="00815600" w:rsidRPr="00D4106D">
        <w:t>compatible with their nature.</w:t>
      </w:r>
      <w:r w:rsidR="007C2605" w:rsidRPr="00D4106D">
        <w:t xml:space="preserve"> </w:t>
      </w:r>
      <w:r w:rsidRPr="00D4106D">
        <w:t xml:space="preserve"> Th</w:t>
      </w:r>
      <w:r w:rsidR="00C6387D" w:rsidRPr="00D4106D">
        <w:t xml:space="preserve">is then allows the </w:t>
      </w:r>
      <w:r w:rsidRPr="00D4106D">
        <w:t>support</w:t>
      </w:r>
      <w:r w:rsidR="00C6387D" w:rsidRPr="00D4106D">
        <w:t xml:space="preserve"> of divination and engagement with the gods </w:t>
      </w:r>
      <w:r w:rsidR="00E8481B" w:rsidRPr="00D4106D">
        <w:t xml:space="preserve">in temple </w:t>
      </w:r>
      <w:r w:rsidRPr="00D4106D">
        <w:t>sanctuaries</w:t>
      </w:r>
      <w:r w:rsidR="00E8481B" w:rsidRPr="00D4106D">
        <w:t>, t</w:t>
      </w:r>
      <w:r w:rsidRPr="00D4106D">
        <w:t xml:space="preserve">he power of the gods in the role of healing and the divinatory practices which take place there. They also do not dispute diseases as divine in nature, asserting: </w:t>
      </w:r>
    </w:p>
    <w:p w14:paraId="3B13B18C" w14:textId="77777777" w:rsidR="00C67072" w:rsidRPr="00D4106D" w:rsidRDefault="00C67072" w:rsidP="007320F0">
      <w:pPr>
        <w:spacing w:line="480" w:lineRule="auto"/>
        <w:jc w:val="both"/>
        <w:rPr>
          <w:color w:val="333333"/>
          <w:spacing w:val="-2"/>
          <w:u w:val="single"/>
          <w:shd w:val="clear" w:color="auto" w:fill="FFFFFF"/>
        </w:rPr>
      </w:pPr>
      <w:r w:rsidRPr="00D4106D">
        <w:rPr>
          <w:color w:val="333333"/>
          <w:spacing w:val="-2"/>
          <w:shd w:val="clear" w:color="auto" w:fill="FFFFFF"/>
        </w:rPr>
        <w:t>“ I too think that such diseases are divine, but all the other diseases are divine as well, none being more divine or more human than any other; all are alike in this regard, and all are divine. Each of these conditions has a nature of its own, and none arises without a natural cause.“</w:t>
      </w:r>
      <w:r w:rsidRPr="00D4106D">
        <w:rPr>
          <w:rStyle w:val="FootnoteReference"/>
          <w:color w:val="333333"/>
          <w:spacing w:val="-2"/>
          <w:shd w:val="clear" w:color="auto" w:fill="FFFFFF"/>
        </w:rPr>
        <w:footnoteReference w:id="59"/>
      </w:r>
    </w:p>
    <w:p w14:paraId="7D8F17CE" w14:textId="450336A0" w:rsidR="00C67072" w:rsidRPr="00D4106D" w:rsidRDefault="00C67072" w:rsidP="007320F0">
      <w:pPr>
        <w:spacing w:line="480" w:lineRule="auto"/>
        <w:jc w:val="both"/>
      </w:pPr>
      <w:r w:rsidRPr="00D4106D">
        <w:lastRenderedPageBreak/>
        <w:t>The Hippocratic school of thought, supported the concept of divine causes of illness however only in that all diseases are natural and everything in nature is divine. It was due to this “divine nature of the universe…” which ultimately connected the practice of ancient medicine back to the pantheistic worldview of Ancient Greece.</w:t>
      </w:r>
      <w:r w:rsidRPr="00D4106D">
        <w:rPr>
          <w:rStyle w:val="FootnoteReference"/>
        </w:rPr>
        <w:footnoteReference w:id="60"/>
      </w:r>
      <w:r w:rsidRPr="00D4106D">
        <w:t xml:space="preserve"> This directly impacts the approaches which may be considered suitable for diagnosis and treatment.   </w:t>
      </w:r>
    </w:p>
    <w:p w14:paraId="759132C4" w14:textId="77777777" w:rsidR="00C67072" w:rsidRPr="00D4106D" w:rsidRDefault="00C67072" w:rsidP="007320F0">
      <w:pPr>
        <w:spacing w:line="480" w:lineRule="auto"/>
        <w:jc w:val="both"/>
        <w:rPr>
          <w:color w:val="333333"/>
          <w:spacing w:val="-2"/>
          <w:shd w:val="clear" w:color="auto" w:fill="FFFFFF"/>
        </w:rPr>
      </w:pPr>
      <w:r w:rsidRPr="00D4106D">
        <w:t>“</w:t>
      </w:r>
      <w:r w:rsidRPr="00D4106D">
        <w:rPr>
          <w:color w:val="333333"/>
          <w:spacing w:val="-2"/>
          <w:shd w:val="clear" w:color="auto" w:fill="FFFFFF"/>
        </w:rPr>
        <w:t xml:space="preserve">This disease called sacred arises from the same causes as all the rest: from what comes to the body and what leaves it, and from cold, the sun, and from winds constantly changing and never being at rest. These things are divine, so that there is no need to set this disease apart and consider it more divine than any others, but to accept that they are all divine, and all human: each has a nature and a potency of its own, and none is hopeless or beyond management:” </w:t>
      </w:r>
      <w:r w:rsidRPr="00D4106D">
        <w:rPr>
          <w:rStyle w:val="FootnoteReference"/>
          <w:color w:val="333333"/>
          <w:spacing w:val="-2"/>
          <w:shd w:val="clear" w:color="auto" w:fill="FFFFFF"/>
        </w:rPr>
        <w:footnoteReference w:id="61"/>
      </w:r>
    </w:p>
    <w:p w14:paraId="5E558FFF" w14:textId="77777777" w:rsidR="00C67072" w:rsidRPr="00D4106D" w:rsidRDefault="00C67072" w:rsidP="007320F0">
      <w:pPr>
        <w:spacing w:line="480" w:lineRule="auto"/>
        <w:jc w:val="both"/>
      </w:pPr>
      <w:r w:rsidRPr="00D4106D">
        <w:t xml:space="preserve">In acknowledging the natural causes of illness in relation to meteorology and the seasons, it theoretically may support astrological approaches to medicine also.  </w:t>
      </w:r>
    </w:p>
    <w:p w14:paraId="218922F2" w14:textId="77777777" w:rsidR="00C67072" w:rsidRPr="00D4106D" w:rsidRDefault="00C67072" w:rsidP="007320F0">
      <w:pPr>
        <w:spacing w:line="480" w:lineRule="auto"/>
        <w:jc w:val="both"/>
        <w:rPr>
          <w:u w:val="single"/>
        </w:rPr>
      </w:pPr>
    </w:p>
    <w:p w14:paraId="37AF2026" w14:textId="77777777" w:rsidR="00C230FA" w:rsidRPr="005E4F7A" w:rsidRDefault="00C230FA" w:rsidP="007320F0">
      <w:pPr>
        <w:pStyle w:val="Heading2"/>
        <w:spacing w:line="480" w:lineRule="auto"/>
        <w:rPr>
          <w:rFonts w:asciiTheme="minorHAnsi" w:hAnsiTheme="minorHAnsi"/>
          <w:sz w:val="28"/>
          <w:szCs w:val="28"/>
          <w:u w:val="single"/>
        </w:rPr>
      </w:pPr>
      <w:r w:rsidRPr="005E4F7A">
        <w:rPr>
          <w:rFonts w:asciiTheme="minorHAnsi" w:hAnsiTheme="minorHAnsi"/>
          <w:sz w:val="28"/>
          <w:szCs w:val="28"/>
          <w:u w:val="single"/>
        </w:rPr>
        <w:t>The Role of Sanctuaries</w:t>
      </w:r>
    </w:p>
    <w:p w14:paraId="54712FFD" w14:textId="749DBDB9" w:rsidR="00C230FA" w:rsidRPr="00D4106D" w:rsidRDefault="00C230FA" w:rsidP="007320F0">
      <w:pPr>
        <w:spacing w:line="480" w:lineRule="auto"/>
        <w:jc w:val="both"/>
      </w:pPr>
      <w:r w:rsidRPr="00D4106D">
        <w:t xml:space="preserve">The approach to religion in </w:t>
      </w:r>
      <w:r w:rsidR="00E8481B" w:rsidRPr="00D4106D">
        <w:t>A</w:t>
      </w:r>
      <w:r w:rsidRPr="00D4106D">
        <w:t xml:space="preserve">ncient Greece was </w:t>
      </w:r>
      <w:proofErr w:type="spellStart"/>
      <w:r w:rsidRPr="00D4106D">
        <w:t>orthopraxic</w:t>
      </w:r>
      <w:proofErr w:type="spellEnd"/>
      <w:r w:rsidRPr="00D4106D">
        <w:t xml:space="preserve"> in style, focusing on the correct actions in contrast to correct belief.</w:t>
      </w:r>
      <w:r w:rsidRPr="00D4106D">
        <w:rPr>
          <w:rStyle w:val="FootnoteReference"/>
        </w:rPr>
        <w:footnoteReference w:id="62"/>
      </w:r>
      <w:r w:rsidRPr="00D4106D">
        <w:t xml:space="preserve"> This was particularly reflected in the temple sanctuaries, which centred on correct ritual preparations, timings and actions to achieve healing. Divination played a crucial role in this, acting as a tool of diagnosis, finding the </w:t>
      </w:r>
      <w:r w:rsidRPr="00D4106D">
        <w:lastRenderedPageBreak/>
        <w:t>correct times and revealing the correct actions.  Addey asserts that “Consulting an oracle or a seer was a pro-active and reflective process, involving communication between god, seer and consultant or enquirer, and thus has been conceptualised as a dialogical and dynamic interaction.”</w:t>
      </w:r>
      <w:r w:rsidRPr="00D4106D">
        <w:rPr>
          <w:rStyle w:val="FootnoteReference"/>
        </w:rPr>
        <w:footnoteReference w:id="63"/>
      </w:r>
      <w:r w:rsidRPr="00D4106D">
        <w:t xml:space="preserve"> This dialogue allowed the sick to gain advice and guidance from a god, such as at healing shrines and temples.</w:t>
      </w:r>
      <w:r w:rsidRPr="00D4106D">
        <w:rPr>
          <w:rStyle w:val="FootnoteReference"/>
        </w:rPr>
        <w:footnoteReference w:id="64"/>
      </w:r>
      <w:r w:rsidRPr="00D4106D">
        <w:t xml:space="preserve"> Divination at temples was widespread, the Oracle at Delphi functioned as a sanctuary for a thousand years.</w:t>
      </w:r>
      <w:r w:rsidRPr="00D4106D">
        <w:rPr>
          <w:rStyle w:val="FootnoteReference"/>
        </w:rPr>
        <w:footnoteReference w:id="65"/>
      </w:r>
      <w:r w:rsidRPr="00D4106D">
        <w:t xml:space="preserve">  </w:t>
      </w:r>
    </w:p>
    <w:p w14:paraId="154AE31E" w14:textId="77777777" w:rsidR="00C230FA" w:rsidRDefault="00C230FA" w:rsidP="007320F0">
      <w:pPr>
        <w:spacing w:line="480" w:lineRule="auto"/>
        <w:jc w:val="both"/>
      </w:pPr>
      <w:r w:rsidRPr="00D4106D">
        <w:t xml:space="preserve">Healing divinatory methods included oneiromancy (dream interpretation), catoptromancy (mirror divination) and astrology such as  the use of casting charts for </w:t>
      </w:r>
      <w:proofErr w:type="spellStart"/>
      <w:r w:rsidRPr="00D4106D">
        <w:t>kairos</w:t>
      </w:r>
      <w:proofErr w:type="spellEnd"/>
      <w:r w:rsidRPr="00D4106D">
        <w:t xml:space="preserve"> or </w:t>
      </w:r>
      <w:proofErr w:type="spellStart"/>
      <w:r w:rsidRPr="00D4106D">
        <w:t>decumbiture</w:t>
      </w:r>
      <w:proofErr w:type="spellEnd"/>
      <w:r w:rsidRPr="00D4106D">
        <w:t>. These would on occasion act together or influence one another, for example “Dreams with astronomical content…”</w:t>
      </w:r>
      <w:r w:rsidRPr="00D4106D">
        <w:rPr>
          <w:rStyle w:val="FootnoteReference"/>
        </w:rPr>
        <w:footnoteReference w:id="66"/>
      </w:r>
      <w:r w:rsidRPr="00D4106D">
        <w:t xml:space="preserve"> demonstrate the need for dream interpreters to have an awareness of astrology to aid their diagnosis and treatment. </w:t>
      </w:r>
    </w:p>
    <w:p w14:paraId="024A8AF6" w14:textId="77777777" w:rsidR="0059126E" w:rsidRPr="00D4106D" w:rsidRDefault="0059126E" w:rsidP="007320F0">
      <w:pPr>
        <w:spacing w:line="480" w:lineRule="auto"/>
        <w:jc w:val="both"/>
      </w:pPr>
    </w:p>
    <w:p w14:paraId="6CDAA1DA" w14:textId="77777777" w:rsidR="00DD785C" w:rsidRPr="005E4F7A" w:rsidRDefault="00DD785C" w:rsidP="007320F0">
      <w:pPr>
        <w:pStyle w:val="Heading2"/>
        <w:spacing w:line="480" w:lineRule="auto"/>
        <w:rPr>
          <w:rFonts w:asciiTheme="minorHAnsi" w:hAnsiTheme="minorHAnsi"/>
          <w:sz w:val="28"/>
          <w:szCs w:val="28"/>
          <w:u w:val="single"/>
        </w:rPr>
      </w:pPr>
      <w:r w:rsidRPr="005E4F7A">
        <w:rPr>
          <w:rFonts w:asciiTheme="minorHAnsi" w:hAnsiTheme="minorHAnsi"/>
          <w:sz w:val="28"/>
          <w:szCs w:val="28"/>
          <w:u w:val="single"/>
        </w:rPr>
        <w:t>Dreams</w:t>
      </w:r>
    </w:p>
    <w:p w14:paraId="410249BB" w14:textId="504A68CD" w:rsidR="00DD785C" w:rsidRPr="00D4106D" w:rsidRDefault="00DD785C" w:rsidP="007320F0">
      <w:pPr>
        <w:spacing w:line="480" w:lineRule="auto"/>
        <w:jc w:val="both"/>
      </w:pPr>
      <w:r w:rsidRPr="00D4106D">
        <w:t>Though divination took many forms in the ancient world, dreams were set apart as they were available to all.</w:t>
      </w:r>
      <w:r w:rsidRPr="00D4106D">
        <w:rPr>
          <w:rStyle w:val="FootnoteReference"/>
        </w:rPr>
        <w:footnoteReference w:id="67"/>
      </w:r>
      <w:r w:rsidRPr="00D4106D">
        <w:t xml:space="preserve"> The validity of dreams as a communication form with the gods was widespread</w:t>
      </w:r>
      <w:r w:rsidRPr="00D4106D">
        <w:rPr>
          <w:rStyle w:val="FootnoteReference"/>
        </w:rPr>
        <w:footnoteReference w:id="68"/>
      </w:r>
      <w:r w:rsidRPr="00D4106D">
        <w:t xml:space="preserve"> and the purpose of oneiromancy in the practice of medicine was well </w:t>
      </w:r>
      <w:r w:rsidRPr="00D4106D">
        <w:lastRenderedPageBreak/>
        <w:t xml:space="preserve">accepted and understood. In Pausanias’ </w:t>
      </w:r>
      <w:r w:rsidRPr="00D4106D">
        <w:rPr>
          <w:i/>
          <w:iCs/>
        </w:rPr>
        <w:t>Description of Greece</w:t>
      </w:r>
      <w:r w:rsidRPr="00D4106D">
        <w:t>, he suggests that there is such confidence in the sanctuaries that “</w:t>
      </w:r>
      <w:r w:rsidRPr="00D4106D">
        <w:rPr>
          <w:color w:val="333333"/>
          <w:spacing w:val="-2"/>
          <w:shd w:val="clear" w:color="auto" w:fill="FFFFFF"/>
        </w:rPr>
        <w:t>…the inquirer descends in good hope…”</w:t>
      </w:r>
      <w:r w:rsidRPr="00D4106D">
        <w:rPr>
          <w:rStyle w:val="FootnoteReference"/>
          <w:color w:val="333333"/>
          <w:spacing w:val="-2"/>
          <w:shd w:val="clear" w:color="auto" w:fill="FFFFFF"/>
        </w:rPr>
        <w:footnoteReference w:id="69"/>
      </w:r>
      <w:r w:rsidR="00380666" w:rsidRPr="00D4106D">
        <w:t xml:space="preserve"> </w:t>
      </w:r>
      <w:r w:rsidRPr="00D4106D">
        <w:t>Dreams received whilst undergoing the act of dream incubation were considered “…wholly reliable…” as the gods would not send  deceptive or incorrect information to cultists who have practiced the rituals of purification and sleep within the sanctuary.</w:t>
      </w:r>
      <w:r w:rsidRPr="00D4106D">
        <w:rPr>
          <w:rStyle w:val="FootnoteReference"/>
        </w:rPr>
        <w:footnoteReference w:id="70"/>
      </w:r>
    </w:p>
    <w:p w14:paraId="3C0FEEA1" w14:textId="16992236" w:rsidR="00DD785C" w:rsidRPr="00D4106D" w:rsidRDefault="00DD785C" w:rsidP="007320F0">
      <w:pPr>
        <w:spacing w:line="480" w:lineRule="auto"/>
        <w:jc w:val="both"/>
      </w:pPr>
      <w:r w:rsidRPr="00D4106D">
        <w:t>Dream incubation involved the performing of rituals, sacrifices, prayers and purification before sleeping in the sanctuary.</w:t>
      </w:r>
      <w:r w:rsidRPr="00D4106D">
        <w:rPr>
          <w:rStyle w:val="FootnoteReference"/>
        </w:rPr>
        <w:footnoteReference w:id="71"/>
      </w:r>
      <w:r w:rsidRPr="00D4106D">
        <w:t xml:space="preserve"> Therapeutic dream incubation was connected to Asclepius, </w:t>
      </w:r>
      <w:proofErr w:type="spellStart"/>
      <w:r w:rsidRPr="00D4106D">
        <w:t>Sarapis</w:t>
      </w:r>
      <w:proofErr w:type="spellEnd"/>
      <w:r w:rsidRPr="00D4106D">
        <w:t xml:space="preserve"> and Isis.</w:t>
      </w:r>
      <w:r w:rsidRPr="00D4106D">
        <w:rPr>
          <w:rStyle w:val="FootnoteReference"/>
        </w:rPr>
        <w:footnoteReference w:id="72"/>
      </w:r>
      <w:r w:rsidRPr="00D4106D">
        <w:t xml:space="preserve"> Addey suggests that this form of divination “…was utilised to advise, instruct, stimulate and assist with the making of important decisions…including deciding between possible alternative forms of action.”</w:t>
      </w:r>
      <w:r w:rsidRPr="00D4106D">
        <w:rPr>
          <w:rStyle w:val="FootnoteReference"/>
        </w:rPr>
        <w:footnoteReference w:id="73"/>
      </w:r>
      <w:r w:rsidRPr="00D4106D">
        <w:t xml:space="preserve"> The role of divination therefore was to act as a diagnostic and curative instrument.</w:t>
      </w:r>
      <w:r w:rsidRPr="00D4106D">
        <w:rPr>
          <w:rStyle w:val="FootnoteReference"/>
        </w:rPr>
        <w:footnoteReference w:id="74"/>
      </w:r>
      <w:r w:rsidRPr="00D4106D">
        <w:t xml:space="preserve"> </w:t>
      </w:r>
    </w:p>
    <w:p w14:paraId="6A04D776" w14:textId="7CF7D8F8" w:rsidR="00C230FA" w:rsidRDefault="00DD785C" w:rsidP="007320F0">
      <w:pPr>
        <w:spacing w:line="480" w:lineRule="auto"/>
        <w:jc w:val="both"/>
      </w:pPr>
      <w:r w:rsidRPr="00D4106D">
        <w:t>Experiences within the dreams varied greatly, some patients seeing the god themselves and being treated by them as a doctor, others experienced statue imagery,</w:t>
      </w:r>
      <w:r w:rsidRPr="00D4106D">
        <w:rPr>
          <w:rStyle w:val="FootnoteReference"/>
        </w:rPr>
        <w:footnoteReference w:id="75"/>
      </w:r>
      <w:r w:rsidRPr="00D4106D">
        <w:t xml:space="preserve"> others seeing animals such as snakes (largely associated with the healing god Asclepius), some dreams may appear clear, other</w:t>
      </w:r>
      <w:r w:rsidR="00380666" w:rsidRPr="00D4106D">
        <w:t>s</w:t>
      </w:r>
      <w:r w:rsidRPr="00D4106D">
        <w:t xml:space="preserve"> harder to understand.</w:t>
      </w:r>
      <w:r w:rsidRPr="00D4106D">
        <w:rPr>
          <w:rStyle w:val="FootnoteReference"/>
        </w:rPr>
        <w:footnoteReference w:id="76"/>
      </w:r>
      <w:r w:rsidRPr="00D4106D">
        <w:t xml:space="preserve"> Priests and doctors interpreted the dream to determine the next course of action. “</w:t>
      </w:r>
      <w:r w:rsidRPr="00D4106D">
        <w:rPr>
          <w:color w:val="333333"/>
          <w:spacing w:val="-2"/>
          <w:shd w:val="clear" w:color="auto" w:fill="FFFFFF"/>
        </w:rPr>
        <w:t xml:space="preserve">He who has learnt aright about the </w:t>
      </w:r>
      <w:r w:rsidRPr="00D4106D">
        <w:rPr>
          <w:color w:val="333333"/>
          <w:spacing w:val="-2"/>
          <w:shd w:val="clear" w:color="auto" w:fill="FFFFFF"/>
        </w:rPr>
        <w:lastRenderedPageBreak/>
        <w:t>signs that come in sleep will find that they have an important influence upon all things.”</w:t>
      </w:r>
      <w:r w:rsidRPr="00D4106D">
        <w:rPr>
          <w:rStyle w:val="FootnoteReference"/>
          <w:color w:val="333333"/>
          <w:spacing w:val="-2"/>
          <w:shd w:val="clear" w:color="auto" w:fill="FFFFFF"/>
        </w:rPr>
        <w:footnoteReference w:id="77"/>
      </w:r>
      <w:r w:rsidRPr="00D4106D">
        <w:rPr>
          <w:color w:val="333333"/>
          <w:spacing w:val="-2"/>
          <w:shd w:val="clear" w:color="auto" w:fill="FFFFFF"/>
        </w:rPr>
        <w:t xml:space="preserve"> The role of the dream interpreters to have an in-depth knowledge and skill in the meaning of dreams was essential in medical practice. An understanding of these signs </w:t>
      </w:r>
      <w:r w:rsidR="00380666" w:rsidRPr="00D4106D">
        <w:rPr>
          <w:color w:val="333333"/>
          <w:spacing w:val="-2"/>
          <w:shd w:val="clear" w:color="auto" w:fill="FFFFFF"/>
        </w:rPr>
        <w:t>was</w:t>
      </w:r>
      <w:r w:rsidRPr="00D4106D">
        <w:rPr>
          <w:color w:val="333333"/>
          <w:spacing w:val="-2"/>
          <w:shd w:val="clear" w:color="auto" w:fill="FFFFFF"/>
        </w:rPr>
        <w:t xml:space="preserve"> considered powerful and interconnected with the rest of the cosmic order which underlies both the dreams and the illness itself. As when considering the doctors, the act of dream interpretation is also considered an art. “Now such dreams as are divine, and foretell to cities or to private persons things evil or things good, have interpreters in those who possess the art of dealing with such things.” </w:t>
      </w:r>
      <w:r w:rsidRPr="00D4106D">
        <w:rPr>
          <w:rStyle w:val="FootnoteReference"/>
          <w:color w:val="333333"/>
          <w:spacing w:val="-2"/>
          <w:shd w:val="clear" w:color="auto" w:fill="FFFFFF"/>
        </w:rPr>
        <w:footnoteReference w:id="78"/>
      </w:r>
      <w:r w:rsidRPr="00D4106D">
        <w:rPr>
          <w:color w:val="333333"/>
          <w:spacing w:val="-2"/>
          <w:shd w:val="clear" w:color="auto" w:fill="FFFFFF"/>
        </w:rPr>
        <w:t xml:space="preserve"> </w:t>
      </w:r>
      <w:r w:rsidRPr="00D4106D">
        <w:rPr>
          <w:i/>
          <w:iCs/>
          <w:color w:val="333333"/>
          <w:spacing w:val="-2"/>
          <w:shd w:val="clear" w:color="auto" w:fill="FFFFFF"/>
        </w:rPr>
        <w:t xml:space="preserve">On Regimen IV </w:t>
      </w:r>
      <w:r w:rsidRPr="00D4106D">
        <w:rPr>
          <w:color w:val="333333"/>
          <w:spacing w:val="-2"/>
          <w:shd w:val="clear" w:color="auto" w:fill="FFFFFF"/>
        </w:rPr>
        <w:t xml:space="preserve">is clear about the dreams oracular nature and the skill of those who are able to decipher their meaning in the employment of healing. </w:t>
      </w:r>
      <w:r w:rsidRPr="00D4106D">
        <w:t>The results of the dreams were mixed from being completely healed, receiving medical advice on drugs and surgery however the sanctuaries were largely viewed as successful with patients leaving healthy.</w:t>
      </w:r>
      <w:r w:rsidRPr="00D4106D">
        <w:rPr>
          <w:rStyle w:val="FootnoteReference"/>
        </w:rPr>
        <w:footnoteReference w:id="79"/>
      </w:r>
      <w:r w:rsidRPr="00D4106D">
        <w:t xml:space="preserve"> </w:t>
      </w:r>
    </w:p>
    <w:p w14:paraId="3B309960" w14:textId="77777777" w:rsidR="00860F59" w:rsidRPr="00D4106D" w:rsidRDefault="00860F59" w:rsidP="007320F0">
      <w:pPr>
        <w:spacing w:line="480" w:lineRule="auto"/>
        <w:jc w:val="both"/>
      </w:pPr>
    </w:p>
    <w:p w14:paraId="0405CD5E" w14:textId="77777777" w:rsidR="00380666" w:rsidRPr="005E4F7A" w:rsidRDefault="00380666" w:rsidP="007320F0">
      <w:pPr>
        <w:pStyle w:val="Heading2"/>
        <w:spacing w:line="480" w:lineRule="auto"/>
        <w:rPr>
          <w:rFonts w:asciiTheme="minorHAnsi" w:hAnsiTheme="minorHAnsi"/>
          <w:sz w:val="28"/>
          <w:szCs w:val="28"/>
          <w:u w:val="single"/>
        </w:rPr>
      </w:pPr>
      <w:r w:rsidRPr="005E4F7A">
        <w:rPr>
          <w:rFonts w:asciiTheme="minorHAnsi" w:hAnsiTheme="minorHAnsi"/>
          <w:sz w:val="28"/>
          <w:szCs w:val="28"/>
          <w:u w:val="single"/>
        </w:rPr>
        <w:t xml:space="preserve">Asclepius </w:t>
      </w:r>
    </w:p>
    <w:p w14:paraId="6DA43FA0" w14:textId="34BD1498" w:rsidR="00380666" w:rsidRPr="00D4106D" w:rsidRDefault="00380666" w:rsidP="007320F0">
      <w:pPr>
        <w:spacing w:line="480" w:lineRule="auto"/>
        <w:jc w:val="both"/>
      </w:pPr>
      <w:r w:rsidRPr="00D4106D">
        <w:t xml:space="preserve">Though divinatory methods could be indirect, as explored through the consideration of astrological and natural Hippocratic medical practices, they could also be achieved through direct communication with gods, goddesses, heroes and </w:t>
      </w:r>
      <w:proofErr w:type="spellStart"/>
      <w:r w:rsidRPr="00D4106D">
        <w:t>diamons</w:t>
      </w:r>
      <w:proofErr w:type="spellEnd"/>
      <w:r w:rsidRPr="00D4106D">
        <w:t>. Nutton notes that “…sufferers from illness had a very wide choice of divinities to whom they could appeal for assistance. The author of Regimen mentioned Zeus, Athena, Apollo, Hermes, Earth, Sun and the Heroes as healers who might be invoked to avert disease.”</w:t>
      </w:r>
      <w:r w:rsidRPr="00D4106D">
        <w:rPr>
          <w:rStyle w:val="FootnoteReference"/>
        </w:rPr>
        <w:footnoteReference w:id="80"/>
      </w:r>
      <w:r w:rsidRPr="00D4106D">
        <w:t xml:space="preserve"> Though </w:t>
      </w:r>
      <w:r w:rsidRPr="00D4106D">
        <w:lastRenderedPageBreak/>
        <w:t>there was ample choice of gods who assisted in healing available simultaneously</w:t>
      </w:r>
      <w:r w:rsidR="00C60703" w:rsidRPr="00D4106D">
        <w:t>,</w:t>
      </w:r>
      <w:r w:rsidRPr="00D4106D">
        <w:rPr>
          <w:rStyle w:val="FootnoteReference"/>
        </w:rPr>
        <w:footnoteReference w:id="81"/>
      </w:r>
      <w:r w:rsidR="00C60703" w:rsidRPr="00D4106D">
        <w:t xml:space="preserve"> </w:t>
      </w:r>
      <w:r w:rsidRPr="00D4106D">
        <w:t>Nutton argues that it was Asclepius, who came to Athens around 420/419 BCE, was</w:t>
      </w:r>
      <w:r w:rsidRPr="00D4106D">
        <w:rPr>
          <w:u w:val="single"/>
        </w:rPr>
        <w:t xml:space="preserve"> </w:t>
      </w:r>
      <w:r w:rsidRPr="00D4106D">
        <w:t>“…the healing god par excellence…”</w:t>
      </w:r>
      <w:r w:rsidRPr="00D4106D">
        <w:rPr>
          <w:rStyle w:val="FootnoteReference"/>
        </w:rPr>
        <w:footnoteReference w:id="82"/>
      </w:r>
      <w:r w:rsidRPr="00D4106D">
        <w:t xml:space="preserve"> soring in popularity in antiquity</w:t>
      </w:r>
      <w:r w:rsidR="00C60703" w:rsidRPr="00D4106D">
        <w:t>,</w:t>
      </w:r>
      <w:r w:rsidRPr="00D4106D">
        <w:rPr>
          <w:rStyle w:val="FootnoteReference"/>
        </w:rPr>
        <w:footnoteReference w:id="83"/>
      </w:r>
      <w:r w:rsidRPr="00D4106D">
        <w:t xml:space="preserve"> overtaking many other healing cults.</w:t>
      </w:r>
      <w:r w:rsidRPr="00D4106D">
        <w:rPr>
          <w:rStyle w:val="FootnoteReference"/>
        </w:rPr>
        <w:footnoteReference w:id="84"/>
      </w:r>
      <w:r w:rsidRPr="00D4106D">
        <w:t xml:space="preserve"> Though it is important to note that, his daughter “…</w:t>
      </w:r>
      <w:proofErr w:type="spellStart"/>
      <w:r w:rsidRPr="00D4106D">
        <w:t>Hygieia</w:t>
      </w:r>
      <w:proofErr w:type="spellEnd"/>
      <w:r w:rsidRPr="00D4106D">
        <w:t xml:space="preserve"> (“Health”) herself, who was often represented with him and worshiped at his sanctuaries…”</w:t>
      </w:r>
      <w:r w:rsidRPr="00D4106D">
        <w:rPr>
          <w:rStyle w:val="FootnoteReference"/>
        </w:rPr>
        <w:footnoteReference w:id="85"/>
      </w:r>
      <w:r w:rsidRPr="00D4106D">
        <w:t xml:space="preserve"> and his father Apollo remained popular choices of healing deities. </w:t>
      </w:r>
    </w:p>
    <w:p w14:paraId="5129CAF8" w14:textId="77777777" w:rsidR="00380666" w:rsidRPr="00D4106D" w:rsidRDefault="00380666" w:rsidP="007320F0">
      <w:pPr>
        <w:spacing w:line="480" w:lineRule="auto"/>
        <w:jc w:val="both"/>
      </w:pPr>
      <w:r w:rsidRPr="00D4106D">
        <w:t>What perhaps best characterised the sanctuaries dedicated to Asclepius was the use of divinatory dream incubation.</w:t>
      </w:r>
      <w:r w:rsidRPr="00D4106D">
        <w:rPr>
          <w:rStyle w:val="FootnoteReference"/>
        </w:rPr>
        <w:t xml:space="preserve"> </w:t>
      </w:r>
      <w:r w:rsidRPr="00D4106D">
        <w:rPr>
          <w:rStyle w:val="FootnoteReference"/>
        </w:rPr>
        <w:footnoteReference w:id="86"/>
      </w:r>
      <w:r w:rsidRPr="00D4106D">
        <w:t xml:space="preserve">  Renberg asserts he was “the only Greek God who… was believed to attend on his ailing worshipers by healing them as they slept or instructing them through dreams on how to regain their health.”</w:t>
      </w:r>
      <w:r w:rsidRPr="00D4106D">
        <w:rPr>
          <w:rStyle w:val="FootnoteReference"/>
        </w:rPr>
        <w:t xml:space="preserve"> </w:t>
      </w:r>
      <w:r w:rsidRPr="00D4106D">
        <w:rPr>
          <w:rStyle w:val="FootnoteReference"/>
        </w:rPr>
        <w:footnoteReference w:id="87"/>
      </w:r>
      <w:r w:rsidRPr="00D4106D">
        <w:t xml:space="preserve"> Though there is evidence of dream incubation occurring at a few Isis and </w:t>
      </w:r>
      <w:proofErr w:type="spellStart"/>
      <w:r w:rsidRPr="00D4106D">
        <w:t>Sarapis</w:t>
      </w:r>
      <w:proofErr w:type="spellEnd"/>
      <w:r w:rsidRPr="00D4106D">
        <w:t xml:space="preserve"> sites</w:t>
      </w:r>
      <w:r w:rsidRPr="00D4106D">
        <w:rPr>
          <w:rStyle w:val="FootnoteReference"/>
        </w:rPr>
        <w:footnoteReference w:id="88"/>
      </w:r>
      <w:r w:rsidRPr="00D4106D">
        <w:t>, Renberg argues this has been “often overstated by scholars.”</w:t>
      </w:r>
      <w:r w:rsidRPr="00D4106D">
        <w:rPr>
          <w:rStyle w:val="FootnoteReference"/>
        </w:rPr>
        <w:footnoteReference w:id="89"/>
      </w:r>
      <w:r w:rsidRPr="00D4106D">
        <w:t xml:space="preserve">  </w:t>
      </w:r>
    </w:p>
    <w:p w14:paraId="4B5C7106" w14:textId="23A04701" w:rsidR="00380666" w:rsidRPr="00D4106D" w:rsidRDefault="00380666" w:rsidP="007320F0">
      <w:pPr>
        <w:shd w:val="clear" w:color="auto" w:fill="FFFFFF"/>
        <w:spacing w:after="0" w:line="480" w:lineRule="auto"/>
        <w:jc w:val="both"/>
        <w:rPr>
          <w:rFonts w:eastAsia="Times New Roman" w:cs="Times New Roman"/>
          <w:color w:val="333333"/>
          <w:spacing w:val="-2"/>
          <w:kern w:val="0"/>
          <w:lang w:eastAsia="en-GB"/>
          <w14:ligatures w14:val="none"/>
        </w:rPr>
      </w:pPr>
      <w:r w:rsidRPr="00D4106D">
        <w:rPr>
          <w:rFonts w:eastAsia="Times New Roman" w:cs="Times New Roman"/>
          <w:color w:val="333333"/>
          <w:kern w:val="0"/>
          <w:lang w:eastAsia="en-GB"/>
          <w14:ligatures w14:val="none"/>
        </w:rPr>
        <w:t>The healing sanctuaries of Asclepius were widely considered successful, with many positive accounts of being healed. Such as: “Despairing</w:t>
      </w:r>
      <w:r w:rsidRPr="00D4106D">
        <w:rPr>
          <w:rFonts w:eastAsia="Times New Roman" w:cs="Times New Roman"/>
          <w:color w:val="333333"/>
          <w:spacing w:val="-2"/>
          <w:kern w:val="0"/>
          <w:lang w:eastAsia="en-GB"/>
          <w14:ligatures w14:val="none"/>
        </w:rPr>
        <w:t> of human art, and placing all my hope in the Divinity, I left Athens, mother of beautiful children, and was cured in three</w:t>
      </w:r>
      <w:r w:rsidR="0059126E">
        <w:rPr>
          <w:rFonts w:eastAsia="Times New Roman" w:cs="Times New Roman"/>
          <w:color w:val="333333"/>
          <w:spacing w:val="-2"/>
          <w:kern w:val="0"/>
          <w:lang w:eastAsia="en-GB"/>
          <w14:ligatures w14:val="none"/>
        </w:rPr>
        <w:t xml:space="preserve"> </w:t>
      </w:r>
      <w:r w:rsidRPr="00D4106D">
        <w:rPr>
          <w:rFonts w:eastAsia="Times New Roman" w:cs="Times New Roman"/>
          <w:color w:val="333333"/>
          <w:spacing w:val="-2"/>
          <w:kern w:val="0"/>
          <w:lang w:eastAsia="en-GB"/>
          <w14:ligatures w14:val="none"/>
        </w:rPr>
        <w:lastRenderedPageBreak/>
        <w:t>months, Asclepius, by coming to thy grove, of an ulcer on my head that had continued for a year.”</w:t>
      </w:r>
      <w:r w:rsidRPr="00D4106D">
        <w:rPr>
          <w:rStyle w:val="FootnoteReference"/>
          <w:rFonts w:eastAsia="Times New Roman" w:cs="Times New Roman"/>
          <w:color w:val="333333"/>
          <w:spacing w:val="-2"/>
          <w:kern w:val="0"/>
          <w:lang w:eastAsia="en-GB"/>
          <w14:ligatures w14:val="none"/>
        </w:rPr>
        <w:footnoteReference w:id="90"/>
      </w:r>
    </w:p>
    <w:p w14:paraId="558FADA7" w14:textId="5D5BF40F" w:rsidR="00380666" w:rsidRDefault="00380666" w:rsidP="007320F0">
      <w:pPr>
        <w:spacing w:line="480" w:lineRule="auto"/>
        <w:jc w:val="both"/>
      </w:pPr>
      <w:r w:rsidRPr="00D4106D">
        <w:t>The divinatory practices of Asclepius were respected by patients and doctors alike. Providing a vital insight into the role of divinatory medical practices in Ancient Greek medicine. Galen reportedly was visited by Asclepius in a dream which inspired his medical career.</w:t>
      </w:r>
      <w:r w:rsidRPr="00D4106D">
        <w:rPr>
          <w:rStyle w:val="FootnoteReference"/>
        </w:rPr>
        <w:footnoteReference w:id="91"/>
      </w:r>
      <w:r w:rsidRPr="00D4106D">
        <w:t xml:space="preserve"> By 3</w:t>
      </w:r>
      <w:r w:rsidRPr="00D4106D">
        <w:rPr>
          <w:vertAlign w:val="superscript"/>
        </w:rPr>
        <w:t>rd</w:t>
      </w:r>
      <w:r w:rsidRPr="00D4106D">
        <w:t xml:space="preserve"> </w:t>
      </w:r>
      <w:proofErr w:type="spellStart"/>
      <w:r w:rsidRPr="00D4106D">
        <w:t>Centuary</w:t>
      </w:r>
      <w:proofErr w:type="spellEnd"/>
      <w:r w:rsidRPr="00D4106D">
        <w:t xml:space="preserve"> BCE, Asclepius acted as a patron deity to doctors and physicians, who made sacrifices to him and his daughter </w:t>
      </w:r>
      <w:proofErr w:type="spellStart"/>
      <w:r w:rsidRPr="00D4106D">
        <w:t>Hygieia</w:t>
      </w:r>
      <w:proofErr w:type="spellEnd"/>
      <w:r w:rsidRPr="00D4106D">
        <w:t xml:space="preserve"> twice annually, acknowledging the help provided both to themselves as doctors and to their patients.</w:t>
      </w:r>
      <w:r w:rsidRPr="00D4106D">
        <w:rPr>
          <w:rStyle w:val="FootnoteReference"/>
        </w:rPr>
        <w:t xml:space="preserve"> </w:t>
      </w:r>
      <w:r w:rsidRPr="00D4106D">
        <w:rPr>
          <w:rStyle w:val="FootnoteReference"/>
        </w:rPr>
        <w:footnoteReference w:id="92"/>
      </w:r>
      <w:r w:rsidRPr="00D4106D">
        <w:t xml:space="preserve"> Nutton convincingly argues that the Athenian evidence suggests “…a considerable degree of co-operation” between temple sanctuaries, gods and doctors.</w:t>
      </w:r>
      <w:r w:rsidRPr="00D4106D">
        <w:rPr>
          <w:rStyle w:val="FootnoteReference"/>
        </w:rPr>
        <w:footnoteReference w:id="93"/>
      </w:r>
      <w:r w:rsidRPr="00D4106D">
        <w:t xml:space="preserve"> He was particularly also popular with those who employed the use of medical astrology to their healing practices as “…Asclepius, a major deity associated with healing, combines both functions.”</w:t>
      </w:r>
      <w:r w:rsidRPr="00D4106D">
        <w:rPr>
          <w:rStyle w:val="FootnoteReference"/>
        </w:rPr>
        <w:footnoteReference w:id="94"/>
      </w:r>
      <w:r w:rsidRPr="00D4106D">
        <w:t xml:space="preserve"> </w:t>
      </w:r>
    </w:p>
    <w:p w14:paraId="003F5729" w14:textId="77777777" w:rsidR="005E4F7A" w:rsidRPr="00D4106D" w:rsidRDefault="005E4F7A" w:rsidP="007320F0">
      <w:pPr>
        <w:spacing w:line="480" w:lineRule="auto"/>
        <w:jc w:val="both"/>
      </w:pPr>
    </w:p>
    <w:p w14:paraId="762246D8" w14:textId="625ECDAA" w:rsidR="00220272" w:rsidRPr="005E4F7A" w:rsidRDefault="00220272" w:rsidP="007320F0">
      <w:pPr>
        <w:pStyle w:val="Heading2"/>
        <w:spacing w:line="480" w:lineRule="auto"/>
        <w:rPr>
          <w:rFonts w:asciiTheme="minorHAnsi" w:hAnsiTheme="minorHAnsi"/>
          <w:sz w:val="28"/>
          <w:szCs w:val="28"/>
          <w:u w:val="single"/>
        </w:rPr>
      </w:pPr>
      <w:r w:rsidRPr="005E4F7A">
        <w:rPr>
          <w:rFonts w:asciiTheme="minorHAnsi" w:hAnsiTheme="minorHAnsi"/>
          <w:sz w:val="28"/>
          <w:szCs w:val="28"/>
          <w:u w:val="single"/>
        </w:rPr>
        <w:t xml:space="preserve">Mirror Divination </w:t>
      </w:r>
    </w:p>
    <w:p w14:paraId="1C04C2EF" w14:textId="77777777" w:rsidR="00220272" w:rsidRPr="00D4106D" w:rsidRDefault="00220272" w:rsidP="007320F0">
      <w:pPr>
        <w:spacing w:line="480" w:lineRule="auto"/>
        <w:jc w:val="both"/>
      </w:pPr>
      <w:r w:rsidRPr="00D4106D">
        <w:t>Catoptromancy is the practice of divination through the use of reflective surfaces, such as mirrors, shining surfaces or reflective water sources.</w:t>
      </w:r>
      <w:r w:rsidRPr="00D4106D">
        <w:rPr>
          <w:rStyle w:val="FootnoteReference"/>
        </w:rPr>
        <w:footnoteReference w:id="95"/>
      </w:r>
      <w:r w:rsidRPr="00D4106D">
        <w:t xml:space="preserve"> Although it is not the most </w:t>
      </w:r>
      <w:r w:rsidRPr="00D4106D">
        <w:lastRenderedPageBreak/>
        <w:t xml:space="preserve">common use of divinatory practice in ancient Greece, it’s significance has been highlighted most notably by Crystal Addey, who provides a comprehensive outline of the practice which aimed “…to use elemental phenomena to gain a vision of truth and knowledge from the gods…” </w:t>
      </w:r>
      <w:r w:rsidRPr="00D4106D">
        <w:rPr>
          <w:rStyle w:val="FootnoteReference"/>
        </w:rPr>
        <w:footnoteReference w:id="96"/>
      </w:r>
      <w:r w:rsidRPr="00D4106D">
        <w:t xml:space="preserve"> Two types of Catoptromancy are recorded in Pausanias’ </w:t>
      </w:r>
      <w:r w:rsidRPr="00D4106D">
        <w:rPr>
          <w:i/>
          <w:iCs/>
        </w:rPr>
        <w:t>Description of Greece</w:t>
      </w:r>
      <w:r w:rsidRPr="00D4106D">
        <w:t>.</w:t>
      </w:r>
      <w:r w:rsidRPr="00D4106D">
        <w:rPr>
          <w:rStyle w:val="FootnoteReference"/>
        </w:rPr>
        <w:t xml:space="preserve"> </w:t>
      </w:r>
      <w:r w:rsidRPr="00D4106D">
        <w:rPr>
          <w:rStyle w:val="FootnoteReference"/>
        </w:rPr>
        <w:footnoteReference w:id="97"/>
      </w:r>
      <w:r w:rsidRPr="00D4106D">
        <w:t xml:space="preserve"> The role of the diviner in both methods was significant, as they were able to interpret the oracle for the enquirer.</w:t>
      </w:r>
      <w:r w:rsidRPr="00D4106D">
        <w:rPr>
          <w:rStyle w:val="FootnoteReference"/>
        </w:rPr>
        <w:footnoteReference w:id="98"/>
      </w:r>
      <w:r w:rsidRPr="00D4106D">
        <w:t xml:space="preserve"> The first type is arguably more passive, engaging with mirrors by lowering them close to the water of a temple spring. </w:t>
      </w:r>
    </w:p>
    <w:p w14:paraId="7DB7050A" w14:textId="77777777" w:rsidR="00220272" w:rsidRPr="00D4106D" w:rsidRDefault="00220272" w:rsidP="007320F0">
      <w:pPr>
        <w:spacing w:line="480" w:lineRule="auto"/>
        <w:jc w:val="both"/>
      </w:pPr>
      <w:r w:rsidRPr="00D4106D">
        <w:t>“Next to the grove is a sanctuary of Demeter; she and her daughter are standing, but the image of Earth is seated. Before the sanctuary of Demeter is a spring…Here there is an infallible oracle, not indeed for everything, but only in the case of sick folk. They tie a mirror to a fine cord and let it down, judging the distance so that it does not sink deep into the spring, but just far enough to touch the water with its rim. Then they pray to the goddess and burn incense, after which they look into the mirror, which shows them the patient either alive or dead. This water partakes to this extent of truth…”</w:t>
      </w:r>
      <w:r w:rsidRPr="00D4106D">
        <w:rPr>
          <w:rStyle w:val="FootnoteReference"/>
        </w:rPr>
        <w:footnoteReference w:id="99"/>
      </w:r>
      <w:r w:rsidRPr="00D4106D">
        <w:t xml:space="preserve"> </w:t>
      </w:r>
    </w:p>
    <w:p w14:paraId="71495601" w14:textId="77777777" w:rsidR="00220272" w:rsidRPr="00D4106D" w:rsidRDefault="00220272" w:rsidP="007320F0">
      <w:pPr>
        <w:spacing w:line="480" w:lineRule="auto"/>
        <w:jc w:val="both"/>
      </w:pPr>
      <w:r w:rsidRPr="00D4106D">
        <w:t>Though it has been argued that this first type, does not communicate with a divine power,</w:t>
      </w:r>
      <w:r w:rsidRPr="00D4106D">
        <w:rPr>
          <w:rStyle w:val="FootnoteReference"/>
        </w:rPr>
        <w:footnoteReference w:id="100"/>
      </w:r>
      <w:r w:rsidRPr="00D4106D">
        <w:t xml:space="preserve"> the role of nature and natural elements is pivotal as a method of divination, as they demonstrate the recognised divine power within all the cosmos. Water’s reflective qualities as well as its links to the astrological charts offer other potential explanations for its use in medical divination beyond direct connection to a deity. Clear examples of this can be seen within astrological medical divination, the similarities which can be </w:t>
      </w:r>
      <w:r w:rsidRPr="00D4106D">
        <w:lastRenderedPageBreak/>
        <w:t>made between a mirror and the moon is worth consideration. Demeter was associated with the earth, which was connected to water, with “both [elements] holding prophetic power.”</w:t>
      </w:r>
      <w:r w:rsidRPr="00D4106D">
        <w:rPr>
          <w:rStyle w:val="FootnoteReference"/>
        </w:rPr>
        <w:footnoteReference w:id="101"/>
      </w:r>
      <w:r w:rsidRPr="00D4106D">
        <w:t xml:space="preserve"> As the daughter of Persephone,</w:t>
      </w:r>
      <w:r w:rsidRPr="00D4106D">
        <w:rPr>
          <w:rStyle w:val="FootnoteReference"/>
        </w:rPr>
        <w:footnoteReference w:id="102"/>
      </w:r>
      <w:r w:rsidRPr="00D4106D">
        <w:t xml:space="preserve"> (also argued to be the goddess Isis</w:t>
      </w:r>
      <w:r w:rsidRPr="00D4106D">
        <w:rPr>
          <w:rStyle w:val="FootnoteReference"/>
          <w:color w:val="333333"/>
          <w:spacing w:val="-2"/>
          <w:shd w:val="clear" w:color="auto" w:fill="FFFFFF"/>
        </w:rPr>
        <w:footnoteReference w:id="103"/>
      </w:r>
      <w:r w:rsidRPr="00D4106D">
        <w:t xml:space="preserve">) Demeter by association was connected to healing and the underworld. </w:t>
      </w:r>
    </w:p>
    <w:p w14:paraId="25754A7E" w14:textId="77777777" w:rsidR="00220272" w:rsidRPr="00D4106D" w:rsidRDefault="00220272" w:rsidP="007320F0">
      <w:pPr>
        <w:spacing w:line="480" w:lineRule="auto"/>
        <w:jc w:val="both"/>
      </w:pPr>
      <w:r w:rsidRPr="00D4106D">
        <w:t>The second type of mirror divination relied on the use of light to communicate with a god or daimon. A vision would appear in the mirror’s reflective surface, providing the enquirer with an oracle.</w:t>
      </w:r>
      <w:r w:rsidRPr="00D4106D">
        <w:rPr>
          <w:rStyle w:val="FootnoteReference"/>
        </w:rPr>
        <w:footnoteReference w:id="104"/>
      </w:r>
      <w:r w:rsidRPr="00D4106D">
        <w:t xml:space="preserve"> The light “acted as a conduit and reflection of divine beings.”</w:t>
      </w:r>
      <w:r w:rsidRPr="00D4106D">
        <w:rPr>
          <w:rStyle w:val="FootnoteReference"/>
        </w:rPr>
        <w:footnoteReference w:id="105"/>
      </w:r>
      <w:r w:rsidRPr="00D4106D">
        <w:t xml:space="preserve"> </w:t>
      </w:r>
    </w:p>
    <w:p w14:paraId="0D50EC1F" w14:textId="2C35C8C8" w:rsidR="00523EEA" w:rsidRDefault="00220272" w:rsidP="007320F0">
      <w:pPr>
        <w:spacing w:line="480" w:lineRule="auto"/>
        <w:jc w:val="both"/>
      </w:pPr>
      <w:r w:rsidRPr="00D4106D">
        <w:t>Addley states that in contrast to the second method of using light, ““In the first type of Catoptromancy, [the] water only functions to replace the mirror rather than being used in conjunction with it.”</w:t>
      </w:r>
      <w:r w:rsidRPr="00D4106D">
        <w:rPr>
          <w:rStyle w:val="FootnoteReference"/>
        </w:rPr>
        <w:footnoteReference w:id="106"/>
      </w:r>
      <w:r w:rsidRPr="00D4106D">
        <w:t xml:space="preserve"> It could however be argued that the water may have acted as an extension of the reflective surface of the mirror, or that the movement and light reflected by the water may have interacted with the mirror held to the surface in another way. Particularly as Pausanias asserted that the mirror was lowered to just touch the surface of the water,</w:t>
      </w:r>
      <w:r w:rsidRPr="00D4106D">
        <w:rPr>
          <w:rStyle w:val="FootnoteReference"/>
        </w:rPr>
        <w:t xml:space="preserve"> </w:t>
      </w:r>
      <w:r w:rsidRPr="00D4106D">
        <w:rPr>
          <w:rStyle w:val="FootnoteReference"/>
        </w:rPr>
        <w:footnoteReference w:id="107"/>
      </w:r>
      <w:r w:rsidRPr="00D4106D">
        <w:t xml:space="preserve"> suggesting a physical and potentially divinatory connection. </w:t>
      </w:r>
    </w:p>
    <w:p w14:paraId="1A309E3E" w14:textId="77777777" w:rsidR="005E4F7A" w:rsidRPr="00D4106D" w:rsidRDefault="005E4F7A" w:rsidP="007320F0">
      <w:pPr>
        <w:spacing w:line="480" w:lineRule="auto"/>
        <w:jc w:val="both"/>
      </w:pPr>
    </w:p>
    <w:p w14:paraId="224766E8" w14:textId="3905D99C" w:rsidR="00523EEA" w:rsidRPr="005E4F7A" w:rsidRDefault="00523EEA" w:rsidP="007320F0">
      <w:pPr>
        <w:pStyle w:val="Heading2"/>
        <w:spacing w:line="480" w:lineRule="auto"/>
        <w:rPr>
          <w:rFonts w:asciiTheme="minorHAnsi" w:hAnsiTheme="minorHAnsi"/>
          <w:sz w:val="28"/>
          <w:szCs w:val="28"/>
          <w:u w:val="single"/>
        </w:rPr>
      </w:pPr>
      <w:r w:rsidRPr="005E4F7A">
        <w:rPr>
          <w:rFonts w:asciiTheme="minorHAnsi" w:hAnsiTheme="minorHAnsi"/>
          <w:sz w:val="28"/>
          <w:szCs w:val="28"/>
          <w:u w:val="single"/>
        </w:rPr>
        <w:t>Conclusion</w:t>
      </w:r>
    </w:p>
    <w:p w14:paraId="615E2AC3" w14:textId="1AE5DA48" w:rsidR="00523EEA" w:rsidRDefault="00523EEA" w:rsidP="007320F0">
      <w:pPr>
        <w:spacing w:line="480" w:lineRule="auto"/>
        <w:jc w:val="both"/>
      </w:pPr>
      <w:r w:rsidRPr="00D4106D">
        <w:t xml:space="preserve">To conclude, the role of divination within both the theory and practice of Ancient Greek medicine cannot be understated. </w:t>
      </w:r>
      <w:r w:rsidR="006B4CF2" w:rsidRPr="00D4106D">
        <w:t xml:space="preserve">Divination was indicative of the theoretical </w:t>
      </w:r>
      <w:r w:rsidR="006B4CF2" w:rsidRPr="00D4106D">
        <w:lastRenderedPageBreak/>
        <w:t xml:space="preserve">understanding of the universe, from the existence of </w:t>
      </w:r>
      <w:r w:rsidR="001B27A6" w:rsidRPr="00D4106D">
        <w:t xml:space="preserve">gods, to a divine interconnected cosmic order which can be interacted with in order to </w:t>
      </w:r>
      <w:r w:rsidR="00C904D4" w:rsidRPr="00D4106D">
        <w:t xml:space="preserve">seek knowledge which may provide insight or </w:t>
      </w:r>
      <w:r w:rsidR="007D3E47" w:rsidRPr="00D4106D">
        <w:t xml:space="preserve">a degree of choice and control over ones circumstances. </w:t>
      </w:r>
      <w:r w:rsidR="001723F4" w:rsidRPr="00D4106D">
        <w:t xml:space="preserve">When applied within </w:t>
      </w:r>
      <w:r w:rsidR="006F1D30" w:rsidRPr="00D4106D">
        <w:t>the practice of medicine, divination</w:t>
      </w:r>
      <w:r w:rsidR="000B7E37" w:rsidRPr="00D4106D">
        <w:t xml:space="preserve"> could be used to</w:t>
      </w:r>
      <w:r w:rsidR="006F1D30" w:rsidRPr="00D4106D">
        <w:t xml:space="preserve"> inform </w:t>
      </w:r>
      <w:r w:rsidR="000B7E37" w:rsidRPr="00D4106D">
        <w:t>all aspects of medic</w:t>
      </w:r>
      <w:r w:rsidR="0048703F" w:rsidRPr="00D4106D">
        <w:t>ine, from</w:t>
      </w:r>
      <w:r w:rsidR="00181885" w:rsidRPr="00D4106D">
        <w:t xml:space="preserve"> providing knowledge of a disease, advising appropriate actions</w:t>
      </w:r>
      <w:r w:rsidR="00F24CDE" w:rsidRPr="00D4106D">
        <w:t xml:space="preserve">, timings and outcomes. Medical divination </w:t>
      </w:r>
      <w:r w:rsidR="00AC0481" w:rsidRPr="00D4106D">
        <w:t>encompassed a wide range of methods, some which focused on the observation of the cosmos</w:t>
      </w:r>
      <w:r w:rsidR="00A33F04" w:rsidRPr="00D4106D">
        <w:t xml:space="preserve"> such as astrological divination and others which aimed for direct communication with the gods</w:t>
      </w:r>
      <w:r w:rsidR="0067264F" w:rsidRPr="00D4106D">
        <w:t xml:space="preserve">, such as dream incubations. It is clear that medical divination was prevalent, respected and </w:t>
      </w:r>
      <w:r w:rsidR="004A40C8" w:rsidRPr="00D4106D">
        <w:t xml:space="preserve">offered a firm knowledge base, upon which other medical practices often relied. </w:t>
      </w:r>
      <w:r w:rsidR="00CA3118" w:rsidRPr="00D4106D">
        <w:t>The divinatory practices</w:t>
      </w:r>
      <w:r w:rsidR="00033FAB" w:rsidRPr="00D4106D">
        <w:t xml:space="preserve"> were often connected through associations to planets, </w:t>
      </w:r>
      <w:r w:rsidR="002E289F" w:rsidRPr="00D4106D">
        <w:t xml:space="preserve">elements or gods. </w:t>
      </w:r>
      <w:r w:rsidR="002E52A7" w:rsidRPr="00D4106D">
        <w:t>The roles of those who practiced medicin</w:t>
      </w:r>
      <w:r w:rsidR="001E028F" w:rsidRPr="00D4106D">
        <w:t xml:space="preserve">e, </w:t>
      </w:r>
      <w:r w:rsidR="002E52A7" w:rsidRPr="00D4106D">
        <w:t>astrology</w:t>
      </w:r>
      <w:r w:rsidR="001E028F" w:rsidRPr="00D4106D">
        <w:t xml:space="preserve"> and diviners</w:t>
      </w:r>
      <w:r w:rsidR="002E52A7" w:rsidRPr="00D4106D">
        <w:t xml:space="preserve"> was blurred</w:t>
      </w:r>
      <w:r w:rsidR="00327AD5" w:rsidRPr="00D4106D">
        <w:t xml:space="preserve">, with a high level of experience and skill set in </w:t>
      </w:r>
      <w:r w:rsidR="001E028F" w:rsidRPr="00D4106D">
        <w:t>all</w:t>
      </w:r>
      <w:r w:rsidR="00327AD5" w:rsidRPr="00D4106D">
        <w:t xml:space="preserve"> highly preferable</w:t>
      </w:r>
      <w:r w:rsidR="001310FA" w:rsidRPr="00D4106D">
        <w:t xml:space="preserve">. This led to large amounts of co-operation between practitioners, particularly in temple sanctuary settings. </w:t>
      </w:r>
      <w:r w:rsidR="00465129" w:rsidRPr="00D4106D">
        <w:t xml:space="preserve">The interconnected nature of the Ancient Greek universe </w:t>
      </w:r>
      <w:r w:rsidR="000E49FD" w:rsidRPr="00D4106D">
        <w:t>defines the success and multitude of divinatory practices within the practice of</w:t>
      </w:r>
      <w:r w:rsidR="005F6892" w:rsidRPr="00D4106D">
        <w:t xml:space="preserve"> Ancient</w:t>
      </w:r>
      <w:r w:rsidR="000E49FD" w:rsidRPr="00D4106D">
        <w:t xml:space="preserve"> Greek </w:t>
      </w:r>
      <w:r w:rsidR="005F6892" w:rsidRPr="00D4106D">
        <w:t>m</w:t>
      </w:r>
      <w:r w:rsidR="000E49FD" w:rsidRPr="00D4106D">
        <w:t>edicine</w:t>
      </w:r>
      <w:r w:rsidR="009270A1" w:rsidRPr="00D4106D">
        <w:t xml:space="preserve">. As a result, </w:t>
      </w:r>
      <w:r w:rsidR="007C7C65" w:rsidRPr="00D4106D">
        <w:t>the very definition of Ancient Greek medicine must include divination in order to accurately reflect its nature.</w:t>
      </w:r>
    </w:p>
    <w:p w14:paraId="1A24BBBD" w14:textId="77777777" w:rsidR="007320F0" w:rsidRDefault="007320F0" w:rsidP="007D3E47">
      <w:pPr>
        <w:jc w:val="both"/>
      </w:pPr>
    </w:p>
    <w:p w14:paraId="3955D64D" w14:textId="3406A930" w:rsidR="007320F0" w:rsidRPr="00D4106D" w:rsidRDefault="007320F0" w:rsidP="007D3E47">
      <w:pPr>
        <w:jc w:val="both"/>
      </w:pPr>
      <w:r>
        <w:t xml:space="preserve">Word Count: </w:t>
      </w:r>
      <w:r w:rsidR="00860F59">
        <w:t>4545</w:t>
      </w:r>
    </w:p>
    <w:p w14:paraId="5504A22B" w14:textId="77777777" w:rsidR="0018468E" w:rsidRDefault="0018468E" w:rsidP="00623E1F">
      <w:pPr>
        <w:jc w:val="both"/>
        <w:rPr>
          <w:u w:val="single"/>
        </w:rPr>
      </w:pPr>
    </w:p>
    <w:p w14:paraId="4C31DFAE" w14:textId="77777777" w:rsidR="0018468E" w:rsidRDefault="0018468E" w:rsidP="00623E1F">
      <w:pPr>
        <w:jc w:val="both"/>
        <w:rPr>
          <w:u w:val="single"/>
        </w:rPr>
      </w:pPr>
    </w:p>
    <w:p w14:paraId="44C4790D" w14:textId="77777777" w:rsidR="0018468E" w:rsidRDefault="0018468E" w:rsidP="00623E1F">
      <w:pPr>
        <w:jc w:val="both"/>
        <w:rPr>
          <w:u w:val="single"/>
        </w:rPr>
      </w:pPr>
    </w:p>
    <w:p w14:paraId="738DCC8D" w14:textId="77777777" w:rsidR="0018468E" w:rsidRPr="00185C43" w:rsidRDefault="0018468E" w:rsidP="00623E1F">
      <w:pPr>
        <w:jc w:val="both"/>
        <w:rPr>
          <w:u w:val="single"/>
        </w:rPr>
      </w:pPr>
    </w:p>
    <w:p w14:paraId="0ADA5FD3" w14:textId="77777777" w:rsidR="00EE1570" w:rsidRDefault="00EE1570" w:rsidP="00623E1F">
      <w:pPr>
        <w:jc w:val="both"/>
        <w:rPr>
          <w:u w:val="single"/>
        </w:rPr>
      </w:pPr>
      <w:r>
        <w:rPr>
          <w:u w:val="single"/>
        </w:rPr>
        <w:br w:type="page"/>
      </w:r>
    </w:p>
    <w:p w14:paraId="21BF8407" w14:textId="295A5E24" w:rsidR="000A4021" w:rsidRDefault="000A4021" w:rsidP="00825A15">
      <w:pPr>
        <w:pStyle w:val="Heading1"/>
      </w:pPr>
      <w:r w:rsidRPr="00185C43">
        <w:lastRenderedPageBreak/>
        <w:t xml:space="preserve">Bibliography </w:t>
      </w:r>
    </w:p>
    <w:p w14:paraId="10E85F5E" w14:textId="374FD73D" w:rsidR="00185C43" w:rsidRDefault="00185C43" w:rsidP="00825A15">
      <w:pPr>
        <w:pStyle w:val="Heading2"/>
      </w:pPr>
      <w:r>
        <w:t>Primary Sources</w:t>
      </w:r>
    </w:p>
    <w:p w14:paraId="5623B828" w14:textId="77777777" w:rsidR="00EB31FC" w:rsidRPr="00EB31FC" w:rsidRDefault="00EB31FC" w:rsidP="00EB31FC"/>
    <w:p w14:paraId="37E9DA30" w14:textId="7B744F23" w:rsidR="00E143B6" w:rsidRDefault="00EB31FC" w:rsidP="00A36D66">
      <w:pPr>
        <w:spacing w:line="480" w:lineRule="auto"/>
      </w:pPr>
      <w:proofErr w:type="spellStart"/>
      <w:r w:rsidRPr="0033137B">
        <w:rPr>
          <w:color w:val="333333"/>
          <w:spacing w:val="-2"/>
          <w:shd w:val="clear" w:color="auto" w:fill="FFFFFF"/>
        </w:rPr>
        <w:t>Aeschines</w:t>
      </w:r>
      <w:proofErr w:type="spellEnd"/>
      <w:r w:rsidRPr="0033137B">
        <w:rPr>
          <w:color w:val="333333"/>
          <w:spacing w:val="-2"/>
          <w:shd w:val="clear" w:color="auto" w:fill="FFFFFF"/>
        </w:rPr>
        <w:t xml:space="preserve">, </w:t>
      </w:r>
      <w:r w:rsidRPr="0033137B">
        <w:rPr>
          <w:i/>
          <w:iCs/>
        </w:rPr>
        <w:t>Greek Anthology</w:t>
      </w:r>
      <w:r w:rsidRPr="0033137B">
        <w:t>:</w:t>
      </w:r>
      <w:r w:rsidRPr="0033137B">
        <w:rPr>
          <w:shd w:val="clear" w:color="auto" w:fill="FFFFFF"/>
        </w:rPr>
        <w:t xml:space="preserve"> W. Heinemann Ltd </w:t>
      </w:r>
      <w:r w:rsidRPr="0033137B">
        <w:t xml:space="preserve">(ed. and </w:t>
      </w:r>
      <w:proofErr w:type="spellStart"/>
      <w:r w:rsidRPr="0033137B">
        <w:t>trs</w:t>
      </w:r>
      <w:proofErr w:type="spellEnd"/>
      <w:r w:rsidRPr="0033137B">
        <w:t>.), Loeb Classical Library, (Cambridge: Harvard University Press, vol. XX, 2015)</w:t>
      </w:r>
    </w:p>
    <w:p w14:paraId="47DAEBF8" w14:textId="1E02DA1F" w:rsidR="00E143B6" w:rsidRDefault="00E143B6" w:rsidP="00E143B6">
      <w:pPr>
        <w:rPr>
          <w:rFonts w:ascii="zephtextregular" w:hAnsi="zephtextregular"/>
          <w:color w:val="333333"/>
          <w:spacing w:val="-2"/>
          <w:shd w:val="clear" w:color="auto" w:fill="FFFFFF"/>
        </w:rPr>
      </w:pPr>
      <w:r>
        <w:t xml:space="preserve">Hippocrates, </w:t>
      </w:r>
      <w:r w:rsidRPr="00A15E81">
        <w:rPr>
          <w:rFonts w:ascii="zephtextregular" w:hAnsi="zephtextregular"/>
          <w:i/>
          <w:iCs/>
          <w:color w:val="333333"/>
          <w:spacing w:val="-2"/>
          <w:shd w:val="clear" w:color="auto" w:fill="FFFFFF"/>
        </w:rPr>
        <w:t xml:space="preserve">Airs, Waters, </w:t>
      </w:r>
      <w:r w:rsidRPr="002C0E5C">
        <w:rPr>
          <w:rFonts w:ascii="zephtextregular" w:hAnsi="zephtextregular"/>
          <w:color w:val="333333"/>
          <w:spacing w:val="-2"/>
          <w:shd w:val="clear" w:color="auto" w:fill="FFFFFF"/>
        </w:rPr>
        <w:t>Places</w:t>
      </w:r>
      <w:r>
        <w:rPr>
          <w:rFonts w:ascii="zephtextregular" w:hAnsi="zephtextregular"/>
          <w:color w:val="333333"/>
          <w:spacing w:val="-2"/>
          <w:shd w:val="clear" w:color="auto" w:fill="FFFFFF"/>
        </w:rPr>
        <w:t xml:space="preserve">: P. Potter (ed. and </w:t>
      </w:r>
      <w:proofErr w:type="spellStart"/>
      <w:r>
        <w:rPr>
          <w:rFonts w:ascii="zephtextregular" w:hAnsi="zephtextregular"/>
          <w:color w:val="333333"/>
          <w:spacing w:val="-2"/>
          <w:shd w:val="clear" w:color="auto" w:fill="FFFFFF"/>
        </w:rPr>
        <w:t>trs</w:t>
      </w:r>
      <w:proofErr w:type="spellEnd"/>
      <w:r>
        <w:rPr>
          <w:rFonts w:ascii="zephtextregular" w:hAnsi="zephtextregular"/>
          <w:color w:val="333333"/>
          <w:spacing w:val="-2"/>
          <w:shd w:val="clear" w:color="auto" w:fill="FFFFFF"/>
        </w:rPr>
        <w:t xml:space="preserve">.), Loeb Classical Library, (Cambridge: Harvard University Press, Vol </w:t>
      </w:r>
      <w:r w:rsidR="006B0371">
        <w:rPr>
          <w:rFonts w:ascii="zephtextregular" w:hAnsi="zephtextregular"/>
          <w:color w:val="333333"/>
          <w:spacing w:val="-2"/>
          <w:shd w:val="clear" w:color="auto" w:fill="FFFFFF"/>
        </w:rPr>
        <w:t>I</w:t>
      </w:r>
      <w:r>
        <w:rPr>
          <w:rFonts w:ascii="zephtextregular" w:hAnsi="zephtextregular"/>
          <w:color w:val="333333"/>
          <w:spacing w:val="-2"/>
          <w:shd w:val="clear" w:color="auto" w:fill="FFFFFF"/>
        </w:rPr>
        <w:t>, 2022) 64-145</w:t>
      </w:r>
    </w:p>
    <w:p w14:paraId="1A22E5E9" w14:textId="77777777" w:rsidR="00E143B6" w:rsidRPr="00E143B6" w:rsidRDefault="00E143B6" w:rsidP="00E143B6"/>
    <w:p w14:paraId="7C5A4626" w14:textId="0FFFEA30" w:rsidR="0097174B" w:rsidRDefault="0097174B" w:rsidP="0097174B">
      <w:r w:rsidRPr="00485CFC">
        <w:rPr>
          <w:rFonts w:ascii="zephtextregular" w:hAnsi="zephtextregular"/>
          <w:color w:val="333333"/>
          <w:spacing w:val="-2"/>
          <w:shd w:val="clear" w:color="auto" w:fill="FFFFFF"/>
        </w:rPr>
        <w:t xml:space="preserve">Hippocrates, </w:t>
      </w:r>
      <w:r>
        <w:rPr>
          <w:rFonts w:ascii="zephtextregular" w:hAnsi="zephtextregular"/>
          <w:i/>
          <w:iCs/>
          <w:color w:val="333333"/>
          <w:spacing w:val="-2"/>
          <w:shd w:val="clear" w:color="auto" w:fill="FFFFFF"/>
        </w:rPr>
        <w:t>Aph</w:t>
      </w:r>
      <w:r w:rsidR="008473CC">
        <w:rPr>
          <w:rFonts w:ascii="zephtextregular" w:hAnsi="zephtextregular"/>
          <w:i/>
          <w:iCs/>
          <w:color w:val="333333"/>
          <w:spacing w:val="-2"/>
          <w:shd w:val="clear" w:color="auto" w:fill="FFFFFF"/>
        </w:rPr>
        <w:t>orisms I</w:t>
      </w:r>
      <w:r w:rsidRPr="00485CFC">
        <w:rPr>
          <w:rFonts w:ascii="zephtextregular" w:hAnsi="zephtextregular"/>
          <w:i/>
          <w:iCs/>
          <w:color w:val="333333"/>
          <w:spacing w:val="-2"/>
          <w:shd w:val="clear" w:color="auto" w:fill="FFFFFF"/>
        </w:rPr>
        <w:t>:</w:t>
      </w:r>
      <w:r w:rsidRPr="00485CFC">
        <w:rPr>
          <w:i/>
          <w:iCs/>
        </w:rPr>
        <w:t xml:space="preserve"> </w:t>
      </w:r>
      <w:r w:rsidRPr="00485CFC">
        <w:t>W.S Jones (ed. a</w:t>
      </w:r>
      <w:r>
        <w:t xml:space="preserve">nd </w:t>
      </w:r>
      <w:proofErr w:type="spellStart"/>
      <w:r>
        <w:t>trs</w:t>
      </w:r>
      <w:proofErr w:type="spellEnd"/>
      <w:r>
        <w:t>.) Loeb Classical Library, (</w:t>
      </w:r>
      <w:r w:rsidR="008473CC">
        <w:t>Cambridge</w:t>
      </w:r>
      <w:r>
        <w:t xml:space="preserve">: Harvard University Press, </w:t>
      </w:r>
      <w:r w:rsidR="006B0371">
        <w:t xml:space="preserve">Vol IV, </w:t>
      </w:r>
      <w:r>
        <w:t xml:space="preserve">1931) </w:t>
      </w:r>
      <w:r w:rsidR="008473CC">
        <w:t>97-222</w:t>
      </w:r>
    </w:p>
    <w:p w14:paraId="7916D79B" w14:textId="77777777" w:rsidR="0097174B" w:rsidRPr="0097174B" w:rsidRDefault="0097174B" w:rsidP="0097174B"/>
    <w:p w14:paraId="70331A48" w14:textId="29376741" w:rsidR="00825A15" w:rsidRDefault="00825A15" w:rsidP="00825A15">
      <w:r w:rsidRPr="00485CFC">
        <w:rPr>
          <w:rFonts w:ascii="zephtextregular" w:hAnsi="zephtextregular"/>
          <w:color w:val="333333"/>
          <w:spacing w:val="-2"/>
          <w:shd w:val="clear" w:color="auto" w:fill="FFFFFF"/>
        </w:rPr>
        <w:t xml:space="preserve">Hippocrates, </w:t>
      </w:r>
      <w:r w:rsidRPr="00485CFC">
        <w:rPr>
          <w:rFonts w:ascii="zephtextregular" w:hAnsi="zephtextregular"/>
          <w:i/>
          <w:iCs/>
          <w:color w:val="333333"/>
          <w:spacing w:val="-2"/>
          <w:shd w:val="clear" w:color="auto" w:fill="FFFFFF"/>
        </w:rPr>
        <w:t>On Regimen IV:</w:t>
      </w:r>
      <w:r w:rsidRPr="00485CFC">
        <w:rPr>
          <w:i/>
          <w:iCs/>
        </w:rPr>
        <w:t xml:space="preserve"> </w:t>
      </w:r>
      <w:r w:rsidRPr="00485CFC">
        <w:t>W.S Jones (ed. a</w:t>
      </w:r>
      <w:r>
        <w:t xml:space="preserve">nd </w:t>
      </w:r>
      <w:proofErr w:type="spellStart"/>
      <w:r>
        <w:t>trs</w:t>
      </w:r>
      <w:proofErr w:type="spellEnd"/>
      <w:r>
        <w:t>.) Loeb Classical Library, (</w:t>
      </w:r>
      <w:r w:rsidR="008473CC">
        <w:t>Cambridge</w:t>
      </w:r>
      <w:r>
        <w:t>: Harvard University Press,</w:t>
      </w:r>
      <w:r w:rsidR="006B0371">
        <w:t xml:space="preserve"> Vol IV,</w:t>
      </w:r>
      <w:r>
        <w:t xml:space="preserve"> 1931)</w:t>
      </w:r>
      <w:r w:rsidR="008D5E47">
        <w:t xml:space="preserve"> </w:t>
      </w:r>
      <w:r w:rsidR="008D5E47" w:rsidRPr="008D5E47">
        <w:t>421-448</w:t>
      </w:r>
    </w:p>
    <w:p w14:paraId="3E09DD81" w14:textId="77777777" w:rsidR="00476A56" w:rsidRDefault="00476A56" w:rsidP="00825A15"/>
    <w:p w14:paraId="415010A3" w14:textId="77777777" w:rsidR="00476A56" w:rsidRDefault="00476A56" w:rsidP="00476A56">
      <w:pPr>
        <w:rPr>
          <w:rFonts w:ascii="zephtextregular" w:hAnsi="zephtextregular"/>
          <w:color w:val="333333"/>
          <w:spacing w:val="-2"/>
          <w:shd w:val="clear" w:color="auto" w:fill="FFFFFF"/>
        </w:rPr>
      </w:pPr>
      <w:r>
        <w:t xml:space="preserve">Hippocrates, </w:t>
      </w:r>
      <w:r>
        <w:rPr>
          <w:rFonts w:ascii="zephtextregular" w:hAnsi="zephtextregular"/>
          <w:i/>
          <w:iCs/>
          <w:color w:val="333333"/>
          <w:spacing w:val="-2"/>
          <w:shd w:val="clear" w:color="auto" w:fill="FFFFFF"/>
        </w:rPr>
        <w:t>Sacred Disease</w:t>
      </w:r>
      <w:r>
        <w:rPr>
          <w:rFonts w:ascii="zephtextregular" w:hAnsi="zephtextregular"/>
          <w:color w:val="333333"/>
          <w:spacing w:val="-2"/>
          <w:shd w:val="clear" w:color="auto" w:fill="FFFFFF"/>
        </w:rPr>
        <w:t xml:space="preserve">: P. Potter (ed. and </w:t>
      </w:r>
      <w:proofErr w:type="spellStart"/>
      <w:r>
        <w:rPr>
          <w:rFonts w:ascii="zephtextregular" w:hAnsi="zephtextregular"/>
          <w:color w:val="333333"/>
          <w:spacing w:val="-2"/>
          <w:shd w:val="clear" w:color="auto" w:fill="FFFFFF"/>
        </w:rPr>
        <w:t>trs</w:t>
      </w:r>
      <w:proofErr w:type="spellEnd"/>
      <w:r>
        <w:rPr>
          <w:rFonts w:ascii="zephtextregular" w:hAnsi="zephtextregular"/>
          <w:color w:val="333333"/>
          <w:spacing w:val="-2"/>
          <w:shd w:val="clear" w:color="auto" w:fill="FFFFFF"/>
        </w:rPr>
        <w:t>.), Loeb Classical Library, (Cambridge: Harvard University Press, Vol II, 2023) 136-186</w:t>
      </w:r>
    </w:p>
    <w:p w14:paraId="37D65093" w14:textId="77777777" w:rsidR="00DB50A9" w:rsidRDefault="00DB50A9" w:rsidP="00825A15"/>
    <w:p w14:paraId="311436BA" w14:textId="77777777" w:rsidR="00DB50A9" w:rsidRDefault="00DB50A9" w:rsidP="00DB50A9">
      <w:r w:rsidRPr="0033137B">
        <w:t>Pausanias</w:t>
      </w:r>
      <w:r w:rsidRPr="0033137B">
        <w:rPr>
          <w:i/>
          <w:iCs/>
        </w:rPr>
        <w:t>, Description of Greece</w:t>
      </w:r>
      <w:r w:rsidRPr="0033137B">
        <w:t xml:space="preserve">: W.H.S. Jones (ed. and </w:t>
      </w:r>
      <w:proofErr w:type="spellStart"/>
      <w:r w:rsidRPr="0033137B">
        <w:t>trs</w:t>
      </w:r>
      <w:proofErr w:type="spellEnd"/>
      <w:r w:rsidRPr="0033137B">
        <w:t>.), Loeb Classical Library, (Cambridge: Harvard University Press, Vol III, 1966)</w:t>
      </w:r>
    </w:p>
    <w:p w14:paraId="64E144AB" w14:textId="77777777" w:rsidR="00DB50A9" w:rsidRDefault="00DB50A9" w:rsidP="00825A15"/>
    <w:p w14:paraId="7DA00859" w14:textId="4A815B6C" w:rsidR="0018231A" w:rsidRDefault="00A36D66" w:rsidP="0018231A">
      <w:pPr>
        <w:spacing w:line="480" w:lineRule="auto"/>
      </w:pPr>
      <w:r>
        <w:rPr>
          <w:color w:val="333333"/>
          <w:spacing w:val="-2"/>
          <w:shd w:val="clear" w:color="auto" w:fill="FFFFFF"/>
        </w:rPr>
        <w:t>Plato</w:t>
      </w:r>
      <w:r w:rsidRPr="0033137B">
        <w:rPr>
          <w:color w:val="333333"/>
          <w:spacing w:val="-2"/>
          <w:shd w:val="clear" w:color="auto" w:fill="FFFFFF"/>
        </w:rPr>
        <w:t xml:space="preserve">, </w:t>
      </w:r>
      <w:r>
        <w:rPr>
          <w:i/>
          <w:iCs/>
        </w:rPr>
        <w:t>Timaeus</w:t>
      </w:r>
      <w:r w:rsidRPr="0033137B">
        <w:t>:</w:t>
      </w:r>
      <w:r w:rsidRPr="0033137B">
        <w:rPr>
          <w:shd w:val="clear" w:color="auto" w:fill="FFFFFF"/>
        </w:rPr>
        <w:t xml:space="preserve"> W. Heinemann Ltd </w:t>
      </w:r>
      <w:r w:rsidRPr="0033137B">
        <w:t xml:space="preserve">(ed. and </w:t>
      </w:r>
      <w:proofErr w:type="spellStart"/>
      <w:r w:rsidRPr="0033137B">
        <w:t>trs</w:t>
      </w:r>
      <w:proofErr w:type="spellEnd"/>
      <w:r w:rsidRPr="0033137B">
        <w:t>.), Loeb Classical Library, (Cambridge: Harvard University Press, 2015)</w:t>
      </w:r>
    </w:p>
    <w:p w14:paraId="62AB7689" w14:textId="77777777" w:rsidR="0018231A" w:rsidRPr="00493E0D" w:rsidRDefault="0018231A" w:rsidP="0018231A">
      <w:pPr>
        <w:spacing w:line="480" w:lineRule="auto"/>
      </w:pPr>
      <w:r w:rsidRPr="00493E0D">
        <w:rPr>
          <w:color w:val="333333"/>
          <w:spacing w:val="-2"/>
          <w:shd w:val="clear" w:color="auto" w:fill="FFFFFF"/>
        </w:rPr>
        <w:t>Plutarch</w:t>
      </w:r>
      <w:r w:rsidRPr="00493E0D">
        <w:rPr>
          <w:i/>
          <w:iCs/>
          <w:color w:val="333333"/>
          <w:spacing w:val="-2"/>
          <w:shd w:val="clear" w:color="auto" w:fill="FFFFFF"/>
        </w:rPr>
        <w:t>, Isis and Osiris</w:t>
      </w:r>
      <w:r w:rsidRPr="00493E0D">
        <w:t xml:space="preserve">: </w:t>
      </w:r>
      <w:r w:rsidRPr="00493E0D">
        <w:rPr>
          <w:color w:val="333333"/>
          <w:spacing w:val="-2"/>
          <w:shd w:val="clear" w:color="auto" w:fill="FFFFFF"/>
        </w:rPr>
        <w:t>F.C. Babbitt et al.</w:t>
      </w:r>
      <w:r w:rsidRPr="00493E0D">
        <w:t xml:space="preserve"> (ed. and </w:t>
      </w:r>
      <w:proofErr w:type="spellStart"/>
      <w:r w:rsidRPr="00493E0D">
        <w:t>trs</w:t>
      </w:r>
      <w:proofErr w:type="spellEnd"/>
      <w:r w:rsidRPr="00493E0D">
        <w:t>.), Loeb Classical Library, (Cambridge: Harvard University Press, 2005)</w:t>
      </w:r>
    </w:p>
    <w:p w14:paraId="1E8EADBA" w14:textId="77777777" w:rsidR="0018231A" w:rsidRPr="00A36D66" w:rsidRDefault="0018231A" w:rsidP="00A36D66">
      <w:pPr>
        <w:spacing w:line="480" w:lineRule="auto"/>
      </w:pPr>
    </w:p>
    <w:p w14:paraId="6E6EADD1" w14:textId="7C3D5CC9" w:rsidR="007016D7" w:rsidRPr="00185C43" w:rsidRDefault="007016D7" w:rsidP="00825A15">
      <w:pPr>
        <w:pStyle w:val="Heading2"/>
      </w:pPr>
      <w:r w:rsidRPr="00185C43">
        <w:lastRenderedPageBreak/>
        <w:t>Secondary Sources</w:t>
      </w:r>
    </w:p>
    <w:p w14:paraId="1FC8716C" w14:textId="03FC5C80" w:rsidR="007016D7" w:rsidRDefault="007016D7" w:rsidP="007016D7">
      <w:pPr>
        <w:jc w:val="both"/>
      </w:pPr>
      <w:r w:rsidRPr="00185C43">
        <w:t xml:space="preserve">Addey, Crystal, ‘Mirrors and Divination: Catoptromancy, Oracles and Earth Goddesses in Antiquity,’ in </w:t>
      </w:r>
      <w:r w:rsidRPr="00185C43">
        <w:rPr>
          <w:i/>
          <w:iCs/>
        </w:rPr>
        <w:t xml:space="preserve">The Book of the Mirror: An Interdisciplinary Collection exploring the Cultural Story of the Mirror, </w:t>
      </w:r>
      <w:r w:rsidRPr="00185C43">
        <w:t xml:space="preserve">ed. By M. Anderson (Cambridge: Cambridge Scholars Press, 2007) 32-46  </w:t>
      </w:r>
    </w:p>
    <w:p w14:paraId="2AB9AB2B" w14:textId="77777777" w:rsidR="0018231A" w:rsidRPr="00185C43" w:rsidRDefault="0018231A" w:rsidP="007016D7">
      <w:pPr>
        <w:jc w:val="both"/>
      </w:pPr>
    </w:p>
    <w:p w14:paraId="315BA2C4" w14:textId="6FAA1DE2" w:rsidR="00700B6B" w:rsidRDefault="00700B6B" w:rsidP="00700B6B">
      <w:r w:rsidRPr="00185C43">
        <w:t>Addey, Crystal, ‘Introduction: divination and knowledge in ancient Greek and Roman cultures’ in ‘</w:t>
      </w:r>
      <w:r w:rsidRPr="00185C43">
        <w:rPr>
          <w:i/>
          <w:iCs/>
        </w:rPr>
        <w:t xml:space="preserve">Divination and knowledge in Greco-Roman antiquity,’ </w:t>
      </w:r>
      <w:r w:rsidRPr="00185C43">
        <w:t>ed. By Crystal Addey (London: Routledge, 2022) 1-29</w:t>
      </w:r>
    </w:p>
    <w:p w14:paraId="7FAB40AB" w14:textId="77777777" w:rsidR="0018231A" w:rsidRPr="00185C43" w:rsidRDefault="0018231A" w:rsidP="00700B6B"/>
    <w:p w14:paraId="7D3610CF" w14:textId="103CAD3A" w:rsidR="004837EA" w:rsidRPr="00185C43" w:rsidRDefault="004837EA" w:rsidP="00CE7782">
      <w:pPr>
        <w:shd w:val="clear" w:color="auto" w:fill="FFFFFF"/>
        <w:spacing w:after="0" w:line="336" w:lineRule="atLeast"/>
        <w:rPr>
          <w:rFonts w:eastAsia="Times New Roman" w:cs="Times New Roman"/>
          <w:color w:val="3A3A3A"/>
          <w:kern w:val="0"/>
          <w:lang w:eastAsia="en-GB"/>
          <w14:ligatures w14:val="none"/>
        </w:rPr>
      </w:pPr>
      <w:proofErr w:type="spellStart"/>
      <w:r w:rsidRPr="00185C43">
        <w:rPr>
          <w:rFonts w:eastAsia="Times New Roman" w:cs="Times New Roman"/>
          <w:color w:val="3A3A3A"/>
          <w:kern w:val="0"/>
          <w:lang w:eastAsia="en-GB"/>
          <w14:ligatures w14:val="none"/>
        </w:rPr>
        <w:t>Askitopoulou</w:t>
      </w:r>
      <w:proofErr w:type="spellEnd"/>
      <w:r w:rsidRPr="00185C43">
        <w:rPr>
          <w:rFonts w:eastAsia="Times New Roman" w:cs="Times New Roman"/>
          <w:color w:val="3A3A3A"/>
          <w:kern w:val="0"/>
          <w:lang w:eastAsia="en-GB"/>
          <w14:ligatures w14:val="none"/>
        </w:rPr>
        <w:t xml:space="preserve">, Helen, ‘Sleep and Dreams: From Myth to Medicine in Ancient Greece’ </w:t>
      </w:r>
      <w:r w:rsidRPr="00185C43">
        <w:rPr>
          <w:rFonts w:eastAsia="Times New Roman" w:cs="Times New Roman"/>
          <w:i/>
          <w:iCs/>
          <w:color w:val="3A3A3A"/>
          <w:kern w:val="0"/>
          <w:lang w:eastAsia="en-GB"/>
          <w14:ligatures w14:val="none"/>
        </w:rPr>
        <w:t xml:space="preserve">Journal of </w:t>
      </w:r>
      <w:proofErr w:type="spellStart"/>
      <w:r w:rsidRPr="00185C43">
        <w:rPr>
          <w:rFonts w:eastAsia="Times New Roman" w:cs="Times New Roman"/>
          <w:i/>
          <w:iCs/>
          <w:color w:val="3A3A3A"/>
          <w:kern w:val="0"/>
          <w:lang w:eastAsia="en-GB"/>
          <w14:ligatures w14:val="none"/>
        </w:rPr>
        <w:t>anesthesia</w:t>
      </w:r>
      <w:proofErr w:type="spellEnd"/>
      <w:r w:rsidRPr="00185C43">
        <w:rPr>
          <w:rFonts w:eastAsia="Times New Roman" w:cs="Times New Roman"/>
          <w:i/>
          <w:iCs/>
          <w:color w:val="3A3A3A"/>
          <w:kern w:val="0"/>
          <w:lang w:eastAsia="en-GB"/>
          <w14:ligatures w14:val="none"/>
        </w:rPr>
        <w:t xml:space="preserve"> history, </w:t>
      </w:r>
      <w:r w:rsidRPr="00185C43">
        <w:rPr>
          <w:rFonts w:eastAsia="Times New Roman" w:cs="Times New Roman"/>
          <w:color w:val="3A3A3A"/>
          <w:kern w:val="0"/>
          <w:lang w:eastAsia="en-GB"/>
          <w14:ligatures w14:val="none"/>
        </w:rPr>
        <w:t>1:3 (2015-07) 70-75</w:t>
      </w:r>
    </w:p>
    <w:p w14:paraId="3BC8C4CB" w14:textId="77777777" w:rsidR="00CE7782" w:rsidRDefault="00CE7782" w:rsidP="00CE7782">
      <w:pPr>
        <w:shd w:val="clear" w:color="auto" w:fill="FFFFFF"/>
        <w:spacing w:after="0" w:line="336" w:lineRule="atLeast"/>
        <w:rPr>
          <w:rFonts w:eastAsia="Times New Roman" w:cs="Times New Roman"/>
          <w:color w:val="3A3A3A"/>
          <w:kern w:val="0"/>
          <w:lang w:eastAsia="en-GB"/>
          <w14:ligatures w14:val="none"/>
        </w:rPr>
      </w:pPr>
    </w:p>
    <w:p w14:paraId="1FB080AA" w14:textId="77777777" w:rsidR="0018231A" w:rsidRPr="00185C43" w:rsidRDefault="0018231A" w:rsidP="00CE7782">
      <w:pPr>
        <w:shd w:val="clear" w:color="auto" w:fill="FFFFFF"/>
        <w:spacing w:after="0" w:line="336" w:lineRule="atLeast"/>
        <w:rPr>
          <w:rFonts w:eastAsia="Times New Roman" w:cs="Times New Roman"/>
          <w:color w:val="3A3A3A"/>
          <w:kern w:val="0"/>
          <w:lang w:eastAsia="en-GB"/>
          <w14:ligatures w14:val="none"/>
        </w:rPr>
      </w:pPr>
    </w:p>
    <w:p w14:paraId="720286CA" w14:textId="65AE6266" w:rsidR="000E2038" w:rsidRDefault="000E2038" w:rsidP="000E2038">
      <w:pPr>
        <w:spacing w:line="480" w:lineRule="auto"/>
        <w:rPr>
          <w:color w:val="3A3A3A"/>
        </w:rPr>
      </w:pPr>
      <w:r w:rsidRPr="00185C43">
        <w:rPr>
          <w:color w:val="3A3A3A"/>
        </w:rPr>
        <w:t xml:space="preserve">Evans, James, ‘The Astrologer's Apparatus: A Picture of Professional Practice in Greco-Roman Egypt,’ </w:t>
      </w:r>
      <w:r w:rsidRPr="00185C43">
        <w:rPr>
          <w:i/>
          <w:iCs/>
          <w:color w:val="3A3A3A"/>
        </w:rPr>
        <w:t xml:space="preserve">Journal for the History of Astronomy, </w:t>
      </w:r>
      <w:r w:rsidRPr="00185C43">
        <w:rPr>
          <w:color w:val="3A3A3A"/>
        </w:rPr>
        <w:t>35:1 (2004-2), 1-44</w:t>
      </w:r>
    </w:p>
    <w:p w14:paraId="52D6470C" w14:textId="77777777" w:rsidR="0018231A" w:rsidRPr="00185C43" w:rsidRDefault="0018231A" w:rsidP="000E2038">
      <w:pPr>
        <w:spacing w:line="480" w:lineRule="auto"/>
      </w:pPr>
    </w:p>
    <w:p w14:paraId="065464A4" w14:textId="58A9C4BF" w:rsidR="00D2663B" w:rsidRDefault="00D2663B" w:rsidP="00D2663B">
      <w:pPr>
        <w:pStyle w:val="FootnoteText"/>
        <w:spacing w:line="480" w:lineRule="auto"/>
        <w:rPr>
          <w:color w:val="3A3A3A"/>
          <w:sz w:val="24"/>
          <w:szCs w:val="24"/>
          <w:shd w:val="clear" w:color="auto" w:fill="FFFFFF"/>
        </w:rPr>
      </w:pPr>
      <w:r w:rsidRPr="00185C43">
        <w:rPr>
          <w:sz w:val="24"/>
          <w:szCs w:val="24"/>
        </w:rPr>
        <w:t xml:space="preserve">Flower, Michael, </w:t>
      </w:r>
      <w:r w:rsidRPr="00185C43">
        <w:rPr>
          <w:i/>
          <w:iCs/>
          <w:sz w:val="24"/>
          <w:szCs w:val="24"/>
        </w:rPr>
        <w:t>The Seer in Ancient Greece</w:t>
      </w:r>
      <w:r w:rsidRPr="00185C43">
        <w:rPr>
          <w:sz w:val="24"/>
          <w:szCs w:val="24"/>
        </w:rPr>
        <w:t>, (</w:t>
      </w:r>
      <w:r w:rsidRPr="00185C43">
        <w:rPr>
          <w:color w:val="3A3A3A"/>
          <w:sz w:val="24"/>
          <w:szCs w:val="24"/>
          <w:shd w:val="clear" w:color="auto" w:fill="FFFFFF"/>
        </w:rPr>
        <w:t>Berkeley: University of California Press, 2008), 104-131</w:t>
      </w:r>
    </w:p>
    <w:p w14:paraId="5096F000" w14:textId="77777777" w:rsidR="0018231A" w:rsidRPr="00185C43" w:rsidRDefault="0018231A" w:rsidP="00D2663B">
      <w:pPr>
        <w:pStyle w:val="FootnoteText"/>
        <w:spacing w:line="480" w:lineRule="auto"/>
        <w:rPr>
          <w:color w:val="3A3A3A"/>
          <w:sz w:val="24"/>
          <w:szCs w:val="24"/>
          <w:shd w:val="clear" w:color="auto" w:fill="FFFFFF"/>
        </w:rPr>
      </w:pPr>
    </w:p>
    <w:p w14:paraId="4B6AA425" w14:textId="12842D7D" w:rsidR="001C4F28" w:rsidRDefault="001C4F28" w:rsidP="001C4F28">
      <w:pPr>
        <w:rPr>
          <w:lang w:val="en-US"/>
        </w:rPr>
      </w:pPr>
      <w:r w:rsidRPr="00185C43">
        <w:rPr>
          <w:lang w:val="en-US"/>
        </w:rPr>
        <w:t>Greenbaum, Dorian, Gieseler, ‘Hellenistic Astronomy in Medicine’, in ‘</w:t>
      </w:r>
      <w:r w:rsidRPr="00185C43">
        <w:rPr>
          <w:i/>
          <w:iCs/>
          <w:lang w:val="en-US"/>
        </w:rPr>
        <w:t>Hellenistic Astronomy: The Science in its Contexts</w:t>
      </w:r>
      <w:r w:rsidRPr="00185C43">
        <w:rPr>
          <w:lang w:val="en-US"/>
        </w:rPr>
        <w:t xml:space="preserve">,’ eds. By A. C. Bowen and F. </w:t>
      </w:r>
      <w:proofErr w:type="spellStart"/>
      <w:r w:rsidRPr="00185C43">
        <w:rPr>
          <w:lang w:val="en-US"/>
        </w:rPr>
        <w:t>Rochberg</w:t>
      </w:r>
      <w:proofErr w:type="spellEnd"/>
      <w:r w:rsidRPr="00185C43">
        <w:rPr>
          <w:lang w:val="en-US"/>
        </w:rPr>
        <w:t xml:space="preserve"> (Leiden/Boston: Brill, 2020) 350-80. </w:t>
      </w:r>
    </w:p>
    <w:p w14:paraId="205550FD" w14:textId="77777777" w:rsidR="0018231A" w:rsidRPr="00185C43" w:rsidRDefault="0018231A" w:rsidP="001C4F28">
      <w:pPr>
        <w:rPr>
          <w:lang w:val="en-US"/>
        </w:rPr>
      </w:pPr>
    </w:p>
    <w:p w14:paraId="07AF409B" w14:textId="4A4B5D37" w:rsidR="00120FE4" w:rsidRDefault="00120FE4" w:rsidP="00120FE4">
      <w:r w:rsidRPr="00185C43">
        <w:t xml:space="preserve">Greenbaum, Dorian, </w:t>
      </w:r>
      <w:r w:rsidR="00A02ADA" w:rsidRPr="00185C43">
        <w:rPr>
          <w:lang w:val="en-US"/>
        </w:rPr>
        <w:t>Gieseler,</w:t>
      </w:r>
      <w:r w:rsidR="00A02ADA" w:rsidRPr="00185C43">
        <w:t xml:space="preserve"> </w:t>
      </w:r>
      <w:r w:rsidRPr="00185C43">
        <w:t xml:space="preserve">‘Divination and </w:t>
      </w:r>
      <w:proofErr w:type="spellStart"/>
      <w:r w:rsidRPr="00185C43">
        <w:t>Decumbiture</w:t>
      </w:r>
      <w:proofErr w:type="spellEnd"/>
      <w:r w:rsidRPr="00185C43">
        <w:t xml:space="preserve">: </w:t>
      </w:r>
      <w:proofErr w:type="spellStart"/>
      <w:r w:rsidRPr="00185C43">
        <w:t>Katarchic</w:t>
      </w:r>
      <w:proofErr w:type="spellEnd"/>
      <w:r w:rsidRPr="00185C43">
        <w:t xml:space="preserve"> Astrology and Greek Medicine’ in ‘</w:t>
      </w:r>
      <w:r w:rsidRPr="00185C43">
        <w:rPr>
          <w:i/>
          <w:iCs/>
        </w:rPr>
        <w:t xml:space="preserve">Divination and knowledge in Greco-Roman antiquity,’ </w:t>
      </w:r>
      <w:r w:rsidRPr="00185C43">
        <w:t>ed. By Crystal Addey (London: Routledge, 2022) pp:</w:t>
      </w:r>
      <w:r w:rsidR="00460563" w:rsidRPr="00185C43">
        <w:t>109-137</w:t>
      </w:r>
    </w:p>
    <w:p w14:paraId="11C99EC2" w14:textId="77777777" w:rsidR="0018231A" w:rsidRPr="00185C43" w:rsidRDefault="0018231A" w:rsidP="00120FE4"/>
    <w:p w14:paraId="3D823234" w14:textId="7CA6E56F" w:rsidR="00767F6A" w:rsidRDefault="00767F6A" w:rsidP="00767F6A">
      <w:pPr>
        <w:pStyle w:val="FootnoteText"/>
        <w:rPr>
          <w:sz w:val="24"/>
          <w:szCs w:val="24"/>
        </w:rPr>
      </w:pPr>
      <w:r w:rsidRPr="00185C43">
        <w:rPr>
          <w:sz w:val="24"/>
          <w:szCs w:val="24"/>
        </w:rPr>
        <w:t xml:space="preserve">Jouanna, Jacques, </w:t>
      </w:r>
      <w:r w:rsidRPr="00185C43">
        <w:rPr>
          <w:i/>
          <w:iCs/>
          <w:sz w:val="24"/>
          <w:szCs w:val="24"/>
        </w:rPr>
        <w:t>Greek Medicine from Hippocrates to Galen</w:t>
      </w:r>
      <w:r w:rsidRPr="00185C43">
        <w:rPr>
          <w:sz w:val="24"/>
          <w:szCs w:val="24"/>
        </w:rPr>
        <w:t>, Trans. By Neil Allies (Leiden/Boston: Brill, 2012) 97-118</w:t>
      </w:r>
    </w:p>
    <w:p w14:paraId="5EA90BA8" w14:textId="77777777" w:rsidR="0018231A" w:rsidRPr="00185C43" w:rsidRDefault="0018231A" w:rsidP="00767F6A">
      <w:pPr>
        <w:pStyle w:val="FootnoteText"/>
        <w:rPr>
          <w:sz w:val="24"/>
          <w:szCs w:val="24"/>
        </w:rPr>
      </w:pPr>
    </w:p>
    <w:p w14:paraId="287194B1" w14:textId="28621515" w:rsidR="00AF2FC3" w:rsidRDefault="00AF2FC3" w:rsidP="00120FE4">
      <w:r w:rsidRPr="00185C43">
        <w:lastRenderedPageBreak/>
        <w:t xml:space="preserve">Machemer, G.A, ‘Medicine, Music, and Magic: The Healing Grace of Pindar's Fourth Nemean,’ </w:t>
      </w:r>
      <w:r w:rsidRPr="00185C43">
        <w:rPr>
          <w:i/>
          <w:iCs/>
        </w:rPr>
        <w:t xml:space="preserve">Harvard Studies in Classical Philology </w:t>
      </w:r>
      <w:r w:rsidRPr="00185C43">
        <w:t>95 (1993), 113-141</w:t>
      </w:r>
    </w:p>
    <w:p w14:paraId="751966E2" w14:textId="77777777" w:rsidR="0018231A" w:rsidRPr="00185C43" w:rsidRDefault="0018231A" w:rsidP="00120FE4"/>
    <w:p w14:paraId="747225B9" w14:textId="58FF02A6" w:rsidR="0098766A" w:rsidRDefault="001F4121" w:rsidP="0098766A">
      <w:r w:rsidRPr="00185C43">
        <w:t xml:space="preserve">Nutton, Vivian, </w:t>
      </w:r>
      <w:r w:rsidRPr="00185C43">
        <w:rPr>
          <w:i/>
          <w:iCs/>
        </w:rPr>
        <w:t>Ancient Religion</w:t>
      </w:r>
      <w:r w:rsidRPr="00185C43">
        <w:t xml:space="preserve"> (London: Routledge, 2004)</w:t>
      </w:r>
      <w:r w:rsidR="00D2663B" w:rsidRPr="00185C43">
        <w:t xml:space="preserve"> </w:t>
      </w:r>
      <w:r w:rsidRPr="00185C43">
        <w:t>1-17, 37-52, 52-77, 103-114,  248-271</w:t>
      </w:r>
    </w:p>
    <w:p w14:paraId="39F38DDC" w14:textId="77777777" w:rsidR="0018231A" w:rsidRPr="00185C43" w:rsidRDefault="0018231A" w:rsidP="0098766A"/>
    <w:p w14:paraId="4BBCFA47" w14:textId="45372923" w:rsidR="0018231A" w:rsidRPr="00185C43" w:rsidRDefault="0098766A" w:rsidP="00860F59">
      <w:pPr>
        <w:spacing w:line="480" w:lineRule="auto"/>
      </w:pPr>
      <w:r w:rsidRPr="00185C43">
        <w:t xml:space="preserve">Ogden, </w:t>
      </w:r>
      <w:r w:rsidRPr="00185C43">
        <w:rPr>
          <w:i/>
          <w:iCs/>
        </w:rPr>
        <w:t>Magic, Witchcraft, and Ghosts in the Greek and Roman Worlds,</w:t>
      </w:r>
      <w:r w:rsidRPr="00185C43">
        <w:t xml:space="preserve"> (New York: Oxford University Press, 2002) 237-240</w:t>
      </w:r>
    </w:p>
    <w:p w14:paraId="69E6D86B" w14:textId="77777777" w:rsidR="00603335" w:rsidRPr="00185C43" w:rsidRDefault="00603335" w:rsidP="00603335">
      <w:pPr>
        <w:rPr>
          <w:color w:val="333333"/>
          <w:spacing w:val="-2"/>
          <w:shd w:val="clear" w:color="auto" w:fill="FFFFFF"/>
          <w:lang w:val="en-US"/>
        </w:rPr>
      </w:pPr>
      <w:r w:rsidRPr="00185C43">
        <w:rPr>
          <w:color w:val="333333"/>
          <w:spacing w:val="-2"/>
          <w:shd w:val="clear" w:color="auto" w:fill="FFFFFF"/>
          <w:lang w:val="en-US"/>
        </w:rPr>
        <w:t xml:space="preserve">Renberg, Gil, H, </w:t>
      </w:r>
      <w:r w:rsidRPr="00185C43">
        <w:rPr>
          <w:i/>
          <w:iCs/>
          <w:color w:val="333333"/>
          <w:spacing w:val="-2"/>
          <w:shd w:val="clear" w:color="auto" w:fill="FFFFFF"/>
          <w:lang w:val="en-US"/>
        </w:rPr>
        <w:t>Where Dreams May Come: Incubation Sanctuaries in the Greco-Roman World</w:t>
      </w:r>
      <w:r w:rsidRPr="00185C43">
        <w:rPr>
          <w:color w:val="333333"/>
          <w:spacing w:val="-2"/>
          <w:shd w:val="clear" w:color="auto" w:fill="FFFFFF"/>
          <w:lang w:val="en-US"/>
        </w:rPr>
        <w:t xml:space="preserve">, (Leiden/Boston: Brill, 2017), 1-35, 115-80, 329-392 </w:t>
      </w:r>
    </w:p>
    <w:p w14:paraId="4CC98457" w14:textId="77777777" w:rsidR="00603335" w:rsidRPr="00603335" w:rsidRDefault="00603335" w:rsidP="0098766A">
      <w:pPr>
        <w:spacing w:line="480" w:lineRule="auto"/>
        <w:rPr>
          <w:lang w:val="en-US"/>
        </w:rPr>
      </w:pPr>
    </w:p>
    <w:p w14:paraId="3584D131" w14:textId="77777777" w:rsidR="0001569F" w:rsidRDefault="0001569F" w:rsidP="0098766A">
      <w:pPr>
        <w:spacing w:line="480" w:lineRule="auto"/>
      </w:pPr>
    </w:p>
    <w:p w14:paraId="24C2CB23" w14:textId="77777777" w:rsidR="0088522D" w:rsidRDefault="0088522D" w:rsidP="0098766A">
      <w:pPr>
        <w:spacing w:line="480" w:lineRule="auto"/>
        <w:rPr>
          <w:rFonts w:ascii="Source Sans Pro" w:hAnsi="Source Sans Pro"/>
          <w:color w:val="3A3A3A"/>
          <w:sz w:val="23"/>
          <w:szCs w:val="23"/>
        </w:rPr>
      </w:pPr>
    </w:p>
    <w:sectPr w:rsidR="0088522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320643" w14:textId="77777777" w:rsidR="00F560F5" w:rsidRDefault="00F560F5" w:rsidP="00D83FE2">
      <w:pPr>
        <w:spacing w:after="0" w:line="240" w:lineRule="auto"/>
      </w:pPr>
      <w:r>
        <w:separator/>
      </w:r>
    </w:p>
  </w:endnote>
  <w:endnote w:type="continuationSeparator" w:id="0">
    <w:p w14:paraId="70A60136" w14:textId="77777777" w:rsidR="00F560F5" w:rsidRDefault="00F560F5" w:rsidP="00D83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zephtextregular">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4042727"/>
      <w:docPartObj>
        <w:docPartGallery w:val="Page Numbers (Bottom of Page)"/>
        <w:docPartUnique/>
      </w:docPartObj>
    </w:sdtPr>
    <w:sdtEndPr>
      <w:rPr>
        <w:noProof/>
      </w:rPr>
    </w:sdtEndPr>
    <w:sdtContent>
      <w:p w14:paraId="14017AA9" w14:textId="41275D73" w:rsidR="00E4048B" w:rsidRDefault="00E404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E9A0AF" w14:textId="77777777" w:rsidR="00E4048B" w:rsidRDefault="00E40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8933F" w14:textId="77777777" w:rsidR="00F560F5" w:rsidRDefault="00F560F5" w:rsidP="00D83FE2">
      <w:pPr>
        <w:spacing w:after="0" w:line="240" w:lineRule="auto"/>
      </w:pPr>
      <w:r>
        <w:separator/>
      </w:r>
    </w:p>
  </w:footnote>
  <w:footnote w:type="continuationSeparator" w:id="0">
    <w:p w14:paraId="5B2276B0" w14:textId="77777777" w:rsidR="00F560F5" w:rsidRDefault="00F560F5" w:rsidP="00D83FE2">
      <w:pPr>
        <w:spacing w:after="0" w:line="240" w:lineRule="auto"/>
      </w:pPr>
      <w:r>
        <w:continuationSeparator/>
      </w:r>
    </w:p>
  </w:footnote>
  <w:footnote w:id="1">
    <w:p w14:paraId="0D1D028A" w14:textId="47FDB03E" w:rsidR="00946E4E" w:rsidRPr="00860F59" w:rsidRDefault="00946E4E" w:rsidP="00460563">
      <w:pPr>
        <w:rPr>
          <w:sz w:val="20"/>
          <w:szCs w:val="20"/>
        </w:rPr>
      </w:pPr>
      <w:r w:rsidRPr="00860F59">
        <w:rPr>
          <w:rStyle w:val="FootnoteReference"/>
          <w:sz w:val="20"/>
          <w:szCs w:val="20"/>
        </w:rPr>
        <w:footnoteRef/>
      </w:r>
      <w:r w:rsidRPr="00860F59">
        <w:rPr>
          <w:sz w:val="20"/>
          <w:szCs w:val="20"/>
        </w:rPr>
        <w:t xml:space="preserve"> </w:t>
      </w:r>
      <w:r w:rsidR="00460563" w:rsidRPr="00860F59">
        <w:rPr>
          <w:sz w:val="20"/>
          <w:szCs w:val="20"/>
        </w:rPr>
        <w:t xml:space="preserve">Greenbaum, Dorian, ‘Divination and </w:t>
      </w:r>
      <w:proofErr w:type="spellStart"/>
      <w:r w:rsidR="00460563" w:rsidRPr="00860F59">
        <w:rPr>
          <w:sz w:val="20"/>
          <w:szCs w:val="20"/>
        </w:rPr>
        <w:t>Decumbiture</w:t>
      </w:r>
      <w:proofErr w:type="spellEnd"/>
      <w:r w:rsidR="00460563" w:rsidRPr="00860F59">
        <w:rPr>
          <w:sz w:val="20"/>
          <w:szCs w:val="20"/>
        </w:rPr>
        <w:t xml:space="preserve">: </w:t>
      </w:r>
      <w:proofErr w:type="spellStart"/>
      <w:r w:rsidR="00460563" w:rsidRPr="00860F59">
        <w:rPr>
          <w:sz w:val="20"/>
          <w:szCs w:val="20"/>
        </w:rPr>
        <w:t>Katarchic</w:t>
      </w:r>
      <w:proofErr w:type="spellEnd"/>
      <w:r w:rsidR="00460563" w:rsidRPr="00860F59">
        <w:rPr>
          <w:sz w:val="20"/>
          <w:szCs w:val="20"/>
        </w:rPr>
        <w:t xml:space="preserve"> Astrology and Greek Medicine’ in ‘</w:t>
      </w:r>
      <w:r w:rsidR="00460563" w:rsidRPr="00860F59">
        <w:rPr>
          <w:i/>
          <w:iCs/>
          <w:sz w:val="20"/>
          <w:szCs w:val="20"/>
        </w:rPr>
        <w:t xml:space="preserve">Divination and knowledge in Greco-Roman antiquity,’ </w:t>
      </w:r>
      <w:r w:rsidR="00460563" w:rsidRPr="00860F59">
        <w:rPr>
          <w:sz w:val="20"/>
          <w:szCs w:val="20"/>
        </w:rPr>
        <w:t>ed. By Crystal Addey (London: Routledge, 2022) pp:109-137 (p.126).</w:t>
      </w:r>
    </w:p>
  </w:footnote>
  <w:footnote w:id="2">
    <w:p w14:paraId="47B02B54" w14:textId="64F16AFB" w:rsidR="000F0E8B" w:rsidRPr="00860F59" w:rsidRDefault="000F0E8B" w:rsidP="001F4121">
      <w:pPr>
        <w:rPr>
          <w:sz w:val="20"/>
          <w:szCs w:val="20"/>
        </w:rPr>
      </w:pPr>
      <w:r w:rsidRPr="00860F59">
        <w:rPr>
          <w:rStyle w:val="FootnoteReference"/>
          <w:sz w:val="20"/>
          <w:szCs w:val="20"/>
        </w:rPr>
        <w:footnoteRef/>
      </w:r>
      <w:r w:rsidRPr="00860F59">
        <w:rPr>
          <w:sz w:val="20"/>
          <w:szCs w:val="20"/>
        </w:rPr>
        <w:t xml:space="preserve"> </w:t>
      </w:r>
      <w:r w:rsidR="001F4121" w:rsidRPr="00860F59">
        <w:rPr>
          <w:sz w:val="20"/>
          <w:szCs w:val="20"/>
        </w:rPr>
        <w:t>Nutton, Vivian, Ancient Religion (London: Routledge, 2004) pp:1-17, 37-52, 52-77, 103-114,  248-271 (p.12).</w:t>
      </w:r>
    </w:p>
  </w:footnote>
  <w:footnote w:id="3">
    <w:p w14:paraId="2078D25E" w14:textId="730A4E0A" w:rsidR="0075380E" w:rsidRPr="00860F59" w:rsidRDefault="0075380E" w:rsidP="00860F59">
      <w:pPr>
        <w:rPr>
          <w:sz w:val="20"/>
          <w:szCs w:val="20"/>
        </w:rPr>
      </w:pPr>
      <w:r w:rsidRPr="00860F59">
        <w:rPr>
          <w:rStyle w:val="FootnoteReference"/>
          <w:sz w:val="20"/>
          <w:szCs w:val="20"/>
        </w:rPr>
        <w:footnoteRef/>
      </w:r>
      <w:r w:rsidRPr="00860F59">
        <w:rPr>
          <w:sz w:val="20"/>
          <w:szCs w:val="20"/>
        </w:rPr>
        <w:t xml:space="preserve"> </w:t>
      </w:r>
      <w:r w:rsidR="007F0CA9" w:rsidRPr="00860F59">
        <w:rPr>
          <w:sz w:val="20"/>
          <w:szCs w:val="20"/>
        </w:rPr>
        <w:t>Addey, Crystal, ‘Introduction: divination and knowledge in ancient Greek and Roman cultures’ in ‘</w:t>
      </w:r>
      <w:r w:rsidR="007F0CA9" w:rsidRPr="00860F59">
        <w:rPr>
          <w:i/>
          <w:iCs/>
          <w:sz w:val="20"/>
          <w:szCs w:val="20"/>
        </w:rPr>
        <w:t xml:space="preserve">Divination and knowledge in Greco-Roman antiquity,’ </w:t>
      </w:r>
      <w:r w:rsidR="007F0CA9" w:rsidRPr="00860F59">
        <w:rPr>
          <w:sz w:val="20"/>
          <w:szCs w:val="20"/>
        </w:rPr>
        <w:t>ed. By Crystal Addey (London: Routledge, 2022) pp:1-29 (p.1)</w:t>
      </w:r>
    </w:p>
  </w:footnote>
  <w:footnote w:id="4">
    <w:p w14:paraId="652D6D41" w14:textId="3DD312B8" w:rsidR="000F0E8B" w:rsidRPr="00860F59" w:rsidRDefault="000F0E8B" w:rsidP="0044578E">
      <w:pPr>
        <w:rPr>
          <w:sz w:val="20"/>
          <w:szCs w:val="20"/>
        </w:rPr>
      </w:pPr>
      <w:r w:rsidRPr="00860F59">
        <w:rPr>
          <w:rStyle w:val="FootnoteReference"/>
          <w:sz w:val="20"/>
          <w:szCs w:val="20"/>
        </w:rPr>
        <w:footnoteRef/>
      </w:r>
      <w:r w:rsidRPr="00860F59">
        <w:rPr>
          <w:sz w:val="20"/>
          <w:szCs w:val="20"/>
        </w:rPr>
        <w:t xml:space="preserve"> </w:t>
      </w:r>
      <w:r w:rsidR="0044578E" w:rsidRPr="00860F59">
        <w:rPr>
          <w:sz w:val="20"/>
          <w:szCs w:val="20"/>
        </w:rPr>
        <w:t xml:space="preserve">Greenbaum, </w:t>
      </w:r>
      <w:r w:rsidRPr="00860F59">
        <w:rPr>
          <w:sz w:val="20"/>
          <w:szCs w:val="20"/>
        </w:rPr>
        <w:t>p.109</w:t>
      </w:r>
      <w:r w:rsidR="0044578E" w:rsidRPr="00860F59">
        <w:rPr>
          <w:sz w:val="20"/>
          <w:szCs w:val="20"/>
        </w:rPr>
        <w:t>.</w:t>
      </w:r>
      <w:r w:rsidRPr="00860F59">
        <w:rPr>
          <w:sz w:val="20"/>
          <w:szCs w:val="20"/>
        </w:rPr>
        <w:t xml:space="preserve"> </w:t>
      </w:r>
    </w:p>
  </w:footnote>
  <w:footnote w:id="5">
    <w:p w14:paraId="4D77DD9B" w14:textId="08035851" w:rsidR="000F0E8B" w:rsidRDefault="000F0E8B" w:rsidP="0044578E">
      <w:r w:rsidRPr="00860F59">
        <w:rPr>
          <w:rStyle w:val="FootnoteReference"/>
          <w:sz w:val="20"/>
          <w:szCs w:val="20"/>
        </w:rPr>
        <w:footnoteRef/>
      </w:r>
      <w:r w:rsidRPr="00860F59">
        <w:rPr>
          <w:sz w:val="20"/>
          <w:szCs w:val="20"/>
        </w:rPr>
        <w:t xml:space="preserve"> </w:t>
      </w:r>
      <w:r w:rsidR="0044578E" w:rsidRPr="00860F59">
        <w:rPr>
          <w:sz w:val="20"/>
          <w:szCs w:val="20"/>
        </w:rPr>
        <w:t>Greenbaum, p.109.</w:t>
      </w:r>
    </w:p>
  </w:footnote>
  <w:footnote w:id="6">
    <w:p w14:paraId="0825F890" w14:textId="30B1031C" w:rsidR="000F0E8B" w:rsidRPr="00860F59" w:rsidRDefault="000F0E8B" w:rsidP="008A128D">
      <w:pPr>
        <w:pStyle w:val="FootnoteText"/>
      </w:pPr>
      <w:r w:rsidRPr="00860F59">
        <w:rPr>
          <w:rStyle w:val="FootnoteReference"/>
        </w:rPr>
        <w:footnoteRef/>
      </w:r>
      <w:r w:rsidRPr="00860F59">
        <w:t xml:space="preserve"> </w:t>
      </w:r>
      <w:r w:rsidR="008A128D" w:rsidRPr="00860F59">
        <w:t xml:space="preserve">Machemer, G.A, ‘Medicine, Music, and Magic: The Healing Grace of Pindar's Fourth Nemean,’ </w:t>
      </w:r>
      <w:r w:rsidR="008A128D" w:rsidRPr="00860F59">
        <w:rPr>
          <w:i/>
          <w:iCs/>
        </w:rPr>
        <w:t xml:space="preserve">Harvard Studies in Classical Philology </w:t>
      </w:r>
      <w:r w:rsidR="008A128D" w:rsidRPr="00860F59">
        <w:t>95 (1993), 113-141 (</w:t>
      </w:r>
      <w:r w:rsidRPr="00860F59">
        <w:t>p.114</w:t>
      </w:r>
      <w:r w:rsidR="008A128D" w:rsidRPr="00860F59">
        <w:t>).</w:t>
      </w:r>
    </w:p>
  </w:footnote>
  <w:footnote w:id="7">
    <w:p w14:paraId="73D364BC" w14:textId="0CFEEAF0" w:rsidR="007346D4" w:rsidRPr="00860F59" w:rsidRDefault="007346D4" w:rsidP="003B219E">
      <w:pPr>
        <w:jc w:val="both"/>
        <w:rPr>
          <w:sz w:val="20"/>
          <w:szCs w:val="20"/>
        </w:rPr>
      </w:pPr>
      <w:r w:rsidRPr="00860F59">
        <w:rPr>
          <w:rStyle w:val="FootnoteReference"/>
          <w:sz w:val="20"/>
          <w:szCs w:val="20"/>
        </w:rPr>
        <w:footnoteRef/>
      </w:r>
      <w:r w:rsidRPr="00860F59">
        <w:rPr>
          <w:sz w:val="20"/>
          <w:szCs w:val="20"/>
        </w:rPr>
        <w:t xml:space="preserve"> </w:t>
      </w:r>
      <w:r w:rsidR="003B219E" w:rsidRPr="00860F59">
        <w:rPr>
          <w:sz w:val="20"/>
          <w:szCs w:val="20"/>
        </w:rPr>
        <w:t xml:space="preserve">Addey, </w:t>
      </w:r>
      <w:r w:rsidR="003B219E" w:rsidRPr="00860F59">
        <w:rPr>
          <w:i/>
          <w:iCs/>
          <w:sz w:val="20"/>
          <w:szCs w:val="20"/>
        </w:rPr>
        <w:t>Divination and Knowledge</w:t>
      </w:r>
      <w:r w:rsidR="003B219E" w:rsidRPr="00860F59">
        <w:rPr>
          <w:sz w:val="20"/>
          <w:szCs w:val="20"/>
        </w:rPr>
        <w:t>, p.</w:t>
      </w:r>
      <w:r w:rsidRPr="00860F59">
        <w:rPr>
          <w:sz w:val="20"/>
          <w:szCs w:val="20"/>
        </w:rPr>
        <w:t>2</w:t>
      </w:r>
      <w:r w:rsidR="003B219E" w:rsidRPr="00860F59">
        <w:rPr>
          <w:sz w:val="20"/>
          <w:szCs w:val="20"/>
        </w:rPr>
        <w:t>.</w:t>
      </w:r>
      <w:r w:rsidRPr="00860F59">
        <w:rPr>
          <w:sz w:val="20"/>
          <w:szCs w:val="20"/>
        </w:rPr>
        <w:t xml:space="preserve"> </w:t>
      </w:r>
    </w:p>
  </w:footnote>
  <w:footnote w:id="8">
    <w:p w14:paraId="32C9877D" w14:textId="4D8460B5" w:rsidR="007346D4" w:rsidRPr="00860F59" w:rsidRDefault="007346D4" w:rsidP="003B219E">
      <w:pPr>
        <w:rPr>
          <w:sz w:val="20"/>
          <w:szCs w:val="20"/>
        </w:rPr>
      </w:pPr>
      <w:r w:rsidRPr="00860F59">
        <w:rPr>
          <w:rStyle w:val="FootnoteReference"/>
          <w:sz w:val="20"/>
          <w:szCs w:val="20"/>
        </w:rPr>
        <w:footnoteRef/>
      </w:r>
      <w:r w:rsidRPr="00860F59">
        <w:rPr>
          <w:sz w:val="20"/>
          <w:szCs w:val="20"/>
        </w:rPr>
        <w:t xml:space="preserve"> </w:t>
      </w:r>
      <w:r w:rsidR="003B219E" w:rsidRPr="00860F59">
        <w:rPr>
          <w:sz w:val="20"/>
          <w:szCs w:val="20"/>
        </w:rPr>
        <w:t xml:space="preserve">Addey, </w:t>
      </w:r>
      <w:r w:rsidR="003B219E" w:rsidRPr="00860F59">
        <w:rPr>
          <w:i/>
          <w:iCs/>
          <w:sz w:val="20"/>
          <w:szCs w:val="20"/>
        </w:rPr>
        <w:t>Divination and Knowledge</w:t>
      </w:r>
      <w:r w:rsidR="003B219E" w:rsidRPr="00860F59">
        <w:rPr>
          <w:sz w:val="20"/>
          <w:szCs w:val="20"/>
        </w:rPr>
        <w:t>, p.2.</w:t>
      </w:r>
    </w:p>
  </w:footnote>
  <w:footnote w:id="9">
    <w:p w14:paraId="2E19EAD0" w14:textId="64FDC017" w:rsidR="007346D4" w:rsidRPr="00860F59" w:rsidRDefault="007346D4" w:rsidP="003B219E">
      <w:pPr>
        <w:rPr>
          <w:sz w:val="20"/>
          <w:szCs w:val="20"/>
        </w:rPr>
      </w:pPr>
      <w:r w:rsidRPr="00860F59">
        <w:rPr>
          <w:rStyle w:val="FootnoteReference"/>
          <w:sz w:val="20"/>
          <w:szCs w:val="20"/>
        </w:rPr>
        <w:footnoteRef/>
      </w:r>
      <w:r w:rsidRPr="00860F59">
        <w:rPr>
          <w:sz w:val="20"/>
          <w:szCs w:val="20"/>
        </w:rPr>
        <w:t xml:space="preserve"> </w:t>
      </w:r>
      <w:r w:rsidR="003B219E" w:rsidRPr="00860F59">
        <w:rPr>
          <w:sz w:val="20"/>
          <w:szCs w:val="20"/>
        </w:rPr>
        <w:t xml:space="preserve">Addey, </w:t>
      </w:r>
      <w:r w:rsidR="003B219E" w:rsidRPr="00860F59">
        <w:rPr>
          <w:i/>
          <w:iCs/>
          <w:sz w:val="20"/>
          <w:szCs w:val="20"/>
        </w:rPr>
        <w:t>Divination and Knowledge</w:t>
      </w:r>
      <w:r w:rsidR="003B219E" w:rsidRPr="00860F59">
        <w:rPr>
          <w:sz w:val="20"/>
          <w:szCs w:val="20"/>
        </w:rPr>
        <w:t>, p.1-2.</w:t>
      </w:r>
    </w:p>
  </w:footnote>
  <w:footnote w:id="10">
    <w:p w14:paraId="14517493" w14:textId="77DF2B0C" w:rsidR="007346D4" w:rsidRPr="00860F59" w:rsidRDefault="007346D4" w:rsidP="00BC4178">
      <w:pPr>
        <w:rPr>
          <w:sz w:val="20"/>
          <w:szCs w:val="20"/>
        </w:rPr>
      </w:pPr>
      <w:r w:rsidRPr="00860F59">
        <w:rPr>
          <w:rStyle w:val="FootnoteReference"/>
          <w:sz w:val="20"/>
          <w:szCs w:val="20"/>
        </w:rPr>
        <w:footnoteRef/>
      </w:r>
      <w:r w:rsidRPr="00860F59">
        <w:rPr>
          <w:sz w:val="20"/>
          <w:szCs w:val="20"/>
        </w:rPr>
        <w:t xml:space="preserve"> </w:t>
      </w:r>
      <w:r w:rsidR="003B219E" w:rsidRPr="00860F59">
        <w:rPr>
          <w:sz w:val="20"/>
          <w:szCs w:val="20"/>
        </w:rPr>
        <w:t xml:space="preserve">Addey, </w:t>
      </w:r>
      <w:r w:rsidR="003B219E" w:rsidRPr="00860F59">
        <w:rPr>
          <w:i/>
          <w:iCs/>
          <w:sz w:val="20"/>
          <w:szCs w:val="20"/>
        </w:rPr>
        <w:t>Divination and Knowledge</w:t>
      </w:r>
      <w:r w:rsidR="003B219E" w:rsidRPr="00860F59">
        <w:rPr>
          <w:sz w:val="20"/>
          <w:szCs w:val="20"/>
        </w:rPr>
        <w:t>, p.2.</w:t>
      </w:r>
    </w:p>
  </w:footnote>
  <w:footnote w:id="11">
    <w:p w14:paraId="4C1983FD" w14:textId="105F8402" w:rsidR="00BC4178" w:rsidRPr="00860F59" w:rsidRDefault="00A36D66" w:rsidP="00BC4178">
      <w:pPr>
        <w:spacing w:line="480" w:lineRule="auto"/>
        <w:rPr>
          <w:sz w:val="20"/>
          <w:szCs w:val="20"/>
        </w:rPr>
      </w:pPr>
      <w:r w:rsidRPr="00860F59">
        <w:rPr>
          <w:rStyle w:val="FootnoteReference"/>
          <w:sz w:val="20"/>
          <w:szCs w:val="20"/>
        </w:rPr>
        <w:footnoteRef/>
      </w:r>
      <w:r w:rsidRPr="00860F59">
        <w:rPr>
          <w:sz w:val="20"/>
          <w:szCs w:val="20"/>
        </w:rPr>
        <w:t xml:space="preserve"> </w:t>
      </w:r>
      <w:r w:rsidR="00BC4178" w:rsidRPr="00860F59">
        <w:rPr>
          <w:color w:val="333333"/>
          <w:spacing w:val="-2"/>
          <w:sz w:val="20"/>
          <w:szCs w:val="20"/>
          <w:shd w:val="clear" w:color="auto" w:fill="FFFFFF"/>
        </w:rPr>
        <w:t xml:space="preserve">Plato, </w:t>
      </w:r>
      <w:r w:rsidR="00BC4178" w:rsidRPr="00860F59">
        <w:rPr>
          <w:i/>
          <w:iCs/>
          <w:sz w:val="20"/>
          <w:szCs w:val="20"/>
        </w:rPr>
        <w:t>Timaeus</w:t>
      </w:r>
      <w:r w:rsidR="00BC4178" w:rsidRPr="00860F59">
        <w:rPr>
          <w:sz w:val="20"/>
          <w:szCs w:val="20"/>
        </w:rPr>
        <w:t>:</w:t>
      </w:r>
      <w:r w:rsidR="00BC4178" w:rsidRPr="00860F59">
        <w:rPr>
          <w:sz w:val="20"/>
          <w:szCs w:val="20"/>
          <w:shd w:val="clear" w:color="auto" w:fill="FFFFFF"/>
        </w:rPr>
        <w:t xml:space="preserve"> W. Heinemann Ltd </w:t>
      </w:r>
      <w:r w:rsidR="00BC4178" w:rsidRPr="00860F59">
        <w:rPr>
          <w:sz w:val="20"/>
          <w:szCs w:val="20"/>
        </w:rPr>
        <w:t xml:space="preserve">(ed. and </w:t>
      </w:r>
      <w:proofErr w:type="spellStart"/>
      <w:r w:rsidR="00BC4178" w:rsidRPr="00860F59">
        <w:rPr>
          <w:sz w:val="20"/>
          <w:szCs w:val="20"/>
        </w:rPr>
        <w:t>trs</w:t>
      </w:r>
      <w:proofErr w:type="spellEnd"/>
      <w:r w:rsidR="00BC4178" w:rsidRPr="00860F59">
        <w:rPr>
          <w:sz w:val="20"/>
          <w:szCs w:val="20"/>
        </w:rPr>
        <w:t>.), Loeb Classical Library, (Cambridge: Harvard University Press, 2015)</w:t>
      </w:r>
      <w:r w:rsidR="00BC4178" w:rsidRPr="00860F59">
        <w:rPr>
          <w:sz w:val="20"/>
          <w:szCs w:val="20"/>
        </w:rPr>
        <w:t xml:space="preserve"> (24c)</w:t>
      </w:r>
    </w:p>
    <w:p w14:paraId="3EE77097" w14:textId="09E95E0D" w:rsidR="00A36D66" w:rsidRDefault="00A36D66">
      <w:pPr>
        <w:pStyle w:val="FootnoteText"/>
      </w:pPr>
    </w:p>
  </w:footnote>
  <w:footnote w:id="12">
    <w:p w14:paraId="3F7E8DB1" w14:textId="20DBF6A3" w:rsidR="007738BA" w:rsidRPr="00860F59" w:rsidRDefault="007738BA" w:rsidP="0044578E">
      <w:pPr>
        <w:rPr>
          <w:sz w:val="20"/>
          <w:szCs w:val="20"/>
          <w:lang w:val="de-DE"/>
        </w:rPr>
      </w:pPr>
      <w:r w:rsidRPr="00860F59">
        <w:rPr>
          <w:rStyle w:val="FootnoteReference"/>
          <w:sz w:val="20"/>
          <w:szCs w:val="20"/>
        </w:rPr>
        <w:footnoteRef/>
      </w:r>
      <w:r w:rsidRPr="00860F59">
        <w:rPr>
          <w:sz w:val="20"/>
          <w:szCs w:val="20"/>
          <w:lang w:val="de-DE"/>
        </w:rPr>
        <w:t xml:space="preserve"> </w:t>
      </w:r>
      <w:proofErr w:type="spellStart"/>
      <w:r w:rsidR="0044578E" w:rsidRPr="00860F59">
        <w:rPr>
          <w:sz w:val="20"/>
          <w:szCs w:val="20"/>
          <w:lang w:val="de-DE"/>
        </w:rPr>
        <w:t>Greenbaum</w:t>
      </w:r>
      <w:proofErr w:type="spellEnd"/>
      <w:r w:rsidR="0044578E" w:rsidRPr="00860F59">
        <w:rPr>
          <w:sz w:val="20"/>
          <w:szCs w:val="20"/>
          <w:lang w:val="de-DE"/>
        </w:rPr>
        <w:t xml:space="preserve">, </w:t>
      </w:r>
      <w:r w:rsidRPr="00860F59">
        <w:rPr>
          <w:sz w:val="20"/>
          <w:szCs w:val="20"/>
          <w:lang w:val="de-DE"/>
        </w:rPr>
        <w:t>p.11</w:t>
      </w:r>
      <w:r w:rsidR="0044578E" w:rsidRPr="00860F59">
        <w:rPr>
          <w:sz w:val="20"/>
          <w:szCs w:val="20"/>
          <w:lang w:val="de-DE"/>
        </w:rPr>
        <w:t>1.</w:t>
      </w:r>
    </w:p>
  </w:footnote>
  <w:footnote w:id="13">
    <w:p w14:paraId="0960666A" w14:textId="41F07581" w:rsidR="007738BA" w:rsidRPr="00860F59" w:rsidRDefault="007738BA" w:rsidP="0044578E">
      <w:pPr>
        <w:rPr>
          <w:sz w:val="20"/>
          <w:szCs w:val="20"/>
          <w:lang w:val="de-DE"/>
        </w:rPr>
      </w:pPr>
      <w:r w:rsidRPr="00860F59">
        <w:rPr>
          <w:rStyle w:val="FootnoteReference"/>
          <w:sz w:val="20"/>
          <w:szCs w:val="20"/>
        </w:rPr>
        <w:footnoteRef/>
      </w:r>
      <w:r w:rsidRPr="00860F59">
        <w:rPr>
          <w:sz w:val="20"/>
          <w:szCs w:val="20"/>
          <w:lang w:val="de-DE"/>
        </w:rPr>
        <w:t xml:space="preserve"> </w:t>
      </w:r>
      <w:proofErr w:type="spellStart"/>
      <w:r w:rsidR="0044578E" w:rsidRPr="00860F59">
        <w:rPr>
          <w:sz w:val="20"/>
          <w:szCs w:val="20"/>
          <w:lang w:val="de-DE"/>
        </w:rPr>
        <w:t>Greenbaum</w:t>
      </w:r>
      <w:proofErr w:type="spellEnd"/>
      <w:r w:rsidR="0044578E" w:rsidRPr="00860F59">
        <w:rPr>
          <w:sz w:val="20"/>
          <w:szCs w:val="20"/>
          <w:lang w:val="de-DE"/>
        </w:rPr>
        <w:t>, p.111.</w:t>
      </w:r>
    </w:p>
  </w:footnote>
  <w:footnote w:id="14">
    <w:p w14:paraId="49036D87" w14:textId="497DCE5F" w:rsidR="007738BA" w:rsidRPr="00860F59" w:rsidRDefault="007738BA" w:rsidP="0044578E">
      <w:pPr>
        <w:rPr>
          <w:sz w:val="20"/>
          <w:szCs w:val="20"/>
          <w:lang w:val="de-DE"/>
        </w:rPr>
      </w:pPr>
      <w:r w:rsidRPr="00860F59">
        <w:rPr>
          <w:rStyle w:val="FootnoteReference"/>
          <w:sz w:val="20"/>
          <w:szCs w:val="20"/>
        </w:rPr>
        <w:footnoteRef/>
      </w:r>
      <w:r w:rsidRPr="00860F59">
        <w:rPr>
          <w:sz w:val="20"/>
          <w:szCs w:val="20"/>
          <w:lang w:val="de-DE"/>
        </w:rPr>
        <w:t xml:space="preserve"> </w:t>
      </w:r>
      <w:proofErr w:type="spellStart"/>
      <w:r w:rsidR="0044578E" w:rsidRPr="00860F59">
        <w:rPr>
          <w:sz w:val="20"/>
          <w:szCs w:val="20"/>
          <w:lang w:val="de-DE"/>
        </w:rPr>
        <w:t>Greenbaum</w:t>
      </w:r>
      <w:proofErr w:type="spellEnd"/>
      <w:r w:rsidR="0044578E" w:rsidRPr="00860F59">
        <w:rPr>
          <w:sz w:val="20"/>
          <w:szCs w:val="20"/>
          <w:lang w:val="de-DE"/>
        </w:rPr>
        <w:t>, p.113.</w:t>
      </w:r>
    </w:p>
  </w:footnote>
  <w:footnote w:id="15">
    <w:p w14:paraId="205DFB43" w14:textId="1E1EE954" w:rsidR="007738BA" w:rsidRPr="00860F59" w:rsidRDefault="007738BA" w:rsidP="0044578E">
      <w:pPr>
        <w:rPr>
          <w:sz w:val="20"/>
          <w:szCs w:val="20"/>
        </w:rPr>
      </w:pPr>
      <w:r w:rsidRPr="00860F59">
        <w:rPr>
          <w:rStyle w:val="FootnoteReference"/>
          <w:sz w:val="20"/>
          <w:szCs w:val="20"/>
        </w:rPr>
        <w:footnoteRef/>
      </w:r>
      <w:r w:rsidRPr="00860F59">
        <w:rPr>
          <w:sz w:val="20"/>
          <w:szCs w:val="20"/>
        </w:rPr>
        <w:t xml:space="preserve"> </w:t>
      </w:r>
      <w:r w:rsidR="0044578E" w:rsidRPr="00860F59">
        <w:rPr>
          <w:sz w:val="20"/>
          <w:szCs w:val="20"/>
        </w:rPr>
        <w:t>Greenbaum, p.113.</w:t>
      </w:r>
    </w:p>
  </w:footnote>
  <w:footnote w:id="16">
    <w:p w14:paraId="67029827" w14:textId="258E7711" w:rsidR="007738BA" w:rsidRPr="00860F59" w:rsidRDefault="007738BA" w:rsidP="003B219E">
      <w:pPr>
        <w:rPr>
          <w:sz w:val="20"/>
          <w:szCs w:val="20"/>
        </w:rPr>
      </w:pPr>
      <w:r w:rsidRPr="00860F59">
        <w:rPr>
          <w:rStyle w:val="FootnoteReference"/>
          <w:sz w:val="20"/>
          <w:szCs w:val="20"/>
        </w:rPr>
        <w:footnoteRef/>
      </w:r>
      <w:r w:rsidRPr="00860F59">
        <w:rPr>
          <w:sz w:val="20"/>
          <w:szCs w:val="20"/>
        </w:rPr>
        <w:t xml:space="preserve"> </w:t>
      </w:r>
      <w:r w:rsidR="003B219E" w:rsidRPr="00860F59">
        <w:rPr>
          <w:sz w:val="20"/>
          <w:szCs w:val="20"/>
        </w:rPr>
        <w:t xml:space="preserve">Addey, </w:t>
      </w:r>
      <w:r w:rsidR="003B219E" w:rsidRPr="00860F59">
        <w:rPr>
          <w:i/>
          <w:iCs/>
          <w:sz w:val="20"/>
          <w:szCs w:val="20"/>
        </w:rPr>
        <w:t>Divination and Knowledge</w:t>
      </w:r>
      <w:r w:rsidR="003B219E" w:rsidRPr="00860F59">
        <w:rPr>
          <w:sz w:val="20"/>
          <w:szCs w:val="20"/>
        </w:rPr>
        <w:t>, p.8.</w:t>
      </w:r>
    </w:p>
  </w:footnote>
  <w:footnote w:id="17">
    <w:p w14:paraId="19DA53E0" w14:textId="4A674150" w:rsidR="007738BA" w:rsidRPr="00860F59" w:rsidRDefault="007738BA" w:rsidP="00AA0744">
      <w:pPr>
        <w:rPr>
          <w:sz w:val="20"/>
          <w:szCs w:val="20"/>
          <w:lang w:val="de-DE"/>
        </w:rPr>
      </w:pPr>
      <w:r w:rsidRPr="00860F59">
        <w:rPr>
          <w:rStyle w:val="FootnoteReference"/>
          <w:sz w:val="20"/>
          <w:szCs w:val="20"/>
        </w:rPr>
        <w:footnoteRef/>
      </w:r>
      <w:r w:rsidRPr="00860F59">
        <w:rPr>
          <w:sz w:val="20"/>
          <w:szCs w:val="20"/>
          <w:lang w:val="de-DE"/>
        </w:rPr>
        <w:t xml:space="preserve"> </w:t>
      </w:r>
      <w:proofErr w:type="spellStart"/>
      <w:r w:rsidR="00AA0744" w:rsidRPr="00860F59">
        <w:rPr>
          <w:sz w:val="20"/>
          <w:szCs w:val="20"/>
          <w:lang w:val="de-DE"/>
        </w:rPr>
        <w:t>Greenbaum</w:t>
      </w:r>
      <w:proofErr w:type="spellEnd"/>
      <w:r w:rsidR="00AA0744" w:rsidRPr="00860F59">
        <w:rPr>
          <w:sz w:val="20"/>
          <w:szCs w:val="20"/>
          <w:lang w:val="de-DE"/>
        </w:rPr>
        <w:t>, p.112.</w:t>
      </w:r>
    </w:p>
  </w:footnote>
  <w:footnote w:id="18">
    <w:p w14:paraId="50711F19" w14:textId="7EFC9F04" w:rsidR="007738BA" w:rsidRPr="0059126E" w:rsidRDefault="007738BA" w:rsidP="00AA0744">
      <w:pPr>
        <w:rPr>
          <w:lang w:val="de-DE"/>
        </w:rPr>
      </w:pPr>
      <w:r w:rsidRPr="00860F59">
        <w:rPr>
          <w:rStyle w:val="FootnoteReference"/>
          <w:sz w:val="20"/>
          <w:szCs w:val="20"/>
        </w:rPr>
        <w:footnoteRef/>
      </w:r>
      <w:r w:rsidRPr="00860F59">
        <w:rPr>
          <w:sz w:val="20"/>
          <w:szCs w:val="20"/>
          <w:lang w:val="de-DE"/>
        </w:rPr>
        <w:t xml:space="preserve"> </w:t>
      </w:r>
      <w:proofErr w:type="spellStart"/>
      <w:r w:rsidR="00AA0744" w:rsidRPr="00860F59">
        <w:rPr>
          <w:sz w:val="20"/>
          <w:szCs w:val="20"/>
          <w:lang w:val="de-DE"/>
        </w:rPr>
        <w:t>Greenbaum</w:t>
      </w:r>
      <w:proofErr w:type="spellEnd"/>
      <w:r w:rsidR="00AA0744" w:rsidRPr="00860F59">
        <w:rPr>
          <w:sz w:val="20"/>
          <w:szCs w:val="20"/>
          <w:lang w:val="de-DE"/>
        </w:rPr>
        <w:t>, p.111.</w:t>
      </w:r>
    </w:p>
  </w:footnote>
  <w:footnote w:id="19">
    <w:p w14:paraId="2BEFDA6F" w14:textId="768D3955" w:rsidR="007738BA" w:rsidRPr="00860F59" w:rsidRDefault="007738BA" w:rsidP="00AA0744">
      <w:pPr>
        <w:rPr>
          <w:sz w:val="20"/>
          <w:szCs w:val="20"/>
          <w:lang w:val="de-DE"/>
        </w:rPr>
      </w:pPr>
      <w:r w:rsidRPr="00860F59">
        <w:rPr>
          <w:rStyle w:val="FootnoteReference"/>
          <w:sz w:val="20"/>
          <w:szCs w:val="20"/>
        </w:rPr>
        <w:footnoteRef/>
      </w:r>
      <w:r w:rsidRPr="00860F59">
        <w:rPr>
          <w:sz w:val="20"/>
          <w:szCs w:val="20"/>
          <w:lang w:val="de-DE"/>
        </w:rPr>
        <w:t xml:space="preserve"> </w:t>
      </w:r>
      <w:proofErr w:type="spellStart"/>
      <w:r w:rsidR="00AA0744" w:rsidRPr="00860F59">
        <w:rPr>
          <w:sz w:val="20"/>
          <w:szCs w:val="20"/>
          <w:lang w:val="de-DE"/>
        </w:rPr>
        <w:t>Greenbaum</w:t>
      </w:r>
      <w:proofErr w:type="spellEnd"/>
      <w:r w:rsidR="00AA0744" w:rsidRPr="00860F59">
        <w:rPr>
          <w:sz w:val="20"/>
          <w:szCs w:val="20"/>
          <w:lang w:val="de-DE"/>
        </w:rPr>
        <w:t>, p.111.</w:t>
      </w:r>
    </w:p>
  </w:footnote>
  <w:footnote w:id="20">
    <w:p w14:paraId="181E81D5" w14:textId="5A19B342" w:rsidR="004C5DFF" w:rsidRPr="00860F59" w:rsidRDefault="004C5DFF" w:rsidP="00ED4F77">
      <w:pPr>
        <w:rPr>
          <w:sz w:val="20"/>
          <w:szCs w:val="20"/>
          <w:lang w:val="en-US"/>
        </w:rPr>
      </w:pPr>
      <w:r w:rsidRPr="00860F59">
        <w:rPr>
          <w:rStyle w:val="FootnoteReference"/>
          <w:sz w:val="20"/>
          <w:szCs w:val="20"/>
        </w:rPr>
        <w:footnoteRef/>
      </w:r>
      <w:r w:rsidRPr="00860F59">
        <w:rPr>
          <w:sz w:val="20"/>
          <w:szCs w:val="20"/>
        </w:rPr>
        <w:t xml:space="preserve"> </w:t>
      </w:r>
      <w:r w:rsidR="00ED4F77" w:rsidRPr="00860F59">
        <w:rPr>
          <w:sz w:val="20"/>
          <w:szCs w:val="20"/>
          <w:lang w:val="en-US"/>
        </w:rPr>
        <w:t>Greenbaum, Dorian, Gieseler, ‘Hellenistic Astronomy in Medicine’, in ‘</w:t>
      </w:r>
      <w:r w:rsidR="00ED4F77" w:rsidRPr="00860F59">
        <w:rPr>
          <w:i/>
          <w:iCs/>
          <w:sz w:val="20"/>
          <w:szCs w:val="20"/>
          <w:lang w:val="en-US"/>
        </w:rPr>
        <w:t>Hellenistic Astronomy: The Science in its Contexts</w:t>
      </w:r>
      <w:r w:rsidR="00ED4F77" w:rsidRPr="00860F59">
        <w:rPr>
          <w:sz w:val="20"/>
          <w:szCs w:val="20"/>
          <w:lang w:val="en-US"/>
        </w:rPr>
        <w:t xml:space="preserve">,’ eds. By A. C. Bowen and F. </w:t>
      </w:r>
      <w:proofErr w:type="spellStart"/>
      <w:r w:rsidR="00ED4F77" w:rsidRPr="00860F59">
        <w:rPr>
          <w:sz w:val="20"/>
          <w:szCs w:val="20"/>
          <w:lang w:val="en-US"/>
        </w:rPr>
        <w:t>Rochberg</w:t>
      </w:r>
      <w:proofErr w:type="spellEnd"/>
      <w:r w:rsidR="00ED4F77" w:rsidRPr="00860F59">
        <w:rPr>
          <w:sz w:val="20"/>
          <w:szCs w:val="20"/>
          <w:lang w:val="en-US"/>
        </w:rPr>
        <w:t xml:space="preserve"> (Leiden/Boston: Brill, 2020) 350-80. (p</w:t>
      </w:r>
      <w:r w:rsidRPr="00860F59">
        <w:rPr>
          <w:sz w:val="20"/>
          <w:szCs w:val="20"/>
          <w:lang w:val="en-US"/>
        </w:rPr>
        <w:t>.358</w:t>
      </w:r>
      <w:r w:rsidR="00ED4F77" w:rsidRPr="00860F59">
        <w:rPr>
          <w:sz w:val="20"/>
          <w:szCs w:val="20"/>
          <w:lang w:val="en-US"/>
        </w:rPr>
        <w:t>).</w:t>
      </w:r>
    </w:p>
  </w:footnote>
  <w:footnote w:id="21">
    <w:p w14:paraId="51B40DB6" w14:textId="0ECB696B" w:rsidR="00C926D4" w:rsidRPr="00860F59" w:rsidRDefault="00C926D4" w:rsidP="006B0371">
      <w:pPr>
        <w:rPr>
          <w:color w:val="333333"/>
          <w:spacing w:val="-2"/>
          <w:sz w:val="20"/>
          <w:szCs w:val="20"/>
          <w:shd w:val="clear" w:color="auto" w:fill="FFFFFF"/>
        </w:rPr>
      </w:pPr>
      <w:r w:rsidRPr="00860F59">
        <w:rPr>
          <w:rStyle w:val="FootnoteReference"/>
          <w:sz w:val="20"/>
          <w:szCs w:val="20"/>
        </w:rPr>
        <w:footnoteRef/>
      </w:r>
      <w:r w:rsidRPr="00860F59">
        <w:rPr>
          <w:sz w:val="20"/>
          <w:szCs w:val="20"/>
        </w:rPr>
        <w:t xml:space="preserve"> </w:t>
      </w:r>
      <w:r w:rsidR="006B0371" w:rsidRPr="00860F59">
        <w:rPr>
          <w:sz w:val="20"/>
          <w:szCs w:val="20"/>
        </w:rPr>
        <w:t xml:space="preserve">Hippocrates, </w:t>
      </w:r>
      <w:r w:rsidR="006B0371" w:rsidRPr="00860F59">
        <w:rPr>
          <w:i/>
          <w:iCs/>
          <w:color w:val="333333"/>
          <w:spacing w:val="-2"/>
          <w:sz w:val="20"/>
          <w:szCs w:val="20"/>
          <w:shd w:val="clear" w:color="auto" w:fill="FFFFFF"/>
        </w:rPr>
        <w:t xml:space="preserve">Airs, Waters, </w:t>
      </w:r>
      <w:r w:rsidR="006B0371" w:rsidRPr="00860F59">
        <w:rPr>
          <w:color w:val="333333"/>
          <w:spacing w:val="-2"/>
          <w:sz w:val="20"/>
          <w:szCs w:val="20"/>
          <w:shd w:val="clear" w:color="auto" w:fill="FFFFFF"/>
        </w:rPr>
        <w:t xml:space="preserve">Places: P. Potter (ed. and </w:t>
      </w:r>
      <w:proofErr w:type="spellStart"/>
      <w:r w:rsidR="006B0371" w:rsidRPr="00860F59">
        <w:rPr>
          <w:color w:val="333333"/>
          <w:spacing w:val="-2"/>
          <w:sz w:val="20"/>
          <w:szCs w:val="20"/>
          <w:shd w:val="clear" w:color="auto" w:fill="FFFFFF"/>
        </w:rPr>
        <w:t>trs</w:t>
      </w:r>
      <w:proofErr w:type="spellEnd"/>
      <w:r w:rsidR="006B0371" w:rsidRPr="00860F59">
        <w:rPr>
          <w:color w:val="333333"/>
          <w:spacing w:val="-2"/>
          <w:sz w:val="20"/>
          <w:szCs w:val="20"/>
          <w:shd w:val="clear" w:color="auto" w:fill="FFFFFF"/>
        </w:rPr>
        <w:t>.), Loeb Classical Library, (Cambridge: Harvard University Press, Vol I, 2022) 64-145</w:t>
      </w:r>
      <w:r w:rsidR="006B0371" w:rsidRPr="00860F59">
        <w:rPr>
          <w:color w:val="333333"/>
          <w:spacing w:val="-2"/>
          <w:sz w:val="20"/>
          <w:szCs w:val="20"/>
          <w:shd w:val="clear" w:color="auto" w:fill="FFFFFF"/>
        </w:rPr>
        <w:t xml:space="preserve"> (</w:t>
      </w:r>
      <w:r w:rsidRPr="00860F59">
        <w:rPr>
          <w:color w:val="333333"/>
          <w:spacing w:val="-2"/>
          <w:sz w:val="20"/>
          <w:szCs w:val="20"/>
          <w:shd w:val="clear" w:color="auto" w:fill="FFFFFF"/>
        </w:rPr>
        <w:t>2.18-21</w:t>
      </w:r>
      <w:r w:rsidR="006B0371" w:rsidRPr="00860F59">
        <w:rPr>
          <w:color w:val="333333"/>
          <w:spacing w:val="-2"/>
          <w:sz w:val="20"/>
          <w:szCs w:val="20"/>
          <w:shd w:val="clear" w:color="auto" w:fill="FFFFFF"/>
        </w:rPr>
        <w:t>)</w:t>
      </w:r>
    </w:p>
  </w:footnote>
  <w:footnote w:id="22">
    <w:p w14:paraId="47C0E19F" w14:textId="4C3F9673" w:rsidR="00CF58D5" w:rsidRDefault="00CF58D5" w:rsidP="00CF58D5">
      <w:pPr>
        <w:pStyle w:val="FootnoteText"/>
      </w:pPr>
      <w:r w:rsidRPr="00860F59">
        <w:rPr>
          <w:rStyle w:val="FootnoteReference"/>
        </w:rPr>
        <w:footnoteRef/>
      </w:r>
      <w:r w:rsidRPr="00860F59">
        <w:t xml:space="preserve"> </w:t>
      </w:r>
      <w:r w:rsidR="006B0371" w:rsidRPr="00860F59">
        <w:t xml:space="preserve">Hippocrates, </w:t>
      </w:r>
      <w:r w:rsidRPr="00860F59">
        <w:rPr>
          <w:i/>
          <w:iCs/>
          <w:color w:val="333333"/>
          <w:spacing w:val="-2"/>
          <w:shd w:val="clear" w:color="auto" w:fill="FFFFFF"/>
        </w:rPr>
        <w:t xml:space="preserve">Airs, Waters, Places, </w:t>
      </w:r>
      <w:r w:rsidRPr="00860F59">
        <w:rPr>
          <w:color w:val="333333"/>
          <w:spacing w:val="-2"/>
          <w:shd w:val="clear" w:color="auto" w:fill="FFFFFF"/>
        </w:rPr>
        <w:t>2.12-14, trans. P. Potter</w:t>
      </w:r>
    </w:p>
  </w:footnote>
  <w:footnote w:id="23">
    <w:p w14:paraId="068E281D" w14:textId="7499E0BD" w:rsidR="00E33E39" w:rsidRPr="00860F59" w:rsidRDefault="00E33E39" w:rsidP="00AA0744">
      <w:pPr>
        <w:rPr>
          <w:sz w:val="20"/>
          <w:szCs w:val="20"/>
        </w:rPr>
      </w:pPr>
      <w:r w:rsidRPr="00860F59">
        <w:rPr>
          <w:rStyle w:val="FootnoteReference"/>
          <w:sz w:val="20"/>
          <w:szCs w:val="20"/>
        </w:rPr>
        <w:footnoteRef/>
      </w:r>
      <w:r w:rsidRPr="00860F59">
        <w:rPr>
          <w:sz w:val="20"/>
          <w:szCs w:val="20"/>
        </w:rPr>
        <w:t xml:space="preserve"> </w:t>
      </w:r>
      <w:r w:rsidR="00AA0744" w:rsidRPr="00860F59">
        <w:rPr>
          <w:sz w:val="20"/>
          <w:szCs w:val="20"/>
        </w:rPr>
        <w:t xml:space="preserve">Greenbaum, </w:t>
      </w:r>
      <w:r w:rsidRPr="00860F59">
        <w:rPr>
          <w:sz w:val="20"/>
          <w:szCs w:val="20"/>
        </w:rPr>
        <w:t>p.109</w:t>
      </w:r>
      <w:r w:rsidR="00AA0744" w:rsidRPr="00860F59">
        <w:rPr>
          <w:sz w:val="20"/>
          <w:szCs w:val="20"/>
        </w:rPr>
        <w:t>.</w:t>
      </w:r>
      <w:r w:rsidRPr="00860F59">
        <w:rPr>
          <w:sz w:val="20"/>
          <w:szCs w:val="20"/>
        </w:rPr>
        <w:t xml:space="preserve"> </w:t>
      </w:r>
    </w:p>
  </w:footnote>
  <w:footnote w:id="24">
    <w:p w14:paraId="268F9065" w14:textId="562FF41B" w:rsidR="00E33E39" w:rsidRPr="00860F59" w:rsidRDefault="00E33E39" w:rsidP="00B70355">
      <w:pPr>
        <w:rPr>
          <w:sz w:val="20"/>
          <w:szCs w:val="20"/>
        </w:rPr>
      </w:pPr>
      <w:r w:rsidRPr="00860F59">
        <w:rPr>
          <w:rStyle w:val="FootnoteReference"/>
          <w:sz w:val="20"/>
          <w:szCs w:val="20"/>
        </w:rPr>
        <w:footnoteRef/>
      </w:r>
      <w:r w:rsidRPr="00860F59">
        <w:rPr>
          <w:sz w:val="20"/>
          <w:szCs w:val="20"/>
        </w:rPr>
        <w:t xml:space="preserve"> </w:t>
      </w:r>
      <w:r w:rsidR="00B70355" w:rsidRPr="00860F59">
        <w:rPr>
          <w:sz w:val="20"/>
          <w:szCs w:val="20"/>
        </w:rPr>
        <w:t xml:space="preserve">Greenbaum, </w:t>
      </w:r>
      <w:r w:rsidRPr="00860F59">
        <w:rPr>
          <w:sz w:val="20"/>
          <w:szCs w:val="20"/>
        </w:rPr>
        <w:t>p.116</w:t>
      </w:r>
      <w:r w:rsidR="00B70355" w:rsidRPr="00860F59">
        <w:rPr>
          <w:sz w:val="20"/>
          <w:szCs w:val="20"/>
        </w:rPr>
        <w:t>.</w:t>
      </w:r>
    </w:p>
  </w:footnote>
  <w:footnote w:id="25">
    <w:p w14:paraId="72EBCA24" w14:textId="08FB61F6" w:rsidR="00E33E39" w:rsidRPr="00860F59" w:rsidRDefault="00E33E39" w:rsidP="0059126E">
      <w:pPr>
        <w:rPr>
          <w:sz w:val="20"/>
          <w:szCs w:val="20"/>
        </w:rPr>
      </w:pPr>
      <w:r w:rsidRPr="00860F59">
        <w:rPr>
          <w:rStyle w:val="FootnoteReference"/>
          <w:sz w:val="20"/>
          <w:szCs w:val="20"/>
        </w:rPr>
        <w:footnoteRef/>
      </w:r>
      <w:r w:rsidRPr="00860F59">
        <w:rPr>
          <w:sz w:val="20"/>
          <w:szCs w:val="20"/>
        </w:rPr>
        <w:t xml:space="preserve"> </w:t>
      </w:r>
      <w:r w:rsidR="00B70355" w:rsidRPr="00860F59">
        <w:rPr>
          <w:sz w:val="20"/>
          <w:szCs w:val="20"/>
        </w:rPr>
        <w:t xml:space="preserve">Greenbaum, </w:t>
      </w:r>
      <w:r w:rsidRPr="00860F59">
        <w:rPr>
          <w:sz w:val="20"/>
          <w:szCs w:val="20"/>
        </w:rPr>
        <w:t>p.10</w:t>
      </w:r>
      <w:r w:rsidR="00B70355" w:rsidRPr="00860F59">
        <w:rPr>
          <w:sz w:val="20"/>
          <w:szCs w:val="20"/>
        </w:rPr>
        <w:t>.</w:t>
      </w:r>
    </w:p>
  </w:footnote>
  <w:footnote w:id="26">
    <w:p w14:paraId="5AB6CA6D" w14:textId="63236982" w:rsidR="00E33E39" w:rsidRPr="00860F59" w:rsidRDefault="00E33E39" w:rsidP="007D179E">
      <w:pPr>
        <w:rPr>
          <w:sz w:val="20"/>
          <w:szCs w:val="20"/>
        </w:rPr>
      </w:pPr>
      <w:r w:rsidRPr="00860F59">
        <w:rPr>
          <w:rStyle w:val="FootnoteReference"/>
          <w:sz w:val="20"/>
          <w:szCs w:val="20"/>
        </w:rPr>
        <w:footnoteRef/>
      </w:r>
      <w:r w:rsidRPr="00860F59">
        <w:rPr>
          <w:sz w:val="20"/>
          <w:szCs w:val="20"/>
        </w:rPr>
        <w:t xml:space="preserve"> </w:t>
      </w:r>
      <w:r w:rsidR="007D179E" w:rsidRPr="00860F59">
        <w:rPr>
          <w:color w:val="333333"/>
          <w:spacing w:val="-2"/>
          <w:sz w:val="20"/>
          <w:szCs w:val="20"/>
          <w:shd w:val="clear" w:color="auto" w:fill="FFFFFF"/>
        </w:rPr>
        <w:t xml:space="preserve">Hippocrates, </w:t>
      </w:r>
      <w:r w:rsidR="007D179E" w:rsidRPr="00860F59">
        <w:rPr>
          <w:i/>
          <w:iCs/>
          <w:color w:val="333333"/>
          <w:spacing w:val="-2"/>
          <w:sz w:val="20"/>
          <w:szCs w:val="20"/>
          <w:shd w:val="clear" w:color="auto" w:fill="FFFFFF"/>
        </w:rPr>
        <w:t>On Regimen IV:</w:t>
      </w:r>
      <w:r w:rsidR="007D179E" w:rsidRPr="00860F59">
        <w:rPr>
          <w:i/>
          <w:iCs/>
          <w:sz w:val="20"/>
          <w:szCs w:val="20"/>
        </w:rPr>
        <w:t xml:space="preserve"> </w:t>
      </w:r>
      <w:r w:rsidR="007D179E" w:rsidRPr="00860F59">
        <w:rPr>
          <w:sz w:val="20"/>
          <w:szCs w:val="20"/>
        </w:rPr>
        <w:t xml:space="preserve">W.S Jones (ed. and </w:t>
      </w:r>
      <w:proofErr w:type="spellStart"/>
      <w:r w:rsidR="007D179E" w:rsidRPr="00860F59">
        <w:rPr>
          <w:sz w:val="20"/>
          <w:szCs w:val="20"/>
        </w:rPr>
        <w:t>trs</w:t>
      </w:r>
      <w:proofErr w:type="spellEnd"/>
      <w:r w:rsidR="007D179E" w:rsidRPr="00860F59">
        <w:rPr>
          <w:sz w:val="20"/>
          <w:szCs w:val="20"/>
        </w:rPr>
        <w:t>.) Loeb Classical Library, (Harvard: Harvard University Press, 1931)</w:t>
      </w:r>
      <w:r w:rsidR="007D179E" w:rsidRPr="00860F59">
        <w:rPr>
          <w:sz w:val="20"/>
          <w:szCs w:val="20"/>
        </w:rPr>
        <w:t xml:space="preserve"> (</w:t>
      </w:r>
      <w:r w:rsidRPr="00860F59">
        <w:rPr>
          <w:color w:val="333333"/>
          <w:spacing w:val="-2"/>
          <w:sz w:val="20"/>
          <w:szCs w:val="20"/>
          <w:shd w:val="clear" w:color="auto" w:fill="FFFFFF"/>
        </w:rPr>
        <w:t>89.1-3</w:t>
      </w:r>
      <w:r w:rsidR="007D179E" w:rsidRPr="00860F59">
        <w:rPr>
          <w:color w:val="333333"/>
          <w:spacing w:val="-2"/>
          <w:sz w:val="20"/>
          <w:szCs w:val="20"/>
          <w:shd w:val="clear" w:color="auto" w:fill="FFFFFF"/>
        </w:rPr>
        <w:t>)</w:t>
      </w:r>
    </w:p>
  </w:footnote>
  <w:footnote w:id="27">
    <w:p w14:paraId="3180A179" w14:textId="59701BB7" w:rsidR="00E33E39" w:rsidRDefault="00E33E39" w:rsidP="00E33E39">
      <w:pPr>
        <w:pStyle w:val="FootnoteText"/>
      </w:pPr>
      <w:r w:rsidRPr="00860F59">
        <w:rPr>
          <w:rStyle w:val="FootnoteReference"/>
        </w:rPr>
        <w:footnoteRef/>
      </w:r>
      <w:r w:rsidRPr="00860F59">
        <w:rPr>
          <w:lang w:val="fr-FR"/>
        </w:rPr>
        <w:t xml:space="preserve"> </w:t>
      </w:r>
      <w:proofErr w:type="spellStart"/>
      <w:r w:rsidR="007D179E" w:rsidRPr="00860F59">
        <w:rPr>
          <w:lang w:val="fr-FR"/>
        </w:rPr>
        <w:t>Hippocrates</w:t>
      </w:r>
      <w:proofErr w:type="spellEnd"/>
      <w:r w:rsidR="007D179E" w:rsidRPr="00860F59">
        <w:rPr>
          <w:lang w:val="fr-FR"/>
        </w:rPr>
        <w:t xml:space="preserve">, </w:t>
      </w:r>
      <w:r w:rsidRPr="00860F59">
        <w:rPr>
          <w:i/>
          <w:iCs/>
          <w:color w:val="333333"/>
          <w:spacing w:val="-2"/>
          <w:shd w:val="clear" w:color="auto" w:fill="FFFFFF"/>
          <w:lang w:val="fr-FR"/>
        </w:rPr>
        <w:t xml:space="preserve">On </w:t>
      </w:r>
      <w:proofErr w:type="spellStart"/>
      <w:r w:rsidRPr="00860F59">
        <w:rPr>
          <w:i/>
          <w:iCs/>
          <w:color w:val="333333"/>
          <w:spacing w:val="-2"/>
          <w:shd w:val="clear" w:color="auto" w:fill="FFFFFF"/>
          <w:lang w:val="fr-FR"/>
        </w:rPr>
        <w:t>Regimen</w:t>
      </w:r>
      <w:proofErr w:type="spellEnd"/>
      <w:r w:rsidRPr="00860F59">
        <w:rPr>
          <w:i/>
          <w:iCs/>
          <w:color w:val="333333"/>
          <w:spacing w:val="-2"/>
          <w:shd w:val="clear" w:color="auto" w:fill="FFFFFF"/>
          <w:lang w:val="fr-FR"/>
        </w:rPr>
        <w:t xml:space="preserve"> IV</w:t>
      </w:r>
      <w:r w:rsidRPr="00860F59">
        <w:rPr>
          <w:color w:val="333333"/>
          <w:spacing w:val="-2"/>
          <w:shd w:val="clear" w:color="auto" w:fill="FFFFFF"/>
          <w:lang w:val="fr-FR"/>
        </w:rPr>
        <w:t xml:space="preserve">, 89.8-12, trans. </w:t>
      </w:r>
      <w:r w:rsidRPr="00860F59">
        <w:rPr>
          <w:color w:val="333333"/>
          <w:spacing w:val="-2"/>
          <w:shd w:val="clear" w:color="auto" w:fill="FFFFFF"/>
        </w:rPr>
        <w:t>W.S. Jones</w:t>
      </w:r>
    </w:p>
  </w:footnote>
  <w:footnote w:id="28">
    <w:p w14:paraId="2EBF6BAF" w14:textId="18D08819" w:rsidR="00E33E39" w:rsidRPr="00860F59" w:rsidRDefault="00E33E39" w:rsidP="00860F59">
      <w:pPr>
        <w:pStyle w:val="FootnoteText"/>
      </w:pPr>
      <w:r w:rsidRPr="00860F59">
        <w:rPr>
          <w:rStyle w:val="FootnoteReference"/>
        </w:rPr>
        <w:footnoteRef/>
      </w:r>
      <w:r w:rsidR="00FD5A26" w:rsidRPr="00860F59">
        <w:rPr>
          <w:lang w:val="fr-FR"/>
        </w:rPr>
        <w:t xml:space="preserve"> </w:t>
      </w:r>
      <w:proofErr w:type="spellStart"/>
      <w:r w:rsidR="00FD5A26" w:rsidRPr="00860F59">
        <w:rPr>
          <w:lang w:val="fr-FR"/>
        </w:rPr>
        <w:t>Hippocrates</w:t>
      </w:r>
      <w:proofErr w:type="spellEnd"/>
      <w:r w:rsidR="00FD5A26" w:rsidRPr="00860F59">
        <w:rPr>
          <w:lang w:val="fr-FR"/>
        </w:rPr>
        <w:t>,</w:t>
      </w:r>
      <w:r w:rsidRPr="00860F59">
        <w:rPr>
          <w:lang w:val="fr-FR"/>
        </w:rPr>
        <w:t xml:space="preserve"> </w:t>
      </w:r>
      <w:r w:rsidRPr="00860F59">
        <w:rPr>
          <w:i/>
          <w:iCs/>
          <w:color w:val="333333"/>
          <w:spacing w:val="-2"/>
          <w:shd w:val="clear" w:color="auto" w:fill="FFFFFF"/>
          <w:lang w:val="fr-FR"/>
        </w:rPr>
        <w:t xml:space="preserve">On </w:t>
      </w:r>
      <w:proofErr w:type="spellStart"/>
      <w:r w:rsidRPr="00860F59">
        <w:rPr>
          <w:i/>
          <w:iCs/>
          <w:color w:val="333333"/>
          <w:spacing w:val="-2"/>
          <w:shd w:val="clear" w:color="auto" w:fill="FFFFFF"/>
          <w:lang w:val="fr-FR"/>
        </w:rPr>
        <w:t>Regimen</w:t>
      </w:r>
      <w:proofErr w:type="spellEnd"/>
      <w:r w:rsidRPr="00860F59">
        <w:rPr>
          <w:i/>
          <w:iCs/>
          <w:color w:val="333333"/>
          <w:spacing w:val="-2"/>
          <w:shd w:val="clear" w:color="auto" w:fill="FFFFFF"/>
          <w:lang w:val="fr-FR"/>
        </w:rPr>
        <w:t xml:space="preserve"> IV</w:t>
      </w:r>
      <w:r w:rsidRPr="00860F59">
        <w:rPr>
          <w:color w:val="333333"/>
          <w:spacing w:val="-2"/>
          <w:shd w:val="clear" w:color="auto" w:fill="FFFFFF"/>
          <w:lang w:val="fr-FR"/>
        </w:rPr>
        <w:t xml:space="preserve">, 89.24-35, trans. </w:t>
      </w:r>
      <w:r w:rsidRPr="00860F59">
        <w:rPr>
          <w:color w:val="333333"/>
          <w:spacing w:val="-2"/>
          <w:shd w:val="clear" w:color="auto" w:fill="FFFFFF"/>
        </w:rPr>
        <w:t>W.S. Jones</w:t>
      </w:r>
    </w:p>
  </w:footnote>
  <w:footnote w:id="29">
    <w:p w14:paraId="206A9E2F" w14:textId="25F31DB7" w:rsidR="00E33E39" w:rsidRPr="00860F59" w:rsidRDefault="00E33E39" w:rsidP="00860F59">
      <w:pPr>
        <w:spacing w:line="480" w:lineRule="auto"/>
        <w:rPr>
          <w:sz w:val="20"/>
          <w:szCs w:val="20"/>
        </w:rPr>
      </w:pPr>
      <w:r w:rsidRPr="00860F59">
        <w:rPr>
          <w:rStyle w:val="FootnoteReference"/>
          <w:sz w:val="20"/>
          <w:szCs w:val="20"/>
        </w:rPr>
        <w:footnoteRef/>
      </w:r>
      <w:r w:rsidRPr="00860F59">
        <w:rPr>
          <w:sz w:val="20"/>
          <w:szCs w:val="20"/>
        </w:rPr>
        <w:t xml:space="preserve"> </w:t>
      </w:r>
      <w:r w:rsidR="005A0422" w:rsidRPr="00860F59">
        <w:rPr>
          <w:color w:val="3A3A3A"/>
          <w:sz w:val="20"/>
          <w:szCs w:val="20"/>
        </w:rPr>
        <w:t xml:space="preserve">Evans, James, ‘The Astrologer's Apparatus: A Picture of Professional Practice in Greco-Roman Egypt,’ </w:t>
      </w:r>
      <w:r w:rsidR="005A0422" w:rsidRPr="00860F59">
        <w:rPr>
          <w:i/>
          <w:iCs/>
          <w:color w:val="3A3A3A"/>
          <w:sz w:val="20"/>
          <w:szCs w:val="20"/>
        </w:rPr>
        <w:t xml:space="preserve">Journal for the History of Astronomy, </w:t>
      </w:r>
      <w:r w:rsidR="005A0422" w:rsidRPr="00860F59">
        <w:rPr>
          <w:color w:val="3A3A3A"/>
          <w:sz w:val="20"/>
          <w:szCs w:val="20"/>
        </w:rPr>
        <w:t xml:space="preserve">35:1 (2004-2), 1-44 (p.1). </w:t>
      </w:r>
    </w:p>
  </w:footnote>
  <w:footnote w:id="30">
    <w:p w14:paraId="2BCE1963" w14:textId="6B9FA711" w:rsidR="00E33E39" w:rsidRPr="00860F59" w:rsidRDefault="00E33E39" w:rsidP="00860F59">
      <w:pPr>
        <w:rPr>
          <w:sz w:val="20"/>
          <w:szCs w:val="20"/>
        </w:rPr>
      </w:pPr>
      <w:r w:rsidRPr="00860F59">
        <w:rPr>
          <w:rStyle w:val="FootnoteReference"/>
          <w:sz w:val="20"/>
          <w:szCs w:val="20"/>
        </w:rPr>
        <w:footnoteRef/>
      </w:r>
      <w:r w:rsidRPr="00860F59">
        <w:rPr>
          <w:sz w:val="20"/>
          <w:szCs w:val="20"/>
        </w:rPr>
        <w:t xml:space="preserve"> </w:t>
      </w:r>
      <w:r w:rsidR="00B70355" w:rsidRPr="00860F59">
        <w:rPr>
          <w:sz w:val="20"/>
          <w:szCs w:val="20"/>
        </w:rPr>
        <w:t>Greenbaum, p.113.</w:t>
      </w:r>
    </w:p>
  </w:footnote>
  <w:footnote w:id="31">
    <w:p w14:paraId="1CB0B778" w14:textId="080DDC89" w:rsidR="00E33E39" w:rsidRPr="00860F59" w:rsidRDefault="00E33E39" w:rsidP="00E33E39">
      <w:pPr>
        <w:rPr>
          <w:sz w:val="20"/>
          <w:szCs w:val="20"/>
          <w:lang w:val="en-US"/>
        </w:rPr>
      </w:pPr>
      <w:r w:rsidRPr="00860F59">
        <w:rPr>
          <w:rStyle w:val="FootnoteReference"/>
          <w:sz w:val="20"/>
          <w:szCs w:val="20"/>
        </w:rPr>
        <w:footnoteRef/>
      </w:r>
      <w:r w:rsidRPr="00860F59">
        <w:rPr>
          <w:sz w:val="20"/>
          <w:szCs w:val="20"/>
        </w:rPr>
        <w:t xml:space="preserve"> </w:t>
      </w:r>
      <w:r w:rsidRPr="00860F59">
        <w:rPr>
          <w:sz w:val="20"/>
          <w:szCs w:val="20"/>
          <w:lang w:val="en-US"/>
        </w:rPr>
        <w:t xml:space="preserve">Greenbaum, </w:t>
      </w:r>
      <w:r w:rsidRPr="00860F59">
        <w:rPr>
          <w:i/>
          <w:iCs/>
          <w:sz w:val="20"/>
          <w:szCs w:val="20"/>
          <w:lang w:val="en-US"/>
        </w:rPr>
        <w:t>Hellenistic Astronomy</w:t>
      </w:r>
      <w:r w:rsidR="00270CDC" w:rsidRPr="00860F59">
        <w:rPr>
          <w:sz w:val="20"/>
          <w:szCs w:val="20"/>
          <w:lang w:val="en-US"/>
        </w:rPr>
        <w:t xml:space="preserve">, </w:t>
      </w:r>
      <w:r w:rsidRPr="00860F59">
        <w:rPr>
          <w:sz w:val="20"/>
          <w:szCs w:val="20"/>
          <w:lang w:val="en-US"/>
        </w:rPr>
        <w:t>p.367</w:t>
      </w:r>
      <w:r w:rsidR="00270CDC" w:rsidRPr="00860F59">
        <w:rPr>
          <w:sz w:val="20"/>
          <w:szCs w:val="20"/>
          <w:lang w:val="en-US"/>
        </w:rPr>
        <w:t>.</w:t>
      </w:r>
    </w:p>
  </w:footnote>
  <w:footnote w:id="32">
    <w:p w14:paraId="121C3F89" w14:textId="6EAE3AC3" w:rsidR="00E33E39" w:rsidRDefault="00E33E39" w:rsidP="00270CDC">
      <w:r w:rsidRPr="00860F59">
        <w:rPr>
          <w:rStyle w:val="FootnoteReference"/>
          <w:sz w:val="20"/>
          <w:szCs w:val="20"/>
        </w:rPr>
        <w:footnoteRef/>
      </w:r>
      <w:r w:rsidRPr="00860F59">
        <w:rPr>
          <w:sz w:val="20"/>
          <w:szCs w:val="20"/>
        </w:rPr>
        <w:t xml:space="preserve"> </w:t>
      </w:r>
      <w:r w:rsidR="00B70355" w:rsidRPr="00860F59">
        <w:rPr>
          <w:sz w:val="20"/>
          <w:szCs w:val="20"/>
        </w:rPr>
        <w:t>Greenbaum, p.113.</w:t>
      </w:r>
    </w:p>
  </w:footnote>
  <w:footnote w:id="33">
    <w:p w14:paraId="7872EA5E" w14:textId="191DC14A" w:rsidR="00E33E39" w:rsidRPr="00860F59" w:rsidRDefault="00E33E39" w:rsidP="00CF3F77">
      <w:pPr>
        <w:rPr>
          <w:sz w:val="20"/>
          <w:szCs w:val="20"/>
          <w:lang w:val="en-US"/>
        </w:rPr>
      </w:pPr>
      <w:r w:rsidRPr="00860F59">
        <w:rPr>
          <w:rStyle w:val="FootnoteReference"/>
          <w:sz w:val="20"/>
          <w:szCs w:val="20"/>
        </w:rPr>
        <w:footnoteRef/>
      </w:r>
      <w:r w:rsidRPr="00860F59">
        <w:rPr>
          <w:sz w:val="20"/>
          <w:szCs w:val="20"/>
        </w:rPr>
        <w:t xml:space="preserve"> </w:t>
      </w:r>
      <w:r w:rsidR="00CF3F77" w:rsidRPr="00860F59">
        <w:rPr>
          <w:sz w:val="20"/>
          <w:szCs w:val="20"/>
          <w:lang w:val="en-US"/>
        </w:rPr>
        <w:t xml:space="preserve">Greenbaum, </w:t>
      </w:r>
      <w:r w:rsidR="00CF3F77" w:rsidRPr="00860F59">
        <w:rPr>
          <w:i/>
          <w:iCs/>
          <w:sz w:val="20"/>
          <w:szCs w:val="20"/>
          <w:lang w:val="en-US"/>
        </w:rPr>
        <w:t>Hellenistic Astronomy</w:t>
      </w:r>
      <w:r w:rsidR="00CF3F77" w:rsidRPr="00860F59">
        <w:rPr>
          <w:sz w:val="20"/>
          <w:szCs w:val="20"/>
          <w:lang w:val="en-US"/>
        </w:rPr>
        <w:t xml:space="preserve">, </w:t>
      </w:r>
      <w:r w:rsidRPr="00860F59">
        <w:rPr>
          <w:sz w:val="20"/>
          <w:szCs w:val="20"/>
          <w:lang w:val="en-US"/>
        </w:rPr>
        <w:t>p.351</w:t>
      </w:r>
    </w:p>
  </w:footnote>
  <w:footnote w:id="34">
    <w:p w14:paraId="7545A810" w14:textId="3AE90129" w:rsidR="00E33E39" w:rsidRPr="00860F59" w:rsidRDefault="00E33E39" w:rsidP="008A74FB">
      <w:pPr>
        <w:jc w:val="both"/>
        <w:rPr>
          <w:sz w:val="20"/>
          <w:szCs w:val="20"/>
        </w:rPr>
      </w:pPr>
      <w:r w:rsidRPr="00860F59">
        <w:rPr>
          <w:rStyle w:val="FootnoteReference"/>
          <w:sz w:val="20"/>
          <w:szCs w:val="20"/>
        </w:rPr>
        <w:footnoteRef/>
      </w:r>
      <w:r w:rsidRPr="00860F59">
        <w:rPr>
          <w:sz w:val="20"/>
          <w:szCs w:val="20"/>
        </w:rPr>
        <w:t xml:space="preserve"> </w:t>
      </w:r>
      <w:r w:rsidR="008A74FB" w:rsidRPr="00860F59">
        <w:rPr>
          <w:sz w:val="20"/>
          <w:szCs w:val="20"/>
        </w:rPr>
        <w:t xml:space="preserve">Nutton, </w:t>
      </w:r>
      <w:r w:rsidR="008A74FB" w:rsidRPr="00860F59">
        <w:rPr>
          <w:i/>
          <w:iCs/>
          <w:sz w:val="20"/>
          <w:szCs w:val="20"/>
        </w:rPr>
        <w:t>Ancient Religion</w:t>
      </w:r>
      <w:r w:rsidR="008A74FB" w:rsidRPr="00860F59">
        <w:rPr>
          <w:sz w:val="20"/>
          <w:szCs w:val="20"/>
        </w:rPr>
        <w:t xml:space="preserve">, </w:t>
      </w:r>
      <w:r w:rsidRPr="00860F59">
        <w:rPr>
          <w:sz w:val="20"/>
          <w:szCs w:val="20"/>
        </w:rPr>
        <w:t>p.267</w:t>
      </w:r>
      <w:r w:rsidR="008A74FB" w:rsidRPr="00860F59">
        <w:rPr>
          <w:sz w:val="20"/>
          <w:szCs w:val="20"/>
        </w:rPr>
        <w:t>.</w:t>
      </w:r>
    </w:p>
  </w:footnote>
  <w:footnote w:id="35">
    <w:p w14:paraId="38254433" w14:textId="5E5EC927" w:rsidR="00E33E39" w:rsidRPr="00860F59" w:rsidRDefault="00E33E39" w:rsidP="00B70355">
      <w:pPr>
        <w:rPr>
          <w:sz w:val="20"/>
          <w:szCs w:val="20"/>
        </w:rPr>
      </w:pPr>
      <w:r w:rsidRPr="00860F59">
        <w:rPr>
          <w:rStyle w:val="FootnoteReference"/>
          <w:sz w:val="20"/>
          <w:szCs w:val="20"/>
        </w:rPr>
        <w:footnoteRef/>
      </w:r>
      <w:r w:rsidRPr="00860F59">
        <w:rPr>
          <w:sz w:val="20"/>
          <w:szCs w:val="20"/>
        </w:rPr>
        <w:t xml:space="preserve"> </w:t>
      </w:r>
      <w:r w:rsidR="00B70355" w:rsidRPr="00860F59">
        <w:rPr>
          <w:sz w:val="20"/>
          <w:szCs w:val="20"/>
        </w:rPr>
        <w:t xml:space="preserve">Greenbaum, </w:t>
      </w:r>
      <w:r w:rsidRPr="00860F59">
        <w:rPr>
          <w:sz w:val="20"/>
          <w:szCs w:val="20"/>
        </w:rPr>
        <w:t>p.113-114</w:t>
      </w:r>
      <w:r w:rsidR="00B70355" w:rsidRPr="00860F59">
        <w:rPr>
          <w:sz w:val="20"/>
          <w:szCs w:val="20"/>
        </w:rPr>
        <w:t>.</w:t>
      </w:r>
    </w:p>
  </w:footnote>
  <w:footnote w:id="36">
    <w:p w14:paraId="5E7CFAAA" w14:textId="6A2E9690" w:rsidR="003A7523" w:rsidRPr="00860F59" w:rsidRDefault="003A7523" w:rsidP="00547C67">
      <w:pPr>
        <w:rPr>
          <w:sz w:val="20"/>
          <w:szCs w:val="20"/>
        </w:rPr>
      </w:pPr>
      <w:r w:rsidRPr="00860F59">
        <w:rPr>
          <w:rStyle w:val="FootnoteReference"/>
          <w:sz w:val="20"/>
          <w:szCs w:val="20"/>
        </w:rPr>
        <w:footnoteRef/>
      </w:r>
      <w:r w:rsidRPr="00860F59">
        <w:rPr>
          <w:sz w:val="20"/>
          <w:szCs w:val="20"/>
        </w:rPr>
        <w:t xml:space="preserve"> </w:t>
      </w:r>
      <w:r w:rsidR="00547C67" w:rsidRPr="00860F59">
        <w:rPr>
          <w:sz w:val="20"/>
          <w:szCs w:val="20"/>
        </w:rPr>
        <w:t>Greenbaum, p.112.</w:t>
      </w:r>
    </w:p>
  </w:footnote>
  <w:footnote w:id="37">
    <w:p w14:paraId="7776BC99" w14:textId="598272D3" w:rsidR="003A7523" w:rsidRPr="00860F59" w:rsidRDefault="003A7523" w:rsidP="00547C67">
      <w:pPr>
        <w:rPr>
          <w:sz w:val="20"/>
          <w:szCs w:val="20"/>
        </w:rPr>
      </w:pPr>
      <w:r w:rsidRPr="00860F59">
        <w:rPr>
          <w:rStyle w:val="FootnoteReference"/>
          <w:sz w:val="20"/>
          <w:szCs w:val="20"/>
        </w:rPr>
        <w:footnoteRef/>
      </w:r>
      <w:r w:rsidRPr="00860F59">
        <w:rPr>
          <w:sz w:val="20"/>
          <w:szCs w:val="20"/>
        </w:rPr>
        <w:t xml:space="preserve"> </w:t>
      </w:r>
      <w:r w:rsidR="00547C67" w:rsidRPr="00860F59">
        <w:rPr>
          <w:sz w:val="20"/>
          <w:szCs w:val="20"/>
        </w:rPr>
        <w:t xml:space="preserve">Greenbaum, </w:t>
      </w:r>
      <w:r w:rsidRPr="00860F59">
        <w:rPr>
          <w:sz w:val="20"/>
          <w:szCs w:val="20"/>
        </w:rPr>
        <w:t>p.113</w:t>
      </w:r>
      <w:r w:rsidR="00547C67" w:rsidRPr="00860F59">
        <w:rPr>
          <w:sz w:val="20"/>
          <w:szCs w:val="20"/>
        </w:rPr>
        <w:t>.</w:t>
      </w:r>
    </w:p>
  </w:footnote>
  <w:footnote w:id="38">
    <w:p w14:paraId="212E3F68" w14:textId="40112DA3" w:rsidR="003A7523" w:rsidRPr="008473CC" w:rsidRDefault="003A7523" w:rsidP="008473CC">
      <w:r w:rsidRPr="00860F59">
        <w:rPr>
          <w:rStyle w:val="FootnoteReference"/>
          <w:sz w:val="20"/>
          <w:szCs w:val="20"/>
        </w:rPr>
        <w:footnoteRef/>
      </w:r>
      <w:r w:rsidRPr="00860F59">
        <w:rPr>
          <w:sz w:val="20"/>
          <w:szCs w:val="20"/>
        </w:rPr>
        <w:t xml:space="preserve"> </w:t>
      </w:r>
      <w:r w:rsidR="008473CC" w:rsidRPr="00860F59">
        <w:rPr>
          <w:color w:val="333333"/>
          <w:spacing w:val="-2"/>
          <w:sz w:val="20"/>
          <w:szCs w:val="20"/>
          <w:shd w:val="clear" w:color="auto" w:fill="FFFFFF"/>
        </w:rPr>
        <w:t xml:space="preserve">Hippocrates, </w:t>
      </w:r>
      <w:r w:rsidR="008473CC" w:rsidRPr="00860F59">
        <w:rPr>
          <w:i/>
          <w:iCs/>
          <w:color w:val="333333"/>
          <w:spacing w:val="-2"/>
          <w:sz w:val="20"/>
          <w:szCs w:val="20"/>
          <w:shd w:val="clear" w:color="auto" w:fill="FFFFFF"/>
        </w:rPr>
        <w:t>Aphorisms I:</w:t>
      </w:r>
      <w:r w:rsidR="008473CC" w:rsidRPr="00860F59">
        <w:rPr>
          <w:i/>
          <w:iCs/>
          <w:sz w:val="20"/>
          <w:szCs w:val="20"/>
        </w:rPr>
        <w:t xml:space="preserve"> </w:t>
      </w:r>
      <w:r w:rsidR="008473CC" w:rsidRPr="00860F59">
        <w:rPr>
          <w:sz w:val="20"/>
          <w:szCs w:val="20"/>
        </w:rPr>
        <w:t xml:space="preserve">W.S Jones (ed. and </w:t>
      </w:r>
      <w:proofErr w:type="spellStart"/>
      <w:r w:rsidR="008473CC" w:rsidRPr="00860F59">
        <w:rPr>
          <w:sz w:val="20"/>
          <w:szCs w:val="20"/>
        </w:rPr>
        <w:t>trs</w:t>
      </w:r>
      <w:proofErr w:type="spellEnd"/>
      <w:r w:rsidR="008473CC" w:rsidRPr="00860F59">
        <w:rPr>
          <w:sz w:val="20"/>
          <w:szCs w:val="20"/>
        </w:rPr>
        <w:t>.) Loeb Classical Library, (Cambridge: Harvard University Press, 1931) 97-222</w:t>
      </w:r>
      <w:r w:rsidR="00933300" w:rsidRPr="00860F59">
        <w:rPr>
          <w:sz w:val="20"/>
          <w:szCs w:val="20"/>
        </w:rPr>
        <w:t>, (</w:t>
      </w:r>
      <w:r w:rsidRPr="00860F59">
        <w:rPr>
          <w:color w:val="333333"/>
          <w:spacing w:val="-2"/>
          <w:sz w:val="20"/>
          <w:szCs w:val="20"/>
          <w:shd w:val="clear" w:color="auto" w:fill="FFFFFF"/>
        </w:rPr>
        <w:t>First section, 1</w:t>
      </w:r>
      <w:r w:rsidR="00933300" w:rsidRPr="00860F59">
        <w:rPr>
          <w:color w:val="333333"/>
          <w:spacing w:val="-2"/>
          <w:sz w:val="20"/>
          <w:szCs w:val="20"/>
          <w:shd w:val="clear" w:color="auto" w:fill="FFFFFF"/>
        </w:rPr>
        <w:t>)</w:t>
      </w:r>
    </w:p>
  </w:footnote>
  <w:footnote w:id="39">
    <w:p w14:paraId="79CCB783" w14:textId="46A20829" w:rsidR="003A7523" w:rsidRPr="00860F59" w:rsidRDefault="003A7523" w:rsidP="00547C67">
      <w:pPr>
        <w:rPr>
          <w:sz w:val="20"/>
          <w:szCs w:val="20"/>
          <w:lang w:val="de-DE"/>
        </w:rPr>
      </w:pPr>
      <w:r w:rsidRPr="00860F59">
        <w:rPr>
          <w:rStyle w:val="FootnoteReference"/>
          <w:sz w:val="20"/>
          <w:szCs w:val="20"/>
        </w:rPr>
        <w:footnoteRef/>
      </w:r>
      <w:r w:rsidRPr="00860F59">
        <w:rPr>
          <w:sz w:val="20"/>
          <w:szCs w:val="20"/>
          <w:lang w:val="de-DE"/>
        </w:rPr>
        <w:t xml:space="preserve"> </w:t>
      </w:r>
      <w:proofErr w:type="spellStart"/>
      <w:r w:rsidR="00547C67" w:rsidRPr="00860F59">
        <w:rPr>
          <w:sz w:val="20"/>
          <w:szCs w:val="20"/>
          <w:lang w:val="de-DE"/>
        </w:rPr>
        <w:t>Greenbaum</w:t>
      </w:r>
      <w:proofErr w:type="spellEnd"/>
      <w:r w:rsidR="00547C67" w:rsidRPr="00860F59">
        <w:rPr>
          <w:sz w:val="20"/>
          <w:szCs w:val="20"/>
          <w:lang w:val="de-DE"/>
        </w:rPr>
        <w:t>, p</w:t>
      </w:r>
      <w:r w:rsidRPr="00860F59">
        <w:rPr>
          <w:sz w:val="20"/>
          <w:szCs w:val="20"/>
          <w:lang w:val="de-DE"/>
        </w:rPr>
        <w:t>.112</w:t>
      </w:r>
      <w:r w:rsidR="00547C67" w:rsidRPr="00860F59">
        <w:rPr>
          <w:sz w:val="20"/>
          <w:szCs w:val="20"/>
          <w:lang w:val="de-DE"/>
        </w:rPr>
        <w:t>.</w:t>
      </w:r>
    </w:p>
  </w:footnote>
  <w:footnote w:id="40">
    <w:p w14:paraId="19819713" w14:textId="55011EE7" w:rsidR="003A7523" w:rsidRPr="00860F59" w:rsidRDefault="003A7523" w:rsidP="00547C67">
      <w:pPr>
        <w:rPr>
          <w:sz w:val="20"/>
          <w:szCs w:val="20"/>
          <w:lang w:val="de-DE"/>
        </w:rPr>
      </w:pPr>
      <w:r w:rsidRPr="00860F59">
        <w:rPr>
          <w:rStyle w:val="FootnoteReference"/>
          <w:sz w:val="20"/>
          <w:szCs w:val="20"/>
        </w:rPr>
        <w:footnoteRef/>
      </w:r>
      <w:r w:rsidRPr="00860F59">
        <w:rPr>
          <w:sz w:val="20"/>
          <w:szCs w:val="20"/>
          <w:lang w:val="de-DE"/>
        </w:rPr>
        <w:t xml:space="preserve"> </w:t>
      </w:r>
      <w:proofErr w:type="spellStart"/>
      <w:r w:rsidR="00547C67" w:rsidRPr="00860F59">
        <w:rPr>
          <w:sz w:val="20"/>
          <w:szCs w:val="20"/>
          <w:lang w:val="de-DE"/>
        </w:rPr>
        <w:t>Greenbaum</w:t>
      </w:r>
      <w:proofErr w:type="spellEnd"/>
      <w:r w:rsidR="00547C67" w:rsidRPr="00860F59">
        <w:rPr>
          <w:sz w:val="20"/>
          <w:szCs w:val="20"/>
          <w:lang w:val="de-DE"/>
        </w:rPr>
        <w:t>, p.113.</w:t>
      </w:r>
    </w:p>
  </w:footnote>
  <w:footnote w:id="41">
    <w:p w14:paraId="1B8D75C4" w14:textId="1451C629" w:rsidR="003A7523" w:rsidRPr="00860F59" w:rsidRDefault="003A7523" w:rsidP="003A7523">
      <w:pPr>
        <w:rPr>
          <w:sz w:val="20"/>
          <w:szCs w:val="20"/>
        </w:rPr>
      </w:pPr>
      <w:r w:rsidRPr="00860F59">
        <w:rPr>
          <w:rStyle w:val="FootnoteReference"/>
          <w:sz w:val="20"/>
          <w:szCs w:val="20"/>
        </w:rPr>
        <w:footnoteRef/>
      </w:r>
      <w:r w:rsidRPr="00860F59">
        <w:rPr>
          <w:sz w:val="20"/>
          <w:szCs w:val="20"/>
        </w:rPr>
        <w:t xml:space="preserve"> </w:t>
      </w:r>
      <w:r w:rsidR="00CF3F77" w:rsidRPr="00860F59">
        <w:rPr>
          <w:sz w:val="20"/>
          <w:szCs w:val="20"/>
        </w:rPr>
        <w:t xml:space="preserve">Greenbaum, </w:t>
      </w:r>
      <w:r w:rsidR="00CF3F77" w:rsidRPr="00860F59">
        <w:rPr>
          <w:i/>
          <w:iCs/>
          <w:sz w:val="20"/>
          <w:szCs w:val="20"/>
        </w:rPr>
        <w:t>Hellenistic Astronomy</w:t>
      </w:r>
      <w:r w:rsidR="00CF3F77" w:rsidRPr="00860F59">
        <w:rPr>
          <w:sz w:val="20"/>
          <w:szCs w:val="20"/>
        </w:rPr>
        <w:t>, p</w:t>
      </w:r>
      <w:r w:rsidRPr="00860F59">
        <w:rPr>
          <w:sz w:val="20"/>
          <w:szCs w:val="20"/>
        </w:rPr>
        <w:t>.358</w:t>
      </w:r>
      <w:r w:rsidR="00CF3F77" w:rsidRPr="00860F59">
        <w:rPr>
          <w:sz w:val="20"/>
          <w:szCs w:val="20"/>
        </w:rPr>
        <w:t>.</w:t>
      </w:r>
    </w:p>
  </w:footnote>
  <w:footnote w:id="42">
    <w:p w14:paraId="309F42BD" w14:textId="1A5EAD12" w:rsidR="003A7523" w:rsidRPr="00860F59" w:rsidRDefault="003A7523" w:rsidP="003A7523">
      <w:pPr>
        <w:rPr>
          <w:sz w:val="20"/>
          <w:szCs w:val="20"/>
        </w:rPr>
      </w:pPr>
      <w:r w:rsidRPr="00860F59">
        <w:rPr>
          <w:rStyle w:val="FootnoteReference"/>
          <w:sz w:val="20"/>
          <w:szCs w:val="20"/>
        </w:rPr>
        <w:footnoteRef/>
      </w:r>
      <w:r w:rsidRPr="00860F59">
        <w:rPr>
          <w:sz w:val="20"/>
          <w:szCs w:val="20"/>
        </w:rPr>
        <w:t xml:space="preserve"> </w:t>
      </w:r>
      <w:r w:rsidR="00CF3F77" w:rsidRPr="00860F59">
        <w:rPr>
          <w:sz w:val="20"/>
          <w:szCs w:val="20"/>
        </w:rPr>
        <w:t xml:space="preserve"> Greenbaum, </w:t>
      </w:r>
      <w:r w:rsidR="00CF3F77" w:rsidRPr="00860F59">
        <w:rPr>
          <w:i/>
          <w:iCs/>
          <w:sz w:val="20"/>
          <w:szCs w:val="20"/>
        </w:rPr>
        <w:t>Hellenistic Astronomy</w:t>
      </w:r>
      <w:r w:rsidR="00CF3F77" w:rsidRPr="00860F59">
        <w:rPr>
          <w:sz w:val="20"/>
          <w:szCs w:val="20"/>
        </w:rPr>
        <w:t>, p</w:t>
      </w:r>
      <w:r w:rsidRPr="00860F59">
        <w:rPr>
          <w:sz w:val="20"/>
          <w:szCs w:val="20"/>
        </w:rPr>
        <w:t>.364</w:t>
      </w:r>
      <w:r w:rsidR="00126D04" w:rsidRPr="00860F59">
        <w:rPr>
          <w:sz w:val="20"/>
          <w:szCs w:val="20"/>
        </w:rPr>
        <w:t>.</w:t>
      </w:r>
    </w:p>
  </w:footnote>
  <w:footnote w:id="43">
    <w:p w14:paraId="44B24899" w14:textId="656C4665" w:rsidR="003A7523" w:rsidRPr="00CF3F77" w:rsidRDefault="003A7523" w:rsidP="007A0A68">
      <w:pPr>
        <w:rPr>
          <w:lang w:val="de-DE"/>
        </w:rPr>
      </w:pPr>
      <w:r w:rsidRPr="00860F59">
        <w:rPr>
          <w:rStyle w:val="FootnoteReference"/>
          <w:sz w:val="20"/>
          <w:szCs w:val="20"/>
        </w:rPr>
        <w:footnoteRef/>
      </w:r>
      <w:r w:rsidRPr="00860F59">
        <w:rPr>
          <w:sz w:val="20"/>
          <w:szCs w:val="20"/>
          <w:lang w:val="de-DE"/>
        </w:rPr>
        <w:t xml:space="preserve"> </w:t>
      </w:r>
      <w:proofErr w:type="spellStart"/>
      <w:r w:rsidR="007A0A68" w:rsidRPr="00860F59">
        <w:rPr>
          <w:sz w:val="20"/>
          <w:szCs w:val="20"/>
          <w:lang w:val="de-DE"/>
        </w:rPr>
        <w:t>Greenbaum</w:t>
      </w:r>
      <w:proofErr w:type="spellEnd"/>
      <w:r w:rsidR="007A0A68" w:rsidRPr="00860F59">
        <w:rPr>
          <w:sz w:val="20"/>
          <w:szCs w:val="20"/>
          <w:lang w:val="de-DE"/>
        </w:rPr>
        <w:t>, p.113.</w:t>
      </w:r>
    </w:p>
  </w:footnote>
  <w:footnote w:id="44">
    <w:p w14:paraId="23F42D37" w14:textId="2F1E12A9" w:rsidR="00E33E39" w:rsidRPr="00860F59" w:rsidRDefault="00E33E39" w:rsidP="007A0A68">
      <w:pPr>
        <w:rPr>
          <w:sz w:val="20"/>
          <w:szCs w:val="20"/>
          <w:lang w:val="de-DE"/>
        </w:rPr>
      </w:pPr>
      <w:r w:rsidRPr="00860F59">
        <w:rPr>
          <w:rStyle w:val="FootnoteReference"/>
          <w:sz w:val="20"/>
          <w:szCs w:val="20"/>
        </w:rPr>
        <w:footnoteRef/>
      </w:r>
      <w:r w:rsidRPr="00860F59">
        <w:rPr>
          <w:sz w:val="20"/>
          <w:szCs w:val="20"/>
          <w:lang w:val="de-DE"/>
        </w:rPr>
        <w:t xml:space="preserve"> </w:t>
      </w:r>
      <w:proofErr w:type="spellStart"/>
      <w:r w:rsidR="007A0A68" w:rsidRPr="00860F59">
        <w:rPr>
          <w:sz w:val="20"/>
          <w:szCs w:val="20"/>
          <w:lang w:val="de-DE"/>
        </w:rPr>
        <w:t>Greenbaum</w:t>
      </w:r>
      <w:proofErr w:type="spellEnd"/>
      <w:r w:rsidR="007A0A68" w:rsidRPr="00860F59">
        <w:rPr>
          <w:sz w:val="20"/>
          <w:szCs w:val="20"/>
          <w:lang w:val="de-DE"/>
        </w:rPr>
        <w:t>, p.112.</w:t>
      </w:r>
    </w:p>
  </w:footnote>
  <w:footnote w:id="45">
    <w:p w14:paraId="78E2AF59" w14:textId="439C6B7D" w:rsidR="00E33E39" w:rsidRPr="00860F59" w:rsidRDefault="00E33E39" w:rsidP="007A0A68">
      <w:pPr>
        <w:rPr>
          <w:sz w:val="20"/>
          <w:szCs w:val="20"/>
          <w:lang w:val="de-DE"/>
        </w:rPr>
      </w:pPr>
      <w:r w:rsidRPr="00860F59">
        <w:rPr>
          <w:rStyle w:val="FootnoteReference"/>
          <w:sz w:val="20"/>
          <w:szCs w:val="20"/>
        </w:rPr>
        <w:footnoteRef/>
      </w:r>
      <w:r w:rsidRPr="00860F59">
        <w:rPr>
          <w:sz w:val="20"/>
          <w:szCs w:val="20"/>
          <w:lang w:val="de-DE"/>
        </w:rPr>
        <w:t xml:space="preserve"> </w:t>
      </w:r>
      <w:proofErr w:type="spellStart"/>
      <w:r w:rsidR="007A0A68" w:rsidRPr="00860F59">
        <w:rPr>
          <w:sz w:val="20"/>
          <w:szCs w:val="20"/>
          <w:lang w:val="de-DE"/>
        </w:rPr>
        <w:t>Greenbaum</w:t>
      </w:r>
      <w:proofErr w:type="spellEnd"/>
      <w:r w:rsidR="007A0A68" w:rsidRPr="00860F59">
        <w:rPr>
          <w:sz w:val="20"/>
          <w:szCs w:val="20"/>
          <w:lang w:val="de-DE"/>
        </w:rPr>
        <w:t>, p.113.</w:t>
      </w:r>
    </w:p>
  </w:footnote>
  <w:footnote w:id="46">
    <w:p w14:paraId="2B6DDB26" w14:textId="0A346941" w:rsidR="00E33E39" w:rsidRPr="00860F59" w:rsidRDefault="00E33E39" w:rsidP="00E33E39">
      <w:pPr>
        <w:rPr>
          <w:sz w:val="20"/>
          <w:szCs w:val="20"/>
          <w:lang w:val="en-US"/>
        </w:rPr>
      </w:pPr>
      <w:r w:rsidRPr="00860F59">
        <w:rPr>
          <w:rStyle w:val="FootnoteReference"/>
          <w:sz w:val="20"/>
          <w:szCs w:val="20"/>
        </w:rPr>
        <w:footnoteRef/>
      </w:r>
      <w:r w:rsidRPr="00860F59">
        <w:rPr>
          <w:sz w:val="20"/>
          <w:szCs w:val="20"/>
        </w:rPr>
        <w:t xml:space="preserve"> </w:t>
      </w:r>
      <w:r w:rsidR="00CD3E22" w:rsidRPr="00860F59">
        <w:rPr>
          <w:sz w:val="20"/>
          <w:szCs w:val="20"/>
          <w:lang w:val="en-US"/>
        </w:rPr>
        <w:t xml:space="preserve">Greenbaum, </w:t>
      </w:r>
      <w:r w:rsidR="00CD3E22" w:rsidRPr="00860F59">
        <w:rPr>
          <w:i/>
          <w:iCs/>
          <w:sz w:val="20"/>
          <w:szCs w:val="20"/>
          <w:lang w:val="en-US"/>
        </w:rPr>
        <w:t>Hellenistic Astronomy</w:t>
      </w:r>
      <w:r w:rsidR="00B56412" w:rsidRPr="00860F59">
        <w:rPr>
          <w:sz w:val="20"/>
          <w:szCs w:val="20"/>
          <w:lang w:val="en-US"/>
        </w:rPr>
        <w:t>, p</w:t>
      </w:r>
      <w:r w:rsidRPr="00860F59">
        <w:rPr>
          <w:sz w:val="20"/>
          <w:szCs w:val="20"/>
          <w:lang w:val="en-US"/>
        </w:rPr>
        <w:t>.361</w:t>
      </w:r>
      <w:r w:rsidR="00B56412" w:rsidRPr="00860F59">
        <w:rPr>
          <w:sz w:val="20"/>
          <w:szCs w:val="20"/>
          <w:lang w:val="en-US"/>
        </w:rPr>
        <w:t>.</w:t>
      </w:r>
    </w:p>
  </w:footnote>
  <w:footnote w:id="47">
    <w:p w14:paraId="307D1759" w14:textId="67335B1F" w:rsidR="00E33E39" w:rsidRPr="00860F59" w:rsidRDefault="00E33E39" w:rsidP="00E33E39">
      <w:pPr>
        <w:rPr>
          <w:sz w:val="20"/>
          <w:szCs w:val="20"/>
          <w:lang w:val="en-US"/>
        </w:rPr>
      </w:pPr>
      <w:r w:rsidRPr="00860F59">
        <w:rPr>
          <w:rStyle w:val="FootnoteReference"/>
          <w:sz w:val="20"/>
          <w:szCs w:val="20"/>
        </w:rPr>
        <w:footnoteRef/>
      </w:r>
      <w:r w:rsidRPr="00860F59">
        <w:rPr>
          <w:sz w:val="20"/>
          <w:szCs w:val="20"/>
        </w:rPr>
        <w:t xml:space="preserve"> </w:t>
      </w:r>
      <w:r w:rsidR="00B56412" w:rsidRPr="00860F59">
        <w:rPr>
          <w:sz w:val="20"/>
          <w:szCs w:val="20"/>
          <w:lang w:val="en-US"/>
        </w:rPr>
        <w:t xml:space="preserve">Greenbaum, </w:t>
      </w:r>
      <w:r w:rsidR="00B56412" w:rsidRPr="00860F59">
        <w:rPr>
          <w:i/>
          <w:iCs/>
          <w:sz w:val="20"/>
          <w:szCs w:val="20"/>
          <w:lang w:val="en-US"/>
        </w:rPr>
        <w:t>Hellenistic Astronomy</w:t>
      </w:r>
      <w:r w:rsidR="00B56412" w:rsidRPr="00860F59">
        <w:rPr>
          <w:sz w:val="20"/>
          <w:szCs w:val="20"/>
          <w:lang w:val="en-US"/>
        </w:rPr>
        <w:t>, p</w:t>
      </w:r>
      <w:r w:rsidRPr="00860F59">
        <w:rPr>
          <w:sz w:val="20"/>
          <w:szCs w:val="20"/>
          <w:lang w:val="en-US"/>
        </w:rPr>
        <w:t>.374</w:t>
      </w:r>
      <w:r w:rsidR="00B56412" w:rsidRPr="00860F59">
        <w:rPr>
          <w:sz w:val="20"/>
          <w:szCs w:val="20"/>
          <w:lang w:val="en-US"/>
        </w:rPr>
        <w:t>.</w:t>
      </w:r>
    </w:p>
  </w:footnote>
  <w:footnote w:id="48">
    <w:p w14:paraId="2650DFE7" w14:textId="2886E0AF" w:rsidR="00E33E39" w:rsidRPr="00860F59" w:rsidRDefault="00E33E39" w:rsidP="007A0A68">
      <w:pPr>
        <w:rPr>
          <w:sz w:val="20"/>
          <w:szCs w:val="20"/>
        </w:rPr>
      </w:pPr>
      <w:r w:rsidRPr="00860F59">
        <w:rPr>
          <w:rStyle w:val="FootnoteReference"/>
          <w:sz w:val="20"/>
          <w:szCs w:val="20"/>
        </w:rPr>
        <w:footnoteRef/>
      </w:r>
      <w:r w:rsidRPr="00860F59">
        <w:rPr>
          <w:sz w:val="20"/>
          <w:szCs w:val="20"/>
        </w:rPr>
        <w:t xml:space="preserve"> </w:t>
      </w:r>
      <w:r w:rsidR="007A0A68" w:rsidRPr="00860F59">
        <w:rPr>
          <w:sz w:val="20"/>
          <w:szCs w:val="20"/>
        </w:rPr>
        <w:t>Greenbaum, p.118.</w:t>
      </w:r>
    </w:p>
  </w:footnote>
  <w:footnote w:id="49">
    <w:p w14:paraId="39D8AB90" w14:textId="1EFEE00D" w:rsidR="00E33E39" w:rsidRPr="00860F59" w:rsidRDefault="00E33E39" w:rsidP="007A0A68">
      <w:pPr>
        <w:rPr>
          <w:sz w:val="20"/>
          <w:szCs w:val="20"/>
        </w:rPr>
      </w:pPr>
      <w:r w:rsidRPr="00860F59">
        <w:rPr>
          <w:rStyle w:val="FootnoteReference"/>
          <w:sz w:val="20"/>
          <w:szCs w:val="20"/>
        </w:rPr>
        <w:footnoteRef/>
      </w:r>
      <w:r w:rsidRPr="00860F59">
        <w:rPr>
          <w:sz w:val="20"/>
          <w:szCs w:val="20"/>
        </w:rPr>
        <w:t xml:space="preserve"> </w:t>
      </w:r>
      <w:r w:rsidR="007A0A68" w:rsidRPr="00860F59">
        <w:rPr>
          <w:sz w:val="20"/>
          <w:szCs w:val="20"/>
        </w:rPr>
        <w:t>Greenbaum, p.116.</w:t>
      </w:r>
    </w:p>
  </w:footnote>
  <w:footnote w:id="50">
    <w:p w14:paraId="483A8F53" w14:textId="60FB1F99" w:rsidR="00E33E39" w:rsidRPr="00860F59" w:rsidRDefault="00E33E39" w:rsidP="00E33E39">
      <w:pPr>
        <w:pStyle w:val="FootnoteText"/>
      </w:pPr>
      <w:r w:rsidRPr="00860F59">
        <w:rPr>
          <w:rStyle w:val="FootnoteReference"/>
        </w:rPr>
        <w:footnoteRef/>
      </w:r>
      <w:r w:rsidRPr="00860F59">
        <w:t xml:space="preserve"> </w:t>
      </w:r>
      <w:r w:rsidR="00D125C5" w:rsidRPr="00860F59">
        <w:t>Evans,</w:t>
      </w:r>
      <w:r w:rsidR="00AD25A5" w:rsidRPr="00860F59">
        <w:t xml:space="preserve"> ‘The Astrologer’s Apparatus,’ p.4.</w:t>
      </w:r>
      <w:r w:rsidR="00D125C5" w:rsidRPr="00860F59">
        <w:t xml:space="preserve"> </w:t>
      </w:r>
    </w:p>
  </w:footnote>
  <w:footnote w:id="51">
    <w:p w14:paraId="09993F18" w14:textId="1E705F72" w:rsidR="00E33E39" w:rsidRDefault="00E33E39" w:rsidP="001F392B">
      <w:pPr>
        <w:pStyle w:val="FootnoteText"/>
      </w:pPr>
      <w:r w:rsidRPr="00860F59">
        <w:rPr>
          <w:rStyle w:val="FootnoteReference"/>
        </w:rPr>
        <w:footnoteRef/>
      </w:r>
      <w:r w:rsidRPr="00860F59">
        <w:t xml:space="preserve"> </w:t>
      </w:r>
      <w:r w:rsidR="001F392B" w:rsidRPr="00860F59">
        <w:t>Evans, ‘The Astrologer’s Apparatus,’ p.5.</w:t>
      </w:r>
    </w:p>
  </w:footnote>
  <w:footnote w:id="52">
    <w:p w14:paraId="57162A53" w14:textId="5428ABA3" w:rsidR="00E33E39" w:rsidRPr="00860F59" w:rsidRDefault="00E33E39" w:rsidP="001F392B">
      <w:pPr>
        <w:pStyle w:val="FootnoteText"/>
      </w:pPr>
      <w:r w:rsidRPr="00860F59">
        <w:rPr>
          <w:rStyle w:val="FootnoteReference"/>
        </w:rPr>
        <w:footnoteRef/>
      </w:r>
      <w:r w:rsidRPr="00860F59">
        <w:t xml:space="preserve"> </w:t>
      </w:r>
      <w:r w:rsidR="001F392B" w:rsidRPr="00860F59">
        <w:t>Evans, ‘The Astrologer’s Apparatus,’ p.5.</w:t>
      </w:r>
    </w:p>
  </w:footnote>
  <w:footnote w:id="53">
    <w:p w14:paraId="08628B3F" w14:textId="4CEFB63C" w:rsidR="00E33E39" w:rsidRPr="00860F59" w:rsidRDefault="00E33E39" w:rsidP="001F392B">
      <w:pPr>
        <w:pStyle w:val="FootnoteText"/>
      </w:pPr>
      <w:r w:rsidRPr="00860F59">
        <w:rPr>
          <w:rStyle w:val="FootnoteReference"/>
        </w:rPr>
        <w:footnoteRef/>
      </w:r>
      <w:r w:rsidRPr="00860F59">
        <w:t xml:space="preserve"> </w:t>
      </w:r>
      <w:r w:rsidR="001F392B" w:rsidRPr="00860F59">
        <w:t>Evans, ‘The Astrologer’s Apparatus,’ p.7.</w:t>
      </w:r>
    </w:p>
  </w:footnote>
  <w:footnote w:id="54">
    <w:p w14:paraId="2E42B04B" w14:textId="239BD45E" w:rsidR="00714369" w:rsidRPr="00860F59" w:rsidRDefault="00714369" w:rsidP="008A74FB">
      <w:pPr>
        <w:jc w:val="both"/>
        <w:rPr>
          <w:sz w:val="20"/>
          <w:szCs w:val="20"/>
        </w:rPr>
      </w:pPr>
      <w:r w:rsidRPr="00860F59">
        <w:rPr>
          <w:rStyle w:val="FootnoteReference"/>
          <w:sz w:val="20"/>
          <w:szCs w:val="20"/>
        </w:rPr>
        <w:footnoteRef/>
      </w:r>
      <w:r w:rsidRPr="00860F59">
        <w:rPr>
          <w:sz w:val="20"/>
          <w:szCs w:val="20"/>
        </w:rPr>
        <w:t xml:space="preserve"> </w:t>
      </w:r>
      <w:r w:rsidR="008A74FB" w:rsidRPr="00860F59">
        <w:rPr>
          <w:sz w:val="20"/>
          <w:szCs w:val="20"/>
        </w:rPr>
        <w:t xml:space="preserve">Nutton, </w:t>
      </w:r>
      <w:r w:rsidR="008A74FB" w:rsidRPr="00860F59">
        <w:rPr>
          <w:i/>
          <w:iCs/>
          <w:sz w:val="20"/>
          <w:szCs w:val="20"/>
        </w:rPr>
        <w:t>Ancient Religion</w:t>
      </w:r>
      <w:r w:rsidR="008A74FB" w:rsidRPr="00860F59">
        <w:rPr>
          <w:sz w:val="20"/>
          <w:szCs w:val="20"/>
        </w:rPr>
        <w:t xml:space="preserve">, </w:t>
      </w:r>
      <w:r w:rsidRPr="00860F59">
        <w:rPr>
          <w:sz w:val="20"/>
          <w:szCs w:val="20"/>
        </w:rPr>
        <w:t>p.41-42</w:t>
      </w:r>
      <w:r w:rsidR="008A74FB" w:rsidRPr="00860F59">
        <w:rPr>
          <w:sz w:val="20"/>
          <w:szCs w:val="20"/>
        </w:rPr>
        <w:t>.</w:t>
      </w:r>
    </w:p>
  </w:footnote>
  <w:footnote w:id="55">
    <w:p w14:paraId="63F9CF00" w14:textId="78C0E409" w:rsidR="00714369" w:rsidRPr="00860F59" w:rsidRDefault="00714369" w:rsidP="0018231A">
      <w:pPr>
        <w:spacing w:line="480" w:lineRule="auto"/>
        <w:rPr>
          <w:sz w:val="20"/>
          <w:szCs w:val="20"/>
        </w:rPr>
      </w:pPr>
      <w:r w:rsidRPr="00860F59">
        <w:rPr>
          <w:rStyle w:val="FootnoteReference"/>
          <w:sz w:val="20"/>
          <w:szCs w:val="20"/>
        </w:rPr>
        <w:footnoteRef/>
      </w:r>
      <w:r w:rsidRPr="00860F59">
        <w:rPr>
          <w:sz w:val="20"/>
          <w:szCs w:val="20"/>
        </w:rPr>
        <w:t xml:space="preserve"> </w:t>
      </w:r>
      <w:r w:rsidR="0018231A" w:rsidRPr="00860F59">
        <w:rPr>
          <w:color w:val="333333"/>
          <w:spacing w:val="-2"/>
          <w:sz w:val="20"/>
          <w:szCs w:val="20"/>
          <w:shd w:val="clear" w:color="auto" w:fill="FFFFFF"/>
        </w:rPr>
        <w:t>Plutarch</w:t>
      </w:r>
      <w:r w:rsidR="0018231A" w:rsidRPr="00860F59">
        <w:rPr>
          <w:i/>
          <w:iCs/>
          <w:color w:val="333333"/>
          <w:spacing w:val="-2"/>
          <w:sz w:val="20"/>
          <w:szCs w:val="20"/>
          <w:shd w:val="clear" w:color="auto" w:fill="FFFFFF"/>
        </w:rPr>
        <w:t>, Isis and Osiris</w:t>
      </w:r>
      <w:r w:rsidR="0018231A" w:rsidRPr="00860F59">
        <w:rPr>
          <w:sz w:val="20"/>
          <w:szCs w:val="20"/>
        </w:rPr>
        <w:t xml:space="preserve">: </w:t>
      </w:r>
      <w:r w:rsidR="0018231A" w:rsidRPr="00860F59">
        <w:rPr>
          <w:color w:val="333333"/>
          <w:spacing w:val="-2"/>
          <w:sz w:val="20"/>
          <w:szCs w:val="20"/>
          <w:shd w:val="clear" w:color="auto" w:fill="FFFFFF"/>
        </w:rPr>
        <w:t>F.C. Babbitt et al.</w:t>
      </w:r>
      <w:r w:rsidR="0018231A" w:rsidRPr="00860F59">
        <w:rPr>
          <w:sz w:val="20"/>
          <w:szCs w:val="20"/>
        </w:rPr>
        <w:t xml:space="preserve"> (ed. and </w:t>
      </w:r>
      <w:proofErr w:type="spellStart"/>
      <w:r w:rsidR="0018231A" w:rsidRPr="00860F59">
        <w:rPr>
          <w:sz w:val="20"/>
          <w:szCs w:val="20"/>
        </w:rPr>
        <w:t>trs</w:t>
      </w:r>
      <w:proofErr w:type="spellEnd"/>
      <w:r w:rsidR="0018231A" w:rsidRPr="00860F59">
        <w:rPr>
          <w:sz w:val="20"/>
          <w:szCs w:val="20"/>
        </w:rPr>
        <w:t>.), Loeb Classical Library, (Cambridge: Harvard University Press, 2005)</w:t>
      </w:r>
      <w:r w:rsidR="0018231A" w:rsidRPr="00860F59">
        <w:rPr>
          <w:sz w:val="20"/>
          <w:szCs w:val="20"/>
        </w:rPr>
        <w:t xml:space="preserve"> (</w:t>
      </w:r>
      <w:r w:rsidRPr="00860F59">
        <w:rPr>
          <w:color w:val="333333"/>
          <w:spacing w:val="-2"/>
          <w:sz w:val="20"/>
          <w:szCs w:val="20"/>
          <w:shd w:val="clear" w:color="auto" w:fill="FFFFFF"/>
        </w:rPr>
        <w:t>361.E-F</w:t>
      </w:r>
      <w:r w:rsidR="0018231A" w:rsidRPr="00860F59">
        <w:rPr>
          <w:color w:val="333333"/>
          <w:spacing w:val="-2"/>
          <w:sz w:val="20"/>
          <w:szCs w:val="20"/>
          <w:shd w:val="clear" w:color="auto" w:fill="FFFFFF"/>
        </w:rPr>
        <w:t>)</w:t>
      </w:r>
    </w:p>
  </w:footnote>
  <w:footnote w:id="56">
    <w:p w14:paraId="01871682" w14:textId="0DBA8955" w:rsidR="00714369" w:rsidRDefault="00714369" w:rsidP="001F392B">
      <w:pPr>
        <w:pStyle w:val="FootnoteText"/>
      </w:pPr>
      <w:r w:rsidRPr="00860F59">
        <w:rPr>
          <w:rStyle w:val="FootnoteReference"/>
        </w:rPr>
        <w:footnoteRef/>
      </w:r>
      <w:r w:rsidRPr="00860F59">
        <w:t xml:space="preserve"> </w:t>
      </w:r>
      <w:r w:rsidR="001F392B" w:rsidRPr="00860F59">
        <w:t>Evans, ‘The Astrologer’s Apparatus,’ p.32.</w:t>
      </w:r>
    </w:p>
  </w:footnote>
  <w:footnote w:id="57">
    <w:p w14:paraId="13822126" w14:textId="4D36A376" w:rsidR="00C67072" w:rsidRPr="00860F59" w:rsidRDefault="00C67072" w:rsidP="0031268C">
      <w:pPr>
        <w:rPr>
          <w:color w:val="333333"/>
          <w:spacing w:val="-2"/>
          <w:sz w:val="20"/>
          <w:szCs w:val="20"/>
          <w:shd w:val="clear" w:color="auto" w:fill="FFFFFF"/>
        </w:rPr>
      </w:pPr>
      <w:r w:rsidRPr="00860F59">
        <w:rPr>
          <w:rStyle w:val="FootnoteReference"/>
          <w:sz w:val="20"/>
          <w:szCs w:val="20"/>
        </w:rPr>
        <w:footnoteRef/>
      </w:r>
      <w:r w:rsidRPr="00860F59">
        <w:rPr>
          <w:sz w:val="20"/>
          <w:szCs w:val="20"/>
        </w:rPr>
        <w:t xml:space="preserve"> </w:t>
      </w:r>
      <w:r w:rsidR="0031268C" w:rsidRPr="00860F59">
        <w:rPr>
          <w:sz w:val="20"/>
          <w:szCs w:val="20"/>
        </w:rPr>
        <w:t xml:space="preserve">Hippocrates, </w:t>
      </w:r>
      <w:r w:rsidR="0031268C" w:rsidRPr="00860F59">
        <w:rPr>
          <w:i/>
          <w:iCs/>
          <w:color w:val="333333"/>
          <w:spacing w:val="-2"/>
          <w:sz w:val="20"/>
          <w:szCs w:val="20"/>
          <w:shd w:val="clear" w:color="auto" w:fill="FFFFFF"/>
        </w:rPr>
        <w:t>Sacred Disease</w:t>
      </w:r>
      <w:r w:rsidR="0031268C" w:rsidRPr="00860F59">
        <w:rPr>
          <w:color w:val="333333"/>
          <w:spacing w:val="-2"/>
          <w:sz w:val="20"/>
          <w:szCs w:val="20"/>
          <w:shd w:val="clear" w:color="auto" w:fill="FFFFFF"/>
        </w:rPr>
        <w:t xml:space="preserve">: P. Potter (ed. and </w:t>
      </w:r>
      <w:proofErr w:type="spellStart"/>
      <w:r w:rsidR="0031268C" w:rsidRPr="00860F59">
        <w:rPr>
          <w:color w:val="333333"/>
          <w:spacing w:val="-2"/>
          <w:sz w:val="20"/>
          <w:szCs w:val="20"/>
          <w:shd w:val="clear" w:color="auto" w:fill="FFFFFF"/>
        </w:rPr>
        <w:t>trs</w:t>
      </w:r>
      <w:proofErr w:type="spellEnd"/>
      <w:r w:rsidR="0031268C" w:rsidRPr="00860F59">
        <w:rPr>
          <w:color w:val="333333"/>
          <w:spacing w:val="-2"/>
          <w:sz w:val="20"/>
          <w:szCs w:val="20"/>
          <w:shd w:val="clear" w:color="auto" w:fill="FFFFFF"/>
        </w:rPr>
        <w:t>.), Loeb Classical Library, (Cambridge: Harvard University Press, Vol II, 2023) 136-186</w:t>
      </w:r>
      <w:r w:rsidR="0031268C" w:rsidRPr="00860F59">
        <w:rPr>
          <w:i/>
          <w:iCs/>
          <w:color w:val="333333"/>
          <w:spacing w:val="-2"/>
          <w:sz w:val="20"/>
          <w:szCs w:val="20"/>
          <w:shd w:val="clear" w:color="auto" w:fill="FFFFFF"/>
        </w:rPr>
        <w:t xml:space="preserve"> (</w:t>
      </w:r>
      <w:r w:rsidRPr="00860F59">
        <w:rPr>
          <w:color w:val="333333"/>
          <w:spacing w:val="-2"/>
          <w:sz w:val="20"/>
          <w:szCs w:val="20"/>
          <w:shd w:val="clear" w:color="auto" w:fill="FFFFFF"/>
        </w:rPr>
        <w:t>4.1-8</w:t>
      </w:r>
      <w:r w:rsidR="0031268C" w:rsidRPr="00860F59">
        <w:rPr>
          <w:color w:val="333333"/>
          <w:spacing w:val="-2"/>
          <w:sz w:val="20"/>
          <w:szCs w:val="20"/>
          <w:shd w:val="clear" w:color="auto" w:fill="FFFFFF"/>
        </w:rPr>
        <w:t>)</w:t>
      </w:r>
    </w:p>
  </w:footnote>
  <w:footnote w:id="58">
    <w:p w14:paraId="023E7DC9" w14:textId="229868D6" w:rsidR="00C67072" w:rsidRPr="00860F59" w:rsidRDefault="00C67072" w:rsidP="00767F6A">
      <w:pPr>
        <w:pStyle w:val="FootnoteText"/>
      </w:pPr>
      <w:r w:rsidRPr="00860F59">
        <w:rPr>
          <w:rStyle w:val="FootnoteReference"/>
        </w:rPr>
        <w:footnoteRef/>
      </w:r>
      <w:r w:rsidRPr="00860F59">
        <w:t xml:space="preserve"> </w:t>
      </w:r>
      <w:r w:rsidR="00767F6A" w:rsidRPr="00860F59">
        <w:t xml:space="preserve">Jouanna, Jacques, </w:t>
      </w:r>
      <w:r w:rsidR="00767F6A" w:rsidRPr="00860F59">
        <w:rPr>
          <w:i/>
          <w:iCs/>
        </w:rPr>
        <w:t>Greek Medicine from Hippocrates to Galen</w:t>
      </w:r>
      <w:r w:rsidR="00767F6A" w:rsidRPr="00860F59">
        <w:t>, Trans. By Neil Allies (Leiden/Boston: Brill, 2012) 97-118 (</w:t>
      </w:r>
      <w:r w:rsidRPr="00860F59">
        <w:t>p.98</w:t>
      </w:r>
      <w:r w:rsidR="00767F6A" w:rsidRPr="00860F59">
        <w:t>).</w:t>
      </w:r>
    </w:p>
  </w:footnote>
  <w:footnote w:id="59">
    <w:p w14:paraId="326C265E" w14:textId="158D2DD4" w:rsidR="00C67072" w:rsidRDefault="00C67072" w:rsidP="00C67072">
      <w:pPr>
        <w:pStyle w:val="FootnoteText"/>
      </w:pPr>
      <w:r w:rsidRPr="00860F59">
        <w:rPr>
          <w:rStyle w:val="FootnoteReference"/>
        </w:rPr>
        <w:footnoteRef/>
      </w:r>
      <w:r w:rsidR="006B0371" w:rsidRPr="00860F59">
        <w:t xml:space="preserve"> Hippocrates,</w:t>
      </w:r>
      <w:r w:rsidRPr="00860F59">
        <w:t xml:space="preserve"> </w:t>
      </w:r>
      <w:r w:rsidRPr="00860F59">
        <w:rPr>
          <w:i/>
          <w:iCs/>
          <w:color w:val="333333"/>
          <w:spacing w:val="-2"/>
          <w:shd w:val="clear" w:color="auto" w:fill="FFFFFF"/>
        </w:rPr>
        <w:t xml:space="preserve">Airs, Waters, Places, </w:t>
      </w:r>
      <w:r w:rsidRPr="00860F59">
        <w:rPr>
          <w:color w:val="333333"/>
          <w:spacing w:val="-2"/>
          <w:shd w:val="clear" w:color="auto" w:fill="FFFFFF"/>
        </w:rPr>
        <w:t>22.5-9, trans. P. Potter</w:t>
      </w:r>
    </w:p>
  </w:footnote>
  <w:footnote w:id="60">
    <w:p w14:paraId="39EC786D" w14:textId="18B23C9E" w:rsidR="00C67072" w:rsidRPr="00860F59" w:rsidRDefault="00C67072" w:rsidP="008A74FB">
      <w:pPr>
        <w:jc w:val="both"/>
        <w:rPr>
          <w:sz w:val="20"/>
          <w:szCs w:val="20"/>
        </w:rPr>
      </w:pPr>
      <w:r w:rsidRPr="00860F59">
        <w:rPr>
          <w:rStyle w:val="FootnoteReference"/>
          <w:sz w:val="20"/>
          <w:szCs w:val="20"/>
        </w:rPr>
        <w:footnoteRef/>
      </w:r>
      <w:r w:rsidRPr="00860F59">
        <w:rPr>
          <w:sz w:val="20"/>
          <w:szCs w:val="20"/>
        </w:rPr>
        <w:t xml:space="preserve"> </w:t>
      </w:r>
      <w:r w:rsidR="008A74FB" w:rsidRPr="00860F59">
        <w:rPr>
          <w:sz w:val="20"/>
          <w:szCs w:val="20"/>
        </w:rPr>
        <w:t xml:space="preserve">Nutton, </w:t>
      </w:r>
      <w:r w:rsidR="008A74FB" w:rsidRPr="00860F59">
        <w:rPr>
          <w:i/>
          <w:iCs/>
          <w:sz w:val="20"/>
          <w:szCs w:val="20"/>
        </w:rPr>
        <w:t>Ancient Religion</w:t>
      </w:r>
      <w:r w:rsidR="008A74FB" w:rsidRPr="00860F59">
        <w:rPr>
          <w:sz w:val="20"/>
          <w:szCs w:val="20"/>
        </w:rPr>
        <w:t xml:space="preserve">, </w:t>
      </w:r>
      <w:r w:rsidRPr="00860F59">
        <w:rPr>
          <w:sz w:val="20"/>
          <w:szCs w:val="20"/>
        </w:rPr>
        <w:t>p.65</w:t>
      </w:r>
      <w:r w:rsidR="008A74FB" w:rsidRPr="00860F59">
        <w:rPr>
          <w:sz w:val="20"/>
          <w:szCs w:val="20"/>
        </w:rPr>
        <w:t>.</w:t>
      </w:r>
    </w:p>
  </w:footnote>
  <w:footnote w:id="61">
    <w:p w14:paraId="3FD4BC59" w14:textId="274597C2" w:rsidR="00C67072" w:rsidRPr="00860F59" w:rsidRDefault="00C67072" w:rsidP="00C67072">
      <w:pPr>
        <w:pStyle w:val="FootnoteText"/>
      </w:pPr>
      <w:r w:rsidRPr="00860F59">
        <w:rPr>
          <w:rStyle w:val="FootnoteReference"/>
        </w:rPr>
        <w:footnoteRef/>
      </w:r>
      <w:r w:rsidRPr="00860F59">
        <w:t xml:space="preserve"> </w:t>
      </w:r>
      <w:r w:rsidR="0031268C" w:rsidRPr="00860F59">
        <w:t xml:space="preserve">Hippocrates, </w:t>
      </w:r>
      <w:r w:rsidRPr="00860F59">
        <w:rPr>
          <w:i/>
          <w:iCs/>
          <w:color w:val="333333"/>
          <w:spacing w:val="-2"/>
          <w:shd w:val="clear" w:color="auto" w:fill="FFFFFF"/>
        </w:rPr>
        <w:t xml:space="preserve">Sacred Disease, </w:t>
      </w:r>
      <w:r w:rsidRPr="00860F59">
        <w:rPr>
          <w:color w:val="333333"/>
          <w:spacing w:val="-2"/>
          <w:shd w:val="clear" w:color="auto" w:fill="FFFFFF"/>
        </w:rPr>
        <w:t>21.43-49, Trans. P. Potter</w:t>
      </w:r>
    </w:p>
  </w:footnote>
  <w:footnote w:id="62">
    <w:p w14:paraId="5AC52995" w14:textId="25DAB51F" w:rsidR="00C230FA" w:rsidRDefault="00C230FA" w:rsidP="000916A0">
      <w:bookmarkStart w:id="6" w:name="_Hlk165818543"/>
      <w:r w:rsidRPr="00860F59">
        <w:rPr>
          <w:rStyle w:val="FootnoteReference"/>
          <w:sz w:val="20"/>
          <w:szCs w:val="20"/>
        </w:rPr>
        <w:footnoteRef/>
      </w:r>
      <w:r w:rsidRPr="00860F59">
        <w:rPr>
          <w:sz w:val="20"/>
          <w:szCs w:val="20"/>
        </w:rPr>
        <w:t xml:space="preserve"> </w:t>
      </w:r>
      <w:bookmarkEnd w:id="6"/>
      <w:r w:rsidR="000916A0" w:rsidRPr="00860F59">
        <w:rPr>
          <w:sz w:val="20"/>
          <w:szCs w:val="20"/>
        </w:rPr>
        <w:t xml:space="preserve">Addey, </w:t>
      </w:r>
      <w:r w:rsidR="000916A0" w:rsidRPr="00860F59">
        <w:rPr>
          <w:i/>
          <w:iCs/>
          <w:sz w:val="20"/>
          <w:szCs w:val="20"/>
        </w:rPr>
        <w:t>Divination and Knowledge</w:t>
      </w:r>
      <w:r w:rsidR="000916A0" w:rsidRPr="00860F59">
        <w:rPr>
          <w:sz w:val="20"/>
          <w:szCs w:val="20"/>
        </w:rPr>
        <w:t>, p.7.</w:t>
      </w:r>
    </w:p>
  </w:footnote>
  <w:footnote w:id="63">
    <w:p w14:paraId="1C857113" w14:textId="5F7D3CF7" w:rsidR="00C230FA" w:rsidRPr="00860F59" w:rsidRDefault="00C230FA" w:rsidP="007A0A68">
      <w:pPr>
        <w:rPr>
          <w:sz w:val="20"/>
          <w:szCs w:val="20"/>
        </w:rPr>
      </w:pPr>
      <w:r w:rsidRPr="00860F59">
        <w:rPr>
          <w:rStyle w:val="FootnoteReference"/>
          <w:sz w:val="20"/>
          <w:szCs w:val="20"/>
        </w:rPr>
        <w:footnoteRef/>
      </w:r>
      <w:r w:rsidRPr="00860F59">
        <w:rPr>
          <w:sz w:val="20"/>
          <w:szCs w:val="20"/>
        </w:rPr>
        <w:t xml:space="preserve"> </w:t>
      </w:r>
      <w:r w:rsidR="000916A0" w:rsidRPr="00860F59">
        <w:rPr>
          <w:sz w:val="20"/>
          <w:szCs w:val="20"/>
        </w:rPr>
        <w:t xml:space="preserve">Addey, </w:t>
      </w:r>
      <w:r w:rsidR="000916A0" w:rsidRPr="00860F59">
        <w:rPr>
          <w:i/>
          <w:iCs/>
          <w:sz w:val="20"/>
          <w:szCs w:val="20"/>
        </w:rPr>
        <w:t>Divination and Knowledge</w:t>
      </w:r>
      <w:r w:rsidR="000916A0" w:rsidRPr="00860F59">
        <w:rPr>
          <w:sz w:val="20"/>
          <w:szCs w:val="20"/>
        </w:rPr>
        <w:t>, p.9.</w:t>
      </w:r>
    </w:p>
  </w:footnote>
  <w:footnote w:id="64">
    <w:p w14:paraId="3FB52E35" w14:textId="66756CA1" w:rsidR="00C230FA" w:rsidRPr="00860F59" w:rsidRDefault="00C230FA" w:rsidP="007A0A68">
      <w:pPr>
        <w:rPr>
          <w:sz w:val="20"/>
          <w:szCs w:val="20"/>
        </w:rPr>
      </w:pPr>
      <w:r w:rsidRPr="00860F59">
        <w:rPr>
          <w:rStyle w:val="FootnoteReference"/>
          <w:sz w:val="20"/>
          <w:szCs w:val="20"/>
        </w:rPr>
        <w:footnoteRef/>
      </w:r>
      <w:r w:rsidRPr="00860F59">
        <w:rPr>
          <w:sz w:val="20"/>
          <w:szCs w:val="20"/>
        </w:rPr>
        <w:t xml:space="preserve"> </w:t>
      </w:r>
      <w:r w:rsidR="007A0A68" w:rsidRPr="00860F59">
        <w:rPr>
          <w:sz w:val="20"/>
          <w:szCs w:val="20"/>
        </w:rPr>
        <w:t>Greenbaum, p.110.</w:t>
      </w:r>
    </w:p>
  </w:footnote>
  <w:footnote w:id="65">
    <w:p w14:paraId="24BA75B5" w14:textId="26DFCA14" w:rsidR="00C230FA" w:rsidRPr="00860F59" w:rsidRDefault="00C230FA" w:rsidP="00AA7B8B">
      <w:pPr>
        <w:jc w:val="both"/>
        <w:rPr>
          <w:sz w:val="20"/>
          <w:szCs w:val="20"/>
        </w:rPr>
      </w:pPr>
      <w:r w:rsidRPr="00860F59">
        <w:rPr>
          <w:rStyle w:val="FootnoteReference"/>
          <w:sz w:val="20"/>
          <w:szCs w:val="20"/>
        </w:rPr>
        <w:footnoteRef/>
      </w:r>
      <w:r w:rsidRPr="00860F59">
        <w:rPr>
          <w:sz w:val="20"/>
          <w:szCs w:val="20"/>
        </w:rPr>
        <w:t xml:space="preserve"> </w:t>
      </w:r>
      <w:r w:rsidR="00AA7B8B" w:rsidRPr="00860F59">
        <w:rPr>
          <w:sz w:val="20"/>
          <w:szCs w:val="20"/>
        </w:rPr>
        <w:t xml:space="preserve">Addey, Crystal, ‘Mirrors and Divination: Catoptromancy, Oracles and Earth Goddesses in Antiquity,’ in </w:t>
      </w:r>
      <w:r w:rsidR="00AA7B8B" w:rsidRPr="00860F59">
        <w:rPr>
          <w:i/>
          <w:iCs/>
          <w:sz w:val="20"/>
          <w:szCs w:val="20"/>
        </w:rPr>
        <w:t xml:space="preserve">The Book of the Mirror: An Interdisciplinary Collection exploring the Cultural Story of the Mirror, </w:t>
      </w:r>
      <w:r w:rsidR="00AA7B8B" w:rsidRPr="00860F59">
        <w:rPr>
          <w:sz w:val="20"/>
          <w:szCs w:val="20"/>
        </w:rPr>
        <w:t>ed. By M. Anderson (Cambridge: Cambridge Scholars Press, 2007) pp: 32-46  (</w:t>
      </w:r>
      <w:r w:rsidRPr="00860F59">
        <w:rPr>
          <w:sz w:val="20"/>
          <w:szCs w:val="20"/>
        </w:rPr>
        <w:t>p.32</w:t>
      </w:r>
      <w:r w:rsidR="00AA7B8B" w:rsidRPr="00860F59">
        <w:rPr>
          <w:sz w:val="20"/>
          <w:szCs w:val="20"/>
        </w:rPr>
        <w:t>)</w:t>
      </w:r>
      <w:r w:rsidRPr="00860F59">
        <w:rPr>
          <w:sz w:val="20"/>
          <w:szCs w:val="20"/>
        </w:rPr>
        <w:t xml:space="preserve"> </w:t>
      </w:r>
    </w:p>
  </w:footnote>
  <w:footnote w:id="66">
    <w:p w14:paraId="5424E23F" w14:textId="70140B21" w:rsidR="00C230FA" w:rsidRPr="00860F59" w:rsidRDefault="00C230FA" w:rsidP="007A0A68">
      <w:pPr>
        <w:rPr>
          <w:sz w:val="20"/>
          <w:szCs w:val="20"/>
        </w:rPr>
      </w:pPr>
      <w:r w:rsidRPr="00860F59">
        <w:rPr>
          <w:rStyle w:val="FootnoteReference"/>
          <w:sz w:val="20"/>
          <w:szCs w:val="20"/>
        </w:rPr>
        <w:footnoteRef/>
      </w:r>
      <w:r w:rsidRPr="00860F59">
        <w:rPr>
          <w:sz w:val="20"/>
          <w:szCs w:val="20"/>
        </w:rPr>
        <w:t xml:space="preserve"> </w:t>
      </w:r>
      <w:r w:rsidR="007A0A68" w:rsidRPr="00860F59">
        <w:rPr>
          <w:sz w:val="20"/>
          <w:szCs w:val="20"/>
        </w:rPr>
        <w:t>Greenbaum, p.113.</w:t>
      </w:r>
    </w:p>
  </w:footnote>
  <w:footnote w:id="67">
    <w:p w14:paraId="3DA897D5" w14:textId="390CC703" w:rsidR="00DD785C" w:rsidRPr="00603335" w:rsidRDefault="00DD785C" w:rsidP="00603335">
      <w:pPr>
        <w:rPr>
          <w:rFonts w:ascii="zephtextregular" w:hAnsi="zephtextregular"/>
          <w:color w:val="333333"/>
          <w:spacing w:val="-2"/>
          <w:sz w:val="20"/>
          <w:szCs w:val="20"/>
          <w:shd w:val="clear" w:color="auto" w:fill="FFFFFF"/>
          <w:lang w:val="en-US"/>
        </w:rPr>
      </w:pPr>
      <w:r w:rsidRPr="00860F59">
        <w:rPr>
          <w:rStyle w:val="FootnoteReference"/>
          <w:sz w:val="20"/>
          <w:szCs w:val="20"/>
        </w:rPr>
        <w:footnoteRef/>
      </w:r>
      <w:r w:rsidRPr="00860F59">
        <w:rPr>
          <w:sz w:val="20"/>
          <w:szCs w:val="20"/>
        </w:rPr>
        <w:t xml:space="preserve"> </w:t>
      </w:r>
      <w:r w:rsidR="00603335" w:rsidRPr="00860F59">
        <w:rPr>
          <w:color w:val="333333"/>
          <w:spacing w:val="-2"/>
          <w:sz w:val="20"/>
          <w:szCs w:val="20"/>
          <w:shd w:val="clear" w:color="auto" w:fill="FFFFFF"/>
          <w:lang w:val="en-US"/>
        </w:rPr>
        <w:t xml:space="preserve">Renberg, Gil, H, </w:t>
      </w:r>
      <w:r w:rsidR="00603335" w:rsidRPr="00860F59">
        <w:rPr>
          <w:i/>
          <w:iCs/>
          <w:color w:val="333333"/>
          <w:spacing w:val="-2"/>
          <w:sz w:val="20"/>
          <w:szCs w:val="20"/>
          <w:shd w:val="clear" w:color="auto" w:fill="FFFFFF"/>
          <w:lang w:val="en-US"/>
        </w:rPr>
        <w:t>Where Dreams May Come: Incubation Sanctuaries in the Greco-Roman World</w:t>
      </w:r>
      <w:r w:rsidR="00603335" w:rsidRPr="00860F59">
        <w:rPr>
          <w:color w:val="333333"/>
          <w:spacing w:val="-2"/>
          <w:sz w:val="20"/>
          <w:szCs w:val="20"/>
          <w:shd w:val="clear" w:color="auto" w:fill="FFFFFF"/>
          <w:lang w:val="en-US"/>
        </w:rPr>
        <w:t>, (Leiden/Boston: Brill, 2017), 1-35, 115-80, 329-392 (p.4).</w:t>
      </w:r>
    </w:p>
  </w:footnote>
  <w:footnote w:id="68">
    <w:p w14:paraId="07D5AB50" w14:textId="528A0EE3" w:rsidR="00DD785C" w:rsidRPr="00860F59" w:rsidRDefault="00DD785C" w:rsidP="00DD785C">
      <w:pPr>
        <w:rPr>
          <w:color w:val="333333"/>
          <w:spacing w:val="-2"/>
          <w:sz w:val="20"/>
          <w:szCs w:val="20"/>
          <w:u w:val="single"/>
          <w:shd w:val="clear" w:color="auto" w:fill="FFFFFF"/>
          <w:lang w:val="en-US"/>
        </w:rPr>
      </w:pPr>
      <w:r w:rsidRPr="00860F59">
        <w:rPr>
          <w:rStyle w:val="FootnoteReference"/>
          <w:sz w:val="20"/>
          <w:szCs w:val="20"/>
        </w:rPr>
        <w:footnoteRef/>
      </w:r>
      <w:r w:rsidRPr="00860F59">
        <w:rPr>
          <w:sz w:val="20"/>
          <w:szCs w:val="20"/>
        </w:rPr>
        <w:t xml:space="preserve"> </w:t>
      </w:r>
      <w:r w:rsidR="00D62F8F" w:rsidRPr="00860F59">
        <w:rPr>
          <w:color w:val="333333"/>
          <w:spacing w:val="-2"/>
          <w:sz w:val="20"/>
          <w:szCs w:val="20"/>
          <w:shd w:val="clear" w:color="auto" w:fill="FFFFFF"/>
          <w:lang w:val="en-US"/>
        </w:rPr>
        <w:t xml:space="preserve">Renberg, Gil, H, </w:t>
      </w:r>
      <w:r w:rsidR="00D62F8F" w:rsidRPr="00860F59">
        <w:rPr>
          <w:i/>
          <w:iCs/>
          <w:color w:val="333333"/>
          <w:spacing w:val="-2"/>
          <w:sz w:val="20"/>
          <w:szCs w:val="20"/>
          <w:shd w:val="clear" w:color="auto" w:fill="FFFFFF"/>
          <w:lang w:val="en-US"/>
        </w:rPr>
        <w:t>Where Dreams May Come</w:t>
      </w:r>
      <w:r w:rsidR="00D62F8F" w:rsidRPr="00860F59">
        <w:rPr>
          <w:color w:val="333333"/>
          <w:spacing w:val="-2"/>
          <w:sz w:val="20"/>
          <w:szCs w:val="20"/>
          <w:shd w:val="clear" w:color="auto" w:fill="FFFFFF"/>
          <w:lang w:val="en-US"/>
        </w:rPr>
        <w:t xml:space="preserve">, </w:t>
      </w:r>
      <w:r w:rsidRPr="00860F59">
        <w:rPr>
          <w:color w:val="333333"/>
          <w:spacing w:val="-2"/>
          <w:sz w:val="20"/>
          <w:szCs w:val="20"/>
          <w:shd w:val="clear" w:color="auto" w:fill="FFFFFF"/>
          <w:lang w:val="en-US"/>
        </w:rPr>
        <w:t>p.27</w:t>
      </w:r>
      <w:r w:rsidR="00D62F8F" w:rsidRPr="00860F59">
        <w:rPr>
          <w:color w:val="333333"/>
          <w:spacing w:val="-2"/>
          <w:sz w:val="20"/>
          <w:szCs w:val="20"/>
          <w:shd w:val="clear" w:color="auto" w:fill="FFFFFF"/>
          <w:lang w:val="en-US"/>
        </w:rPr>
        <w:t>.</w:t>
      </w:r>
    </w:p>
  </w:footnote>
  <w:footnote w:id="69">
    <w:p w14:paraId="2B19C2E1" w14:textId="2495C9F6" w:rsidR="00DD785C" w:rsidRPr="00860F59" w:rsidRDefault="00DD785C" w:rsidP="00DB50A9">
      <w:pPr>
        <w:rPr>
          <w:sz w:val="20"/>
          <w:szCs w:val="20"/>
        </w:rPr>
      </w:pPr>
      <w:r w:rsidRPr="00860F59">
        <w:rPr>
          <w:rStyle w:val="FootnoteReference"/>
          <w:sz w:val="20"/>
          <w:szCs w:val="20"/>
        </w:rPr>
        <w:footnoteRef/>
      </w:r>
      <w:r w:rsidRPr="00860F59">
        <w:rPr>
          <w:sz w:val="20"/>
          <w:szCs w:val="20"/>
        </w:rPr>
        <w:t xml:space="preserve"> </w:t>
      </w:r>
      <w:r w:rsidR="00DB50A9" w:rsidRPr="00860F59">
        <w:rPr>
          <w:sz w:val="20"/>
          <w:szCs w:val="20"/>
        </w:rPr>
        <w:t>Pausanias</w:t>
      </w:r>
      <w:r w:rsidR="00DB50A9" w:rsidRPr="00860F59">
        <w:rPr>
          <w:i/>
          <w:iCs/>
          <w:sz w:val="20"/>
          <w:szCs w:val="20"/>
        </w:rPr>
        <w:t>, Description of Greece</w:t>
      </w:r>
      <w:r w:rsidR="00DB50A9" w:rsidRPr="00860F59">
        <w:rPr>
          <w:sz w:val="20"/>
          <w:szCs w:val="20"/>
        </w:rPr>
        <w:t xml:space="preserve">: W.H.S. Jones (ed. and </w:t>
      </w:r>
      <w:proofErr w:type="spellStart"/>
      <w:r w:rsidR="00DB50A9" w:rsidRPr="00860F59">
        <w:rPr>
          <w:sz w:val="20"/>
          <w:szCs w:val="20"/>
        </w:rPr>
        <w:t>trs</w:t>
      </w:r>
      <w:proofErr w:type="spellEnd"/>
      <w:r w:rsidR="00DB50A9" w:rsidRPr="00860F59">
        <w:rPr>
          <w:sz w:val="20"/>
          <w:szCs w:val="20"/>
        </w:rPr>
        <w:t>.), Loeb Classical Library, (Cambridge: Harvard University Press, Vol III, 1966)</w:t>
      </w:r>
      <w:r w:rsidRPr="00860F59">
        <w:rPr>
          <w:i/>
          <w:iCs/>
          <w:color w:val="333333"/>
          <w:spacing w:val="-2"/>
          <w:sz w:val="20"/>
          <w:szCs w:val="20"/>
          <w:shd w:val="clear" w:color="auto" w:fill="FFFFFF"/>
        </w:rPr>
        <w:t>,</w:t>
      </w:r>
      <w:r w:rsidR="00DB50A9" w:rsidRPr="00860F59">
        <w:rPr>
          <w:i/>
          <w:iCs/>
          <w:color w:val="333333"/>
          <w:spacing w:val="-2"/>
          <w:sz w:val="20"/>
          <w:szCs w:val="20"/>
          <w:shd w:val="clear" w:color="auto" w:fill="FFFFFF"/>
        </w:rPr>
        <w:t xml:space="preserve"> (</w:t>
      </w:r>
      <w:r w:rsidRPr="00860F59">
        <w:rPr>
          <w:color w:val="333333"/>
          <w:spacing w:val="-2"/>
          <w:sz w:val="20"/>
          <w:szCs w:val="20"/>
          <w:shd w:val="clear" w:color="auto" w:fill="FFFFFF"/>
          <w:lang w:val="en-US"/>
        </w:rPr>
        <w:t>9.39.7</w:t>
      </w:r>
      <w:r w:rsidR="00DB50A9" w:rsidRPr="00860F59">
        <w:rPr>
          <w:color w:val="333333"/>
          <w:spacing w:val="-2"/>
          <w:sz w:val="20"/>
          <w:szCs w:val="20"/>
          <w:shd w:val="clear" w:color="auto" w:fill="FFFFFF"/>
          <w:lang w:val="en-US"/>
        </w:rPr>
        <w:t>)</w:t>
      </w:r>
    </w:p>
  </w:footnote>
  <w:footnote w:id="70">
    <w:p w14:paraId="1655E8AA" w14:textId="4E30FC84" w:rsidR="00DD785C" w:rsidRPr="00860F59" w:rsidRDefault="00DD785C" w:rsidP="00DD785C">
      <w:pPr>
        <w:pStyle w:val="FootnoteText"/>
      </w:pPr>
      <w:r w:rsidRPr="00860F59">
        <w:rPr>
          <w:rStyle w:val="FootnoteReference"/>
        </w:rPr>
        <w:footnoteRef/>
      </w:r>
      <w:r w:rsidRPr="00860F59">
        <w:t xml:space="preserve"> </w:t>
      </w:r>
      <w:r w:rsidR="00D62F8F" w:rsidRPr="00860F59">
        <w:rPr>
          <w:color w:val="333333"/>
          <w:spacing w:val="-2"/>
          <w:shd w:val="clear" w:color="auto" w:fill="FFFFFF"/>
          <w:lang w:val="en-US"/>
        </w:rPr>
        <w:t xml:space="preserve">Renberg, Gil, H, </w:t>
      </w:r>
      <w:r w:rsidR="00D62F8F" w:rsidRPr="00860F59">
        <w:rPr>
          <w:i/>
          <w:iCs/>
          <w:color w:val="333333"/>
          <w:spacing w:val="-2"/>
          <w:shd w:val="clear" w:color="auto" w:fill="FFFFFF"/>
          <w:lang w:val="en-US"/>
        </w:rPr>
        <w:t>Where Dreams May Come</w:t>
      </w:r>
      <w:r w:rsidR="00D62F8F" w:rsidRPr="00860F59">
        <w:rPr>
          <w:color w:val="333333"/>
          <w:spacing w:val="-2"/>
          <w:shd w:val="clear" w:color="auto" w:fill="FFFFFF"/>
          <w:lang w:val="en-US"/>
        </w:rPr>
        <w:t>, p.27.</w:t>
      </w:r>
    </w:p>
  </w:footnote>
  <w:footnote w:id="71">
    <w:p w14:paraId="78CB7AB3" w14:textId="4D3AF024" w:rsidR="00DD785C" w:rsidRPr="00860F59" w:rsidRDefault="00DD785C" w:rsidP="00DD785C">
      <w:pPr>
        <w:rPr>
          <w:color w:val="333333"/>
          <w:spacing w:val="-2"/>
          <w:sz w:val="20"/>
          <w:szCs w:val="20"/>
          <w:u w:val="single"/>
          <w:shd w:val="clear" w:color="auto" w:fill="FFFFFF"/>
          <w:lang w:val="en-US"/>
        </w:rPr>
      </w:pPr>
      <w:r w:rsidRPr="00860F59">
        <w:rPr>
          <w:rStyle w:val="FootnoteReference"/>
          <w:sz w:val="20"/>
          <w:szCs w:val="20"/>
        </w:rPr>
        <w:footnoteRef/>
      </w:r>
      <w:r w:rsidRPr="00860F59">
        <w:rPr>
          <w:sz w:val="20"/>
          <w:szCs w:val="20"/>
        </w:rPr>
        <w:t xml:space="preserve"> </w:t>
      </w:r>
      <w:r w:rsidR="00D62F8F" w:rsidRPr="00860F59">
        <w:rPr>
          <w:color w:val="333333"/>
          <w:spacing w:val="-2"/>
          <w:sz w:val="20"/>
          <w:szCs w:val="20"/>
          <w:shd w:val="clear" w:color="auto" w:fill="FFFFFF"/>
          <w:lang w:val="en-US"/>
        </w:rPr>
        <w:t xml:space="preserve">Renberg, Gil, H, </w:t>
      </w:r>
      <w:r w:rsidR="00D62F8F" w:rsidRPr="00860F59">
        <w:rPr>
          <w:i/>
          <w:iCs/>
          <w:color w:val="333333"/>
          <w:spacing w:val="-2"/>
          <w:sz w:val="20"/>
          <w:szCs w:val="20"/>
          <w:shd w:val="clear" w:color="auto" w:fill="FFFFFF"/>
          <w:lang w:val="en-US"/>
        </w:rPr>
        <w:t>Where Dreams May Come</w:t>
      </w:r>
      <w:r w:rsidR="00D62F8F" w:rsidRPr="00860F59">
        <w:rPr>
          <w:color w:val="333333"/>
          <w:spacing w:val="-2"/>
          <w:sz w:val="20"/>
          <w:szCs w:val="20"/>
          <w:shd w:val="clear" w:color="auto" w:fill="FFFFFF"/>
          <w:lang w:val="en-US"/>
        </w:rPr>
        <w:t>, p.5.</w:t>
      </w:r>
    </w:p>
  </w:footnote>
  <w:footnote w:id="72">
    <w:p w14:paraId="312F2707" w14:textId="65377268" w:rsidR="00DD785C" w:rsidRPr="00860F59" w:rsidRDefault="00DD785C" w:rsidP="00DD785C">
      <w:pPr>
        <w:rPr>
          <w:color w:val="333333"/>
          <w:spacing w:val="-2"/>
          <w:sz w:val="20"/>
          <w:szCs w:val="20"/>
          <w:u w:val="single"/>
          <w:shd w:val="clear" w:color="auto" w:fill="FFFFFF"/>
          <w:lang w:val="en-US"/>
        </w:rPr>
      </w:pPr>
      <w:r w:rsidRPr="00860F59">
        <w:rPr>
          <w:rStyle w:val="FootnoteReference"/>
          <w:sz w:val="20"/>
          <w:szCs w:val="20"/>
        </w:rPr>
        <w:footnoteRef/>
      </w:r>
      <w:r w:rsidRPr="00860F59">
        <w:rPr>
          <w:sz w:val="20"/>
          <w:szCs w:val="20"/>
        </w:rPr>
        <w:t xml:space="preserve"> </w:t>
      </w:r>
      <w:r w:rsidR="00D62F8F" w:rsidRPr="00860F59">
        <w:rPr>
          <w:color w:val="333333"/>
          <w:spacing w:val="-2"/>
          <w:sz w:val="20"/>
          <w:szCs w:val="20"/>
          <w:shd w:val="clear" w:color="auto" w:fill="FFFFFF"/>
          <w:lang w:val="en-US"/>
        </w:rPr>
        <w:t xml:space="preserve">Renberg, Gil, H, </w:t>
      </w:r>
      <w:r w:rsidR="00D62F8F" w:rsidRPr="00860F59">
        <w:rPr>
          <w:i/>
          <w:iCs/>
          <w:color w:val="333333"/>
          <w:spacing w:val="-2"/>
          <w:sz w:val="20"/>
          <w:szCs w:val="20"/>
          <w:shd w:val="clear" w:color="auto" w:fill="FFFFFF"/>
          <w:lang w:val="en-US"/>
        </w:rPr>
        <w:t>Where Dreams May Come</w:t>
      </w:r>
      <w:r w:rsidR="00D62F8F" w:rsidRPr="00860F59">
        <w:rPr>
          <w:color w:val="333333"/>
          <w:spacing w:val="-2"/>
          <w:sz w:val="20"/>
          <w:szCs w:val="20"/>
          <w:shd w:val="clear" w:color="auto" w:fill="FFFFFF"/>
          <w:lang w:val="en-US"/>
        </w:rPr>
        <w:t>, p.21-22</w:t>
      </w:r>
    </w:p>
  </w:footnote>
  <w:footnote w:id="73">
    <w:p w14:paraId="523DFCA9" w14:textId="3FAC56A8" w:rsidR="00DD785C" w:rsidRPr="00860F59" w:rsidRDefault="00DD785C" w:rsidP="00CE7782">
      <w:pPr>
        <w:rPr>
          <w:sz w:val="20"/>
          <w:szCs w:val="20"/>
        </w:rPr>
      </w:pPr>
      <w:r w:rsidRPr="00860F59">
        <w:rPr>
          <w:rStyle w:val="FootnoteReference"/>
          <w:sz w:val="20"/>
          <w:szCs w:val="20"/>
        </w:rPr>
        <w:footnoteRef/>
      </w:r>
      <w:r w:rsidRPr="00860F59">
        <w:rPr>
          <w:sz w:val="20"/>
          <w:szCs w:val="20"/>
        </w:rPr>
        <w:t xml:space="preserve"> </w:t>
      </w:r>
      <w:r w:rsidR="000916A0" w:rsidRPr="00860F59">
        <w:rPr>
          <w:sz w:val="20"/>
          <w:szCs w:val="20"/>
        </w:rPr>
        <w:t xml:space="preserve">Addey, </w:t>
      </w:r>
      <w:r w:rsidR="000916A0" w:rsidRPr="00860F59">
        <w:rPr>
          <w:i/>
          <w:iCs/>
          <w:sz w:val="20"/>
          <w:szCs w:val="20"/>
        </w:rPr>
        <w:t>Divination and Knowledge</w:t>
      </w:r>
      <w:r w:rsidR="000916A0" w:rsidRPr="00860F59">
        <w:rPr>
          <w:sz w:val="20"/>
          <w:szCs w:val="20"/>
        </w:rPr>
        <w:t>, p.1.</w:t>
      </w:r>
    </w:p>
  </w:footnote>
  <w:footnote w:id="74">
    <w:p w14:paraId="7C458206" w14:textId="2E3DAD26" w:rsidR="00DD785C" w:rsidRPr="00860F59" w:rsidRDefault="00DD785C" w:rsidP="00CE7782">
      <w:pPr>
        <w:shd w:val="clear" w:color="auto" w:fill="FFFFFF"/>
        <w:spacing w:after="0" w:line="336" w:lineRule="atLeast"/>
        <w:rPr>
          <w:rFonts w:eastAsia="Times New Roman" w:cs="Times New Roman"/>
          <w:color w:val="3A3A3A"/>
          <w:kern w:val="0"/>
          <w:sz w:val="20"/>
          <w:szCs w:val="20"/>
          <w:lang w:eastAsia="en-GB"/>
          <w14:ligatures w14:val="none"/>
        </w:rPr>
      </w:pPr>
      <w:r w:rsidRPr="00860F59">
        <w:rPr>
          <w:rStyle w:val="FootnoteReference"/>
          <w:sz w:val="20"/>
          <w:szCs w:val="20"/>
        </w:rPr>
        <w:footnoteRef/>
      </w:r>
      <w:r w:rsidRPr="00860F59">
        <w:rPr>
          <w:sz w:val="20"/>
          <w:szCs w:val="20"/>
        </w:rPr>
        <w:t xml:space="preserve"> </w:t>
      </w:r>
      <w:proofErr w:type="spellStart"/>
      <w:r w:rsidR="00CE7782" w:rsidRPr="00860F59">
        <w:rPr>
          <w:rFonts w:eastAsia="Times New Roman" w:cs="Times New Roman"/>
          <w:color w:val="3A3A3A"/>
          <w:kern w:val="0"/>
          <w:sz w:val="20"/>
          <w:szCs w:val="20"/>
          <w:lang w:eastAsia="en-GB"/>
          <w14:ligatures w14:val="none"/>
        </w:rPr>
        <w:t>Askitopoulou</w:t>
      </w:r>
      <w:proofErr w:type="spellEnd"/>
      <w:r w:rsidR="00CE7782" w:rsidRPr="00860F59">
        <w:rPr>
          <w:rFonts w:eastAsia="Times New Roman" w:cs="Times New Roman"/>
          <w:color w:val="3A3A3A"/>
          <w:kern w:val="0"/>
          <w:sz w:val="20"/>
          <w:szCs w:val="20"/>
          <w:lang w:eastAsia="en-GB"/>
          <w14:ligatures w14:val="none"/>
        </w:rPr>
        <w:t xml:space="preserve">, Helen, ‘Sleep and Dreams: From Myth to Medicine in Ancient Greece’ </w:t>
      </w:r>
      <w:r w:rsidR="00CE7782" w:rsidRPr="00860F59">
        <w:rPr>
          <w:rFonts w:eastAsia="Times New Roman" w:cs="Times New Roman"/>
          <w:i/>
          <w:iCs/>
          <w:color w:val="3A3A3A"/>
          <w:kern w:val="0"/>
          <w:sz w:val="20"/>
          <w:szCs w:val="20"/>
          <w:lang w:eastAsia="en-GB"/>
          <w14:ligatures w14:val="none"/>
        </w:rPr>
        <w:t xml:space="preserve">Journal of </w:t>
      </w:r>
      <w:proofErr w:type="spellStart"/>
      <w:r w:rsidR="00CE7782" w:rsidRPr="00860F59">
        <w:rPr>
          <w:rFonts w:eastAsia="Times New Roman" w:cs="Times New Roman"/>
          <w:i/>
          <w:iCs/>
          <w:color w:val="3A3A3A"/>
          <w:kern w:val="0"/>
          <w:sz w:val="20"/>
          <w:szCs w:val="20"/>
          <w:lang w:eastAsia="en-GB"/>
          <w14:ligatures w14:val="none"/>
        </w:rPr>
        <w:t>anesthesia</w:t>
      </w:r>
      <w:proofErr w:type="spellEnd"/>
      <w:r w:rsidR="00CE7782" w:rsidRPr="00860F59">
        <w:rPr>
          <w:rFonts w:eastAsia="Times New Roman" w:cs="Times New Roman"/>
          <w:i/>
          <w:iCs/>
          <w:color w:val="3A3A3A"/>
          <w:kern w:val="0"/>
          <w:sz w:val="20"/>
          <w:szCs w:val="20"/>
          <w:lang w:eastAsia="en-GB"/>
          <w14:ligatures w14:val="none"/>
        </w:rPr>
        <w:t xml:space="preserve"> history, </w:t>
      </w:r>
      <w:r w:rsidR="00CE7782" w:rsidRPr="00860F59">
        <w:rPr>
          <w:rFonts w:eastAsia="Times New Roman" w:cs="Times New Roman"/>
          <w:color w:val="3A3A3A"/>
          <w:kern w:val="0"/>
          <w:sz w:val="20"/>
          <w:szCs w:val="20"/>
          <w:lang w:eastAsia="en-GB"/>
          <w14:ligatures w14:val="none"/>
        </w:rPr>
        <w:t>1:3 (2015-07) 70-75 (</w:t>
      </w:r>
      <w:r w:rsidRPr="00860F59">
        <w:rPr>
          <w:rFonts w:eastAsia="Times New Roman" w:cs="Times New Roman"/>
          <w:color w:val="3A3A3A"/>
          <w:kern w:val="0"/>
          <w:sz w:val="20"/>
          <w:szCs w:val="20"/>
          <w:lang w:eastAsia="en-GB"/>
          <w14:ligatures w14:val="none"/>
        </w:rPr>
        <w:t>p.70</w:t>
      </w:r>
      <w:r w:rsidR="00CE7782" w:rsidRPr="00860F59">
        <w:rPr>
          <w:rFonts w:eastAsia="Times New Roman" w:cs="Times New Roman"/>
          <w:color w:val="3A3A3A"/>
          <w:kern w:val="0"/>
          <w:sz w:val="20"/>
          <w:szCs w:val="20"/>
          <w:lang w:eastAsia="en-GB"/>
          <w14:ligatures w14:val="none"/>
        </w:rPr>
        <w:t>).</w:t>
      </w:r>
    </w:p>
  </w:footnote>
  <w:footnote w:id="75">
    <w:p w14:paraId="442BFBDF" w14:textId="6E739400" w:rsidR="00DD785C" w:rsidRPr="00860F59" w:rsidRDefault="00DD785C" w:rsidP="007A0A68">
      <w:pPr>
        <w:rPr>
          <w:sz w:val="20"/>
          <w:szCs w:val="20"/>
        </w:rPr>
      </w:pPr>
      <w:r w:rsidRPr="00860F59">
        <w:rPr>
          <w:rStyle w:val="FootnoteReference"/>
          <w:sz w:val="20"/>
          <w:szCs w:val="20"/>
        </w:rPr>
        <w:footnoteRef/>
      </w:r>
      <w:r w:rsidRPr="00860F59">
        <w:rPr>
          <w:sz w:val="20"/>
          <w:szCs w:val="20"/>
        </w:rPr>
        <w:t xml:space="preserve"> </w:t>
      </w:r>
      <w:r w:rsidR="007A0A68" w:rsidRPr="00860F59">
        <w:rPr>
          <w:sz w:val="20"/>
          <w:szCs w:val="20"/>
        </w:rPr>
        <w:t>Greenbaum, pp:110-111.</w:t>
      </w:r>
    </w:p>
  </w:footnote>
  <w:footnote w:id="76">
    <w:p w14:paraId="1DBFFA4D" w14:textId="171EB4F2" w:rsidR="00DD785C" w:rsidRDefault="00DD785C" w:rsidP="008A74FB">
      <w:pPr>
        <w:jc w:val="both"/>
      </w:pPr>
      <w:r w:rsidRPr="00860F59">
        <w:rPr>
          <w:rStyle w:val="FootnoteReference"/>
          <w:sz w:val="20"/>
          <w:szCs w:val="20"/>
        </w:rPr>
        <w:footnoteRef/>
      </w:r>
      <w:r w:rsidRPr="00860F59">
        <w:rPr>
          <w:sz w:val="20"/>
          <w:szCs w:val="20"/>
        </w:rPr>
        <w:t xml:space="preserve"> </w:t>
      </w:r>
      <w:r w:rsidR="008A74FB" w:rsidRPr="00860F59">
        <w:rPr>
          <w:sz w:val="20"/>
          <w:szCs w:val="20"/>
        </w:rPr>
        <w:t xml:space="preserve">Nutton, </w:t>
      </w:r>
      <w:r w:rsidR="008A74FB" w:rsidRPr="00860F59">
        <w:rPr>
          <w:i/>
          <w:iCs/>
          <w:sz w:val="20"/>
          <w:szCs w:val="20"/>
        </w:rPr>
        <w:t>Ancient Religion</w:t>
      </w:r>
      <w:r w:rsidR="008A74FB" w:rsidRPr="00860F59">
        <w:rPr>
          <w:sz w:val="20"/>
          <w:szCs w:val="20"/>
        </w:rPr>
        <w:t xml:space="preserve">, </w:t>
      </w:r>
      <w:r w:rsidRPr="00860F59">
        <w:rPr>
          <w:sz w:val="20"/>
          <w:szCs w:val="20"/>
        </w:rPr>
        <w:t>p.110</w:t>
      </w:r>
      <w:r w:rsidR="008A74FB" w:rsidRPr="00860F59">
        <w:rPr>
          <w:sz w:val="20"/>
          <w:szCs w:val="20"/>
        </w:rPr>
        <w:t>.</w:t>
      </w:r>
    </w:p>
  </w:footnote>
  <w:footnote w:id="77">
    <w:p w14:paraId="68F210F2" w14:textId="7E0B2FBA" w:rsidR="00DD785C" w:rsidRPr="00860F59" w:rsidRDefault="00DD785C" w:rsidP="00DD785C">
      <w:pPr>
        <w:pStyle w:val="FootnoteText"/>
      </w:pPr>
      <w:r w:rsidRPr="00860F59">
        <w:rPr>
          <w:rStyle w:val="FootnoteReference"/>
        </w:rPr>
        <w:footnoteRef/>
      </w:r>
      <w:r w:rsidRPr="00860F59">
        <w:rPr>
          <w:lang w:val="fr-FR"/>
        </w:rPr>
        <w:t xml:space="preserve"> </w:t>
      </w:r>
      <w:proofErr w:type="spellStart"/>
      <w:r w:rsidR="00DA7985" w:rsidRPr="00860F59">
        <w:rPr>
          <w:lang w:val="fr-FR"/>
        </w:rPr>
        <w:t>Hippocrates</w:t>
      </w:r>
      <w:proofErr w:type="spellEnd"/>
      <w:r w:rsidR="00DA7985" w:rsidRPr="00860F59">
        <w:rPr>
          <w:lang w:val="fr-FR"/>
        </w:rPr>
        <w:t xml:space="preserve">, </w:t>
      </w:r>
      <w:r w:rsidRPr="00860F59">
        <w:rPr>
          <w:i/>
          <w:iCs/>
          <w:color w:val="333333"/>
          <w:spacing w:val="-2"/>
          <w:shd w:val="clear" w:color="auto" w:fill="FFFFFF"/>
          <w:lang w:val="fr-FR"/>
        </w:rPr>
        <w:t xml:space="preserve">On </w:t>
      </w:r>
      <w:proofErr w:type="spellStart"/>
      <w:r w:rsidRPr="00860F59">
        <w:rPr>
          <w:i/>
          <w:iCs/>
          <w:color w:val="333333"/>
          <w:spacing w:val="-2"/>
          <w:shd w:val="clear" w:color="auto" w:fill="FFFFFF"/>
          <w:lang w:val="fr-FR"/>
        </w:rPr>
        <w:t>Regimen</w:t>
      </w:r>
      <w:proofErr w:type="spellEnd"/>
      <w:r w:rsidRPr="00860F59">
        <w:rPr>
          <w:i/>
          <w:iCs/>
          <w:color w:val="333333"/>
          <w:spacing w:val="-2"/>
          <w:shd w:val="clear" w:color="auto" w:fill="FFFFFF"/>
          <w:lang w:val="fr-FR"/>
        </w:rPr>
        <w:t xml:space="preserve"> IV</w:t>
      </w:r>
      <w:r w:rsidRPr="00860F59">
        <w:rPr>
          <w:color w:val="333333"/>
          <w:spacing w:val="-2"/>
          <w:shd w:val="clear" w:color="auto" w:fill="FFFFFF"/>
          <w:lang w:val="fr-FR"/>
        </w:rPr>
        <w:t xml:space="preserve">, 86.1-3, trans. </w:t>
      </w:r>
      <w:r w:rsidRPr="00860F59">
        <w:rPr>
          <w:color w:val="333333"/>
          <w:spacing w:val="-2"/>
          <w:shd w:val="clear" w:color="auto" w:fill="FFFFFF"/>
        </w:rPr>
        <w:t>W.S. Jones</w:t>
      </w:r>
    </w:p>
  </w:footnote>
  <w:footnote w:id="78">
    <w:p w14:paraId="2980FDDD" w14:textId="48BE9FED" w:rsidR="00DD785C" w:rsidRPr="00860F59" w:rsidRDefault="00DD785C" w:rsidP="00DD785C">
      <w:pPr>
        <w:pStyle w:val="FootnoteText"/>
      </w:pPr>
      <w:r w:rsidRPr="00860F59">
        <w:rPr>
          <w:rStyle w:val="FootnoteReference"/>
        </w:rPr>
        <w:footnoteRef/>
      </w:r>
      <w:r w:rsidRPr="00860F59">
        <w:rPr>
          <w:lang w:val="fr-FR"/>
        </w:rPr>
        <w:t xml:space="preserve"> </w:t>
      </w:r>
      <w:proofErr w:type="spellStart"/>
      <w:r w:rsidR="00DA7985" w:rsidRPr="00860F59">
        <w:rPr>
          <w:lang w:val="fr-FR"/>
        </w:rPr>
        <w:t>Hippo</w:t>
      </w:r>
      <w:r w:rsidR="0019596E" w:rsidRPr="00860F59">
        <w:rPr>
          <w:lang w:val="fr-FR"/>
        </w:rPr>
        <w:t>crates</w:t>
      </w:r>
      <w:proofErr w:type="spellEnd"/>
      <w:r w:rsidR="0019596E" w:rsidRPr="00860F59">
        <w:rPr>
          <w:lang w:val="fr-FR"/>
        </w:rPr>
        <w:t xml:space="preserve">, </w:t>
      </w:r>
      <w:r w:rsidRPr="00860F59">
        <w:rPr>
          <w:i/>
          <w:iCs/>
          <w:color w:val="333333"/>
          <w:spacing w:val="-2"/>
          <w:shd w:val="clear" w:color="auto" w:fill="FFFFFF"/>
          <w:lang w:val="fr-FR"/>
        </w:rPr>
        <w:t xml:space="preserve">On </w:t>
      </w:r>
      <w:proofErr w:type="spellStart"/>
      <w:r w:rsidRPr="00860F59">
        <w:rPr>
          <w:i/>
          <w:iCs/>
          <w:color w:val="333333"/>
          <w:spacing w:val="-2"/>
          <w:shd w:val="clear" w:color="auto" w:fill="FFFFFF"/>
          <w:lang w:val="fr-FR"/>
        </w:rPr>
        <w:t>Regimen</w:t>
      </w:r>
      <w:proofErr w:type="spellEnd"/>
      <w:r w:rsidRPr="00860F59">
        <w:rPr>
          <w:i/>
          <w:iCs/>
          <w:color w:val="333333"/>
          <w:spacing w:val="-2"/>
          <w:shd w:val="clear" w:color="auto" w:fill="FFFFFF"/>
          <w:lang w:val="fr-FR"/>
        </w:rPr>
        <w:t xml:space="preserve"> IV</w:t>
      </w:r>
      <w:r w:rsidRPr="00860F59">
        <w:rPr>
          <w:color w:val="333333"/>
          <w:spacing w:val="-2"/>
          <w:shd w:val="clear" w:color="auto" w:fill="FFFFFF"/>
          <w:lang w:val="fr-FR"/>
        </w:rPr>
        <w:t xml:space="preserve">, 87.1-12, trans. </w:t>
      </w:r>
      <w:r w:rsidRPr="00860F59">
        <w:rPr>
          <w:color w:val="333333"/>
          <w:spacing w:val="-2"/>
          <w:shd w:val="clear" w:color="auto" w:fill="FFFFFF"/>
        </w:rPr>
        <w:t>W.S. Jones</w:t>
      </w:r>
    </w:p>
  </w:footnote>
  <w:footnote w:id="79">
    <w:p w14:paraId="269B03F7" w14:textId="03BEBB6B" w:rsidR="00DD785C" w:rsidRPr="00860F59" w:rsidRDefault="00DD785C" w:rsidP="009F73BE">
      <w:pPr>
        <w:shd w:val="clear" w:color="auto" w:fill="FFFFFF"/>
        <w:spacing w:after="0" w:line="240" w:lineRule="auto"/>
        <w:outlineLvl w:val="2"/>
        <w:rPr>
          <w:rFonts w:eastAsia="Times New Roman" w:cs="Times New Roman"/>
          <w:color w:val="3A3A3A"/>
          <w:kern w:val="0"/>
          <w:sz w:val="20"/>
          <w:szCs w:val="20"/>
          <w:lang w:eastAsia="en-GB"/>
          <w14:ligatures w14:val="none"/>
        </w:rPr>
      </w:pPr>
      <w:r w:rsidRPr="00860F59">
        <w:rPr>
          <w:rStyle w:val="FootnoteReference"/>
          <w:sz w:val="20"/>
          <w:szCs w:val="20"/>
        </w:rPr>
        <w:footnoteRef/>
      </w:r>
      <w:r w:rsidRPr="00860F59">
        <w:rPr>
          <w:sz w:val="20"/>
          <w:szCs w:val="20"/>
        </w:rPr>
        <w:t xml:space="preserve"> </w:t>
      </w:r>
      <w:proofErr w:type="spellStart"/>
      <w:r w:rsidR="009F73BE" w:rsidRPr="00860F59">
        <w:rPr>
          <w:rFonts w:eastAsia="Times New Roman" w:cs="Times New Roman"/>
          <w:color w:val="3A3A3A"/>
          <w:kern w:val="0"/>
          <w:sz w:val="20"/>
          <w:szCs w:val="20"/>
          <w:lang w:eastAsia="en-GB"/>
          <w14:ligatures w14:val="none"/>
        </w:rPr>
        <w:t>Askitopoulou</w:t>
      </w:r>
      <w:proofErr w:type="spellEnd"/>
      <w:r w:rsidR="009F73BE" w:rsidRPr="00860F59">
        <w:rPr>
          <w:rFonts w:eastAsia="Times New Roman" w:cs="Times New Roman"/>
          <w:color w:val="3A3A3A"/>
          <w:kern w:val="0"/>
          <w:sz w:val="20"/>
          <w:szCs w:val="20"/>
          <w:lang w:eastAsia="en-GB"/>
          <w14:ligatures w14:val="none"/>
        </w:rPr>
        <w:t>, Helen, ‘Sleep and Dreams: From Myth to Medicine in Ancient Greece’</w:t>
      </w:r>
      <w:r w:rsidR="00DF480C" w:rsidRPr="00860F59">
        <w:rPr>
          <w:rFonts w:eastAsia="Times New Roman" w:cs="Times New Roman"/>
          <w:color w:val="3A3A3A"/>
          <w:kern w:val="0"/>
          <w:sz w:val="20"/>
          <w:szCs w:val="20"/>
          <w:lang w:eastAsia="en-GB"/>
          <w14:ligatures w14:val="none"/>
        </w:rPr>
        <w:t>,</w:t>
      </w:r>
      <w:r w:rsidRPr="00860F59">
        <w:rPr>
          <w:rFonts w:eastAsia="Times New Roman" w:cs="Times New Roman"/>
          <w:color w:val="3A3A3A"/>
          <w:kern w:val="0"/>
          <w:sz w:val="20"/>
          <w:szCs w:val="20"/>
          <w:lang w:eastAsia="en-GB"/>
          <w14:ligatures w14:val="none"/>
        </w:rPr>
        <w:t xml:space="preserve"> p.72</w:t>
      </w:r>
      <w:r w:rsidR="00DF480C" w:rsidRPr="00860F59">
        <w:rPr>
          <w:rFonts w:eastAsia="Times New Roman" w:cs="Times New Roman"/>
          <w:color w:val="3A3A3A"/>
          <w:kern w:val="0"/>
          <w:sz w:val="20"/>
          <w:szCs w:val="20"/>
          <w:lang w:eastAsia="en-GB"/>
          <w14:ligatures w14:val="none"/>
        </w:rPr>
        <w:t>.</w:t>
      </w:r>
    </w:p>
  </w:footnote>
  <w:footnote w:id="80">
    <w:p w14:paraId="2BD54372" w14:textId="0910F3C9" w:rsidR="00380666" w:rsidRPr="008A74FB" w:rsidRDefault="00380666" w:rsidP="008A74FB">
      <w:pPr>
        <w:jc w:val="both"/>
        <w:rPr>
          <w:lang w:val="fr-FR"/>
        </w:rPr>
      </w:pPr>
      <w:r w:rsidRPr="00860F59">
        <w:rPr>
          <w:rStyle w:val="FootnoteReference"/>
          <w:sz w:val="20"/>
          <w:szCs w:val="20"/>
        </w:rPr>
        <w:footnoteRef/>
      </w:r>
      <w:r w:rsidRPr="00860F59">
        <w:rPr>
          <w:sz w:val="20"/>
          <w:szCs w:val="20"/>
          <w:lang w:val="fr-FR"/>
        </w:rPr>
        <w:t xml:space="preserve"> </w:t>
      </w:r>
      <w:proofErr w:type="spellStart"/>
      <w:r w:rsidR="008A74FB" w:rsidRPr="00860F59">
        <w:rPr>
          <w:sz w:val="20"/>
          <w:szCs w:val="20"/>
          <w:lang w:val="fr-FR"/>
        </w:rPr>
        <w:t>Nutton</w:t>
      </w:r>
      <w:proofErr w:type="spellEnd"/>
      <w:r w:rsidR="008A74FB" w:rsidRPr="00860F59">
        <w:rPr>
          <w:sz w:val="20"/>
          <w:szCs w:val="20"/>
          <w:lang w:val="fr-FR"/>
        </w:rPr>
        <w:t xml:space="preserve">, </w:t>
      </w:r>
      <w:r w:rsidR="008A74FB" w:rsidRPr="00860F59">
        <w:rPr>
          <w:i/>
          <w:iCs/>
          <w:sz w:val="20"/>
          <w:szCs w:val="20"/>
          <w:lang w:val="fr-FR"/>
        </w:rPr>
        <w:t>Ancient Religion</w:t>
      </w:r>
      <w:r w:rsidR="008A74FB" w:rsidRPr="00860F59">
        <w:rPr>
          <w:sz w:val="20"/>
          <w:szCs w:val="20"/>
          <w:lang w:val="fr-FR"/>
        </w:rPr>
        <w:t xml:space="preserve">, </w:t>
      </w:r>
      <w:r w:rsidRPr="00860F59">
        <w:rPr>
          <w:sz w:val="20"/>
          <w:szCs w:val="20"/>
          <w:lang w:val="fr-FR"/>
        </w:rPr>
        <w:t>p.108</w:t>
      </w:r>
      <w:r w:rsidR="008A74FB" w:rsidRPr="00860F59">
        <w:rPr>
          <w:sz w:val="20"/>
          <w:szCs w:val="20"/>
          <w:lang w:val="fr-FR"/>
        </w:rPr>
        <w:t>.</w:t>
      </w:r>
    </w:p>
  </w:footnote>
  <w:footnote w:id="81">
    <w:p w14:paraId="1D5938BD" w14:textId="26EE45A9" w:rsidR="00380666" w:rsidRPr="00860F59" w:rsidRDefault="00380666" w:rsidP="008A74FB">
      <w:pPr>
        <w:jc w:val="both"/>
        <w:rPr>
          <w:sz w:val="20"/>
          <w:szCs w:val="20"/>
          <w:lang w:val="fr-FR"/>
        </w:rPr>
      </w:pPr>
      <w:r w:rsidRPr="00860F59">
        <w:rPr>
          <w:rStyle w:val="FootnoteReference"/>
          <w:sz w:val="20"/>
          <w:szCs w:val="20"/>
        </w:rPr>
        <w:footnoteRef/>
      </w:r>
      <w:r w:rsidRPr="00860F59">
        <w:rPr>
          <w:sz w:val="20"/>
          <w:szCs w:val="20"/>
          <w:lang w:val="fr-FR"/>
        </w:rPr>
        <w:t xml:space="preserve"> </w:t>
      </w:r>
      <w:proofErr w:type="spellStart"/>
      <w:r w:rsidR="008A74FB" w:rsidRPr="00860F59">
        <w:rPr>
          <w:sz w:val="20"/>
          <w:szCs w:val="20"/>
          <w:lang w:val="fr-FR"/>
        </w:rPr>
        <w:t>Nutton</w:t>
      </w:r>
      <w:proofErr w:type="spellEnd"/>
      <w:r w:rsidR="008A74FB" w:rsidRPr="00860F59">
        <w:rPr>
          <w:sz w:val="20"/>
          <w:szCs w:val="20"/>
          <w:lang w:val="fr-FR"/>
        </w:rPr>
        <w:t xml:space="preserve">, </w:t>
      </w:r>
      <w:r w:rsidR="008A74FB" w:rsidRPr="00860F59">
        <w:rPr>
          <w:i/>
          <w:iCs/>
          <w:sz w:val="20"/>
          <w:szCs w:val="20"/>
          <w:lang w:val="fr-FR"/>
        </w:rPr>
        <w:t>Ancient Religion</w:t>
      </w:r>
      <w:r w:rsidR="008A74FB" w:rsidRPr="00860F59">
        <w:rPr>
          <w:sz w:val="20"/>
          <w:szCs w:val="20"/>
          <w:lang w:val="fr-FR"/>
        </w:rPr>
        <w:t xml:space="preserve">, </w:t>
      </w:r>
      <w:r w:rsidRPr="00860F59">
        <w:rPr>
          <w:sz w:val="20"/>
          <w:szCs w:val="20"/>
          <w:lang w:val="fr-FR"/>
        </w:rPr>
        <w:t>p.107</w:t>
      </w:r>
      <w:r w:rsidR="008A74FB" w:rsidRPr="00860F59">
        <w:rPr>
          <w:sz w:val="20"/>
          <w:szCs w:val="20"/>
          <w:lang w:val="fr-FR"/>
        </w:rPr>
        <w:t>.</w:t>
      </w:r>
    </w:p>
  </w:footnote>
  <w:footnote w:id="82">
    <w:p w14:paraId="434D5ED9" w14:textId="4ACE83E0" w:rsidR="00380666" w:rsidRPr="00860F59" w:rsidRDefault="00380666" w:rsidP="008A74FB">
      <w:pPr>
        <w:jc w:val="both"/>
        <w:rPr>
          <w:sz w:val="20"/>
          <w:szCs w:val="20"/>
        </w:rPr>
      </w:pPr>
      <w:r w:rsidRPr="00860F59">
        <w:rPr>
          <w:rStyle w:val="FootnoteReference"/>
          <w:sz w:val="20"/>
          <w:szCs w:val="20"/>
        </w:rPr>
        <w:footnoteRef/>
      </w:r>
      <w:r w:rsidRPr="00860F59">
        <w:rPr>
          <w:sz w:val="20"/>
          <w:szCs w:val="20"/>
        </w:rPr>
        <w:t xml:space="preserve"> </w:t>
      </w:r>
      <w:r w:rsidR="008A74FB" w:rsidRPr="00860F59">
        <w:rPr>
          <w:sz w:val="20"/>
          <w:szCs w:val="20"/>
        </w:rPr>
        <w:t xml:space="preserve">Nutton, </w:t>
      </w:r>
      <w:r w:rsidR="008A74FB" w:rsidRPr="00860F59">
        <w:rPr>
          <w:i/>
          <w:iCs/>
          <w:sz w:val="20"/>
          <w:szCs w:val="20"/>
        </w:rPr>
        <w:t>Ancient Religion</w:t>
      </w:r>
      <w:r w:rsidR="008A74FB" w:rsidRPr="00860F59">
        <w:rPr>
          <w:sz w:val="20"/>
          <w:szCs w:val="20"/>
        </w:rPr>
        <w:t xml:space="preserve">, </w:t>
      </w:r>
      <w:r w:rsidRPr="00860F59">
        <w:rPr>
          <w:sz w:val="20"/>
          <w:szCs w:val="20"/>
        </w:rPr>
        <w:t>p.103</w:t>
      </w:r>
      <w:r w:rsidR="008A74FB" w:rsidRPr="00860F59">
        <w:rPr>
          <w:sz w:val="20"/>
          <w:szCs w:val="20"/>
        </w:rPr>
        <w:t>.</w:t>
      </w:r>
    </w:p>
  </w:footnote>
  <w:footnote w:id="83">
    <w:p w14:paraId="66AED3B9" w14:textId="416A09DA" w:rsidR="00380666" w:rsidRPr="00860F59" w:rsidRDefault="00380666" w:rsidP="00DF480C">
      <w:pPr>
        <w:shd w:val="clear" w:color="auto" w:fill="FFFFFF"/>
        <w:spacing w:after="0" w:line="240" w:lineRule="auto"/>
        <w:outlineLvl w:val="2"/>
        <w:rPr>
          <w:rFonts w:eastAsia="Times New Roman" w:cs="Times New Roman"/>
          <w:color w:val="3A3A3A"/>
          <w:kern w:val="0"/>
          <w:sz w:val="20"/>
          <w:szCs w:val="20"/>
          <w:lang w:eastAsia="en-GB"/>
          <w14:ligatures w14:val="none"/>
        </w:rPr>
      </w:pPr>
      <w:r w:rsidRPr="00860F59">
        <w:rPr>
          <w:rStyle w:val="FootnoteReference"/>
          <w:sz w:val="20"/>
          <w:szCs w:val="20"/>
        </w:rPr>
        <w:footnoteRef/>
      </w:r>
      <w:r w:rsidRPr="00860F59">
        <w:rPr>
          <w:sz w:val="20"/>
          <w:szCs w:val="20"/>
        </w:rPr>
        <w:t xml:space="preserve"> </w:t>
      </w:r>
      <w:proofErr w:type="spellStart"/>
      <w:r w:rsidR="00DF480C" w:rsidRPr="00860F59">
        <w:rPr>
          <w:rFonts w:eastAsia="Times New Roman" w:cs="Times New Roman"/>
          <w:color w:val="3A3A3A"/>
          <w:kern w:val="0"/>
          <w:sz w:val="20"/>
          <w:szCs w:val="20"/>
          <w:lang w:eastAsia="en-GB"/>
          <w14:ligatures w14:val="none"/>
        </w:rPr>
        <w:t>Askitopoulou</w:t>
      </w:r>
      <w:proofErr w:type="spellEnd"/>
      <w:r w:rsidR="00DF480C" w:rsidRPr="00860F59">
        <w:rPr>
          <w:rFonts w:eastAsia="Times New Roman" w:cs="Times New Roman"/>
          <w:color w:val="3A3A3A"/>
          <w:kern w:val="0"/>
          <w:sz w:val="20"/>
          <w:szCs w:val="20"/>
          <w:lang w:eastAsia="en-GB"/>
          <w14:ligatures w14:val="none"/>
        </w:rPr>
        <w:t xml:space="preserve">, Helen, ‘Sleep and Dreams: From Myth to Medicine in Ancient Greece’, </w:t>
      </w:r>
      <w:r w:rsidRPr="00860F59">
        <w:rPr>
          <w:rFonts w:eastAsia="Times New Roman" w:cs="Times New Roman"/>
          <w:color w:val="3A3A3A"/>
          <w:kern w:val="0"/>
          <w:sz w:val="20"/>
          <w:szCs w:val="20"/>
          <w:lang w:eastAsia="en-GB"/>
          <w14:ligatures w14:val="none"/>
        </w:rPr>
        <w:t>p.72</w:t>
      </w:r>
      <w:r w:rsidR="00DF480C" w:rsidRPr="00860F59">
        <w:rPr>
          <w:rFonts w:eastAsia="Times New Roman" w:cs="Times New Roman"/>
          <w:color w:val="3A3A3A"/>
          <w:kern w:val="0"/>
          <w:sz w:val="20"/>
          <w:szCs w:val="20"/>
          <w:lang w:eastAsia="en-GB"/>
          <w14:ligatures w14:val="none"/>
        </w:rPr>
        <w:t>.</w:t>
      </w:r>
    </w:p>
  </w:footnote>
  <w:footnote w:id="84">
    <w:p w14:paraId="6E15E990" w14:textId="13254615" w:rsidR="00380666" w:rsidRPr="00860F59" w:rsidRDefault="00380666" w:rsidP="008A74FB">
      <w:pPr>
        <w:jc w:val="both"/>
        <w:rPr>
          <w:sz w:val="20"/>
          <w:szCs w:val="20"/>
        </w:rPr>
      </w:pPr>
      <w:r w:rsidRPr="00860F59">
        <w:rPr>
          <w:rStyle w:val="FootnoteReference"/>
          <w:sz w:val="20"/>
          <w:szCs w:val="20"/>
        </w:rPr>
        <w:footnoteRef/>
      </w:r>
      <w:r w:rsidRPr="00860F59">
        <w:rPr>
          <w:sz w:val="20"/>
          <w:szCs w:val="20"/>
        </w:rPr>
        <w:t xml:space="preserve"> </w:t>
      </w:r>
      <w:r w:rsidR="008A74FB" w:rsidRPr="00860F59">
        <w:rPr>
          <w:sz w:val="20"/>
          <w:szCs w:val="20"/>
        </w:rPr>
        <w:t xml:space="preserve">Nutton, </w:t>
      </w:r>
      <w:r w:rsidR="008A74FB" w:rsidRPr="00860F59">
        <w:rPr>
          <w:i/>
          <w:iCs/>
          <w:sz w:val="20"/>
          <w:szCs w:val="20"/>
        </w:rPr>
        <w:t>Ancient Religion</w:t>
      </w:r>
      <w:r w:rsidR="008A74FB" w:rsidRPr="00860F59">
        <w:rPr>
          <w:sz w:val="20"/>
          <w:szCs w:val="20"/>
        </w:rPr>
        <w:t xml:space="preserve">, </w:t>
      </w:r>
      <w:r w:rsidRPr="00860F59">
        <w:rPr>
          <w:sz w:val="20"/>
          <w:szCs w:val="20"/>
        </w:rPr>
        <w:t>p.105</w:t>
      </w:r>
    </w:p>
  </w:footnote>
  <w:footnote w:id="85">
    <w:p w14:paraId="59AE1BEB" w14:textId="02A38302" w:rsidR="00380666" w:rsidRPr="00860F59" w:rsidRDefault="00380666" w:rsidP="00380666">
      <w:pPr>
        <w:rPr>
          <w:color w:val="333333"/>
          <w:spacing w:val="-2"/>
          <w:sz w:val="20"/>
          <w:szCs w:val="20"/>
          <w:shd w:val="clear" w:color="auto" w:fill="FFFFFF"/>
          <w:lang w:val="en-US"/>
        </w:rPr>
      </w:pPr>
      <w:r w:rsidRPr="00860F59">
        <w:rPr>
          <w:rStyle w:val="FootnoteReference"/>
          <w:sz w:val="20"/>
          <w:szCs w:val="20"/>
        </w:rPr>
        <w:footnoteRef/>
      </w:r>
      <w:r w:rsidRPr="00860F59">
        <w:rPr>
          <w:sz w:val="20"/>
          <w:szCs w:val="20"/>
        </w:rPr>
        <w:t xml:space="preserve"> </w:t>
      </w:r>
      <w:r w:rsidR="00947799" w:rsidRPr="00860F59">
        <w:rPr>
          <w:color w:val="333333"/>
          <w:spacing w:val="-2"/>
          <w:sz w:val="20"/>
          <w:szCs w:val="20"/>
          <w:shd w:val="clear" w:color="auto" w:fill="FFFFFF"/>
          <w:lang w:val="en-US"/>
        </w:rPr>
        <w:t xml:space="preserve">Renberg, Gil, H, </w:t>
      </w:r>
      <w:r w:rsidR="00947799" w:rsidRPr="00860F59">
        <w:rPr>
          <w:i/>
          <w:iCs/>
          <w:color w:val="333333"/>
          <w:spacing w:val="-2"/>
          <w:sz w:val="20"/>
          <w:szCs w:val="20"/>
          <w:shd w:val="clear" w:color="auto" w:fill="FFFFFF"/>
          <w:lang w:val="en-US"/>
        </w:rPr>
        <w:t>Where Dreams May Come</w:t>
      </w:r>
      <w:r w:rsidR="00947799" w:rsidRPr="00860F59">
        <w:rPr>
          <w:color w:val="333333"/>
          <w:spacing w:val="-2"/>
          <w:sz w:val="20"/>
          <w:szCs w:val="20"/>
          <w:shd w:val="clear" w:color="auto" w:fill="FFFFFF"/>
          <w:lang w:val="en-US"/>
        </w:rPr>
        <w:t xml:space="preserve">, </w:t>
      </w:r>
      <w:r w:rsidRPr="00860F59">
        <w:rPr>
          <w:color w:val="333333"/>
          <w:spacing w:val="-2"/>
          <w:sz w:val="20"/>
          <w:szCs w:val="20"/>
          <w:shd w:val="clear" w:color="auto" w:fill="FFFFFF"/>
          <w:lang w:val="en-US"/>
        </w:rPr>
        <w:t>pp:116-118</w:t>
      </w:r>
      <w:r w:rsidR="00947799" w:rsidRPr="00860F59">
        <w:rPr>
          <w:color w:val="333333"/>
          <w:spacing w:val="-2"/>
          <w:sz w:val="20"/>
          <w:szCs w:val="20"/>
          <w:shd w:val="clear" w:color="auto" w:fill="FFFFFF"/>
          <w:lang w:val="en-US"/>
        </w:rPr>
        <w:t>.</w:t>
      </w:r>
    </w:p>
  </w:footnote>
  <w:footnote w:id="86">
    <w:p w14:paraId="36ECC6B4" w14:textId="75722833" w:rsidR="00380666" w:rsidRPr="00860F59" w:rsidRDefault="00380666" w:rsidP="008A74FB">
      <w:pPr>
        <w:jc w:val="both"/>
        <w:rPr>
          <w:sz w:val="20"/>
          <w:szCs w:val="20"/>
        </w:rPr>
      </w:pPr>
      <w:r w:rsidRPr="00860F59">
        <w:rPr>
          <w:rStyle w:val="FootnoteReference"/>
          <w:sz w:val="20"/>
          <w:szCs w:val="20"/>
        </w:rPr>
        <w:footnoteRef/>
      </w:r>
      <w:r w:rsidRPr="00860F59">
        <w:rPr>
          <w:sz w:val="20"/>
          <w:szCs w:val="20"/>
        </w:rPr>
        <w:t xml:space="preserve"> </w:t>
      </w:r>
      <w:r w:rsidR="008A74FB" w:rsidRPr="00860F59">
        <w:rPr>
          <w:sz w:val="20"/>
          <w:szCs w:val="20"/>
        </w:rPr>
        <w:t xml:space="preserve">Nutton, </w:t>
      </w:r>
      <w:r w:rsidR="008A74FB" w:rsidRPr="00860F59">
        <w:rPr>
          <w:i/>
          <w:iCs/>
          <w:sz w:val="20"/>
          <w:szCs w:val="20"/>
        </w:rPr>
        <w:t>Ancient Religion</w:t>
      </w:r>
      <w:r w:rsidR="008A74FB" w:rsidRPr="00860F59">
        <w:rPr>
          <w:sz w:val="20"/>
          <w:szCs w:val="20"/>
        </w:rPr>
        <w:t xml:space="preserve">, </w:t>
      </w:r>
      <w:r w:rsidRPr="00860F59">
        <w:rPr>
          <w:sz w:val="20"/>
          <w:szCs w:val="20"/>
        </w:rPr>
        <w:t>p.103-104</w:t>
      </w:r>
    </w:p>
  </w:footnote>
  <w:footnote w:id="87">
    <w:p w14:paraId="348FBB16" w14:textId="40EEA746" w:rsidR="00380666" w:rsidRPr="00860F59" w:rsidRDefault="00380666" w:rsidP="00380666">
      <w:pPr>
        <w:rPr>
          <w:color w:val="333333"/>
          <w:spacing w:val="-2"/>
          <w:sz w:val="20"/>
          <w:szCs w:val="20"/>
          <w:u w:val="single"/>
          <w:shd w:val="clear" w:color="auto" w:fill="FFFFFF"/>
          <w:lang w:val="en-US"/>
        </w:rPr>
      </w:pPr>
      <w:r w:rsidRPr="00860F59">
        <w:rPr>
          <w:rStyle w:val="FootnoteReference"/>
          <w:sz w:val="20"/>
          <w:szCs w:val="20"/>
        </w:rPr>
        <w:footnoteRef/>
      </w:r>
      <w:r w:rsidRPr="00860F59">
        <w:rPr>
          <w:sz w:val="20"/>
          <w:szCs w:val="20"/>
        </w:rPr>
        <w:t xml:space="preserve"> </w:t>
      </w:r>
      <w:r w:rsidR="008728F8" w:rsidRPr="00860F59">
        <w:rPr>
          <w:color w:val="333333"/>
          <w:spacing w:val="-2"/>
          <w:sz w:val="20"/>
          <w:szCs w:val="20"/>
          <w:shd w:val="clear" w:color="auto" w:fill="FFFFFF"/>
          <w:lang w:val="en-US"/>
        </w:rPr>
        <w:t xml:space="preserve">Renberg, Gil, H, </w:t>
      </w:r>
      <w:r w:rsidR="008728F8" w:rsidRPr="00860F59">
        <w:rPr>
          <w:i/>
          <w:iCs/>
          <w:color w:val="333333"/>
          <w:spacing w:val="-2"/>
          <w:sz w:val="20"/>
          <w:szCs w:val="20"/>
          <w:shd w:val="clear" w:color="auto" w:fill="FFFFFF"/>
          <w:lang w:val="en-US"/>
        </w:rPr>
        <w:t>Where Dreams May Come</w:t>
      </w:r>
      <w:r w:rsidR="008728F8" w:rsidRPr="00860F59">
        <w:rPr>
          <w:color w:val="333333"/>
          <w:spacing w:val="-2"/>
          <w:sz w:val="20"/>
          <w:szCs w:val="20"/>
          <w:shd w:val="clear" w:color="auto" w:fill="FFFFFF"/>
          <w:lang w:val="en-US"/>
        </w:rPr>
        <w:t>, p.119.</w:t>
      </w:r>
    </w:p>
  </w:footnote>
  <w:footnote w:id="88">
    <w:p w14:paraId="090910B7" w14:textId="42F79908" w:rsidR="00380666" w:rsidRPr="00860F59" w:rsidRDefault="00380666" w:rsidP="00380666">
      <w:pPr>
        <w:rPr>
          <w:color w:val="333333"/>
          <w:spacing w:val="-2"/>
          <w:sz w:val="20"/>
          <w:szCs w:val="20"/>
          <w:u w:val="single"/>
          <w:shd w:val="clear" w:color="auto" w:fill="FFFFFF"/>
          <w:lang w:val="en-US"/>
        </w:rPr>
      </w:pPr>
      <w:r w:rsidRPr="00860F59">
        <w:rPr>
          <w:rStyle w:val="FootnoteReference"/>
          <w:sz w:val="20"/>
          <w:szCs w:val="20"/>
        </w:rPr>
        <w:footnoteRef/>
      </w:r>
      <w:r w:rsidRPr="00860F59">
        <w:rPr>
          <w:sz w:val="20"/>
          <w:szCs w:val="20"/>
        </w:rPr>
        <w:t xml:space="preserve"> </w:t>
      </w:r>
      <w:r w:rsidR="008728F8" w:rsidRPr="00860F59">
        <w:rPr>
          <w:color w:val="333333"/>
          <w:spacing w:val="-2"/>
          <w:sz w:val="20"/>
          <w:szCs w:val="20"/>
          <w:shd w:val="clear" w:color="auto" w:fill="FFFFFF"/>
          <w:lang w:val="en-US"/>
        </w:rPr>
        <w:t xml:space="preserve">Renberg, Gil, H, </w:t>
      </w:r>
      <w:r w:rsidR="008728F8" w:rsidRPr="00860F59">
        <w:rPr>
          <w:i/>
          <w:iCs/>
          <w:color w:val="333333"/>
          <w:spacing w:val="-2"/>
          <w:sz w:val="20"/>
          <w:szCs w:val="20"/>
          <w:shd w:val="clear" w:color="auto" w:fill="FFFFFF"/>
          <w:lang w:val="en-US"/>
        </w:rPr>
        <w:t>Where Dreams May Come</w:t>
      </w:r>
      <w:r w:rsidR="008728F8" w:rsidRPr="00860F59">
        <w:rPr>
          <w:color w:val="333333"/>
          <w:spacing w:val="-2"/>
          <w:sz w:val="20"/>
          <w:szCs w:val="20"/>
          <w:shd w:val="clear" w:color="auto" w:fill="FFFFFF"/>
          <w:lang w:val="en-US"/>
        </w:rPr>
        <w:t>, p.330.</w:t>
      </w:r>
    </w:p>
  </w:footnote>
  <w:footnote w:id="89">
    <w:p w14:paraId="3BD2E82A" w14:textId="21CC903D" w:rsidR="00380666" w:rsidRPr="00350416" w:rsidRDefault="00380666" w:rsidP="00380666">
      <w:pPr>
        <w:rPr>
          <w:rFonts w:ascii="zephtextregular" w:hAnsi="zephtextregular"/>
          <w:color w:val="333333"/>
          <w:spacing w:val="-2"/>
          <w:sz w:val="20"/>
          <w:szCs w:val="20"/>
          <w:u w:val="single"/>
          <w:shd w:val="clear" w:color="auto" w:fill="FFFFFF"/>
          <w:lang w:val="en-US"/>
        </w:rPr>
      </w:pPr>
      <w:r w:rsidRPr="00860F59">
        <w:rPr>
          <w:rStyle w:val="FootnoteReference"/>
          <w:sz w:val="20"/>
          <w:szCs w:val="20"/>
        </w:rPr>
        <w:footnoteRef/>
      </w:r>
      <w:r w:rsidRPr="00860F59">
        <w:rPr>
          <w:sz w:val="20"/>
          <w:szCs w:val="20"/>
        </w:rPr>
        <w:t xml:space="preserve"> </w:t>
      </w:r>
      <w:r w:rsidR="008728F8" w:rsidRPr="00860F59">
        <w:rPr>
          <w:color w:val="333333"/>
          <w:spacing w:val="-2"/>
          <w:sz w:val="20"/>
          <w:szCs w:val="20"/>
          <w:shd w:val="clear" w:color="auto" w:fill="FFFFFF"/>
          <w:lang w:val="en-US"/>
        </w:rPr>
        <w:t xml:space="preserve">Renberg, Gil, H, </w:t>
      </w:r>
      <w:r w:rsidR="008728F8" w:rsidRPr="00860F59">
        <w:rPr>
          <w:i/>
          <w:iCs/>
          <w:color w:val="333333"/>
          <w:spacing w:val="-2"/>
          <w:sz w:val="20"/>
          <w:szCs w:val="20"/>
          <w:shd w:val="clear" w:color="auto" w:fill="FFFFFF"/>
          <w:lang w:val="en-US"/>
        </w:rPr>
        <w:t>Where Dreams May Come</w:t>
      </w:r>
      <w:r w:rsidR="008728F8" w:rsidRPr="00860F59">
        <w:rPr>
          <w:color w:val="333333"/>
          <w:spacing w:val="-2"/>
          <w:sz w:val="20"/>
          <w:szCs w:val="20"/>
          <w:shd w:val="clear" w:color="auto" w:fill="FFFFFF"/>
          <w:lang w:val="en-US"/>
        </w:rPr>
        <w:t>, p.363.</w:t>
      </w:r>
    </w:p>
  </w:footnote>
  <w:footnote w:id="90">
    <w:p w14:paraId="25216921" w14:textId="164859E2" w:rsidR="00380666" w:rsidRPr="00860F59" w:rsidRDefault="00380666" w:rsidP="00EB31FC">
      <w:pPr>
        <w:spacing w:line="480" w:lineRule="auto"/>
        <w:rPr>
          <w:sz w:val="20"/>
          <w:szCs w:val="20"/>
        </w:rPr>
      </w:pPr>
      <w:r w:rsidRPr="00860F59">
        <w:rPr>
          <w:rStyle w:val="FootnoteReference"/>
          <w:sz w:val="20"/>
          <w:szCs w:val="20"/>
        </w:rPr>
        <w:footnoteRef/>
      </w:r>
      <w:r w:rsidR="00EB31FC" w:rsidRPr="00860F59">
        <w:rPr>
          <w:sz w:val="20"/>
          <w:szCs w:val="20"/>
        </w:rPr>
        <w:t xml:space="preserve"> </w:t>
      </w:r>
      <w:proofErr w:type="spellStart"/>
      <w:r w:rsidR="00EB31FC" w:rsidRPr="00860F59">
        <w:rPr>
          <w:color w:val="333333"/>
          <w:spacing w:val="-2"/>
          <w:sz w:val="20"/>
          <w:szCs w:val="20"/>
          <w:shd w:val="clear" w:color="auto" w:fill="FFFFFF"/>
        </w:rPr>
        <w:t>Aeschines</w:t>
      </w:r>
      <w:proofErr w:type="spellEnd"/>
      <w:r w:rsidR="00EB31FC" w:rsidRPr="00860F59">
        <w:rPr>
          <w:color w:val="333333"/>
          <w:spacing w:val="-2"/>
          <w:sz w:val="20"/>
          <w:szCs w:val="20"/>
          <w:shd w:val="clear" w:color="auto" w:fill="FFFFFF"/>
        </w:rPr>
        <w:t xml:space="preserve">, </w:t>
      </w:r>
      <w:r w:rsidR="00EB31FC" w:rsidRPr="00860F59">
        <w:rPr>
          <w:i/>
          <w:iCs/>
          <w:sz w:val="20"/>
          <w:szCs w:val="20"/>
        </w:rPr>
        <w:t>Greek Anthology</w:t>
      </w:r>
      <w:r w:rsidR="00EB31FC" w:rsidRPr="00860F59">
        <w:rPr>
          <w:sz w:val="20"/>
          <w:szCs w:val="20"/>
        </w:rPr>
        <w:t>:</w:t>
      </w:r>
      <w:r w:rsidR="00EB31FC" w:rsidRPr="00860F59">
        <w:rPr>
          <w:sz w:val="20"/>
          <w:szCs w:val="20"/>
          <w:shd w:val="clear" w:color="auto" w:fill="FFFFFF"/>
        </w:rPr>
        <w:t xml:space="preserve"> W. Heinemann Ltd </w:t>
      </w:r>
      <w:r w:rsidR="00EB31FC" w:rsidRPr="00860F59">
        <w:rPr>
          <w:sz w:val="20"/>
          <w:szCs w:val="20"/>
        </w:rPr>
        <w:t xml:space="preserve">(ed. and </w:t>
      </w:r>
      <w:proofErr w:type="spellStart"/>
      <w:r w:rsidR="00EB31FC" w:rsidRPr="00860F59">
        <w:rPr>
          <w:sz w:val="20"/>
          <w:szCs w:val="20"/>
        </w:rPr>
        <w:t>trs</w:t>
      </w:r>
      <w:proofErr w:type="spellEnd"/>
      <w:r w:rsidR="00EB31FC" w:rsidRPr="00860F59">
        <w:rPr>
          <w:sz w:val="20"/>
          <w:szCs w:val="20"/>
        </w:rPr>
        <w:t>.), Loeb Classical Library, (Cambridge: Harvard University Press, vol. XX, 2015)</w:t>
      </w:r>
      <w:r w:rsidR="00EB31FC" w:rsidRPr="00860F59">
        <w:rPr>
          <w:sz w:val="20"/>
          <w:szCs w:val="20"/>
        </w:rPr>
        <w:t xml:space="preserve"> (</w:t>
      </w:r>
      <w:r w:rsidRPr="00860F59">
        <w:rPr>
          <w:sz w:val="20"/>
          <w:szCs w:val="20"/>
        </w:rPr>
        <w:t>6.330</w:t>
      </w:r>
      <w:r w:rsidR="00EB31FC" w:rsidRPr="00860F59">
        <w:rPr>
          <w:sz w:val="20"/>
          <w:szCs w:val="20"/>
        </w:rPr>
        <w:t>)</w:t>
      </w:r>
    </w:p>
  </w:footnote>
  <w:footnote w:id="91">
    <w:p w14:paraId="0DCAD09D" w14:textId="7FC3AD29" w:rsidR="00380666" w:rsidRPr="00860F59" w:rsidRDefault="00380666" w:rsidP="00380666">
      <w:pPr>
        <w:rPr>
          <w:sz w:val="20"/>
          <w:szCs w:val="20"/>
          <w:lang w:val="en-US"/>
        </w:rPr>
      </w:pPr>
      <w:r w:rsidRPr="00860F59">
        <w:rPr>
          <w:rStyle w:val="FootnoteReference"/>
          <w:sz w:val="20"/>
          <w:szCs w:val="20"/>
        </w:rPr>
        <w:footnoteRef/>
      </w:r>
      <w:r w:rsidRPr="00860F59">
        <w:rPr>
          <w:sz w:val="20"/>
          <w:szCs w:val="20"/>
        </w:rPr>
        <w:t xml:space="preserve"> </w:t>
      </w:r>
      <w:r w:rsidR="00B56412" w:rsidRPr="00860F59">
        <w:rPr>
          <w:sz w:val="20"/>
          <w:szCs w:val="20"/>
          <w:lang w:val="en-US"/>
        </w:rPr>
        <w:t xml:space="preserve">Greenbaum, </w:t>
      </w:r>
      <w:r w:rsidR="00B56412" w:rsidRPr="00860F59">
        <w:rPr>
          <w:i/>
          <w:iCs/>
          <w:sz w:val="20"/>
          <w:szCs w:val="20"/>
          <w:lang w:val="en-US"/>
        </w:rPr>
        <w:t>Hellenistic Astronomy</w:t>
      </w:r>
      <w:r w:rsidR="00B56412" w:rsidRPr="00860F59">
        <w:rPr>
          <w:sz w:val="20"/>
          <w:szCs w:val="20"/>
          <w:lang w:val="en-US"/>
        </w:rPr>
        <w:t>, p</w:t>
      </w:r>
      <w:r w:rsidRPr="00860F59">
        <w:rPr>
          <w:sz w:val="20"/>
          <w:szCs w:val="20"/>
          <w:lang w:val="en-US"/>
        </w:rPr>
        <w:t>.364</w:t>
      </w:r>
      <w:r w:rsidR="00B56412" w:rsidRPr="00860F59">
        <w:rPr>
          <w:sz w:val="20"/>
          <w:szCs w:val="20"/>
          <w:lang w:val="en-US"/>
        </w:rPr>
        <w:t>.</w:t>
      </w:r>
    </w:p>
  </w:footnote>
  <w:footnote w:id="92">
    <w:p w14:paraId="15DE4A58" w14:textId="465A29FC" w:rsidR="00380666" w:rsidRPr="00860F59" w:rsidRDefault="00380666" w:rsidP="008A74FB">
      <w:pPr>
        <w:jc w:val="both"/>
        <w:rPr>
          <w:sz w:val="20"/>
          <w:szCs w:val="20"/>
        </w:rPr>
      </w:pPr>
      <w:r w:rsidRPr="00860F59">
        <w:rPr>
          <w:rStyle w:val="FootnoteReference"/>
          <w:sz w:val="20"/>
          <w:szCs w:val="20"/>
        </w:rPr>
        <w:footnoteRef/>
      </w:r>
      <w:r w:rsidRPr="00860F59">
        <w:rPr>
          <w:sz w:val="20"/>
          <w:szCs w:val="20"/>
        </w:rPr>
        <w:t xml:space="preserve"> </w:t>
      </w:r>
      <w:r w:rsidR="008A74FB" w:rsidRPr="00860F59">
        <w:rPr>
          <w:sz w:val="20"/>
          <w:szCs w:val="20"/>
        </w:rPr>
        <w:t xml:space="preserve">Nutton, </w:t>
      </w:r>
      <w:r w:rsidR="008A74FB" w:rsidRPr="00860F59">
        <w:rPr>
          <w:i/>
          <w:iCs/>
          <w:sz w:val="20"/>
          <w:szCs w:val="20"/>
        </w:rPr>
        <w:t>Ancient Religion</w:t>
      </w:r>
      <w:r w:rsidR="008A74FB" w:rsidRPr="00860F59">
        <w:rPr>
          <w:sz w:val="20"/>
          <w:szCs w:val="20"/>
        </w:rPr>
        <w:t xml:space="preserve">, </w:t>
      </w:r>
      <w:r w:rsidRPr="00860F59">
        <w:rPr>
          <w:sz w:val="20"/>
          <w:szCs w:val="20"/>
        </w:rPr>
        <w:t>p.111</w:t>
      </w:r>
      <w:r w:rsidR="008A74FB" w:rsidRPr="00860F59">
        <w:rPr>
          <w:sz w:val="20"/>
          <w:szCs w:val="20"/>
        </w:rPr>
        <w:t>.</w:t>
      </w:r>
    </w:p>
  </w:footnote>
  <w:footnote w:id="93">
    <w:p w14:paraId="4C3E771B" w14:textId="7EFD7A98" w:rsidR="00380666" w:rsidRPr="00860F59" w:rsidRDefault="00380666" w:rsidP="008A74FB">
      <w:pPr>
        <w:rPr>
          <w:sz w:val="20"/>
          <w:szCs w:val="20"/>
        </w:rPr>
      </w:pPr>
      <w:r w:rsidRPr="00860F59">
        <w:rPr>
          <w:rStyle w:val="FootnoteReference"/>
          <w:sz w:val="20"/>
          <w:szCs w:val="20"/>
        </w:rPr>
        <w:footnoteRef/>
      </w:r>
      <w:r w:rsidRPr="00860F59">
        <w:rPr>
          <w:sz w:val="20"/>
          <w:szCs w:val="20"/>
        </w:rPr>
        <w:t xml:space="preserve"> </w:t>
      </w:r>
      <w:r w:rsidR="008A74FB" w:rsidRPr="00860F59">
        <w:rPr>
          <w:sz w:val="20"/>
          <w:szCs w:val="20"/>
        </w:rPr>
        <w:t xml:space="preserve">Nutton, </w:t>
      </w:r>
      <w:r w:rsidR="008A74FB" w:rsidRPr="00860F59">
        <w:rPr>
          <w:i/>
          <w:iCs/>
          <w:sz w:val="20"/>
          <w:szCs w:val="20"/>
        </w:rPr>
        <w:t>Ancient Religion</w:t>
      </w:r>
      <w:r w:rsidR="008A74FB" w:rsidRPr="00860F59">
        <w:rPr>
          <w:sz w:val="20"/>
          <w:szCs w:val="20"/>
        </w:rPr>
        <w:t>, p.111.</w:t>
      </w:r>
    </w:p>
  </w:footnote>
  <w:footnote w:id="94">
    <w:p w14:paraId="136C3781" w14:textId="40F807C8" w:rsidR="00380666" w:rsidRPr="00E44ABB" w:rsidRDefault="00380666" w:rsidP="00380666">
      <w:pPr>
        <w:rPr>
          <w:lang w:val="en-US"/>
        </w:rPr>
      </w:pPr>
      <w:r w:rsidRPr="00860F59">
        <w:rPr>
          <w:rStyle w:val="FootnoteReference"/>
          <w:sz w:val="20"/>
          <w:szCs w:val="20"/>
        </w:rPr>
        <w:footnoteRef/>
      </w:r>
      <w:r w:rsidRPr="00860F59">
        <w:rPr>
          <w:sz w:val="20"/>
          <w:szCs w:val="20"/>
        </w:rPr>
        <w:t xml:space="preserve"> </w:t>
      </w:r>
      <w:r w:rsidR="00B56412" w:rsidRPr="00860F59">
        <w:rPr>
          <w:sz w:val="20"/>
          <w:szCs w:val="20"/>
          <w:lang w:val="en-US"/>
        </w:rPr>
        <w:t xml:space="preserve">Greenbaum, </w:t>
      </w:r>
      <w:r w:rsidR="00B56412" w:rsidRPr="00860F59">
        <w:rPr>
          <w:i/>
          <w:iCs/>
          <w:sz w:val="20"/>
          <w:szCs w:val="20"/>
          <w:lang w:val="en-US"/>
        </w:rPr>
        <w:t>Hellenistic Astronomy</w:t>
      </w:r>
      <w:r w:rsidR="00B56412" w:rsidRPr="00860F59">
        <w:rPr>
          <w:sz w:val="20"/>
          <w:szCs w:val="20"/>
          <w:lang w:val="en-US"/>
        </w:rPr>
        <w:t>, p</w:t>
      </w:r>
      <w:r w:rsidRPr="00860F59">
        <w:rPr>
          <w:sz w:val="20"/>
          <w:szCs w:val="20"/>
          <w:lang w:val="en-US"/>
        </w:rPr>
        <w:t>.379</w:t>
      </w:r>
      <w:r w:rsidR="00B56412" w:rsidRPr="00860F59">
        <w:rPr>
          <w:sz w:val="20"/>
          <w:szCs w:val="20"/>
          <w:lang w:val="en-US"/>
        </w:rPr>
        <w:t>.</w:t>
      </w:r>
    </w:p>
  </w:footnote>
  <w:footnote w:id="95">
    <w:p w14:paraId="08106F2D" w14:textId="0C4F482A" w:rsidR="00220272" w:rsidRDefault="00220272" w:rsidP="00220272">
      <w:pPr>
        <w:pStyle w:val="FootnoteText"/>
      </w:pPr>
      <w:r>
        <w:rPr>
          <w:rStyle w:val="FootnoteReference"/>
        </w:rPr>
        <w:footnoteRef/>
      </w:r>
      <w:r>
        <w:t xml:space="preserve"> </w:t>
      </w:r>
      <w:r w:rsidRPr="00530627">
        <w:t>Addey,</w:t>
      </w:r>
      <w:r w:rsidR="00FE6736" w:rsidRPr="00530627">
        <w:t xml:space="preserve"> </w:t>
      </w:r>
      <w:r w:rsidRPr="00530627">
        <w:t>p.32</w:t>
      </w:r>
      <w:r w:rsidR="00530627" w:rsidRPr="00530627">
        <w:t>.</w:t>
      </w:r>
    </w:p>
  </w:footnote>
  <w:footnote w:id="96">
    <w:p w14:paraId="7985B78F" w14:textId="2797F71C" w:rsidR="00220272" w:rsidRPr="00860F59" w:rsidRDefault="00220272" w:rsidP="00220272">
      <w:pPr>
        <w:pStyle w:val="FootnoteText"/>
      </w:pPr>
      <w:r w:rsidRPr="00860F59">
        <w:rPr>
          <w:rStyle w:val="FootnoteReference"/>
        </w:rPr>
        <w:footnoteRef/>
      </w:r>
      <w:r w:rsidRPr="00860F59">
        <w:t xml:space="preserve"> </w:t>
      </w:r>
      <w:r w:rsidR="00530627" w:rsidRPr="00860F59">
        <w:t xml:space="preserve">Addey, </w:t>
      </w:r>
      <w:r w:rsidRPr="00860F59">
        <w:t>p.4</w:t>
      </w:r>
      <w:r w:rsidR="00530627" w:rsidRPr="00860F59">
        <w:t>1.</w:t>
      </w:r>
      <w:r w:rsidRPr="00860F59">
        <w:t xml:space="preserve"> </w:t>
      </w:r>
    </w:p>
  </w:footnote>
  <w:footnote w:id="97">
    <w:p w14:paraId="19DFDB38" w14:textId="034ECDD8" w:rsidR="00220272" w:rsidRPr="00860F59" w:rsidRDefault="00220272" w:rsidP="00220272">
      <w:pPr>
        <w:pStyle w:val="FootnoteText"/>
      </w:pPr>
      <w:r w:rsidRPr="00860F59">
        <w:rPr>
          <w:rStyle w:val="FootnoteReference"/>
        </w:rPr>
        <w:footnoteRef/>
      </w:r>
      <w:r w:rsidRPr="00860F59">
        <w:t xml:space="preserve"> </w:t>
      </w:r>
      <w:r w:rsidR="00530627" w:rsidRPr="00860F59">
        <w:t>Addey, p.32.</w:t>
      </w:r>
    </w:p>
  </w:footnote>
  <w:footnote w:id="98">
    <w:p w14:paraId="3BE9A6F8" w14:textId="111C3D2B" w:rsidR="00220272" w:rsidRPr="00860F59" w:rsidRDefault="00220272" w:rsidP="00220272">
      <w:pPr>
        <w:pStyle w:val="FootnoteText"/>
      </w:pPr>
      <w:r w:rsidRPr="00860F59">
        <w:rPr>
          <w:rStyle w:val="FootnoteReference"/>
        </w:rPr>
        <w:footnoteRef/>
      </w:r>
      <w:r w:rsidRPr="00860F59">
        <w:t xml:space="preserve"> </w:t>
      </w:r>
      <w:r w:rsidR="00530627" w:rsidRPr="00860F59">
        <w:t>Addey, p.32-</w:t>
      </w:r>
      <w:r w:rsidRPr="00860F59">
        <w:t>33</w:t>
      </w:r>
      <w:r w:rsidR="00530627" w:rsidRPr="00860F59">
        <w:t>.</w:t>
      </w:r>
    </w:p>
  </w:footnote>
  <w:footnote w:id="99">
    <w:p w14:paraId="0DB757B5" w14:textId="5A9FC13D" w:rsidR="00220272" w:rsidRPr="00860F59" w:rsidRDefault="00220272" w:rsidP="00FC52D8">
      <w:pPr>
        <w:rPr>
          <w:color w:val="333333"/>
          <w:spacing w:val="-2"/>
          <w:sz w:val="20"/>
          <w:szCs w:val="20"/>
          <w:shd w:val="clear" w:color="auto" w:fill="FFFFFF"/>
          <w:lang w:val="en-US"/>
        </w:rPr>
      </w:pPr>
      <w:r w:rsidRPr="00860F59">
        <w:rPr>
          <w:rStyle w:val="FootnoteReference"/>
          <w:sz w:val="20"/>
          <w:szCs w:val="20"/>
        </w:rPr>
        <w:footnoteRef/>
      </w:r>
      <w:r w:rsidRPr="00860F59">
        <w:rPr>
          <w:sz w:val="20"/>
          <w:szCs w:val="20"/>
        </w:rPr>
        <w:t xml:space="preserve"> </w:t>
      </w:r>
      <w:r w:rsidR="00FC52D8" w:rsidRPr="00860F59">
        <w:rPr>
          <w:sz w:val="20"/>
          <w:szCs w:val="20"/>
        </w:rPr>
        <w:t>Pausanias</w:t>
      </w:r>
      <w:r w:rsidR="00FC52D8" w:rsidRPr="00860F59">
        <w:rPr>
          <w:i/>
          <w:iCs/>
          <w:color w:val="333333"/>
          <w:spacing w:val="-2"/>
          <w:sz w:val="20"/>
          <w:szCs w:val="20"/>
          <w:shd w:val="clear" w:color="auto" w:fill="FFFFFF"/>
        </w:rPr>
        <w:t xml:space="preserve">, Description of Greece, </w:t>
      </w:r>
      <w:r w:rsidR="00FC52D8" w:rsidRPr="00860F59">
        <w:rPr>
          <w:color w:val="333333"/>
          <w:spacing w:val="-2"/>
          <w:sz w:val="20"/>
          <w:szCs w:val="20"/>
          <w:shd w:val="clear" w:color="auto" w:fill="FFFFFF"/>
          <w:lang w:val="en-US"/>
        </w:rPr>
        <w:t>21.11-12</w:t>
      </w:r>
      <w:r w:rsidR="00FC52D8" w:rsidRPr="00860F59">
        <w:rPr>
          <w:color w:val="333333"/>
          <w:spacing w:val="-2"/>
          <w:sz w:val="20"/>
          <w:szCs w:val="20"/>
          <w:shd w:val="clear" w:color="auto" w:fill="FFFFFF"/>
          <w:lang w:val="en-US"/>
        </w:rPr>
        <w:t>, Trans. W.S. Jones</w:t>
      </w:r>
    </w:p>
  </w:footnote>
  <w:footnote w:id="100">
    <w:p w14:paraId="4DAC658A" w14:textId="47B21232" w:rsidR="00220272" w:rsidRDefault="00220272" w:rsidP="00220272">
      <w:pPr>
        <w:pStyle w:val="FootnoteText"/>
      </w:pPr>
      <w:r w:rsidRPr="00860F59">
        <w:rPr>
          <w:rStyle w:val="FootnoteReference"/>
        </w:rPr>
        <w:footnoteRef/>
      </w:r>
      <w:r w:rsidRPr="00860F59">
        <w:t xml:space="preserve"> </w:t>
      </w:r>
      <w:r w:rsidR="004036B4" w:rsidRPr="00860F59">
        <w:t>Addey, p.33.</w:t>
      </w:r>
    </w:p>
  </w:footnote>
  <w:footnote w:id="101">
    <w:p w14:paraId="69C02E1B" w14:textId="0A896791" w:rsidR="00220272" w:rsidRPr="00860F59" w:rsidRDefault="00220272" w:rsidP="00220272">
      <w:pPr>
        <w:pStyle w:val="FootnoteText"/>
      </w:pPr>
      <w:r w:rsidRPr="00860F59">
        <w:rPr>
          <w:rStyle w:val="FootnoteReference"/>
        </w:rPr>
        <w:footnoteRef/>
      </w:r>
      <w:r w:rsidRPr="00860F59">
        <w:t xml:space="preserve"> </w:t>
      </w:r>
      <w:r w:rsidR="004036B4" w:rsidRPr="00860F59">
        <w:t>Addey, p.34.</w:t>
      </w:r>
    </w:p>
  </w:footnote>
  <w:footnote w:id="102">
    <w:p w14:paraId="0CB5ACE2" w14:textId="6B2CD582" w:rsidR="00220272" w:rsidRPr="00860F59" w:rsidRDefault="00220272" w:rsidP="00220272">
      <w:pPr>
        <w:pStyle w:val="FootnoteText"/>
      </w:pPr>
      <w:r w:rsidRPr="00860F59">
        <w:rPr>
          <w:rStyle w:val="FootnoteReference"/>
        </w:rPr>
        <w:footnoteRef/>
      </w:r>
      <w:r w:rsidRPr="00860F59">
        <w:t xml:space="preserve"> </w:t>
      </w:r>
      <w:r w:rsidR="004036B4" w:rsidRPr="00860F59">
        <w:t xml:space="preserve">Addey, </w:t>
      </w:r>
      <w:r w:rsidRPr="00860F59">
        <w:t>p.34</w:t>
      </w:r>
      <w:r w:rsidR="004036B4" w:rsidRPr="00860F59">
        <w:t>.</w:t>
      </w:r>
    </w:p>
  </w:footnote>
  <w:footnote w:id="103">
    <w:p w14:paraId="30B6233C" w14:textId="3A5A66A0" w:rsidR="00220272" w:rsidRPr="00860F59" w:rsidRDefault="00220272" w:rsidP="00220272">
      <w:pPr>
        <w:rPr>
          <w:color w:val="333333"/>
          <w:spacing w:val="-2"/>
          <w:sz w:val="20"/>
          <w:szCs w:val="20"/>
          <w:shd w:val="clear" w:color="auto" w:fill="FFFFFF"/>
          <w:lang w:val="nb-NO"/>
        </w:rPr>
      </w:pPr>
      <w:r w:rsidRPr="00860F59">
        <w:rPr>
          <w:rStyle w:val="FootnoteReference"/>
          <w:sz w:val="20"/>
          <w:szCs w:val="20"/>
        </w:rPr>
        <w:footnoteRef/>
      </w:r>
      <w:r w:rsidR="00860F59" w:rsidRPr="00860F59">
        <w:rPr>
          <w:sz w:val="20"/>
          <w:szCs w:val="20"/>
        </w:rPr>
        <w:t xml:space="preserve"> Plutarch,</w:t>
      </w:r>
      <w:r w:rsidRPr="00860F59">
        <w:rPr>
          <w:sz w:val="20"/>
          <w:szCs w:val="20"/>
        </w:rPr>
        <w:t xml:space="preserve"> </w:t>
      </w:r>
      <w:r w:rsidRPr="00860F59">
        <w:rPr>
          <w:i/>
          <w:iCs/>
          <w:color w:val="333333"/>
          <w:spacing w:val="-2"/>
          <w:sz w:val="20"/>
          <w:szCs w:val="20"/>
          <w:shd w:val="clear" w:color="auto" w:fill="FFFFFF"/>
        </w:rPr>
        <w:t xml:space="preserve">Isis and Osiris, </w:t>
      </w:r>
      <w:r w:rsidRPr="00860F59">
        <w:rPr>
          <w:color w:val="333333"/>
          <w:spacing w:val="-2"/>
          <w:sz w:val="20"/>
          <w:szCs w:val="20"/>
          <w:shd w:val="clear" w:color="auto" w:fill="FFFFFF"/>
        </w:rPr>
        <w:t xml:space="preserve">361.E-F, trans. </w:t>
      </w:r>
      <w:r w:rsidRPr="00860F59">
        <w:rPr>
          <w:color w:val="333333"/>
          <w:spacing w:val="-2"/>
          <w:sz w:val="20"/>
          <w:szCs w:val="20"/>
          <w:shd w:val="clear" w:color="auto" w:fill="FFFFFF"/>
          <w:lang w:val="nb-NO"/>
        </w:rPr>
        <w:t xml:space="preserve">F.C. </w:t>
      </w:r>
      <w:proofErr w:type="spellStart"/>
      <w:r w:rsidRPr="00860F59">
        <w:rPr>
          <w:color w:val="333333"/>
          <w:spacing w:val="-2"/>
          <w:sz w:val="20"/>
          <w:szCs w:val="20"/>
          <w:shd w:val="clear" w:color="auto" w:fill="FFFFFF"/>
          <w:lang w:val="nb-NO"/>
        </w:rPr>
        <w:t>Babbitt</w:t>
      </w:r>
      <w:proofErr w:type="spellEnd"/>
      <w:r w:rsidRPr="00860F59">
        <w:rPr>
          <w:color w:val="333333"/>
          <w:spacing w:val="-2"/>
          <w:sz w:val="20"/>
          <w:szCs w:val="20"/>
          <w:shd w:val="clear" w:color="auto" w:fill="FFFFFF"/>
          <w:lang w:val="nb-NO"/>
        </w:rPr>
        <w:t xml:space="preserve"> et al.</w:t>
      </w:r>
    </w:p>
  </w:footnote>
  <w:footnote w:id="104">
    <w:p w14:paraId="56727310" w14:textId="154A6B2B" w:rsidR="00220272" w:rsidRPr="00860F59" w:rsidRDefault="00220272" w:rsidP="00220272">
      <w:pPr>
        <w:pStyle w:val="FootnoteText"/>
      </w:pPr>
      <w:r w:rsidRPr="00860F59">
        <w:rPr>
          <w:rStyle w:val="FootnoteReference"/>
        </w:rPr>
        <w:footnoteRef/>
      </w:r>
      <w:r w:rsidRPr="00860F59">
        <w:t xml:space="preserve"> </w:t>
      </w:r>
      <w:r w:rsidR="004036B4" w:rsidRPr="00860F59">
        <w:t>Addey, p.</w:t>
      </w:r>
      <w:r w:rsidRPr="00860F59">
        <w:t>32-33</w:t>
      </w:r>
      <w:r w:rsidR="004036B4" w:rsidRPr="00860F59">
        <w:t>.</w:t>
      </w:r>
    </w:p>
  </w:footnote>
  <w:footnote w:id="105">
    <w:p w14:paraId="7FB5047A" w14:textId="7AD9BFFF" w:rsidR="00220272" w:rsidRPr="00860F59" w:rsidRDefault="00220272" w:rsidP="00220272">
      <w:pPr>
        <w:pStyle w:val="FootnoteText"/>
      </w:pPr>
      <w:r w:rsidRPr="00860F59">
        <w:rPr>
          <w:rStyle w:val="FootnoteReference"/>
        </w:rPr>
        <w:footnoteRef/>
      </w:r>
      <w:r w:rsidRPr="00860F59">
        <w:t xml:space="preserve"> </w:t>
      </w:r>
      <w:r w:rsidR="004036B4" w:rsidRPr="00860F59">
        <w:t xml:space="preserve">Addey, </w:t>
      </w:r>
      <w:r w:rsidRPr="00860F59">
        <w:t>p.40</w:t>
      </w:r>
      <w:r w:rsidR="004036B4" w:rsidRPr="00860F59">
        <w:t>.</w:t>
      </w:r>
    </w:p>
  </w:footnote>
  <w:footnote w:id="106">
    <w:p w14:paraId="5E79AA17" w14:textId="327790EB" w:rsidR="00220272" w:rsidRPr="00860F59" w:rsidRDefault="00220272" w:rsidP="00220272">
      <w:pPr>
        <w:pStyle w:val="FootnoteText"/>
      </w:pPr>
      <w:r w:rsidRPr="00860F59">
        <w:rPr>
          <w:rStyle w:val="FootnoteReference"/>
        </w:rPr>
        <w:footnoteRef/>
      </w:r>
      <w:r w:rsidRPr="00860F59">
        <w:t xml:space="preserve"> </w:t>
      </w:r>
      <w:r w:rsidR="004036B4" w:rsidRPr="00860F59">
        <w:t xml:space="preserve">Addey, </w:t>
      </w:r>
      <w:r w:rsidRPr="00860F59">
        <w:t>p.40</w:t>
      </w:r>
    </w:p>
  </w:footnote>
  <w:footnote w:id="107">
    <w:p w14:paraId="7C7F123D" w14:textId="3AAD11F9" w:rsidR="00220272" w:rsidRDefault="00220272" w:rsidP="00220272">
      <w:pPr>
        <w:pStyle w:val="FootnoteText"/>
      </w:pPr>
      <w:r w:rsidRPr="00860F59">
        <w:rPr>
          <w:rStyle w:val="FootnoteReference"/>
        </w:rPr>
        <w:footnoteRef/>
      </w:r>
      <w:r w:rsidRPr="00860F59">
        <w:t xml:space="preserve"> </w:t>
      </w:r>
      <w:r w:rsidR="00FC52D8" w:rsidRPr="00860F59">
        <w:t>Pausanias</w:t>
      </w:r>
      <w:r w:rsidR="00FC52D8" w:rsidRPr="00860F59">
        <w:rPr>
          <w:i/>
          <w:iCs/>
          <w:color w:val="333333"/>
          <w:spacing w:val="-2"/>
          <w:shd w:val="clear" w:color="auto" w:fill="FFFFFF"/>
        </w:rPr>
        <w:t xml:space="preserve">, Description of Greece, </w:t>
      </w:r>
      <w:r w:rsidR="00FC52D8" w:rsidRPr="00860F59">
        <w:rPr>
          <w:color w:val="333333"/>
          <w:spacing w:val="-2"/>
          <w:shd w:val="clear" w:color="auto" w:fill="FFFFFF"/>
          <w:lang w:val="en-US"/>
        </w:rPr>
        <w:t>21.11-12, Trans. W.S. Jones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273BD" w14:textId="13ED4F0C" w:rsidR="00775313" w:rsidRDefault="00E4048B">
    <w:pPr>
      <w:pStyle w:val="Header"/>
    </w:pPr>
    <w:r>
      <w:t>Emily Nixon</w:t>
    </w:r>
    <w:r>
      <w:tab/>
    </w:r>
    <w:r>
      <w:tab/>
      <w:t>2212291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8E2875"/>
    <w:multiLevelType w:val="hybridMultilevel"/>
    <w:tmpl w:val="14E6F974"/>
    <w:lvl w:ilvl="0" w:tplc="08090001">
      <w:start w:val="1"/>
      <w:numFmt w:val="bullet"/>
      <w:lvlText w:val=""/>
      <w:lvlJc w:val="left"/>
      <w:pPr>
        <w:ind w:left="720" w:hanging="360"/>
      </w:pPr>
      <w:rPr>
        <w:rFonts w:ascii="Symbol" w:hAnsi="Symbol" w:hint="default"/>
      </w:rPr>
    </w:lvl>
    <w:lvl w:ilvl="1" w:tplc="73EC8B86">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8710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B7F"/>
    <w:rsid w:val="0001569F"/>
    <w:rsid w:val="0001789D"/>
    <w:rsid w:val="00024203"/>
    <w:rsid w:val="00033FAB"/>
    <w:rsid w:val="0008518F"/>
    <w:rsid w:val="000916A0"/>
    <w:rsid w:val="000A4021"/>
    <w:rsid w:val="000B1DBC"/>
    <w:rsid w:val="000B7E37"/>
    <w:rsid w:val="000D4DB3"/>
    <w:rsid w:val="000E2038"/>
    <w:rsid w:val="000E49FD"/>
    <w:rsid w:val="000F0E8B"/>
    <w:rsid w:val="000F6256"/>
    <w:rsid w:val="00101A1C"/>
    <w:rsid w:val="00120FE4"/>
    <w:rsid w:val="00126D04"/>
    <w:rsid w:val="001310FA"/>
    <w:rsid w:val="00154880"/>
    <w:rsid w:val="001723F4"/>
    <w:rsid w:val="00172FFE"/>
    <w:rsid w:val="00181885"/>
    <w:rsid w:val="0018231A"/>
    <w:rsid w:val="0018468E"/>
    <w:rsid w:val="00185899"/>
    <w:rsid w:val="00185C43"/>
    <w:rsid w:val="0019596E"/>
    <w:rsid w:val="001B27A6"/>
    <w:rsid w:val="001B5944"/>
    <w:rsid w:val="001C4F28"/>
    <w:rsid w:val="001E028F"/>
    <w:rsid w:val="001F392B"/>
    <w:rsid w:val="001F4121"/>
    <w:rsid w:val="00215D60"/>
    <w:rsid w:val="00220272"/>
    <w:rsid w:val="0022756E"/>
    <w:rsid w:val="00227B6E"/>
    <w:rsid w:val="00235EC7"/>
    <w:rsid w:val="00270CDC"/>
    <w:rsid w:val="002B6763"/>
    <w:rsid w:val="002C1446"/>
    <w:rsid w:val="002E289F"/>
    <w:rsid w:val="002E52A7"/>
    <w:rsid w:val="0030609E"/>
    <w:rsid w:val="0031268C"/>
    <w:rsid w:val="0031377A"/>
    <w:rsid w:val="00327AD5"/>
    <w:rsid w:val="003311EB"/>
    <w:rsid w:val="003676AC"/>
    <w:rsid w:val="00380666"/>
    <w:rsid w:val="00382061"/>
    <w:rsid w:val="00392295"/>
    <w:rsid w:val="003949BD"/>
    <w:rsid w:val="003A0629"/>
    <w:rsid w:val="003A7523"/>
    <w:rsid w:val="003A7D7A"/>
    <w:rsid w:val="003B219E"/>
    <w:rsid w:val="003C2157"/>
    <w:rsid w:val="003E0FC7"/>
    <w:rsid w:val="003E7700"/>
    <w:rsid w:val="004036B4"/>
    <w:rsid w:val="0044578E"/>
    <w:rsid w:val="00451403"/>
    <w:rsid w:val="00460563"/>
    <w:rsid w:val="00465129"/>
    <w:rsid w:val="00476A56"/>
    <w:rsid w:val="004837EA"/>
    <w:rsid w:val="0048703F"/>
    <w:rsid w:val="004A40C8"/>
    <w:rsid w:val="004B0237"/>
    <w:rsid w:val="004B32C6"/>
    <w:rsid w:val="004B3DB4"/>
    <w:rsid w:val="004C2F18"/>
    <w:rsid w:val="004C5DFF"/>
    <w:rsid w:val="004C658B"/>
    <w:rsid w:val="005029C7"/>
    <w:rsid w:val="00523EEA"/>
    <w:rsid w:val="005276DC"/>
    <w:rsid w:val="005304C5"/>
    <w:rsid w:val="00530627"/>
    <w:rsid w:val="00546776"/>
    <w:rsid w:val="00547C67"/>
    <w:rsid w:val="00557B7F"/>
    <w:rsid w:val="00582FAB"/>
    <w:rsid w:val="0059126E"/>
    <w:rsid w:val="005A0422"/>
    <w:rsid w:val="005D7C39"/>
    <w:rsid w:val="005E4F7A"/>
    <w:rsid w:val="005F6892"/>
    <w:rsid w:val="00603335"/>
    <w:rsid w:val="00623E1F"/>
    <w:rsid w:val="006348A7"/>
    <w:rsid w:val="006369D3"/>
    <w:rsid w:val="006431FD"/>
    <w:rsid w:val="0067264F"/>
    <w:rsid w:val="006726E4"/>
    <w:rsid w:val="00682468"/>
    <w:rsid w:val="006B0371"/>
    <w:rsid w:val="006B2BCA"/>
    <w:rsid w:val="006B4CF2"/>
    <w:rsid w:val="006C1B70"/>
    <w:rsid w:val="006F1D30"/>
    <w:rsid w:val="00700B6B"/>
    <w:rsid w:val="007016D7"/>
    <w:rsid w:val="00714369"/>
    <w:rsid w:val="007320F0"/>
    <w:rsid w:val="007346D4"/>
    <w:rsid w:val="0075380E"/>
    <w:rsid w:val="00767F6A"/>
    <w:rsid w:val="00772E4B"/>
    <w:rsid w:val="007738BA"/>
    <w:rsid w:val="00775313"/>
    <w:rsid w:val="007815F1"/>
    <w:rsid w:val="00794FFB"/>
    <w:rsid w:val="007A0A68"/>
    <w:rsid w:val="007A6E04"/>
    <w:rsid w:val="007C11F8"/>
    <w:rsid w:val="007C2605"/>
    <w:rsid w:val="007C42A3"/>
    <w:rsid w:val="007C7C65"/>
    <w:rsid w:val="007D179E"/>
    <w:rsid w:val="007D3E47"/>
    <w:rsid w:val="007D5931"/>
    <w:rsid w:val="007D6711"/>
    <w:rsid w:val="007E3AE0"/>
    <w:rsid w:val="007E5801"/>
    <w:rsid w:val="007F0CA9"/>
    <w:rsid w:val="00815600"/>
    <w:rsid w:val="00821143"/>
    <w:rsid w:val="00825A15"/>
    <w:rsid w:val="00836144"/>
    <w:rsid w:val="008473CC"/>
    <w:rsid w:val="00852F45"/>
    <w:rsid w:val="00857ED2"/>
    <w:rsid w:val="00860F59"/>
    <w:rsid w:val="0086566E"/>
    <w:rsid w:val="008728F8"/>
    <w:rsid w:val="00876C53"/>
    <w:rsid w:val="0088522D"/>
    <w:rsid w:val="008A128D"/>
    <w:rsid w:val="008A74FB"/>
    <w:rsid w:val="008C490D"/>
    <w:rsid w:val="008D5E47"/>
    <w:rsid w:val="008D7696"/>
    <w:rsid w:val="008E09E7"/>
    <w:rsid w:val="008F09F5"/>
    <w:rsid w:val="008F61CA"/>
    <w:rsid w:val="008F727A"/>
    <w:rsid w:val="00905A9E"/>
    <w:rsid w:val="00912CA6"/>
    <w:rsid w:val="00915E7A"/>
    <w:rsid w:val="009270A1"/>
    <w:rsid w:val="009328E3"/>
    <w:rsid w:val="00933300"/>
    <w:rsid w:val="00936076"/>
    <w:rsid w:val="0093726A"/>
    <w:rsid w:val="00946E4E"/>
    <w:rsid w:val="00947799"/>
    <w:rsid w:val="0096517E"/>
    <w:rsid w:val="0097174B"/>
    <w:rsid w:val="0098691A"/>
    <w:rsid w:val="0098766A"/>
    <w:rsid w:val="00994F1E"/>
    <w:rsid w:val="009A0C9D"/>
    <w:rsid w:val="009B1522"/>
    <w:rsid w:val="009B4E32"/>
    <w:rsid w:val="009B6D64"/>
    <w:rsid w:val="009B7D57"/>
    <w:rsid w:val="009C1C92"/>
    <w:rsid w:val="009C691C"/>
    <w:rsid w:val="009D1663"/>
    <w:rsid w:val="009E4890"/>
    <w:rsid w:val="009F73BE"/>
    <w:rsid w:val="00A02ADA"/>
    <w:rsid w:val="00A12D1E"/>
    <w:rsid w:val="00A157B9"/>
    <w:rsid w:val="00A24C2E"/>
    <w:rsid w:val="00A33F04"/>
    <w:rsid w:val="00A36D66"/>
    <w:rsid w:val="00A7497F"/>
    <w:rsid w:val="00A80ECC"/>
    <w:rsid w:val="00AA0744"/>
    <w:rsid w:val="00AA279B"/>
    <w:rsid w:val="00AA55E7"/>
    <w:rsid w:val="00AA7B8B"/>
    <w:rsid w:val="00AB1BC1"/>
    <w:rsid w:val="00AC0481"/>
    <w:rsid w:val="00AC0C9C"/>
    <w:rsid w:val="00AD25A5"/>
    <w:rsid w:val="00AF2FC3"/>
    <w:rsid w:val="00AF51C1"/>
    <w:rsid w:val="00B0338A"/>
    <w:rsid w:val="00B42F16"/>
    <w:rsid w:val="00B56412"/>
    <w:rsid w:val="00B70355"/>
    <w:rsid w:val="00B72A4F"/>
    <w:rsid w:val="00B83CDB"/>
    <w:rsid w:val="00BA1BE4"/>
    <w:rsid w:val="00BB4AC1"/>
    <w:rsid w:val="00BB7902"/>
    <w:rsid w:val="00BC4178"/>
    <w:rsid w:val="00BC71BF"/>
    <w:rsid w:val="00C230FA"/>
    <w:rsid w:val="00C33CFF"/>
    <w:rsid w:val="00C43EAC"/>
    <w:rsid w:val="00C44070"/>
    <w:rsid w:val="00C50F0A"/>
    <w:rsid w:val="00C60703"/>
    <w:rsid w:val="00C6387D"/>
    <w:rsid w:val="00C67072"/>
    <w:rsid w:val="00C77743"/>
    <w:rsid w:val="00C835DB"/>
    <w:rsid w:val="00C904D4"/>
    <w:rsid w:val="00C926D4"/>
    <w:rsid w:val="00CA0BC0"/>
    <w:rsid w:val="00CA3118"/>
    <w:rsid w:val="00CB26E7"/>
    <w:rsid w:val="00CB7A79"/>
    <w:rsid w:val="00CB7E5F"/>
    <w:rsid w:val="00CD3E22"/>
    <w:rsid w:val="00CE6998"/>
    <w:rsid w:val="00CE7782"/>
    <w:rsid w:val="00CF3F77"/>
    <w:rsid w:val="00CF477D"/>
    <w:rsid w:val="00CF58D5"/>
    <w:rsid w:val="00CF59E0"/>
    <w:rsid w:val="00D125C5"/>
    <w:rsid w:val="00D2153F"/>
    <w:rsid w:val="00D2663B"/>
    <w:rsid w:val="00D4106D"/>
    <w:rsid w:val="00D62F8F"/>
    <w:rsid w:val="00D73EE5"/>
    <w:rsid w:val="00D83FE2"/>
    <w:rsid w:val="00DA124C"/>
    <w:rsid w:val="00DA7985"/>
    <w:rsid w:val="00DB50A9"/>
    <w:rsid w:val="00DB7D7C"/>
    <w:rsid w:val="00DC0C0B"/>
    <w:rsid w:val="00DC4A10"/>
    <w:rsid w:val="00DD1976"/>
    <w:rsid w:val="00DD785C"/>
    <w:rsid w:val="00DF480C"/>
    <w:rsid w:val="00E11574"/>
    <w:rsid w:val="00E143B6"/>
    <w:rsid w:val="00E32C99"/>
    <w:rsid w:val="00E33E39"/>
    <w:rsid w:val="00E4048B"/>
    <w:rsid w:val="00E414CA"/>
    <w:rsid w:val="00E477AB"/>
    <w:rsid w:val="00E54450"/>
    <w:rsid w:val="00E8481B"/>
    <w:rsid w:val="00EA669A"/>
    <w:rsid w:val="00EA6F9D"/>
    <w:rsid w:val="00EB31FC"/>
    <w:rsid w:val="00ED47A9"/>
    <w:rsid w:val="00ED4F77"/>
    <w:rsid w:val="00EE1570"/>
    <w:rsid w:val="00F11085"/>
    <w:rsid w:val="00F21887"/>
    <w:rsid w:val="00F24CDE"/>
    <w:rsid w:val="00F543FA"/>
    <w:rsid w:val="00F560F5"/>
    <w:rsid w:val="00F70E03"/>
    <w:rsid w:val="00F7108F"/>
    <w:rsid w:val="00F73149"/>
    <w:rsid w:val="00F75151"/>
    <w:rsid w:val="00F7753D"/>
    <w:rsid w:val="00FA3EEB"/>
    <w:rsid w:val="00FC4380"/>
    <w:rsid w:val="00FC52D8"/>
    <w:rsid w:val="00FD5A26"/>
    <w:rsid w:val="00FE36B7"/>
    <w:rsid w:val="00FE673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815271"/>
  <w15:chartTrackingRefBased/>
  <w15:docId w15:val="{0522491D-83DF-403A-8D4B-ED7C7321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B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7B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57B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7B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B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B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B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B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B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B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7B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7B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7B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B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B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B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B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B7F"/>
    <w:rPr>
      <w:rFonts w:eastAsiaTheme="majorEastAsia" w:cstheme="majorBidi"/>
      <w:color w:val="272727" w:themeColor="text1" w:themeTint="D8"/>
    </w:rPr>
  </w:style>
  <w:style w:type="paragraph" w:styleId="Title">
    <w:name w:val="Title"/>
    <w:basedOn w:val="Normal"/>
    <w:next w:val="Normal"/>
    <w:link w:val="TitleChar"/>
    <w:uiPriority w:val="10"/>
    <w:qFormat/>
    <w:rsid w:val="00557B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B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B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B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B7F"/>
    <w:pPr>
      <w:spacing w:before="160"/>
      <w:jc w:val="center"/>
    </w:pPr>
    <w:rPr>
      <w:i/>
      <w:iCs/>
      <w:color w:val="404040" w:themeColor="text1" w:themeTint="BF"/>
    </w:rPr>
  </w:style>
  <w:style w:type="character" w:customStyle="1" w:styleId="QuoteChar">
    <w:name w:val="Quote Char"/>
    <w:basedOn w:val="DefaultParagraphFont"/>
    <w:link w:val="Quote"/>
    <w:uiPriority w:val="29"/>
    <w:rsid w:val="00557B7F"/>
    <w:rPr>
      <w:i/>
      <w:iCs/>
      <w:color w:val="404040" w:themeColor="text1" w:themeTint="BF"/>
    </w:rPr>
  </w:style>
  <w:style w:type="paragraph" w:styleId="ListParagraph">
    <w:name w:val="List Paragraph"/>
    <w:basedOn w:val="Normal"/>
    <w:uiPriority w:val="34"/>
    <w:qFormat/>
    <w:rsid w:val="00557B7F"/>
    <w:pPr>
      <w:ind w:left="720"/>
      <w:contextualSpacing/>
    </w:pPr>
  </w:style>
  <w:style w:type="character" w:styleId="IntenseEmphasis">
    <w:name w:val="Intense Emphasis"/>
    <w:basedOn w:val="DefaultParagraphFont"/>
    <w:uiPriority w:val="21"/>
    <w:qFormat/>
    <w:rsid w:val="00557B7F"/>
    <w:rPr>
      <w:i/>
      <w:iCs/>
      <w:color w:val="0F4761" w:themeColor="accent1" w:themeShade="BF"/>
    </w:rPr>
  </w:style>
  <w:style w:type="paragraph" w:styleId="IntenseQuote">
    <w:name w:val="Intense Quote"/>
    <w:basedOn w:val="Normal"/>
    <w:next w:val="Normal"/>
    <w:link w:val="IntenseQuoteChar"/>
    <w:uiPriority w:val="30"/>
    <w:qFormat/>
    <w:rsid w:val="00557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B7F"/>
    <w:rPr>
      <w:i/>
      <w:iCs/>
      <w:color w:val="0F4761" w:themeColor="accent1" w:themeShade="BF"/>
    </w:rPr>
  </w:style>
  <w:style w:type="character" w:styleId="IntenseReference">
    <w:name w:val="Intense Reference"/>
    <w:basedOn w:val="DefaultParagraphFont"/>
    <w:uiPriority w:val="32"/>
    <w:qFormat/>
    <w:rsid w:val="00557B7F"/>
    <w:rPr>
      <w:b/>
      <w:bCs/>
      <w:smallCaps/>
      <w:color w:val="0F4761" w:themeColor="accent1" w:themeShade="BF"/>
      <w:spacing w:val="5"/>
    </w:rPr>
  </w:style>
  <w:style w:type="paragraph" w:styleId="FootnoteText">
    <w:name w:val="footnote text"/>
    <w:basedOn w:val="Normal"/>
    <w:link w:val="FootnoteTextChar"/>
    <w:uiPriority w:val="99"/>
    <w:unhideWhenUsed/>
    <w:rsid w:val="00D83FE2"/>
    <w:pPr>
      <w:spacing w:after="0" w:line="240" w:lineRule="auto"/>
    </w:pPr>
    <w:rPr>
      <w:sz w:val="20"/>
      <w:szCs w:val="20"/>
    </w:rPr>
  </w:style>
  <w:style w:type="character" w:customStyle="1" w:styleId="FootnoteTextChar">
    <w:name w:val="Footnote Text Char"/>
    <w:basedOn w:val="DefaultParagraphFont"/>
    <w:link w:val="FootnoteText"/>
    <w:uiPriority w:val="99"/>
    <w:rsid w:val="00D83FE2"/>
    <w:rPr>
      <w:sz w:val="20"/>
      <w:szCs w:val="20"/>
    </w:rPr>
  </w:style>
  <w:style w:type="character" w:styleId="FootnoteReference">
    <w:name w:val="footnote reference"/>
    <w:basedOn w:val="DefaultParagraphFont"/>
    <w:uiPriority w:val="99"/>
    <w:semiHidden/>
    <w:unhideWhenUsed/>
    <w:rsid w:val="00D83FE2"/>
    <w:rPr>
      <w:vertAlign w:val="superscript"/>
    </w:rPr>
  </w:style>
  <w:style w:type="character" w:styleId="Hyperlink">
    <w:name w:val="Hyperlink"/>
    <w:basedOn w:val="DefaultParagraphFont"/>
    <w:uiPriority w:val="99"/>
    <w:unhideWhenUsed/>
    <w:rsid w:val="00D83FE2"/>
    <w:rPr>
      <w:color w:val="0000FF"/>
      <w:u w:val="single"/>
    </w:rPr>
  </w:style>
  <w:style w:type="character" w:customStyle="1" w:styleId="sc">
    <w:name w:val="sc"/>
    <w:basedOn w:val="DefaultParagraphFont"/>
    <w:rsid w:val="00D83FE2"/>
  </w:style>
  <w:style w:type="character" w:customStyle="1" w:styleId="media-delimiter">
    <w:name w:val="media-delimiter"/>
    <w:basedOn w:val="DefaultParagraphFont"/>
    <w:rsid w:val="000A4021"/>
  </w:style>
  <w:style w:type="paragraph" w:styleId="NormalWeb">
    <w:name w:val="Normal (Web)"/>
    <w:basedOn w:val="Normal"/>
    <w:rsid w:val="00CA0BC0"/>
    <w:pPr>
      <w:spacing w:before="100" w:beforeAutospacing="1" w:after="100" w:afterAutospacing="1" w:line="240" w:lineRule="auto"/>
    </w:pPr>
    <w:rPr>
      <w:rFonts w:ascii="Georgia" w:eastAsia="SimSun" w:hAnsi="Georgia" w:cs="Times New Roman"/>
      <w:color w:val="000000"/>
      <w:kern w:val="0"/>
      <w:sz w:val="21"/>
      <w:szCs w:val="21"/>
      <w:lang w:eastAsia="zh-CN"/>
      <w14:ligatures w14:val="none"/>
    </w:rPr>
  </w:style>
  <w:style w:type="paragraph" w:styleId="Header">
    <w:name w:val="header"/>
    <w:basedOn w:val="Normal"/>
    <w:link w:val="HeaderChar"/>
    <w:uiPriority w:val="99"/>
    <w:unhideWhenUsed/>
    <w:rsid w:val="00775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313"/>
  </w:style>
  <w:style w:type="paragraph" w:styleId="Footer">
    <w:name w:val="footer"/>
    <w:basedOn w:val="Normal"/>
    <w:link w:val="FooterChar"/>
    <w:uiPriority w:val="99"/>
    <w:unhideWhenUsed/>
    <w:rsid w:val="00775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197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tishmuseum.org/collection/object/G_1907-0717-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loebclassics-com.ezproxy.uwtsd.ac.uk/view/hippocrates_cos-aphorisms/1931/pb_LCL150.99.xml?rskey=7CFg6K&amp;result=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2FDA1-A1CE-4837-8D80-E31CBB86B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5079</Words>
  <Characters>28952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Nixon</dc:creator>
  <cp:keywords/>
  <dc:description/>
  <cp:lastModifiedBy>Emily</cp:lastModifiedBy>
  <cp:revision>2</cp:revision>
  <dcterms:created xsi:type="dcterms:W3CDTF">2024-05-13T18:27:00Z</dcterms:created>
  <dcterms:modified xsi:type="dcterms:W3CDTF">2024-05-13T18:27:00Z</dcterms:modified>
</cp:coreProperties>
</file>