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A1C463" w14:textId="77777777" w:rsidR="00C558B0" w:rsidRDefault="00C558B0" w:rsidP="00C558B0">
      <w:pPr>
        <w:spacing w:line="360" w:lineRule="auto"/>
        <w:rPr>
          <w:rFonts w:ascii="Arial" w:hAnsi="Arial" w:cs="Arial"/>
          <w:szCs w:val="24"/>
        </w:rPr>
      </w:pPr>
      <w:r>
        <w:rPr>
          <w:noProof/>
        </w:rPr>
        <w:drawing>
          <wp:anchor distT="0" distB="0" distL="114300" distR="114300" simplePos="0" relativeHeight="251659264" behindDoc="0" locked="0" layoutInCell="1" allowOverlap="1" wp14:anchorId="4DB84120" wp14:editId="30A74FCD">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3AF7F3B0" w14:textId="77777777" w:rsidR="00C558B0" w:rsidRDefault="00C558B0" w:rsidP="00C558B0">
      <w:pPr>
        <w:spacing w:line="360" w:lineRule="auto"/>
        <w:rPr>
          <w:rFonts w:ascii="Arial" w:hAnsi="Arial" w:cs="Arial"/>
          <w:szCs w:val="24"/>
        </w:rPr>
      </w:pPr>
    </w:p>
    <w:p w14:paraId="554C8C17" w14:textId="77777777" w:rsidR="00C558B0" w:rsidRDefault="00C558B0" w:rsidP="00C558B0">
      <w:pPr>
        <w:spacing w:line="360" w:lineRule="auto"/>
        <w:rPr>
          <w:rFonts w:ascii="Arial" w:hAnsi="Arial" w:cs="Arial"/>
          <w:szCs w:val="24"/>
        </w:rPr>
      </w:pPr>
    </w:p>
    <w:p w14:paraId="74A7306F" w14:textId="77777777" w:rsidR="00C558B0" w:rsidRDefault="00C558B0" w:rsidP="00C558B0">
      <w:pPr>
        <w:spacing w:line="360" w:lineRule="auto"/>
        <w:rPr>
          <w:rFonts w:ascii="Arial" w:hAnsi="Arial" w:cs="Arial"/>
          <w:szCs w:val="24"/>
        </w:rPr>
      </w:pPr>
    </w:p>
    <w:p w14:paraId="4CFA099C" w14:textId="77777777" w:rsidR="00C558B0" w:rsidRDefault="00C558B0" w:rsidP="00C558B0">
      <w:pPr>
        <w:tabs>
          <w:tab w:val="left" w:pos="6540"/>
        </w:tabs>
        <w:spacing w:line="360" w:lineRule="auto"/>
        <w:rPr>
          <w:rFonts w:ascii="Arial" w:hAnsi="Arial" w:cs="Arial"/>
          <w:sz w:val="28"/>
          <w:szCs w:val="28"/>
        </w:rPr>
      </w:pPr>
    </w:p>
    <w:p w14:paraId="2F4F861B" w14:textId="42600FD7" w:rsidR="00C558B0" w:rsidRPr="006524ED" w:rsidRDefault="00C558B0" w:rsidP="00C558B0">
      <w:pPr>
        <w:tabs>
          <w:tab w:val="left" w:pos="6540"/>
        </w:tabs>
        <w:spacing w:line="360" w:lineRule="auto"/>
        <w:rPr>
          <w:rFonts w:ascii="Arial" w:hAnsi="Arial" w:cs="Arial"/>
          <w:sz w:val="28"/>
          <w:szCs w:val="28"/>
          <w:lang w:val="nl-NL"/>
        </w:rPr>
      </w:pPr>
      <w:r w:rsidRPr="006524ED">
        <w:rPr>
          <w:rFonts w:ascii="Arial" w:hAnsi="Arial" w:cs="Arial"/>
          <w:b/>
          <w:bCs/>
          <w:sz w:val="28"/>
          <w:szCs w:val="28"/>
          <w:lang w:val="nl-NL"/>
        </w:rPr>
        <w:t>Student name</w:t>
      </w:r>
      <w:r w:rsidRPr="006524ED">
        <w:rPr>
          <w:rFonts w:ascii="Arial" w:hAnsi="Arial" w:cs="Arial"/>
          <w:sz w:val="28"/>
          <w:szCs w:val="28"/>
          <w:lang w:val="nl-NL"/>
        </w:rPr>
        <w:t>:</w:t>
      </w:r>
      <w:r w:rsidR="00796A78">
        <w:rPr>
          <w:rFonts w:ascii="Arial" w:hAnsi="Arial" w:cs="Arial"/>
          <w:sz w:val="28"/>
          <w:szCs w:val="28"/>
          <w:lang w:val="nl-NL"/>
        </w:rPr>
        <w:t xml:space="preserve"> Ewemade Sylvia Enabulele</w:t>
      </w:r>
    </w:p>
    <w:p w14:paraId="18D88AE2" w14:textId="6CEEE47B" w:rsidR="00C558B0" w:rsidRPr="006524ED" w:rsidRDefault="00C558B0" w:rsidP="00C558B0">
      <w:pPr>
        <w:tabs>
          <w:tab w:val="left" w:pos="6540"/>
        </w:tabs>
        <w:spacing w:line="360" w:lineRule="auto"/>
        <w:rPr>
          <w:rFonts w:ascii="Arial" w:hAnsi="Arial" w:cs="Arial"/>
          <w:sz w:val="28"/>
          <w:szCs w:val="28"/>
          <w:lang w:val="nl-NL"/>
        </w:rPr>
      </w:pPr>
      <w:r w:rsidRPr="006524ED">
        <w:rPr>
          <w:rFonts w:ascii="Arial" w:hAnsi="Arial" w:cs="Arial"/>
          <w:b/>
          <w:bCs/>
          <w:sz w:val="28"/>
          <w:szCs w:val="28"/>
          <w:lang w:val="nl-NL"/>
        </w:rPr>
        <w:t>Student ID</w:t>
      </w:r>
      <w:r w:rsidRPr="006524ED">
        <w:rPr>
          <w:rFonts w:ascii="Arial" w:hAnsi="Arial" w:cs="Arial"/>
          <w:sz w:val="28"/>
          <w:szCs w:val="28"/>
          <w:lang w:val="nl-NL"/>
        </w:rPr>
        <w:t>:</w:t>
      </w:r>
      <w:r w:rsidR="00796A78">
        <w:rPr>
          <w:rFonts w:ascii="Arial" w:hAnsi="Arial" w:cs="Arial"/>
          <w:sz w:val="28"/>
          <w:szCs w:val="28"/>
          <w:lang w:val="nl-NL"/>
        </w:rPr>
        <w:t xml:space="preserve"> 2437216</w:t>
      </w:r>
    </w:p>
    <w:p w14:paraId="3D8DA301" w14:textId="6591C191" w:rsidR="00C558B0" w:rsidRPr="006524ED" w:rsidRDefault="00C558B0" w:rsidP="00C558B0">
      <w:pPr>
        <w:tabs>
          <w:tab w:val="left" w:pos="6540"/>
        </w:tabs>
        <w:spacing w:line="360" w:lineRule="auto"/>
        <w:rPr>
          <w:rFonts w:ascii="Arial" w:hAnsi="Arial" w:cs="Arial"/>
          <w:sz w:val="28"/>
          <w:szCs w:val="28"/>
          <w:lang w:val="nl-NL"/>
        </w:rPr>
      </w:pPr>
      <w:r w:rsidRPr="006524ED">
        <w:rPr>
          <w:rFonts w:ascii="Arial" w:hAnsi="Arial" w:cs="Arial"/>
          <w:b/>
          <w:bCs/>
          <w:sz w:val="28"/>
          <w:szCs w:val="28"/>
          <w:lang w:val="nl-NL"/>
        </w:rPr>
        <w:t>Module name</w:t>
      </w:r>
      <w:r w:rsidRPr="006524ED">
        <w:rPr>
          <w:rFonts w:ascii="Arial" w:hAnsi="Arial" w:cs="Arial"/>
          <w:sz w:val="28"/>
          <w:szCs w:val="28"/>
          <w:lang w:val="nl-NL"/>
        </w:rPr>
        <w:t xml:space="preserve">: </w:t>
      </w:r>
      <w:r w:rsidR="00796A78">
        <w:rPr>
          <w:rFonts w:ascii="Arial" w:hAnsi="Arial" w:cs="Arial"/>
          <w:sz w:val="28"/>
          <w:szCs w:val="28"/>
          <w:lang w:val="nl-NL"/>
        </w:rPr>
        <w:t xml:space="preserve">Principles of Health and Social Care </w:t>
      </w:r>
      <w:proofErr w:type="spellStart"/>
      <w:r w:rsidR="00796A78">
        <w:rPr>
          <w:rFonts w:ascii="Arial" w:hAnsi="Arial" w:cs="Arial"/>
          <w:sz w:val="28"/>
          <w:szCs w:val="28"/>
          <w:lang w:val="nl-NL"/>
        </w:rPr>
        <w:t>Practice</w:t>
      </w:r>
      <w:proofErr w:type="spellEnd"/>
    </w:p>
    <w:p w14:paraId="7DB3261D" w14:textId="757DE713" w:rsidR="00C558B0" w:rsidRDefault="00C558B0" w:rsidP="00C558B0">
      <w:pPr>
        <w:tabs>
          <w:tab w:val="left" w:pos="6540"/>
        </w:tabs>
        <w:spacing w:line="360" w:lineRule="auto"/>
        <w:rPr>
          <w:rFonts w:ascii="Arial" w:hAnsi="Arial" w:cs="Arial"/>
          <w:sz w:val="28"/>
          <w:szCs w:val="28"/>
        </w:rPr>
      </w:pPr>
      <w:r>
        <w:rPr>
          <w:rFonts w:ascii="Arial" w:hAnsi="Arial" w:cs="Arial"/>
          <w:b/>
          <w:bCs/>
          <w:sz w:val="28"/>
          <w:szCs w:val="28"/>
        </w:rPr>
        <w:t>Module code</w:t>
      </w:r>
      <w:r>
        <w:rPr>
          <w:rFonts w:ascii="Arial" w:hAnsi="Arial" w:cs="Arial"/>
          <w:sz w:val="28"/>
          <w:szCs w:val="28"/>
        </w:rPr>
        <w:t>:</w:t>
      </w:r>
      <w:r w:rsidR="00796A78">
        <w:rPr>
          <w:rFonts w:ascii="Arial" w:hAnsi="Arial" w:cs="Arial"/>
          <w:sz w:val="28"/>
          <w:szCs w:val="28"/>
        </w:rPr>
        <w:t xml:space="preserve"> BMHP5016</w:t>
      </w:r>
    </w:p>
    <w:p w14:paraId="5CCA350C" w14:textId="1221BE63" w:rsidR="00C558B0" w:rsidRDefault="00C558B0" w:rsidP="00C558B0">
      <w:pPr>
        <w:tabs>
          <w:tab w:val="left" w:pos="6540"/>
        </w:tabs>
        <w:spacing w:line="360" w:lineRule="auto"/>
        <w:rPr>
          <w:rFonts w:ascii="Arial" w:hAnsi="Arial" w:cs="Arial"/>
          <w:sz w:val="28"/>
          <w:szCs w:val="28"/>
        </w:rPr>
      </w:pPr>
      <w:r>
        <w:rPr>
          <w:rFonts w:ascii="Arial" w:hAnsi="Arial" w:cs="Arial"/>
          <w:b/>
          <w:bCs/>
          <w:sz w:val="28"/>
          <w:szCs w:val="28"/>
        </w:rPr>
        <w:t>Lecturer name</w:t>
      </w:r>
      <w:r>
        <w:rPr>
          <w:rFonts w:ascii="Arial" w:hAnsi="Arial" w:cs="Arial"/>
          <w:sz w:val="28"/>
          <w:szCs w:val="28"/>
        </w:rPr>
        <w:t>:</w:t>
      </w:r>
      <w:r w:rsidR="00796A78">
        <w:rPr>
          <w:rFonts w:ascii="Arial" w:hAnsi="Arial" w:cs="Arial"/>
          <w:sz w:val="28"/>
          <w:szCs w:val="28"/>
        </w:rPr>
        <w:t xml:space="preserve"> Lou Wells</w:t>
      </w:r>
    </w:p>
    <w:p w14:paraId="5461F9C8" w14:textId="77777777" w:rsidR="00C558B0" w:rsidRDefault="00C558B0" w:rsidP="00C558B0">
      <w:pPr>
        <w:tabs>
          <w:tab w:val="left" w:pos="6540"/>
        </w:tabs>
        <w:spacing w:line="360" w:lineRule="auto"/>
        <w:rPr>
          <w:rFonts w:ascii="Arial" w:hAnsi="Arial" w:cs="Arial"/>
          <w:sz w:val="28"/>
          <w:szCs w:val="28"/>
        </w:rPr>
      </w:pPr>
    </w:p>
    <w:p w14:paraId="79C715ED" w14:textId="16914D07" w:rsidR="006D2F2D" w:rsidRPr="004A5A64" w:rsidRDefault="006D2F2D" w:rsidP="004A5A64">
      <w:pPr>
        <w:spacing w:line="360" w:lineRule="auto"/>
        <w:rPr>
          <w:sz w:val="23"/>
          <w:szCs w:val="23"/>
        </w:rPr>
      </w:pPr>
      <w:r w:rsidRPr="004A5A64">
        <w:rPr>
          <w:sz w:val="23"/>
          <w:szCs w:val="23"/>
        </w:rPr>
        <w:br w:type="page"/>
      </w:r>
    </w:p>
    <w:p w14:paraId="5F44B964" w14:textId="5E455BDD" w:rsidR="00317E3D" w:rsidRPr="00C6554F" w:rsidRDefault="006D2F2D" w:rsidP="00C6554F">
      <w:pPr>
        <w:spacing w:before="240" w:line="360" w:lineRule="auto"/>
        <w:jc w:val="both"/>
        <w:rPr>
          <w:rFonts w:ascii="Arial" w:hAnsi="Arial" w:cs="Arial"/>
          <w:b/>
          <w:bCs/>
          <w:sz w:val="22"/>
        </w:rPr>
      </w:pPr>
      <w:r w:rsidRPr="00C6554F">
        <w:rPr>
          <w:rFonts w:ascii="Arial" w:hAnsi="Arial" w:cs="Arial"/>
          <w:b/>
          <w:bCs/>
          <w:sz w:val="22"/>
        </w:rPr>
        <w:lastRenderedPageBreak/>
        <w:t>Introduction</w:t>
      </w:r>
    </w:p>
    <w:p w14:paraId="0EB7DF64" w14:textId="0B58CBDE" w:rsidR="00C6554F" w:rsidRPr="00C6554F" w:rsidRDefault="00C6554F" w:rsidP="00C6554F">
      <w:pPr>
        <w:spacing w:before="240" w:after="0" w:line="360" w:lineRule="auto"/>
        <w:jc w:val="both"/>
        <w:rPr>
          <w:rFonts w:ascii="Arial" w:eastAsia="Times New Roman" w:hAnsi="Arial" w:cs="Arial"/>
          <w:sz w:val="22"/>
        </w:rPr>
      </w:pPr>
      <w:r w:rsidRPr="00C6554F">
        <w:rPr>
          <w:rFonts w:ascii="Arial" w:eastAsia="Times New Roman" w:hAnsi="Arial" w:cs="Arial"/>
          <w:color w:val="000000"/>
          <w:sz w:val="22"/>
        </w:rPr>
        <w:t xml:space="preserve">Often described as a core concept in modern health and social care policy and practice, person-centred care focuses on the needs, wishes and dignity of each person over the convenience and uniformity of an institution and routine (Nursing and Midwifery Council, 2018). This paradigm shift is supported by several theories which attempt to describe the nature, meaning and provision of care. This </w:t>
      </w:r>
      <w:r w:rsidR="001631A8">
        <w:rPr>
          <w:rFonts w:ascii="Arial" w:eastAsia="Times New Roman" w:hAnsi="Arial" w:cs="Arial"/>
          <w:color w:val="000000"/>
          <w:sz w:val="22"/>
        </w:rPr>
        <w:t>essay</w:t>
      </w:r>
      <w:r w:rsidRPr="00C6554F">
        <w:rPr>
          <w:rFonts w:ascii="Arial" w:eastAsia="Times New Roman" w:hAnsi="Arial" w:cs="Arial"/>
          <w:color w:val="000000"/>
          <w:sz w:val="22"/>
        </w:rPr>
        <w:t xml:space="preserve"> is a critical examination that explores the development of the ethics of care as a moral and political theory, from feminist psychology to political philosophy, then explores the main critiques of ethics of care and the responses that emerged. It then examines the theory's relevance to health and social care policy and practice and challenges that have been faced in implementing the theory, and then gives recommendations for its continued relevance.  </w:t>
      </w:r>
    </w:p>
    <w:p w14:paraId="2AB98BE7" w14:textId="4FFD6D2C" w:rsidR="006D2F2D" w:rsidRPr="00C6554F" w:rsidRDefault="003E4ED4" w:rsidP="00C6554F">
      <w:pPr>
        <w:spacing w:before="240" w:line="360" w:lineRule="auto"/>
        <w:jc w:val="both"/>
        <w:rPr>
          <w:rFonts w:ascii="Arial" w:hAnsi="Arial" w:cs="Arial"/>
          <w:b/>
          <w:bCs/>
          <w:color w:val="0070C0"/>
          <w:sz w:val="22"/>
        </w:rPr>
      </w:pPr>
      <w:r w:rsidRPr="00C6554F">
        <w:rPr>
          <w:rFonts w:ascii="Arial" w:hAnsi="Arial" w:cs="Arial"/>
          <w:b/>
          <w:bCs/>
          <w:sz w:val="22"/>
        </w:rPr>
        <w:t>T</w:t>
      </w:r>
      <w:r w:rsidR="006D2F2D" w:rsidRPr="00C6554F">
        <w:rPr>
          <w:rFonts w:ascii="Arial" w:hAnsi="Arial" w:cs="Arial"/>
          <w:b/>
          <w:bCs/>
          <w:sz w:val="22"/>
        </w:rPr>
        <w:t xml:space="preserve">he </w:t>
      </w:r>
      <w:r w:rsidRPr="00C6554F">
        <w:rPr>
          <w:rFonts w:ascii="Arial" w:hAnsi="Arial" w:cs="Arial"/>
          <w:b/>
          <w:bCs/>
          <w:sz w:val="22"/>
        </w:rPr>
        <w:t xml:space="preserve">development of the </w:t>
      </w:r>
      <w:r w:rsidR="006D2F2D" w:rsidRPr="00C6554F">
        <w:rPr>
          <w:rFonts w:ascii="Arial" w:hAnsi="Arial" w:cs="Arial"/>
          <w:b/>
          <w:bCs/>
          <w:sz w:val="22"/>
        </w:rPr>
        <w:t xml:space="preserve">chosen </w:t>
      </w:r>
      <w:r w:rsidR="00A14675" w:rsidRPr="00C6554F">
        <w:rPr>
          <w:rFonts w:ascii="Arial" w:hAnsi="Arial" w:cs="Arial"/>
          <w:b/>
          <w:bCs/>
          <w:sz w:val="22"/>
        </w:rPr>
        <w:t xml:space="preserve">concept </w:t>
      </w:r>
      <w:r w:rsidR="006D2F2D" w:rsidRPr="00C6554F">
        <w:rPr>
          <w:rFonts w:ascii="Arial" w:hAnsi="Arial" w:cs="Arial"/>
          <w:b/>
          <w:bCs/>
          <w:color w:val="0070C0"/>
          <w:sz w:val="22"/>
        </w:rPr>
        <w:t xml:space="preserve"> </w:t>
      </w:r>
    </w:p>
    <w:p w14:paraId="341B1770" w14:textId="77777777" w:rsidR="001631A8" w:rsidRPr="00CE5628" w:rsidRDefault="001631A8" w:rsidP="001631A8">
      <w:pPr>
        <w:spacing w:before="240" w:line="360" w:lineRule="auto"/>
        <w:jc w:val="both"/>
        <w:rPr>
          <w:rFonts w:ascii="Arial" w:hAnsi="Arial" w:cs="Arial"/>
          <w:sz w:val="22"/>
        </w:rPr>
      </w:pPr>
      <w:r w:rsidRPr="00CE5628">
        <w:rPr>
          <w:rFonts w:ascii="Arial" w:hAnsi="Arial" w:cs="Arial"/>
          <w:sz w:val="22"/>
        </w:rPr>
        <w:t xml:space="preserve">Ethics of care arose as a new moral field in </w:t>
      </w:r>
      <w:r>
        <w:rPr>
          <w:rFonts w:ascii="Arial" w:hAnsi="Arial" w:cs="Arial"/>
          <w:sz w:val="22"/>
        </w:rPr>
        <w:t xml:space="preserve">the </w:t>
      </w:r>
      <w:r w:rsidRPr="00CE5628">
        <w:rPr>
          <w:rFonts w:ascii="Arial" w:hAnsi="Arial" w:cs="Arial"/>
          <w:sz w:val="22"/>
        </w:rPr>
        <w:t xml:space="preserve">early 1980s as a result of empirical examination of the stage theory of moral development by Lawrence Kohlberg (1982) and Carol Gilligan (1982). The model developed by Kohlberg, based on research with males, used abstract, rule-based thinking about justice and rights as the indicators of moral maturity. Gilligan's perspective questioned this other moral perspective, one that </w:t>
      </w:r>
      <w:r>
        <w:rPr>
          <w:rFonts w:ascii="Arial" w:hAnsi="Arial" w:cs="Arial"/>
          <w:sz w:val="22"/>
        </w:rPr>
        <w:t>Gilligan (1982)</w:t>
      </w:r>
      <w:r w:rsidRPr="00CE5628">
        <w:rPr>
          <w:rFonts w:ascii="Arial" w:hAnsi="Arial" w:cs="Arial"/>
          <w:sz w:val="22"/>
        </w:rPr>
        <w:t xml:space="preserve"> connected with the moral experience of women: one of connection, empathy and responsiveness to relational obligation. This notion was expanded by </w:t>
      </w:r>
      <w:proofErr w:type="spellStart"/>
      <w:r w:rsidRPr="00CE5628">
        <w:rPr>
          <w:rFonts w:ascii="Arial" w:hAnsi="Arial" w:cs="Arial"/>
          <w:sz w:val="22"/>
        </w:rPr>
        <w:t>Noddings</w:t>
      </w:r>
      <w:proofErr w:type="spellEnd"/>
      <w:r w:rsidRPr="00CE5628">
        <w:rPr>
          <w:rFonts w:ascii="Arial" w:hAnsi="Arial" w:cs="Arial"/>
          <w:sz w:val="22"/>
        </w:rPr>
        <w:t xml:space="preserve"> (1984) to form a complete moral theory in which the relation between carer and cared-for is a model of moral living, not a moral rule.</w:t>
      </w:r>
    </w:p>
    <w:p w14:paraId="0E5EE960" w14:textId="77777777" w:rsidR="001631A8" w:rsidRPr="00CE5628" w:rsidRDefault="001631A8" w:rsidP="001631A8">
      <w:pPr>
        <w:spacing w:before="240" w:line="360" w:lineRule="auto"/>
        <w:jc w:val="both"/>
        <w:rPr>
          <w:rFonts w:ascii="Arial" w:hAnsi="Arial" w:cs="Arial"/>
          <w:sz w:val="22"/>
        </w:rPr>
      </w:pPr>
      <w:r w:rsidRPr="00CE5628">
        <w:rPr>
          <w:rFonts w:ascii="Arial" w:hAnsi="Arial" w:cs="Arial"/>
          <w:sz w:val="22"/>
        </w:rPr>
        <w:t>From this psychological base</w:t>
      </w:r>
      <w:r>
        <w:rPr>
          <w:rFonts w:ascii="Arial" w:hAnsi="Arial" w:cs="Arial"/>
          <w:sz w:val="22"/>
        </w:rPr>
        <w:t>,</w:t>
      </w:r>
      <w:r w:rsidRPr="00CE5628">
        <w:rPr>
          <w:rFonts w:ascii="Arial" w:hAnsi="Arial" w:cs="Arial"/>
          <w:sz w:val="22"/>
        </w:rPr>
        <w:t xml:space="preserve"> the theory evolved to political philosophy. Joan Tronto broadened the concept of care from the private, feminine realm to a sociopolitical issue, describing it as a species activity that is vital to the survival and flourishing of human beings, and that includes all that is required to keep and repair the world</w:t>
      </w:r>
      <w:r>
        <w:rPr>
          <w:rFonts w:ascii="Arial" w:hAnsi="Arial" w:cs="Arial"/>
          <w:sz w:val="22"/>
        </w:rPr>
        <w:t xml:space="preserve"> (</w:t>
      </w:r>
      <w:proofErr w:type="spellStart"/>
      <w:r>
        <w:rPr>
          <w:rFonts w:ascii="Arial" w:hAnsi="Arial" w:cs="Arial"/>
          <w:sz w:val="22"/>
        </w:rPr>
        <w:t>Tronto</w:t>
      </w:r>
      <w:proofErr w:type="spellEnd"/>
      <w:r>
        <w:rPr>
          <w:rFonts w:ascii="Arial" w:hAnsi="Arial" w:cs="Arial"/>
          <w:sz w:val="22"/>
        </w:rPr>
        <w:t xml:space="preserve">, 1993; </w:t>
      </w:r>
      <w:proofErr w:type="spellStart"/>
      <w:r>
        <w:rPr>
          <w:rFonts w:ascii="Arial" w:hAnsi="Arial" w:cs="Arial"/>
          <w:sz w:val="22"/>
        </w:rPr>
        <w:t>Tronto</w:t>
      </w:r>
      <w:proofErr w:type="spellEnd"/>
      <w:r>
        <w:rPr>
          <w:rFonts w:ascii="Arial" w:hAnsi="Arial" w:cs="Arial"/>
          <w:sz w:val="22"/>
        </w:rPr>
        <w:t>, 2013)</w:t>
      </w:r>
      <w:r w:rsidRPr="00CE5628">
        <w:rPr>
          <w:rFonts w:ascii="Arial" w:hAnsi="Arial" w:cs="Arial"/>
          <w:sz w:val="22"/>
        </w:rPr>
        <w:t xml:space="preserve">. </w:t>
      </w:r>
      <w:proofErr w:type="spellStart"/>
      <w:r>
        <w:rPr>
          <w:rFonts w:ascii="Arial" w:hAnsi="Arial" w:cs="Arial"/>
          <w:sz w:val="22"/>
        </w:rPr>
        <w:t>Tronto</w:t>
      </w:r>
      <w:proofErr w:type="spellEnd"/>
      <w:r w:rsidRPr="00CE5628">
        <w:rPr>
          <w:rFonts w:ascii="Arial" w:hAnsi="Arial" w:cs="Arial"/>
          <w:sz w:val="22"/>
        </w:rPr>
        <w:t xml:space="preserve"> pinpointed a series of stages in the caring process</w:t>
      </w:r>
      <w:r>
        <w:rPr>
          <w:rFonts w:ascii="Arial" w:hAnsi="Arial" w:cs="Arial"/>
          <w:sz w:val="22"/>
        </w:rPr>
        <w:t>:</w:t>
      </w:r>
      <w:r w:rsidRPr="00CE5628">
        <w:rPr>
          <w:rFonts w:ascii="Arial" w:hAnsi="Arial" w:cs="Arial"/>
          <w:sz w:val="22"/>
        </w:rPr>
        <w:t xml:space="preserve"> caring about, caring for, care-giving and care-receiving, to which she subsequently added caring with, to indicate solidarity (</w:t>
      </w:r>
      <w:proofErr w:type="spellStart"/>
      <w:r w:rsidRPr="00CE5628">
        <w:rPr>
          <w:rFonts w:ascii="Arial" w:hAnsi="Arial" w:cs="Arial"/>
          <w:sz w:val="22"/>
        </w:rPr>
        <w:t>Tronto</w:t>
      </w:r>
      <w:proofErr w:type="spellEnd"/>
      <w:r w:rsidRPr="00CE5628">
        <w:rPr>
          <w:rFonts w:ascii="Arial" w:hAnsi="Arial" w:cs="Arial"/>
          <w:sz w:val="22"/>
        </w:rPr>
        <w:t xml:space="preserve">, 1993; 2013). Building on this, Held (2006) suggested care ethics could be used to respond to global and political issues rather than interpersonal issues, and Kittay (1999), having raised a child with significant disability, challenged the idea of equality itself and spoke of dependency work, that is the labour of caring for great needs. </w:t>
      </w:r>
      <w:proofErr w:type="spellStart"/>
      <w:r w:rsidRPr="00CE5628">
        <w:rPr>
          <w:rFonts w:ascii="Arial" w:hAnsi="Arial" w:cs="Arial"/>
          <w:sz w:val="22"/>
        </w:rPr>
        <w:t>Sevenhuijsen</w:t>
      </w:r>
      <w:proofErr w:type="spellEnd"/>
      <w:r w:rsidRPr="00CE5628">
        <w:rPr>
          <w:rFonts w:ascii="Arial" w:hAnsi="Arial" w:cs="Arial"/>
          <w:sz w:val="22"/>
        </w:rPr>
        <w:t xml:space="preserve"> (1998) introduced care ethics into political debates, and connected it to citizenship and the Welfare State.</w:t>
      </w:r>
    </w:p>
    <w:p w14:paraId="6A2BB880" w14:textId="77777777" w:rsidR="001631A8" w:rsidRPr="00CE5628" w:rsidRDefault="001631A8" w:rsidP="001631A8">
      <w:pPr>
        <w:spacing w:before="240" w:line="360" w:lineRule="auto"/>
        <w:jc w:val="both"/>
        <w:rPr>
          <w:rFonts w:ascii="Arial" w:hAnsi="Arial" w:cs="Arial"/>
          <w:sz w:val="22"/>
        </w:rPr>
      </w:pPr>
      <w:r w:rsidRPr="00CE5628">
        <w:rPr>
          <w:rFonts w:ascii="Arial" w:hAnsi="Arial" w:cs="Arial"/>
          <w:sz w:val="22"/>
        </w:rPr>
        <w:t xml:space="preserve">This </w:t>
      </w:r>
      <w:r>
        <w:rPr>
          <w:rFonts w:ascii="Arial" w:hAnsi="Arial" w:cs="Arial"/>
          <w:sz w:val="22"/>
        </w:rPr>
        <w:t>development</w:t>
      </w:r>
      <w:r w:rsidRPr="00CE5628">
        <w:rPr>
          <w:rFonts w:ascii="Arial" w:hAnsi="Arial" w:cs="Arial"/>
          <w:sz w:val="22"/>
        </w:rPr>
        <w:t xml:space="preserve"> is not without opposition. The essentialism critique is that foregrounding traditionally feminine attributes like nurturance is likely to reinforce rather than challenge the </w:t>
      </w:r>
      <w:r w:rsidRPr="00CE5628">
        <w:rPr>
          <w:rFonts w:ascii="Arial" w:hAnsi="Arial" w:cs="Arial"/>
          <w:sz w:val="22"/>
        </w:rPr>
        <w:lastRenderedPageBreak/>
        <w:t>underlying process of normali</w:t>
      </w:r>
      <w:r>
        <w:rPr>
          <w:rFonts w:ascii="Arial" w:hAnsi="Arial" w:cs="Arial"/>
          <w:sz w:val="22"/>
        </w:rPr>
        <w:t>s</w:t>
      </w:r>
      <w:r w:rsidRPr="00CE5628">
        <w:rPr>
          <w:rFonts w:ascii="Arial" w:hAnsi="Arial" w:cs="Arial"/>
          <w:sz w:val="22"/>
        </w:rPr>
        <w:t xml:space="preserve">ing undervaluation of paid care work, which traditionally has been performed by women. (Bubeck, 1995). This has been pushed further by more recent scholarship which argues that even </w:t>
      </w:r>
      <w:proofErr w:type="spellStart"/>
      <w:r w:rsidRPr="00CE5628">
        <w:rPr>
          <w:rFonts w:ascii="Arial" w:hAnsi="Arial" w:cs="Arial"/>
          <w:sz w:val="22"/>
        </w:rPr>
        <w:t>Tronto's</w:t>
      </w:r>
      <w:proofErr w:type="spellEnd"/>
      <w:r w:rsidRPr="00CE5628">
        <w:rPr>
          <w:rFonts w:ascii="Arial" w:hAnsi="Arial" w:cs="Arial"/>
          <w:sz w:val="22"/>
        </w:rPr>
        <w:t xml:space="preserve"> and Held's political </w:t>
      </w:r>
      <w:proofErr w:type="spellStart"/>
      <w:r w:rsidRPr="00CE5628">
        <w:rPr>
          <w:rFonts w:ascii="Arial" w:hAnsi="Arial" w:cs="Arial"/>
          <w:sz w:val="22"/>
        </w:rPr>
        <w:t>rephrasings</w:t>
      </w:r>
      <w:proofErr w:type="spellEnd"/>
      <w:r w:rsidRPr="00CE5628">
        <w:rPr>
          <w:rFonts w:ascii="Arial" w:hAnsi="Arial" w:cs="Arial"/>
          <w:sz w:val="22"/>
        </w:rPr>
        <w:t xml:space="preserve"> of care may be loaded with Western</w:t>
      </w:r>
      <w:r>
        <w:rPr>
          <w:rFonts w:ascii="Arial" w:hAnsi="Arial" w:cs="Arial"/>
          <w:sz w:val="22"/>
        </w:rPr>
        <w:t>-</w:t>
      </w:r>
      <w:r w:rsidRPr="00CE5628">
        <w:rPr>
          <w:rFonts w:ascii="Arial" w:hAnsi="Arial" w:cs="Arial"/>
          <w:sz w:val="22"/>
        </w:rPr>
        <w:t>centric assumptions, universali</w:t>
      </w:r>
      <w:r>
        <w:rPr>
          <w:rFonts w:ascii="Arial" w:hAnsi="Arial" w:cs="Arial"/>
          <w:sz w:val="22"/>
        </w:rPr>
        <w:t>s</w:t>
      </w:r>
      <w:r w:rsidRPr="00CE5628">
        <w:rPr>
          <w:rFonts w:ascii="Arial" w:hAnsi="Arial" w:cs="Arial"/>
          <w:sz w:val="22"/>
        </w:rPr>
        <w:t>ing a form of caring that is rooted in the Global North and ignoring the fact that caring labour is raciali</w:t>
      </w:r>
      <w:r>
        <w:rPr>
          <w:rFonts w:ascii="Arial" w:hAnsi="Arial" w:cs="Arial"/>
          <w:sz w:val="22"/>
        </w:rPr>
        <w:t>s</w:t>
      </w:r>
      <w:r w:rsidRPr="00CE5628">
        <w:rPr>
          <w:rFonts w:ascii="Arial" w:hAnsi="Arial" w:cs="Arial"/>
          <w:sz w:val="22"/>
        </w:rPr>
        <w:t>ed and colonialized around the world. This is a deeper critique of the essentialis</w:t>
      </w:r>
      <w:r>
        <w:rPr>
          <w:rFonts w:ascii="Arial" w:hAnsi="Arial" w:cs="Arial"/>
          <w:sz w:val="22"/>
        </w:rPr>
        <w:t>t</w:t>
      </w:r>
      <w:r w:rsidRPr="00CE5628">
        <w:rPr>
          <w:rFonts w:ascii="Arial" w:hAnsi="Arial" w:cs="Arial"/>
          <w:sz w:val="22"/>
        </w:rPr>
        <w:t xml:space="preserve"> method than Bubeck's</w:t>
      </w:r>
      <w:r>
        <w:rPr>
          <w:rFonts w:ascii="Arial" w:hAnsi="Arial" w:cs="Arial"/>
          <w:sz w:val="22"/>
        </w:rPr>
        <w:t xml:space="preserve"> (1995)</w:t>
      </w:r>
      <w:r w:rsidRPr="00CE5628">
        <w:rPr>
          <w:rFonts w:ascii="Arial" w:hAnsi="Arial" w:cs="Arial"/>
          <w:sz w:val="22"/>
        </w:rPr>
        <w:t xml:space="preserve"> critique because it does not only raise doubt about who they think should care, but who they think cares at all.</w:t>
      </w:r>
    </w:p>
    <w:p w14:paraId="2A520248" w14:textId="77777777" w:rsidR="001631A8" w:rsidRPr="00CE5628" w:rsidRDefault="001631A8" w:rsidP="001631A8">
      <w:pPr>
        <w:spacing w:before="240" w:line="360" w:lineRule="auto"/>
        <w:jc w:val="both"/>
        <w:rPr>
          <w:rFonts w:ascii="Arial" w:hAnsi="Arial" w:cs="Arial"/>
          <w:sz w:val="22"/>
        </w:rPr>
      </w:pPr>
      <w:r w:rsidRPr="00CE5628">
        <w:rPr>
          <w:rFonts w:ascii="Arial" w:hAnsi="Arial" w:cs="Arial"/>
          <w:sz w:val="22"/>
        </w:rPr>
        <w:t>A second critique, from a justice perspective, questions the possibility of deriving impartial and universally applicable principles from a focus on specific relationships, and cautions against favo</w:t>
      </w:r>
      <w:r>
        <w:rPr>
          <w:rFonts w:ascii="Arial" w:hAnsi="Arial" w:cs="Arial"/>
          <w:sz w:val="22"/>
        </w:rPr>
        <w:t>u</w:t>
      </w:r>
      <w:r w:rsidRPr="00CE5628">
        <w:rPr>
          <w:rFonts w:ascii="Arial" w:hAnsi="Arial" w:cs="Arial"/>
          <w:sz w:val="22"/>
        </w:rPr>
        <w:t>ring one's own group in the presence of competing needs with scarce resources (</w:t>
      </w:r>
      <w:proofErr w:type="spellStart"/>
      <w:r w:rsidRPr="00CE5628">
        <w:rPr>
          <w:rFonts w:ascii="Arial" w:hAnsi="Arial" w:cs="Arial"/>
          <w:sz w:val="22"/>
        </w:rPr>
        <w:t>Engster</w:t>
      </w:r>
      <w:proofErr w:type="spellEnd"/>
      <w:r w:rsidRPr="00CE5628">
        <w:rPr>
          <w:rFonts w:ascii="Arial" w:hAnsi="Arial" w:cs="Arial"/>
          <w:sz w:val="22"/>
        </w:rPr>
        <w:t>, 2007). A third perspective, taken by disability studies, suggests the theory's focus on dependency and receptivity may have the potential to position disabled people as recipients of care rather than agents of their own care and challenges the social model's focus on independence and rights (Oliver, 1990; Shakespeare, 2014).</w:t>
      </w:r>
    </w:p>
    <w:p w14:paraId="272E60B2" w14:textId="77777777" w:rsidR="001631A8" w:rsidRDefault="001631A8" w:rsidP="001631A8">
      <w:pPr>
        <w:spacing w:before="240" w:line="360" w:lineRule="auto"/>
        <w:jc w:val="both"/>
        <w:rPr>
          <w:rFonts w:ascii="Arial" w:hAnsi="Arial" w:cs="Arial"/>
          <w:sz w:val="22"/>
        </w:rPr>
      </w:pPr>
      <w:r w:rsidRPr="00CE5628">
        <w:rPr>
          <w:rFonts w:ascii="Arial" w:hAnsi="Arial" w:cs="Arial"/>
          <w:sz w:val="22"/>
        </w:rPr>
        <w:t>The</w:t>
      </w:r>
      <w:r>
        <w:rPr>
          <w:rFonts w:ascii="Arial" w:hAnsi="Arial" w:cs="Arial"/>
          <w:sz w:val="22"/>
        </w:rPr>
        <w:t>se</w:t>
      </w:r>
      <w:r w:rsidRPr="00CE5628">
        <w:rPr>
          <w:rFonts w:ascii="Arial" w:hAnsi="Arial" w:cs="Arial"/>
          <w:sz w:val="22"/>
        </w:rPr>
        <w:t xml:space="preserve"> concerns have been responded to, not ignored. </w:t>
      </w:r>
      <w:proofErr w:type="spellStart"/>
      <w:r w:rsidRPr="00CE5628">
        <w:rPr>
          <w:rFonts w:ascii="Arial" w:hAnsi="Arial" w:cs="Arial"/>
          <w:sz w:val="22"/>
        </w:rPr>
        <w:t>Tronto</w:t>
      </w:r>
      <w:proofErr w:type="spellEnd"/>
      <w:r w:rsidRPr="00CE5628">
        <w:rPr>
          <w:rFonts w:ascii="Arial" w:hAnsi="Arial" w:cs="Arial"/>
          <w:sz w:val="22"/>
        </w:rPr>
        <w:t xml:space="preserve"> (2013) d</w:t>
      </w:r>
      <w:r>
        <w:rPr>
          <w:rFonts w:ascii="Arial" w:hAnsi="Arial" w:cs="Arial"/>
          <w:sz w:val="22"/>
        </w:rPr>
        <w:t>istinguishes</w:t>
      </w:r>
      <w:r w:rsidRPr="00CE5628">
        <w:rPr>
          <w:rFonts w:ascii="Arial" w:hAnsi="Arial" w:cs="Arial"/>
          <w:sz w:val="22"/>
        </w:rPr>
        <w:t xml:space="preserve"> caring a</w:t>
      </w:r>
      <w:r>
        <w:rPr>
          <w:rFonts w:ascii="Arial" w:hAnsi="Arial" w:cs="Arial"/>
          <w:sz w:val="22"/>
        </w:rPr>
        <w:t>s</w:t>
      </w:r>
      <w:r w:rsidRPr="00CE5628">
        <w:rPr>
          <w:rFonts w:ascii="Arial" w:hAnsi="Arial" w:cs="Arial"/>
          <w:sz w:val="22"/>
        </w:rPr>
        <w:t xml:space="preserve"> a natural female function, and argues that the gendered division of care labour is a political problem to address </w:t>
      </w:r>
      <w:r>
        <w:rPr>
          <w:rFonts w:ascii="Arial" w:hAnsi="Arial" w:cs="Arial"/>
          <w:sz w:val="22"/>
        </w:rPr>
        <w:t>democratically</w:t>
      </w:r>
      <w:r w:rsidRPr="00CE5628">
        <w:rPr>
          <w:rFonts w:ascii="Arial" w:hAnsi="Arial" w:cs="Arial"/>
          <w:sz w:val="22"/>
        </w:rPr>
        <w:t xml:space="preserve">. Kittay (2001) suggests that the duty to care can be recast as a societal duty instead of a deficit of the cared-for person, using the term </w:t>
      </w:r>
      <w:proofErr w:type="spellStart"/>
      <w:r w:rsidRPr="00CE5628">
        <w:rPr>
          <w:rFonts w:ascii="Arial" w:hAnsi="Arial" w:cs="Arial"/>
          <w:sz w:val="22"/>
        </w:rPr>
        <w:t>doulia</w:t>
      </w:r>
      <w:proofErr w:type="spellEnd"/>
      <w:r w:rsidRPr="00CE5628">
        <w:rPr>
          <w:rFonts w:ascii="Arial" w:hAnsi="Arial" w:cs="Arial"/>
          <w:sz w:val="22"/>
        </w:rPr>
        <w:t xml:space="preserve">. In an intersectional care ethics, </w:t>
      </w:r>
      <w:proofErr w:type="spellStart"/>
      <w:r w:rsidRPr="00CE5628">
        <w:rPr>
          <w:rFonts w:ascii="Arial" w:hAnsi="Arial" w:cs="Arial"/>
          <w:sz w:val="22"/>
        </w:rPr>
        <w:t>Hankivsky</w:t>
      </w:r>
      <w:proofErr w:type="spellEnd"/>
      <w:r w:rsidRPr="00CE5628">
        <w:rPr>
          <w:rFonts w:ascii="Arial" w:hAnsi="Arial" w:cs="Arial"/>
          <w:sz w:val="22"/>
        </w:rPr>
        <w:t xml:space="preserve"> (2014) posits that the interaction of gender, race, disability and class will be accounted for in terms of who is providing and receiving care. These answers have not dispelled </w:t>
      </w:r>
      <w:r>
        <w:rPr>
          <w:rFonts w:ascii="Arial" w:hAnsi="Arial" w:cs="Arial"/>
          <w:sz w:val="22"/>
        </w:rPr>
        <w:t>every</w:t>
      </w:r>
      <w:r w:rsidRPr="00CE5628">
        <w:rPr>
          <w:rFonts w:ascii="Arial" w:hAnsi="Arial" w:cs="Arial"/>
          <w:sz w:val="22"/>
        </w:rPr>
        <w:t xml:space="preserve"> tension</w:t>
      </w:r>
      <w:r>
        <w:rPr>
          <w:rFonts w:ascii="Arial" w:hAnsi="Arial" w:cs="Arial"/>
          <w:sz w:val="22"/>
        </w:rPr>
        <w:t>,</w:t>
      </w:r>
      <w:r w:rsidRPr="00CE5628">
        <w:rPr>
          <w:rFonts w:ascii="Arial" w:hAnsi="Arial" w:cs="Arial"/>
          <w:sz w:val="22"/>
        </w:rPr>
        <w:t xml:space="preserve"> but they demonstrate a theory that is still in flux, rather than one that has crystallised.</w:t>
      </w:r>
    </w:p>
    <w:p w14:paraId="6D46818E" w14:textId="3B0CDC22" w:rsidR="006D2F2D" w:rsidRPr="00C6554F" w:rsidRDefault="006D2F2D" w:rsidP="00C6554F">
      <w:pPr>
        <w:spacing w:before="240" w:line="360" w:lineRule="auto"/>
        <w:jc w:val="both"/>
        <w:rPr>
          <w:rFonts w:ascii="Arial" w:hAnsi="Arial" w:cs="Arial"/>
          <w:b/>
          <w:bCs/>
          <w:sz w:val="22"/>
        </w:rPr>
      </w:pPr>
      <w:r w:rsidRPr="00C6554F">
        <w:rPr>
          <w:rFonts w:ascii="Arial" w:hAnsi="Arial" w:cs="Arial"/>
          <w:b/>
          <w:bCs/>
          <w:sz w:val="22"/>
        </w:rPr>
        <w:t xml:space="preserve">Application of the </w:t>
      </w:r>
      <w:r w:rsidR="00A14675" w:rsidRPr="00C6554F">
        <w:rPr>
          <w:rFonts w:ascii="Arial" w:hAnsi="Arial" w:cs="Arial"/>
          <w:b/>
          <w:bCs/>
          <w:sz w:val="22"/>
        </w:rPr>
        <w:t>concept</w:t>
      </w:r>
      <w:r w:rsidRPr="00C6554F">
        <w:rPr>
          <w:rFonts w:ascii="Arial" w:hAnsi="Arial" w:cs="Arial"/>
          <w:b/>
          <w:bCs/>
          <w:sz w:val="22"/>
        </w:rPr>
        <w:t xml:space="preserve"> in practice</w:t>
      </w:r>
    </w:p>
    <w:p w14:paraId="409DFFD4" w14:textId="77777777" w:rsidR="001631A8" w:rsidRPr="00CE5628" w:rsidRDefault="001631A8" w:rsidP="001631A8">
      <w:pPr>
        <w:spacing w:before="240" w:line="360" w:lineRule="auto"/>
        <w:jc w:val="both"/>
        <w:rPr>
          <w:rFonts w:ascii="Arial" w:hAnsi="Arial" w:cs="Arial"/>
          <w:sz w:val="22"/>
        </w:rPr>
      </w:pPr>
      <w:r w:rsidRPr="00CE5628">
        <w:rPr>
          <w:rFonts w:ascii="Arial" w:hAnsi="Arial" w:cs="Arial"/>
          <w:sz w:val="22"/>
        </w:rPr>
        <w:t>Over the last 20 years</w:t>
      </w:r>
      <w:r>
        <w:rPr>
          <w:rFonts w:ascii="Arial" w:hAnsi="Arial" w:cs="Arial"/>
          <w:sz w:val="22"/>
        </w:rPr>
        <w:t>,</w:t>
      </w:r>
      <w:r w:rsidRPr="00CE5628">
        <w:rPr>
          <w:rFonts w:ascii="Arial" w:hAnsi="Arial" w:cs="Arial"/>
          <w:sz w:val="22"/>
        </w:rPr>
        <w:t xml:space="preserve"> the ethics of care has influenced health and social care policy and practice, although it has not been evenly implemented or practi</w:t>
      </w:r>
      <w:r>
        <w:rPr>
          <w:rFonts w:ascii="Arial" w:hAnsi="Arial" w:cs="Arial"/>
          <w:sz w:val="22"/>
        </w:rPr>
        <w:t>sed,</w:t>
      </w:r>
      <w:r w:rsidRPr="00CE5628">
        <w:rPr>
          <w:rFonts w:ascii="Arial" w:hAnsi="Arial" w:cs="Arial"/>
          <w:sz w:val="22"/>
        </w:rPr>
        <w:t xml:space="preserve"> and in some areas it has been superficial. In nursing, Watson (2008) formulated the theory of human caring where the nurse-patient relationship is the fundamental and central aspect, and technical tasks are secondary. This operationalised </w:t>
      </w:r>
      <w:proofErr w:type="spellStart"/>
      <w:r w:rsidRPr="00CE5628">
        <w:rPr>
          <w:rFonts w:ascii="Arial" w:hAnsi="Arial" w:cs="Arial"/>
          <w:sz w:val="22"/>
        </w:rPr>
        <w:t>Noddings</w:t>
      </w:r>
      <w:proofErr w:type="spellEnd"/>
      <w:r w:rsidRPr="00CE5628">
        <w:rPr>
          <w:rFonts w:ascii="Arial" w:hAnsi="Arial" w:cs="Arial"/>
          <w:sz w:val="22"/>
        </w:rPr>
        <w:t>'</w:t>
      </w:r>
      <w:r>
        <w:rPr>
          <w:rFonts w:ascii="Arial" w:hAnsi="Arial" w:cs="Arial"/>
          <w:sz w:val="22"/>
        </w:rPr>
        <w:t xml:space="preserve"> (1984)</w:t>
      </w:r>
      <w:r w:rsidRPr="00CE5628">
        <w:rPr>
          <w:rFonts w:ascii="Arial" w:hAnsi="Arial" w:cs="Arial"/>
          <w:sz w:val="22"/>
        </w:rPr>
        <w:t xml:space="preserve"> and </w:t>
      </w:r>
      <w:proofErr w:type="spellStart"/>
      <w:r w:rsidRPr="00CE5628">
        <w:rPr>
          <w:rFonts w:ascii="Arial" w:hAnsi="Arial" w:cs="Arial"/>
          <w:sz w:val="22"/>
        </w:rPr>
        <w:t>Tronto's</w:t>
      </w:r>
      <w:proofErr w:type="spellEnd"/>
      <w:r w:rsidRPr="00CE5628">
        <w:rPr>
          <w:rFonts w:ascii="Arial" w:hAnsi="Arial" w:cs="Arial"/>
          <w:sz w:val="22"/>
        </w:rPr>
        <w:t xml:space="preserve"> (1992) description of relational commitments in nursing.</w:t>
      </w:r>
      <w:r>
        <w:rPr>
          <w:rFonts w:ascii="Arial" w:hAnsi="Arial" w:cs="Arial"/>
          <w:sz w:val="22"/>
        </w:rPr>
        <w:t xml:space="preserve"> </w:t>
      </w:r>
      <w:r w:rsidRPr="00CE5628">
        <w:rPr>
          <w:rFonts w:ascii="Arial" w:hAnsi="Arial" w:cs="Arial"/>
          <w:sz w:val="22"/>
        </w:rPr>
        <w:t>Compassion, as one of the 6Cs, was incorporated into the NHS value</w:t>
      </w:r>
      <w:r>
        <w:rPr>
          <w:rFonts w:ascii="Arial" w:hAnsi="Arial" w:cs="Arial"/>
          <w:sz w:val="22"/>
        </w:rPr>
        <w:t>s</w:t>
      </w:r>
      <w:r w:rsidRPr="00CE5628">
        <w:rPr>
          <w:rFonts w:ascii="Arial" w:hAnsi="Arial" w:cs="Arial"/>
          <w:sz w:val="22"/>
        </w:rPr>
        <w:t xml:space="preserve"> and was a formal policy at the Department of Health (2012) Compassion in Practice strategy. This policy uptake has been attacked as merely talk, however, as Lynch, Baker and Lyons (2009) note in their view of an ‘affective inequality’, a chronic inequality in which policy language that extols compassion is not matched by structural changes for those who provide </w:t>
      </w:r>
      <w:r w:rsidRPr="00CE5628">
        <w:rPr>
          <w:rFonts w:ascii="Arial" w:hAnsi="Arial" w:cs="Arial"/>
          <w:sz w:val="22"/>
        </w:rPr>
        <w:lastRenderedPageBreak/>
        <w:t>it</w:t>
      </w:r>
      <w:r>
        <w:rPr>
          <w:rFonts w:ascii="Arial" w:hAnsi="Arial" w:cs="Arial"/>
          <w:sz w:val="22"/>
        </w:rPr>
        <w:t>.</w:t>
      </w:r>
      <w:r w:rsidRPr="00CE5628">
        <w:rPr>
          <w:rFonts w:ascii="Arial" w:hAnsi="Arial" w:cs="Arial"/>
          <w:sz w:val="22"/>
        </w:rPr>
        <w:t xml:space="preserve"> </w:t>
      </w:r>
      <w:r>
        <w:rPr>
          <w:rFonts w:ascii="Arial" w:hAnsi="Arial" w:cs="Arial"/>
          <w:sz w:val="22"/>
        </w:rPr>
        <w:t>R</w:t>
      </w:r>
      <w:r w:rsidRPr="00CE5628">
        <w:rPr>
          <w:rFonts w:ascii="Arial" w:hAnsi="Arial" w:cs="Arial"/>
          <w:sz w:val="22"/>
        </w:rPr>
        <w:t>ecent data on the workforce suggests that this inequality has not been reduced, but remained, and in England paid care work continues to be low-paid, insecure and lacking in career progression opportunities (Fisher and Foster, 2025). This also highlights a disconnect between adoption and implementation: compassion was not addressed directly by the 2012 strategy, but was also not addressed at a structural level in staffing ratios and protected time that allow for relational care to be carried out in day-to-day practice.</w:t>
      </w:r>
    </w:p>
    <w:p w14:paraId="086C2FBA" w14:textId="77777777" w:rsidR="001631A8" w:rsidRPr="00CE5628" w:rsidRDefault="001631A8" w:rsidP="001631A8">
      <w:pPr>
        <w:spacing w:before="240" w:line="360" w:lineRule="auto"/>
        <w:jc w:val="both"/>
        <w:rPr>
          <w:rFonts w:ascii="Arial" w:hAnsi="Arial" w:cs="Arial"/>
          <w:sz w:val="22"/>
        </w:rPr>
      </w:pPr>
      <w:r w:rsidRPr="00CE5628">
        <w:rPr>
          <w:rFonts w:ascii="Arial" w:hAnsi="Arial" w:cs="Arial"/>
          <w:sz w:val="22"/>
        </w:rPr>
        <w:t>Care ethics has provided a focus for social work practice with older people and those living with dementia, encouraging a desire for attentiveness and the longevity of relationships rather than the risk management bureaucracy (Lloyd, 2006). Cohen-Mansfield (2021) demonstrates how this can contribute to attaining social justice for individuals who are cognitively impaired and may otherwise be denied rights-based protection. But, in practice, market logic often trumps relational values, as a lack of staffing resources, a limitation of how long tasks can be completed and financial pressures leave little time for the kind of attentiveness the theory calls for, as Woods, Phibbs and Severinsen (2017) show. This reveals a common issue: care ethics provides a normatively appealing account of good practice which does not consider the structural conditions, funding models and levels of staffing that will enable this practice to be carried out.</w:t>
      </w:r>
    </w:p>
    <w:p w14:paraId="396F9F87" w14:textId="77777777" w:rsidR="001631A8" w:rsidRPr="00CE5628" w:rsidRDefault="001631A8" w:rsidP="001631A8">
      <w:pPr>
        <w:spacing w:before="240" w:line="360" w:lineRule="auto"/>
        <w:jc w:val="both"/>
        <w:rPr>
          <w:rFonts w:ascii="Arial" w:hAnsi="Arial" w:cs="Arial"/>
          <w:sz w:val="22"/>
        </w:rPr>
      </w:pPr>
      <w:r w:rsidRPr="00CE5628">
        <w:rPr>
          <w:rFonts w:ascii="Arial" w:hAnsi="Arial" w:cs="Arial"/>
          <w:sz w:val="22"/>
        </w:rPr>
        <w:t>This tension is most evident in the personalisation agenda in English adult social care since the 2000s. Barnes (2011) suggests that policy statements about ‘choice' and individual budgets can obscure relational labour and mutual obligation required for good care and that personalisation should be reinterpreted in terms of dependency rather than a need to minimi</w:t>
      </w:r>
      <w:r>
        <w:rPr>
          <w:rFonts w:ascii="Arial" w:hAnsi="Arial" w:cs="Arial"/>
          <w:sz w:val="22"/>
        </w:rPr>
        <w:t>se</w:t>
      </w:r>
      <w:r w:rsidRPr="00CE5628">
        <w:rPr>
          <w:rFonts w:ascii="Arial" w:hAnsi="Arial" w:cs="Arial"/>
          <w:sz w:val="22"/>
        </w:rPr>
        <w:t>. This is backed up by more recent evidence. The ethical framing of personalisation as autonomy-maximising is uneasy with meaningful choice, which is dependent on relationships of support, as argued by Owens, Mladenov and Cribb (2017), and by Hummell et al. (2023)</w:t>
      </w:r>
      <w:r>
        <w:rPr>
          <w:rFonts w:ascii="Arial" w:hAnsi="Arial" w:cs="Arial"/>
          <w:sz w:val="22"/>
        </w:rPr>
        <w:t>.</w:t>
      </w:r>
      <w:r w:rsidRPr="00CE5628">
        <w:rPr>
          <w:rFonts w:ascii="Arial" w:hAnsi="Arial" w:cs="Arial"/>
          <w:sz w:val="22"/>
        </w:rPr>
        <w:t xml:space="preserve"> </w:t>
      </w:r>
      <w:r>
        <w:rPr>
          <w:rFonts w:ascii="Arial" w:hAnsi="Arial" w:cs="Arial"/>
          <w:sz w:val="22"/>
        </w:rPr>
        <w:t>T</w:t>
      </w:r>
      <w:r w:rsidRPr="00CE5628">
        <w:rPr>
          <w:rFonts w:ascii="Arial" w:hAnsi="Arial" w:cs="Arial"/>
          <w:sz w:val="22"/>
        </w:rPr>
        <w:t xml:space="preserve">he individualised, </w:t>
      </w:r>
      <w:proofErr w:type="spellStart"/>
      <w:r w:rsidRPr="00CE5628">
        <w:rPr>
          <w:rFonts w:ascii="Arial" w:hAnsi="Arial" w:cs="Arial"/>
          <w:sz w:val="22"/>
        </w:rPr>
        <w:t>marketised</w:t>
      </w:r>
      <w:proofErr w:type="spellEnd"/>
      <w:r w:rsidRPr="00CE5628">
        <w:rPr>
          <w:rFonts w:ascii="Arial" w:hAnsi="Arial" w:cs="Arial"/>
          <w:sz w:val="22"/>
        </w:rPr>
        <w:t xml:space="preserve"> approach to commissioning in the disability sector can actively work against the collaborative relationships between providers, carers and service users that are seen as central to the care ethic.</w:t>
      </w:r>
    </w:p>
    <w:p w14:paraId="0A47D749" w14:textId="77777777" w:rsidR="001631A8" w:rsidRPr="00CE5628" w:rsidRDefault="001631A8" w:rsidP="001631A8">
      <w:pPr>
        <w:spacing w:before="240" w:line="360" w:lineRule="auto"/>
        <w:jc w:val="both"/>
        <w:rPr>
          <w:rFonts w:ascii="Arial" w:hAnsi="Arial" w:cs="Arial"/>
          <w:sz w:val="22"/>
        </w:rPr>
      </w:pPr>
      <w:r w:rsidRPr="00CE5628">
        <w:rPr>
          <w:rFonts w:ascii="Arial" w:hAnsi="Arial" w:cs="Arial"/>
          <w:sz w:val="22"/>
        </w:rPr>
        <w:t xml:space="preserve">Internationally, Hochschild (2000) is able to extend the theory to international care migration, arguing that the relational labour care ethics value is exported, commodified and undervalued when care work moves from poor to rich households and countries. Time-limited contracts based on tasks further complicate this, as Meagher and Szebehely (2013) reveal that they structure the responsiveness at the heart of the ethical practice of caring for an individual in their home, irrespective of care practitioners' intentions. The theory's impact has been greatest in influencing the language of policy and professional values, and least in influencing the </w:t>
      </w:r>
      <w:r w:rsidRPr="00CE5628">
        <w:rPr>
          <w:rFonts w:ascii="Arial" w:hAnsi="Arial" w:cs="Arial"/>
          <w:sz w:val="22"/>
        </w:rPr>
        <w:lastRenderedPageBreak/>
        <w:t>funding, commissioning and staffing that is in a position to shape the capacity to provide care on relational terms.</w:t>
      </w:r>
    </w:p>
    <w:p w14:paraId="72FFECFB" w14:textId="1B09A3F7" w:rsidR="006D2F2D" w:rsidRPr="00C6554F" w:rsidRDefault="006D2F2D" w:rsidP="00C6554F">
      <w:pPr>
        <w:spacing w:before="240" w:line="360" w:lineRule="auto"/>
        <w:jc w:val="both"/>
        <w:rPr>
          <w:rFonts w:ascii="Arial" w:hAnsi="Arial" w:cs="Arial"/>
          <w:b/>
          <w:bCs/>
          <w:sz w:val="22"/>
        </w:rPr>
      </w:pPr>
      <w:r w:rsidRPr="00C6554F">
        <w:rPr>
          <w:rFonts w:ascii="Arial" w:hAnsi="Arial" w:cs="Arial"/>
          <w:b/>
          <w:bCs/>
          <w:sz w:val="22"/>
        </w:rPr>
        <w:t>Recommendations for</w:t>
      </w:r>
      <w:r w:rsidR="003E4ED4" w:rsidRPr="00C6554F">
        <w:rPr>
          <w:rFonts w:ascii="Arial" w:hAnsi="Arial" w:cs="Arial"/>
          <w:b/>
          <w:bCs/>
          <w:sz w:val="22"/>
        </w:rPr>
        <w:t xml:space="preserve"> policy</w:t>
      </w:r>
      <w:r w:rsidRPr="00C6554F">
        <w:rPr>
          <w:rFonts w:ascii="Arial" w:hAnsi="Arial" w:cs="Arial"/>
          <w:b/>
          <w:bCs/>
          <w:sz w:val="22"/>
        </w:rPr>
        <w:t xml:space="preserve"> and practice</w:t>
      </w:r>
    </w:p>
    <w:p w14:paraId="17CFAB46" w14:textId="77777777" w:rsidR="001631A8" w:rsidRPr="00CE5628" w:rsidRDefault="001631A8" w:rsidP="001631A8">
      <w:pPr>
        <w:spacing w:before="240" w:line="360" w:lineRule="auto"/>
        <w:jc w:val="both"/>
        <w:rPr>
          <w:rFonts w:ascii="Arial" w:hAnsi="Arial" w:cs="Arial"/>
          <w:sz w:val="22"/>
        </w:rPr>
      </w:pPr>
      <w:r w:rsidRPr="00CE5628">
        <w:rPr>
          <w:rFonts w:ascii="Arial" w:hAnsi="Arial" w:cs="Arial"/>
          <w:sz w:val="22"/>
        </w:rPr>
        <w:t>While some policy rhetoric has sought to identify care work as a worthy profession, as evidenced, this has not resulted in material change in pay and career structures for care work, and care work needs to be formally recognised through competency frameworks, not just rhetoric.</w:t>
      </w:r>
      <w:r>
        <w:rPr>
          <w:rFonts w:ascii="Arial" w:hAnsi="Arial" w:cs="Arial"/>
          <w:sz w:val="22"/>
        </w:rPr>
        <w:t xml:space="preserve"> </w:t>
      </w:r>
      <w:r w:rsidRPr="00CE5628">
        <w:rPr>
          <w:rFonts w:ascii="Arial" w:hAnsi="Arial" w:cs="Arial"/>
          <w:sz w:val="22"/>
        </w:rPr>
        <w:t>As evidenced, policy rhetoric to recognise care work as a worthy profession has not led to changes in the material conditions of care work, such as pay, and care work needs to be formally recognised through competency frameworks, not just rhetoric. This would explicitly tackle the inequality of affect mentioned above and make a move to diminish the reliance on an undervalued workforce, which has been documented as opposed to assumed.</w:t>
      </w:r>
    </w:p>
    <w:p w14:paraId="14EA5C29" w14:textId="77777777" w:rsidR="001631A8" w:rsidRPr="00CE5628" w:rsidRDefault="001631A8" w:rsidP="001631A8">
      <w:pPr>
        <w:spacing w:before="240" w:line="360" w:lineRule="auto"/>
        <w:jc w:val="both"/>
        <w:rPr>
          <w:rFonts w:ascii="Arial" w:hAnsi="Arial" w:cs="Arial"/>
          <w:sz w:val="22"/>
        </w:rPr>
      </w:pPr>
      <w:r w:rsidRPr="00CE5628">
        <w:rPr>
          <w:rFonts w:ascii="Arial" w:hAnsi="Arial" w:cs="Arial"/>
          <w:sz w:val="22"/>
        </w:rPr>
        <w:t xml:space="preserve">In addition, </w:t>
      </w:r>
      <w:r>
        <w:rPr>
          <w:rFonts w:ascii="Arial" w:hAnsi="Arial" w:cs="Arial"/>
          <w:sz w:val="22"/>
        </w:rPr>
        <w:t>commissioning models must</w:t>
      </w:r>
      <w:r w:rsidRPr="00CE5628">
        <w:rPr>
          <w:rFonts w:ascii="Arial" w:hAnsi="Arial" w:cs="Arial"/>
          <w:sz w:val="22"/>
        </w:rPr>
        <w:t xml:space="preserve"> abandon the time-limited, task-based approach contracts used by Meagher and Szebehely (2013) to find that responsiveness is undermined in domiciliary care. Just as Woods, Phibbs and Severinsen (2017) explain for residential care, local authorities and providers might consider outcome and/or relationship</w:t>
      </w:r>
      <w:r>
        <w:rPr>
          <w:rFonts w:ascii="Arial" w:hAnsi="Arial" w:cs="Arial"/>
          <w:sz w:val="22"/>
        </w:rPr>
        <w:t>-</w:t>
      </w:r>
      <w:r w:rsidRPr="00CE5628">
        <w:rPr>
          <w:rFonts w:ascii="Arial" w:hAnsi="Arial" w:cs="Arial"/>
          <w:sz w:val="22"/>
        </w:rPr>
        <w:t>based commissioning</w:t>
      </w:r>
      <w:r>
        <w:rPr>
          <w:rFonts w:ascii="Arial" w:hAnsi="Arial" w:cs="Arial"/>
          <w:sz w:val="22"/>
        </w:rPr>
        <w:t>,</w:t>
      </w:r>
      <w:r w:rsidRPr="00CE5628">
        <w:rPr>
          <w:rFonts w:ascii="Arial" w:hAnsi="Arial" w:cs="Arial"/>
          <w:sz w:val="22"/>
        </w:rPr>
        <w:t xml:space="preserve"> paying for time rather than paying for tasks completed</w:t>
      </w:r>
      <w:r>
        <w:rPr>
          <w:rFonts w:ascii="Arial" w:hAnsi="Arial" w:cs="Arial"/>
          <w:sz w:val="22"/>
        </w:rPr>
        <w:t>,</w:t>
      </w:r>
      <w:r w:rsidRPr="00CE5628">
        <w:rPr>
          <w:rFonts w:ascii="Arial" w:hAnsi="Arial" w:cs="Arial"/>
          <w:sz w:val="22"/>
        </w:rPr>
        <w:t xml:space="preserve"> </w:t>
      </w:r>
      <w:r>
        <w:rPr>
          <w:rFonts w:ascii="Arial" w:hAnsi="Arial" w:cs="Arial"/>
          <w:sz w:val="22"/>
        </w:rPr>
        <w:t>to fund</w:t>
      </w:r>
      <w:r w:rsidRPr="00CE5628">
        <w:rPr>
          <w:rFonts w:ascii="Arial" w:hAnsi="Arial" w:cs="Arial"/>
          <w:sz w:val="22"/>
        </w:rPr>
        <w:t xml:space="preserve"> the relational values of having time to be attentive, even if staff do not intend to be.</w:t>
      </w:r>
    </w:p>
    <w:p w14:paraId="7DDE43CE" w14:textId="77777777" w:rsidR="001631A8" w:rsidRPr="00CE5628" w:rsidRDefault="001631A8" w:rsidP="001631A8">
      <w:pPr>
        <w:spacing w:before="240" w:line="360" w:lineRule="auto"/>
        <w:jc w:val="both"/>
        <w:rPr>
          <w:rFonts w:ascii="Arial" w:hAnsi="Arial" w:cs="Arial"/>
          <w:sz w:val="22"/>
        </w:rPr>
      </w:pPr>
      <w:r w:rsidRPr="00CE5628">
        <w:rPr>
          <w:rFonts w:ascii="Arial" w:hAnsi="Arial" w:cs="Arial"/>
          <w:sz w:val="22"/>
        </w:rPr>
        <w:t xml:space="preserve">In addition, personalisation policy needs to be reconfigured to specifically acknowledge interdependence as a positive thing, not a lack thereof that needs to be reduced through personal budgets. This involves solidifying the support for informal and family carers within personalisation frameworks as suggested by </w:t>
      </w:r>
      <w:r w:rsidRPr="00A72C45">
        <w:rPr>
          <w:rFonts w:ascii="Arial" w:hAnsi="Arial" w:cs="Arial"/>
          <w:sz w:val="22"/>
        </w:rPr>
        <w:t xml:space="preserve">Owens, Mladenov and Cribb </w:t>
      </w:r>
      <w:r w:rsidRPr="00CE5628">
        <w:rPr>
          <w:rFonts w:ascii="Arial" w:hAnsi="Arial" w:cs="Arial"/>
          <w:sz w:val="22"/>
        </w:rPr>
        <w:t>(2017) to ensure the policy is ethically coherent with a focus on autonomy, and tackling the risk</w:t>
      </w:r>
      <w:r>
        <w:rPr>
          <w:rFonts w:ascii="Arial" w:hAnsi="Arial" w:cs="Arial"/>
          <w:sz w:val="22"/>
        </w:rPr>
        <w:t xml:space="preserve"> </w:t>
      </w:r>
      <w:r w:rsidRPr="00CE5628">
        <w:rPr>
          <w:rFonts w:ascii="Arial" w:hAnsi="Arial" w:cs="Arial"/>
          <w:sz w:val="22"/>
        </w:rPr>
        <w:t>Hummell et al. (2023)</w:t>
      </w:r>
      <w:r>
        <w:rPr>
          <w:rFonts w:ascii="Arial" w:hAnsi="Arial" w:cs="Arial"/>
          <w:sz w:val="22"/>
        </w:rPr>
        <w:t xml:space="preserve"> identified</w:t>
      </w:r>
      <w:r w:rsidRPr="00CE5628">
        <w:rPr>
          <w:rFonts w:ascii="Arial" w:hAnsi="Arial" w:cs="Arial"/>
          <w:sz w:val="22"/>
        </w:rPr>
        <w:t xml:space="preserve"> that </w:t>
      </w:r>
      <w:proofErr w:type="spellStart"/>
      <w:r w:rsidRPr="00CE5628">
        <w:rPr>
          <w:rFonts w:ascii="Arial" w:hAnsi="Arial" w:cs="Arial"/>
          <w:sz w:val="22"/>
        </w:rPr>
        <w:t>marketised</w:t>
      </w:r>
      <w:proofErr w:type="spellEnd"/>
      <w:r w:rsidRPr="00CE5628">
        <w:rPr>
          <w:rFonts w:ascii="Arial" w:hAnsi="Arial" w:cs="Arial"/>
          <w:sz w:val="22"/>
        </w:rPr>
        <w:t xml:space="preserve"> and individualised commissioning can undermine the relationships of disabled people, their informal carers and providers that are integral to good car</w:t>
      </w:r>
      <w:r>
        <w:rPr>
          <w:rFonts w:ascii="Arial" w:hAnsi="Arial" w:cs="Arial"/>
          <w:sz w:val="22"/>
        </w:rPr>
        <w:t>e</w:t>
      </w:r>
      <w:r w:rsidRPr="00CE5628">
        <w:rPr>
          <w:rFonts w:ascii="Arial" w:hAnsi="Arial" w:cs="Arial"/>
          <w:sz w:val="22"/>
        </w:rPr>
        <w:t xml:space="preserve">. Training and workforce development should take </w:t>
      </w:r>
      <w:proofErr w:type="spellStart"/>
      <w:r w:rsidRPr="00CE5628">
        <w:rPr>
          <w:rFonts w:ascii="Arial" w:hAnsi="Arial" w:cs="Arial"/>
          <w:sz w:val="22"/>
        </w:rPr>
        <w:t>Hankivsky's</w:t>
      </w:r>
      <w:proofErr w:type="spellEnd"/>
      <w:r w:rsidRPr="00CE5628">
        <w:rPr>
          <w:rFonts w:ascii="Arial" w:hAnsi="Arial" w:cs="Arial"/>
          <w:sz w:val="22"/>
        </w:rPr>
        <w:t xml:space="preserve"> (2014) intersectional approach, focussing on the needs of specific care worker groups (</w:t>
      </w:r>
      <w:r>
        <w:rPr>
          <w:rFonts w:ascii="Arial" w:hAnsi="Arial" w:cs="Arial"/>
          <w:sz w:val="22"/>
        </w:rPr>
        <w:t>such as</w:t>
      </w:r>
      <w:r w:rsidRPr="00CE5628">
        <w:rPr>
          <w:rFonts w:ascii="Arial" w:hAnsi="Arial" w:cs="Arial"/>
          <w:sz w:val="22"/>
        </w:rPr>
        <w:t xml:space="preserve"> migrant care workers, people ageing with intellectual disabilities) and the various ways gender, race, disability and class intersect in those groups, rather than a single model of person-centred care in fundamentally different contexts and needs.</w:t>
      </w:r>
    </w:p>
    <w:p w14:paraId="52DC3327" w14:textId="77777777" w:rsidR="001631A8" w:rsidRPr="00CE5628" w:rsidRDefault="001631A8" w:rsidP="001631A8">
      <w:pPr>
        <w:spacing w:before="240" w:line="360" w:lineRule="auto"/>
        <w:jc w:val="both"/>
        <w:rPr>
          <w:rFonts w:ascii="Arial" w:hAnsi="Arial" w:cs="Arial"/>
          <w:sz w:val="22"/>
        </w:rPr>
      </w:pPr>
      <w:r w:rsidRPr="00CE5628">
        <w:rPr>
          <w:rFonts w:ascii="Arial" w:hAnsi="Arial" w:cs="Arial"/>
          <w:sz w:val="22"/>
        </w:rPr>
        <w:t xml:space="preserve">Lastly, policy makers need to take the criticism of disability studies (Oliver, 1990; Shakespeare, 2014) not as an unbridgeable philosophical divide, but as a design constraint. Additionally, the idea of dependency/autonomy is a clash between care ethics and the social model, while Kittay's (2001) notion of </w:t>
      </w:r>
      <w:proofErr w:type="spellStart"/>
      <w:r w:rsidRPr="00CE5628">
        <w:rPr>
          <w:rFonts w:ascii="Arial" w:hAnsi="Arial" w:cs="Arial"/>
          <w:sz w:val="22"/>
        </w:rPr>
        <w:t>doulia</w:t>
      </w:r>
      <w:proofErr w:type="spellEnd"/>
      <w:r w:rsidRPr="00CE5628">
        <w:rPr>
          <w:rFonts w:ascii="Arial" w:hAnsi="Arial" w:cs="Arial"/>
          <w:sz w:val="22"/>
        </w:rPr>
        <w:t xml:space="preserve"> shifts the obligation for care from the individual to </w:t>
      </w:r>
      <w:r w:rsidRPr="00CE5628">
        <w:rPr>
          <w:rFonts w:ascii="Arial" w:hAnsi="Arial" w:cs="Arial"/>
          <w:sz w:val="22"/>
        </w:rPr>
        <w:lastRenderedPageBreak/>
        <w:t>the community, and creates a way to plan services that meets the needs of disabled people without treating disabilities as something lacking.</w:t>
      </w:r>
    </w:p>
    <w:p w14:paraId="5A4D465C" w14:textId="77777777" w:rsidR="006524ED" w:rsidRPr="00C6554F" w:rsidRDefault="006D2F2D" w:rsidP="00C6554F">
      <w:pPr>
        <w:spacing w:before="240" w:line="360" w:lineRule="auto"/>
        <w:jc w:val="both"/>
        <w:rPr>
          <w:rFonts w:ascii="Arial" w:hAnsi="Arial" w:cs="Arial"/>
          <w:b/>
          <w:bCs/>
          <w:sz w:val="22"/>
        </w:rPr>
      </w:pPr>
      <w:r w:rsidRPr="00C6554F">
        <w:rPr>
          <w:rFonts w:ascii="Arial" w:hAnsi="Arial" w:cs="Arial"/>
          <w:b/>
          <w:bCs/>
          <w:sz w:val="22"/>
        </w:rPr>
        <w:t>Conclusion</w:t>
      </w:r>
    </w:p>
    <w:p w14:paraId="3F16475D" w14:textId="77777777" w:rsidR="00C6554F" w:rsidRPr="00C6554F" w:rsidRDefault="00C6554F" w:rsidP="00C6554F">
      <w:pPr>
        <w:spacing w:before="240" w:after="0" w:line="360" w:lineRule="auto"/>
        <w:jc w:val="both"/>
        <w:rPr>
          <w:rFonts w:ascii="Arial" w:eastAsia="Times New Roman" w:hAnsi="Arial" w:cs="Arial"/>
          <w:color w:val="000000"/>
          <w:sz w:val="22"/>
        </w:rPr>
      </w:pPr>
      <w:r w:rsidRPr="00C6554F">
        <w:rPr>
          <w:rFonts w:ascii="Arial" w:eastAsia="Times New Roman" w:hAnsi="Arial" w:cs="Arial"/>
          <w:color w:val="000000"/>
          <w:sz w:val="22"/>
        </w:rPr>
        <w:t xml:space="preserve">The ethics of care is a potentially helpful, but not uncontroversial, theoretical basis for person-centred care, which moves beyond the abstract, rule-based notions of moral duty to the relational, attentive and responsive nature of good caring practice. As it has evolved from Gilligan's early psychological underpinning to </w:t>
      </w:r>
      <w:proofErr w:type="spellStart"/>
      <w:r w:rsidRPr="00C6554F">
        <w:rPr>
          <w:rFonts w:ascii="Arial" w:eastAsia="Times New Roman" w:hAnsi="Arial" w:cs="Arial"/>
          <w:color w:val="000000"/>
          <w:sz w:val="22"/>
        </w:rPr>
        <w:t>Tronto's</w:t>
      </w:r>
      <w:proofErr w:type="spellEnd"/>
      <w:r w:rsidRPr="00C6554F">
        <w:rPr>
          <w:rFonts w:ascii="Arial" w:eastAsia="Times New Roman" w:hAnsi="Arial" w:cs="Arial"/>
          <w:color w:val="000000"/>
          <w:sz w:val="22"/>
        </w:rPr>
        <w:t xml:space="preserve"> and Held's political philosophy, its scope has become much wider and, as a result of reactions to the critiques raised about gender essentialism, particularism, and disability rights, it has been enormously enriched. Yet, the undervaluation of caring work, </w:t>
      </w:r>
      <w:proofErr w:type="spellStart"/>
      <w:r w:rsidRPr="00C6554F">
        <w:rPr>
          <w:rFonts w:ascii="Arial" w:eastAsia="Times New Roman" w:hAnsi="Arial" w:cs="Arial"/>
          <w:color w:val="000000"/>
          <w:sz w:val="22"/>
        </w:rPr>
        <w:t>marketised</w:t>
      </w:r>
      <w:proofErr w:type="spellEnd"/>
      <w:r w:rsidRPr="00C6554F">
        <w:rPr>
          <w:rFonts w:ascii="Arial" w:eastAsia="Times New Roman" w:hAnsi="Arial" w:cs="Arial"/>
          <w:color w:val="000000"/>
          <w:sz w:val="22"/>
        </w:rPr>
        <w:t xml:space="preserve"> commissioning and conflicts with independence-based models of care and support show that this is not yet complete development, and the shift from the importance of care in theory to the provision of consistent care in policy and practice is ongoing, and will need continued structural, financial and cultural transformation to achieve.</w:t>
      </w:r>
    </w:p>
    <w:p w14:paraId="6191299C" w14:textId="77777777" w:rsidR="006524ED" w:rsidRPr="00C6554F" w:rsidRDefault="006524ED" w:rsidP="00C6554F">
      <w:pPr>
        <w:pStyle w:val="ListParagraph"/>
        <w:spacing w:before="240" w:line="360" w:lineRule="auto"/>
        <w:ind w:left="0"/>
        <w:jc w:val="both"/>
        <w:rPr>
          <w:rFonts w:ascii="Arial" w:hAnsi="Arial" w:cs="Arial"/>
          <w:sz w:val="22"/>
        </w:rPr>
      </w:pPr>
    </w:p>
    <w:p w14:paraId="3C5AC4C5" w14:textId="77777777" w:rsidR="003E4ED4" w:rsidRPr="00C6554F" w:rsidRDefault="003E4ED4" w:rsidP="00C6554F">
      <w:pPr>
        <w:spacing w:before="240" w:line="360" w:lineRule="auto"/>
        <w:jc w:val="both"/>
        <w:rPr>
          <w:rFonts w:ascii="Arial" w:hAnsi="Arial" w:cs="Arial"/>
          <w:b/>
          <w:bCs/>
          <w:sz w:val="22"/>
        </w:rPr>
      </w:pPr>
    </w:p>
    <w:p w14:paraId="62A1B056" w14:textId="77777777" w:rsidR="003E4ED4" w:rsidRPr="00C6554F" w:rsidRDefault="003E4ED4" w:rsidP="00C6554F">
      <w:pPr>
        <w:spacing w:before="240" w:line="360" w:lineRule="auto"/>
        <w:jc w:val="both"/>
        <w:rPr>
          <w:rFonts w:ascii="Arial" w:hAnsi="Arial" w:cs="Arial"/>
          <w:b/>
          <w:bCs/>
          <w:sz w:val="22"/>
        </w:rPr>
      </w:pPr>
    </w:p>
    <w:p w14:paraId="5B855950" w14:textId="77777777" w:rsidR="003E4ED4" w:rsidRDefault="003E4ED4" w:rsidP="00C6554F">
      <w:pPr>
        <w:spacing w:before="240" w:line="360" w:lineRule="auto"/>
        <w:jc w:val="both"/>
        <w:rPr>
          <w:rFonts w:ascii="Arial" w:hAnsi="Arial" w:cs="Arial"/>
          <w:b/>
          <w:bCs/>
          <w:sz w:val="22"/>
        </w:rPr>
      </w:pPr>
    </w:p>
    <w:p w14:paraId="607F2D3F" w14:textId="77777777" w:rsidR="001631A8" w:rsidRDefault="001631A8" w:rsidP="00C6554F">
      <w:pPr>
        <w:spacing w:before="240" w:line="360" w:lineRule="auto"/>
        <w:jc w:val="both"/>
        <w:rPr>
          <w:rFonts w:ascii="Arial" w:hAnsi="Arial" w:cs="Arial"/>
          <w:b/>
          <w:bCs/>
          <w:sz w:val="22"/>
        </w:rPr>
      </w:pPr>
    </w:p>
    <w:p w14:paraId="7F2267C7" w14:textId="77777777" w:rsidR="001631A8" w:rsidRDefault="001631A8" w:rsidP="00C6554F">
      <w:pPr>
        <w:spacing w:before="240" w:line="360" w:lineRule="auto"/>
        <w:jc w:val="both"/>
        <w:rPr>
          <w:rFonts w:ascii="Arial" w:hAnsi="Arial" w:cs="Arial"/>
          <w:b/>
          <w:bCs/>
          <w:sz w:val="22"/>
        </w:rPr>
      </w:pPr>
    </w:p>
    <w:p w14:paraId="660D6120" w14:textId="77777777" w:rsidR="001631A8" w:rsidRDefault="001631A8" w:rsidP="00C6554F">
      <w:pPr>
        <w:spacing w:before="240" w:line="360" w:lineRule="auto"/>
        <w:jc w:val="both"/>
        <w:rPr>
          <w:rFonts w:ascii="Arial" w:hAnsi="Arial" w:cs="Arial"/>
          <w:b/>
          <w:bCs/>
          <w:sz w:val="22"/>
        </w:rPr>
      </w:pPr>
    </w:p>
    <w:p w14:paraId="728AB9B7" w14:textId="77777777" w:rsidR="001631A8" w:rsidRDefault="001631A8" w:rsidP="00C6554F">
      <w:pPr>
        <w:spacing w:before="240" w:line="360" w:lineRule="auto"/>
        <w:jc w:val="both"/>
        <w:rPr>
          <w:rFonts w:ascii="Arial" w:hAnsi="Arial" w:cs="Arial"/>
          <w:b/>
          <w:bCs/>
          <w:sz w:val="22"/>
        </w:rPr>
      </w:pPr>
    </w:p>
    <w:p w14:paraId="56258D5D" w14:textId="77777777" w:rsidR="001631A8" w:rsidRDefault="001631A8" w:rsidP="00C6554F">
      <w:pPr>
        <w:spacing w:before="240" w:line="360" w:lineRule="auto"/>
        <w:jc w:val="both"/>
        <w:rPr>
          <w:rFonts w:ascii="Arial" w:hAnsi="Arial" w:cs="Arial"/>
          <w:b/>
          <w:bCs/>
          <w:sz w:val="22"/>
        </w:rPr>
      </w:pPr>
    </w:p>
    <w:p w14:paraId="7C3F31D2" w14:textId="77777777" w:rsidR="001631A8" w:rsidRDefault="001631A8" w:rsidP="00C6554F">
      <w:pPr>
        <w:spacing w:before="240" w:line="360" w:lineRule="auto"/>
        <w:jc w:val="both"/>
        <w:rPr>
          <w:rFonts w:ascii="Arial" w:hAnsi="Arial" w:cs="Arial"/>
          <w:b/>
          <w:bCs/>
          <w:sz w:val="22"/>
        </w:rPr>
      </w:pPr>
    </w:p>
    <w:p w14:paraId="57C505D0" w14:textId="77777777" w:rsidR="001631A8" w:rsidRDefault="001631A8" w:rsidP="00C6554F">
      <w:pPr>
        <w:spacing w:before="240" w:line="360" w:lineRule="auto"/>
        <w:jc w:val="both"/>
        <w:rPr>
          <w:rFonts w:ascii="Arial" w:hAnsi="Arial" w:cs="Arial"/>
          <w:b/>
          <w:bCs/>
          <w:sz w:val="22"/>
        </w:rPr>
      </w:pPr>
    </w:p>
    <w:p w14:paraId="1DA14EED" w14:textId="77777777" w:rsidR="001631A8" w:rsidRDefault="001631A8" w:rsidP="00C6554F">
      <w:pPr>
        <w:spacing w:before="240" w:line="360" w:lineRule="auto"/>
        <w:jc w:val="both"/>
        <w:rPr>
          <w:rFonts w:ascii="Arial" w:hAnsi="Arial" w:cs="Arial"/>
          <w:b/>
          <w:bCs/>
          <w:sz w:val="22"/>
        </w:rPr>
      </w:pPr>
    </w:p>
    <w:p w14:paraId="33460CF5" w14:textId="77777777" w:rsidR="001631A8" w:rsidRPr="00C6554F" w:rsidRDefault="001631A8" w:rsidP="00C6554F">
      <w:pPr>
        <w:spacing w:before="240" w:line="360" w:lineRule="auto"/>
        <w:jc w:val="both"/>
        <w:rPr>
          <w:rFonts w:ascii="Arial" w:hAnsi="Arial" w:cs="Arial"/>
          <w:b/>
          <w:bCs/>
          <w:sz w:val="22"/>
        </w:rPr>
      </w:pPr>
    </w:p>
    <w:p w14:paraId="5A789721" w14:textId="6FF6B22D" w:rsidR="006D2F2D" w:rsidRPr="00C6554F" w:rsidRDefault="006D2F2D" w:rsidP="00C6554F">
      <w:pPr>
        <w:spacing w:before="240" w:line="360" w:lineRule="auto"/>
        <w:jc w:val="both"/>
        <w:rPr>
          <w:rFonts w:ascii="Arial" w:hAnsi="Arial" w:cs="Arial"/>
          <w:b/>
          <w:bCs/>
          <w:sz w:val="22"/>
        </w:rPr>
      </w:pPr>
      <w:r w:rsidRPr="00C6554F">
        <w:rPr>
          <w:rFonts w:ascii="Arial" w:hAnsi="Arial" w:cs="Arial"/>
          <w:b/>
          <w:bCs/>
          <w:sz w:val="22"/>
        </w:rPr>
        <w:lastRenderedPageBreak/>
        <w:t>Reference</w:t>
      </w:r>
      <w:r w:rsidR="003E4ED4" w:rsidRPr="00C6554F">
        <w:rPr>
          <w:rFonts w:ascii="Arial" w:hAnsi="Arial" w:cs="Arial"/>
          <w:b/>
          <w:bCs/>
          <w:sz w:val="22"/>
        </w:rPr>
        <w:t>s</w:t>
      </w:r>
    </w:p>
    <w:p w14:paraId="216BF2EA" w14:textId="77777777" w:rsidR="001631A8" w:rsidRPr="00CD4E47" w:rsidRDefault="001631A8" w:rsidP="001631A8">
      <w:pPr>
        <w:pStyle w:val="font-claude-response-body"/>
        <w:spacing w:line="360" w:lineRule="auto"/>
        <w:jc w:val="both"/>
        <w:rPr>
          <w:rFonts w:ascii="Arial" w:hAnsi="Arial" w:cs="Arial"/>
          <w:sz w:val="22"/>
          <w:szCs w:val="22"/>
        </w:rPr>
      </w:pPr>
      <w:r w:rsidRPr="00CD4E47">
        <w:rPr>
          <w:rFonts w:ascii="Arial" w:hAnsi="Arial" w:cs="Arial"/>
          <w:sz w:val="22"/>
          <w:szCs w:val="22"/>
        </w:rPr>
        <w:t xml:space="preserve">Barnes, M. (2011) 'Abandoning care? A critical perspective on </w:t>
      </w:r>
      <w:proofErr w:type="spellStart"/>
      <w:r w:rsidRPr="00CD4E47">
        <w:rPr>
          <w:rFonts w:ascii="Arial" w:hAnsi="Arial" w:cs="Arial"/>
          <w:sz w:val="22"/>
          <w:szCs w:val="22"/>
        </w:rPr>
        <w:t>personalisation</w:t>
      </w:r>
      <w:proofErr w:type="spellEnd"/>
      <w:r w:rsidRPr="00CD4E47">
        <w:rPr>
          <w:rFonts w:ascii="Arial" w:hAnsi="Arial" w:cs="Arial"/>
          <w:sz w:val="22"/>
          <w:szCs w:val="22"/>
        </w:rPr>
        <w:t xml:space="preserve"> from an ethic of care', </w:t>
      </w:r>
      <w:r w:rsidRPr="00CD4E47">
        <w:rPr>
          <w:rStyle w:val="Emphasis"/>
          <w:rFonts w:ascii="Arial" w:hAnsi="Arial" w:cs="Arial"/>
          <w:sz w:val="22"/>
          <w:szCs w:val="22"/>
        </w:rPr>
        <w:t>Ethics and Social Welfare</w:t>
      </w:r>
      <w:r w:rsidRPr="00CD4E47">
        <w:rPr>
          <w:rFonts w:ascii="Arial" w:hAnsi="Arial" w:cs="Arial"/>
          <w:sz w:val="22"/>
          <w:szCs w:val="22"/>
        </w:rPr>
        <w:t xml:space="preserve">, 5(2), pp. 153–167. Available at: </w:t>
      </w:r>
      <w:hyperlink r:id="rId9" w:history="1">
        <w:r w:rsidRPr="00CD4E47">
          <w:rPr>
            <w:rStyle w:val="Hyperlink"/>
            <w:rFonts w:ascii="Arial" w:hAnsi="Arial" w:cs="Arial"/>
            <w:sz w:val="22"/>
            <w:szCs w:val="22"/>
          </w:rPr>
          <w:t>https://doi.org/10.1080/17496535.2010.484265</w:t>
        </w:r>
      </w:hyperlink>
    </w:p>
    <w:p w14:paraId="4552C1AA" w14:textId="77777777" w:rsidR="001631A8" w:rsidRPr="00CD4E47" w:rsidRDefault="001631A8" w:rsidP="001631A8">
      <w:pPr>
        <w:pStyle w:val="font-claude-response-body"/>
        <w:spacing w:line="360" w:lineRule="auto"/>
        <w:jc w:val="both"/>
        <w:rPr>
          <w:rFonts w:ascii="Arial" w:hAnsi="Arial" w:cs="Arial"/>
          <w:sz w:val="22"/>
          <w:szCs w:val="22"/>
        </w:rPr>
      </w:pPr>
      <w:r w:rsidRPr="00CD4E47">
        <w:rPr>
          <w:rFonts w:ascii="Arial" w:hAnsi="Arial" w:cs="Arial"/>
          <w:sz w:val="22"/>
          <w:szCs w:val="22"/>
        </w:rPr>
        <w:t xml:space="preserve">Beach, B., Bélanger-Hardy, L., Harding, S., Rodrigues Perracini, M., Garcia, L., Tripathi, I., Gillis, M. and Dow, B. (2022) 'Caring for the caregiver: Why policy must shift from addressing needs to enabling caregivers to flourish', </w:t>
      </w:r>
      <w:r w:rsidRPr="00CD4E47">
        <w:rPr>
          <w:rStyle w:val="Emphasis"/>
          <w:rFonts w:ascii="Arial" w:hAnsi="Arial" w:cs="Arial"/>
          <w:sz w:val="22"/>
          <w:szCs w:val="22"/>
        </w:rPr>
        <w:t>Frontiers in Public Health</w:t>
      </w:r>
      <w:r w:rsidRPr="00CD4E47">
        <w:rPr>
          <w:rFonts w:ascii="Arial" w:hAnsi="Arial" w:cs="Arial"/>
          <w:sz w:val="22"/>
          <w:szCs w:val="22"/>
        </w:rPr>
        <w:t xml:space="preserve">, 10, 997981. Available at: </w:t>
      </w:r>
      <w:hyperlink r:id="rId10" w:history="1">
        <w:r w:rsidRPr="00CD4E47">
          <w:rPr>
            <w:rStyle w:val="Hyperlink"/>
            <w:rFonts w:ascii="Arial" w:hAnsi="Arial" w:cs="Arial"/>
            <w:sz w:val="22"/>
            <w:szCs w:val="22"/>
          </w:rPr>
          <w:t>https://doi.org/10.3389/fpubh.2022.997981</w:t>
        </w:r>
      </w:hyperlink>
    </w:p>
    <w:p w14:paraId="12DC7B9D" w14:textId="77777777" w:rsidR="001631A8" w:rsidRPr="00CD4E47" w:rsidRDefault="001631A8" w:rsidP="001631A8">
      <w:pPr>
        <w:pStyle w:val="font-claude-response-body"/>
        <w:spacing w:line="360" w:lineRule="auto"/>
        <w:jc w:val="both"/>
        <w:rPr>
          <w:rFonts w:ascii="Arial" w:hAnsi="Arial" w:cs="Arial"/>
          <w:sz w:val="22"/>
          <w:szCs w:val="22"/>
        </w:rPr>
      </w:pPr>
      <w:r w:rsidRPr="00CD4E47">
        <w:rPr>
          <w:rFonts w:ascii="Arial" w:hAnsi="Arial" w:cs="Arial"/>
          <w:sz w:val="22"/>
          <w:szCs w:val="22"/>
        </w:rPr>
        <w:t xml:space="preserve">Cohen-Mansfield, J. (2021) 'The rights of persons with dementia and their meanings', </w:t>
      </w:r>
      <w:r w:rsidRPr="00CD4E47">
        <w:rPr>
          <w:rStyle w:val="Emphasis"/>
          <w:rFonts w:ascii="Arial" w:hAnsi="Arial" w:cs="Arial"/>
          <w:sz w:val="22"/>
          <w:szCs w:val="22"/>
        </w:rPr>
        <w:t>Journal of the American Medical Directors Association</w:t>
      </w:r>
      <w:r w:rsidRPr="00CD4E47">
        <w:rPr>
          <w:rFonts w:ascii="Arial" w:hAnsi="Arial" w:cs="Arial"/>
          <w:sz w:val="22"/>
          <w:szCs w:val="22"/>
        </w:rPr>
        <w:t xml:space="preserve">, 22(7), pp. 1381–1385. Available at: </w:t>
      </w:r>
      <w:hyperlink r:id="rId11" w:history="1">
        <w:r w:rsidRPr="00CD4E47">
          <w:rPr>
            <w:rStyle w:val="Hyperlink"/>
            <w:rFonts w:ascii="Arial" w:hAnsi="Arial" w:cs="Arial"/>
            <w:sz w:val="22"/>
            <w:szCs w:val="22"/>
          </w:rPr>
          <w:t>https://doi.org/10.1016/j.jamda.2021.03.007</w:t>
        </w:r>
      </w:hyperlink>
    </w:p>
    <w:p w14:paraId="2F7EFC3F" w14:textId="77777777" w:rsidR="001631A8" w:rsidRPr="00CD4E47" w:rsidRDefault="001631A8" w:rsidP="001631A8">
      <w:pPr>
        <w:pStyle w:val="NormalWeb"/>
        <w:spacing w:before="240" w:beforeAutospacing="0" w:after="160" w:afterAutospacing="0" w:line="360" w:lineRule="auto"/>
        <w:jc w:val="both"/>
        <w:rPr>
          <w:rFonts w:ascii="Arial" w:hAnsi="Arial" w:cs="Arial"/>
          <w:sz w:val="22"/>
          <w:szCs w:val="22"/>
        </w:rPr>
      </w:pPr>
      <w:r w:rsidRPr="00CD4E47">
        <w:rPr>
          <w:rFonts w:ascii="Arial" w:hAnsi="Arial" w:cs="Arial"/>
          <w:sz w:val="22"/>
          <w:szCs w:val="22"/>
        </w:rPr>
        <w:t xml:space="preserve">Department of Health (2012) </w:t>
      </w:r>
      <w:r w:rsidRPr="00CD4E47">
        <w:rPr>
          <w:rStyle w:val="Emphasis"/>
          <w:rFonts w:ascii="Arial" w:hAnsi="Arial" w:cs="Arial"/>
          <w:sz w:val="22"/>
          <w:szCs w:val="22"/>
        </w:rPr>
        <w:t>Compassion in Practice: Nursing, Midwifery and Care Staff Vision and Strategy</w:t>
      </w:r>
      <w:r w:rsidRPr="00CD4E47">
        <w:rPr>
          <w:rFonts w:ascii="Arial" w:hAnsi="Arial" w:cs="Arial"/>
          <w:sz w:val="22"/>
          <w:szCs w:val="22"/>
        </w:rPr>
        <w:t xml:space="preserve">. </w:t>
      </w:r>
      <w:r>
        <w:rPr>
          <w:rFonts w:ascii="Arial" w:hAnsi="Arial" w:cs="Arial"/>
          <w:color w:val="000000"/>
          <w:sz w:val="22"/>
          <w:szCs w:val="22"/>
        </w:rPr>
        <w:t xml:space="preserve">Available at: </w:t>
      </w:r>
      <w:hyperlink r:id="rId12" w:history="1">
        <w:r w:rsidRPr="005212B6">
          <w:rPr>
            <w:rStyle w:val="Hyperlink"/>
            <w:rFonts w:ascii="Arial" w:hAnsi="Arial" w:cs="Arial"/>
            <w:sz w:val="22"/>
            <w:szCs w:val="22"/>
          </w:rPr>
          <w:t>https://www.england.nhs.uk/wp-content/uploads/2012/12/compassion-in-practice.pdf</w:t>
        </w:r>
      </w:hyperlink>
      <w:r>
        <w:rPr>
          <w:rFonts w:ascii="Arial" w:hAnsi="Arial" w:cs="Arial"/>
          <w:color w:val="000000"/>
          <w:sz w:val="22"/>
          <w:szCs w:val="22"/>
        </w:rPr>
        <w:t xml:space="preserve"> (Accessed 16th July 2026).</w:t>
      </w:r>
    </w:p>
    <w:p w14:paraId="359FB7EE" w14:textId="77777777" w:rsidR="001631A8" w:rsidRPr="00CD4E47" w:rsidRDefault="001631A8" w:rsidP="001631A8">
      <w:pPr>
        <w:pStyle w:val="font-claude-response-body"/>
        <w:spacing w:line="360" w:lineRule="auto"/>
        <w:jc w:val="both"/>
        <w:rPr>
          <w:rFonts w:ascii="Arial" w:hAnsi="Arial" w:cs="Arial"/>
          <w:sz w:val="22"/>
          <w:szCs w:val="22"/>
        </w:rPr>
      </w:pPr>
      <w:r w:rsidRPr="00CD4E47">
        <w:rPr>
          <w:rFonts w:ascii="Arial" w:hAnsi="Arial" w:cs="Arial"/>
          <w:sz w:val="22"/>
          <w:szCs w:val="22"/>
        </w:rPr>
        <w:t xml:space="preserve">Durmuş, D. (2022) 'Care ethics and paternalism: a Beauvoirian approach', </w:t>
      </w:r>
      <w:r w:rsidRPr="00CD4E47">
        <w:rPr>
          <w:rStyle w:val="Emphasis"/>
          <w:rFonts w:ascii="Arial" w:hAnsi="Arial" w:cs="Arial"/>
          <w:sz w:val="22"/>
          <w:szCs w:val="22"/>
        </w:rPr>
        <w:t>Philosophies</w:t>
      </w:r>
      <w:r w:rsidRPr="00CD4E47">
        <w:rPr>
          <w:rFonts w:ascii="Arial" w:hAnsi="Arial" w:cs="Arial"/>
          <w:sz w:val="22"/>
          <w:szCs w:val="22"/>
        </w:rPr>
        <w:t xml:space="preserve">, 7(3), 53. Available at: </w:t>
      </w:r>
      <w:hyperlink r:id="rId13" w:history="1">
        <w:r w:rsidRPr="00CD4E47">
          <w:rPr>
            <w:rStyle w:val="Hyperlink"/>
            <w:rFonts w:ascii="Arial" w:hAnsi="Arial" w:cs="Arial"/>
            <w:sz w:val="22"/>
            <w:szCs w:val="22"/>
          </w:rPr>
          <w:t>https://doi.org/10.3390/philosophies7030053</w:t>
        </w:r>
      </w:hyperlink>
    </w:p>
    <w:p w14:paraId="4B600465" w14:textId="77777777" w:rsidR="001631A8" w:rsidRPr="00CD4E47" w:rsidRDefault="001631A8" w:rsidP="001631A8">
      <w:pPr>
        <w:pStyle w:val="font-claude-response-body"/>
        <w:spacing w:line="360" w:lineRule="auto"/>
        <w:jc w:val="both"/>
        <w:rPr>
          <w:rFonts w:ascii="Arial" w:hAnsi="Arial" w:cs="Arial"/>
          <w:sz w:val="22"/>
          <w:szCs w:val="22"/>
        </w:rPr>
      </w:pPr>
      <w:proofErr w:type="spellStart"/>
      <w:r w:rsidRPr="00CD4E47">
        <w:rPr>
          <w:rFonts w:ascii="Arial" w:hAnsi="Arial" w:cs="Arial"/>
          <w:sz w:val="22"/>
          <w:szCs w:val="22"/>
        </w:rPr>
        <w:t>Engster</w:t>
      </w:r>
      <w:proofErr w:type="spellEnd"/>
      <w:r w:rsidRPr="00CD4E47">
        <w:rPr>
          <w:rFonts w:ascii="Arial" w:hAnsi="Arial" w:cs="Arial"/>
          <w:sz w:val="22"/>
          <w:szCs w:val="22"/>
        </w:rPr>
        <w:t xml:space="preserve">, D. (2007) </w:t>
      </w:r>
      <w:r w:rsidRPr="00CD4E47">
        <w:rPr>
          <w:rStyle w:val="Emphasis"/>
          <w:rFonts w:ascii="Arial" w:hAnsi="Arial" w:cs="Arial"/>
          <w:sz w:val="22"/>
          <w:szCs w:val="22"/>
        </w:rPr>
        <w:t>The Heart of Justice: Care Ethics and Political Theory</w:t>
      </w:r>
      <w:r w:rsidRPr="00CD4E47">
        <w:rPr>
          <w:rFonts w:ascii="Arial" w:hAnsi="Arial" w:cs="Arial"/>
          <w:sz w:val="22"/>
          <w:szCs w:val="22"/>
        </w:rPr>
        <w:t>. Oxford: Oxford University Press.</w:t>
      </w:r>
    </w:p>
    <w:p w14:paraId="3D9575DA" w14:textId="77777777" w:rsidR="001631A8" w:rsidRPr="00CD4E47" w:rsidRDefault="001631A8" w:rsidP="001631A8">
      <w:pPr>
        <w:pStyle w:val="font-claude-response-body"/>
        <w:spacing w:line="360" w:lineRule="auto"/>
        <w:jc w:val="both"/>
        <w:rPr>
          <w:rFonts w:ascii="Arial" w:hAnsi="Arial" w:cs="Arial"/>
          <w:sz w:val="22"/>
          <w:szCs w:val="22"/>
        </w:rPr>
      </w:pPr>
      <w:r w:rsidRPr="00CD4E47">
        <w:rPr>
          <w:rFonts w:ascii="Arial" w:hAnsi="Arial" w:cs="Arial"/>
          <w:sz w:val="22"/>
          <w:szCs w:val="22"/>
        </w:rPr>
        <w:t xml:space="preserve">Fisher, </w:t>
      </w:r>
      <w:r>
        <w:rPr>
          <w:rFonts w:ascii="Arial" w:hAnsi="Arial" w:cs="Arial"/>
          <w:sz w:val="22"/>
          <w:szCs w:val="22"/>
        </w:rPr>
        <w:t>D. U</w:t>
      </w:r>
      <w:r w:rsidRPr="00CD4E47">
        <w:rPr>
          <w:rFonts w:ascii="Arial" w:hAnsi="Arial" w:cs="Arial"/>
          <w:sz w:val="22"/>
          <w:szCs w:val="22"/>
        </w:rPr>
        <w:t xml:space="preserve">. and Foster, </w:t>
      </w:r>
      <w:r>
        <w:rPr>
          <w:rFonts w:ascii="Arial" w:hAnsi="Arial" w:cs="Arial"/>
          <w:sz w:val="22"/>
          <w:szCs w:val="22"/>
        </w:rPr>
        <w:t>L</w:t>
      </w:r>
      <w:r w:rsidRPr="00CD4E47">
        <w:rPr>
          <w:rFonts w:ascii="Arial" w:hAnsi="Arial" w:cs="Arial"/>
          <w:sz w:val="22"/>
          <w:szCs w:val="22"/>
        </w:rPr>
        <w:t xml:space="preserve">. (2025) 'Paid care worker organizing in England: priorities and progress?', </w:t>
      </w:r>
      <w:r w:rsidRPr="00CD4E47">
        <w:rPr>
          <w:rStyle w:val="Emphasis"/>
          <w:rFonts w:ascii="Arial" w:hAnsi="Arial" w:cs="Arial"/>
          <w:sz w:val="22"/>
          <w:szCs w:val="22"/>
        </w:rPr>
        <w:t>Frontiers in Sociology</w:t>
      </w:r>
      <w:r w:rsidRPr="00CD4E47">
        <w:rPr>
          <w:rFonts w:ascii="Arial" w:hAnsi="Arial" w:cs="Arial"/>
          <w:sz w:val="22"/>
          <w:szCs w:val="22"/>
        </w:rPr>
        <w:t xml:space="preserve">, 10, 1548473. Available at: </w:t>
      </w:r>
      <w:hyperlink r:id="rId14" w:history="1">
        <w:r w:rsidRPr="00CD4E47">
          <w:rPr>
            <w:rStyle w:val="Hyperlink"/>
            <w:rFonts w:ascii="Arial" w:hAnsi="Arial" w:cs="Arial"/>
            <w:sz w:val="22"/>
            <w:szCs w:val="22"/>
          </w:rPr>
          <w:t>https://doi.org/10.3389/fsoc.2025.1548473</w:t>
        </w:r>
      </w:hyperlink>
    </w:p>
    <w:p w14:paraId="29D6F9E6" w14:textId="77777777" w:rsidR="001631A8" w:rsidRPr="00CD4E47" w:rsidRDefault="001631A8" w:rsidP="001631A8">
      <w:pPr>
        <w:pStyle w:val="font-claude-response-body"/>
        <w:spacing w:line="360" w:lineRule="auto"/>
        <w:jc w:val="both"/>
        <w:rPr>
          <w:rFonts w:ascii="Arial" w:hAnsi="Arial" w:cs="Arial"/>
          <w:sz w:val="22"/>
          <w:szCs w:val="22"/>
        </w:rPr>
      </w:pPr>
      <w:r w:rsidRPr="00CD4E47">
        <w:rPr>
          <w:rFonts w:ascii="Arial" w:hAnsi="Arial" w:cs="Arial"/>
          <w:sz w:val="22"/>
          <w:szCs w:val="22"/>
        </w:rPr>
        <w:t xml:space="preserve">Gilligan, C. (1982) </w:t>
      </w:r>
      <w:r w:rsidRPr="00CD4E47">
        <w:rPr>
          <w:rStyle w:val="Emphasis"/>
          <w:rFonts w:ascii="Arial" w:hAnsi="Arial" w:cs="Arial"/>
          <w:sz w:val="22"/>
          <w:szCs w:val="22"/>
        </w:rPr>
        <w:t>In a Different Voice: Psychological Theory and Women's Development</w:t>
      </w:r>
      <w:r w:rsidRPr="00CD4E47">
        <w:rPr>
          <w:rFonts w:ascii="Arial" w:hAnsi="Arial" w:cs="Arial"/>
          <w:sz w:val="22"/>
          <w:szCs w:val="22"/>
        </w:rPr>
        <w:t>. Cambridge, MA: Harvard University Press.</w:t>
      </w:r>
    </w:p>
    <w:p w14:paraId="373DADE5" w14:textId="77777777" w:rsidR="001631A8" w:rsidRPr="00CD4E47" w:rsidRDefault="001631A8" w:rsidP="001631A8">
      <w:pPr>
        <w:pStyle w:val="font-claude-response-body"/>
        <w:spacing w:line="360" w:lineRule="auto"/>
        <w:jc w:val="both"/>
        <w:rPr>
          <w:rFonts w:ascii="Arial" w:hAnsi="Arial" w:cs="Arial"/>
          <w:sz w:val="22"/>
          <w:szCs w:val="22"/>
        </w:rPr>
      </w:pPr>
      <w:r w:rsidRPr="00CD4E47">
        <w:rPr>
          <w:rFonts w:ascii="Arial" w:hAnsi="Arial" w:cs="Arial"/>
          <w:sz w:val="22"/>
          <w:szCs w:val="22"/>
        </w:rPr>
        <w:t xml:space="preserve">Hankivsky, O. (2014) 'Rethinking care ethics: on the promise and potential of an intersectional analysis', </w:t>
      </w:r>
      <w:r w:rsidRPr="00CD4E47">
        <w:rPr>
          <w:rStyle w:val="Emphasis"/>
          <w:rFonts w:ascii="Arial" w:hAnsi="Arial" w:cs="Arial"/>
          <w:sz w:val="22"/>
          <w:szCs w:val="22"/>
        </w:rPr>
        <w:t>American Political Science Review</w:t>
      </w:r>
      <w:r w:rsidRPr="00CD4E47">
        <w:rPr>
          <w:rFonts w:ascii="Arial" w:hAnsi="Arial" w:cs="Arial"/>
          <w:sz w:val="22"/>
          <w:szCs w:val="22"/>
        </w:rPr>
        <w:t xml:space="preserve">, 108(2), pp. 252–264. Available at: </w:t>
      </w:r>
      <w:hyperlink r:id="rId15" w:history="1">
        <w:r w:rsidRPr="00CD4E47">
          <w:rPr>
            <w:rStyle w:val="Hyperlink"/>
            <w:rFonts w:ascii="Arial" w:hAnsi="Arial" w:cs="Arial"/>
            <w:sz w:val="22"/>
            <w:szCs w:val="22"/>
          </w:rPr>
          <w:t>https://doi.org/10.1017/S0003055414000094</w:t>
        </w:r>
      </w:hyperlink>
    </w:p>
    <w:p w14:paraId="5444ECA7" w14:textId="77777777" w:rsidR="001631A8" w:rsidRPr="00CD4E47" w:rsidRDefault="001631A8" w:rsidP="001631A8">
      <w:pPr>
        <w:pStyle w:val="font-claude-response-body"/>
        <w:spacing w:line="360" w:lineRule="auto"/>
        <w:jc w:val="both"/>
        <w:rPr>
          <w:rFonts w:ascii="Arial" w:hAnsi="Arial" w:cs="Arial"/>
          <w:sz w:val="22"/>
          <w:szCs w:val="22"/>
        </w:rPr>
      </w:pPr>
      <w:r w:rsidRPr="00CD4E47">
        <w:rPr>
          <w:rFonts w:ascii="Arial" w:hAnsi="Arial" w:cs="Arial"/>
          <w:sz w:val="22"/>
          <w:szCs w:val="22"/>
        </w:rPr>
        <w:t xml:space="preserve">Held, V. (2006) </w:t>
      </w:r>
      <w:r w:rsidRPr="00CD4E47">
        <w:rPr>
          <w:rStyle w:val="Emphasis"/>
          <w:rFonts w:ascii="Arial" w:hAnsi="Arial" w:cs="Arial"/>
          <w:sz w:val="22"/>
          <w:szCs w:val="22"/>
        </w:rPr>
        <w:t>The Ethics of Care: Personal, Political, and Global</w:t>
      </w:r>
      <w:r w:rsidRPr="00CD4E47">
        <w:rPr>
          <w:rFonts w:ascii="Arial" w:hAnsi="Arial" w:cs="Arial"/>
          <w:sz w:val="22"/>
          <w:szCs w:val="22"/>
        </w:rPr>
        <w:t>. Oxford: Oxford University Press.</w:t>
      </w:r>
    </w:p>
    <w:p w14:paraId="7337A0ED" w14:textId="77777777" w:rsidR="001631A8" w:rsidRPr="00CD4E47" w:rsidRDefault="001631A8" w:rsidP="001631A8">
      <w:pPr>
        <w:pStyle w:val="font-claude-response-body"/>
        <w:spacing w:line="360" w:lineRule="auto"/>
        <w:jc w:val="both"/>
        <w:rPr>
          <w:rFonts w:ascii="Arial" w:hAnsi="Arial" w:cs="Arial"/>
          <w:sz w:val="22"/>
          <w:szCs w:val="22"/>
        </w:rPr>
      </w:pPr>
      <w:r w:rsidRPr="00CD4E47">
        <w:rPr>
          <w:rFonts w:ascii="Arial" w:hAnsi="Arial" w:cs="Arial"/>
          <w:sz w:val="22"/>
          <w:szCs w:val="22"/>
        </w:rPr>
        <w:lastRenderedPageBreak/>
        <w:t xml:space="preserve">Hochschild, A.R. (2000) 'Global care chains and emotional surplus value', in Hutton, W. and Giddens, A. (eds) </w:t>
      </w:r>
      <w:r w:rsidRPr="00CD4E47">
        <w:rPr>
          <w:rStyle w:val="Emphasis"/>
          <w:rFonts w:ascii="Arial" w:hAnsi="Arial" w:cs="Arial"/>
          <w:sz w:val="22"/>
          <w:szCs w:val="22"/>
        </w:rPr>
        <w:t xml:space="preserve">On </w:t>
      </w:r>
      <w:proofErr w:type="gramStart"/>
      <w:r w:rsidRPr="00CD4E47">
        <w:rPr>
          <w:rStyle w:val="Emphasis"/>
          <w:rFonts w:ascii="Arial" w:hAnsi="Arial" w:cs="Arial"/>
          <w:sz w:val="22"/>
          <w:szCs w:val="22"/>
        </w:rPr>
        <w:t>The</w:t>
      </w:r>
      <w:proofErr w:type="gramEnd"/>
      <w:r w:rsidRPr="00CD4E47">
        <w:rPr>
          <w:rStyle w:val="Emphasis"/>
          <w:rFonts w:ascii="Arial" w:hAnsi="Arial" w:cs="Arial"/>
          <w:sz w:val="22"/>
          <w:szCs w:val="22"/>
        </w:rPr>
        <w:t xml:space="preserve"> Edge: Living with Global Capitalism</w:t>
      </w:r>
      <w:r w:rsidRPr="00CD4E47">
        <w:rPr>
          <w:rFonts w:ascii="Arial" w:hAnsi="Arial" w:cs="Arial"/>
          <w:sz w:val="22"/>
          <w:szCs w:val="22"/>
        </w:rPr>
        <w:t>. London: Jonathan Cape, pp. 130–146.</w:t>
      </w:r>
    </w:p>
    <w:p w14:paraId="38259145" w14:textId="77777777" w:rsidR="001631A8" w:rsidRPr="00CD4E47" w:rsidRDefault="001631A8" w:rsidP="001631A8">
      <w:pPr>
        <w:pStyle w:val="font-claude-response-body"/>
        <w:spacing w:line="360" w:lineRule="auto"/>
        <w:jc w:val="both"/>
        <w:rPr>
          <w:rFonts w:ascii="Arial" w:hAnsi="Arial" w:cs="Arial"/>
          <w:sz w:val="22"/>
          <w:szCs w:val="22"/>
        </w:rPr>
      </w:pPr>
      <w:r w:rsidRPr="00CD4E47">
        <w:rPr>
          <w:rFonts w:ascii="Arial" w:hAnsi="Arial" w:cs="Arial"/>
          <w:sz w:val="22"/>
          <w:szCs w:val="22"/>
        </w:rPr>
        <w:t>Hummell, E., Borg, S.</w:t>
      </w:r>
      <w:r>
        <w:rPr>
          <w:rFonts w:ascii="Arial" w:hAnsi="Arial" w:cs="Arial"/>
          <w:sz w:val="22"/>
          <w:szCs w:val="22"/>
        </w:rPr>
        <w:t xml:space="preserve"> </w:t>
      </w:r>
      <w:r w:rsidRPr="00CD4E47">
        <w:rPr>
          <w:rFonts w:ascii="Arial" w:hAnsi="Arial" w:cs="Arial"/>
          <w:sz w:val="22"/>
          <w:szCs w:val="22"/>
        </w:rPr>
        <w:t xml:space="preserve">J., Foster, M., Fisher, K.R. and Needham, C. (2023) 'Breaking up is risky business: </w:t>
      </w:r>
      <w:proofErr w:type="spellStart"/>
      <w:r w:rsidRPr="00CD4E47">
        <w:rPr>
          <w:rFonts w:ascii="Arial" w:hAnsi="Arial" w:cs="Arial"/>
          <w:sz w:val="22"/>
          <w:szCs w:val="22"/>
        </w:rPr>
        <w:t>personalisation</w:t>
      </w:r>
      <w:proofErr w:type="spellEnd"/>
      <w:r w:rsidRPr="00CD4E47">
        <w:rPr>
          <w:rFonts w:ascii="Arial" w:hAnsi="Arial" w:cs="Arial"/>
          <w:sz w:val="22"/>
          <w:szCs w:val="22"/>
        </w:rPr>
        <w:t xml:space="preserve"> and collaboration in a </w:t>
      </w:r>
      <w:proofErr w:type="spellStart"/>
      <w:r w:rsidRPr="00CD4E47">
        <w:rPr>
          <w:rFonts w:ascii="Arial" w:hAnsi="Arial" w:cs="Arial"/>
          <w:sz w:val="22"/>
          <w:szCs w:val="22"/>
        </w:rPr>
        <w:t>marketised</w:t>
      </w:r>
      <w:proofErr w:type="spellEnd"/>
      <w:r w:rsidRPr="00CD4E47">
        <w:rPr>
          <w:rFonts w:ascii="Arial" w:hAnsi="Arial" w:cs="Arial"/>
          <w:sz w:val="22"/>
          <w:szCs w:val="22"/>
        </w:rPr>
        <w:t xml:space="preserve"> disability sector', </w:t>
      </w:r>
      <w:r w:rsidRPr="00CD4E47">
        <w:rPr>
          <w:rStyle w:val="Emphasis"/>
          <w:rFonts w:ascii="Arial" w:hAnsi="Arial" w:cs="Arial"/>
          <w:sz w:val="22"/>
          <w:szCs w:val="22"/>
        </w:rPr>
        <w:t>Social Policy and Society</w:t>
      </w:r>
      <w:r w:rsidRPr="00CD4E47">
        <w:rPr>
          <w:rFonts w:ascii="Arial" w:hAnsi="Arial" w:cs="Arial"/>
          <w:sz w:val="22"/>
          <w:szCs w:val="22"/>
        </w:rPr>
        <w:t>, 22(1), pp. 155–17</w:t>
      </w:r>
      <w:r>
        <w:rPr>
          <w:rFonts w:ascii="Arial" w:hAnsi="Arial" w:cs="Arial"/>
          <w:sz w:val="22"/>
          <w:szCs w:val="22"/>
        </w:rPr>
        <w:t>1</w:t>
      </w:r>
      <w:r w:rsidRPr="00CD4E47">
        <w:rPr>
          <w:rFonts w:ascii="Arial" w:hAnsi="Arial" w:cs="Arial"/>
          <w:sz w:val="22"/>
          <w:szCs w:val="22"/>
        </w:rPr>
        <w:t>.</w:t>
      </w:r>
      <w:r>
        <w:rPr>
          <w:rFonts w:ascii="Arial" w:hAnsi="Arial" w:cs="Arial"/>
          <w:sz w:val="22"/>
          <w:szCs w:val="22"/>
        </w:rPr>
        <w:t xml:space="preserve"> Available at: </w:t>
      </w:r>
      <w:hyperlink r:id="rId16" w:history="1">
        <w:r w:rsidRPr="005212B6">
          <w:rPr>
            <w:rStyle w:val="Hyperlink"/>
            <w:rFonts w:ascii="Arial" w:hAnsi="Arial" w:cs="Arial"/>
            <w:sz w:val="22"/>
            <w:szCs w:val="22"/>
          </w:rPr>
          <w:t>https://doi.org/10.1017/S1474746422000410</w:t>
        </w:r>
      </w:hyperlink>
      <w:r>
        <w:rPr>
          <w:rFonts w:ascii="Arial" w:hAnsi="Arial" w:cs="Arial"/>
          <w:sz w:val="22"/>
          <w:szCs w:val="22"/>
        </w:rPr>
        <w:t xml:space="preserve"> </w:t>
      </w:r>
    </w:p>
    <w:p w14:paraId="1442D092" w14:textId="77777777" w:rsidR="001631A8" w:rsidRPr="00CD4E47" w:rsidRDefault="001631A8" w:rsidP="001631A8">
      <w:pPr>
        <w:pStyle w:val="font-claude-response-body"/>
        <w:spacing w:line="360" w:lineRule="auto"/>
        <w:jc w:val="both"/>
        <w:rPr>
          <w:rFonts w:ascii="Arial" w:hAnsi="Arial" w:cs="Arial"/>
          <w:sz w:val="22"/>
          <w:szCs w:val="22"/>
        </w:rPr>
      </w:pPr>
      <w:r w:rsidRPr="00CD4E47">
        <w:rPr>
          <w:rFonts w:ascii="Arial" w:hAnsi="Arial" w:cs="Arial"/>
          <w:sz w:val="22"/>
          <w:szCs w:val="22"/>
        </w:rPr>
        <w:t xml:space="preserve">Kittay, E.F. (1999) </w:t>
      </w:r>
      <w:r w:rsidRPr="00CD4E47">
        <w:rPr>
          <w:rStyle w:val="Emphasis"/>
          <w:rFonts w:ascii="Arial" w:hAnsi="Arial" w:cs="Arial"/>
          <w:sz w:val="22"/>
          <w:szCs w:val="22"/>
        </w:rPr>
        <w:t>Love's Labor: Essays on Women, Equality, and Dependency</w:t>
      </w:r>
      <w:r w:rsidRPr="00CD4E47">
        <w:rPr>
          <w:rFonts w:ascii="Arial" w:hAnsi="Arial" w:cs="Arial"/>
          <w:sz w:val="22"/>
          <w:szCs w:val="22"/>
        </w:rPr>
        <w:t>. New York: Routledge.</w:t>
      </w:r>
    </w:p>
    <w:p w14:paraId="624835F9" w14:textId="77777777" w:rsidR="001631A8" w:rsidRPr="00CD4E47" w:rsidRDefault="001631A8" w:rsidP="001631A8">
      <w:pPr>
        <w:pStyle w:val="font-claude-response-body"/>
        <w:spacing w:line="360" w:lineRule="auto"/>
        <w:jc w:val="both"/>
        <w:rPr>
          <w:rFonts w:ascii="Arial" w:hAnsi="Arial" w:cs="Arial"/>
          <w:sz w:val="22"/>
          <w:szCs w:val="22"/>
        </w:rPr>
      </w:pPr>
      <w:r w:rsidRPr="00CD4E47">
        <w:rPr>
          <w:rFonts w:ascii="Arial" w:hAnsi="Arial" w:cs="Arial"/>
          <w:sz w:val="22"/>
          <w:szCs w:val="22"/>
        </w:rPr>
        <w:t xml:space="preserve">Kittay, E.F. (2001) 'When caring is just and justice is caring: justice and mental retardation', </w:t>
      </w:r>
      <w:r w:rsidRPr="00CD4E47">
        <w:rPr>
          <w:rStyle w:val="Emphasis"/>
          <w:rFonts w:ascii="Arial" w:hAnsi="Arial" w:cs="Arial"/>
          <w:sz w:val="22"/>
          <w:szCs w:val="22"/>
        </w:rPr>
        <w:t>Public Culture</w:t>
      </w:r>
      <w:r w:rsidRPr="00CD4E47">
        <w:rPr>
          <w:rFonts w:ascii="Arial" w:hAnsi="Arial" w:cs="Arial"/>
          <w:sz w:val="22"/>
          <w:szCs w:val="22"/>
        </w:rPr>
        <w:t xml:space="preserve">, 13(3), pp. 557–579. Available at: </w:t>
      </w:r>
      <w:hyperlink r:id="rId17" w:history="1">
        <w:r w:rsidRPr="00CD4E47">
          <w:rPr>
            <w:rStyle w:val="Hyperlink"/>
            <w:rFonts w:ascii="Arial" w:hAnsi="Arial" w:cs="Arial"/>
            <w:sz w:val="22"/>
            <w:szCs w:val="22"/>
          </w:rPr>
          <w:t>https://doi.org/10.1215/08992363-13-3-557</w:t>
        </w:r>
      </w:hyperlink>
    </w:p>
    <w:p w14:paraId="074B6F7F" w14:textId="77777777" w:rsidR="001631A8" w:rsidRPr="00CD4E47" w:rsidRDefault="001631A8" w:rsidP="001631A8">
      <w:pPr>
        <w:pStyle w:val="font-claude-response-body"/>
        <w:spacing w:line="360" w:lineRule="auto"/>
        <w:jc w:val="both"/>
        <w:rPr>
          <w:rFonts w:ascii="Arial" w:hAnsi="Arial" w:cs="Arial"/>
          <w:sz w:val="22"/>
          <w:szCs w:val="22"/>
        </w:rPr>
      </w:pPr>
      <w:r w:rsidRPr="00CD4E47">
        <w:rPr>
          <w:rFonts w:ascii="Arial" w:hAnsi="Arial" w:cs="Arial"/>
          <w:sz w:val="22"/>
          <w:szCs w:val="22"/>
        </w:rPr>
        <w:t xml:space="preserve">Kröger, T. (2009) 'Care research and disability studies: nothing in common?', </w:t>
      </w:r>
      <w:r w:rsidRPr="00CD4E47">
        <w:rPr>
          <w:rStyle w:val="Emphasis"/>
          <w:rFonts w:ascii="Arial" w:hAnsi="Arial" w:cs="Arial"/>
          <w:sz w:val="22"/>
          <w:szCs w:val="22"/>
        </w:rPr>
        <w:t>Critical Social Policy</w:t>
      </w:r>
      <w:r w:rsidRPr="00CD4E47">
        <w:rPr>
          <w:rFonts w:ascii="Arial" w:hAnsi="Arial" w:cs="Arial"/>
          <w:sz w:val="22"/>
          <w:szCs w:val="22"/>
        </w:rPr>
        <w:t xml:space="preserve">, 29(3), pp. 398–420. Available at: </w:t>
      </w:r>
      <w:hyperlink r:id="rId18" w:history="1">
        <w:r w:rsidRPr="00CD4E47">
          <w:rPr>
            <w:rStyle w:val="Hyperlink"/>
            <w:rFonts w:ascii="Arial" w:hAnsi="Arial" w:cs="Arial"/>
            <w:sz w:val="22"/>
            <w:szCs w:val="22"/>
          </w:rPr>
          <w:t>https://doi.org/10.1177/0261018309105177</w:t>
        </w:r>
      </w:hyperlink>
    </w:p>
    <w:p w14:paraId="74010D09" w14:textId="77777777" w:rsidR="001631A8" w:rsidRPr="00CD4E47" w:rsidRDefault="001631A8" w:rsidP="001631A8">
      <w:pPr>
        <w:pStyle w:val="font-claude-response-body"/>
        <w:spacing w:line="360" w:lineRule="auto"/>
        <w:jc w:val="both"/>
        <w:rPr>
          <w:rFonts w:ascii="Arial" w:hAnsi="Arial" w:cs="Arial"/>
          <w:sz w:val="22"/>
          <w:szCs w:val="22"/>
        </w:rPr>
      </w:pPr>
      <w:r w:rsidRPr="00CD4E47">
        <w:rPr>
          <w:rFonts w:ascii="Arial" w:hAnsi="Arial" w:cs="Arial"/>
          <w:sz w:val="22"/>
          <w:szCs w:val="22"/>
        </w:rPr>
        <w:t xml:space="preserve">Lynch, K., Baker, J. and Lyons, M. (2009) </w:t>
      </w:r>
      <w:r w:rsidRPr="00CD4E47">
        <w:rPr>
          <w:rStyle w:val="Emphasis"/>
          <w:rFonts w:ascii="Arial" w:hAnsi="Arial" w:cs="Arial"/>
          <w:sz w:val="22"/>
          <w:szCs w:val="22"/>
        </w:rPr>
        <w:t>Affective Equality: Love, Care and Injustice</w:t>
      </w:r>
      <w:r w:rsidRPr="00CD4E47">
        <w:rPr>
          <w:rFonts w:ascii="Arial" w:hAnsi="Arial" w:cs="Arial"/>
          <w:sz w:val="22"/>
          <w:szCs w:val="22"/>
        </w:rPr>
        <w:t>. Basingstoke: Palgrave Macmillan.</w:t>
      </w:r>
    </w:p>
    <w:p w14:paraId="675E116C" w14:textId="77777777" w:rsidR="001631A8" w:rsidRPr="00CD4E47" w:rsidRDefault="001631A8" w:rsidP="001631A8">
      <w:pPr>
        <w:pStyle w:val="font-claude-response-body"/>
        <w:spacing w:line="360" w:lineRule="auto"/>
        <w:jc w:val="both"/>
        <w:rPr>
          <w:rFonts w:ascii="Arial" w:hAnsi="Arial" w:cs="Arial"/>
          <w:sz w:val="22"/>
          <w:szCs w:val="22"/>
        </w:rPr>
      </w:pPr>
      <w:r w:rsidRPr="00CD4E47">
        <w:rPr>
          <w:rFonts w:ascii="Arial" w:hAnsi="Arial" w:cs="Arial"/>
          <w:sz w:val="22"/>
          <w:szCs w:val="22"/>
        </w:rPr>
        <w:t xml:space="preserve">Meagher, G. and Szebehely, M. (2013) </w:t>
      </w:r>
      <w:r w:rsidRPr="00CD4E47">
        <w:rPr>
          <w:rStyle w:val="Emphasis"/>
          <w:rFonts w:ascii="Arial" w:hAnsi="Arial" w:cs="Arial"/>
          <w:sz w:val="22"/>
          <w:szCs w:val="22"/>
        </w:rPr>
        <w:t>Marketisation in Nordic Eldercare: A Research Report on Legislation, Oversight, Extent and Consequences</w:t>
      </w:r>
      <w:r w:rsidRPr="00CD4E47">
        <w:rPr>
          <w:rFonts w:ascii="Arial" w:hAnsi="Arial" w:cs="Arial"/>
          <w:sz w:val="22"/>
          <w:szCs w:val="22"/>
        </w:rPr>
        <w:t>. Stockholm: Stockholm University.</w:t>
      </w:r>
    </w:p>
    <w:p w14:paraId="1ECF3F84" w14:textId="77777777" w:rsidR="001631A8" w:rsidRPr="00CD4E47" w:rsidRDefault="001631A8" w:rsidP="001631A8">
      <w:pPr>
        <w:pStyle w:val="font-claude-response-body"/>
        <w:spacing w:line="360" w:lineRule="auto"/>
        <w:jc w:val="both"/>
        <w:rPr>
          <w:rFonts w:ascii="Arial" w:hAnsi="Arial" w:cs="Arial"/>
          <w:sz w:val="22"/>
          <w:szCs w:val="22"/>
        </w:rPr>
      </w:pPr>
      <w:proofErr w:type="spellStart"/>
      <w:r w:rsidRPr="00CD4E47">
        <w:rPr>
          <w:rFonts w:ascii="Arial" w:hAnsi="Arial" w:cs="Arial"/>
          <w:sz w:val="22"/>
          <w:szCs w:val="22"/>
        </w:rPr>
        <w:t>Noddings</w:t>
      </w:r>
      <w:proofErr w:type="spellEnd"/>
      <w:r w:rsidRPr="00CD4E47">
        <w:rPr>
          <w:rFonts w:ascii="Arial" w:hAnsi="Arial" w:cs="Arial"/>
          <w:sz w:val="22"/>
          <w:szCs w:val="22"/>
        </w:rPr>
        <w:t xml:space="preserve">, N. (1984) </w:t>
      </w:r>
      <w:r w:rsidRPr="00CD4E47">
        <w:rPr>
          <w:rStyle w:val="Emphasis"/>
          <w:rFonts w:ascii="Arial" w:hAnsi="Arial" w:cs="Arial"/>
          <w:sz w:val="22"/>
          <w:szCs w:val="22"/>
        </w:rPr>
        <w:t>Caring: A Feminine Approach to Ethics and Moral Education</w:t>
      </w:r>
      <w:r w:rsidRPr="00CD4E47">
        <w:rPr>
          <w:rFonts w:ascii="Arial" w:hAnsi="Arial" w:cs="Arial"/>
          <w:sz w:val="22"/>
          <w:szCs w:val="22"/>
        </w:rPr>
        <w:t>. Berkeley: University of California Press.</w:t>
      </w:r>
    </w:p>
    <w:p w14:paraId="0FC47848" w14:textId="77777777" w:rsidR="001631A8" w:rsidRPr="00CD4E47" w:rsidRDefault="001631A8" w:rsidP="001631A8">
      <w:pPr>
        <w:pStyle w:val="font-claude-response-body"/>
        <w:spacing w:line="360" w:lineRule="auto"/>
        <w:jc w:val="both"/>
        <w:rPr>
          <w:rFonts w:ascii="Arial" w:hAnsi="Arial" w:cs="Arial"/>
          <w:sz w:val="22"/>
          <w:szCs w:val="22"/>
        </w:rPr>
      </w:pPr>
      <w:r w:rsidRPr="00CD4E47">
        <w:rPr>
          <w:rFonts w:ascii="Arial" w:hAnsi="Arial" w:cs="Arial"/>
          <w:sz w:val="22"/>
          <w:szCs w:val="22"/>
        </w:rPr>
        <w:t xml:space="preserve">Nursing and Midwifery Council (2018) </w:t>
      </w:r>
      <w:r w:rsidRPr="00CD4E47">
        <w:rPr>
          <w:rStyle w:val="Emphasis"/>
          <w:rFonts w:ascii="Arial" w:hAnsi="Arial" w:cs="Arial"/>
          <w:sz w:val="22"/>
          <w:szCs w:val="22"/>
        </w:rPr>
        <w:t xml:space="preserve">The Code: Professional Standards of Practice and </w:t>
      </w:r>
      <w:proofErr w:type="spellStart"/>
      <w:r w:rsidRPr="00CD4E47">
        <w:rPr>
          <w:rStyle w:val="Emphasis"/>
          <w:rFonts w:ascii="Arial" w:hAnsi="Arial" w:cs="Arial"/>
          <w:sz w:val="22"/>
          <w:szCs w:val="22"/>
        </w:rPr>
        <w:t>Behaviour</w:t>
      </w:r>
      <w:proofErr w:type="spellEnd"/>
      <w:r w:rsidRPr="00CD4E47">
        <w:rPr>
          <w:rStyle w:val="Emphasis"/>
          <w:rFonts w:ascii="Arial" w:hAnsi="Arial" w:cs="Arial"/>
          <w:sz w:val="22"/>
          <w:szCs w:val="22"/>
        </w:rPr>
        <w:t xml:space="preserve"> for Nurses, Midwives and Nursing Associates</w:t>
      </w:r>
      <w:r w:rsidRPr="00CD4E47">
        <w:rPr>
          <w:rFonts w:ascii="Arial" w:hAnsi="Arial" w:cs="Arial"/>
          <w:sz w:val="22"/>
          <w:szCs w:val="22"/>
        </w:rPr>
        <w:t>. London: NMC.</w:t>
      </w:r>
    </w:p>
    <w:p w14:paraId="7F472703" w14:textId="77777777" w:rsidR="001631A8" w:rsidRPr="00CD4E47" w:rsidRDefault="001631A8" w:rsidP="001631A8">
      <w:pPr>
        <w:pStyle w:val="font-claude-response-body"/>
        <w:spacing w:line="360" w:lineRule="auto"/>
        <w:jc w:val="both"/>
        <w:rPr>
          <w:rFonts w:ascii="Arial" w:hAnsi="Arial" w:cs="Arial"/>
          <w:sz w:val="22"/>
          <w:szCs w:val="22"/>
        </w:rPr>
      </w:pPr>
      <w:r w:rsidRPr="00CD4E47">
        <w:rPr>
          <w:rFonts w:ascii="Arial" w:hAnsi="Arial" w:cs="Arial"/>
          <w:sz w:val="22"/>
          <w:szCs w:val="22"/>
        </w:rPr>
        <w:t xml:space="preserve">Oliver, M. (1990) </w:t>
      </w:r>
      <w:r w:rsidRPr="00CD4E47">
        <w:rPr>
          <w:rStyle w:val="Emphasis"/>
          <w:rFonts w:ascii="Arial" w:hAnsi="Arial" w:cs="Arial"/>
          <w:sz w:val="22"/>
          <w:szCs w:val="22"/>
        </w:rPr>
        <w:t>The Politics of Disablement</w:t>
      </w:r>
      <w:r w:rsidRPr="00CD4E47">
        <w:rPr>
          <w:rFonts w:ascii="Arial" w:hAnsi="Arial" w:cs="Arial"/>
          <w:sz w:val="22"/>
          <w:szCs w:val="22"/>
        </w:rPr>
        <w:t>. Basingstoke: Macmillan.</w:t>
      </w:r>
    </w:p>
    <w:p w14:paraId="67B09B85" w14:textId="77777777" w:rsidR="001631A8" w:rsidRPr="00CD4E47" w:rsidRDefault="001631A8" w:rsidP="001631A8">
      <w:pPr>
        <w:pStyle w:val="font-claude-response-body"/>
        <w:spacing w:line="360" w:lineRule="auto"/>
        <w:jc w:val="both"/>
        <w:rPr>
          <w:rFonts w:ascii="Arial" w:hAnsi="Arial" w:cs="Arial"/>
          <w:sz w:val="22"/>
          <w:szCs w:val="22"/>
        </w:rPr>
      </w:pPr>
      <w:r w:rsidRPr="00CD4E47">
        <w:rPr>
          <w:rFonts w:ascii="Arial" w:hAnsi="Arial" w:cs="Arial"/>
          <w:sz w:val="22"/>
          <w:szCs w:val="22"/>
        </w:rPr>
        <w:t>Owens, J., Mladenov, T. and Cribb, A. (201</w:t>
      </w:r>
      <w:r>
        <w:rPr>
          <w:rFonts w:ascii="Arial" w:hAnsi="Arial" w:cs="Arial"/>
          <w:sz w:val="22"/>
          <w:szCs w:val="22"/>
        </w:rPr>
        <w:t>6</w:t>
      </w:r>
      <w:r w:rsidRPr="00CD4E47">
        <w:rPr>
          <w:rFonts w:ascii="Arial" w:hAnsi="Arial" w:cs="Arial"/>
          <w:sz w:val="22"/>
          <w:szCs w:val="22"/>
        </w:rPr>
        <w:t xml:space="preserve">) 'What justice, what autonomy? The ethical constraints upon </w:t>
      </w:r>
      <w:proofErr w:type="spellStart"/>
      <w:r w:rsidRPr="00CD4E47">
        <w:rPr>
          <w:rFonts w:ascii="Arial" w:hAnsi="Arial" w:cs="Arial"/>
          <w:sz w:val="22"/>
          <w:szCs w:val="22"/>
        </w:rPr>
        <w:t>personalisation</w:t>
      </w:r>
      <w:proofErr w:type="spellEnd"/>
      <w:r w:rsidRPr="00CD4E47">
        <w:rPr>
          <w:rFonts w:ascii="Arial" w:hAnsi="Arial" w:cs="Arial"/>
          <w:sz w:val="22"/>
          <w:szCs w:val="22"/>
        </w:rPr>
        <w:t xml:space="preserve">', </w:t>
      </w:r>
      <w:r w:rsidRPr="00CD4E47">
        <w:rPr>
          <w:rStyle w:val="Emphasis"/>
          <w:rFonts w:ascii="Arial" w:hAnsi="Arial" w:cs="Arial"/>
          <w:sz w:val="22"/>
          <w:szCs w:val="22"/>
        </w:rPr>
        <w:t>Ethics and Social Welfare</w:t>
      </w:r>
      <w:r w:rsidRPr="00CD4E47">
        <w:rPr>
          <w:rFonts w:ascii="Arial" w:hAnsi="Arial" w:cs="Arial"/>
          <w:sz w:val="22"/>
          <w:szCs w:val="22"/>
        </w:rPr>
        <w:t>, 11(1), pp. 3–18.</w:t>
      </w:r>
      <w:r>
        <w:rPr>
          <w:rFonts w:ascii="Arial" w:hAnsi="Arial" w:cs="Arial"/>
          <w:sz w:val="22"/>
          <w:szCs w:val="22"/>
        </w:rPr>
        <w:t xml:space="preserve"> Available at: </w:t>
      </w:r>
      <w:hyperlink r:id="rId19" w:history="1">
        <w:r w:rsidRPr="005212B6">
          <w:rPr>
            <w:rStyle w:val="Hyperlink"/>
            <w:rFonts w:ascii="Arial" w:hAnsi="Arial" w:cs="Arial"/>
            <w:sz w:val="22"/>
            <w:szCs w:val="22"/>
          </w:rPr>
          <w:t>https://doi.org/10.1080/17496535.2016.1234631</w:t>
        </w:r>
      </w:hyperlink>
      <w:r>
        <w:rPr>
          <w:rFonts w:ascii="Arial" w:hAnsi="Arial" w:cs="Arial"/>
          <w:sz w:val="22"/>
          <w:szCs w:val="22"/>
        </w:rPr>
        <w:t xml:space="preserve"> </w:t>
      </w:r>
    </w:p>
    <w:p w14:paraId="7D4B19D9" w14:textId="77777777" w:rsidR="001631A8" w:rsidRPr="00CD4E47" w:rsidRDefault="001631A8" w:rsidP="001631A8">
      <w:pPr>
        <w:pStyle w:val="font-claude-response-body"/>
        <w:spacing w:line="360" w:lineRule="auto"/>
        <w:jc w:val="both"/>
        <w:rPr>
          <w:rFonts w:ascii="Arial" w:hAnsi="Arial" w:cs="Arial"/>
          <w:sz w:val="22"/>
          <w:szCs w:val="22"/>
        </w:rPr>
      </w:pPr>
      <w:r w:rsidRPr="00CD4E47">
        <w:rPr>
          <w:rFonts w:ascii="Arial" w:hAnsi="Arial" w:cs="Arial"/>
          <w:sz w:val="22"/>
          <w:szCs w:val="22"/>
        </w:rPr>
        <w:t xml:space="preserve">Robinson, F. (2020) 'Resisting hierarchies through relationality in the ethics of care', </w:t>
      </w:r>
      <w:r w:rsidRPr="00CD4E47">
        <w:rPr>
          <w:rStyle w:val="Emphasis"/>
          <w:rFonts w:ascii="Arial" w:hAnsi="Arial" w:cs="Arial"/>
          <w:sz w:val="22"/>
          <w:szCs w:val="22"/>
        </w:rPr>
        <w:t>International Journal of Care and Caring</w:t>
      </w:r>
      <w:r w:rsidRPr="00CD4E47">
        <w:rPr>
          <w:rFonts w:ascii="Arial" w:hAnsi="Arial" w:cs="Arial"/>
          <w:sz w:val="22"/>
          <w:szCs w:val="22"/>
        </w:rPr>
        <w:t xml:space="preserve">, 4(1), pp. 11–23. Available at: </w:t>
      </w:r>
      <w:hyperlink r:id="rId20" w:history="1">
        <w:r w:rsidRPr="00CD4E47">
          <w:rPr>
            <w:rStyle w:val="Hyperlink"/>
            <w:rFonts w:ascii="Arial" w:hAnsi="Arial" w:cs="Arial"/>
            <w:sz w:val="22"/>
            <w:szCs w:val="22"/>
          </w:rPr>
          <w:t>https://doi.org/10.1332/239788219X15659215344772</w:t>
        </w:r>
      </w:hyperlink>
    </w:p>
    <w:p w14:paraId="452BA68C" w14:textId="77777777" w:rsidR="001631A8" w:rsidRPr="00CD4E47" w:rsidRDefault="001631A8" w:rsidP="001631A8">
      <w:pPr>
        <w:pStyle w:val="font-claude-response-body"/>
        <w:spacing w:line="360" w:lineRule="auto"/>
        <w:jc w:val="both"/>
        <w:rPr>
          <w:rFonts w:ascii="Arial" w:hAnsi="Arial" w:cs="Arial"/>
          <w:sz w:val="22"/>
          <w:szCs w:val="22"/>
        </w:rPr>
      </w:pPr>
      <w:r w:rsidRPr="00CD4E47">
        <w:rPr>
          <w:rFonts w:ascii="Arial" w:hAnsi="Arial" w:cs="Arial"/>
          <w:sz w:val="22"/>
          <w:szCs w:val="22"/>
        </w:rPr>
        <w:lastRenderedPageBreak/>
        <w:t xml:space="preserve">Selvakumar, S. and Kenny, B. (2023) 'Ethics of care and moral resilience in health care practice: a scoping review', </w:t>
      </w:r>
      <w:r w:rsidRPr="00CD4E47">
        <w:rPr>
          <w:rStyle w:val="Emphasis"/>
          <w:rFonts w:ascii="Arial" w:hAnsi="Arial" w:cs="Arial"/>
          <w:sz w:val="22"/>
          <w:szCs w:val="22"/>
        </w:rPr>
        <w:t>Clinical Ethics</w:t>
      </w:r>
      <w:r w:rsidRPr="00CD4E47">
        <w:rPr>
          <w:rFonts w:ascii="Arial" w:hAnsi="Arial" w:cs="Arial"/>
          <w:sz w:val="22"/>
          <w:szCs w:val="22"/>
        </w:rPr>
        <w:t xml:space="preserve">, 18(3), pp. 300–312. Available at: </w:t>
      </w:r>
      <w:hyperlink r:id="rId21" w:history="1">
        <w:r w:rsidRPr="00CD4E47">
          <w:rPr>
            <w:rStyle w:val="Hyperlink"/>
            <w:rFonts w:ascii="Arial" w:hAnsi="Arial" w:cs="Arial"/>
            <w:sz w:val="22"/>
            <w:szCs w:val="22"/>
          </w:rPr>
          <w:t>https://doi.org/10.1177/14777509211061845</w:t>
        </w:r>
      </w:hyperlink>
    </w:p>
    <w:p w14:paraId="36A1277F" w14:textId="77777777" w:rsidR="001631A8" w:rsidRPr="00CD4E47" w:rsidRDefault="001631A8" w:rsidP="001631A8">
      <w:pPr>
        <w:pStyle w:val="font-claude-response-body"/>
        <w:spacing w:line="360" w:lineRule="auto"/>
        <w:jc w:val="both"/>
        <w:rPr>
          <w:rFonts w:ascii="Arial" w:hAnsi="Arial" w:cs="Arial"/>
          <w:sz w:val="22"/>
          <w:szCs w:val="22"/>
        </w:rPr>
      </w:pPr>
      <w:proofErr w:type="spellStart"/>
      <w:r w:rsidRPr="00CD4E47">
        <w:rPr>
          <w:rFonts w:ascii="Arial" w:hAnsi="Arial" w:cs="Arial"/>
          <w:sz w:val="22"/>
          <w:szCs w:val="22"/>
        </w:rPr>
        <w:t>Sevenhuijsen</w:t>
      </w:r>
      <w:proofErr w:type="spellEnd"/>
      <w:r w:rsidRPr="00CD4E47">
        <w:rPr>
          <w:rFonts w:ascii="Arial" w:hAnsi="Arial" w:cs="Arial"/>
          <w:sz w:val="22"/>
          <w:szCs w:val="22"/>
        </w:rPr>
        <w:t xml:space="preserve">, S. (1998) </w:t>
      </w:r>
      <w:r w:rsidRPr="00CD4E47">
        <w:rPr>
          <w:rStyle w:val="Emphasis"/>
          <w:rFonts w:ascii="Arial" w:hAnsi="Arial" w:cs="Arial"/>
          <w:sz w:val="22"/>
          <w:szCs w:val="22"/>
        </w:rPr>
        <w:t>Citizenship and the Ethics of Care: Feminist Considerations on Justice, Morality, and Politics</w:t>
      </w:r>
      <w:r w:rsidRPr="00CD4E47">
        <w:rPr>
          <w:rFonts w:ascii="Arial" w:hAnsi="Arial" w:cs="Arial"/>
          <w:sz w:val="22"/>
          <w:szCs w:val="22"/>
        </w:rPr>
        <w:t>. London: Routledge.</w:t>
      </w:r>
    </w:p>
    <w:p w14:paraId="5F74F66C" w14:textId="77777777" w:rsidR="001631A8" w:rsidRPr="00CD4E47" w:rsidRDefault="001631A8" w:rsidP="001631A8">
      <w:pPr>
        <w:pStyle w:val="font-claude-response-body"/>
        <w:spacing w:line="360" w:lineRule="auto"/>
        <w:jc w:val="both"/>
        <w:rPr>
          <w:rFonts w:ascii="Arial" w:hAnsi="Arial" w:cs="Arial"/>
          <w:sz w:val="22"/>
          <w:szCs w:val="22"/>
        </w:rPr>
      </w:pPr>
      <w:r w:rsidRPr="00CD4E47">
        <w:rPr>
          <w:rFonts w:ascii="Arial" w:hAnsi="Arial" w:cs="Arial"/>
          <w:sz w:val="22"/>
          <w:szCs w:val="22"/>
        </w:rPr>
        <w:t xml:space="preserve">Shakespeare, T. (2014) </w:t>
      </w:r>
      <w:r w:rsidRPr="00CD4E47">
        <w:rPr>
          <w:rStyle w:val="Emphasis"/>
          <w:rFonts w:ascii="Arial" w:hAnsi="Arial" w:cs="Arial"/>
          <w:sz w:val="22"/>
          <w:szCs w:val="22"/>
        </w:rPr>
        <w:t>Disability Rights and Wrongs Revisited</w:t>
      </w:r>
      <w:r w:rsidRPr="00CD4E47">
        <w:rPr>
          <w:rFonts w:ascii="Arial" w:hAnsi="Arial" w:cs="Arial"/>
          <w:sz w:val="22"/>
          <w:szCs w:val="22"/>
        </w:rPr>
        <w:t xml:space="preserve">. 2nd </w:t>
      </w:r>
      <w:proofErr w:type="spellStart"/>
      <w:r w:rsidRPr="00CD4E47">
        <w:rPr>
          <w:rFonts w:ascii="Arial" w:hAnsi="Arial" w:cs="Arial"/>
          <w:sz w:val="22"/>
          <w:szCs w:val="22"/>
        </w:rPr>
        <w:t>edn</w:t>
      </w:r>
      <w:proofErr w:type="spellEnd"/>
      <w:r w:rsidRPr="00CD4E47">
        <w:rPr>
          <w:rFonts w:ascii="Arial" w:hAnsi="Arial" w:cs="Arial"/>
          <w:sz w:val="22"/>
          <w:szCs w:val="22"/>
        </w:rPr>
        <w:t>. Abingdon: Routledge.</w:t>
      </w:r>
    </w:p>
    <w:p w14:paraId="251E6B6C" w14:textId="77777777" w:rsidR="001631A8" w:rsidRPr="00CD4E47" w:rsidRDefault="001631A8" w:rsidP="001631A8">
      <w:pPr>
        <w:pStyle w:val="font-claude-response-body"/>
        <w:spacing w:line="360" w:lineRule="auto"/>
        <w:jc w:val="both"/>
        <w:rPr>
          <w:rFonts w:ascii="Arial" w:hAnsi="Arial" w:cs="Arial"/>
          <w:sz w:val="22"/>
          <w:szCs w:val="22"/>
        </w:rPr>
      </w:pPr>
      <w:proofErr w:type="spellStart"/>
      <w:r w:rsidRPr="00CD4E47">
        <w:rPr>
          <w:rFonts w:ascii="Arial" w:hAnsi="Arial" w:cs="Arial"/>
          <w:sz w:val="22"/>
          <w:szCs w:val="22"/>
        </w:rPr>
        <w:t>Tronto</w:t>
      </w:r>
      <w:proofErr w:type="spellEnd"/>
      <w:r w:rsidRPr="00CD4E47">
        <w:rPr>
          <w:rFonts w:ascii="Arial" w:hAnsi="Arial" w:cs="Arial"/>
          <w:sz w:val="22"/>
          <w:szCs w:val="22"/>
        </w:rPr>
        <w:t xml:space="preserve">, J.C. (1993) </w:t>
      </w:r>
      <w:r w:rsidRPr="00CD4E47">
        <w:rPr>
          <w:rStyle w:val="Emphasis"/>
          <w:rFonts w:ascii="Arial" w:hAnsi="Arial" w:cs="Arial"/>
          <w:sz w:val="22"/>
          <w:szCs w:val="22"/>
        </w:rPr>
        <w:t>Moral Boundaries: A Political Argument for an Ethic of Care</w:t>
      </w:r>
      <w:r w:rsidRPr="00CD4E47">
        <w:rPr>
          <w:rFonts w:ascii="Arial" w:hAnsi="Arial" w:cs="Arial"/>
          <w:sz w:val="22"/>
          <w:szCs w:val="22"/>
        </w:rPr>
        <w:t>. New York: Routledge.</w:t>
      </w:r>
    </w:p>
    <w:p w14:paraId="1B0BCE13" w14:textId="77777777" w:rsidR="001631A8" w:rsidRPr="00CD4E47" w:rsidRDefault="001631A8" w:rsidP="001631A8">
      <w:pPr>
        <w:pStyle w:val="font-claude-response-body"/>
        <w:spacing w:line="360" w:lineRule="auto"/>
        <w:jc w:val="both"/>
        <w:rPr>
          <w:rFonts w:ascii="Arial" w:hAnsi="Arial" w:cs="Arial"/>
          <w:sz w:val="22"/>
          <w:szCs w:val="22"/>
        </w:rPr>
      </w:pPr>
      <w:proofErr w:type="spellStart"/>
      <w:r w:rsidRPr="00CD4E47">
        <w:rPr>
          <w:rFonts w:ascii="Arial" w:hAnsi="Arial" w:cs="Arial"/>
          <w:sz w:val="22"/>
          <w:szCs w:val="22"/>
        </w:rPr>
        <w:t>Tronto</w:t>
      </w:r>
      <w:proofErr w:type="spellEnd"/>
      <w:r w:rsidRPr="00CD4E47">
        <w:rPr>
          <w:rFonts w:ascii="Arial" w:hAnsi="Arial" w:cs="Arial"/>
          <w:sz w:val="22"/>
          <w:szCs w:val="22"/>
        </w:rPr>
        <w:t xml:space="preserve">, J.C. (2013) </w:t>
      </w:r>
      <w:r w:rsidRPr="00CD4E47">
        <w:rPr>
          <w:rStyle w:val="Emphasis"/>
          <w:rFonts w:ascii="Arial" w:hAnsi="Arial" w:cs="Arial"/>
          <w:sz w:val="22"/>
          <w:szCs w:val="22"/>
        </w:rPr>
        <w:t>Caring Democracy: Markets, Equality, and Justice</w:t>
      </w:r>
      <w:r w:rsidRPr="00CD4E47">
        <w:rPr>
          <w:rFonts w:ascii="Arial" w:hAnsi="Arial" w:cs="Arial"/>
          <w:sz w:val="22"/>
          <w:szCs w:val="22"/>
        </w:rPr>
        <w:t>. New York: New York University Press.</w:t>
      </w:r>
    </w:p>
    <w:p w14:paraId="2EED7F74" w14:textId="77777777" w:rsidR="001631A8" w:rsidRPr="00CD4E47" w:rsidRDefault="001631A8" w:rsidP="001631A8">
      <w:pPr>
        <w:pStyle w:val="font-claude-response-body"/>
        <w:spacing w:line="360" w:lineRule="auto"/>
        <w:jc w:val="both"/>
        <w:rPr>
          <w:rFonts w:ascii="Arial" w:hAnsi="Arial" w:cs="Arial"/>
          <w:sz w:val="22"/>
          <w:szCs w:val="22"/>
        </w:rPr>
      </w:pPr>
      <w:r w:rsidRPr="00CD4E47">
        <w:rPr>
          <w:rFonts w:ascii="Arial" w:hAnsi="Arial" w:cs="Arial"/>
          <w:sz w:val="22"/>
          <w:szCs w:val="22"/>
        </w:rPr>
        <w:t xml:space="preserve">Watson, J. (2008) </w:t>
      </w:r>
      <w:r w:rsidRPr="00CD4E47">
        <w:rPr>
          <w:rStyle w:val="Emphasis"/>
          <w:rFonts w:ascii="Arial" w:hAnsi="Arial" w:cs="Arial"/>
          <w:sz w:val="22"/>
          <w:szCs w:val="22"/>
        </w:rPr>
        <w:t>Nursing: The Philosophy and Science of Caring</w:t>
      </w:r>
      <w:r w:rsidRPr="00CD4E47">
        <w:rPr>
          <w:rFonts w:ascii="Arial" w:hAnsi="Arial" w:cs="Arial"/>
          <w:sz w:val="22"/>
          <w:szCs w:val="22"/>
        </w:rPr>
        <w:t xml:space="preserve">. Rev. </w:t>
      </w:r>
      <w:proofErr w:type="spellStart"/>
      <w:r w:rsidRPr="00CD4E47">
        <w:rPr>
          <w:rFonts w:ascii="Arial" w:hAnsi="Arial" w:cs="Arial"/>
          <w:sz w:val="22"/>
          <w:szCs w:val="22"/>
        </w:rPr>
        <w:t>edn</w:t>
      </w:r>
      <w:proofErr w:type="spellEnd"/>
      <w:r w:rsidRPr="00CD4E47">
        <w:rPr>
          <w:rFonts w:ascii="Arial" w:hAnsi="Arial" w:cs="Arial"/>
          <w:sz w:val="22"/>
          <w:szCs w:val="22"/>
        </w:rPr>
        <w:t>. Boulder: University Press of Colorado.</w:t>
      </w:r>
    </w:p>
    <w:p w14:paraId="683F42BB" w14:textId="77777777" w:rsidR="001631A8" w:rsidRPr="00CD4E47" w:rsidRDefault="001631A8" w:rsidP="001631A8">
      <w:pPr>
        <w:pStyle w:val="font-claude-response-body"/>
        <w:spacing w:line="360" w:lineRule="auto"/>
        <w:jc w:val="both"/>
        <w:rPr>
          <w:rFonts w:ascii="Arial" w:hAnsi="Arial" w:cs="Arial"/>
          <w:sz w:val="22"/>
          <w:szCs w:val="22"/>
        </w:rPr>
      </w:pPr>
      <w:r w:rsidRPr="00CD4E47">
        <w:rPr>
          <w:rFonts w:ascii="Arial" w:hAnsi="Arial" w:cs="Arial"/>
          <w:sz w:val="22"/>
          <w:szCs w:val="22"/>
        </w:rPr>
        <w:t xml:space="preserve">Woods, M., Phibbs, S. and Severinsen, C. (2017) '"When morals and markets collide": challenges to an ethic of care in aged residential care', </w:t>
      </w:r>
      <w:r w:rsidRPr="00CD4E47">
        <w:rPr>
          <w:rStyle w:val="Emphasis"/>
          <w:rFonts w:ascii="Arial" w:hAnsi="Arial" w:cs="Arial"/>
          <w:sz w:val="22"/>
          <w:szCs w:val="22"/>
        </w:rPr>
        <w:t>Ethics and Social Welfare</w:t>
      </w:r>
      <w:r w:rsidRPr="00CD4E47">
        <w:rPr>
          <w:rFonts w:ascii="Arial" w:hAnsi="Arial" w:cs="Arial"/>
          <w:sz w:val="22"/>
          <w:szCs w:val="22"/>
        </w:rPr>
        <w:t>, 11(4), pp. 365–381.</w:t>
      </w:r>
    </w:p>
    <w:p w14:paraId="3F1FD9A8" w14:textId="421132FE" w:rsidR="004A5A64" w:rsidRPr="004A5A64" w:rsidRDefault="004A5A64" w:rsidP="00C6554F">
      <w:pPr>
        <w:spacing w:line="360" w:lineRule="auto"/>
        <w:rPr>
          <w:rFonts w:ascii="Arial" w:hAnsi="Arial" w:cs="Arial"/>
          <w:color w:val="00B0F0"/>
          <w:sz w:val="23"/>
          <w:szCs w:val="23"/>
        </w:rPr>
      </w:pPr>
    </w:p>
    <w:sectPr w:rsidR="004A5A64" w:rsidRPr="004A5A6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1D0C1D" w14:textId="77777777" w:rsidR="004E6BA3" w:rsidRDefault="004E6BA3" w:rsidP="00032A5B">
      <w:pPr>
        <w:spacing w:after="0" w:line="240" w:lineRule="auto"/>
      </w:pPr>
      <w:r>
        <w:separator/>
      </w:r>
    </w:p>
  </w:endnote>
  <w:endnote w:type="continuationSeparator" w:id="0">
    <w:p w14:paraId="37B2650B" w14:textId="77777777" w:rsidR="004E6BA3" w:rsidRDefault="004E6BA3" w:rsidP="00032A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095F1D" w14:textId="77777777" w:rsidR="004E6BA3" w:rsidRDefault="004E6BA3" w:rsidP="00032A5B">
      <w:pPr>
        <w:spacing w:after="0" w:line="240" w:lineRule="auto"/>
      </w:pPr>
      <w:r>
        <w:separator/>
      </w:r>
    </w:p>
  </w:footnote>
  <w:footnote w:type="continuationSeparator" w:id="0">
    <w:p w14:paraId="27CF465C" w14:textId="77777777" w:rsidR="004E6BA3" w:rsidRDefault="004E6BA3" w:rsidP="00032A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8C808D1"/>
    <w:multiLevelType w:val="hybridMultilevel"/>
    <w:tmpl w:val="BC9AFFC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29E56A1B"/>
    <w:multiLevelType w:val="hybridMultilevel"/>
    <w:tmpl w:val="D8827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E26486C"/>
    <w:multiLevelType w:val="hybridMultilevel"/>
    <w:tmpl w:val="44D28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6105348">
    <w:abstractNumId w:val="3"/>
  </w:num>
  <w:num w:numId="2" w16cid:durableId="201140407">
    <w:abstractNumId w:val="1"/>
  </w:num>
  <w:num w:numId="3" w16cid:durableId="490028398">
    <w:abstractNumId w:val="0"/>
  </w:num>
  <w:num w:numId="4" w16cid:durableId="171665860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07"/>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sjQxNjQxMjAzNbEwMrdQ0lEKTi0uzszPAykwrgUA5LrGciwAAAA="/>
  </w:docVars>
  <w:rsids>
    <w:rsidRoot w:val="00C558B0"/>
    <w:rsid w:val="00015C9F"/>
    <w:rsid w:val="00032A5B"/>
    <w:rsid w:val="001333C2"/>
    <w:rsid w:val="001631A8"/>
    <w:rsid w:val="001D3A43"/>
    <w:rsid w:val="0027118F"/>
    <w:rsid w:val="00317E3D"/>
    <w:rsid w:val="0032791E"/>
    <w:rsid w:val="0034041C"/>
    <w:rsid w:val="003E4ED4"/>
    <w:rsid w:val="004A5A64"/>
    <w:rsid w:val="004D244C"/>
    <w:rsid w:val="004E6BA3"/>
    <w:rsid w:val="0058218C"/>
    <w:rsid w:val="005F4297"/>
    <w:rsid w:val="00620BF2"/>
    <w:rsid w:val="006524ED"/>
    <w:rsid w:val="006A3E63"/>
    <w:rsid w:val="006D2F2D"/>
    <w:rsid w:val="006E1FF9"/>
    <w:rsid w:val="00785886"/>
    <w:rsid w:val="00796A78"/>
    <w:rsid w:val="007D03DA"/>
    <w:rsid w:val="007F3A6A"/>
    <w:rsid w:val="007F7451"/>
    <w:rsid w:val="0098403A"/>
    <w:rsid w:val="009A7387"/>
    <w:rsid w:val="009E71F3"/>
    <w:rsid w:val="009F248D"/>
    <w:rsid w:val="00A14675"/>
    <w:rsid w:val="00AB1334"/>
    <w:rsid w:val="00BC79FE"/>
    <w:rsid w:val="00BE68CF"/>
    <w:rsid w:val="00C558B0"/>
    <w:rsid w:val="00C6554F"/>
    <w:rsid w:val="00D545BA"/>
    <w:rsid w:val="00E81204"/>
    <w:rsid w:val="00E9668F"/>
    <w:rsid w:val="00F81510"/>
    <w:rsid w:val="00FA1054"/>
    <w:rsid w:val="00FA2DAE"/>
    <w:rsid w:val="00FA624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F7AB11"/>
  <w15:chartTrackingRefBased/>
  <w15:docId w15:val="{647EBCD7-631C-4DB8-B919-7AD492B62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8B0"/>
    <w:pPr>
      <w:spacing w:line="256" w:lineRule="auto"/>
    </w:pPr>
    <w:rPr>
      <w:rFonts w:ascii="Times New Roman"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032A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2A5B"/>
    <w:rPr>
      <w:rFonts w:ascii="Times New Roman" w:hAnsi="Times New Roman"/>
      <w:sz w:val="24"/>
    </w:rPr>
  </w:style>
  <w:style w:type="paragraph" w:styleId="Footer">
    <w:name w:val="footer"/>
    <w:basedOn w:val="Normal"/>
    <w:link w:val="FooterChar"/>
    <w:uiPriority w:val="99"/>
    <w:unhideWhenUsed/>
    <w:rsid w:val="00032A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2A5B"/>
    <w:rPr>
      <w:rFonts w:ascii="Times New Roman" w:hAnsi="Times New Roman"/>
      <w:sz w:val="24"/>
    </w:rPr>
  </w:style>
  <w:style w:type="paragraph" w:styleId="NormalWeb">
    <w:name w:val="Normal (Web)"/>
    <w:basedOn w:val="Normal"/>
    <w:uiPriority w:val="99"/>
    <w:unhideWhenUsed/>
    <w:rsid w:val="00C6554F"/>
    <w:pPr>
      <w:spacing w:before="100" w:beforeAutospacing="1" w:after="100" w:afterAutospacing="1" w:line="240" w:lineRule="auto"/>
    </w:pPr>
    <w:rPr>
      <w:rFonts w:eastAsia="Times New Roman" w:cs="Times New Roman"/>
      <w:szCs w:val="24"/>
      <w:lang w:val="en-US"/>
    </w:rPr>
  </w:style>
  <w:style w:type="character" w:styleId="Hyperlink">
    <w:name w:val="Hyperlink"/>
    <w:basedOn w:val="DefaultParagraphFont"/>
    <w:uiPriority w:val="99"/>
    <w:unhideWhenUsed/>
    <w:rsid w:val="00C6554F"/>
    <w:rPr>
      <w:color w:val="0000FF"/>
      <w:u w:val="single"/>
    </w:rPr>
  </w:style>
  <w:style w:type="paragraph" w:customStyle="1" w:styleId="font-claude-response-body">
    <w:name w:val="font-claude-response-body"/>
    <w:basedOn w:val="Normal"/>
    <w:rsid w:val="00C6554F"/>
    <w:pPr>
      <w:spacing w:before="100" w:beforeAutospacing="1" w:after="100" w:afterAutospacing="1" w:line="240" w:lineRule="auto"/>
    </w:pPr>
    <w:rPr>
      <w:rFonts w:eastAsia="Times New Roman" w:cs="Times New Roman"/>
      <w:szCs w:val="24"/>
      <w:lang w:val="en-US"/>
    </w:rPr>
  </w:style>
  <w:style w:type="character" w:styleId="Emphasis">
    <w:name w:val="Emphasis"/>
    <w:basedOn w:val="DefaultParagraphFont"/>
    <w:uiPriority w:val="20"/>
    <w:qFormat/>
    <w:rsid w:val="00C6554F"/>
    <w:rPr>
      <w:i/>
      <w:iCs/>
    </w:rPr>
  </w:style>
  <w:style w:type="character" w:styleId="UnresolvedMention">
    <w:name w:val="Unresolved Mention"/>
    <w:basedOn w:val="DefaultParagraphFont"/>
    <w:uiPriority w:val="99"/>
    <w:semiHidden/>
    <w:unhideWhenUsed/>
    <w:rsid w:val="00C6554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doi.org/10.3390/philosophies7030053" TargetMode="External"/><Relationship Id="rId18" Type="http://schemas.openxmlformats.org/officeDocument/2006/relationships/hyperlink" Target="https://doi.org/10.1177/0261018309105177" TargetMode="External"/><Relationship Id="rId3" Type="http://schemas.openxmlformats.org/officeDocument/2006/relationships/settings" Target="settings.xml"/><Relationship Id="rId21" Type="http://schemas.openxmlformats.org/officeDocument/2006/relationships/hyperlink" Target="https://doi.org/10.1177/14777509211061845" TargetMode="External"/><Relationship Id="rId7" Type="http://schemas.openxmlformats.org/officeDocument/2006/relationships/image" Target="media/image1.png"/><Relationship Id="rId12" Type="http://schemas.openxmlformats.org/officeDocument/2006/relationships/hyperlink" Target="https://www.england.nhs.uk/wp-content/uploads/2012/12/compassion-in-practice.pdf" TargetMode="External"/><Relationship Id="rId17" Type="http://schemas.openxmlformats.org/officeDocument/2006/relationships/hyperlink" Target="https://doi.org/10.1215/08992363-13-3-557" TargetMode="External"/><Relationship Id="rId2" Type="http://schemas.openxmlformats.org/officeDocument/2006/relationships/styles" Target="styles.xml"/><Relationship Id="rId16" Type="http://schemas.openxmlformats.org/officeDocument/2006/relationships/hyperlink" Target="https://doi.org/10.1017/S1474746422000410" TargetMode="External"/><Relationship Id="rId20" Type="http://schemas.openxmlformats.org/officeDocument/2006/relationships/hyperlink" Target="https://doi.org/10.1332/239788219X15659215344772"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16/j.jamda.2021.03.007" TargetMode="External"/><Relationship Id="rId5" Type="http://schemas.openxmlformats.org/officeDocument/2006/relationships/footnotes" Target="footnotes.xml"/><Relationship Id="rId15" Type="http://schemas.openxmlformats.org/officeDocument/2006/relationships/hyperlink" Target="https://doi.org/10.1017/S0003055414000094" TargetMode="External"/><Relationship Id="rId23" Type="http://schemas.openxmlformats.org/officeDocument/2006/relationships/theme" Target="theme/theme1.xml"/><Relationship Id="rId10" Type="http://schemas.openxmlformats.org/officeDocument/2006/relationships/hyperlink" Target="https://doi.org/10.3389/fpubh.2022.997981" TargetMode="External"/><Relationship Id="rId19" Type="http://schemas.openxmlformats.org/officeDocument/2006/relationships/hyperlink" Target="https://doi.org/10.1080/17496535.2016.1234631" TargetMode="External"/><Relationship Id="rId4" Type="http://schemas.openxmlformats.org/officeDocument/2006/relationships/webSettings" Target="webSettings.xml"/><Relationship Id="rId9" Type="http://schemas.openxmlformats.org/officeDocument/2006/relationships/hyperlink" Target="https://doi.org/10.1080/17496535.2010.484265" TargetMode="External"/><Relationship Id="rId14" Type="http://schemas.openxmlformats.org/officeDocument/2006/relationships/hyperlink" Target="https://doi.org/10.3389/fsoc.2025.1548473"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9</Pages>
  <Words>2766</Words>
  <Characters>15767</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Ewemade Sylvia Enabulele (2437216)</cp:lastModifiedBy>
  <cp:revision>5</cp:revision>
  <dcterms:created xsi:type="dcterms:W3CDTF">2026-08-06T23:08:00Z</dcterms:created>
  <dcterms:modified xsi:type="dcterms:W3CDTF">2026-08-06T23:32:00Z</dcterms:modified>
</cp:coreProperties>
</file>