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2F93F" w14:textId="77777777" w:rsidR="0069361D" w:rsidRDefault="0069361D" w:rsidP="00B619AC">
      <w:pPr>
        <w:spacing w:line="360" w:lineRule="auto"/>
        <w:rPr>
          <w:b/>
          <w:bCs/>
        </w:rPr>
      </w:pPr>
    </w:p>
    <w:p w14:paraId="666E1484" w14:textId="77777777" w:rsidR="0069361D" w:rsidRDefault="0069361D" w:rsidP="00B619AC">
      <w:pPr>
        <w:spacing w:line="360" w:lineRule="auto"/>
        <w:rPr>
          <w:b/>
          <w:bCs/>
        </w:rPr>
      </w:pPr>
    </w:p>
    <w:p w14:paraId="628D54D0" w14:textId="77777777" w:rsidR="00D303E2" w:rsidRDefault="00D303E2" w:rsidP="00B619AC">
      <w:pPr>
        <w:spacing w:line="360" w:lineRule="auto"/>
        <w:rPr>
          <w:b/>
          <w:bCs/>
        </w:rPr>
      </w:pPr>
    </w:p>
    <w:p w14:paraId="6A3FBEA5" w14:textId="2F13B93A" w:rsidR="00D303E2" w:rsidRDefault="0069361D" w:rsidP="00B619AC">
      <w:pPr>
        <w:spacing w:line="360" w:lineRule="auto"/>
        <w:jc w:val="center"/>
        <w:rPr>
          <w:b/>
          <w:bCs/>
        </w:rPr>
      </w:pPr>
      <w:r>
        <w:rPr>
          <w:noProof/>
        </w:rPr>
        <w:drawing>
          <wp:inline distT="0" distB="0" distL="0" distR="0" wp14:anchorId="22B5C23C" wp14:editId="31E93B4F">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a:srcRect/>
                    <a:stretch>
                      <a:fillRect/>
                    </a:stretch>
                  </pic:blipFill>
                  <pic:spPr>
                    <a:xfrm>
                      <a:off x="0" y="0"/>
                      <a:ext cx="1809750" cy="723900"/>
                    </a:xfrm>
                    <a:prstGeom prst="rect">
                      <a:avLst/>
                    </a:prstGeom>
                    <a:ln/>
                  </pic:spPr>
                </pic:pic>
              </a:graphicData>
            </a:graphic>
          </wp:inline>
        </w:drawing>
      </w:r>
    </w:p>
    <w:p w14:paraId="3F0AA802" w14:textId="49A9E0C8" w:rsidR="00D303E2" w:rsidRPr="00D303E2" w:rsidRDefault="00D303E2" w:rsidP="00B619AC">
      <w:pPr>
        <w:spacing w:line="360" w:lineRule="auto"/>
        <w:jc w:val="center"/>
        <w:rPr>
          <w:b/>
          <w:bCs/>
        </w:rPr>
      </w:pPr>
      <w:r w:rsidRPr="3C63513F">
        <w:rPr>
          <w:b/>
          <w:bCs/>
        </w:rPr>
        <w:t>Name:</w:t>
      </w:r>
      <w:r w:rsidR="5CF13219" w:rsidRPr="3C63513F">
        <w:rPr>
          <w:b/>
          <w:bCs/>
        </w:rPr>
        <w:t xml:space="preserve"> Asima </w:t>
      </w:r>
      <w:r w:rsidR="008512BD">
        <w:rPr>
          <w:b/>
          <w:bCs/>
        </w:rPr>
        <w:t>Bibi</w:t>
      </w:r>
    </w:p>
    <w:p w14:paraId="16DC2CC5" w14:textId="27E35A42" w:rsidR="00D303E2" w:rsidRPr="00D303E2" w:rsidRDefault="00D303E2" w:rsidP="3C63513F">
      <w:pPr>
        <w:spacing w:line="360" w:lineRule="auto"/>
        <w:jc w:val="center"/>
      </w:pPr>
      <w:r w:rsidRPr="3C63513F">
        <w:rPr>
          <w:b/>
          <w:bCs/>
        </w:rPr>
        <w:t>Student Number:</w:t>
      </w:r>
      <w:r w:rsidR="493EA829" w:rsidRPr="3C63513F">
        <w:rPr>
          <w:b/>
          <w:bCs/>
        </w:rPr>
        <w:t>2225758</w:t>
      </w:r>
    </w:p>
    <w:p w14:paraId="17AE4574" w14:textId="77777777" w:rsidR="00D303E2" w:rsidRPr="00D303E2" w:rsidRDefault="00D303E2" w:rsidP="00B619AC">
      <w:pPr>
        <w:spacing w:line="360" w:lineRule="auto"/>
        <w:jc w:val="center"/>
        <w:rPr>
          <w:b/>
          <w:bCs/>
        </w:rPr>
      </w:pPr>
      <w:r w:rsidRPr="00D303E2">
        <w:rPr>
          <w:b/>
          <w:bCs/>
        </w:rPr>
        <w:t>Module Code:</w:t>
      </w:r>
      <w:r w:rsidRPr="00D303E2">
        <w:t xml:space="preserve"> </w:t>
      </w:r>
      <w:r w:rsidRPr="00D303E2">
        <w:rPr>
          <w:b/>
          <w:bCs/>
        </w:rPr>
        <w:t>BMHP5023</w:t>
      </w:r>
    </w:p>
    <w:p w14:paraId="13AB3C59" w14:textId="77777777" w:rsidR="00D303E2" w:rsidRPr="00D303E2" w:rsidRDefault="00D303E2" w:rsidP="00B619AC">
      <w:pPr>
        <w:spacing w:line="360" w:lineRule="auto"/>
        <w:jc w:val="center"/>
        <w:rPr>
          <w:b/>
          <w:bCs/>
        </w:rPr>
      </w:pPr>
      <w:r w:rsidRPr="00D303E2">
        <w:rPr>
          <w:b/>
          <w:bCs/>
        </w:rPr>
        <w:t>Module Title:</w:t>
      </w:r>
      <w:r w:rsidRPr="00D303E2">
        <w:t xml:space="preserve"> </w:t>
      </w:r>
      <w:r w:rsidRPr="00D303E2">
        <w:rPr>
          <w:b/>
          <w:bCs/>
        </w:rPr>
        <w:t>Introduction to Physiology</w:t>
      </w:r>
    </w:p>
    <w:p w14:paraId="2B36E791" w14:textId="77777777" w:rsidR="00D303E2" w:rsidRPr="00D303E2" w:rsidRDefault="00D303E2" w:rsidP="00B619AC">
      <w:pPr>
        <w:spacing w:line="360" w:lineRule="auto"/>
        <w:jc w:val="center"/>
        <w:rPr>
          <w:b/>
          <w:bCs/>
        </w:rPr>
      </w:pPr>
      <w:r w:rsidRPr="00D303E2">
        <w:rPr>
          <w:b/>
          <w:bCs/>
        </w:rPr>
        <w:t>Assignment Title:</w:t>
      </w:r>
    </w:p>
    <w:p w14:paraId="745E7938" w14:textId="7D2A0535" w:rsidR="00D303E2" w:rsidRPr="00D303E2" w:rsidRDefault="00D303E2" w:rsidP="00B619AC">
      <w:pPr>
        <w:spacing w:line="360" w:lineRule="auto"/>
        <w:jc w:val="center"/>
        <w:rPr>
          <w:b/>
          <w:bCs/>
        </w:rPr>
      </w:pPr>
      <w:r w:rsidRPr="00D303E2">
        <w:rPr>
          <w:b/>
          <w:bCs/>
        </w:rPr>
        <w:t xml:space="preserve">Case Study Report: Type 2 Diabetes, </w:t>
      </w:r>
      <w:r w:rsidR="006B3149" w:rsidRPr="00D303E2">
        <w:rPr>
          <w:b/>
          <w:bCs/>
        </w:rPr>
        <w:t>Glycaemia</w:t>
      </w:r>
      <w:r w:rsidRPr="00D303E2">
        <w:rPr>
          <w:b/>
          <w:bCs/>
        </w:rPr>
        <w:t xml:space="preserve"> Management and Lifestyle Intervention</w:t>
      </w:r>
    </w:p>
    <w:p w14:paraId="0C4BC248" w14:textId="40C47E07" w:rsidR="00AA0F08" w:rsidRDefault="00AA0F08" w:rsidP="00B619AC">
      <w:pPr>
        <w:spacing w:line="360" w:lineRule="auto"/>
      </w:pPr>
    </w:p>
    <w:p w14:paraId="6EA145DD" w14:textId="77777777" w:rsidR="00AA0F08" w:rsidRDefault="00AA0F08" w:rsidP="00B619AC">
      <w:pPr>
        <w:spacing w:line="360" w:lineRule="auto"/>
      </w:pPr>
    </w:p>
    <w:p w14:paraId="3846DE5E" w14:textId="77777777" w:rsidR="00AA0F08" w:rsidRDefault="00AA0F08" w:rsidP="00B619AC">
      <w:pPr>
        <w:spacing w:line="360" w:lineRule="auto"/>
      </w:pPr>
    </w:p>
    <w:p w14:paraId="1370A595" w14:textId="77777777" w:rsidR="00AA0F08" w:rsidRDefault="00AA0F08" w:rsidP="00B619AC">
      <w:pPr>
        <w:spacing w:line="360" w:lineRule="auto"/>
      </w:pPr>
    </w:p>
    <w:p w14:paraId="32668144" w14:textId="77777777" w:rsidR="00AA0F08" w:rsidRDefault="00AA0F08" w:rsidP="00B619AC">
      <w:pPr>
        <w:spacing w:line="360" w:lineRule="auto"/>
      </w:pPr>
    </w:p>
    <w:p w14:paraId="4E019681" w14:textId="5907E15C" w:rsidR="00AA0F08" w:rsidRDefault="00AA0F08" w:rsidP="3C63513F">
      <w:pPr>
        <w:spacing w:line="360" w:lineRule="auto"/>
      </w:pPr>
    </w:p>
    <w:p w14:paraId="14808659" w14:textId="77777777" w:rsidR="00AA0F08" w:rsidRDefault="00AA0F08" w:rsidP="00B619AC">
      <w:pPr>
        <w:spacing w:line="360" w:lineRule="auto"/>
      </w:pPr>
    </w:p>
    <w:p w14:paraId="6A0AC9DD" w14:textId="492EC21D" w:rsidR="00AA0F08" w:rsidRDefault="00AA0F08" w:rsidP="00B619AC">
      <w:pPr>
        <w:spacing w:line="360" w:lineRule="auto"/>
      </w:pPr>
    </w:p>
    <w:p w14:paraId="021A70A1" w14:textId="77777777" w:rsidR="00AA0F08" w:rsidRDefault="00AA0F08" w:rsidP="00B619AC">
      <w:pPr>
        <w:spacing w:line="360" w:lineRule="auto"/>
      </w:pPr>
    </w:p>
    <w:sdt>
      <w:sdtPr>
        <w:rPr>
          <w:rFonts w:asciiTheme="minorHAnsi" w:eastAsiaTheme="minorHAnsi" w:hAnsiTheme="minorHAnsi" w:cstheme="minorBidi"/>
          <w:b/>
          <w:bCs/>
          <w:color w:val="000000" w:themeColor="text1"/>
          <w:kern w:val="2"/>
          <w:sz w:val="24"/>
          <w:szCs w:val="24"/>
          <w14:ligatures w14:val="standardContextual"/>
        </w:rPr>
        <w:id w:val="538163763"/>
        <w:docPartObj>
          <w:docPartGallery w:val="Table of Contents"/>
          <w:docPartUnique/>
        </w:docPartObj>
      </w:sdtPr>
      <w:sdtEndPr>
        <w:rPr>
          <w:rFonts w:eastAsiaTheme="minorEastAsia"/>
          <w:noProof/>
          <w:color w:val="auto"/>
        </w:rPr>
      </w:sdtEndPr>
      <w:sdtContent>
        <w:p w14:paraId="05D384AF" w14:textId="788B38A9" w:rsidR="0069361D" w:rsidRPr="0069361D" w:rsidRDefault="0069361D" w:rsidP="00B619AC">
          <w:pPr>
            <w:pStyle w:val="TOCHeading"/>
            <w:spacing w:line="360" w:lineRule="auto"/>
            <w:rPr>
              <w:b/>
              <w:bCs/>
              <w:color w:val="000000" w:themeColor="text1"/>
            </w:rPr>
          </w:pPr>
          <w:r w:rsidRPr="0069361D">
            <w:rPr>
              <w:b/>
              <w:bCs/>
              <w:color w:val="000000" w:themeColor="text1"/>
            </w:rPr>
            <w:t>Contents</w:t>
          </w:r>
        </w:p>
        <w:p w14:paraId="1D983F55" w14:textId="5FC18DF3" w:rsidR="0069361D" w:rsidRDefault="0069361D" w:rsidP="00B619AC">
          <w:pPr>
            <w:pStyle w:val="TOC1"/>
            <w:tabs>
              <w:tab w:val="right" w:leader="dot" w:pos="9350"/>
            </w:tabs>
            <w:spacing w:line="360" w:lineRule="auto"/>
            <w:rPr>
              <w:noProof/>
            </w:rPr>
          </w:pPr>
          <w:r>
            <w:fldChar w:fldCharType="begin"/>
          </w:r>
          <w:r>
            <w:instrText xml:space="preserve"> TOC \o "1-3" \h \z \u </w:instrText>
          </w:r>
          <w:r>
            <w:fldChar w:fldCharType="separate"/>
          </w:r>
          <w:hyperlink w:anchor="_Toc242085560" w:history="1">
            <w:r w:rsidRPr="00697A05">
              <w:rPr>
                <w:rStyle w:val="Hyperlink"/>
                <w:rFonts w:ascii="Arial" w:hAnsi="Arial" w:cs="Arial"/>
                <w:b/>
                <w:bCs/>
                <w:noProof/>
              </w:rPr>
              <w:t>Case Study Report: Type 2 Diabetes, Glycaemic Management and Lifestyle Intervention</w:t>
            </w:r>
            <w:r>
              <w:rPr>
                <w:noProof/>
                <w:webHidden/>
              </w:rPr>
              <w:tab/>
            </w:r>
            <w:r>
              <w:rPr>
                <w:noProof/>
                <w:webHidden/>
              </w:rPr>
              <w:fldChar w:fldCharType="begin"/>
            </w:r>
            <w:r>
              <w:rPr>
                <w:noProof/>
                <w:webHidden/>
              </w:rPr>
              <w:instrText xml:space="preserve"> PAGEREF _Toc242085560 \h </w:instrText>
            </w:r>
            <w:r>
              <w:rPr>
                <w:noProof/>
                <w:webHidden/>
              </w:rPr>
            </w:r>
            <w:r>
              <w:rPr>
                <w:noProof/>
                <w:webHidden/>
              </w:rPr>
              <w:fldChar w:fldCharType="separate"/>
            </w:r>
            <w:r>
              <w:rPr>
                <w:noProof/>
                <w:webHidden/>
              </w:rPr>
              <w:t>3</w:t>
            </w:r>
            <w:r>
              <w:rPr>
                <w:noProof/>
                <w:webHidden/>
              </w:rPr>
              <w:fldChar w:fldCharType="end"/>
            </w:r>
          </w:hyperlink>
        </w:p>
        <w:p w14:paraId="74C2620A" w14:textId="12FA5B41" w:rsidR="0069361D" w:rsidRDefault="0069361D" w:rsidP="00B619AC">
          <w:pPr>
            <w:pStyle w:val="TOC2"/>
            <w:tabs>
              <w:tab w:val="right" w:leader="dot" w:pos="9350"/>
            </w:tabs>
            <w:spacing w:line="360" w:lineRule="auto"/>
            <w:rPr>
              <w:noProof/>
            </w:rPr>
          </w:pPr>
          <w:hyperlink w:anchor="_Toc242085561" w:history="1">
            <w:r w:rsidRPr="00697A05">
              <w:rPr>
                <w:rStyle w:val="Hyperlink"/>
                <w:rFonts w:ascii="Arial" w:hAnsi="Arial" w:cs="Arial"/>
                <w:b/>
                <w:bCs/>
                <w:noProof/>
              </w:rPr>
              <w:t>a) Introduction</w:t>
            </w:r>
            <w:r>
              <w:rPr>
                <w:noProof/>
                <w:webHidden/>
              </w:rPr>
              <w:tab/>
            </w:r>
            <w:r>
              <w:rPr>
                <w:noProof/>
                <w:webHidden/>
              </w:rPr>
              <w:fldChar w:fldCharType="begin"/>
            </w:r>
            <w:r>
              <w:rPr>
                <w:noProof/>
                <w:webHidden/>
              </w:rPr>
              <w:instrText xml:space="preserve"> PAGEREF _Toc242085561 \h </w:instrText>
            </w:r>
            <w:r>
              <w:rPr>
                <w:noProof/>
                <w:webHidden/>
              </w:rPr>
            </w:r>
            <w:r>
              <w:rPr>
                <w:noProof/>
                <w:webHidden/>
              </w:rPr>
              <w:fldChar w:fldCharType="separate"/>
            </w:r>
            <w:r>
              <w:rPr>
                <w:noProof/>
                <w:webHidden/>
              </w:rPr>
              <w:t>3</w:t>
            </w:r>
            <w:r>
              <w:rPr>
                <w:noProof/>
                <w:webHidden/>
              </w:rPr>
              <w:fldChar w:fldCharType="end"/>
            </w:r>
          </w:hyperlink>
        </w:p>
        <w:p w14:paraId="60380262" w14:textId="69F40A8C" w:rsidR="0069361D" w:rsidRDefault="0069361D" w:rsidP="00B619AC">
          <w:pPr>
            <w:pStyle w:val="TOC2"/>
            <w:tabs>
              <w:tab w:val="right" w:leader="dot" w:pos="9350"/>
            </w:tabs>
            <w:spacing w:line="360" w:lineRule="auto"/>
            <w:rPr>
              <w:noProof/>
            </w:rPr>
          </w:pPr>
          <w:hyperlink w:anchor="_Toc242085562" w:history="1">
            <w:r w:rsidRPr="00697A05">
              <w:rPr>
                <w:rStyle w:val="Hyperlink"/>
                <w:rFonts w:ascii="Arial" w:hAnsi="Arial" w:cs="Arial"/>
                <w:b/>
                <w:bCs/>
                <w:noProof/>
              </w:rPr>
              <w:t>b) Blood-glucose homeostasis</w:t>
            </w:r>
            <w:r>
              <w:rPr>
                <w:noProof/>
                <w:webHidden/>
              </w:rPr>
              <w:tab/>
            </w:r>
            <w:r>
              <w:rPr>
                <w:noProof/>
                <w:webHidden/>
              </w:rPr>
              <w:fldChar w:fldCharType="begin"/>
            </w:r>
            <w:r>
              <w:rPr>
                <w:noProof/>
                <w:webHidden/>
              </w:rPr>
              <w:instrText xml:space="preserve"> PAGEREF _Toc242085562 \h </w:instrText>
            </w:r>
            <w:r>
              <w:rPr>
                <w:noProof/>
                <w:webHidden/>
              </w:rPr>
            </w:r>
            <w:r>
              <w:rPr>
                <w:noProof/>
                <w:webHidden/>
              </w:rPr>
              <w:fldChar w:fldCharType="separate"/>
            </w:r>
            <w:r>
              <w:rPr>
                <w:noProof/>
                <w:webHidden/>
              </w:rPr>
              <w:t>3</w:t>
            </w:r>
            <w:r>
              <w:rPr>
                <w:noProof/>
                <w:webHidden/>
              </w:rPr>
              <w:fldChar w:fldCharType="end"/>
            </w:r>
          </w:hyperlink>
        </w:p>
        <w:p w14:paraId="5FC0410B" w14:textId="52A76BFE" w:rsidR="0069361D" w:rsidRDefault="0069361D" w:rsidP="00B619AC">
          <w:pPr>
            <w:pStyle w:val="TOC2"/>
            <w:tabs>
              <w:tab w:val="right" w:leader="dot" w:pos="9350"/>
            </w:tabs>
            <w:spacing w:line="360" w:lineRule="auto"/>
            <w:rPr>
              <w:noProof/>
            </w:rPr>
          </w:pPr>
          <w:hyperlink w:anchor="_Toc242085563" w:history="1">
            <w:r w:rsidRPr="00697A05">
              <w:rPr>
                <w:rStyle w:val="Hyperlink"/>
                <w:rFonts w:ascii="Arial" w:hAnsi="Arial" w:cs="Arial"/>
                <w:b/>
                <w:bCs/>
                <w:noProof/>
              </w:rPr>
              <w:t>c) Cellular metabolism: glucose, oxygen and energy</w:t>
            </w:r>
            <w:r>
              <w:rPr>
                <w:noProof/>
                <w:webHidden/>
              </w:rPr>
              <w:tab/>
            </w:r>
            <w:r>
              <w:rPr>
                <w:noProof/>
                <w:webHidden/>
              </w:rPr>
              <w:fldChar w:fldCharType="begin"/>
            </w:r>
            <w:r>
              <w:rPr>
                <w:noProof/>
                <w:webHidden/>
              </w:rPr>
              <w:instrText xml:space="preserve"> PAGEREF _Toc242085563 \h </w:instrText>
            </w:r>
            <w:r>
              <w:rPr>
                <w:noProof/>
                <w:webHidden/>
              </w:rPr>
            </w:r>
            <w:r>
              <w:rPr>
                <w:noProof/>
                <w:webHidden/>
              </w:rPr>
              <w:fldChar w:fldCharType="separate"/>
            </w:r>
            <w:r>
              <w:rPr>
                <w:noProof/>
                <w:webHidden/>
              </w:rPr>
              <w:t>4</w:t>
            </w:r>
            <w:r>
              <w:rPr>
                <w:noProof/>
                <w:webHidden/>
              </w:rPr>
              <w:fldChar w:fldCharType="end"/>
            </w:r>
          </w:hyperlink>
        </w:p>
        <w:p w14:paraId="6D8C1BDC" w14:textId="62E5EADD" w:rsidR="0069361D" w:rsidRDefault="0069361D" w:rsidP="00B619AC">
          <w:pPr>
            <w:pStyle w:val="TOC2"/>
            <w:tabs>
              <w:tab w:val="right" w:leader="dot" w:pos="9350"/>
            </w:tabs>
            <w:spacing w:line="360" w:lineRule="auto"/>
            <w:rPr>
              <w:noProof/>
            </w:rPr>
          </w:pPr>
          <w:hyperlink w:anchor="_Toc242085564" w:history="1">
            <w:r w:rsidRPr="00697A05">
              <w:rPr>
                <w:rStyle w:val="Hyperlink"/>
                <w:rFonts w:ascii="Arial" w:hAnsi="Arial" w:cs="Arial"/>
                <w:b/>
                <w:bCs/>
                <w:noProof/>
              </w:rPr>
              <w:t>d) Recording and tracking blood glucose</w:t>
            </w:r>
            <w:r>
              <w:rPr>
                <w:noProof/>
                <w:webHidden/>
              </w:rPr>
              <w:tab/>
            </w:r>
            <w:r>
              <w:rPr>
                <w:noProof/>
                <w:webHidden/>
              </w:rPr>
              <w:fldChar w:fldCharType="begin"/>
            </w:r>
            <w:r>
              <w:rPr>
                <w:noProof/>
                <w:webHidden/>
              </w:rPr>
              <w:instrText xml:space="preserve"> PAGEREF _Toc242085564 \h </w:instrText>
            </w:r>
            <w:r>
              <w:rPr>
                <w:noProof/>
                <w:webHidden/>
              </w:rPr>
            </w:r>
            <w:r>
              <w:rPr>
                <w:noProof/>
                <w:webHidden/>
              </w:rPr>
              <w:fldChar w:fldCharType="separate"/>
            </w:r>
            <w:r>
              <w:rPr>
                <w:noProof/>
                <w:webHidden/>
              </w:rPr>
              <w:t>4</w:t>
            </w:r>
            <w:r>
              <w:rPr>
                <w:noProof/>
                <w:webHidden/>
              </w:rPr>
              <w:fldChar w:fldCharType="end"/>
            </w:r>
          </w:hyperlink>
        </w:p>
        <w:p w14:paraId="3315B119" w14:textId="4C7BBA04" w:rsidR="0069361D" w:rsidRDefault="0069361D" w:rsidP="00B619AC">
          <w:pPr>
            <w:pStyle w:val="TOC2"/>
            <w:tabs>
              <w:tab w:val="right" w:leader="dot" w:pos="9350"/>
            </w:tabs>
            <w:spacing w:line="360" w:lineRule="auto"/>
            <w:rPr>
              <w:noProof/>
            </w:rPr>
          </w:pPr>
          <w:hyperlink w:anchor="_Toc242085565" w:history="1">
            <w:r w:rsidRPr="00697A05">
              <w:rPr>
                <w:rStyle w:val="Hyperlink"/>
                <w:rFonts w:ascii="Arial" w:hAnsi="Arial" w:cs="Arial"/>
                <w:b/>
                <w:bCs/>
                <w:noProof/>
              </w:rPr>
              <w:t>e) Evidence-based lifestyle recommendations</w:t>
            </w:r>
            <w:r>
              <w:rPr>
                <w:noProof/>
                <w:webHidden/>
              </w:rPr>
              <w:tab/>
            </w:r>
            <w:r>
              <w:rPr>
                <w:noProof/>
                <w:webHidden/>
              </w:rPr>
              <w:fldChar w:fldCharType="begin"/>
            </w:r>
            <w:r>
              <w:rPr>
                <w:noProof/>
                <w:webHidden/>
              </w:rPr>
              <w:instrText xml:space="preserve"> PAGEREF _Toc242085565 \h </w:instrText>
            </w:r>
            <w:r>
              <w:rPr>
                <w:noProof/>
                <w:webHidden/>
              </w:rPr>
            </w:r>
            <w:r>
              <w:rPr>
                <w:noProof/>
                <w:webHidden/>
              </w:rPr>
              <w:fldChar w:fldCharType="separate"/>
            </w:r>
            <w:r>
              <w:rPr>
                <w:noProof/>
                <w:webHidden/>
              </w:rPr>
              <w:t>5</w:t>
            </w:r>
            <w:r>
              <w:rPr>
                <w:noProof/>
                <w:webHidden/>
              </w:rPr>
              <w:fldChar w:fldCharType="end"/>
            </w:r>
          </w:hyperlink>
        </w:p>
        <w:p w14:paraId="6237CE64" w14:textId="17F731C5" w:rsidR="0069361D" w:rsidRDefault="0069361D" w:rsidP="00B619AC">
          <w:pPr>
            <w:pStyle w:val="TOC3"/>
            <w:tabs>
              <w:tab w:val="right" w:leader="dot" w:pos="9350"/>
            </w:tabs>
            <w:spacing w:line="360" w:lineRule="auto"/>
            <w:rPr>
              <w:noProof/>
            </w:rPr>
          </w:pPr>
          <w:hyperlink w:anchor="_Toc242085566" w:history="1">
            <w:r w:rsidRPr="00697A05">
              <w:rPr>
                <w:rStyle w:val="Hyperlink"/>
                <w:rFonts w:ascii="Arial" w:hAnsi="Arial" w:cs="Arial"/>
                <w:b/>
                <w:bCs/>
                <w:noProof/>
              </w:rPr>
              <w:t>Diet</w:t>
            </w:r>
            <w:r>
              <w:rPr>
                <w:noProof/>
                <w:webHidden/>
              </w:rPr>
              <w:tab/>
            </w:r>
            <w:r>
              <w:rPr>
                <w:noProof/>
                <w:webHidden/>
              </w:rPr>
              <w:fldChar w:fldCharType="begin"/>
            </w:r>
            <w:r>
              <w:rPr>
                <w:noProof/>
                <w:webHidden/>
              </w:rPr>
              <w:instrText xml:space="preserve"> PAGEREF _Toc242085566 \h </w:instrText>
            </w:r>
            <w:r>
              <w:rPr>
                <w:noProof/>
                <w:webHidden/>
              </w:rPr>
            </w:r>
            <w:r>
              <w:rPr>
                <w:noProof/>
                <w:webHidden/>
              </w:rPr>
              <w:fldChar w:fldCharType="separate"/>
            </w:r>
            <w:r>
              <w:rPr>
                <w:noProof/>
                <w:webHidden/>
              </w:rPr>
              <w:t>5</w:t>
            </w:r>
            <w:r>
              <w:rPr>
                <w:noProof/>
                <w:webHidden/>
              </w:rPr>
              <w:fldChar w:fldCharType="end"/>
            </w:r>
          </w:hyperlink>
        </w:p>
        <w:p w14:paraId="11F5C905" w14:textId="1C09B216" w:rsidR="0069361D" w:rsidRDefault="0069361D" w:rsidP="00B619AC">
          <w:pPr>
            <w:pStyle w:val="TOC3"/>
            <w:tabs>
              <w:tab w:val="right" w:leader="dot" w:pos="9350"/>
            </w:tabs>
            <w:spacing w:line="360" w:lineRule="auto"/>
            <w:rPr>
              <w:noProof/>
            </w:rPr>
          </w:pPr>
          <w:hyperlink w:anchor="_Toc242085567" w:history="1">
            <w:r w:rsidRPr="00697A05">
              <w:rPr>
                <w:rStyle w:val="Hyperlink"/>
                <w:rFonts w:ascii="Arial" w:hAnsi="Arial" w:cs="Arial"/>
                <w:b/>
                <w:bCs/>
                <w:noProof/>
              </w:rPr>
              <w:t>Physical activity</w:t>
            </w:r>
            <w:r>
              <w:rPr>
                <w:noProof/>
                <w:webHidden/>
              </w:rPr>
              <w:tab/>
            </w:r>
            <w:r>
              <w:rPr>
                <w:noProof/>
                <w:webHidden/>
              </w:rPr>
              <w:fldChar w:fldCharType="begin"/>
            </w:r>
            <w:r>
              <w:rPr>
                <w:noProof/>
                <w:webHidden/>
              </w:rPr>
              <w:instrText xml:space="preserve"> PAGEREF _Toc242085567 \h </w:instrText>
            </w:r>
            <w:r>
              <w:rPr>
                <w:noProof/>
                <w:webHidden/>
              </w:rPr>
            </w:r>
            <w:r>
              <w:rPr>
                <w:noProof/>
                <w:webHidden/>
              </w:rPr>
              <w:fldChar w:fldCharType="separate"/>
            </w:r>
            <w:r>
              <w:rPr>
                <w:noProof/>
                <w:webHidden/>
              </w:rPr>
              <w:t>5</w:t>
            </w:r>
            <w:r>
              <w:rPr>
                <w:noProof/>
                <w:webHidden/>
              </w:rPr>
              <w:fldChar w:fldCharType="end"/>
            </w:r>
          </w:hyperlink>
        </w:p>
        <w:p w14:paraId="1D2D6D81" w14:textId="4B89E9DA" w:rsidR="0069361D" w:rsidRDefault="0069361D" w:rsidP="00B619AC">
          <w:pPr>
            <w:pStyle w:val="TOC3"/>
            <w:tabs>
              <w:tab w:val="right" w:leader="dot" w:pos="9350"/>
            </w:tabs>
            <w:spacing w:line="360" w:lineRule="auto"/>
            <w:rPr>
              <w:noProof/>
            </w:rPr>
          </w:pPr>
          <w:hyperlink w:anchor="_Toc242085568" w:history="1">
            <w:r w:rsidRPr="00697A05">
              <w:rPr>
                <w:rStyle w:val="Hyperlink"/>
                <w:rFonts w:ascii="Arial" w:hAnsi="Arial" w:cs="Arial"/>
                <w:b/>
                <w:bCs/>
                <w:noProof/>
              </w:rPr>
              <w:t>Smoking cessation</w:t>
            </w:r>
            <w:r>
              <w:rPr>
                <w:noProof/>
                <w:webHidden/>
              </w:rPr>
              <w:tab/>
            </w:r>
            <w:r>
              <w:rPr>
                <w:noProof/>
                <w:webHidden/>
              </w:rPr>
              <w:fldChar w:fldCharType="begin"/>
            </w:r>
            <w:r>
              <w:rPr>
                <w:noProof/>
                <w:webHidden/>
              </w:rPr>
              <w:instrText xml:space="preserve"> PAGEREF _Toc242085568 \h </w:instrText>
            </w:r>
            <w:r>
              <w:rPr>
                <w:noProof/>
                <w:webHidden/>
              </w:rPr>
            </w:r>
            <w:r>
              <w:rPr>
                <w:noProof/>
                <w:webHidden/>
              </w:rPr>
              <w:fldChar w:fldCharType="separate"/>
            </w:r>
            <w:r>
              <w:rPr>
                <w:noProof/>
                <w:webHidden/>
              </w:rPr>
              <w:t>5</w:t>
            </w:r>
            <w:r>
              <w:rPr>
                <w:noProof/>
                <w:webHidden/>
              </w:rPr>
              <w:fldChar w:fldCharType="end"/>
            </w:r>
          </w:hyperlink>
        </w:p>
        <w:p w14:paraId="72CEB98A" w14:textId="32A29874" w:rsidR="0069361D" w:rsidRDefault="0069361D" w:rsidP="00B619AC">
          <w:pPr>
            <w:pStyle w:val="TOC2"/>
            <w:tabs>
              <w:tab w:val="right" w:leader="dot" w:pos="9350"/>
            </w:tabs>
            <w:spacing w:line="360" w:lineRule="auto"/>
            <w:rPr>
              <w:noProof/>
            </w:rPr>
          </w:pPr>
          <w:hyperlink w:anchor="_Toc242085569" w:history="1">
            <w:r w:rsidRPr="00697A05">
              <w:rPr>
                <w:rStyle w:val="Hyperlink"/>
                <w:rFonts w:ascii="Arial" w:hAnsi="Arial" w:cs="Arial"/>
                <w:b/>
                <w:bCs/>
                <w:noProof/>
              </w:rPr>
              <w:t>f) Conclusion</w:t>
            </w:r>
            <w:r>
              <w:rPr>
                <w:noProof/>
                <w:webHidden/>
              </w:rPr>
              <w:tab/>
            </w:r>
            <w:r>
              <w:rPr>
                <w:noProof/>
                <w:webHidden/>
              </w:rPr>
              <w:fldChar w:fldCharType="begin"/>
            </w:r>
            <w:r>
              <w:rPr>
                <w:noProof/>
                <w:webHidden/>
              </w:rPr>
              <w:instrText xml:space="preserve"> PAGEREF _Toc242085569 \h </w:instrText>
            </w:r>
            <w:r>
              <w:rPr>
                <w:noProof/>
                <w:webHidden/>
              </w:rPr>
            </w:r>
            <w:r>
              <w:rPr>
                <w:noProof/>
                <w:webHidden/>
              </w:rPr>
              <w:fldChar w:fldCharType="separate"/>
            </w:r>
            <w:r>
              <w:rPr>
                <w:noProof/>
                <w:webHidden/>
              </w:rPr>
              <w:t>6</w:t>
            </w:r>
            <w:r>
              <w:rPr>
                <w:noProof/>
                <w:webHidden/>
              </w:rPr>
              <w:fldChar w:fldCharType="end"/>
            </w:r>
          </w:hyperlink>
        </w:p>
        <w:p w14:paraId="7FB0CE80" w14:textId="233933BB" w:rsidR="0069361D" w:rsidRDefault="0069361D" w:rsidP="00B619AC">
          <w:pPr>
            <w:pStyle w:val="TOC2"/>
            <w:tabs>
              <w:tab w:val="right" w:leader="dot" w:pos="9350"/>
            </w:tabs>
            <w:spacing w:line="360" w:lineRule="auto"/>
            <w:rPr>
              <w:noProof/>
            </w:rPr>
          </w:pPr>
          <w:hyperlink w:anchor="_Toc242085570" w:history="1">
            <w:r w:rsidRPr="00697A05">
              <w:rPr>
                <w:rStyle w:val="Hyperlink"/>
                <w:rFonts w:ascii="Arial" w:hAnsi="Arial" w:cs="Arial"/>
                <w:b/>
                <w:bCs/>
                <w:noProof/>
              </w:rPr>
              <w:t>g) Reference list</w:t>
            </w:r>
            <w:r>
              <w:rPr>
                <w:noProof/>
                <w:webHidden/>
              </w:rPr>
              <w:tab/>
            </w:r>
            <w:r>
              <w:rPr>
                <w:noProof/>
                <w:webHidden/>
              </w:rPr>
              <w:fldChar w:fldCharType="begin"/>
            </w:r>
            <w:r>
              <w:rPr>
                <w:noProof/>
                <w:webHidden/>
              </w:rPr>
              <w:instrText xml:space="preserve"> PAGEREF _Toc242085570 \h </w:instrText>
            </w:r>
            <w:r>
              <w:rPr>
                <w:noProof/>
                <w:webHidden/>
              </w:rPr>
            </w:r>
            <w:r>
              <w:rPr>
                <w:noProof/>
                <w:webHidden/>
              </w:rPr>
              <w:fldChar w:fldCharType="separate"/>
            </w:r>
            <w:r>
              <w:rPr>
                <w:noProof/>
                <w:webHidden/>
              </w:rPr>
              <w:t>6</w:t>
            </w:r>
            <w:r>
              <w:rPr>
                <w:noProof/>
                <w:webHidden/>
              </w:rPr>
              <w:fldChar w:fldCharType="end"/>
            </w:r>
          </w:hyperlink>
        </w:p>
        <w:p w14:paraId="1E95CE65" w14:textId="64825F34" w:rsidR="0069361D" w:rsidRDefault="0069361D" w:rsidP="00B619AC">
          <w:pPr>
            <w:spacing w:line="360" w:lineRule="auto"/>
          </w:pPr>
          <w:r>
            <w:rPr>
              <w:b/>
              <w:bCs/>
              <w:noProof/>
            </w:rPr>
            <w:fldChar w:fldCharType="end"/>
          </w:r>
        </w:p>
      </w:sdtContent>
    </w:sdt>
    <w:p w14:paraId="2CAF3161" w14:textId="77777777" w:rsidR="00AA0F08" w:rsidRDefault="00AA0F08" w:rsidP="00B619AC">
      <w:pPr>
        <w:spacing w:line="360" w:lineRule="auto"/>
      </w:pPr>
    </w:p>
    <w:p w14:paraId="7B78BA19" w14:textId="77777777" w:rsidR="00AA0F08" w:rsidRDefault="00AA0F08" w:rsidP="00B619AC">
      <w:pPr>
        <w:spacing w:line="360" w:lineRule="auto"/>
      </w:pPr>
    </w:p>
    <w:p w14:paraId="42955271" w14:textId="77777777" w:rsidR="00AA0F08" w:rsidRDefault="00AA0F08" w:rsidP="00B619AC">
      <w:pPr>
        <w:spacing w:line="360" w:lineRule="auto"/>
      </w:pPr>
    </w:p>
    <w:p w14:paraId="15B40CC4" w14:textId="77777777" w:rsidR="00AA0F08" w:rsidRDefault="00AA0F08" w:rsidP="00B619AC">
      <w:pPr>
        <w:spacing w:line="360" w:lineRule="auto"/>
      </w:pPr>
    </w:p>
    <w:p w14:paraId="3C6B664E" w14:textId="77777777" w:rsidR="00AA0F08" w:rsidRDefault="00AA0F08" w:rsidP="00B619AC">
      <w:pPr>
        <w:spacing w:line="360" w:lineRule="auto"/>
      </w:pPr>
    </w:p>
    <w:p w14:paraId="56B13DA1" w14:textId="5A76FCD3" w:rsidR="00E87E35" w:rsidRPr="00EA7A1F" w:rsidRDefault="00E87E35" w:rsidP="3C63513F">
      <w:pPr>
        <w:pStyle w:val="Heading1"/>
        <w:spacing w:line="360" w:lineRule="auto"/>
        <w:jc w:val="both"/>
        <w:rPr>
          <w:rFonts w:ascii="Arial" w:eastAsia="Arial" w:hAnsi="Arial" w:cs="Arial"/>
          <w:b/>
          <w:bCs/>
          <w:color w:val="000000" w:themeColor="text1"/>
          <w:sz w:val="32"/>
          <w:szCs w:val="32"/>
        </w:rPr>
      </w:pPr>
      <w:bookmarkStart w:id="0" w:name="_Toc242085560"/>
      <w:r w:rsidRPr="3C63513F">
        <w:rPr>
          <w:rFonts w:ascii="Arial" w:eastAsia="Arial" w:hAnsi="Arial" w:cs="Arial"/>
          <w:b/>
          <w:bCs/>
          <w:color w:val="000000" w:themeColor="text1"/>
          <w:sz w:val="32"/>
          <w:szCs w:val="32"/>
        </w:rPr>
        <w:lastRenderedPageBreak/>
        <w:t xml:space="preserve">Case Study Report: Type 2 Diabetes, </w:t>
      </w:r>
      <w:r w:rsidR="3064CBE6" w:rsidRPr="3C63513F">
        <w:rPr>
          <w:rFonts w:ascii="Arial" w:eastAsia="Arial" w:hAnsi="Arial" w:cs="Arial"/>
          <w:b/>
          <w:bCs/>
          <w:color w:val="000000" w:themeColor="text1"/>
          <w:sz w:val="32"/>
          <w:szCs w:val="32"/>
        </w:rPr>
        <w:t>Glycemic</w:t>
      </w:r>
      <w:r w:rsidRPr="3C63513F">
        <w:rPr>
          <w:rFonts w:ascii="Arial" w:eastAsia="Arial" w:hAnsi="Arial" w:cs="Arial"/>
          <w:b/>
          <w:bCs/>
          <w:color w:val="000000" w:themeColor="text1"/>
          <w:sz w:val="32"/>
          <w:szCs w:val="32"/>
        </w:rPr>
        <w:t xml:space="preserve"> Management and Lifestyle Intervention</w:t>
      </w:r>
      <w:bookmarkEnd w:id="0"/>
    </w:p>
    <w:p w14:paraId="68963EF9" w14:textId="77777777" w:rsidR="00E87E35" w:rsidRPr="00EA7A1F" w:rsidRDefault="00E87E35" w:rsidP="3C63513F">
      <w:pPr>
        <w:pStyle w:val="Heading2"/>
        <w:spacing w:line="360" w:lineRule="auto"/>
        <w:jc w:val="both"/>
        <w:rPr>
          <w:rFonts w:ascii="Arial" w:eastAsia="Arial" w:hAnsi="Arial" w:cs="Arial"/>
          <w:b/>
          <w:bCs/>
          <w:color w:val="000000" w:themeColor="text1"/>
          <w:sz w:val="28"/>
          <w:szCs w:val="28"/>
        </w:rPr>
      </w:pPr>
      <w:bookmarkStart w:id="1" w:name="_Toc242085561"/>
      <w:r w:rsidRPr="3C63513F">
        <w:rPr>
          <w:rFonts w:ascii="Arial" w:eastAsia="Arial" w:hAnsi="Arial" w:cs="Arial"/>
          <w:b/>
          <w:bCs/>
          <w:color w:val="000000" w:themeColor="text1"/>
          <w:sz w:val="28"/>
          <w:szCs w:val="28"/>
        </w:rPr>
        <w:t>a) Introduction</w:t>
      </w:r>
      <w:bookmarkEnd w:id="1"/>
    </w:p>
    <w:p w14:paraId="66FACF77" w14:textId="607FD885" w:rsidR="00E87E35" w:rsidRPr="00C11E49" w:rsidRDefault="007519BF"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Diabetes mellitus is a long-term metabolic disease in which the blood glucose level is not controlled effectively. Type 2 diabetes mellitus (T2DM) occurs mainly </w:t>
      </w:r>
      <w:r w:rsidR="003E3512" w:rsidRPr="3C63513F">
        <w:rPr>
          <w:rFonts w:ascii="Arial" w:eastAsia="Arial" w:hAnsi="Arial" w:cs="Arial"/>
          <w:sz w:val="22"/>
          <w:szCs w:val="22"/>
        </w:rPr>
        <w:t>because of</w:t>
      </w:r>
      <w:r w:rsidRPr="3C63513F">
        <w:rPr>
          <w:rFonts w:ascii="Arial" w:eastAsia="Arial" w:hAnsi="Arial" w:cs="Arial"/>
          <w:sz w:val="22"/>
          <w:szCs w:val="22"/>
        </w:rPr>
        <w:t xml:space="preserve"> insulin resistance and a gradual loss of β-cell function. Initial insulin resistance will be met by an increase in insulin release by the β-cells. If, however, this compensation is insufficient, blood glucose gradually increases and long-term hyperglycemia ensues (Bergman, </w:t>
      </w:r>
      <w:r w:rsidR="413DAE0F" w:rsidRPr="3C63513F">
        <w:rPr>
          <w:rFonts w:ascii="Arial" w:eastAsia="Arial" w:hAnsi="Arial" w:cs="Arial"/>
          <w:sz w:val="22"/>
          <w:szCs w:val="22"/>
        </w:rPr>
        <w:t>Finegood,</w:t>
      </w:r>
      <w:r w:rsidRPr="3C63513F">
        <w:rPr>
          <w:rFonts w:ascii="Arial" w:eastAsia="Arial" w:hAnsi="Arial" w:cs="Arial"/>
          <w:sz w:val="22"/>
          <w:szCs w:val="22"/>
        </w:rPr>
        <w:t xml:space="preserve"> and Kahn, 2002). It is therefore important to appreciate that T2DM is a multifactorial disorder and not just the result of too much sugar</w:t>
      </w:r>
      <w:r w:rsidR="00E87E35" w:rsidRPr="3C63513F">
        <w:rPr>
          <w:rFonts w:ascii="Arial" w:eastAsia="Arial" w:hAnsi="Arial" w:cs="Arial"/>
          <w:sz w:val="22"/>
          <w:szCs w:val="22"/>
        </w:rPr>
        <w:t>.</w:t>
      </w:r>
    </w:p>
    <w:p w14:paraId="3EF5EF7B" w14:textId="28045D9F" w:rsidR="00E87E35" w:rsidRPr="00C11E49" w:rsidRDefault="00334568"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There are both modifiable and non-modifiable risk factors for T2DM. A meta-analysis umbrella review showed that adiposity, unhealthy dietary pattern, physical inactivity, sedentary </w:t>
      </w:r>
      <w:r w:rsidR="320F1F6D" w:rsidRPr="3C63513F">
        <w:rPr>
          <w:rFonts w:ascii="Arial" w:eastAsia="Arial" w:hAnsi="Arial" w:cs="Arial"/>
          <w:sz w:val="22"/>
          <w:szCs w:val="22"/>
        </w:rPr>
        <w:t>behavior</w:t>
      </w:r>
      <w:r w:rsidRPr="3C63513F">
        <w:rPr>
          <w:rFonts w:ascii="Arial" w:eastAsia="Arial" w:hAnsi="Arial" w:cs="Arial"/>
          <w:sz w:val="22"/>
          <w:szCs w:val="22"/>
        </w:rPr>
        <w:t xml:space="preserve"> and smoking were associated with higher risk of T2DM</w:t>
      </w:r>
      <w:proofErr w:type="gramStart"/>
      <w:r w:rsidRPr="3C63513F">
        <w:rPr>
          <w:rFonts w:ascii="Arial" w:eastAsia="Arial" w:hAnsi="Arial" w:cs="Arial"/>
          <w:sz w:val="22"/>
          <w:szCs w:val="22"/>
        </w:rPr>
        <w:t>.Strong</w:t>
      </w:r>
      <w:proofErr w:type="gramEnd"/>
      <w:r w:rsidRPr="3C63513F">
        <w:rPr>
          <w:rFonts w:ascii="Arial" w:eastAsia="Arial" w:hAnsi="Arial" w:cs="Arial"/>
          <w:sz w:val="22"/>
          <w:szCs w:val="22"/>
        </w:rPr>
        <w:t xml:space="preserve"> associations with T2DM and adiposity, unhealthy dietary pattern, physical inactivity, sedentary </w:t>
      </w:r>
      <w:r w:rsidR="4CE2CDEA" w:rsidRPr="3C63513F">
        <w:rPr>
          <w:rFonts w:ascii="Arial" w:eastAsia="Arial" w:hAnsi="Arial" w:cs="Arial"/>
          <w:sz w:val="22"/>
          <w:szCs w:val="22"/>
        </w:rPr>
        <w:t>behavior</w:t>
      </w:r>
      <w:r w:rsidRPr="3C63513F">
        <w:rPr>
          <w:rFonts w:ascii="Arial" w:eastAsia="Arial" w:hAnsi="Arial" w:cs="Arial"/>
          <w:sz w:val="22"/>
          <w:szCs w:val="22"/>
        </w:rPr>
        <w:t xml:space="preserve"> and smoking were found in </w:t>
      </w:r>
      <w:r w:rsidR="008F4814" w:rsidRPr="3C63513F">
        <w:rPr>
          <w:rFonts w:ascii="Arial" w:eastAsia="Arial" w:hAnsi="Arial" w:cs="Arial"/>
          <w:sz w:val="22"/>
          <w:szCs w:val="22"/>
        </w:rPr>
        <w:t>an</w:t>
      </w:r>
      <w:r w:rsidRPr="3C63513F">
        <w:rPr>
          <w:rFonts w:ascii="Arial" w:eastAsia="Arial" w:hAnsi="Arial" w:cs="Arial"/>
          <w:sz w:val="22"/>
          <w:szCs w:val="22"/>
        </w:rPr>
        <w:t xml:space="preserve"> umbrella review of meta-analyses. Besides, the individual's age and genetic susceptibility play a role in </w:t>
      </w:r>
      <w:r w:rsidR="004740E6" w:rsidRPr="3C63513F">
        <w:rPr>
          <w:rFonts w:ascii="Arial" w:eastAsia="Arial" w:hAnsi="Arial" w:cs="Arial"/>
          <w:sz w:val="22"/>
          <w:szCs w:val="22"/>
        </w:rPr>
        <w:t>risk but</w:t>
      </w:r>
      <w:r w:rsidRPr="3C63513F">
        <w:rPr>
          <w:rFonts w:ascii="Arial" w:eastAsia="Arial" w:hAnsi="Arial" w:cs="Arial"/>
          <w:sz w:val="22"/>
          <w:szCs w:val="22"/>
        </w:rPr>
        <w:t xml:space="preserve"> are not something that can be changed by the person (Bellou et al., 2018). It is clinically relevant for patient education. Although a patient's age and genetic predisposition can't be changed, </w:t>
      </w:r>
      <w:r w:rsidR="70A6B00F" w:rsidRPr="3C63513F">
        <w:rPr>
          <w:rFonts w:ascii="Arial" w:eastAsia="Arial" w:hAnsi="Arial" w:cs="Arial"/>
          <w:sz w:val="22"/>
          <w:szCs w:val="22"/>
        </w:rPr>
        <w:t>behaviors</w:t>
      </w:r>
      <w:r w:rsidRPr="3C63513F">
        <w:rPr>
          <w:rFonts w:ascii="Arial" w:eastAsia="Arial" w:hAnsi="Arial" w:cs="Arial"/>
          <w:sz w:val="22"/>
          <w:szCs w:val="22"/>
        </w:rPr>
        <w:t xml:space="preserve"> like diet, smoking and physical activity can be managed. But it would be a mistake to see these </w:t>
      </w:r>
      <w:r w:rsidR="5430BABE" w:rsidRPr="3C63513F">
        <w:rPr>
          <w:rFonts w:ascii="Arial" w:eastAsia="Arial" w:hAnsi="Arial" w:cs="Arial"/>
          <w:sz w:val="22"/>
          <w:szCs w:val="22"/>
        </w:rPr>
        <w:t>behaviors</w:t>
      </w:r>
      <w:r w:rsidRPr="3C63513F">
        <w:rPr>
          <w:rFonts w:ascii="Arial" w:eastAsia="Arial" w:hAnsi="Arial" w:cs="Arial"/>
          <w:sz w:val="22"/>
          <w:szCs w:val="22"/>
        </w:rPr>
        <w:t xml:space="preserve"> as the only factors causing diabetes as they are only associated with metabolic susceptibility</w:t>
      </w:r>
      <w:r w:rsidR="00E87E35" w:rsidRPr="3C63513F">
        <w:rPr>
          <w:rFonts w:ascii="Arial" w:eastAsia="Arial" w:hAnsi="Arial" w:cs="Arial"/>
          <w:sz w:val="22"/>
          <w:szCs w:val="22"/>
        </w:rPr>
        <w:t>.</w:t>
      </w:r>
    </w:p>
    <w:p w14:paraId="7BF1270F" w14:textId="0554F29C" w:rsidR="00E87E35" w:rsidRPr="00C11E49" w:rsidRDefault="00334568"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Effective education, for the </w:t>
      </w:r>
      <w:r w:rsidR="045FD09F" w:rsidRPr="3C63513F">
        <w:rPr>
          <w:rFonts w:ascii="Arial" w:eastAsia="Arial" w:hAnsi="Arial" w:cs="Arial"/>
          <w:sz w:val="22"/>
          <w:szCs w:val="22"/>
        </w:rPr>
        <w:t>practice of</w:t>
      </w:r>
      <w:r w:rsidRPr="3C63513F">
        <w:rPr>
          <w:rFonts w:ascii="Arial" w:eastAsia="Arial" w:hAnsi="Arial" w:cs="Arial"/>
          <w:sz w:val="22"/>
          <w:szCs w:val="22"/>
        </w:rPr>
        <w:t xml:space="preserve"> </w:t>
      </w:r>
      <w:r w:rsidR="658F9521" w:rsidRPr="3C63513F">
        <w:rPr>
          <w:rFonts w:ascii="Arial" w:eastAsia="Arial" w:hAnsi="Arial" w:cs="Arial"/>
          <w:sz w:val="22"/>
          <w:szCs w:val="22"/>
        </w:rPr>
        <w:t>nursing</w:t>
      </w:r>
      <w:r w:rsidRPr="3C63513F">
        <w:rPr>
          <w:rFonts w:ascii="Arial" w:eastAsia="Arial" w:hAnsi="Arial" w:cs="Arial"/>
          <w:sz w:val="22"/>
          <w:szCs w:val="22"/>
        </w:rPr>
        <w:t xml:space="preserve"> in the </w:t>
      </w:r>
      <w:r w:rsidR="46471E2D" w:rsidRPr="3C63513F">
        <w:rPr>
          <w:rFonts w:ascii="Arial" w:eastAsia="Arial" w:hAnsi="Arial" w:cs="Arial"/>
          <w:sz w:val="22"/>
          <w:szCs w:val="22"/>
        </w:rPr>
        <w:t>case of</w:t>
      </w:r>
      <w:r w:rsidRPr="3C63513F">
        <w:rPr>
          <w:rFonts w:ascii="Arial" w:eastAsia="Arial" w:hAnsi="Arial" w:cs="Arial"/>
          <w:sz w:val="22"/>
          <w:szCs w:val="22"/>
        </w:rPr>
        <w:t xml:space="preserve"> study, should then go beyond the provision of general guidance for patients. Patients should be informed about the reason for blood glucose dysregulations and the impact of lifestyle </w:t>
      </w:r>
      <w:r w:rsidR="02420B1F" w:rsidRPr="3C63513F">
        <w:rPr>
          <w:rFonts w:ascii="Arial" w:eastAsia="Arial" w:hAnsi="Arial" w:cs="Arial"/>
          <w:sz w:val="22"/>
          <w:szCs w:val="22"/>
        </w:rPr>
        <w:t>behaviors</w:t>
      </w:r>
      <w:r w:rsidRPr="3C63513F">
        <w:rPr>
          <w:rFonts w:ascii="Arial" w:eastAsia="Arial" w:hAnsi="Arial" w:cs="Arial"/>
          <w:sz w:val="22"/>
          <w:szCs w:val="22"/>
        </w:rPr>
        <w:t xml:space="preserve"> on glucose </w:t>
      </w:r>
      <w:r w:rsidR="5EA5908E" w:rsidRPr="3C63513F">
        <w:rPr>
          <w:rFonts w:ascii="Arial" w:eastAsia="Arial" w:hAnsi="Arial" w:cs="Arial"/>
          <w:sz w:val="22"/>
          <w:szCs w:val="22"/>
        </w:rPr>
        <w:t>utilization</w:t>
      </w:r>
      <w:r w:rsidRPr="3C63513F">
        <w:rPr>
          <w:rFonts w:ascii="Arial" w:eastAsia="Arial" w:hAnsi="Arial" w:cs="Arial"/>
          <w:sz w:val="22"/>
          <w:szCs w:val="22"/>
        </w:rPr>
        <w:t>, and the benefits of monitoring information. A better understanding of physiology and its implications for decision-making could enable patients to be more involved in their care plans</w:t>
      </w:r>
      <w:r w:rsidR="00E87E35" w:rsidRPr="3C63513F">
        <w:rPr>
          <w:rFonts w:ascii="Arial" w:eastAsia="Arial" w:hAnsi="Arial" w:cs="Arial"/>
          <w:sz w:val="22"/>
          <w:szCs w:val="22"/>
        </w:rPr>
        <w:t>.</w:t>
      </w:r>
    </w:p>
    <w:p w14:paraId="6D74616F" w14:textId="77777777" w:rsidR="00E87E35" w:rsidRPr="00EA7A1F" w:rsidRDefault="00E87E35" w:rsidP="3C63513F">
      <w:pPr>
        <w:pStyle w:val="Heading2"/>
        <w:spacing w:line="360" w:lineRule="auto"/>
        <w:jc w:val="both"/>
        <w:rPr>
          <w:rFonts w:ascii="Arial" w:eastAsia="Arial" w:hAnsi="Arial" w:cs="Arial"/>
          <w:b/>
          <w:bCs/>
          <w:color w:val="000000" w:themeColor="text1"/>
          <w:sz w:val="28"/>
          <w:szCs w:val="28"/>
        </w:rPr>
      </w:pPr>
      <w:bookmarkStart w:id="2" w:name="_Toc242085562"/>
      <w:r w:rsidRPr="3C63513F">
        <w:rPr>
          <w:rFonts w:ascii="Arial" w:eastAsia="Arial" w:hAnsi="Arial" w:cs="Arial"/>
          <w:b/>
          <w:bCs/>
          <w:color w:val="000000" w:themeColor="text1"/>
          <w:sz w:val="28"/>
          <w:szCs w:val="28"/>
        </w:rPr>
        <w:t>b) Blood-glucose homeostasis</w:t>
      </w:r>
      <w:bookmarkEnd w:id="2"/>
    </w:p>
    <w:p w14:paraId="24CACA40" w14:textId="3441869E" w:rsidR="00E87E35" w:rsidRPr="00C11E49" w:rsidRDefault="00205D1F"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Regulation of blood glucose is a dynamic process involving the entry of glucose into the bloodstream, its storage, </w:t>
      </w:r>
      <w:r w:rsidR="55E67933" w:rsidRPr="3C63513F">
        <w:rPr>
          <w:rFonts w:ascii="Arial" w:eastAsia="Arial" w:hAnsi="Arial" w:cs="Arial"/>
          <w:sz w:val="22"/>
          <w:szCs w:val="22"/>
        </w:rPr>
        <w:t>production,</w:t>
      </w:r>
      <w:r w:rsidRPr="3C63513F">
        <w:rPr>
          <w:rFonts w:ascii="Arial" w:eastAsia="Arial" w:hAnsi="Arial" w:cs="Arial"/>
          <w:sz w:val="22"/>
          <w:szCs w:val="22"/>
        </w:rPr>
        <w:t xml:space="preserve"> and usage by tissues. A key pair of hormones in this process are insulin and glucagon. Insulin is secreted by pancreatic β-cells when blood glucose levels rise. Insulin facilitates the uptake of glucose by tissues and helps to store glucose, lowering the blood </w:t>
      </w:r>
      <w:r w:rsidRPr="3C63513F">
        <w:rPr>
          <w:rFonts w:ascii="Arial" w:eastAsia="Arial" w:hAnsi="Arial" w:cs="Arial"/>
          <w:sz w:val="22"/>
          <w:szCs w:val="22"/>
        </w:rPr>
        <w:lastRenderedPageBreak/>
        <w:t xml:space="preserve">glucose level towards an appropriate target. Blood glucose levels are restored to normal by the secretion of glucagon by pancreatic α-cells that </w:t>
      </w:r>
      <w:r w:rsidR="007A0D4F" w:rsidRPr="3C63513F">
        <w:rPr>
          <w:rFonts w:ascii="Arial" w:eastAsia="Arial" w:hAnsi="Arial" w:cs="Arial"/>
          <w:sz w:val="22"/>
          <w:szCs w:val="22"/>
        </w:rPr>
        <w:t>stimulate</w:t>
      </w:r>
      <w:r w:rsidRPr="3C63513F">
        <w:rPr>
          <w:rFonts w:ascii="Arial" w:eastAsia="Arial" w:hAnsi="Arial" w:cs="Arial"/>
          <w:sz w:val="22"/>
          <w:szCs w:val="22"/>
        </w:rPr>
        <w:t xml:space="preserve"> glucose production in the liver (Gromada, </w:t>
      </w:r>
      <w:r w:rsidR="38B36FB6" w:rsidRPr="3C63513F">
        <w:rPr>
          <w:rFonts w:ascii="Arial" w:eastAsia="Arial" w:hAnsi="Arial" w:cs="Arial"/>
          <w:sz w:val="22"/>
          <w:szCs w:val="22"/>
        </w:rPr>
        <w:t>Chagossian</w:t>
      </w:r>
      <w:r w:rsidRPr="3C63513F">
        <w:rPr>
          <w:rFonts w:ascii="Arial" w:eastAsia="Arial" w:hAnsi="Arial" w:cs="Arial"/>
          <w:sz w:val="22"/>
          <w:szCs w:val="22"/>
        </w:rPr>
        <w:t xml:space="preserve"> and Rutter, 2018</w:t>
      </w:r>
      <w:r w:rsidR="00E87E35" w:rsidRPr="3C63513F">
        <w:rPr>
          <w:rFonts w:ascii="Arial" w:eastAsia="Arial" w:hAnsi="Arial" w:cs="Arial"/>
          <w:sz w:val="22"/>
          <w:szCs w:val="22"/>
        </w:rPr>
        <w:t>).</w:t>
      </w:r>
    </w:p>
    <w:p w14:paraId="12BDB485" w14:textId="36DCACE9" w:rsidR="00E87E35" w:rsidRPr="00C11E49" w:rsidRDefault="00205D1F"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This process is an example of how glucose homeostasis is achieved through a combination of hormones and </w:t>
      </w:r>
      <w:r w:rsidR="00B71B96" w:rsidRPr="3C63513F">
        <w:rPr>
          <w:rFonts w:ascii="Arial" w:eastAsia="Arial" w:hAnsi="Arial" w:cs="Arial"/>
          <w:sz w:val="22"/>
          <w:szCs w:val="22"/>
        </w:rPr>
        <w:t>metabolism and</w:t>
      </w:r>
      <w:r w:rsidRPr="3C63513F">
        <w:rPr>
          <w:rFonts w:ascii="Arial" w:eastAsia="Arial" w:hAnsi="Arial" w:cs="Arial"/>
          <w:sz w:val="22"/>
          <w:szCs w:val="22"/>
        </w:rPr>
        <w:t xml:space="preserve"> does not solely rely on insulin. In T2DM, insulin resistance is a decrease in the ability of insulin to work at the target tissues, requiring more insulin to produce the same effect at times. However, the function of the β-cells can </w:t>
      </w:r>
      <w:r w:rsidR="00B71B96" w:rsidRPr="3C63513F">
        <w:rPr>
          <w:rFonts w:ascii="Arial" w:eastAsia="Arial" w:hAnsi="Arial" w:cs="Arial"/>
          <w:sz w:val="22"/>
          <w:szCs w:val="22"/>
        </w:rPr>
        <w:t>become insufficient over time</w:t>
      </w:r>
      <w:r w:rsidRPr="3C63513F">
        <w:rPr>
          <w:rFonts w:ascii="Arial" w:eastAsia="Arial" w:hAnsi="Arial" w:cs="Arial"/>
          <w:sz w:val="22"/>
          <w:szCs w:val="22"/>
        </w:rPr>
        <w:t xml:space="preserve"> to compensate (Bergman, </w:t>
      </w:r>
      <w:r w:rsidR="40A4EDD9" w:rsidRPr="3C63513F">
        <w:rPr>
          <w:rFonts w:ascii="Arial" w:eastAsia="Arial" w:hAnsi="Arial" w:cs="Arial"/>
          <w:sz w:val="22"/>
          <w:szCs w:val="22"/>
        </w:rPr>
        <w:t>Finegood,</w:t>
      </w:r>
      <w:r w:rsidRPr="3C63513F">
        <w:rPr>
          <w:rFonts w:ascii="Arial" w:eastAsia="Arial" w:hAnsi="Arial" w:cs="Arial"/>
          <w:sz w:val="22"/>
          <w:szCs w:val="22"/>
        </w:rPr>
        <w:t xml:space="preserve"> and Kahn, 2002). There can also be abnormal regulation of glucagon, which can lead to inappropriate hepatic glucose production and further increase in blood glucose (Gromada, </w:t>
      </w:r>
      <w:r w:rsidR="62C01291" w:rsidRPr="3C63513F">
        <w:rPr>
          <w:rFonts w:ascii="Arial" w:eastAsia="Arial" w:hAnsi="Arial" w:cs="Arial"/>
          <w:sz w:val="22"/>
          <w:szCs w:val="22"/>
        </w:rPr>
        <w:t>Chagossian</w:t>
      </w:r>
      <w:r w:rsidRPr="3C63513F">
        <w:rPr>
          <w:rFonts w:ascii="Arial" w:eastAsia="Arial" w:hAnsi="Arial" w:cs="Arial"/>
          <w:sz w:val="22"/>
          <w:szCs w:val="22"/>
        </w:rPr>
        <w:t xml:space="preserve"> and Rutter, 2018</w:t>
      </w:r>
      <w:r w:rsidR="00E87E35" w:rsidRPr="3C63513F">
        <w:rPr>
          <w:rFonts w:ascii="Arial" w:eastAsia="Arial" w:hAnsi="Arial" w:cs="Arial"/>
          <w:sz w:val="22"/>
          <w:szCs w:val="22"/>
        </w:rPr>
        <w:t>).</w:t>
      </w:r>
    </w:p>
    <w:p w14:paraId="12C31FCC" w14:textId="1F0421E6" w:rsidR="00E87E35" w:rsidRPr="00C11E49" w:rsidRDefault="005A6650"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Skeletal muscle is especially significant because it is a significant site for disposal of glucose. Insulin promotes the transport of GLUT4 transporters to the muscle-cell membrane, which allows glucose to enter the cells. Importantly, glucose uptake can be increased during muscle contraction in a process that is partially insulin independent (Richter, Bilan and Klip, 2025). This gives a physiologic rationale on the part of exercise in the management of T2DM. Physical activity is therefore not just </w:t>
      </w:r>
      <w:r w:rsidR="00B71B96" w:rsidRPr="3C63513F">
        <w:rPr>
          <w:rFonts w:ascii="Arial" w:eastAsia="Arial" w:hAnsi="Arial" w:cs="Arial"/>
          <w:sz w:val="22"/>
          <w:szCs w:val="22"/>
        </w:rPr>
        <w:t>general</w:t>
      </w:r>
      <w:r w:rsidRPr="3C63513F">
        <w:rPr>
          <w:rFonts w:ascii="Arial" w:eastAsia="Arial" w:hAnsi="Arial" w:cs="Arial"/>
          <w:sz w:val="22"/>
          <w:szCs w:val="22"/>
        </w:rPr>
        <w:t xml:space="preserve"> health advice, but it also </w:t>
      </w:r>
      <w:r w:rsidR="005F496F" w:rsidRPr="3C63513F">
        <w:rPr>
          <w:rFonts w:ascii="Arial" w:eastAsia="Arial" w:hAnsi="Arial" w:cs="Arial"/>
          <w:sz w:val="22"/>
          <w:szCs w:val="22"/>
        </w:rPr>
        <w:t>impacts</w:t>
      </w:r>
      <w:r w:rsidRPr="3C63513F">
        <w:rPr>
          <w:rFonts w:ascii="Arial" w:eastAsia="Arial" w:hAnsi="Arial" w:cs="Arial"/>
          <w:sz w:val="22"/>
          <w:szCs w:val="22"/>
        </w:rPr>
        <w:t xml:space="preserve"> one of the mechanisms of glucose regulation</w:t>
      </w:r>
      <w:r w:rsidR="00E87E35" w:rsidRPr="3C63513F">
        <w:rPr>
          <w:rFonts w:ascii="Arial" w:eastAsia="Arial" w:hAnsi="Arial" w:cs="Arial"/>
          <w:sz w:val="22"/>
          <w:szCs w:val="22"/>
        </w:rPr>
        <w:t>.</w:t>
      </w:r>
    </w:p>
    <w:p w14:paraId="62A7818A" w14:textId="3805B8D0" w:rsidR="00E87E35" w:rsidRPr="00C11E49" w:rsidRDefault="005A6650"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The implication </w:t>
      </w:r>
      <w:r w:rsidR="00B71B96" w:rsidRPr="3C63513F">
        <w:rPr>
          <w:rFonts w:ascii="Arial" w:eastAsia="Arial" w:hAnsi="Arial" w:cs="Arial"/>
          <w:sz w:val="22"/>
          <w:szCs w:val="22"/>
        </w:rPr>
        <w:t>for</w:t>
      </w:r>
      <w:r w:rsidRPr="3C63513F">
        <w:rPr>
          <w:rFonts w:ascii="Arial" w:eastAsia="Arial" w:hAnsi="Arial" w:cs="Arial"/>
          <w:sz w:val="22"/>
          <w:szCs w:val="22"/>
        </w:rPr>
        <w:t xml:space="preserve"> the patient is important. While lifestyle changes can't cure </w:t>
      </w:r>
      <w:r w:rsidR="00B71B96" w:rsidRPr="3C63513F">
        <w:rPr>
          <w:rFonts w:ascii="Arial" w:eastAsia="Arial" w:hAnsi="Arial" w:cs="Arial"/>
          <w:sz w:val="22"/>
          <w:szCs w:val="22"/>
        </w:rPr>
        <w:t>all</w:t>
      </w:r>
      <w:r w:rsidRPr="3C63513F">
        <w:rPr>
          <w:rFonts w:ascii="Arial" w:eastAsia="Arial" w:hAnsi="Arial" w:cs="Arial"/>
          <w:sz w:val="22"/>
          <w:szCs w:val="22"/>
        </w:rPr>
        <w:t xml:space="preserve"> the underlying causes of T2DM, exercising more can help improve glucose disposal and lessen the metabolic effects of insulin resistance. For this reason, the explanations for lifestyle recommendations should be given in physiologic terms, so that the patient understands the rationale behind the recommendations, rather than just a list of rules to follow</w:t>
      </w:r>
      <w:r w:rsidR="00E87E35" w:rsidRPr="3C63513F">
        <w:rPr>
          <w:rFonts w:ascii="Arial" w:eastAsia="Arial" w:hAnsi="Arial" w:cs="Arial"/>
          <w:sz w:val="22"/>
          <w:szCs w:val="22"/>
        </w:rPr>
        <w:t>.</w:t>
      </w:r>
    </w:p>
    <w:p w14:paraId="4F218052" w14:textId="77777777" w:rsidR="00E87E35" w:rsidRPr="00EA7A1F" w:rsidRDefault="00E87E35" w:rsidP="3C63513F">
      <w:pPr>
        <w:pStyle w:val="Heading2"/>
        <w:spacing w:line="360" w:lineRule="auto"/>
        <w:jc w:val="both"/>
        <w:rPr>
          <w:rFonts w:ascii="Arial" w:eastAsia="Arial" w:hAnsi="Arial" w:cs="Arial"/>
          <w:b/>
          <w:bCs/>
          <w:color w:val="000000" w:themeColor="text1"/>
          <w:sz w:val="28"/>
          <w:szCs w:val="28"/>
        </w:rPr>
      </w:pPr>
      <w:bookmarkStart w:id="3" w:name="_Toc242085563"/>
      <w:r w:rsidRPr="3C63513F">
        <w:rPr>
          <w:rFonts w:ascii="Arial" w:eastAsia="Arial" w:hAnsi="Arial" w:cs="Arial"/>
          <w:b/>
          <w:bCs/>
          <w:color w:val="000000" w:themeColor="text1"/>
          <w:sz w:val="28"/>
          <w:szCs w:val="28"/>
        </w:rPr>
        <w:t>c) Cellular metabolism: glucose, oxygen and energy</w:t>
      </w:r>
      <w:bookmarkEnd w:id="3"/>
    </w:p>
    <w:p w14:paraId="5344A6ED" w14:textId="2D16723E" w:rsidR="00E87E35" w:rsidRPr="00C11E49" w:rsidRDefault="005A6650" w:rsidP="3C63513F">
      <w:pPr>
        <w:spacing w:line="360" w:lineRule="auto"/>
        <w:jc w:val="both"/>
        <w:rPr>
          <w:rFonts w:ascii="Arial" w:eastAsia="Arial" w:hAnsi="Arial" w:cs="Arial"/>
          <w:sz w:val="22"/>
          <w:szCs w:val="22"/>
        </w:rPr>
      </w:pPr>
      <w:r>
        <w:br/>
      </w:r>
      <w:r w:rsidRPr="3C63513F">
        <w:rPr>
          <w:rFonts w:ascii="Arial" w:eastAsia="Arial" w:hAnsi="Arial" w:cs="Arial"/>
          <w:sz w:val="22"/>
          <w:szCs w:val="22"/>
        </w:rPr>
        <w:t xml:space="preserve">For active transport, muscle </w:t>
      </w:r>
      <w:r w:rsidR="179BDC24" w:rsidRPr="3C63513F">
        <w:rPr>
          <w:rFonts w:ascii="Arial" w:eastAsia="Arial" w:hAnsi="Arial" w:cs="Arial"/>
          <w:sz w:val="22"/>
          <w:szCs w:val="22"/>
        </w:rPr>
        <w:t>contraction,</w:t>
      </w:r>
      <w:r w:rsidRPr="3C63513F">
        <w:rPr>
          <w:rFonts w:ascii="Arial" w:eastAsia="Arial" w:hAnsi="Arial" w:cs="Arial"/>
          <w:sz w:val="22"/>
          <w:szCs w:val="22"/>
        </w:rPr>
        <w:t xml:space="preserve"> and synthesis of </w:t>
      </w:r>
      <w:r w:rsidR="121FFE70" w:rsidRPr="3C63513F">
        <w:rPr>
          <w:rFonts w:ascii="Arial" w:eastAsia="Arial" w:hAnsi="Arial" w:cs="Arial"/>
          <w:sz w:val="22"/>
          <w:szCs w:val="22"/>
        </w:rPr>
        <w:t>cellular</w:t>
      </w:r>
      <w:r w:rsidRPr="3C63513F">
        <w:rPr>
          <w:rFonts w:ascii="Arial" w:eastAsia="Arial" w:hAnsi="Arial" w:cs="Arial"/>
          <w:sz w:val="22"/>
          <w:szCs w:val="22"/>
        </w:rPr>
        <w:t xml:space="preserve"> components, cells need a continuous supply of energy. Glucose is one of the important energy substrates and ATP is a major energy-transfer molecule that provides energy to cellular processes (Bonora et al., 2012</w:t>
      </w:r>
      <w:r w:rsidR="00E87E35" w:rsidRPr="3C63513F">
        <w:rPr>
          <w:rFonts w:ascii="Arial" w:eastAsia="Arial" w:hAnsi="Arial" w:cs="Arial"/>
          <w:sz w:val="22"/>
          <w:szCs w:val="22"/>
        </w:rPr>
        <w:t>).</w:t>
      </w:r>
    </w:p>
    <w:p w14:paraId="0BC4A379" w14:textId="77901BE8" w:rsidR="00E87E35" w:rsidRPr="00C11E49" w:rsidRDefault="00A55D46" w:rsidP="3C63513F">
      <w:pPr>
        <w:spacing w:line="360" w:lineRule="auto"/>
        <w:jc w:val="both"/>
        <w:rPr>
          <w:rFonts w:ascii="Arial" w:eastAsia="Arial" w:hAnsi="Arial" w:cs="Arial"/>
          <w:sz w:val="22"/>
          <w:szCs w:val="22"/>
        </w:rPr>
      </w:pPr>
      <w:r>
        <w:br/>
      </w:r>
      <w:r w:rsidRPr="3C63513F">
        <w:rPr>
          <w:rFonts w:ascii="Arial" w:eastAsia="Arial" w:hAnsi="Arial" w:cs="Arial"/>
          <w:sz w:val="22"/>
          <w:szCs w:val="22"/>
        </w:rPr>
        <w:t xml:space="preserve">Glycolysis is the initial step in aerobic cellular metabolism, where glucose is oxidized to </w:t>
      </w:r>
      <w:r w:rsidR="37FE9FF0" w:rsidRPr="3C63513F">
        <w:rPr>
          <w:rFonts w:ascii="Arial" w:eastAsia="Arial" w:hAnsi="Arial" w:cs="Arial"/>
          <w:sz w:val="22"/>
          <w:szCs w:val="22"/>
        </w:rPr>
        <w:t>pyruvate,</w:t>
      </w:r>
      <w:r w:rsidRPr="3C63513F">
        <w:rPr>
          <w:rFonts w:ascii="Arial" w:eastAsia="Arial" w:hAnsi="Arial" w:cs="Arial"/>
          <w:sz w:val="22"/>
          <w:szCs w:val="22"/>
        </w:rPr>
        <w:t xml:space="preserve"> and a small amount of ATP and reduced electron carriers are produced. These additional reduced electron carriers are the result of further metabolic </w:t>
      </w:r>
      <w:r w:rsidR="6E168800" w:rsidRPr="3C63513F">
        <w:rPr>
          <w:rFonts w:ascii="Arial" w:eastAsia="Arial" w:hAnsi="Arial" w:cs="Arial"/>
          <w:sz w:val="22"/>
          <w:szCs w:val="22"/>
        </w:rPr>
        <w:t>reactions</w:t>
      </w:r>
      <w:r w:rsidRPr="3C63513F">
        <w:rPr>
          <w:rFonts w:ascii="Arial" w:eastAsia="Arial" w:hAnsi="Arial" w:cs="Arial"/>
          <w:sz w:val="22"/>
          <w:szCs w:val="22"/>
        </w:rPr>
        <w:t xml:space="preserve"> in mitochondria. Transfers electrons </w:t>
      </w:r>
      <w:r w:rsidRPr="3C63513F">
        <w:rPr>
          <w:rFonts w:ascii="Arial" w:eastAsia="Arial" w:hAnsi="Arial" w:cs="Arial"/>
          <w:sz w:val="22"/>
          <w:szCs w:val="22"/>
        </w:rPr>
        <w:lastRenderedPageBreak/>
        <w:t xml:space="preserve">to the </w:t>
      </w:r>
      <w:r w:rsidR="2681AB74" w:rsidRPr="3C63513F">
        <w:rPr>
          <w:rFonts w:ascii="Arial" w:eastAsia="Arial" w:hAnsi="Arial" w:cs="Arial"/>
          <w:sz w:val="22"/>
          <w:szCs w:val="22"/>
        </w:rPr>
        <w:t>MTETC,</w:t>
      </w:r>
      <w:r w:rsidRPr="3C63513F">
        <w:rPr>
          <w:rFonts w:ascii="Arial" w:eastAsia="Arial" w:hAnsi="Arial" w:cs="Arial"/>
          <w:sz w:val="22"/>
          <w:szCs w:val="22"/>
        </w:rPr>
        <w:t xml:space="preserve"> which uses the energy released to generate a proton gradient across the inner mitochondrial membrane. The ATP is then synthesized in oxidative phosphorylation (Rigoulet et al., 2020</w:t>
      </w:r>
      <w:r w:rsidR="00E87E35" w:rsidRPr="3C63513F">
        <w:rPr>
          <w:rFonts w:ascii="Arial" w:eastAsia="Arial" w:hAnsi="Arial" w:cs="Arial"/>
          <w:sz w:val="22"/>
          <w:szCs w:val="22"/>
        </w:rPr>
        <w:t>).</w:t>
      </w:r>
    </w:p>
    <w:p w14:paraId="11C0167A" w14:textId="7E3FF70D" w:rsidR="00E87E35" w:rsidRPr="00C11E49" w:rsidRDefault="002D46E9" w:rsidP="3C63513F">
      <w:pPr>
        <w:spacing w:line="360" w:lineRule="auto"/>
        <w:jc w:val="both"/>
        <w:rPr>
          <w:rFonts w:ascii="Arial" w:eastAsia="Arial" w:hAnsi="Arial" w:cs="Arial"/>
          <w:sz w:val="22"/>
          <w:szCs w:val="22"/>
        </w:rPr>
      </w:pPr>
      <w:r w:rsidRPr="3C63513F">
        <w:rPr>
          <w:rFonts w:ascii="Arial" w:eastAsia="Arial" w:hAnsi="Arial" w:cs="Arial"/>
          <w:sz w:val="22"/>
          <w:szCs w:val="22"/>
        </w:rPr>
        <w:t>Oxygen</w:t>
      </w:r>
      <w:r w:rsidR="00A55D46" w:rsidRPr="3C63513F">
        <w:rPr>
          <w:rFonts w:ascii="Arial" w:eastAsia="Arial" w:hAnsi="Arial" w:cs="Arial"/>
          <w:sz w:val="22"/>
          <w:szCs w:val="22"/>
        </w:rPr>
        <w:t xml:space="preserve"> is not only necessary because it is the final electron acceptor in the electron transport chain, but it is also required to provide the necessary oxygen for aerobic respiration. This permits the flow of </w:t>
      </w:r>
      <w:r w:rsidR="0A2E4203" w:rsidRPr="3C63513F">
        <w:rPr>
          <w:rFonts w:ascii="Arial" w:eastAsia="Arial" w:hAnsi="Arial" w:cs="Arial"/>
          <w:sz w:val="22"/>
          <w:szCs w:val="22"/>
        </w:rPr>
        <w:t>electrons</w:t>
      </w:r>
      <w:r w:rsidR="00A55D46" w:rsidRPr="3C63513F">
        <w:rPr>
          <w:rFonts w:ascii="Arial" w:eastAsia="Arial" w:hAnsi="Arial" w:cs="Arial"/>
          <w:sz w:val="22"/>
          <w:szCs w:val="22"/>
        </w:rPr>
        <w:t xml:space="preserve"> and helps in the production of ATP. The overall reaction can then be simplified to</w:t>
      </w:r>
      <w:r w:rsidR="00E87E35" w:rsidRPr="3C63513F">
        <w:rPr>
          <w:rFonts w:ascii="Arial" w:eastAsia="Arial" w:hAnsi="Arial" w:cs="Arial"/>
          <w:sz w:val="22"/>
          <w:szCs w:val="22"/>
        </w:rPr>
        <w:t>:</w:t>
      </w:r>
    </w:p>
    <w:p w14:paraId="112AFEAB" w14:textId="77777777" w:rsidR="00E87E35" w:rsidRPr="00C11E49" w:rsidRDefault="00E87E35" w:rsidP="3C63513F">
      <w:pPr>
        <w:spacing w:line="360" w:lineRule="auto"/>
        <w:jc w:val="both"/>
        <w:rPr>
          <w:rFonts w:ascii="Arial" w:eastAsia="Arial" w:hAnsi="Arial" w:cs="Arial"/>
          <w:sz w:val="22"/>
          <w:szCs w:val="22"/>
        </w:rPr>
      </w:pPr>
      <w:r w:rsidRPr="3C63513F">
        <w:rPr>
          <w:rFonts w:ascii="Arial" w:eastAsia="Arial" w:hAnsi="Arial" w:cs="Arial"/>
          <w:b/>
          <w:bCs/>
          <w:sz w:val="22"/>
          <w:szCs w:val="22"/>
        </w:rPr>
        <w:t>Glucose + oxygen → carbon dioxide + water + ATP</w:t>
      </w:r>
    </w:p>
    <w:p w14:paraId="3978B060" w14:textId="5803B69E" w:rsidR="00E87E35" w:rsidRPr="00C11E49" w:rsidRDefault="00A55D46"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Pathophysiology of glucose metabolism and exercise is important in T2DM. During skeletal muscle contraction, the muscle takes up more glucose, which can then be utilized by the muscle cell for metabolism or storage (Richter, </w:t>
      </w:r>
      <w:r w:rsidR="3F6E0549" w:rsidRPr="3C63513F">
        <w:rPr>
          <w:rFonts w:ascii="Arial" w:eastAsia="Arial" w:hAnsi="Arial" w:cs="Arial"/>
          <w:sz w:val="22"/>
          <w:szCs w:val="22"/>
        </w:rPr>
        <w:t>Bilan,</w:t>
      </w:r>
      <w:r w:rsidRPr="3C63513F">
        <w:rPr>
          <w:rFonts w:ascii="Arial" w:eastAsia="Arial" w:hAnsi="Arial" w:cs="Arial"/>
          <w:sz w:val="22"/>
          <w:szCs w:val="22"/>
        </w:rPr>
        <w:t xml:space="preserve"> and Klip, 2025). This is a possible explanation for the ability of physical activity to contribute to </w:t>
      </w:r>
      <w:r w:rsidR="40810C46" w:rsidRPr="3C63513F">
        <w:rPr>
          <w:rFonts w:ascii="Arial" w:eastAsia="Arial" w:hAnsi="Arial" w:cs="Arial"/>
          <w:sz w:val="22"/>
          <w:szCs w:val="22"/>
        </w:rPr>
        <w:t>glycemic</w:t>
      </w:r>
      <w:r w:rsidRPr="3C63513F">
        <w:rPr>
          <w:rFonts w:ascii="Arial" w:eastAsia="Arial" w:hAnsi="Arial" w:cs="Arial"/>
          <w:sz w:val="22"/>
          <w:szCs w:val="22"/>
        </w:rPr>
        <w:t xml:space="preserve"> control in the presence of impaired insulin action</w:t>
      </w:r>
      <w:r w:rsidR="00E87E35" w:rsidRPr="3C63513F">
        <w:rPr>
          <w:rFonts w:ascii="Arial" w:eastAsia="Arial" w:hAnsi="Arial" w:cs="Arial"/>
          <w:sz w:val="22"/>
          <w:szCs w:val="22"/>
        </w:rPr>
        <w:t>.</w:t>
      </w:r>
    </w:p>
    <w:p w14:paraId="66132CF0" w14:textId="698FEDCE" w:rsidR="00E87E35" w:rsidRPr="00C11E49" w:rsidRDefault="006E2DD7"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The connection between metabolism and diabetes is not simple, however. Long-term </w:t>
      </w:r>
      <w:r w:rsidR="39053E1C" w:rsidRPr="3C63513F">
        <w:rPr>
          <w:rFonts w:ascii="Arial" w:eastAsia="Arial" w:hAnsi="Arial" w:cs="Arial"/>
          <w:sz w:val="22"/>
          <w:szCs w:val="22"/>
        </w:rPr>
        <w:t>hyperglycemia</w:t>
      </w:r>
      <w:r w:rsidRPr="3C63513F">
        <w:rPr>
          <w:rFonts w:ascii="Arial" w:eastAsia="Arial" w:hAnsi="Arial" w:cs="Arial"/>
          <w:sz w:val="22"/>
          <w:szCs w:val="22"/>
        </w:rPr>
        <w:t xml:space="preserve"> can lead to metabolic dysfunction, and a disturbance of cellular metabolism can be responsible for long-term physiologic damage. This emphasizes the need for better glucose control for longer periods of time, not just short-term. Familiarizing patients with this connection can help them make the meaning of the everyday decisions they make more meaningful</w:t>
      </w:r>
      <w:r w:rsidR="00E87E35" w:rsidRPr="3C63513F">
        <w:rPr>
          <w:rFonts w:ascii="Arial" w:eastAsia="Arial" w:hAnsi="Arial" w:cs="Arial"/>
          <w:sz w:val="22"/>
          <w:szCs w:val="22"/>
        </w:rPr>
        <w:t>.</w:t>
      </w:r>
    </w:p>
    <w:p w14:paraId="08AFD9C5" w14:textId="77777777" w:rsidR="00E87E35" w:rsidRPr="00EA7A1F" w:rsidRDefault="00E87E35" w:rsidP="3C63513F">
      <w:pPr>
        <w:pStyle w:val="Heading2"/>
        <w:spacing w:line="360" w:lineRule="auto"/>
        <w:jc w:val="both"/>
        <w:rPr>
          <w:rFonts w:ascii="Arial" w:eastAsia="Arial" w:hAnsi="Arial" w:cs="Arial"/>
          <w:b/>
          <w:bCs/>
          <w:color w:val="000000" w:themeColor="text1"/>
          <w:sz w:val="28"/>
          <w:szCs w:val="28"/>
        </w:rPr>
      </w:pPr>
      <w:bookmarkStart w:id="4" w:name="_Toc242085564"/>
      <w:r w:rsidRPr="3C63513F">
        <w:rPr>
          <w:rFonts w:ascii="Arial" w:eastAsia="Arial" w:hAnsi="Arial" w:cs="Arial"/>
          <w:b/>
          <w:bCs/>
          <w:color w:val="000000" w:themeColor="text1"/>
          <w:sz w:val="28"/>
          <w:szCs w:val="28"/>
        </w:rPr>
        <w:t>d) Recording and tracking blood glucose</w:t>
      </w:r>
      <w:bookmarkEnd w:id="4"/>
    </w:p>
    <w:p w14:paraId="483603C8" w14:textId="00A4C3FD" w:rsidR="00E87E35" w:rsidRPr="00C11E49" w:rsidRDefault="004C0B01"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Blood glucose records and trends can help patients to see patterns and correlate meals, exercise, blood glucose, symptoms, and medications. A key critical fact, however, is that there is no direct correlation between increased monitoring and increased control. There are reports that the benefits of self-monitoring are highly dependent on patients knowing and doing what they see in the self-monitoring results (Chircop, </w:t>
      </w:r>
      <w:r w:rsidR="543C2776" w:rsidRPr="3C63513F">
        <w:rPr>
          <w:rFonts w:ascii="Arial" w:eastAsia="Arial" w:hAnsi="Arial" w:cs="Arial"/>
          <w:sz w:val="22"/>
          <w:szCs w:val="22"/>
        </w:rPr>
        <w:t>Sheffield,</w:t>
      </w:r>
      <w:r w:rsidRPr="3C63513F">
        <w:rPr>
          <w:rFonts w:ascii="Arial" w:eastAsia="Arial" w:hAnsi="Arial" w:cs="Arial"/>
          <w:sz w:val="22"/>
          <w:szCs w:val="22"/>
        </w:rPr>
        <w:t xml:space="preserve"> and Kotera, 2021</w:t>
      </w:r>
      <w:r w:rsidR="00E87E35" w:rsidRPr="3C63513F">
        <w:rPr>
          <w:rFonts w:ascii="Arial" w:eastAsia="Arial" w:hAnsi="Arial" w:cs="Arial"/>
          <w:sz w:val="22"/>
          <w:szCs w:val="22"/>
        </w:rPr>
        <w:t>).</w:t>
      </w:r>
    </w:p>
    <w:p w14:paraId="369FA68E" w14:textId="7CE93AC2" w:rsidR="004C0B01" w:rsidRPr="00C11E49" w:rsidRDefault="005665CA"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It is important to note that this distinction is of great significance in the practice of nursing. Removing high numbers of glucose readings without giving the patient an understanding of the implications of the readings is likely to add unnecessary burden without enhancing management. Structured monitoring is more meaningful as it will enable patient and healthcare professionals to look for patterns and think through the response that is warranted. A systematic review and meta-analysis demonstrated that while there were benefits for some outcomes, others did not, and the </w:t>
      </w:r>
      <w:r w:rsidRPr="3C63513F">
        <w:rPr>
          <w:rFonts w:ascii="Arial" w:eastAsia="Arial" w:hAnsi="Arial" w:cs="Arial"/>
          <w:sz w:val="22"/>
          <w:szCs w:val="22"/>
        </w:rPr>
        <w:lastRenderedPageBreak/>
        <w:t xml:space="preserve">quality of evidence was not consistent, structured self-monitoring could be beneficial for clinical, </w:t>
      </w:r>
      <w:r w:rsidR="7A601B96" w:rsidRPr="3C63513F">
        <w:rPr>
          <w:rFonts w:ascii="Arial" w:eastAsia="Arial" w:hAnsi="Arial" w:cs="Arial"/>
          <w:sz w:val="22"/>
          <w:szCs w:val="22"/>
        </w:rPr>
        <w:t>behavioral</w:t>
      </w:r>
      <w:r w:rsidRPr="3C63513F">
        <w:rPr>
          <w:rFonts w:ascii="Arial" w:eastAsia="Arial" w:hAnsi="Arial" w:cs="Arial"/>
          <w:sz w:val="22"/>
          <w:szCs w:val="22"/>
        </w:rPr>
        <w:t xml:space="preserve"> and psychosocial outcomes (Holmes-Truscott et al., 2023).</w:t>
      </w:r>
    </w:p>
    <w:p w14:paraId="5B3BF735" w14:textId="5959FCC6" w:rsidR="00E87E35" w:rsidRPr="00C11E49" w:rsidRDefault="005665CA" w:rsidP="3C63513F">
      <w:pPr>
        <w:spacing w:line="360" w:lineRule="auto"/>
        <w:jc w:val="both"/>
        <w:rPr>
          <w:rFonts w:ascii="Arial" w:eastAsia="Arial" w:hAnsi="Arial" w:cs="Arial"/>
          <w:sz w:val="22"/>
          <w:szCs w:val="22"/>
        </w:rPr>
      </w:pPr>
      <w:r>
        <w:br/>
      </w:r>
      <w:r w:rsidRPr="3C63513F">
        <w:rPr>
          <w:rFonts w:ascii="Arial" w:eastAsia="Arial" w:hAnsi="Arial" w:cs="Arial"/>
          <w:sz w:val="22"/>
          <w:szCs w:val="22"/>
        </w:rPr>
        <w:t xml:space="preserve">An additional important limitation is routine self-monitoring is not recommended for all adults with T2DM in primary care (NICE, 2026). Where there is a clear clinical need, including the need for insulin treatment or a risk of </w:t>
      </w:r>
      <w:r w:rsidR="684FF332" w:rsidRPr="3C63513F">
        <w:rPr>
          <w:rFonts w:ascii="Arial" w:eastAsia="Arial" w:hAnsi="Arial" w:cs="Arial"/>
          <w:sz w:val="22"/>
          <w:szCs w:val="22"/>
        </w:rPr>
        <w:t>hypoglycemia</w:t>
      </w:r>
      <w:r w:rsidRPr="3C63513F">
        <w:rPr>
          <w:rFonts w:ascii="Arial" w:eastAsia="Arial" w:hAnsi="Arial" w:cs="Arial"/>
          <w:sz w:val="22"/>
          <w:szCs w:val="22"/>
        </w:rPr>
        <w:t xml:space="preserve">, it should be used. If patients are monitored, they should be supported to test accurately, understand their </w:t>
      </w:r>
      <w:r w:rsidR="722610E5" w:rsidRPr="3C63513F">
        <w:rPr>
          <w:rFonts w:ascii="Arial" w:eastAsia="Arial" w:hAnsi="Arial" w:cs="Arial"/>
          <w:sz w:val="22"/>
          <w:szCs w:val="22"/>
        </w:rPr>
        <w:t>results,</w:t>
      </w:r>
      <w:r w:rsidRPr="3C63513F">
        <w:rPr>
          <w:rFonts w:ascii="Arial" w:eastAsia="Arial" w:hAnsi="Arial" w:cs="Arial"/>
          <w:sz w:val="22"/>
          <w:szCs w:val="22"/>
        </w:rPr>
        <w:t xml:space="preserve"> and what to do if they have a high or low reading (NICE, 2026</w:t>
      </w:r>
      <w:r w:rsidR="00E87E35" w:rsidRPr="3C63513F">
        <w:rPr>
          <w:rFonts w:ascii="Arial" w:eastAsia="Arial" w:hAnsi="Arial" w:cs="Arial"/>
          <w:sz w:val="22"/>
          <w:szCs w:val="22"/>
        </w:rPr>
        <w:t>).</w:t>
      </w:r>
    </w:p>
    <w:p w14:paraId="26878725" w14:textId="2841A8C8" w:rsidR="00E87E35" w:rsidRPr="00C11E49" w:rsidRDefault="0A296FC0" w:rsidP="3C63513F">
      <w:pPr>
        <w:spacing w:line="360" w:lineRule="auto"/>
        <w:jc w:val="both"/>
        <w:rPr>
          <w:rFonts w:ascii="Arial" w:eastAsia="Arial" w:hAnsi="Arial" w:cs="Arial"/>
          <w:sz w:val="22"/>
          <w:szCs w:val="22"/>
        </w:rPr>
      </w:pPr>
      <w:r w:rsidRPr="3C63513F">
        <w:rPr>
          <w:rFonts w:ascii="Arial" w:eastAsia="Arial" w:hAnsi="Arial" w:cs="Arial"/>
          <w:sz w:val="22"/>
          <w:szCs w:val="22"/>
        </w:rPr>
        <w:t>So,</w:t>
      </w:r>
      <w:r w:rsidR="005665CA" w:rsidRPr="3C63513F">
        <w:rPr>
          <w:rFonts w:ascii="Arial" w:eastAsia="Arial" w:hAnsi="Arial" w:cs="Arial"/>
          <w:sz w:val="22"/>
          <w:szCs w:val="22"/>
        </w:rPr>
        <w:t xml:space="preserve"> the function of </w:t>
      </w:r>
      <w:proofErr w:type="gramStart"/>
      <w:r w:rsidR="005665CA" w:rsidRPr="3C63513F">
        <w:rPr>
          <w:rFonts w:ascii="Arial" w:eastAsia="Arial" w:hAnsi="Arial" w:cs="Arial"/>
          <w:sz w:val="22"/>
          <w:szCs w:val="22"/>
        </w:rPr>
        <w:t>the practice</w:t>
      </w:r>
      <w:proofErr w:type="gramEnd"/>
      <w:r w:rsidR="005665CA" w:rsidRPr="3C63513F">
        <w:rPr>
          <w:rFonts w:ascii="Arial" w:eastAsia="Arial" w:hAnsi="Arial" w:cs="Arial"/>
          <w:sz w:val="22"/>
          <w:szCs w:val="22"/>
        </w:rPr>
        <w:t xml:space="preserve"> nurse is not just to promote the use of GLUCOSE measurement. It is to build effective </w:t>
      </w:r>
      <w:r w:rsidR="00573E28" w:rsidRPr="3C63513F">
        <w:rPr>
          <w:rFonts w:ascii="Arial" w:eastAsia="Arial" w:hAnsi="Arial" w:cs="Arial"/>
          <w:sz w:val="22"/>
          <w:szCs w:val="22"/>
        </w:rPr>
        <w:t>self-monitoring</w:t>
      </w:r>
      <w:r w:rsidR="005665CA" w:rsidRPr="3C63513F">
        <w:rPr>
          <w:rFonts w:ascii="Arial" w:eastAsia="Arial" w:hAnsi="Arial" w:cs="Arial"/>
          <w:sz w:val="22"/>
          <w:szCs w:val="22"/>
        </w:rPr>
        <w:t xml:space="preserve"> skills. For instance, a patient might take glucose measurements after eating and </w:t>
      </w:r>
      <w:r w:rsidR="00DA30BA" w:rsidRPr="3C63513F">
        <w:rPr>
          <w:rFonts w:ascii="Arial" w:eastAsia="Arial" w:hAnsi="Arial" w:cs="Arial"/>
          <w:sz w:val="22"/>
          <w:szCs w:val="22"/>
        </w:rPr>
        <w:t xml:space="preserve">exercising, </w:t>
      </w:r>
      <w:r w:rsidR="005665CA" w:rsidRPr="3C63513F">
        <w:rPr>
          <w:rFonts w:ascii="Arial" w:eastAsia="Arial" w:hAnsi="Arial" w:cs="Arial"/>
          <w:sz w:val="22"/>
          <w:szCs w:val="22"/>
        </w:rPr>
        <w:t xml:space="preserve">then talk about the patterns in his or her readings during a visit. This benefits by converting the measurement into information to help </w:t>
      </w:r>
      <w:r w:rsidR="00C57360" w:rsidRPr="3C63513F">
        <w:rPr>
          <w:rFonts w:ascii="Arial" w:eastAsia="Arial" w:hAnsi="Arial" w:cs="Arial"/>
          <w:sz w:val="22"/>
          <w:szCs w:val="22"/>
        </w:rPr>
        <w:t>with</w:t>
      </w:r>
      <w:r w:rsidR="005665CA" w:rsidRPr="3C63513F">
        <w:rPr>
          <w:rFonts w:ascii="Arial" w:eastAsia="Arial" w:hAnsi="Arial" w:cs="Arial"/>
          <w:sz w:val="22"/>
          <w:szCs w:val="22"/>
        </w:rPr>
        <w:t xml:space="preserve"> decision-making. It also helps to promote patient engagement and prevents the erroneous notion that monitoring is the treatment</w:t>
      </w:r>
      <w:r w:rsidR="00E87E35" w:rsidRPr="3C63513F">
        <w:rPr>
          <w:rFonts w:ascii="Arial" w:eastAsia="Arial" w:hAnsi="Arial" w:cs="Arial"/>
          <w:sz w:val="22"/>
          <w:szCs w:val="22"/>
        </w:rPr>
        <w:t>.</w:t>
      </w:r>
    </w:p>
    <w:p w14:paraId="38585695" w14:textId="77777777" w:rsidR="00E87E35" w:rsidRPr="003E73F9" w:rsidRDefault="00E87E35" w:rsidP="3C63513F">
      <w:pPr>
        <w:pStyle w:val="Heading2"/>
        <w:spacing w:line="360" w:lineRule="auto"/>
        <w:jc w:val="both"/>
        <w:rPr>
          <w:rFonts w:ascii="Arial" w:eastAsia="Arial" w:hAnsi="Arial" w:cs="Arial"/>
          <w:b/>
          <w:bCs/>
          <w:color w:val="000000" w:themeColor="text1"/>
          <w:sz w:val="28"/>
          <w:szCs w:val="28"/>
        </w:rPr>
      </w:pPr>
      <w:bookmarkStart w:id="5" w:name="_Toc242085565"/>
      <w:r w:rsidRPr="3C63513F">
        <w:rPr>
          <w:rFonts w:ascii="Arial" w:eastAsia="Arial" w:hAnsi="Arial" w:cs="Arial"/>
          <w:b/>
          <w:bCs/>
          <w:color w:val="000000" w:themeColor="text1"/>
          <w:sz w:val="28"/>
          <w:szCs w:val="28"/>
        </w:rPr>
        <w:t>e) Evidence-based lifestyle recommendations</w:t>
      </w:r>
      <w:bookmarkEnd w:id="5"/>
    </w:p>
    <w:p w14:paraId="2FFE5830" w14:textId="77777777" w:rsidR="00E87E35" w:rsidRPr="003E73F9" w:rsidRDefault="00E87E35" w:rsidP="3C63513F">
      <w:pPr>
        <w:pStyle w:val="Heading3"/>
        <w:spacing w:line="360" w:lineRule="auto"/>
        <w:jc w:val="both"/>
        <w:rPr>
          <w:rFonts w:ascii="Arial" w:eastAsia="Arial" w:hAnsi="Arial" w:cs="Arial"/>
          <w:b/>
          <w:bCs/>
          <w:color w:val="000000" w:themeColor="text1"/>
          <w:sz w:val="22"/>
          <w:szCs w:val="22"/>
        </w:rPr>
      </w:pPr>
      <w:bookmarkStart w:id="6" w:name="_Toc242085566"/>
      <w:r w:rsidRPr="3C63513F">
        <w:rPr>
          <w:rFonts w:ascii="Arial" w:eastAsia="Arial" w:hAnsi="Arial" w:cs="Arial"/>
          <w:b/>
          <w:bCs/>
          <w:color w:val="000000" w:themeColor="text1"/>
          <w:sz w:val="22"/>
          <w:szCs w:val="22"/>
        </w:rPr>
        <w:t>Diet</w:t>
      </w:r>
      <w:bookmarkEnd w:id="6"/>
    </w:p>
    <w:p w14:paraId="4B89FCE8" w14:textId="5B4D9B62" w:rsidR="00E87E35" w:rsidRPr="00C11E49" w:rsidRDefault="002D7111" w:rsidP="3C63513F">
      <w:pPr>
        <w:spacing w:line="360" w:lineRule="auto"/>
        <w:jc w:val="both"/>
        <w:rPr>
          <w:rFonts w:ascii="Arial" w:eastAsia="Arial" w:hAnsi="Arial" w:cs="Arial"/>
          <w:sz w:val="22"/>
          <w:szCs w:val="22"/>
        </w:rPr>
      </w:pPr>
      <w:r w:rsidRPr="3C63513F">
        <w:rPr>
          <w:rFonts w:ascii="Arial" w:eastAsia="Arial" w:hAnsi="Arial" w:cs="Arial"/>
          <w:sz w:val="22"/>
          <w:szCs w:val="22"/>
        </w:rPr>
        <w:t>There is no universal “best diet</w:t>
      </w:r>
      <w:proofErr w:type="gramStart"/>
      <w:r w:rsidRPr="3C63513F">
        <w:rPr>
          <w:rFonts w:ascii="Arial" w:eastAsia="Arial" w:hAnsi="Arial" w:cs="Arial"/>
          <w:sz w:val="22"/>
          <w:szCs w:val="22"/>
        </w:rPr>
        <w:t>”</w:t>
      </w:r>
      <w:proofErr w:type="gramEnd"/>
      <w:r w:rsidRPr="3C63513F">
        <w:rPr>
          <w:rFonts w:ascii="Arial" w:eastAsia="Arial" w:hAnsi="Arial" w:cs="Arial"/>
          <w:sz w:val="22"/>
          <w:szCs w:val="22"/>
        </w:rPr>
        <w:t xml:space="preserve"> and dietary management should be tailored to each person and be a long-term strategy. A systematic review and network meta-analysis have found that there are various diet strategies that are beneficial for glycaemic control in individuals with T2DM, such as the Mediterranean, plant-based and low-glycaemic-index diets (Jing et al., 2023). The best recommendation should therefore </w:t>
      </w:r>
      <w:r w:rsidR="00E24A4A" w:rsidRPr="3C63513F">
        <w:rPr>
          <w:rFonts w:ascii="Arial" w:eastAsia="Arial" w:hAnsi="Arial" w:cs="Arial"/>
          <w:sz w:val="22"/>
          <w:szCs w:val="22"/>
        </w:rPr>
        <w:t>consider</w:t>
      </w:r>
      <w:r w:rsidRPr="3C63513F">
        <w:rPr>
          <w:rFonts w:ascii="Arial" w:eastAsia="Arial" w:hAnsi="Arial" w:cs="Arial"/>
          <w:sz w:val="22"/>
          <w:szCs w:val="22"/>
        </w:rPr>
        <w:t xml:space="preserve"> nutritional quality, patient preferences and cultural factors, cost and prospective for adherence</w:t>
      </w:r>
      <w:r w:rsidR="00E87E35" w:rsidRPr="3C63513F">
        <w:rPr>
          <w:rFonts w:ascii="Arial" w:eastAsia="Arial" w:hAnsi="Arial" w:cs="Arial"/>
          <w:sz w:val="22"/>
          <w:szCs w:val="22"/>
        </w:rPr>
        <w:t>.</w:t>
      </w:r>
    </w:p>
    <w:p w14:paraId="07B83776" w14:textId="6F398861" w:rsidR="00E87E35" w:rsidRPr="00C11E49" w:rsidRDefault="002D7111"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This is important because any intervention that shows to be effective in a study may fail to be effective in practice if the patient can't follow it. The nurse should, therefore, aim for pragmatic behavioural changes and not at a programme of </w:t>
      </w:r>
      <w:r w:rsidR="006C518C" w:rsidRPr="3C63513F">
        <w:rPr>
          <w:rFonts w:ascii="Arial" w:eastAsia="Arial" w:hAnsi="Arial" w:cs="Arial"/>
          <w:sz w:val="22"/>
          <w:szCs w:val="22"/>
        </w:rPr>
        <w:t>restrictions</w:t>
      </w:r>
      <w:r w:rsidRPr="3C63513F">
        <w:rPr>
          <w:rFonts w:ascii="Arial" w:eastAsia="Arial" w:hAnsi="Arial" w:cs="Arial"/>
          <w:sz w:val="22"/>
          <w:szCs w:val="22"/>
        </w:rPr>
        <w:t xml:space="preserve"> that would not be likely to be maintained. Dietary education should also prevent the notion that T2DM is simply a food allergy, and that the only way to manage the condition is to remove a certain food group. A more holistic diet quality approach is more in line with the evidence</w:t>
      </w:r>
      <w:r w:rsidR="00E87E35" w:rsidRPr="3C63513F">
        <w:rPr>
          <w:rFonts w:ascii="Arial" w:eastAsia="Arial" w:hAnsi="Arial" w:cs="Arial"/>
          <w:sz w:val="22"/>
          <w:szCs w:val="22"/>
        </w:rPr>
        <w:t>.</w:t>
      </w:r>
    </w:p>
    <w:p w14:paraId="413461EA" w14:textId="77777777" w:rsidR="00E87E35" w:rsidRPr="003E73F9" w:rsidRDefault="00E87E35" w:rsidP="3C63513F">
      <w:pPr>
        <w:pStyle w:val="Heading3"/>
        <w:spacing w:line="360" w:lineRule="auto"/>
        <w:jc w:val="both"/>
        <w:rPr>
          <w:rFonts w:ascii="Arial" w:eastAsia="Arial" w:hAnsi="Arial" w:cs="Arial"/>
          <w:b/>
          <w:bCs/>
          <w:color w:val="000000" w:themeColor="text1"/>
          <w:sz w:val="24"/>
          <w:szCs w:val="24"/>
        </w:rPr>
      </w:pPr>
      <w:bookmarkStart w:id="7" w:name="_Toc242085567"/>
      <w:r w:rsidRPr="3C63513F">
        <w:rPr>
          <w:rFonts w:ascii="Arial" w:eastAsia="Arial" w:hAnsi="Arial" w:cs="Arial"/>
          <w:b/>
          <w:bCs/>
          <w:color w:val="000000" w:themeColor="text1"/>
          <w:sz w:val="24"/>
          <w:szCs w:val="24"/>
        </w:rPr>
        <w:t>Physical activity</w:t>
      </w:r>
      <w:bookmarkEnd w:id="7"/>
    </w:p>
    <w:p w14:paraId="119D22C1" w14:textId="3D1E2D64" w:rsidR="00E87E35" w:rsidRPr="00C11E49" w:rsidRDefault="002D7111"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There is an established T2DM with a strong physiological rationale and evidence for physical activity. A systematic review and network meta-analysis of randomised trials identified that </w:t>
      </w:r>
      <w:r w:rsidRPr="3C63513F">
        <w:rPr>
          <w:rFonts w:ascii="Arial" w:eastAsia="Arial" w:hAnsi="Arial" w:cs="Arial"/>
          <w:sz w:val="22"/>
          <w:szCs w:val="22"/>
        </w:rPr>
        <w:lastRenderedPageBreak/>
        <w:t>exercise modalities may be effective to improve glycaemic control and aerobic and resistance training may be effective for weight and cardiometabolic outcomes (Hou et al., 2022). These results are in line with skeletal muscle being a major tissue for glucose disposal, as detailed previously</w:t>
      </w:r>
      <w:r w:rsidR="00E87E35" w:rsidRPr="3C63513F">
        <w:rPr>
          <w:rFonts w:ascii="Arial" w:eastAsia="Arial" w:hAnsi="Arial" w:cs="Arial"/>
          <w:sz w:val="22"/>
          <w:szCs w:val="22"/>
        </w:rPr>
        <w:t>.</w:t>
      </w:r>
    </w:p>
    <w:p w14:paraId="544B0A4C" w14:textId="0CD612B7" w:rsidR="00E87E35" w:rsidRPr="00C11E49" w:rsidRDefault="00E41039" w:rsidP="3C63513F">
      <w:pPr>
        <w:spacing w:line="360" w:lineRule="auto"/>
        <w:jc w:val="both"/>
        <w:rPr>
          <w:rFonts w:ascii="Arial" w:eastAsia="Arial" w:hAnsi="Arial" w:cs="Arial"/>
          <w:sz w:val="22"/>
          <w:szCs w:val="22"/>
        </w:rPr>
      </w:pPr>
      <w:r w:rsidRPr="3C63513F">
        <w:rPr>
          <w:rFonts w:ascii="Arial" w:eastAsia="Arial" w:hAnsi="Arial" w:cs="Arial"/>
          <w:sz w:val="22"/>
          <w:szCs w:val="22"/>
        </w:rPr>
        <w:t>However, each person's exercise suggestions should be personalized. The right activity level for the patient will vary depending on the patient's functional capacity, any existing health issues, confidence and safety. Therefore, the nurse must collaborate with the patient to set up goals that are attainable and gradually build activity. This approach (</w:t>
      </w:r>
      <w:r w:rsidR="000C0C36" w:rsidRPr="3C63513F">
        <w:rPr>
          <w:rFonts w:ascii="Arial" w:eastAsia="Arial" w:hAnsi="Arial" w:cs="Arial"/>
          <w:sz w:val="22"/>
          <w:szCs w:val="22"/>
        </w:rPr>
        <w:t>aerobics</w:t>
      </w:r>
      <w:r w:rsidRPr="3C63513F">
        <w:rPr>
          <w:rFonts w:ascii="Arial" w:eastAsia="Arial" w:hAnsi="Arial" w:cs="Arial"/>
          <w:sz w:val="22"/>
          <w:szCs w:val="22"/>
        </w:rPr>
        <w:t xml:space="preserve"> plus resistance) can be very useful; but the emphasis should be on maintaining participation rather than an ideal programme that cannot be maintained</w:t>
      </w:r>
      <w:r w:rsidR="00E87E35" w:rsidRPr="3C63513F">
        <w:rPr>
          <w:rFonts w:ascii="Arial" w:eastAsia="Arial" w:hAnsi="Arial" w:cs="Arial"/>
          <w:sz w:val="22"/>
          <w:szCs w:val="22"/>
        </w:rPr>
        <w:t>.</w:t>
      </w:r>
    </w:p>
    <w:p w14:paraId="5DD6EAB0" w14:textId="77777777" w:rsidR="00E87E35" w:rsidRPr="003E73F9" w:rsidRDefault="00E87E35" w:rsidP="3C63513F">
      <w:pPr>
        <w:pStyle w:val="Heading3"/>
        <w:spacing w:line="360" w:lineRule="auto"/>
        <w:jc w:val="both"/>
        <w:rPr>
          <w:rFonts w:ascii="Arial" w:eastAsia="Arial" w:hAnsi="Arial" w:cs="Arial"/>
          <w:b/>
          <w:bCs/>
          <w:color w:val="000000" w:themeColor="text1"/>
          <w:sz w:val="24"/>
          <w:szCs w:val="24"/>
        </w:rPr>
      </w:pPr>
      <w:bookmarkStart w:id="8" w:name="_Toc242085568"/>
      <w:r w:rsidRPr="3C63513F">
        <w:rPr>
          <w:rFonts w:ascii="Arial" w:eastAsia="Arial" w:hAnsi="Arial" w:cs="Arial"/>
          <w:b/>
          <w:bCs/>
          <w:color w:val="000000" w:themeColor="text1"/>
          <w:sz w:val="24"/>
          <w:szCs w:val="24"/>
        </w:rPr>
        <w:t>Smoking cessation</w:t>
      </w:r>
      <w:bookmarkEnd w:id="8"/>
    </w:p>
    <w:p w14:paraId="18F63D0E" w14:textId="28FB36D6" w:rsidR="00E87E35" w:rsidRPr="00C11E49" w:rsidRDefault="00E41039"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Another modifiable risk factor is smoking. There is evidence for a link between smoking and higher diabetes risk, less glycaemic control and poorer outcomes of diabetes (Durlach et al., 2022). Therefore, smoking cessation should be integrated into diabetes management, rather than considered as a health </w:t>
      </w:r>
      <w:r w:rsidR="00493970" w:rsidRPr="3C63513F">
        <w:rPr>
          <w:rFonts w:ascii="Arial" w:eastAsia="Arial" w:hAnsi="Arial" w:cs="Arial"/>
          <w:sz w:val="22"/>
          <w:szCs w:val="22"/>
        </w:rPr>
        <w:t>issue</w:t>
      </w:r>
      <w:r w:rsidR="00E87E35" w:rsidRPr="3C63513F">
        <w:rPr>
          <w:rFonts w:ascii="Arial" w:eastAsia="Arial" w:hAnsi="Arial" w:cs="Arial"/>
          <w:sz w:val="22"/>
          <w:szCs w:val="22"/>
        </w:rPr>
        <w:t>.</w:t>
      </w:r>
    </w:p>
    <w:p w14:paraId="3990F0C4" w14:textId="3DF84C55" w:rsidR="00E87E35" w:rsidRPr="00C11E49" w:rsidRDefault="00FA3BA2" w:rsidP="3C63513F">
      <w:pPr>
        <w:spacing w:line="360" w:lineRule="auto"/>
        <w:jc w:val="both"/>
        <w:rPr>
          <w:rFonts w:ascii="Arial" w:eastAsia="Arial" w:hAnsi="Arial" w:cs="Arial"/>
          <w:sz w:val="22"/>
          <w:szCs w:val="22"/>
        </w:rPr>
      </w:pPr>
      <w:r>
        <w:br/>
      </w:r>
      <w:r w:rsidRPr="3C63513F">
        <w:rPr>
          <w:rFonts w:ascii="Arial" w:eastAsia="Arial" w:hAnsi="Arial" w:cs="Arial"/>
          <w:sz w:val="22"/>
          <w:szCs w:val="22"/>
        </w:rPr>
        <w:t xml:space="preserve">It is crucial that a </w:t>
      </w:r>
      <w:r w:rsidR="000C0B2C" w:rsidRPr="3C63513F">
        <w:rPr>
          <w:rFonts w:ascii="Arial" w:eastAsia="Arial" w:hAnsi="Arial" w:cs="Arial"/>
          <w:sz w:val="22"/>
          <w:szCs w:val="22"/>
        </w:rPr>
        <w:t>person-centred</w:t>
      </w:r>
      <w:r w:rsidRPr="3C63513F">
        <w:rPr>
          <w:rFonts w:ascii="Arial" w:eastAsia="Arial" w:hAnsi="Arial" w:cs="Arial"/>
          <w:sz w:val="22"/>
          <w:szCs w:val="22"/>
        </w:rPr>
        <w:t xml:space="preserve"> nursing approach is used. No judgement should be made about the </w:t>
      </w:r>
      <w:r w:rsidR="000C0B2C" w:rsidRPr="3C63513F">
        <w:rPr>
          <w:rFonts w:ascii="Arial" w:eastAsia="Arial" w:hAnsi="Arial" w:cs="Arial"/>
          <w:sz w:val="22"/>
          <w:szCs w:val="22"/>
        </w:rPr>
        <w:t>patient,</w:t>
      </w:r>
      <w:r w:rsidRPr="3C63513F">
        <w:rPr>
          <w:rFonts w:ascii="Arial" w:eastAsia="Arial" w:hAnsi="Arial" w:cs="Arial"/>
          <w:sz w:val="22"/>
          <w:szCs w:val="22"/>
        </w:rPr>
        <w:t xml:space="preserve"> and support should be given to them in setting goals and providing suitable cessation support. It is important to remember that lifestyle interventions should be </w:t>
      </w:r>
      <w:r w:rsidR="000C0B2C" w:rsidRPr="3C63513F">
        <w:rPr>
          <w:rFonts w:ascii="Arial" w:eastAsia="Arial" w:hAnsi="Arial" w:cs="Arial"/>
          <w:sz w:val="22"/>
          <w:szCs w:val="22"/>
        </w:rPr>
        <w:t>considered</w:t>
      </w:r>
      <w:r w:rsidRPr="3C63513F">
        <w:rPr>
          <w:rFonts w:ascii="Arial" w:eastAsia="Arial" w:hAnsi="Arial" w:cs="Arial"/>
          <w:sz w:val="22"/>
          <w:szCs w:val="22"/>
        </w:rPr>
        <w:t>. If the patient is having problems with diet, activity and smoking, it may be more beneficial for them to have coordinated support rather than support for each behaviour separately</w:t>
      </w:r>
      <w:r w:rsidR="00E87E35" w:rsidRPr="3C63513F">
        <w:rPr>
          <w:rFonts w:ascii="Arial" w:eastAsia="Arial" w:hAnsi="Arial" w:cs="Arial"/>
          <w:sz w:val="22"/>
          <w:szCs w:val="22"/>
        </w:rPr>
        <w:t>.</w:t>
      </w:r>
    </w:p>
    <w:p w14:paraId="08716F44" w14:textId="77777777" w:rsidR="00E87E35" w:rsidRPr="003E73F9" w:rsidRDefault="00E87E35" w:rsidP="3C63513F">
      <w:pPr>
        <w:pStyle w:val="Heading2"/>
        <w:spacing w:line="360" w:lineRule="auto"/>
        <w:jc w:val="both"/>
        <w:rPr>
          <w:rFonts w:ascii="Arial" w:eastAsia="Arial" w:hAnsi="Arial" w:cs="Arial"/>
          <w:b/>
          <w:bCs/>
          <w:color w:val="000000" w:themeColor="text1"/>
          <w:sz w:val="28"/>
          <w:szCs w:val="28"/>
        </w:rPr>
      </w:pPr>
      <w:bookmarkStart w:id="9" w:name="_Toc242085569"/>
      <w:r w:rsidRPr="3C63513F">
        <w:rPr>
          <w:rFonts w:ascii="Arial" w:eastAsia="Arial" w:hAnsi="Arial" w:cs="Arial"/>
          <w:b/>
          <w:bCs/>
          <w:color w:val="000000" w:themeColor="text1"/>
          <w:sz w:val="28"/>
          <w:szCs w:val="28"/>
        </w:rPr>
        <w:t>f) Conclusion</w:t>
      </w:r>
      <w:bookmarkEnd w:id="9"/>
    </w:p>
    <w:p w14:paraId="02C631F0" w14:textId="726CF9A7" w:rsidR="00E87E35" w:rsidRPr="00C11E49" w:rsidRDefault="00FA3BA2" w:rsidP="3C63513F">
      <w:pPr>
        <w:spacing w:line="360" w:lineRule="auto"/>
        <w:jc w:val="both"/>
        <w:rPr>
          <w:rFonts w:ascii="Arial" w:eastAsia="Arial" w:hAnsi="Arial" w:cs="Arial"/>
          <w:sz w:val="22"/>
          <w:szCs w:val="22"/>
        </w:rPr>
      </w:pPr>
      <w:r w:rsidRPr="3C63513F">
        <w:rPr>
          <w:rFonts w:ascii="Arial" w:eastAsia="Arial" w:hAnsi="Arial" w:cs="Arial"/>
          <w:sz w:val="22"/>
          <w:szCs w:val="22"/>
        </w:rPr>
        <w:t>T2DM is a complicated metabolic disorder with insulin resistance and progressive β cell failure in the absence of glucose regulation. Insulin, glucagon and glucose utilisation are working in synchrony to maintain blood glucose homeostasis and glucose and oxygen are used by cells for ATP production. The mechanism of these physiological mechanisms is evident to the fact that physical activity has been shown to enhance glucose uptake and aid glycaemic management</w:t>
      </w:r>
      <w:r w:rsidR="00E87E35" w:rsidRPr="3C63513F">
        <w:rPr>
          <w:rFonts w:ascii="Arial" w:eastAsia="Arial" w:hAnsi="Arial" w:cs="Arial"/>
          <w:sz w:val="22"/>
          <w:szCs w:val="22"/>
        </w:rPr>
        <w:t>.</w:t>
      </w:r>
    </w:p>
    <w:p w14:paraId="08767A70" w14:textId="0CAC2DB1" w:rsidR="00E87E35" w:rsidRPr="00C11E49" w:rsidRDefault="00FA3BA2" w:rsidP="3C63513F">
      <w:pPr>
        <w:spacing w:line="360" w:lineRule="auto"/>
        <w:jc w:val="both"/>
        <w:rPr>
          <w:rFonts w:ascii="Arial" w:eastAsia="Arial" w:hAnsi="Arial" w:cs="Arial"/>
          <w:sz w:val="22"/>
          <w:szCs w:val="22"/>
        </w:rPr>
      </w:pPr>
      <w:r w:rsidRPr="3C63513F">
        <w:rPr>
          <w:rFonts w:ascii="Arial" w:eastAsia="Arial" w:hAnsi="Arial" w:cs="Arial"/>
          <w:sz w:val="22"/>
          <w:szCs w:val="22"/>
        </w:rPr>
        <w:t xml:space="preserve">Blood glucose recordings and monitoring can help to facilitate safer self-management but there is no evidence to suggest that a lower frequency of blood glucose testing equates to better outcomes. Monitoring becomes most useful when: structured; clinically appropriate; accompanied by education and interpretation (Chircop, Sheffield and Kotera, 2021; NICE, 2026). Likewise, a </w:t>
      </w:r>
      <w:r w:rsidRPr="3C63513F">
        <w:rPr>
          <w:rFonts w:ascii="Arial" w:eastAsia="Arial" w:hAnsi="Arial" w:cs="Arial"/>
          <w:sz w:val="22"/>
          <w:szCs w:val="22"/>
        </w:rPr>
        <w:lastRenderedPageBreak/>
        <w:t xml:space="preserve">programme of sustainable dietary change and physical activity and quitting smoking should be used for lifestyle management, not </w:t>
      </w:r>
      <w:r w:rsidR="002D2949" w:rsidRPr="3C63513F">
        <w:rPr>
          <w:rFonts w:ascii="Arial" w:eastAsia="Arial" w:hAnsi="Arial" w:cs="Arial"/>
          <w:sz w:val="22"/>
          <w:szCs w:val="22"/>
        </w:rPr>
        <w:t>one</w:t>
      </w:r>
      <w:r w:rsidRPr="3C63513F">
        <w:rPr>
          <w:rFonts w:ascii="Arial" w:eastAsia="Arial" w:hAnsi="Arial" w:cs="Arial"/>
          <w:sz w:val="22"/>
          <w:szCs w:val="22"/>
        </w:rPr>
        <w:t xml:space="preserve"> size fits all</w:t>
      </w:r>
      <w:r w:rsidR="00E87E35" w:rsidRPr="3C63513F">
        <w:rPr>
          <w:rFonts w:ascii="Arial" w:eastAsia="Arial" w:hAnsi="Arial" w:cs="Arial"/>
          <w:sz w:val="22"/>
          <w:szCs w:val="22"/>
        </w:rPr>
        <w:t>.</w:t>
      </w:r>
    </w:p>
    <w:p w14:paraId="4443E1A6" w14:textId="6FC6FCC3" w:rsidR="00E87E35" w:rsidRPr="00C11E49" w:rsidRDefault="006D1A32" w:rsidP="3C63513F">
      <w:pPr>
        <w:spacing w:line="360" w:lineRule="auto"/>
        <w:jc w:val="both"/>
        <w:rPr>
          <w:rFonts w:ascii="Arial" w:eastAsia="Arial" w:hAnsi="Arial" w:cs="Arial"/>
          <w:sz w:val="22"/>
          <w:szCs w:val="22"/>
        </w:rPr>
      </w:pPr>
      <w:r>
        <w:br/>
      </w:r>
      <w:r w:rsidRPr="3C63513F">
        <w:rPr>
          <w:rFonts w:ascii="Arial" w:eastAsia="Arial" w:hAnsi="Arial" w:cs="Arial"/>
          <w:sz w:val="22"/>
          <w:szCs w:val="22"/>
        </w:rPr>
        <w:t xml:space="preserve">The best way for the practice nurse </w:t>
      </w:r>
      <w:r w:rsidR="002D2949" w:rsidRPr="3C63513F">
        <w:rPr>
          <w:rFonts w:ascii="Arial" w:eastAsia="Arial" w:hAnsi="Arial" w:cs="Arial"/>
          <w:sz w:val="22"/>
          <w:szCs w:val="22"/>
        </w:rPr>
        <w:t>is</w:t>
      </w:r>
      <w:r w:rsidRPr="3C63513F">
        <w:rPr>
          <w:rFonts w:ascii="Arial" w:eastAsia="Arial" w:hAnsi="Arial" w:cs="Arial"/>
          <w:sz w:val="22"/>
          <w:szCs w:val="22"/>
        </w:rPr>
        <w:t xml:space="preserve"> to be person-centred and evidence-based. Patients need to be assisted with understanding the physiology of the conditions and how they are going to be managed, and to be able to interpret relevant information and set realistic goals. This way, the advantages and drawbacks of the evidence available are acknowledged and patients are encouraged to participate actively in their care</w:t>
      </w:r>
      <w:r w:rsidR="00E87E35" w:rsidRPr="3C63513F">
        <w:rPr>
          <w:rFonts w:ascii="Arial" w:eastAsia="Arial" w:hAnsi="Arial" w:cs="Arial"/>
          <w:sz w:val="22"/>
          <w:szCs w:val="22"/>
        </w:rPr>
        <w:t>.</w:t>
      </w:r>
    </w:p>
    <w:p w14:paraId="18691768" w14:textId="2E68598A" w:rsidR="3C63513F" w:rsidRDefault="3C63513F" w:rsidP="3C63513F">
      <w:pPr>
        <w:spacing w:line="360" w:lineRule="auto"/>
        <w:jc w:val="both"/>
        <w:rPr>
          <w:rFonts w:ascii="Arial" w:eastAsia="Arial" w:hAnsi="Arial" w:cs="Arial"/>
          <w:sz w:val="22"/>
          <w:szCs w:val="22"/>
        </w:rPr>
      </w:pPr>
    </w:p>
    <w:p w14:paraId="0D51F93F" w14:textId="3D1D51B6" w:rsidR="3C63513F" w:rsidRDefault="3C63513F" w:rsidP="3C63513F">
      <w:pPr>
        <w:spacing w:line="360" w:lineRule="auto"/>
        <w:jc w:val="both"/>
        <w:rPr>
          <w:rFonts w:ascii="Arial" w:eastAsia="Arial" w:hAnsi="Arial" w:cs="Arial"/>
          <w:sz w:val="22"/>
          <w:szCs w:val="22"/>
        </w:rPr>
      </w:pPr>
    </w:p>
    <w:p w14:paraId="0F4327ED" w14:textId="385F8FE8" w:rsidR="3C63513F" w:rsidRDefault="3C63513F" w:rsidP="3C63513F">
      <w:pPr>
        <w:spacing w:line="360" w:lineRule="auto"/>
        <w:jc w:val="both"/>
        <w:rPr>
          <w:rFonts w:ascii="Arial" w:eastAsia="Arial" w:hAnsi="Arial" w:cs="Arial"/>
          <w:sz w:val="22"/>
          <w:szCs w:val="22"/>
        </w:rPr>
      </w:pPr>
    </w:p>
    <w:p w14:paraId="126448E8" w14:textId="25A8ACFB" w:rsidR="3C63513F" w:rsidRDefault="3C63513F" w:rsidP="3C63513F">
      <w:pPr>
        <w:spacing w:line="360" w:lineRule="auto"/>
        <w:jc w:val="both"/>
        <w:rPr>
          <w:rFonts w:ascii="Arial" w:eastAsia="Arial" w:hAnsi="Arial" w:cs="Arial"/>
          <w:sz w:val="22"/>
          <w:szCs w:val="22"/>
        </w:rPr>
      </w:pPr>
    </w:p>
    <w:p w14:paraId="03BDFA0B" w14:textId="42EA41C4" w:rsidR="3C63513F" w:rsidRDefault="3C63513F" w:rsidP="3C63513F">
      <w:pPr>
        <w:spacing w:line="360" w:lineRule="auto"/>
        <w:jc w:val="both"/>
        <w:rPr>
          <w:rFonts w:ascii="Arial" w:eastAsia="Arial" w:hAnsi="Arial" w:cs="Arial"/>
          <w:sz w:val="22"/>
          <w:szCs w:val="22"/>
        </w:rPr>
      </w:pPr>
    </w:p>
    <w:p w14:paraId="30147E2A" w14:textId="75994EE4" w:rsidR="3C63513F" w:rsidRDefault="3C63513F" w:rsidP="3C63513F">
      <w:pPr>
        <w:spacing w:line="360" w:lineRule="auto"/>
        <w:jc w:val="both"/>
        <w:rPr>
          <w:rFonts w:ascii="Arial" w:eastAsia="Arial" w:hAnsi="Arial" w:cs="Arial"/>
          <w:sz w:val="22"/>
          <w:szCs w:val="22"/>
        </w:rPr>
      </w:pPr>
    </w:p>
    <w:p w14:paraId="1FAE2233" w14:textId="7B88469A" w:rsidR="3C63513F" w:rsidRDefault="3C63513F" w:rsidP="3C63513F">
      <w:pPr>
        <w:spacing w:line="360" w:lineRule="auto"/>
        <w:jc w:val="both"/>
        <w:rPr>
          <w:rFonts w:ascii="Arial" w:eastAsia="Arial" w:hAnsi="Arial" w:cs="Arial"/>
          <w:sz w:val="22"/>
          <w:szCs w:val="22"/>
        </w:rPr>
      </w:pPr>
    </w:p>
    <w:p w14:paraId="74A1A4D8" w14:textId="08C630A1" w:rsidR="3C63513F" w:rsidRDefault="3C63513F" w:rsidP="3C63513F">
      <w:pPr>
        <w:spacing w:line="360" w:lineRule="auto"/>
        <w:jc w:val="both"/>
        <w:rPr>
          <w:rFonts w:ascii="Arial" w:eastAsia="Arial" w:hAnsi="Arial" w:cs="Arial"/>
          <w:sz w:val="22"/>
          <w:szCs w:val="22"/>
        </w:rPr>
      </w:pPr>
    </w:p>
    <w:p w14:paraId="1BD672AD" w14:textId="5E6FE3F9" w:rsidR="3C63513F" w:rsidRDefault="3C63513F" w:rsidP="3C63513F">
      <w:pPr>
        <w:spacing w:line="360" w:lineRule="auto"/>
        <w:jc w:val="both"/>
        <w:rPr>
          <w:rFonts w:ascii="Arial" w:eastAsia="Arial" w:hAnsi="Arial" w:cs="Arial"/>
          <w:sz w:val="22"/>
          <w:szCs w:val="22"/>
        </w:rPr>
      </w:pPr>
    </w:p>
    <w:p w14:paraId="2D91DCE3" w14:textId="0308C3F6" w:rsidR="3C63513F" w:rsidRDefault="3C63513F" w:rsidP="3C63513F">
      <w:pPr>
        <w:spacing w:line="360" w:lineRule="auto"/>
        <w:jc w:val="both"/>
        <w:rPr>
          <w:rFonts w:ascii="Arial" w:eastAsia="Arial" w:hAnsi="Arial" w:cs="Arial"/>
          <w:sz w:val="22"/>
          <w:szCs w:val="22"/>
        </w:rPr>
      </w:pPr>
    </w:p>
    <w:p w14:paraId="294AD0EC" w14:textId="77777777" w:rsidR="006B3149" w:rsidRDefault="006B3149" w:rsidP="3C63513F">
      <w:pPr>
        <w:spacing w:line="360" w:lineRule="auto"/>
        <w:jc w:val="both"/>
        <w:rPr>
          <w:rFonts w:ascii="Arial" w:eastAsia="Arial" w:hAnsi="Arial" w:cs="Arial"/>
          <w:sz w:val="22"/>
          <w:szCs w:val="22"/>
        </w:rPr>
      </w:pPr>
    </w:p>
    <w:p w14:paraId="795518A2" w14:textId="77777777" w:rsidR="006B3149" w:rsidRDefault="006B3149" w:rsidP="3C63513F">
      <w:pPr>
        <w:spacing w:line="360" w:lineRule="auto"/>
        <w:jc w:val="both"/>
        <w:rPr>
          <w:rFonts w:ascii="Arial" w:eastAsia="Arial" w:hAnsi="Arial" w:cs="Arial"/>
          <w:sz w:val="22"/>
          <w:szCs w:val="22"/>
        </w:rPr>
      </w:pPr>
    </w:p>
    <w:p w14:paraId="7F102961" w14:textId="77777777" w:rsidR="006B3149" w:rsidRDefault="006B3149" w:rsidP="3C63513F">
      <w:pPr>
        <w:spacing w:line="360" w:lineRule="auto"/>
        <w:jc w:val="both"/>
        <w:rPr>
          <w:rFonts w:ascii="Arial" w:eastAsia="Arial" w:hAnsi="Arial" w:cs="Arial"/>
          <w:sz w:val="22"/>
          <w:szCs w:val="22"/>
        </w:rPr>
      </w:pPr>
    </w:p>
    <w:p w14:paraId="5110F1E7" w14:textId="77777777" w:rsidR="006B3149" w:rsidRDefault="006B3149" w:rsidP="3C63513F">
      <w:pPr>
        <w:spacing w:line="360" w:lineRule="auto"/>
        <w:jc w:val="both"/>
        <w:rPr>
          <w:rFonts w:ascii="Arial" w:eastAsia="Arial" w:hAnsi="Arial" w:cs="Arial"/>
          <w:sz w:val="22"/>
          <w:szCs w:val="22"/>
        </w:rPr>
      </w:pPr>
    </w:p>
    <w:p w14:paraId="66A44458" w14:textId="0D4E3B8E" w:rsidR="3C63513F" w:rsidRDefault="3C63513F" w:rsidP="3C63513F">
      <w:pPr>
        <w:spacing w:line="360" w:lineRule="auto"/>
        <w:jc w:val="both"/>
        <w:rPr>
          <w:rFonts w:ascii="Arial" w:eastAsia="Arial" w:hAnsi="Arial" w:cs="Arial"/>
          <w:sz w:val="22"/>
          <w:szCs w:val="22"/>
        </w:rPr>
      </w:pPr>
    </w:p>
    <w:p w14:paraId="7B34684C" w14:textId="77777777" w:rsidR="00E87E35" w:rsidRPr="003E73F9" w:rsidRDefault="00E87E35" w:rsidP="3C63513F">
      <w:pPr>
        <w:pStyle w:val="Heading2"/>
        <w:spacing w:line="360" w:lineRule="auto"/>
        <w:jc w:val="both"/>
        <w:rPr>
          <w:rFonts w:ascii="Arial" w:eastAsia="Arial" w:hAnsi="Arial" w:cs="Arial"/>
          <w:b/>
          <w:bCs/>
          <w:color w:val="000000" w:themeColor="text1"/>
          <w:sz w:val="28"/>
          <w:szCs w:val="28"/>
        </w:rPr>
      </w:pPr>
      <w:bookmarkStart w:id="10" w:name="_Toc242085570"/>
      <w:r w:rsidRPr="3C63513F">
        <w:rPr>
          <w:rFonts w:ascii="Arial" w:eastAsia="Arial" w:hAnsi="Arial" w:cs="Arial"/>
          <w:b/>
          <w:bCs/>
          <w:color w:val="000000" w:themeColor="text1"/>
          <w:sz w:val="28"/>
          <w:szCs w:val="28"/>
        </w:rPr>
        <w:lastRenderedPageBreak/>
        <w:t>g) Reference list</w:t>
      </w:r>
      <w:bookmarkEnd w:id="10"/>
    </w:p>
    <w:p w14:paraId="2DA56C09" w14:textId="2BF75AD3"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Bellou, V., Belbasis, L., Tzoulaki, I. and Evangelou, E. (</w:t>
      </w:r>
      <w:proofErr w:type="gramStart"/>
      <w:r w:rsidRPr="3C63513F">
        <w:rPr>
          <w:rFonts w:ascii="Arial" w:eastAsia="Arial" w:hAnsi="Arial" w:cs="Arial"/>
          <w:sz w:val="22"/>
          <w:szCs w:val="22"/>
        </w:rPr>
        <w:t>2018) ‘</w:t>
      </w:r>
      <w:proofErr w:type="gramEnd"/>
      <w:r w:rsidRPr="3C63513F">
        <w:rPr>
          <w:rFonts w:ascii="Arial" w:eastAsia="Arial" w:hAnsi="Arial" w:cs="Arial"/>
          <w:sz w:val="22"/>
          <w:szCs w:val="22"/>
        </w:rPr>
        <w:t xml:space="preserve">Risk factors for type 2 diabetes mellitus: an exposure-wide umbrella review of meta-analyses’, </w:t>
      </w:r>
      <w:r w:rsidRPr="3C63513F">
        <w:rPr>
          <w:rFonts w:ascii="Arial" w:eastAsia="Arial" w:hAnsi="Arial" w:cs="Arial"/>
          <w:i/>
          <w:iCs/>
          <w:sz w:val="22"/>
          <w:szCs w:val="22"/>
        </w:rPr>
        <w:t>PLoS ONE</w:t>
      </w:r>
      <w:r w:rsidRPr="3C63513F">
        <w:rPr>
          <w:rFonts w:ascii="Arial" w:eastAsia="Arial" w:hAnsi="Arial" w:cs="Arial"/>
          <w:sz w:val="22"/>
          <w:szCs w:val="22"/>
        </w:rPr>
        <w:t xml:space="preserve">, 13(3), e0194127. </w:t>
      </w:r>
      <w:hyperlink r:id="rId9">
        <w:proofErr w:type="gramStart"/>
        <w:r w:rsidRPr="3C63513F">
          <w:rPr>
            <w:rStyle w:val="Hyperlink"/>
            <w:rFonts w:ascii="Arial" w:eastAsia="Arial" w:hAnsi="Arial" w:cs="Arial"/>
            <w:sz w:val="22"/>
            <w:szCs w:val="22"/>
          </w:rPr>
          <w:t>doi:10.1371/journal.pone</w:t>
        </w:r>
        <w:proofErr w:type="gramEnd"/>
        <w:r w:rsidRPr="3C63513F">
          <w:rPr>
            <w:rStyle w:val="Hyperlink"/>
            <w:rFonts w:ascii="Arial" w:eastAsia="Arial" w:hAnsi="Arial" w:cs="Arial"/>
            <w:sz w:val="22"/>
            <w:szCs w:val="22"/>
          </w:rPr>
          <w:t>.0194127</w:t>
        </w:r>
      </w:hyperlink>
    </w:p>
    <w:p w14:paraId="3E2E4EE4" w14:textId="198BB144"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Bergman, R.N., Finegood, D.T. and Kahn, S.E. (2002) ‘The evolution of β-cell dysfunction and insulin resistance in type 2 diabetes’, </w:t>
      </w:r>
      <w:r w:rsidRPr="3C63513F">
        <w:rPr>
          <w:rFonts w:ascii="Arial" w:eastAsia="Arial" w:hAnsi="Arial" w:cs="Arial"/>
          <w:i/>
          <w:iCs/>
          <w:sz w:val="22"/>
          <w:szCs w:val="22"/>
        </w:rPr>
        <w:t>European Journal of Clinical Investigation</w:t>
      </w:r>
      <w:r w:rsidRPr="3C63513F">
        <w:rPr>
          <w:rFonts w:ascii="Arial" w:eastAsia="Arial" w:hAnsi="Arial" w:cs="Arial"/>
          <w:sz w:val="22"/>
          <w:szCs w:val="22"/>
        </w:rPr>
        <w:t xml:space="preserve">, 32(S3), pp. 35–45. </w:t>
      </w:r>
      <w:hyperlink r:id="rId10">
        <w:r w:rsidRPr="3C63513F">
          <w:rPr>
            <w:rStyle w:val="Hyperlink"/>
            <w:rFonts w:ascii="Arial" w:eastAsia="Arial" w:hAnsi="Arial" w:cs="Arial"/>
            <w:sz w:val="22"/>
            <w:szCs w:val="22"/>
          </w:rPr>
          <w:t>doi:10.1046/j.1365-2362.</w:t>
        </w:r>
        <w:proofErr w:type="gramStart"/>
        <w:r w:rsidRPr="3C63513F">
          <w:rPr>
            <w:rStyle w:val="Hyperlink"/>
            <w:rFonts w:ascii="Arial" w:eastAsia="Arial" w:hAnsi="Arial" w:cs="Arial"/>
            <w:sz w:val="22"/>
            <w:szCs w:val="22"/>
          </w:rPr>
          <w:t>32.s</w:t>
        </w:r>
        <w:proofErr w:type="gramEnd"/>
        <w:r w:rsidRPr="3C63513F">
          <w:rPr>
            <w:rStyle w:val="Hyperlink"/>
            <w:rFonts w:ascii="Arial" w:eastAsia="Arial" w:hAnsi="Arial" w:cs="Arial"/>
            <w:sz w:val="22"/>
            <w:szCs w:val="22"/>
          </w:rPr>
          <w:t>3.5.x</w:t>
        </w:r>
      </w:hyperlink>
    </w:p>
    <w:p w14:paraId="11954E75" w14:textId="4DE3F172"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Bonora, M. </w:t>
      </w:r>
      <w:r w:rsidRPr="3C63513F">
        <w:rPr>
          <w:rFonts w:ascii="Arial" w:eastAsia="Arial" w:hAnsi="Arial" w:cs="Arial"/>
          <w:i/>
          <w:iCs/>
          <w:sz w:val="22"/>
          <w:szCs w:val="22"/>
        </w:rPr>
        <w:t>et al.</w:t>
      </w:r>
      <w:r w:rsidRPr="3C63513F">
        <w:rPr>
          <w:rFonts w:ascii="Arial" w:eastAsia="Arial" w:hAnsi="Arial" w:cs="Arial"/>
          <w:sz w:val="22"/>
          <w:szCs w:val="22"/>
        </w:rPr>
        <w:t xml:space="preserve"> (2012) ‘ATP synthesis and storage’, </w:t>
      </w:r>
      <w:r w:rsidRPr="3C63513F">
        <w:rPr>
          <w:rFonts w:ascii="Arial" w:eastAsia="Arial" w:hAnsi="Arial" w:cs="Arial"/>
          <w:i/>
          <w:iCs/>
          <w:sz w:val="22"/>
          <w:szCs w:val="22"/>
        </w:rPr>
        <w:t>Purinergic Signalling</w:t>
      </w:r>
      <w:r w:rsidRPr="3C63513F">
        <w:rPr>
          <w:rFonts w:ascii="Arial" w:eastAsia="Arial" w:hAnsi="Arial" w:cs="Arial"/>
          <w:sz w:val="22"/>
          <w:szCs w:val="22"/>
        </w:rPr>
        <w:t xml:space="preserve">, 8(3), pp. 343–357. </w:t>
      </w:r>
      <w:hyperlink r:id="rId11">
        <w:r w:rsidRPr="3C63513F">
          <w:rPr>
            <w:rStyle w:val="Hyperlink"/>
            <w:rFonts w:ascii="Arial" w:eastAsia="Arial" w:hAnsi="Arial" w:cs="Arial"/>
            <w:sz w:val="22"/>
            <w:szCs w:val="22"/>
          </w:rPr>
          <w:t>doi:10.1007/s11302-012-9305-8</w:t>
        </w:r>
      </w:hyperlink>
    </w:p>
    <w:p w14:paraId="27EF98E0" w14:textId="4472EB18"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Chircop, J., Sheffield, D. and Kotera, Y. (2021) ‘Systematic review of self-monitoring of blood glucose in patients with type 2 diabetes’, </w:t>
      </w:r>
      <w:r w:rsidRPr="3C63513F">
        <w:rPr>
          <w:rFonts w:ascii="Arial" w:eastAsia="Arial" w:hAnsi="Arial" w:cs="Arial"/>
          <w:i/>
          <w:iCs/>
          <w:sz w:val="22"/>
          <w:szCs w:val="22"/>
        </w:rPr>
        <w:t>Nursing Research</w:t>
      </w:r>
      <w:r w:rsidRPr="3C63513F">
        <w:rPr>
          <w:rFonts w:ascii="Arial" w:eastAsia="Arial" w:hAnsi="Arial" w:cs="Arial"/>
          <w:sz w:val="22"/>
          <w:szCs w:val="22"/>
        </w:rPr>
        <w:t xml:space="preserve">, 70(6), pp. 487–497. </w:t>
      </w:r>
      <w:hyperlink r:id="rId12">
        <w:r w:rsidRPr="3C63513F">
          <w:rPr>
            <w:rStyle w:val="Hyperlink"/>
            <w:rFonts w:ascii="Arial" w:eastAsia="Arial" w:hAnsi="Arial" w:cs="Arial"/>
            <w:sz w:val="22"/>
            <w:szCs w:val="22"/>
          </w:rPr>
          <w:t>doi:10.1097/NNR.0000000000000542</w:t>
        </w:r>
      </w:hyperlink>
    </w:p>
    <w:p w14:paraId="2DC88FF5" w14:textId="74DA2F21"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Durlach, V. </w:t>
      </w:r>
      <w:r w:rsidRPr="3C63513F">
        <w:rPr>
          <w:rFonts w:ascii="Arial" w:eastAsia="Arial" w:hAnsi="Arial" w:cs="Arial"/>
          <w:i/>
          <w:iCs/>
          <w:sz w:val="22"/>
          <w:szCs w:val="22"/>
        </w:rPr>
        <w:t>et al.</w:t>
      </w:r>
      <w:r w:rsidRPr="3C63513F">
        <w:rPr>
          <w:rFonts w:ascii="Arial" w:eastAsia="Arial" w:hAnsi="Arial" w:cs="Arial"/>
          <w:sz w:val="22"/>
          <w:szCs w:val="22"/>
        </w:rPr>
        <w:t xml:space="preserve"> (</w:t>
      </w:r>
      <w:proofErr w:type="gramStart"/>
      <w:r w:rsidRPr="3C63513F">
        <w:rPr>
          <w:rFonts w:ascii="Arial" w:eastAsia="Arial" w:hAnsi="Arial" w:cs="Arial"/>
          <w:sz w:val="22"/>
          <w:szCs w:val="22"/>
        </w:rPr>
        <w:t>2022) ‘</w:t>
      </w:r>
      <w:proofErr w:type="gramEnd"/>
      <w:r w:rsidRPr="3C63513F">
        <w:rPr>
          <w:rFonts w:ascii="Arial" w:eastAsia="Arial" w:hAnsi="Arial" w:cs="Arial"/>
          <w:sz w:val="22"/>
          <w:szCs w:val="22"/>
        </w:rPr>
        <w:t xml:space="preserve">Smoking and diabetes interplay: a comprehensive review and joint statement’, </w:t>
      </w:r>
      <w:r w:rsidRPr="3C63513F">
        <w:rPr>
          <w:rFonts w:ascii="Arial" w:eastAsia="Arial" w:hAnsi="Arial" w:cs="Arial"/>
          <w:i/>
          <w:iCs/>
          <w:sz w:val="22"/>
          <w:szCs w:val="22"/>
        </w:rPr>
        <w:t>Diabetes &amp; Metabolism</w:t>
      </w:r>
      <w:r w:rsidRPr="3C63513F">
        <w:rPr>
          <w:rFonts w:ascii="Arial" w:eastAsia="Arial" w:hAnsi="Arial" w:cs="Arial"/>
          <w:sz w:val="22"/>
          <w:szCs w:val="22"/>
        </w:rPr>
        <w:t xml:space="preserve">, 48(6), 101370. </w:t>
      </w:r>
      <w:hyperlink r:id="rId13">
        <w:proofErr w:type="gramStart"/>
        <w:r w:rsidRPr="3C63513F">
          <w:rPr>
            <w:rStyle w:val="Hyperlink"/>
            <w:rFonts w:ascii="Arial" w:eastAsia="Arial" w:hAnsi="Arial" w:cs="Arial"/>
            <w:sz w:val="22"/>
            <w:szCs w:val="22"/>
          </w:rPr>
          <w:t>doi:10.1016/j.diabet</w:t>
        </w:r>
        <w:proofErr w:type="gramEnd"/>
        <w:r w:rsidRPr="3C63513F">
          <w:rPr>
            <w:rStyle w:val="Hyperlink"/>
            <w:rFonts w:ascii="Arial" w:eastAsia="Arial" w:hAnsi="Arial" w:cs="Arial"/>
            <w:sz w:val="22"/>
            <w:szCs w:val="22"/>
          </w:rPr>
          <w:t>.2022.101370</w:t>
        </w:r>
      </w:hyperlink>
    </w:p>
    <w:p w14:paraId="024787E5" w14:textId="24BB4B72"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Gromada, J., Chabosseau, P. and Rutter, G.A. (2018) ‘The α-cell in diabetes mellitus’, </w:t>
      </w:r>
      <w:r w:rsidRPr="3C63513F">
        <w:rPr>
          <w:rFonts w:ascii="Arial" w:eastAsia="Arial" w:hAnsi="Arial" w:cs="Arial"/>
          <w:i/>
          <w:iCs/>
          <w:sz w:val="22"/>
          <w:szCs w:val="22"/>
        </w:rPr>
        <w:t>Nature Reviews Endocrinology</w:t>
      </w:r>
      <w:r w:rsidRPr="3C63513F">
        <w:rPr>
          <w:rFonts w:ascii="Arial" w:eastAsia="Arial" w:hAnsi="Arial" w:cs="Arial"/>
          <w:sz w:val="22"/>
          <w:szCs w:val="22"/>
        </w:rPr>
        <w:t xml:space="preserve">, 14(12), pp. 694–704. </w:t>
      </w:r>
      <w:hyperlink r:id="rId14">
        <w:r w:rsidRPr="3C63513F">
          <w:rPr>
            <w:rStyle w:val="Hyperlink"/>
            <w:rFonts w:ascii="Arial" w:eastAsia="Arial" w:hAnsi="Arial" w:cs="Arial"/>
            <w:sz w:val="22"/>
            <w:szCs w:val="22"/>
          </w:rPr>
          <w:t>doi:10.1038/s41574-018-0097-y</w:t>
        </w:r>
      </w:hyperlink>
    </w:p>
    <w:p w14:paraId="0D350029" w14:textId="7460A78A"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Holmes-Truscott, E. </w:t>
      </w:r>
      <w:r w:rsidRPr="3C63513F">
        <w:rPr>
          <w:rFonts w:ascii="Arial" w:eastAsia="Arial" w:hAnsi="Arial" w:cs="Arial"/>
          <w:i/>
          <w:iCs/>
          <w:sz w:val="22"/>
          <w:szCs w:val="22"/>
        </w:rPr>
        <w:t>et al.</w:t>
      </w:r>
      <w:r w:rsidRPr="3C63513F">
        <w:rPr>
          <w:rFonts w:ascii="Arial" w:eastAsia="Arial" w:hAnsi="Arial" w:cs="Arial"/>
          <w:sz w:val="22"/>
          <w:szCs w:val="22"/>
        </w:rPr>
        <w:t xml:space="preserve"> (</w:t>
      </w:r>
      <w:proofErr w:type="gramStart"/>
      <w:r w:rsidRPr="3C63513F">
        <w:rPr>
          <w:rFonts w:ascii="Arial" w:eastAsia="Arial" w:hAnsi="Arial" w:cs="Arial"/>
          <w:sz w:val="22"/>
          <w:szCs w:val="22"/>
        </w:rPr>
        <w:t>2023) ‘</w:t>
      </w:r>
      <w:proofErr w:type="gramEnd"/>
      <w:r w:rsidRPr="3C63513F">
        <w:rPr>
          <w:rFonts w:ascii="Arial" w:eastAsia="Arial" w:hAnsi="Arial" w:cs="Arial"/>
          <w:sz w:val="22"/>
          <w:szCs w:val="22"/>
        </w:rPr>
        <w:t xml:space="preserve">The impact of structured self-monitoring of blood glucose on clinical, behavioral, and psychosocial outcomes among adults with non-insulin-treated type 2 diabetes: a systematic review and meta-analysis’, </w:t>
      </w:r>
      <w:r w:rsidRPr="3C63513F">
        <w:rPr>
          <w:rFonts w:ascii="Arial" w:eastAsia="Arial" w:hAnsi="Arial" w:cs="Arial"/>
          <w:i/>
          <w:iCs/>
          <w:sz w:val="22"/>
          <w:szCs w:val="22"/>
        </w:rPr>
        <w:t>Frontiers in Clinical Diabetes and Healthcare</w:t>
      </w:r>
      <w:r w:rsidRPr="3C63513F">
        <w:rPr>
          <w:rFonts w:ascii="Arial" w:eastAsia="Arial" w:hAnsi="Arial" w:cs="Arial"/>
          <w:sz w:val="22"/>
          <w:szCs w:val="22"/>
        </w:rPr>
        <w:t xml:space="preserve">, 4, 1177030. </w:t>
      </w:r>
      <w:hyperlink r:id="rId15">
        <w:r w:rsidRPr="3C63513F">
          <w:rPr>
            <w:rStyle w:val="Hyperlink"/>
            <w:rFonts w:ascii="Arial" w:eastAsia="Arial" w:hAnsi="Arial" w:cs="Arial"/>
            <w:sz w:val="22"/>
            <w:szCs w:val="22"/>
          </w:rPr>
          <w:t>doi:10.3389/fcdhc.2023.1177030</w:t>
        </w:r>
      </w:hyperlink>
    </w:p>
    <w:p w14:paraId="4553DF91" w14:textId="14727C51"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Hou, L. </w:t>
      </w:r>
      <w:r w:rsidRPr="3C63513F">
        <w:rPr>
          <w:rFonts w:ascii="Arial" w:eastAsia="Arial" w:hAnsi="Arial" w:cs="Arial"/>
          <w:i/>
          <w:iCs/>
          <w:sz w:val="22"/>
          <w:szCs w:val="22"/>
        </w:rPr>
        <w:t>et al.</w:t>
      </w:r>
      <w:r w:rsidRPr="3C63513F">
        <w:rPr>
          <w:rFonts w:ascii="Arial" w:eastAsia="Arial" w:hAnsi="Arial" w:cs="Arial"/>
          <w:sz w:val="22"/>
          <w:szCs w:val="22"/>
        </w:rPr>
        <w:t xml:space="preserve"> (</w:t>
      </w:r>
      <w:proofErr w:type="gramStart"/>
      <w:r w:rsidRPr="3C63513F">
        <w:rPr>
          <w:rFonts w:ascii="Arial" w:eastAsia="Arial" w:hAnsi="Arial" w:cs="Arial"/>
          <w:sz w:val="22"/>
          <w:szCs w:val="22"/>
        </w:rPr>
        <w:t>2022) ‘</w:t>
      </w:r>
      <w:proofErr w:type="gramEnd"/>
      <w:r w:rsidRPr="3C63513F">
        <w:rPr>
          <w:rFonts w:ascii="Arial" w:eastAsia="Arial" w:hAnsi="Arial" w:cs="Arial"/>
          <w:sz w:val="22"/>
          <w:szCs w:val="22"/>
        </w:rPr>
        <w:t xml:space="preserve">Exercise modalities for type 2 diabetes: a systematic review and network meta-analysis of randomized trials’, </w:t>
      </w:r>
      <w:r w:rsidRPr="3C63513F">
        <w:rPr>
          <w:rFonts w:ascii="Arial" w:eastAsia="Arial" w:hAnsi="Arial" w:cs="Arial"/>
          <w:i/>
          <w:iCs/>
          <w:sz w:val="22"/>
          <w:szCs w:val="22"/>
        </w:rPr>
        <w:t>Diabetes/Metabolism Research and Reviews</w:t>
      </w:r>
      <w:r w:rsidRPr="3C63513F">
        <w:rPr>
          <w:rFonts w:ascii="Arial" w:eastAsia="Arial" w:hAnsi="Arial" w:cs="Arial"/>
          <w:sz w:val="22"/>
          <w:szCs w:val="22"/>
        </w:rPr>
        <w:t xml:space="preserve">, 39(1), e3591. </w:t>
      </w:r>
      <w:hyperlink r:id="rId16">
        <w:r w:rsidRPr="3C63513F">
          <w:rPr>
            <w:rStyle w:val="Hyperlink"/>
            <w:rFonts w:ascii="Arial" w:eastAsia="Arial" w:hAnsi="Arial" w:cs="Arial"/>
            <w:sz w:val="22"/>
            <w:szCs w:val="22"/>
          </w:rPr>
          <w:t>doi:10.1002/dmrr.3591</w:t>
        </w:r>
      </w:hyperlink>
    </w:p>
    <w:p w14:paraId="3DB490C3" w14:textId="0C5F43A5"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Jing, T. </w:t>
      </w:r>
      <w:r w:rsidRPr="3C63513F">
        <w:rPr>
          <w:rFonts w:ascii="Arial" w:eastAsia="Arial" w:hAnsi="Arial" w:cs="Arial"/>
          <w:i/>
          <w:iCs/>
          <w:sz w:val="22"/>
          <w:szCs w:val="22"/>
        </w:rPr>
        <w:t>et al.</w:t>
      </w:r>
      <w:r w:rsidRPr="3C63513F">
        <w:rPr>
          <w:rFonts w:ascii="Arial" w:eastAsia="Arial" w:hAnsi="Arial" w:cs="Arial"/>
          <w:sz w:val="22"/>
          <w:szCs w:val="22"/>
        </w:rPr>
        <w:t xml:space="preserve"> (2023) ‘Effect of dietary approaches on glycemic control in patients with type 2 diabetes: a systematic review with network meta-analysis of randomized trials’, </w:t>
      </w:r>
      <w:r w:rsidRPr="3C63513F">
        <w:rPr>
          <w:rFonts w:ascii="Arial" w:eastAsia="Arial" w:hAnsi="Arial" w:cs="Arial"/>
          <w:i/>
          <w:iCs/>
          <w:sz w:val="22"/>
          <w:szCs w:val="22"/>
        </w:rPr>
        <w:t>Nutrients</w:t>
      </w:r>
      <w:r w:rsidRPr="3C63513F">
        <w:rPr>
          <w:rFonts w:ascii="Arial" w:eastAsia="Arial" w:hAnsi="Arial" w:cs="Arial"/>
          <w:sz w:val="22"/>
          <w:szCs w:val="22"/>
        </w:rPr>
        <w:t xml:space="preserve">, 15(14), 3156. </w:t>
      </w:r>
      <w:hyperlink r:id="rId17">
        <w:r w:rsidRPr="3C63513F">
          <w:rPr>
            <w:rStyle w:val="Hyperlink"/>
            <w:rFonts w:ascii="Arial" w:eastAsia="Arial" w:hAnsi="Arial" w:cs="Arial"/>
            <w:sz w:val="22"/>
            <w:szCs w:val="22"/>
          </w:rPr>
          <w:t>doi:10.3390/nu15143156</w:t>
        </w:r>
      </w:hyperlink>
    </w:p>
    <w:p w14:paraId="53226440" w14:textId="7AF75FC9"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National Institute for Health and Care Excellence (NICE) (2026) </w:t>
      </w:r>
      <w:r w:rsidRPr="3C63513F">
        <w:rPr>
          <w:rFonts w:ascii="Arial" w:eastAsia="Arial" w:hAnsi="Arial" w:cs="Arial"/>
          <w:i/>
          <w:iCs/>
          <w:sz w:val="22"/>
          <w:szCs w:val="22"/>
        </w:rPr>
        <w:t>Type 2 diabetes in adults: management (NG28)</w:t>
      </w:r>
      <w:r w:rsidRPr="3C63513F">
        <w:rPr>
          <w:rFonts w:ascii="Arial" w:eastAsia="Arial" w:hAnsi="Arial" w:cs="Arial"/>
          <w:sz w:val="22"/>
          <w:szCs w:val="22"/>
        </w:rPr>
        <w:t xml:space="preserve">. </w:t>
      </w:r>
      <w:hyperlink r:id="rId18">
        <w:r w:rsidRPr="3C63513F">
          <w:rPr>
            <w:rStyle w:val="Hyperlink"/>
            <w:rFonts w:ascii="Arial" w:eastAsia="Arial" w:hAnsi="Arial" w:cs="Arial"/>
            <w:sz w:val="22"/>
            <w:szCs w:val="22"/>
          </w:rPr>
          <w:t>NICE Guideline NG28</w:t>
        </w:r>
      </w:hyperlink>
      <w:r w:rsidRPr="3C63513F">
        <w:rPr>
          <w:rFonts w:ascii="Arial" w:eastAsia="Arial" w:hAnsi="Arial" w:cs="Arial"/>
          <w:sz w:val="22"/>
          <w:szCs w:val="22"/>
        </w:rPr>
        <w:t xml:space="preserve"> (Accessed: 27 September 2026).</w:t>
      </w:r>
    </w:p>
    <w:p w14:paraId="696CDC2A" w14:textId="6147FF75"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Richter, E.A., Bilan, P.J. and Klip, A. (2025) ‘A comprehensive view of muscle glucose uptake: regulation by insulin, contractile activity, and exercise’, </w:t>
      </w:r>
      <w:r w:rsidRPr="3C63513F">
        <w:rPr>
          <w:rFonts w:ascii="Arial" w:eastAsia="Arial" w:hAnsi="Arial" w:cs="Arial"/>
          <w:i/>
          <w:iCs/>
          <w:sz w:val="22"/>
          <w:szCs w:val="22"/>
        </w:rPr>
        <w:t>Physiological Reviews</w:t>
      </w:r>
      <w:r w:rsidRPr="3C63513F">
        <w:rPr>
          <w:rFonts w:ascii="Arial" w:eastAsia="Arial" w:hAnsi="Arial" w:cs="Arial"/>
          <w:sz w:val="22"/>
          <w:szCs w:val="22"/>
        </w:rPr>
        <w:t xml:space="preserve">, 105(3), pp. 1867–1945. </w:t>
      </w:r>
      <w:hyperlink r:id="rId19">
        <w:r w:rsidRPr="3C63513F">
          <w:rPr>
            <w:rStyle w:val="Hyperlink"/>
            <w:rFonts w:ascii="Arial" w:eastAsia="Arial" w:hAnsi="Arial" w:cs="Arial"/>
            <w:sz w:val="22"/>
            <w:szCs w:val="22"/>
          </w:rPr>
          <w:t>doi:10.1152/physrev.00033.2024</w:t>
        </w:r>
      </w:hyperlink>
    </w:p>
    <w:p w14:paraId="10472D33" w14:textId="54EB92DC" w:rsidR="00EA63EF" w:rsidRPr="00C11E49" w:rsidRDefault="00EA63EF" w:rsidP="3C63513F">
      <w:pPr>
        <w:pStyle w:val="ListParagraph"/>
        <w:numPr>
          <w:ilvl w:val="0"/>
          <w:numId w:val="3"/>
        </w:numPr>
        <w:spacing w:line="360" w:lineRule="auto"/>
        <w:jc w:val="both"/>
        <w:rPr>
          <w:rFonts w:ascii="Arial" w:eastAsia="Arial" w:hAnsi="Arial" w:cs="Arial"/>
          <w:sz w:val="22"/>
          <w:szCs w:val="22"/>
        </w:rPr>
      </w:pPr>
      <w:r w:rsidRPr="3C63513F">
        <w:rPr>
          <w:rFonts w:ascii="Arial" w:eastAsia="Arial" w:hAnsi="Arial" w:cs="Arial"/>
          <w:sz w:val="22"/>
          <w:szCs w:val="22"/>
        </w:rPr>
        <w:t xml:space="preserve">Rigoulet, M. </w:t>
      </w:r>
      <w:r w:rsidRPr="3C63513F">
        <w:rPr>
          <w:rFonts w:ascii="Arial" w:eastAsia="Arial" w:hAnsi="Arial" w:cs="Arial"/>
          <w:i/>
          <w:iCs/>
          <w:sz w:val="22"/>
          <w:szCs w:val="22"/>
        </w:rPr>
        <w:t>et al.</w:t>
      </w:r>
      <w:r w:rsidRPr="3C63513F">
        <w:rPr>
          <w:rFonts w:ascii="Arial" w:eastAsia="Arial" w:hAnsi="Arial" w:cs="Arial"/>
          <w:sz w:val="22"/>
          <w:szCs w:val="22"/>
        </w:rPr>
        <w:t xml:space="preserve"> (</w:t>
      </w:r>
      <w:proofErr w:type="gramStart"/>
      <w:r w:rsidRPr="3C63513F">
        <w:rPr>
          <w:rFonts w:ascii="Arial" w:eastAsia="Arial" w:hAnsi="Arial" w:cs="Arial"/>
          <w:sz w:val="22"/>
          <w:szCs w:val="22"/>
        </w:rPr>
        <w:t>2020) ‘</w:t>
      </w:r>
      <w:proofErr w:type="gramEnd"/>
      <w:r w:rsidRPr="3C63513F">
        <w:rPr>
          <w:rFonts w:ascii="Arial" w:eastAsia="Arial" w:hAnsi="Arial" w:cs="Arial"/>
          <w:sz w:val="22"/>
          <w:szCs w:val="22"/>
        </w:rPr>
        <w:t xml:space="preserve">Cell energy metabolism: an update’, </w:t>
      </w:r>
      <w:r w:rsidRPr="3C63513F">
        <w:rPr>
          <w:rFonts w:ascii="Arial" w:eastAsia="Arial" w:hAnsi="Arial" w:cs="Arial"/>
          <w:i/>
          <w:iCs/>
          <w:sz w:val="22"/>
          <w:szCs w:val="22"/>
        </w:rPr>
        <w:t>Biochimica et Biophysica Acta (BBA) - Bioenergetics</w:t>
      </w:r>
      <w:r w:rsidRPr="3C63513F">
        <w:rPr>
          <w:rFonts w:ascii="Arial" w:eastAsia="Arial" w:hAnsi="Arial" w:cs="Arial"/>
          <w:sz w:val="22"/>
          <w:szCs w:val="22"/>
        </w:rPr>
        <w:t xml:space="preserve">, 1861(11), 148276. </w:t>
      </w:r>
      <w:hyperlink r:id="rId20">
        <w:proofErr w:type="gramStart"/>
        <w:r w:rsidRPr="3C63513F">
          <w:rPr>
            <w:rStyle w:val="Hyperlink"/>
            <w:rFonts w:ascii="Arial" w:eastAsia="Arial" w:hAnsi="Arial" w:cs="Arial"/>
            <w:sz w:val="22"/>
            <w:szCs w:val="22"/>
          </w:rPr>
          <w:t>doi:10.1016/j.bbabio</w:t>
        </w:r>
        <w:proofErr w:type="gramEnd"/>
        <w:r w:rsidRPr="3C63513F">
          <w:rPr>
            <w:rStyle w:val="Hyperlink"/>
            <w:rFonts w:ascii="Arial" w:eastAsia="Arial" w:hAnsi="Arial" w:cs="Arial"/>
            <w:sz w:val="22"/>
            <w:szCs w:val="22"/>
          </w:rPr>
          <w:t>.2020.148276</w:t>
        </w:r>
      </w:hyperlink>
    </w:p>
    <w:p w14:paraId="49DAFF13" w14:textId="77777777" w:rsidR="00723F98" w:rsidRPr="00C11E49" w:rsidRDefault="00723F98" w:rsidP="00B619AC">
      <w:pPr>
        <w:spacing w:line="360" w:lineRule="auto"/>
        <w:jc w:val="both"/>
        <w:rPr>
          <w:rFonts w:ascii="Arial" w:hAnsi="Arial" w:cs="Arial"/>
          <w:sz w:val="22"/>
          <w:szCs w:val="22"/>
        </w:rPr>
      </w:pPr>
    </w:p>
    <w:sectPr w:rsidR="00723F98" w:rsidRPr="00C11E49">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82F65" w14:textId="77777777" w:rsidR="006F10F3" w:rsidRDefault="006F10F3" w:rsidP="00AA0F08">
      <w:pPr>
        <w:spacing w:after="0" w:line="240" w:lineRule="auto"/>
      </w:pPr>
      <w:r>
        <w:separator/>
      </w:r>
    </w:p>
  </w:endnote>
  <w:endnote w:type="continuationSeparator" w:id="0">
    <w:p w14:paraId="7CCB88FE" w14:textId="77777777" w:rsidR="006F10F3" w:rsidRDefault="006F10F3" w:rsidP="00AA0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1029994"/>
      <w:docPartObj>
        <w:docPartGallery w:val="Page Numbers (Bottom of Page)"/>
        <w:docPartUnique/>
      </w:docPartObj>
    </w:sdtPr>
    <w:sdtEndPr>
      <w:rPr>
        <w:noProof/>
      </w:rPr>
    </w:sdtEndPr>
    <w:sdtContent>
      <w:p w14:paraId="352240AC" w14:textId="716EA798" w:rsidR="0069361D" w:rsidRDefault="006936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1C2C5" w14:textId="77777777" w:rsidR="0069361D" w:rsidRDefault="00693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A2C2A" w14:textId="77777777" w:rsidR="006F10F3" w:rsidRDefault="006F10F3" w:rsidP="00AA0F08">
      <w:pPr>
        <w:spacing w:after="0" w:line="240" w:lineRule="auto"/>
      </w:pPr>
      <w:r>
        <w:separator/>
      </w:r>
    </w:p>
  </w:footnote>
  <w:footnote w:type="continuationSeparator" w:id="0">
    <w:p w14:paraId="1E03E0C0" w14:textId="77777777" w:rsidR="006F10F3" w:rsidRDefault="006F10F3" w:rsidP="00AA0F0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TaUNCpEh0sOBot" int2:id="xfZ7l3aY">
      <int2:state int2:value="Rejected" int2:type="spell"/>
    </int2:textHash>
    <int2:textHash int2:hashCode="iVqj8dGO9wyBrO" int2:id="zd1ugAfm">
      <int2:state int2:value="Rejected" int2:type="spell"/>
    </int2:textHash>
    <int2:textHash int2:hashCode="iA9YlPe9g8EtUo" int2:id="RKXEnR0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654CB"/>
    <w:multiLevelType w:val="hybridMultilevel"/>
    <w:tmpl w:val="547450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562CAF"/>
    <w:multiLevelType w:val="hybridMultilevel"/>
    <w:tmpl w:val="F09C4C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B528F2"/>
    <w:multiLevelType w:val="hybridMultilevel"/>
    <w:tmpl w:val="404AE888"/>
    <w:lvl w:ilvl="0" w:tplc="84BE0E9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EA0553"/>
    <w:multiLevelType w:val="hybridMultilevel"/>
    <w:tmpl w:val="ECBC7F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5045211">
    <w:abstractNumId w:val="3"/>
  </w:num>
  <w:num w:numId="2" w16cid:durableId="1905947236">
    <w:abstractNumId w:val="1"/>
  </w:num>
  <w:num w:numId="3" w16cid:durableId="1411806576">
    <w:abstractNumId w:val="0"/>
  </w:num>
  <w:num w:numId="4" w16cid:durableId="1494442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02C"/>
    <w:rsid w:val="000C0B2C"/>
    <w:rsid w:val="000C0C36"/>
    <w:rsid w:val="000E5FEB"/>
    <w:rsid w:val="00205D1F"/>
    <w:rsid w:val="00252649"/>
    <w:rsid w:val="00295A91"/>
    <w:rsid w:val="002D2949"/>
    <w:rsid w:val="002D46E9"/>
    <w:rsid w:val="002D7111"/>
    <w:rsid w:val="00334568"/>
    <w:rsid w:val="003A44AD"/>
    <w:rsid w:val="003E3512"/>
    <w:rsid w:val="003E73F9"/>
    <w:rsid w:val="004740E6"/>
    <w:rsid w:val="00493970"/>
    <w:rsid w:val="004C0B01"/>
    <w:rsid w:val="005665CA"/>
    <w:rsid w:val="00573E28"/>
    <w:rsid w:val="005A6650"/>
    <w:rsid w:val="005F496F"/>
    <w:rsid w:val="0069361D"/>
    <w:rsid w:val="006B3149"/>
    <w:rsid w:val="006C518C"/>
    <w:rsid w:val="006D1A32"/>
    <w:rsid w:val="006E2DD7"/>
    <w:rsid w:val="006F10F3"/>
    <w:rsid w:val="00723F98"/>
    <w:rsid w:val="007519BF"/>
    <w:rsid w:val="00761C2D"/>
    <w:rsid w:val="007A0D4F"/>
    <w:rsid w:val="007A1801"/>
    <w:rsid w:val="008512BD"/>
    <w:rsid w:val="008F4814"/>
    <w:rsid w:val="009E602C"/>
    <w:rsid w:val="00A55D46"/>
    <w:rsid w:val="00AA0F08"/>
    <w:rsid w:val="00B13096"/>
    <w:rsid w:val="00B619AC"/>
    <w:rsid w:val="00B71B96"/>
    <w:rsid w:val="00BE0D76"/>
    <w:rsid w:val="00C11E49"/>
    <w:rsid w:val="00C57360"/>
    <w:rsid w:val="00D303E2"/>
    <w:rsid w:val="00DA30BA"/>
    <w:rsid w:val="00DE343E"/>
    <w:rsid w:val="00E160FC"/>
    <w:rsid w:val="00E24A4A"/>
    <w:rsid w:val="00E41039"/>
    <w:rsid w:val="00E87E35"/>
    <w:rsid w:val="00EA63EF"/>
    <w:rsid w:val="00EA7A1F"/>
    <w:rsid w:val="00F30D7A"/>
    <w:rsid w:val="00F94914"/>
    <w:rsid w:val="00FA3BA2"/>
    <w:rsid w:val="00FC6900"/>
    <w:rsid w:val="02420B1F"/>
    <w:rsid w:val="045FD09F"/>
    <w:rsid w:val="05640144"/>
    <w:rsid w:val="0A296FC0"/>
    <w:rsid w:val="0A2E4203"/>
    <w:rsid w:val="121FFE70"/>
    <w:rsid w:val="179BDC24"/>
    <w:rsid w:val="18CBB559"/>
    <w:rsid w:val="23ABE601"/>
    <w:rsid w:val="2681AB74"/>
    <w:rsid w:val="3064CBE6"/>
    <w:rsid w:val="320F1F6D"/>
    <w:rsid w:val="3593A53D"/>
    <w:rsid w:val="35CB7DDE"/>
    <w:rsid w:val="37FE9FF0"/>
    <w:rsid w:val="38B36FB6"/>
    <w:rsid w:val="39053E1C"/>
    <w:rsid w:val="3A234BF7"/>
    <w:rsid w:val="3C63513F"/>
    <w:rsid w:val="3F6E0549"/>
    <w:rsid w:val="40810C46"/>
    <w:rsid w:val="40A4EDD9"/>
    <w:rsid w:val="413DAE0F"/>
    <w:rsid w:val="446E8221"/>
    <w:rsid w:val="46471E2D"/>
    <w:rsid w:val="493EA829"/>
    <w:rsid w:val="4A05E23C"/>
    <w:rsid w:val="4CE2CDEA"/>
    <w:rsid w:val="53C7C6DC"/>
    <w:rsid w:val="53CE5022"/>
    <w:rsid w:val="5430BABE"/>
    <w:rsid w:val="543C2776"/>
    <w:rsid w:val="55E67933"/>
    <w:rsid w:val="56219F6E"/>
    <w:rsid w:val="57F1A097"/>
    <w:rsid w:val="59C3446C"/>
    <w:rsid w:val="5CC58360"/>
    <w:rsid w:val="5CF13219"/>
    <w:rsid w:val="5EA5908E"/>
    <w:rsid w:val="610EB9E9"/>
    <w:rsid w:val="61632DF9"/>
    <w:rsid w:val="62C01291"/>
    <w:rsid w:val="64550EA6"/>
    <w:rsid w:val="658F9521"/>
    <w:rsid w:val="66ADD9B9"/>
    <w:rsid w:val="67850CA8"/>
    <w:rsid w:val="684FF332"/>
    <w:rsid w:val="68FE5C02"/>
    <w:rsid w:val="6E168800"/>
    <w:rsid w:val="6F112F67"/>
    <w:rsid w:val="70A6B00F"/>
    <w:rsid w:val="722610E5"/>
    <w:rsid w:val="78DA3DC1"/>
    <w:rsid w:val="7A601B96"/>
    <w:rsid w:val="7E4BF1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01F3C"/>
  <w15:chartTrackingRefBased/>
  <w15:docId w15:val="{58788B9F-4556-4EFF-AAE1-AD36D4B81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0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60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60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60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0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0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0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60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60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60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0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02C"/>
    <w:rPr>
      <w:rFonts w:eastAsiaTheme="majorEastAsia" w:cstheme="majorBidi"/>
      <w:color w:val="272727" w:themeColor="text1" w:themeTint="D8"/>
    </w:rPr>
  </w:style>
  <w:style w:type="paragraph" w:styleId="Title">
    <w:name w:val="Title"/>
    <w:basedOn w:val="Normal"/>
    <w:next w:val="Normal"/>
    <w:link w:val="TitleChar"/>
    <w:uiPriority w:val="10"/>
    <w:qFormat/>
    <w:rsid w:val="009E60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0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02C"/>
    <w:pPr>
      <w:spacing w:before="160"/>
      <w:jc w:val="center"/>
    </w:pPr>
    <w:rPr>
      <w:i/>
      <w:iCs/>
      <w:color w:val="404040" w:themeColor="text1" w:themeTint="BF"/>
    </w:rPr>
  </w:style>
  <w:style w:type="character" w:customStyle="1" w:styleId="QuoteChar">
    <w:name w:val="Quote Char"/>
    <w:basedOn w:val="DefaultParagraphFont"/>
    <w:link w:val="Quote"/>
    <w:uiPriority w:val="29"/>
    <w:rsid w:val="009E602C"/>
    <w:rPr>
      <w:i/>
      <w:iCs/>
      <w:color w:val="404040" w:themeColor="text1" w:themeTint="BF"/>
    </w:rPr>
  </w:style>
  <w:style w:type="paragraph" w:styleId="ListParagraph">
    <w:name w:val="List Paragraph"/>
    <w:basedOn w:val="Normal"/>
    <w:uiPriority w:val="34"/>
    <w:qFormat/>
    <w:rsid w:val="009E602C"/>
    <w:pPr>
      <w:ind w:left="720"/>
      <w:contextualSpacing/>
    </w:pPr>
  </w:style>
  <w:style w:type="character" w:styleId="IntenseEmphasis">
    <w:name w:val="Intense Emphasis"/>
    <w:basedOn w:val="DefaultParagraphFont"/>
    <w:uiPriority w:val="21"/>
    <w:qFormat/>
    <w:rsid w:val="009E602C"/>
    <w:rPr>
      <w:i/>
      <w:iCs/>
      <w:color w:val="0F4761" w:themeColor="accent1" w:themeShade="BF"/>
    </w:rPr>
  </w:style>
  <w:style w:type="paragraph" w:styleId="IntenseQuote">
    <w:name w:val="Intense Quote"/>
    <w:basedOn w:val="Normal"/>
    <w:next w:val="Normal"/>
    <w:link w:val="IntenseQuoteChar"/>
    <w:uiPriority w:val="30"/>
    <w:qFormat/>
    <w:rsid w:val="009E60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02C"/>
    <w:rPr>
      <w:i/>
      <w:iCs/>
      <w:color w:val="0F4761" w:themeColor="accent1" w:themeShade="BF"/>
    </w:rPr>
  </w:style>
  <w:style w:type="character" w:styleId="IntenseReference">
    <w:name w:val="Intense Reference"/>
    <w:basedOn w:val="DefaultParagraphFont"/>
    <w:uiPriority w:val="32"/>
    <w:qFormat/>
    <w:rsid w:val="009E602C"/>
    <w:rPr>
      <w:b/>
      <w:bCs/>
      <w:smallCaps/>
      <w:color w:val="0F4761" w:themeColor="accent1" w:themeShade="BF"/>
      <w:spacing w:val="5"/>
    </w:rPr>
  </w:style>
  <w:style w:type="character" w:styleId="Hyperlink">
    <w:name w:val="Hyperlink"/>
    <w:basedOn w:val="DefaultParagraphFont"/>
    <w:uiPriority w:val="99"/>
    <w:unhideWhenUsed/>
    <w:rsid w:val="00EA63EF"/>
    <w:rPr>
      <w:color w:val="467886" w:themeColor="hyperlink"/>
      <w:u w:val="single"/>
    </w:rPr>
  </w:style>
  <w:style w:type="character" w:styleId="UnresolvedMention">
    <w:name w:val="Unresolved Mention"/>
    <w:basedOn w:val="DefaultParagraphFont"/>
    <w:uiPriority w:val="99"/>
    <w:semiHidden/>
    <w:unhideWhenUsed/>
    <w:rsid w:val="00EA63EF"/>
    <w:rPr>
      <w:color w:val="605E5C"/>
      <w:shd w:val="clear" w:color="auto" w:fill="E1DFDD"/>
    </w:rPr>
  </w:style>
  <w:style w:type="paragraph" w:styleId="Header">
    <w:name w:val="header"/>
    <w:basedOn w:val="Normal"/>
    <w:link w:val="HeaderChar"/>
    <w:uiPriority w:val="99"/>
    <w:unhideWhenUsed/>
    <w:rsid w:val="00AA0F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F08"/>
  </w:style>
  <w:style w:type="paragraph" w:styleId="Footer">
    <w:name w:val="footer"/>
    <w:basedOn w:val="Normal"/>
    <w:link w:val="FooterChar"/>
    <w:uiPriority w:val="99"/>
    <w:unhideWhenUsed/>
    <w:rsid w:val="00AA0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F08"/>
  </w:style>
  <w:style w:type="paragraph" w:styleId="TOCHeading">
    <w:name w:val="TOC Heading"/>
    <w:basedOn w:val="Heading1"/>
    <w:next w:val="Normal"/>
    <w:uiPriority w:val="39"/>
    <w:unhideWhenUsed/>
    <w:qFormat/>
    <w:rsid w:val="0069361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9361D"/>
    <w:pPr>
      <w:spacing w:after="100"/>
    </w:pPr>
  </w:style>
  <w:style w:type="paragraph" w:styleId="TOC2">
    <w:name w:val="toc 2"/>
    <w:basedOn w:val="Normal"/>
    <w:next w:val="Normal"/>
    <w:autoRedefine/>
    <w:uiPriority w:val="39"/>
    <w:unhideWhenUsed/>
    <w:rsid w:val="0069361D"/>
    <w:pPr>
      <w:spacing w:after="100"/>
      <w:ind w:left="240"/>
    </w:pPr>
  </w:style>
  <w:style w:type="paragraph" w:styleId="TOC3">
    <w:name w:val="toc 3"/>
    <w:basedOn w:val="Normal"/>
    <w:next w:val="Normal"/>
    <w:autoRedefine/>
    <w:uiPriority w:val="39"/>
    <w:unhideWhenUsed/>
    <w:rsid w:val="0069361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diabet.2022.101370?utm_source=chatgpt.com" TargetMode="External"/><Relationship Id="rId18" Type="http://schemas.openxmlformats.org/officeDocument/2006/relationships/hyperlink" Target="https://www.nice.org.uk/guidance/ng28"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97/NNR.0000000000000542?utm_source=chatgpt.com" TargetMode="External"/><Relationship Id="rId17" Type="http://schemas.openxmlformats.org/officeDocument/2006/relationships/hyperlink" Target="https://doi.org/10.3390/nu15143156?utm_source=chatgpt.com" TargetMode="External"/><Relationship Id="rId2" Type="http://schemas.openxmlformats.org/officeDocument/2006/relationships/numbering" Target="numbering.xml"/><Relationship Id="rId16" Type="http://schemas.openxmlformats.org/officeDocument/2006/relationships/hyperlink" Target="https://doi.org/10.1002/dmrr.3591?utm_source=chatgpt.com" TargetMode="External"/><Relationship Id="rId20" Type="http://schemas.openxmlformats.org/officeDocument/2006/relationships/hyperlink" Target="https://doi.org/10.1016/j.bbabio.2020.148276?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302-012-9305-8?utm_source=chatgpt.com"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doi.org/10.3389/fcdhc.2023.1177030?utm_source=chatgpt.com" TargetMode="External"/><Relationship Id="rId23" Type="http://schemas.openxmlformats.org/officeDocument/2006/relationships/theme" Target="theme/theme1.xml"/><Relationship Id="rId10" Type="http://schemas.openxmlformats.org/officeDocument/2006/relationships/hyperlink" Target="https://doi.org/10.1046/j.1365-2362.32.s3.5.x?utm_source=chatgpt.com" TargetMode="External"/><Relationship Id="rId19" Type="http://schemas.openxmlformats.org/officeDocument/2006/relationships/hyperlink" Target="https://doi.org/10.1152/physrev.00033.2024?utm_source=chatgpt.com" TargetMode="External"/><Relationship Id="rId4" Type="http://schemas.openxmlformats.org/officeDocument/2006/relationships/settings" Target="settings.xml"/><Relationship Id="rId9" Type="http://schemas.openxmlformats.org/officeDocument/2006/relationships/hyperlink" Target="https://doi.org/10.1371/journal.pone.0194127?utm_source=chatgpt.com" TargetMode="External"/><Relationship Id="rId14" Type="http://schemas.openxmlformats.org/officeDocument/2006/relationships/hyperlink" Target="https://doi.org/10.1038/s41574-018-0097-y?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45243-7BDE-4330-A864-A481E08E8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2636</Words>
  <Characters>15028</Characters>
  <Application>Microsoft Office Word</Application>
  <DocSecurity>0</DocSecurity>
  <Lines>125</Lines>
  <Paragraphs>35</Paragraphs>
  <ScaleCrop>false</ScaleCrop>
  <Company/>
  <LinksUpToDate>false</LinksUpToDate>
  <CharactersWithSpaces>17629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NIZAM UD DIN</dc:creator>
  <cp:keywords/>
  <dc:description/>
  <cp:lastModifiedBy>Asima Bibi (2225758)</cp:lastModifiedBy>
  <cp:revision>7</cp:revision>
  <dcterms:created xsi:type="dcterms:W3CDTF">2026-10-05T16:46:00Z</dcterms:created>
  <dcterms:modified xsi:type="dcterms:W3CDTF">2026-10-24T11:44:00Z</dcterms:modified>
</cp:coreProperties>
</file>