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128CB" w:rsidRDefault="008C0362" w:rsidP="008C0362">
      <w:pPr>
        <w:jc w:val="center"/>
        <w:rPr>
          <w:rFonts w:ascii="Arial" w:hAnsi="Arial" w:cs="Arial"/>
          <w:sz w:val="40"/>
          <w:szCs w:val="40"/>
          <w:u w:val="single"/>
        </w:rPr>
      </w:pPr>
      <w:r w:rsidRPr="008C0362">
        <w:rPr>
          <w:rFonts w:ascii="Arial" w:hAnsi="Arial" w:cs="Arial"/>
          <w:sz w:val="40"/>
          <w:szCs w:val="40"/>
          <w:u w:val="single"/>
        </w:rPr>
        <w:t>Evaluate the success and limitations of the Police and Criminal Evidence Act 1984 in preventing Miscarriages of Justice</w:t>
      </w:r>
    </w:p>
    <w:p w:rsidR="008C0362" w:rsidRDefault="008C0362" w:rsidP="008C0362">
      <w:pPr>
        <w:jc w:val="center"/>
        <w:rPr>
          <w:rFonts w:ascii="Arial" w:hAnsi="Arial" w:cs="Arial"/>
          <w:sz w:val="40"/>
          <w:szCs w:val="40"/>
          <w:u w:val="single"/>
        </w:rPr>
      </w:pPr>
    </w:p>
    <w:p w:rsidR="008C0362" w:rsidRDefault="008C0362" w:rsidP="008C0362">
      <w:pPr>
        <w:jc w:val="center"/>
        <w:rPr>
          <w:rFonts w:ascii="Arial" w:hAnsi="Arial" w:cs="Arial"/>
          <w:sz w:val="40"/>
          <w:szCs w:val="40"/>
          <w:u w:val="single"/>
        </w:rPr>
      </w:pPr>
      <w:r>
        <w:rPr>
          <w:rFonts w:ascii="Arial" w:hAnsi="Arial" w:cs="Arial"/>
          <w:sz w:val="40"/>
          <w:szCs w:val="40"/>
          <w:u w:val="single"/>
        </w:rPr>
        <w:t>Ben Evans-1801275</w:t>
      </w:r>
    </w:p>
    <w:p w:rsidR="008C0362" w:rsidRDefault="008C0362">
      <w:pPr>
        <w:rPr>
          <w:rFonts w:ascii="Arial" w:hAnsi="Arial" w:cs="Arial"/>
          <w:sz w:val="40"/>
          <w:szCs w:val="40"/>
          <w:u w:val="single"/>
        </w:rPr>
      </w:pPr>
      <w:r>
        <w:rPr>
          <w:rFonts w:ascii="Arial" w:hAnsi="Arial" w:cs="Arial"/>
          <w:sz w:val="40"/>
          <w:szCs w:val="40"/>
          <w:u w:val="single"/>
        </w:rPr>
        <w:br w:type="page"/>
      </w:r>
    </w:p>
    <w:p w:rsidR="009603B6" w:rsidRDefault="008C0362" w:rsidP="009603B6">
      <w:pPr>
        <w:spacing w:line="480" w:lineRule="auto"/>
        <w:rPr>
          <w:rFonts w:ascii="Arial" w:hAnsi="Arial" w:cs="Arial"/>
          <w:sz w:val="28"/>
          <w:szCs w:val="28"/>
        </w:rPr>
      </w:pPr>
      <w:r>
        <w:rPr>
          <w:rFonts w:ascii="Arial" w:hAnsi="Arial" w:cs="Arial"/>
          <w:sz w:val="28"/>
          <w:szCs w:val="28"/>
        </w:rPr>
        <w:lastRenderedPageBreak/>
        <w:t>According to Jones (1985), the police and criminal evidence act 1984 was a controversial piece of law when introduced and was considered one of the most controversial pieces of legislation in years in regard to police authority.</w:t>
      </w:r>
      <w:r w:rsidR="00BF38C9">
        <w:rPr>
          <w:rFonts w:ascii="Arial" w:hAnsi="Arial" w:cs="Arial"/>
          <w:sz w:val="28"/>
          <w:szCs w:val="28"/>
        </w:rPr>
        <w:t xml:space="preserve"> The foundations of the legislation are based off recommendations suggested by the Royal Commission on the structure of dealing with crime and criminals in 1981.</w:t>
      </w:r>
      <w:r w:rsidR="00753DE7">
        <w:rPr>
          <w:rFonts w:ascii="Arial" w:hAnsi="Arial" w:cs="Arial"/>
          <w:sz w:val="28"/>
          <w:szCs w:val="28"/>
        </w:rPr>
        <w:t xml:space="preserve"> The piece of legislation is complex with there being eleven parts, but during parts four and five of the act is where the suspect is most vulnerable as it is in these parts where it is outlined what police may do while questioning the suspect and how they treat the suspect.</w:t>
      </w:r>
      <w:r w:rsidR="00D7151D">
        <w:rPr>
          <w:rFonts w:ascii="Arial" w:hAnsi="Arial" w:cs="Arial"/>
          <w:sz w:val="28"/>
          <w:szCs w:val="28"/>
        </w:rPr>
        <w:t xml:space="preserve"> This part of the legislation gathers the most attention as this is where police pressure can be used to make suspect feel </w:t>
      </w:r>
      <w:r w:rsidR="008750C2">
        <w:rPr>
          <w:rFonts w:ascii="Arial" w:hAnsi="Arial" w:cs="Arial"/>
          <w:sz w:val="28"/>
          <w:szCs w:val="28"/>
        </w:rPr>
        <w:t>uncomfortable</w:t>
      </w:r>
      <w:r w:rsidR="00D7151D">
        <w:rPr>
          <w:rFonts w:ascii="Arial" w:hAnsi="Arial" w:cs="Arial"/>
          <w:sz w:val="28"/>
          <w:szCs w:val="28"/>
        </w:rPr>
        <w:t xml:space="preserve"> and also where it is important to find balance between police powe</w:t>
      </w:r>
      <w:r w:rsidR="00711346">
        <w:rPr>
          <w:rFonts w:ascii="Arial" w:hAnsi="Arial" w:cs="Arial"/>
          <w:sz w:val="28"/>
          <w:szCs w:val="28"/>
        </w:rPr>
        <w:t>r and the safety of the suspect.</w:t>
      </w:r>
    </w:p>
    <w:p w:rsidR="008140C7" w:rsidRDefault="008140C7" w:rsidP="009603B6">
      <w:pPr>
        <w:spacing w:line="480" w:lineRule="auto"/>
        <w:rPr>
          <w:rFonts w:ascii="Arial" w:hAnsi="Arial" w:cs="Arial"/>
          <w:sz w:val="28"/>
          <w:szCs w:val="28"/>
        </w:rPr>
      </w:pPr>
      <w:r>
        <w:rPr>
          <w:rFonts w:ascii="Arial" w:hAnsi="Arial" w:cs="Arial"/>
          <w:sz w:val="28"/>
          <w:szCs w:val="28"/>
        </w:rPr>
        <w:t>Jones (1985) notes that there are more important parts to the police and criminal evidence act 1984 that suggest the police power like in part one of the act, where the power of stop and search is outlined.</w:t>
      </w:r>
      <w:r w:rsidR="009671F4">
        <w:rPr>
          <w:rFonts w:ascii="Arial" w:hAnsi="Arial" w:cs="Arial"/>
          <w:sz w:val="28"/>
          <w:szCs w:val="28"/>
        </w:rPr>
        <w:t xml:space="preserve"> Stop and search powers outline that a police constable can search an individual and vehicles if they have a reason to believe that they are in possession of stolen or banned items, road checks are also possible if they have been authorised to do so and there is a reason to believe they are in possession of stolen and banned articles and if a serious </w:t>
      </w:r>
      <w:r w:rsidR="00BB5D28">
        <w:rPr>
          <w:rFonts w:ascii="Arial" w:hAnsi="Arial" w:cs="Arial"/>
          <w:sz w:val="28"/>
          <w:szCs w:val="28"/>
        </w:rPr>
        <w:t>arrestable</w:t>
      </w:r>
      <w:r w:rsidR="009671F4">
        <w:rPr>
          <w:rFonts w:ascii="Arial" w:hAnsi="Arial" w:cs="Arial"/>
          <w:sz w:val="28"/>
          <w:szCs w:val="28"/>
        </w:rPr>
        <w:t xml:space="preserve"> </w:t>
      </w:r>
      <w:r w:rsidR="009671F4">
        <w:rPr>
          <w:rFonts w:ascii="Arial" w:hAnsi="Arial" w:cs="Arial"/>
          <w:sz w:val="28"/>
          <w:szCs w:val="28"/>
        </w:rPr>
        <w:lastRenderedPageBreak/>
        <w:t>offence is clear which could be helping to prevent terrorism or to have possession of an item with intention to harm someone with it.</w:t>
      </w:r>
      <w:r w:rsidR="00BB5D28">
        <w:rPr>
          <w:rFonts w:ascii="Arial" w:hAnsi="Arial" w:cs="Arial"/>
          <w:sz w:val="28"/>
          <w:szCs w:val="28"/>
        </w:rPr>
        <w:t xml:space="preserve"> Jones (1985) also notes part two of the act is crucial as it outlines the authority of search, entry and seizure which is usually authorised because they have a reason to </w:t>
      </w:r>
      <w:r w:rsidR="00B80693">
        <w:rPr>
          <w:rFonts w:ascii="Arial" w:hAnsi="Arial" w:cs="Arial"/>
          <w:sz w:val="28"/>
          <w:szCs w:val="28"/>
        </w:rPr>
        <w:t>believe</w:t>
      </w:r>
      <w:r w:rsidR="00BB5D28">
        <w:rPr>
          <w:rFonts w:ascii="Arial" w:hAnsi="Arial" w:cs="Arial"/>
          <w:sz w:val="28"/>
          <w:szCs w:val="28"/>
        </w:rPr>
        <w:t xml:space="preserve"> there </w:t>
      </w:r>
      <w:r w:rsidR="00116459">
        <w:rPr>
          <w:rFonts w:ascii="Arial" w:hAnsi="Arial" w:cs="Arial"/>
          <w:sz w:val="28"/>
          <w:szCs w:val="28"/>
        </w:rPr>
        <w:t>is items involved in property that could help to a lead in an investigation.</w:t>
      </w:r>
      <w:r w:rsidR="00B80693">
        <w:rPr>
          <w:rFonts w:ascii="Arial" w:hAnsi="Arial" w:cs="Arial"/>
          <w:sz w:val="28"/>
          <w:szCs w:val="28"/>
        </w:rPr>
        <w:t xml:space="preserve"> </w:t>
      </w:r>
    </w:p>
    <w:p w:rsidR="00B80693" w:rsidRDefault="00B80693" w:rsidP="009603B6">
      <w:pPr>
        <w:spacing w:line="480" w:lineRule="auto"/>
        <w:rPr>
          <w:rFonts w:ascii="Arial" w:hAnsi="Arial" w:cs="Arial"/>
          <w:sz w:val="28"/>
          <w:szCs w:val="28"/>
        </w:rPr>
      </w:pPr>
      <w:r>
        <w:rPr>
          <w:rFonts w:ascii="Arial" w:hAnsi="Arial" w:cs="Arial"/>
          <w:sz w:val="28"/>
          <w:szCs w:val="28"/>
        </w:rPr>
        <w:t>Jones (1985) suggests that part four is one of the most important parts to the act is this is where information of dealing with</w:t>
      </w:r>
      <w:r w:rsidR="00D73D75">
        <w:rPr>
          <w:rFonts w:ascii="Arial" w:hAnsi="Arial" w:cs="Arial"/>
          <w:sz w:val="28"/>
          <w:szCs w:val="28"/>
        </w:rPr>
        <w:t xml:space="preserve"> codes of practice is outlined.</w:t>
      </w:r>
      <w:r w:rsidR="0061010B">
        <w:rPr>
          <w:rFonts w:ascii="Arial" w:hAnsi="Arial" w:cs="Arial"/>
          <w:sz w:val="28"/>
          <w:szCs w:val="28"/>
        </w:rPr>
        <w:t xml:space="preserve">  This part is important as it includes the exercise of powers of stop and search, seizure and search of property and treatment and detention of suspects, and if anyone who is obliged to follow the codes of practice breaches the codes they may face disciplinary action as tit can lead to a miscarriages of justice.</w:t>
      </w:r>
      <w:r w:rsidR="00D735CB">
        <w:rPr>
          <w:rFonts w:ascii="Arial" w:hAnsi="Arial" w:cs="Arial"/>
          <w:sz w:val="28"/>
          <w:szCs w:val="28"/>
        </w:rPr>
        <w:t xml:space="preserve"> Therefore the court may take action if they decide to take the breach in to account in any criminal proceeding against him or if there is any evidence that the breach has caused any misleading to a result in court because of the abuse of powers.</w:t>
      </w:r>
      <w:r w:rsidR="007D3D1F">
        <w:rPr>
          <w:rFonts w:ascii="Arial" w:hAnsi="Arial" w:cs="Arial"/>
          <w:sz w:val="28"/>
          <w:szCs w:val="28"/>
        </w:rPr>
        <w:t xml:space="preserve"> </w:t>
      </w:r>
    </w:p>
    <w:p w:rsidR="007D3D1F" w:rsidRDefault="007D3D1F" w:rsidP="009603B6">
      <w:pPr>
        <w:spacing w:line="480" w:lineRule="auto"/>
        <w:rPr>
          <w:rFonts w:ascii="Arial" w:hAnsi="Arial" w:cs="Arial"/>
          <w:sz w:val="28"/>
          <w:szCs w:val="28"/>
        </w:rPr>
      </w:pPr>
      <w:r>
        <w:rPr>
          <w:rFonts w:ascii="Arial" w:hAnsi="Arial" w:cs="Arial"/>
          <w:sz w:val="28"/>
          <w:szCs w:val="28"/>
        </w:rPr>
        <w:t>According to Nobles and Schiff (2008), miscarr</w:t>
      </w:r>
      <w:r w:rsidR="00157347">
        <w:rPr>
          <w:rFonts w:ascii="Arial" w:hAnsi="Arial" w:cs="Arial"/>
          <w:sz w:val="28"/>
          <w:szCs w:val="28"/>
        </w:rPr>
        <w:t xml:space="preserve">iages of justice is possible </w:t>
      </w:r>
      <w:r>
        <w:rPr>
          <w:rFonts w:ascii="Arial" w:hAnsi="Arial" w:cs="Arial"/>
          <w:sz w:val="28"/>
          <w:szCs w:val="28"/>
        </w:rPr>
        <w:t xml:space="preserve">outside the </w:t>
      </w:r>
      <w:r w:rsidR="00722C35">
        <w:rPr>
          <w:rFonts w:ascii="Arial" w:hAnsi="Arial" w:cs="Arial"/>
          <w:sz w:val="28"/>
          <w:szCs w:val="28"/>
        </w:rPr>
        <w:t>legal</w:t>
      </w:r>
      <w:r>
        <w:rPr>
          <w:rFonts w:ascii="Arial" w:hAnsi="Arial" w:cs="Arial"/>
          <w:sz w:val="28"/>
          <w:szCs w:val="28"/>
        </w:rPr>
        <w:t xml:space="preserve"> system and inside the legal </w:t>
      </w:r>
      <w:r w:rsidR="00640B33">
        <w:rPr>
          <w:rFonts w:ascii="Arial" w:hAnsi="Arial" w:cs="Arial"/>
          <w:sz w:val="28"/>
          <w:szCs w:val="28"/>
        </w:rPr>
        <w:t>system and</w:t>
      </w:r>
      <w:r>
        <w:rPr>
          <w:rFonts w:ascii="Arial" w:hAnsi="Arial" w:cs="Arial"/>
          <w:sz w:val="28"/>
          <w:szCs w:val="28"/>
        </w:rPr>
        <w:t xml:space="preserve"> therefore could be applied to any part of the system, but miscarriages of justice is usually </w:t>
      </w:r>
      <w:r w:rsidR="00722C35">
        <w:rPr>
          <w:rFonts w:ascii="Arial" w:hAnsi="Arial" w:cs="Arial"/>
          <w:sz w:val="28"/>
          <w:szCs w:val="28"/>
        </w:rPr>
        <w:t>referred</w:t>
      </w:r>
      <w:r>
        <w:rPr>
          <w:rFonts w:ascii="Arial" w:hAnsi="Arial" w:cs="Arial"/>
          <w:sz w:val="28"/>
          <w:szCs w:val="28"/>
        </w:rPr>
        <w:t xml:space="preserve"> when a wrong result has occurred during </w:t>
      </w:r>
      <w:r w:rsidR="00722C35">
        <w:rPr>
          <w:rFonts w:ascii="Arial" w:hAnsi="Arial" w:cs="Arial"/>
          <w:sz w:val="28"/>
          <w:szCs w:val="28"/>
        </w:rPr>
        <w:t xml:space="preserve">trial </w:t>
      </w:r>
      <w:r w:rsidR="00722C35">
        <w:rPr>
          <w:rFonts w:ascii="Arial" w:hAnsi="Arial" w:cs="Arial"/>
          <w:sz w:val="28"/>
          <w:szCs w:val="28"/>
        </w:rPr>
        <w:lastRenderedPageBreak/>
        <w:t>in court and therefore there is a wrongful conviction due to the authority police officers could have breached under the police and criminal evidence act 1984.</w:t>
      </w:r>
      <w:r w:rsidR="00157347">
        <w:rPr>
          <w:rFonts w:ascii="Arial" w:hAnsi="Arial" w:cs="Arial"/>
          <w:sz w:val="28"/>
          <w:szCs w:val="28"/>
        </w:rPr>
        <w:t xml:space="preserve"> </w:t>
      </w:r>
    </w:p>
    <w:p w:rsidR="007D3D1F" w:rsidRDefault="007832D2" w:rsidP="009603B6">
      <w:pPr>
        <w:spacing w:line="480" w:lineRule="auto"/>
        <w:rPr>
          <w:rFonts w:ascii="Arial" w:hAnsi="Arial" w:cs="Arial"/>
          <w:sz w:val="28"/>
          <w:szCs w:val="28"/>
        </w:rPr>
      </w:pPr>
      <w:r>
        <w:rPr>
          <w:rFonts w:ascii="Arial" w:hAnsi="Arial" w:cs="Arial"/>
          <w:sz w:val="28"/>
          <w:szCs w:val="28"/>
        </w:rPr>
        <w:t>According to Zander (2011), that the police and criminal evidence act is viewed in a positive way by the professionals in the legal system, the courts and also the police as they all believe that the piece of legislation has made the police line of work more professional</w:t>
      </w:r>
      <w:r w:rsidR="00EE4634">
        <w:rPr>
          <w:rFonts w:ascii="Arial" w:hAnsi="Arial" w:cs="Arial"/>
          <w:sz w:val="28"/>
          <w:szCs w:val="28"/>
        </w:rPr>
        <w:t xml:space="preserve"> but there is also attention towards the ac</w:t>
      </w:r>
      <w:r w:rsidR="0043206E">
        <w:rPr>
          <w:rFonts w:ascii="Arial" w:hAnsi="Arial" w:cs="Arial"/>
          <w:sz w:val="28"/>
          <w:szCs w:val="28"/>
        </w:rPr>
        <w:t>t as it has become more of a benefit</w:t>
      </w:r>
      <w:r w:rsidR="00EE4634">
        <w:rPr>
          <w:rFonts w:ascii="Arial" w:hAnsi="Arial" w:cs="Arial"/>
          <w:sz w:val="28"/>
          <w:szCs w:val="28"/>
        </w:rPr>
        <w:t xml:space="preserve"> for the police and therefore can lead to the </w:t>
      </w:r>
      <w:r w:rsidR="0043206E">
        <w:rPr>
          <w:rFonts w:ascii="Arial" w:hAnsi="Arial" w:cs="Arial"/>
          <w:sz w:val="28"/>
          <w:szCs w:val="28"/>
        </w:rPr>
        <w:t>abuse</w:t>
      </w:r>
      <w:r w:rsidR="00EE4634">
        <w:rPr>
          <w:rFonts w:ascii="Arial" w:hAnsi="Arial" w:cs="Arial"/>
          <w:sz w:val="28"/>
          <w:szCs w:val="28"/>
        </w:rPr>
        <w:t xml:space="preserve"> of authority and to miscarriages of justice.</w:t>
      </w:r>
      <w:r w:rsidR="00B459D7">
        <w:rPr>
          <w:rFonts w:ascii="Arial" w:hAnsi="Arial" w:cs="Arial"/>
          <w:sz w:val="28"/>
          <w:szCs w:val="28"/>
        </w:rPr>
        <w:t xml:space="preserve"> Zander (2011), the most important element of preventing miscarriages of are the codes of practise as it is most likely that police officers understand and commit to the codes more than the legislation itself.</w:t>
      </w:r>
      <w:r w:rsidR="00A82509">
        <w:rPr>
          <w:rFonts w:ascii="Arial" w:hAnsi="Arial" w:cs="Arial"/>
          <w:sz w:val="28"/>
          <w:szCs w:val="28"/>
        </w:rPr>
        <w:t xml:space="preserve"> Before the police and criminal evidence act was introduced there were no outlined rules for how </w:t>
      </w:r>
      <w:r w:rsidR="001D3CD6">
        <w:rPr>
          <w:rFonts w:ascii="Arial" w:hAnsi="Arial" w:cs="Arial"/>
          <w:sz w:val="28"/>
          <w:szCs w:val="28"/>
        </w:rPr>
        <w:t>suspects</w:t>
      </w:r>
      <w:r w:rsidR="00A82509">
        <w:rPr>
          <w:rFonts w:ascii="Arial" w:hAnsi="Arial" w:cs="Arial"/>
          <w:sz w:val="28"/>
          <w:szCs w:val="28"/>
        </w:rPr>
        <w:t xml:space="preserve"> should be treated </w:t>
      </w:r>
      <w:r w:rsidR="001D3CD6">
        <w:rPr>
          <w:rFonts w:ascii="Arial" w:hAnsi="Arial" w:cs="Arial"/>
          <w:sz w:val="28"/>
          <w:szCs w:val="28"/>
        </w:rPr>
        <w:t>during</w:t>
      </w:r>
      <w:r w:rsidR="00A82509">
        <w:rPr>
          <w:rFonts w:ascii="Arial" w:hAnsi="Arial" w:cs="Arial"/>
          <w:sz w:val="28"/>
          <w:szCs w:val="28"/>
        </w:rPr>
        <w:t xml:space="preserve"> </w:t>
      </w:r>
      <w:r w:rsidR="001D3CD6">
        <w:rPr>
          <w:rFonts w:ascii="Arial" w:hAnsi="Arial" w:cs="Arial"/>
          <w:sz w:val="28"/>
          <w:szCs w:val="28"/>
        </w:rPr>
        <w:t xml:space="preserve">an </w:t>
      </w:r>
      <w:r w:rsidR="00A82509">
        <w:rPr>
          <w:rFonts w:ascii="Arial" w:hAnsi="Arial" w:cs="Arial"/>
          <w:sz w:val="28"/>
          <w:szCs w:val="28"/>
        </w:rPr>
        <w:t xml:space="preserve">interview and it was down to the </w:t>
      </w:r>
      <w:r w:rsidR="001D3CD6">
        <w:rPr>
          <w:rFonts w:ascii="Arial" w:hAnsi="Arial" w:cs="Arial"/>
          <w:sz w:val="28"/>
          <w:szCs w:val="28"/>
        </w:rPr>
        <w:t>judge’s</w:t>
      </w:r>
      <w:r w:rsidR="00A82509">
        <w:rPr>
          <w:rFonts w:ascii="Arial" w:hAnsi="Arial" w:cs="Arial"/>
          <w:sz w:val="28"/>
          <w:szCs w:val="28"/>
        </w:rPr>
        <w:t xml:space="preserve"> rules, but the judges </w:t>
      </w:r>
      <w:r w:rsidR="001D3CD6">
        <w:rPr>
          <w:rFonts w:ascii="Arial" w:hAnsi="Arial" w:cs="Arial"/>
          <w:sz w:val="28"/>
          <w:szCs w:val="28"/>
        </w:rPr>
        <w:t>themselves</w:t>
      </w:r>
      <w:r w:rsidR="00A82509">
        <w:rPr>
          <w:rFonts w:ascii="Arial" w:hAnsi="Arial" w:cs="Arial"/>
          <w:sz w:val="28"/>
          <w:szCs w:val="28"/>
        </w:rPr>
        <w:t xml:space="preserve"> did not have confidence and therefo</w:t>
      </w:r>
      <w:r w:rsidR="001D3CD6">
        <w:rPr>
          <w:rFonts w:ascii="Arial" w:hAnsi="Arial" w:cs="Arial"/>
          <w:sz w:val="28"/>
          <w:szCs w:val="28"/>
        </w:rPr>
        <w:t>re before the act was introduce they were</w:t>
      </w:r>
      <w:r w:rsidR="00A82509">
        <w:rPr>
          <w:rFonts w:ascii="Arial" w:hAnsi="Arial" w:cs="Arial"/>
          <w:sz w:val="28"/>
          <w:szCs w:val="28"/>
        </w:rPr>
        <w:t xml:space="preserve"> optional for the police</w:t>
      </w:r>
      <w:r w:rsidR="001D3CD6">
        <w:rPr>
          <w:rFonts w:ascii="Arial" w:hAnsi="Arial" w:cs="Arial"/>
          <w:sz w:val="28"/>
          <w:szCs w:val="28"/>
        </w:rPr>
        <w:t xml:space="preserve"> and that lead to the possibly of miscarriage of justice prior to the act was introduced</w:t>
      </w:r>
      <w:r w:rsidR="00A82509">
        <w:rPr>
          <w:rFonts w:ascii="Arial" w:hAnsi="Arial" w:cs="Arial"/>
          <w:sz w:val="28"/>
          <w:szCs w:val="28"/>
        </w:rPr>
        <w:t>.</w:t>
      </w:r>
    </w:p>
    <w:p w:rsidR="001D3CD6" w:rsidRDefault="001D3CD6" w:rsidP="009603B6">
      <w:pPr>
        <w:spacing w:line="480" w:lineRule="auto"/>
        <w:rPr>
          <w:rFonts w:ascii="Arial" w:hAnsi="Arial" w:cs="Arial"/>
          <w:sz w:val="28"/>
          <w:szCs w:val="28"/>
        </w:rPr>
      </w:pPr>
      <w:r>
        <w:rPr>
          <w:rFonts w:ascii="Arial" w:hAnsi="Arial" w:cs="Arial"/>
          <w:sz w:val="28"/>
          <w:szCs w:val="28"/>
        </w:rPr>
        <w:t xml:space="preserve">Zander (2011) notes that the piece of legislation can still be improved to help police officers </w:t>
      </w:r>
      <w:r w:rsidR="00A12277">
        <w:rPr>
          <w:rFonts w:ascii="Arial" w:hAnsi="Arial" w:cs="Arial"/>
          <w:sz w:val="28"/>
          <w:szCs w:val="28"/>
        </w:rPr>
        <w:t xml:space="preserve">gather a clear </w:t>
      </w:r>
      <w:r>
        <w:rPr>
          <w:rFonts w:ascii="Arial" w:hAnsi="Arial" w:cs="Arial"/>
          <w:sz w:val="28"/>
          <w:szCs w:val="28"/>
        </w:rPr>
        <w:t xml:space="preserve">understand </w:t>
      </w:r>
      <w:r w:rsidR="00994F58">
        <w:rPr>
          <w:rFonts w:ascii="Arial" w:hAnsi="Arial" w:cs="Arial"/>
          <w:sz w:val="28"/>
          <w:szCs w:val="28"/>
        </w:rPr>
        <w:t>the</w:t>
      </w:r>
      <w:r>
        <w:rPr>
          <w:rFonts w:ascii="Arial" w:hAnsi="Arial" w:cs="Arial"/>
          <w:sz w:val="28"/>
          <w:szCs w:val="28"/>
        </w:rPr>
        <w:t xml:space="preserve"> act better and therefore prevent </w:t>
      </w:r>
      <w:r w:rsidR="00994F58">
        <w:rPr>
          <w:rFonts w:ascii="Arial" w:hAnsi="Arial" w:cs="Arial"/>
          <w:sz w:val="28"/>
          <w:szCs w:val="28"/>
        </w:rPr>
        <w:t>miscarriages</w:t>
      </w:r>
      <w:r>
        <w:rPr>
          <w:rFonts w:ascii="Arial" w:hAnsi="Arial" w:cs="Arial"/>
          <w:sz w:val="28"/>
          <w:szCs w:val="28"/>
        </w:rPr>
        <w:t xml:space="preserve"> of </w:t>
      </w:r>
      <w:r w:rsidR="00994F58">
        <w:rPr>
          <w:rFonts w:ascii="Arial" w:hAnsi="Arial" w:cs="Arial"/>
          <w:sz w:val="28"/>
          <w:szCs w:val="28"/>
        </w:rPr>
        <w:t>justice</w:t>
      </w:r>
      <w:r>
        <w:rPr>
          <w:rFonts w:ascii="Arial" w:hAnsi="Arial" w:cs="Arial"/>
          <w:sz w:val="28"/>
          <w:szCs w:val="28"/>
        </w:rPr>
        <w:t>.</w:t>
      </w:r>
      <w:r w:rsidR="00A12277">
        <w:rPr>
          <w:rFonts w:ascii="Arial" w:hAnsi="Arial" w:cs="Arial"/>
          <w:sz w:val="28"/>
          <w:szCs w:val="28"/>
        </w:rPr>
        <w:t xml:space="preserve"> The codes of practice are an </w:t>
      </w:r>
      <w:r w:rsidR="00A12277">
        <w:rPr>
          <w:rFonts w:ascii="Arial" w:hAnsi="Arial" w:cs="Arial"/>
          <w:sz w:val="28"/>
          <w:szCs w:val="28"/>
        </w:rPr>
        <w:lastRenderedPageBreak/>
        <w:t xml:space="preserve">obviously important part of the act but there could still be an </w:t>
      </w:r>
      <w:r w:rsidR="000D6C82">
        <w:rPr>
          <w:rFonts w:ascii="Arial" w:hAnsi="Arial" w:cs="Arial"/>
          <w:sz w:val="28"/>
          <w:szCs w:val="28"/>
        </w:rPr>
        <w:t>improvement</w:t>
      </w:r>
      <w:r w:rsidR="00A12277">
        <w:rPr>
          <w:rFonts w:ascii="Arial" w:hAnsi="Arial" w:cs="Arial"/>
          <w:sz w:val="28"/>
          <w:szCs w:val="28"/>
        </w:rPr>
        <w:t xml:space="preserve"> made to help limit miscarriages of </w:t>
      </w:r>
      <w:r w:rsidR="000D6C82">
        <w:rPr>
          <w:rFonts w:ascii="Arial" w:hAnsi="Arial" w:cs="Arial"/>
          <w:sz w:val="28"/>
          <w:szCs w:val="28"/>
        </w:rPr>
        <w:t>justice</w:t>
      </w:r>
      <w:r w:rsidR="00A12277">
        <w:rPr>
          <w:rFonts w:ascii="Arial" w:hAnsi="Arial" w:cs="Arial"/>
          <w:sz w:val="28"/>
          <w:szCs w:val="28"/>
        </w:rPr>
        <w:t xml:space="preserve"> and that could be made by correcting the language in the codes of practice as in some parts it is far </w:t>
      </w:r>
      <w:r w:rsidR="000D6C82">
        <w:rPr>
          <w:rFonts w:ascii="Arial" w:hAnsi="Arial" w:cs="Arial"/>
          <w:sz w:val="28"/>
          <w:szCs w:val="28"/>
        </w:rPr>
        <w:t>too</w:t>
      </w:r>
      <w:r w:rsidR="00767E60">
        <w:rPr>
          <w:rFonts w:ascii="Arial" w:hAnsi="Arial" w:cs="Arial"/>
          <w:sz w:val="28"/>
          <w:szCs w:val="28"/>
        </w:rPr>
        <w:t xml:space="preserve"> complex for some to understand, and also a new way to present the codes to officers as they can keep with additional changes in law as a result to case law.</w:t>
      </w:r>
      <w:r w:rsidR="00A5611C">
        <w:rPr>
          <w:rFonts w:ascii="Arial" w:hAnsi="Arial" w:cs="Arial"/>
          <w:sz w:val="28"/>
          <w:szCs w:val="28"/>
        </w:rPr>
        <w:t xml:space="preserve"> Zander (2011) suggests that it is important for the codes to be better understood as they should encourage police officers to do a professional job and to also use their professional judgment. This suggests the importance of </w:t>
      </w:r>
      <w:r w:rsidR="00FD0336">
        <w:rPr>
          <w:rFonts w:ascii="Arial" w:hAnsi="Arial" w:cs="Arial"/>
          <w:sz w:val="28"/>
          <w:szCs w:val="28"/>
        </w:rPr>
        <w:t>professionalism</w:t>
      </w:r>
      <w:r w:rsidR="00A5611C">
        <w:rPr>
          <w:rFonts w:ascii="Arial" w:hAnsi="Arial" w:cs="Arial"/>
          <w:sz w:val="28"/>
          <w:szCs w:val="28"/>
        </w:rPr>
        <w:t xml:space="preserve"> </w:t>
      </w:r>
      <w:r w:rsidR="00FD0336">
        <w:rPr>
          <w:rFonts w:ascii="Arial" w:hAnsi="Arial" w:cs="Arial"/>
          <w:sz w:val="28"/>
          <w:szCs w:val="28"/>
        </w:rPr>
        <w:t>fro</w:t>
      </w:r>
      <w:r w:rsidR="00A5611C">
        <w:rPr>
          <w:rFonts w:ascii="Arial" w:hAnsi="Arial" w:cs="Arial"/>
          <w:sz w:val="28"/>
          <w:szCs w:val="28"/>
        </w:rPr>
        <w:t>m the codes of practise as it limits the of the act to prevent miscarriages of justice as police have no excuse as they know what is expected of them.</w:t>
      </w:r>
    </w:p>
    <w:p w:rsidR="00FC459D" w:rsidRDefault="00FC459D" w:rsidP="009603B6">
      <w:pPr>
        <w:spacing w:line="480" w:lineRule="auto"/>
        <w:rPr>
          <w:rFonts w:ascii="Arial" w:hAnsi="Arial" w:cs="Arial"/>
          <w:sz w:val="28"/>
          <w:szCs w:val="28"/>
        </w:rPr>
      </w:pPr>
      <w:r>
        <w:rPr>
          <w:rFonts w:ascii="Arial" w:hAnsi="Arial" w:cs="Arial"/>
          <w:sz w:val="28"/>
          <w:szCs w:val="28"/>
        </w:rPr>
        <w:t xml:space="preserve">According to Zander (2011), some believe that the legal system should consider making changes to the interest of witnesses but that could be a huge problem in not preventing miscarriages of justice </w:t>
      </w:r>
      <w:r w:rsidR="004318D8">
        <w:rPr>
          <w:rFonts w:ascii="Arial" w:hAnsi="Arial" w:cs="Arial"/>
          <w:sz w:val="28"/>
          <w:szCs w:val="28"/>
        </w:rPr>
        <w:t xml:space="preserve">as it should be </w:t>
      </w:r>
      <w:r w:rsidR="00EE107B">
        <w:rPr>
          <w:rFonts w:ascii="Arial" w:hAnsi="Arial" w:cs="Arial"/>
          <w:sz w:val="28"/>
          <w:szCs w:val="28"/>
        </w:rPr>
        <w:t>witnesses’</w:t>
      </w:r>
      <w:r w:rsidR="004318D8">
        <w:rPr>
          <w:rFonts w:ascii="Arial" w:hAnsi="Arial" w:cs="Arial"/>
          <w:sz w:val="28"/>
          <w:szCs w:val="28"/>
        </w:rPr>
        <w:t xml:space="preserve"> duty to give evidence in a legal case.</w:t>
      </w:r>
      <w:r w:rsidR="00EE107B">
        <w:rPr>
          <w:rFonts w:ascii="Arial" w:hAnsi="Arial" w:cs="Arial"/>
          <w:sz w:val="28"/>
          <w:szCs w:val="28"/>
        </w:rPr>
        <w:t xml:space="preserve"> When an investigation is active the interest of the victim has very little relevance even though they would </w:t>
      </w:r>
      <w:r w:rsidR="005134E2">
        <w:rPr>
          <w:rFonts w:ascii="Arial" w:hAnsi="Arial" w:cs="Arial"/>
          <w:sz w:val="28"/>
          <w:szCs w:val="28"/>
        </w:rPr>
        <w:t>obviously</w:t>
      </w:r>
      <w:r w:rsidR="00EE107B">
        <w:rPr>
          <w:rFonts w:ascii="Arial" w:hAnsi="Arial" w:cs="Arial"/>
          <w:sz w:val="28"/>
          <w:szCs w:val="28"/>
        </w:rPr>
        <w:t xml:space="preserve"> have a </w:t>
      </w:r>
      <w:r w:rsidR="005134E2">
        <w:rPr>
          <w:rFonts w:ascii="Arial" w:hAnsi="Arial" w:cs="Arial"/>
          <w:sz w:val="28"/>
          <w:szCs w:val="28"/>
        </w:rPr>
        <w:t>reasonable</w:t>
      </w:r>
      <w:r w:rsidR="00EE107B">
        <w:rPr>
          <w:rFonts w:ascii="Arial" w:hAnsi="Arial" w:cs="Arial"/>
          <w:sz w:val="28"/>
          <w:szCs w:val="28"/>
        </w:rPr>
        <w:t xml:space="preserve"> concern for the crime to be solved and a suspect to be convicted, but obviously it is wrong to hinder the balance of the </w:t>
      </w:r>
      <w:r w:rsidR="005134E2">
        <w:rPr>
          <w:rFonts w:ascii="Arial" w:hAnsi="Arial" w:cs="Arial"/>
          <w:sz w:val="28"/>
          <w:szCs w:val="28"/>
        </w:rPr>
        <w:t>criminal</w:t>
      </w:r>
      <w:r w:rsidR="00EE107B">
        <w:rPr>
          <w:rFonts w:ascii="Arial" w:hAnsi="Arial" w:cs="Arial"/>
          <w:sz w:val="28"/>
          <w:szCs w:val="28"/>
        </w:rPr>
        <w:t xml:space="preserve"> system due to personal interest of the police officer to the crime </w:t>
      </w:r>
      <w:r w:rsidR="005134E2">
        <w:rPr>
          <w:rFonts w:ascii="Arial" w:hAnsi="Arial" w:cs="Arial"/>
          <w:sz w:val="28"/>
          <w:szCs w:val="28"/>
        </w:rPr>
        <w:t>without</w:t>
      </w:r>
      <w:r w:rsidR="00EE107B">
        <w:rPr>
          <w:rFonts w:ascii="Arial" w:hAnsi="Arial" w:cs="Arial"/>
          <w:sz w:val="28"/>
          <w:szCs w:val="28"/>
        </w:rPr>
        <w:t xml:space="preserve"> collecting all evidence as that is a huge breach of the codes of practice and leads to a </w:t>
      </w:r>
      <w:r w:rsidR="005134E2">
        <w:rPr>
          <w:rFonts w:ascii="Arial" w:hAnsi="Arial" w:cs="Arial"/>
          <w:sz w:val="28"/>
          <w:szCs w:val="28"/>
        </w:rPr>
        <w:t>miscarriage</w:t>
      </w:r>
      <w:r w:rsidR="00EE107B">
        <w:rPr>
          <w:rFonts w:ascii="Arial" w:hAnsi="Arial" w:cs="Arial"/>
          <w:sz w:val="28"/>
          <w:szCs w:val="28"/>
        </w:rPr>
        <w:t xml:space="preserve"> of justice. </w:t>
      </w:r>
      <w:r w:rsidR="00EE107B">
        <w:rPr>
          <w:rFonts w:ascii="Arial" w:hAnsi="Arial" w:cs="Arial"/>
          <w:sz w:val="28"/>
          <w:szCs w:val="28"/>
        </w:rPr>
        <w:lastRenderedPageBreak/>
        <w:t xml:space="preserve">Therefore Zander (2011) states that all groups and </w:t>
      </w:r>
      <w:r w:rsidR="005134E2">
        <w:rPr>
          <w:rFonts w:ascii="Arial" w:hAnsi="Arial" w:cs="Arial"/>
          <w:sz w:val="28"/>
          <w:szCs w:val="28"/>
        </w:rPr>
        <w:t>individuals</w:t>
      </w:r>
      <w:r w:rsidR="00EE107B">
        <w:rPr>
          <w:rFonts w:ascii="Arial" w:hAnsi="Arial" w:cs="Arial"/>
          <w:sz w:val="28"/>
          <w:szCs w:val="28"/>
        </w:rPr>
        <w:t xml:space="preserve"> of both sides of the investigation are </w:t>
      </w:r>
      <w:r w:rsidR="005134E2">
        <w:rPr>
          <w:rFonts w:ascii="Arial" w:hAnsi="Arial" w:cs="Arial"/>
          <w:sz w:val="28"/>
          <w:szCs w:val="28"/>
        </w:rPr>
        <w:t>wanting</w:t>
      </w:r>
      <w:r w:rsidR="00EE107B">
        <w:rPr>
          <w:rFonts w:ascii="Arial" w:hAnsi="Arial" w:cs="Arial"/>
          <w:sz w:val="28"/>
          <w:szCs w:val="28"/>
        </w:rPr>
        <w:t xml:space="preserve"> the outcome and </w:t>
      </w:r>
      <w:r w:rsidR="005134E2">
        <w:rPr>
          <w:rFonts w:ascii="Arial" w:hAnsi="Arial" w:cs="Arial"/>
          <w:sz w:val="28"/>
          <w:szCs w:val="28"/>
        </w:rPr>
        <w:t>therefore</w:t>
      </w:r>
      <w:r w:rsidR="00EE107B">
        <w:rPr>
          <w:rFonts w:ascii="Arial" w:hAnsi="Arial" w:cs="Arial"/>
          <w:sz w:val="28"/>
          <w:szCs w:val="28"/>
        </w:rPr>
        <w:t xml:space="preserve"> balance in the system must be found as that is more import</w:t>
      </w:r>
      <w:r w:rsidR="00BB703D">
        <w:rPr>
          <w:rFonts w:ascii="Arial" w:hAnsi="Arial" w:cs="Arial"/>
          <w:sz w:val="28"/>
          <w:szCs w:val="28"/>
        </w:rPr>
        <w:t xml:space="preserve">ant </w:t>
      </w:r>
      <w:r w:rsidR="00C36460">
        <w:rPr>
          <w:rFonts w:ascii="Arial" w:hAnsi="Arial" w:cs="Arial"/>
          <w:sz w:val="28"/>
          <w:szCs w:val="28"/>
        </w:rPr>
        <w:t xml:space="preserve">to find the correct outcome and, </w:t>
      </w:r>
      <w:r w:rsidR="00BB703D">
        <w:rPr>
          <w:rFonts w:ascii="Arial" w:hAnsi="Arial" w:cs="Arial"/>
          <w:sz w:val="28"/>
          <w:szCs w:val="28"/>
        </w:rPr>
        <w:t>that suggests the importance of the police and criminal evidence act as it outlines</w:t>
      </w:r>
      <w:r w:rsidR="000E1448">
        <w:rPr>
          <w:rFonts w:ascii="Arial" w:hAnsi="Arial" w:cs="Arial"/>
          <w:sz w:val="28"/>
          <w:szCs w:val="28"/>
        </w:rPr>
        <w:t xml:space="preserve"> what s</w:t>
      </w:r>
      <w:r w:rsidR="00C36460">
        <w:rPr>
          <w:rFonts w:ascii="Arial" w:hAnsi="Arial" w:cs="Arial"/>
          <w:sz w:val="28"/>
          <w:szCs w:val="28"/>
        </w:rPr>
        <w:t xml:space="preserve">teps need to be taken during investigation to </w:t>
      </w:r>
      <w:r w:rsidR="00BB703D">
        <w:rPr>
          <w:rFonts w:ascii="Arial" w:hAnsi="Arial" w:cs="Arial"/>
          <w:sz w:val="28"/>
          <w:szCs w:val="28"/>
        </w:rPr>
        <w:t>prevent miscarriages of justice.</w:t>
      </w:r>
    </w:p>
    <w:p w:rsidR="004615A3" w:rsidRDefault="0047552D" w:rsidP="009603B6">
      <w:pPr>
        <w:spacing w:line="480" w:lineRule="auto"/>
        <w:rPr>
          <w:rFonts w:ascii="Arial" w:hAnsi="Arial" w:cs="Arial"/>
          <w:sz w:val="28"/>
          <w:szCs w:val="28"/>
        </w:rPr>
      </w:pPr>
      <w:r>
        <w:rPr>
          <w:rFonts w:ascii="Arial" w:hAnsi="Arial" w:cs="Arial"/>
          <w:sz w:val="28"/>
          <w:szCs w:val="28"/>
        </w:rPr>
        <w:t xml:space="preserve">Huge campaigns against miscarriages of justice have played a huge part in gathering support to expose the truth in criminal law cases and to call for reform in criminal law policy. Miscarriages of justice can be used to describe situations when individuals or groups have been wrongly conflicted or if police have over used authority and breached the codes of practice of the police and criminal evidence act (Savage, Grieve and </w:t>
      </w:r>
      <w:proofErr w:type="spellStart"/>
      <w:r>
        <w:rPr>
          <w:rFonts w:ascii="Arial" w:hAnsi="Arial" w:cs="Arial"/>
          <w:sz w:val="28"/>
          <w:szCs w:val="28"/>
        </w:rPr>
        <w:t>Poyser</w:t>
      </w:r>
      <w:proofErr w:type="spellEnd"/>
      <w:r>
        <w:rPr>
          <w:rFonts w:ascii="Arial" w:hAnsi="Arial" w:cs="Arial"/>
          <w:sz w:val="28"/>
          <w:szCs w:val="28"/>
        </w:rPr>
        <w:t xml:space="preserve">, 2007) </w:t>
      </w:r>
    </w:p>
    <w:p w:rsidR="0047552D" w:rsidRDefault="0047552D" w:rsidP="009603B6">
      <w:pPr>
        <w:spacing w:line="480" w:lineRule="auto"/>
        <w:rPr>
          <w:rFonts w:ascii="Arial" w:hAnsi="Arial" w:cs="Arial"/>
          <w:sz w:val="28"/>
          <w:szCs w:val="28"/>
        </w:rPr>
      </w:pPr>
      <w:r>
        <w:rPr>
          <w:rFonts w:ascii="Arial" w:hAnsi="Arial" w:cs="Arial"/>
          <w:sz w:val="28"/>
          <w:szCs w:val="28"/>
        </w:rPr>
        <w:t xml:space="preserve">According to </w:t>
      </w:r>
      <w:proofErr w:type="spellStart"/>
      <w:r>
        <w:rPr>
          <w:rFonts w:ascii="Arial" w:hAnsi="Arial" w:cs="Arial"/>
          <w:sz w:val="28"/>
          <w:szCs w:val="28"/>
        </w:rPr>
        <w:t>Mylonki</w:t>
      </w:r>
      <w:proofErr w:type="spellEnd"/>
      <w:r>
        <w:rPr>
          <w:rFonts w:ascii="Arial" w:hAnsi="Arial" w:cs="Arial"/>
          <w:sz w:val="28"/>
          <w:szCs w:val="28"/>
        </w:rPr>
        <w:t xml:space="preserve"> and Burton (2007),</w:t>
      </w:r>
      <w:r w:rsidR="00070BA6">
        <w:rPr>
          <w:rFonts w:ascii="Arial" w:hAnsi="Arial" w:cs="Arial"/>
          <w:sz w:val="28"/>
          <w:szCs w:val="28"/>
        </w:rPr>
        <w:t xml:space="preserve"> there are huge problems with police powers of detention and questioning under the P</w:t>
      </w:r>
      <w:r w:rsidR="00BE535A">
        <w:rPr>
          <w:rFonts w:ascii="Arial" w:hAnsi="Arial" w:cs="Arial"/>
          <w:sz w:val="28"/>
          <w:szCs w:val="28"/>
        </w:rPr>
        <w:t xml:space="preserve">olice and Criminal Evidence Act and it is suggested that the piece of legislation is too dependent on </w:t>
      </w:r>
      <w:r w:rsidR="00C4754D">
        <w:rPr>
          <w:rFonts w:ascii="Arial" w:hAnsi="Arial" w:cs="Arial"/>
          <w:sz w:val="28"/>
          <w:szCs w:val="28"/>
        </w:rPr>
        <w:t>police officers regulating their observation of the rules and codes of practice, and therefore there must be clear understanding of how there can be regulation of police powers of investigation.</w:t>
      </w:r>
      <w:r w:rsidR="00370675">
        <w:rPr>
          <w:rFonts w:ascii="Arial" w:hAnsi="Arial" w:cs="Arial"/>
          <w:sz w:val="28"/>
          <w:szCs w:val="28"/>
        </w:rPr>
        <w:t xml:space="preserve"> </w:t>
      </w:r>
    </w:p>
    <w:p w:rsidR="004615A3" w:rsidRPr="00B33C3A" w:rsidRDefault="00370675" w:rsidP="009603B6">
      <w:pPr>
        <w:spacing w:line="480" w:lineRule="auto"/>
        <w:rPr>
          <w:rFonts w:ascii="Arial" w:hAnsi="Arial" w:cs="Arial"/>
          <w:sz w:val="28"/>
          <w:szCs w:val="28"/>
        </w:rPr>
      </w:pPr>
      <w:proofErr w:type="spellStart"/>
      <w:r>
        <w:rPr>
          <w:rFonts w:ascii="Arial" w:hAnsi="Arial" w:cs="Arial"/>
          <w:sz w:val="28"/>
          <w:szCs w:val="28"/>
        </w:rPr>
        <w:t>Mylonki</w:t>
      </w:r>
      <w:proofErr w:type="spellEnd"/>
      <w:r>
        <w:rPr>
          <w:rFonts w:ascii="Arial" w:hAnsi="Arial" w:cs="Arial"/>
          <w:sz w:val="28"/>
          <w:szCs w:val="28"/>
        </w:rPr>
        <w:t xml:space="preserve"> and Burton (2007) notes that an ordinary approach to the legislation always consists of with detention reviews as it is too </w:t>
      </w:r>
      <w:r>
        <w:rPr>
          <w:rFonts w:ascii="Arial" w:hAnsi="Arial" w:cs="Arial"/>
          <w:sz w:val="28"/>
          <w:szCs w:val="28"/>
        </w:rPr>
        <w:lastRenderedPageBreak/>
        <w:t>compliant with not being effective within the twenty four hour period, which they can hold on to a suspect in custody without an extension by the superintendent but also when an early extension is granted it is usually because there is no need for strong evidence to have an extension</w:t>
      </w:r>
      <w:r w:rsidR="00E82D6E">
        <w:rPr>
          <w:rFonts w:ascii="Arial" w:hAnsi="Arial" w:cs="Arial"/>
          <w:sz w:val="28"/>
          <w:szCs w:val="28"/>
        </w:rPr>
        <w:t xml:space="preserve"> therefore this can be seen as the legislation not protecting the police from causing miscarriages of justice.</w:t>
      </w:r>
      <w:r w:rsidR="00B33C3A">
        <w:rPr>
          <w:rFonts w:ascii="Arial" w:hAnsi="Arial" w:cs="Arial"/>
          <w:sz w:val="28"/>
          <w:szCs w:val="28"/>
        </w:rPr>
        <w:t xml:space="preserve"> </w:t>
      </w:r>
      <w:proofErr w:type="spellStart"/>
      <w:r w:rsidR="00B33C3A">
        <w:rPr>
          <w:rFonts w:ascii="Arial" w:hAnsi="Arial" w:cs="Arial"/>
          <w:sz w:val="28"/>
          <w:szCs w:val="28"/>
        </w:rPr>
        <w:t>Mylonki</w:t>
      </w:r>
      <w:proofErr w:type="spellEnd"/>
      <w:r w:rsidR="00B33C3A">
        <w:rPr>
          <w:rFonts w:ascii="Arial" w:hAnsi="Arial" w:cs="Arial"/>
          <w:sz w:val="28"/>
          <w:szCs w:val="28"/>
        </w:rPr>
        <w:t xml:space="preserve"> and Burton (2007) states that there is a lack of communication and cooperation between suspects and their lawyers and also the police to protect suspects rights and decisions already made by the police, but it suggests the abuse of powers by police under the Police and Criminal Evidence Act</w:t>
      </w:r>
      <w:r w:rsidR="006931C3">
        <w:rPr>
          <w:rFonts w:ascii="Arial" w:hAnsi="Arial" w:cs="Arial"/>
          <w:sz w:val="28"/>
          <w:szCs w:val="28"/>
        </w:rPr>
        <w:t xml:space="preserve"> as they do not need much communication with suspect and lawyers and also the lack of evidence for an extension in custody.</w:t>
      </w:r>
    </w:p>
    <w:p w:rsidR="00B35EF2" w:rsidRDefault="00E40376" w:rsidP="009603B6">
      <w:pPr>
        <w:spacing w:line="480" w:lineRule="auto"/>
        <w:rPr>
          <w:rFonts w:ascii="Arial" w:hAnsi="Arial" w:cs="Arial"/>
          <w:sz w:val="28"/>
          <w:szCs w:val="28"/>
        </w:rPr>
      </w:pPr>
      <w:r>
        <w:rPr>
          <w:rFonts w:ascii="Arial" w:hAnsi="Arial" w:cs="Arial"/>
          <w:sz w:val="28"/>
          <w:szCs w:val="28"/>
        </w:rPr>
        <w:t xml:space="preserve">According to </w:t>
      </w:r>
      <w:proofErr w:type="spellStart"/>
      <w:r>
        <w:rPr>
          <w:rFonts w:ascii="Arial" w:hAnsi="Arial" w:cs="Arial"/>
          <w:sz w:val="28"/>
          <w:szCs w:val="28"/>
        </w:rPr>
        <w:t>Mylonki</w:t>
      </w:r>
      <w:proofErr w:type="spellEnd"/>
      <w:r>
        <w:rPr>
          <w:rFonts w:ascii="Arial" w:hAnsi="Arial" w:cs="Arial"/>
          <w:sz w:val="28"/>
          <w:szCs w:val="28"/>
        </w:rPr>
        <w:t xml:space="preserve"> and Burton (2007), another issue that limits the Police and Criminal Evidence Act in preventing Miscarriages of Justice is the difference is the police authority in terms of police power with detention and </w:t>
      </w:r>
      <w:r w:rsidR="00DE04B3">
        <w:rPr>
          <w:rFonts w:ascii="Arial" w:hAnsi="Arial" w:cs="Arial"/>
          <w:sz w:val="28"/>
          <w:szCs w:val="28"/>
        </w:rPr>
        <w:t xml:space="preserve">detention with a charge pending. Under the piece of legislation it does not specify that the custody officer is obliged to consider the </w:t>
      </w:r>
      <w:r w:rsidR="00DA224D">
        <w:rPr>
          <w:rFonts w:ascii="Arial" w:hAnsi="Arial" w:cs="Arial"/>
          <w:sz w:val="28"/>
          <w:szCs w:val="28"/>
        </w:rPr>
        <w:t>lawfulness</w:t>
      </w:r>
      <w:r w:rsidR="00DE04B3">
        <w:rPr>
          <w:rFonts w:ascii="Arial" w:hAnsi="Arial" w:cs="Arial"/>
          <w:sz w:val="28"/>
          <w:szCs w:val="28"/>
        </w:rPr>
        <w:t xml:space="preserve"> of the detention.</w:t>
      </w:r>
      <w:r w:rsidR="00DA224D">
        <w:rPr>
          <w:rFonts w:ascii="Arial" w:hAnsi="Arial" w:cs="Arial"/>
          <w:sz w:val="28"/>
          <w:szCs w:val="28"/>
        </w:rPr>
        <w:t xml:space="preserve"> However in considering the reliable evidence which is needed to start the mandatory system of the Police and </w:t>
      </w:r>
      <w:r w:rsidR="009815BF">
        <w:rPr>
          <w:rFonts w:ascii="Arial" w:hAnsi="Arial" w:cs="Arial"/>
          <w:sz w:val="28"/>
          <w:szCs w:val="28"/>
        </w:rPr>
        <w:t>Criminal</w:t>
      </w:r>
      <w:r w:rsidR="00DA224D">
        <w:rPr>
          <w:rFonts w:ascii="Arial" w:hAnsi="Arial" w:cs="Arial"/>
          <w:sz w:val="28"/>
          <w:szCs w:val="28"/>
        </w:rPr>
        <w:t xml:space="preserve"> Evidence act it sets out </w:t>
      </w:r>
      <w:r w:rsidR="009815BF">
        <w:rPr>
          <w:rFonts w:ascii="Arial" w:hAnsi="Arial" w:cs="Arial"/>
          <w:sz w:val="28"/>
          <w:szCs w:val="28"/>
        </w:rPr>
        <w:t>rules that contradict</w:t>
      </w:r>
      <w:r w:rsidR="00DA224D">
        <w:rPr>
          <w:rFonts w:ascii="Arial" w:hAnsi="Arial" w:cs="Arial"/>
          <w:sz w:val="28"/>
          <w:szCs w:val="28"/>
        </w:rPr>
        <w:t xml:space="preserve"> itself and leaves the matter of evidence of detention unresolved which is an </w:t>
      </w:r>
      <w:r w:rsidR="00DA224D">
        <w:rPr>
          <w:rFonts w:ascii="Arial" w:hAnsi="Arial" w:cs="Arial"/>
          <w:sz w:val="28"/>
          <w:szCs w:val="28"/>
        </w:rPr>
        <w:lastRenderedPageBreak/>
        <w:t>obvious error in leadin</w:t>
      </w:r>
      <w:r w:rsidR="009815BF">
        <w:rPr>
          <w:rFonts w:ascii="Arial" w:hAnsi="Arial" w:cs="Arial"/>
          <w:sz w:val="28"/>
          <w:szCs w:val="28"/>
        </w:rPr>
        <w:t>g</w:t>
      </w:r>
      <w:r w:rsidR="00DA224D">
        <w:rPr>
          <w:rFonts w:ascii="Arial" w:hAnsi="Arial" w:cs="Arial"/>
          <w:sz w:val="28"/>
          <w:szCs w:val="28"/>
        </w:rPr>
        <w:t xml:space="preserve"> to a </w:t>
      </w:r>
      <w:r w:rsidR="009815BF">
        <w:rPr>
          <w:rFonts w:ascii="Arial" w:hAnsi="Arial" w:cs="Arial"/>
          <w:sz w:val="28"/>
          <w:szCs w:val="28"/>
        </w:rPr>
        <w:t>miscarriage</w:t>
      </w:r>
      <w:r w:rsidR="00DA224D">
        <w:rPr>
          <w:rFonts w:ascii="Arial" w:hAnsi="Arial" w:cs="Arial"/>
          <w:sz w:val="28"/>
          <w:szCs w:val="28"/>
        </w:rPr>
        <w:t xml:space="preserve"> of justice.</w:t>
      </w:r>
      <w:r w:rsidR="009815BF" w:rsidRPr="009815BF">
        <w:rPr>
          <w:rFonts w:ascii="Arial" w:hAnsi="Arial" w:cs="Arial"/>
          <w:sz w:val="28"/>
          <w:szCs w:val="28"/>
        </w:rPr>
        <w:t xml:space="preserve"> </w:t>
      </w:r>
      <w:proofErr w:type="spellStart"/>
      <w:r w:rsidR="009815BF">
        <w:rPr>
          <w:rFonts w:ascii="Arial" w:hAnsi="Arial" w:cs="Arial"/>
          <w:sz w:val="28"/>
          <w:szCs w:val="28"/>
        </w:rPr>
        <w:t>Mylonki</w:t>
      </w:r>
      <w:proofErr w:type="spellEnd"/>
      <w:r w:rsidR="009815BF">
        <w:rPr>
          <w:rFonts w:ascii="Arial" w:hAnsi="Arial" w:cs="Arial"/>
          <w:sz w:val="28"/>
          <w:szCs w:val="28"/>
        </w:rPr>
        <w:t xml:space="preserve"> and Burton (2007) suggests that as the problem is unresolved it still asks the question about the amount of </w:t>
      </w:r>
      <w:r w:rsidR="00A00F1D">
        <w:rPr>
          <w:rFonts w:ascii="Arial" w:hAnsi="Arial" w:cs="Arial"/>
          <w:sz w:val="28"/>
          <w:szCs w:val="28"/>
        </w:rPr>
        <w:t>reliable</w:t>
      </w:r>
      <w:r w:rsidR="009815BF">
        <w:rPr>
          <w:rFonts w:ascii="Arial" w:hAnsi="Arial" w:cs="Arial"/>
          <w:sz w:val="28"/>
          <w:szCs w:val="28"/>
        </w:rPr>
        <w:t xml:space="preserve"> evidence is needed to </w:t>
      </w:r>
      <w:r w:rsidR="00A00F1D">
        <w:rPr>
          <w:rFonts w:ascii="Arial" w:hAnsi="Arial" w:cs="Arial"/>
          <w:sz w:val="28"/>
          <w:szCs w:val="28"/>
        </w:rPr>
        <w:t>charge especially</w:t>
      </w:r>
      <w:r w:rsidR="009815BF">
        <w:rPr>
          <w:rFonts w:ascii="Arial" w:hAnsi="Arial" w:cs="Arial"/>
          <w:sz w:val="28"/>
          <w:szCs w:val="28"/>
        </w:rPr>
        <w:t xml:space="preserve"> when the mandatory system is triggered</w:t>
      </w:r>
      <w:r w:rsidR="00A00F1D">
        <w:rPr>
          <w:rFonts w:ascii="Arial" w:hAnsi="Arial" w:cs="Arial"/>
          <w:sz w:val="28"/>
          <w:szCs w:val="28"/>
        </w:rPr>
        <w:t>, and therefore it is unclear if the Police should be obliged to f</w:t>
      </w:r>
      <w:r w:rsidR="006C2415">
        <w:rPr>
          <w:rFonts w:ascii="Arial" w:hAnsi="Arial" w:cs="Arial"/>
          <w:sz w:val="28"/>
          <w:szCs w:val="28"/>
        </w:rPr>
        <w:t>ollow s.37 of when the decision</w:t>
      </w:r>
      <w:r w:rsidR="00A00F1D">
        <w:rPr>
          <w:rFonts w:ascii="Arial" w:hAnsi="Arial" w:cs="Arial"/>
          <w:sz w:val="28"/>
          <w:szCs w:val="28"/>
        </w:rPr>
        <w:t xml:space="preserve"> of the </w:t>
      </w:r>
      <w:r w:rsidR="006C2415">
        <w:rPr>
          <w:rFonts w:ascii="Arial" w:hAnsi="Arial" w:cs="Arial"/>
          <w:sz w:val="28"/>
          <w:szCs w:val="28"/>
        </w:rPr>
        <w:t>charge</w:t>
      </w:r>
      <w:r w:rsidR="00A00F1D">
        <w:rPr>
          <w:rFonts w:ascii="Arial" w:hAnsi="Arial" w:cs="Arial"/>
          <w:sz w:val="28"/>
          <w:szCs w:val="28"/>
        </w:rPr>
        <w:t xml:space="preserve"> has been made or if there is need for further detention and whether that extension is gifted without review.</w:t>
      </w:r>
      <w:r w:rsidR="00B35EF2">
        <w:rPr>
          <w:rFonts w:ascii="Arial" w:hAnsi="Arial" w:cs="Arial"/>
          <w:sz w:val="28"/>
          <w:szCs w:val="28"/>
        </w:rPr>
        <w:t xml:space="preserve"> </w:t>
      </w:r>
    </w:p>
    <w:p w:rsidR="009815BF" w:rsidRDefault="00B35EF2" w:rsidP="009603B6">
      <w:pPr>
        <w:spacing w:line="480" w:lineRule="auto"/>
        <w:rPr>
          <w:rFonts w:ascii="Arial" w:hAnsi="Arial" w:cs="Arial"/>
          <w:sz w:val="28"/>
          <w:szCs w:val="28"/>
        </w:rPr>
      </w:pPr>
      <w:proofErr w:type="spellStart"/>
      <w:r>
        <w:rPr>
          <w:rFonts w:ascii="Arial" w:hAnsi="Arial" w:cs="Arial"/>
          <w:sz w:val="28"/>
          <w:szCs w:val="28"/>
        </w:rPr>
        <w:t>Mylonki</w:t>
      </w:r>
      <w:proofErr w:type="spellEnd"/>
      <w:r>
        <w:rPr>
          <w:rFonts w:ascii="Arial" w:hAnsi="Arial" w:cs="Arial"/>
          <w:sz w:val="28"/>
          <w:szCs w:val="28"/>
        </w:rPr>
        <w:t xml:space="preserve"> and Burton (2007) acknowledges a possible reform of this part to the codes of practice of the Police and Criminal Evidence act 1984 is that the custody officer should be obliged to review each detention and the reason why the detention has happened in occurrence with the investigation that is ongoing. The detention should be reviewed as soon as the detention limit has been reached and from that point a review should happen daily on the custody officer to ensure the monitoring </w:t>
      </w:r>
      <w:r w:rsidR="00E42154">
        <w:rPr>
          <w:rFonts w:ascii="Arial" w:hAnsi="Arial" w:cs="Arial"/>
          <w:sz w:val="28"/>
          <w:szCs w:val="28"/>
        </w:rPr>
        <w:t xml:space="preserve">and review is consistent, as there is no control over treatment some </w:t>
      </w:r>
      <w:r w:rsidR="001E44AE">
        <w:rPr>
          <w:rFonts w:ascii="Arial" w:hAnsi="Arial" w:cs="Arial"/>
          <w:sz w:val="28"/>
          <w:szCs w:val="28"/>
        </w:rPr>
        <w:t>detainees</w:t>
      </w:r>
      <w:r w:rsidR="00E42154">
        <w:rPr>
          <w:rFonts w:ascii="Arial" w:hAnsi="Arial" w:cs="Arial"/>
          <w:sz w:val="28"/>
          <w:szCs w:val="28"/>
        </w:rPr>
        <w:t xml:space="preserve"> receive compared to others even though that the Police and Criminal Act is </w:t>
      </w:r>
      <w:r w:rsidR="001E44AE">
        <w:rPr>
          <w:rFonts w:ascii="Arial" w:hAnsi="Arial" w:cs="Arial"/>
          <w:sz w:val="28"/>
          <w:szCs w:val="28"/>
        </w:rPr>
        <w:t>supposed</w:t>
      </w:r>
      <w:r w:rsidR="00E42154">
        <w:rPr>
          <w:rFonts w:ascii="Arial" w:hAnsi="Arial" w:cs="Arial"/>
          <w:sz w:val="28"/>
          <w:szCs w:val="28"/>
        </w:rPr>
        <w:t xml:space="preserve"> to prevent miscarriages of justice.</w:t>
      </w:r>
    </w:p>
    <w:p w:rsidR="00FE3F1D" w:rsidRDefault="00FE3F1D" w:rsidP="009603B6">
      <w:pPr>
        <w:spacing w:line="480" w:lineRule="auto"/>
        <w:rPr>
          <w:rFonts w:ascii="Arial" w:hAnsi="Arial" w:cs="Arial"/>
          <w:sz w:val="28"/>
          <w:szCs w:val="28"/>
        </w:rPr>
      </w:pPr>
      <w:r>
        <w:rPr>
          <w:rFonts w:ascii="Arial" w:hAnsi="Arial" w:cs="Arial"/>
          <w:sz w:val="28"/>
          <w:szCs w:val="28"/>
        </w:rPr>
        <w:t xml:space="preserve">According to </w:t>
      </w:r>
      <w:proofErr w:type="spellStart"/>
      <w:r>
        <w:rPr>
          <w:rFonts w:ascii="Arial" w:hAnsi="Arial" w:cs="Arial"/>
          <w:sz w:val="28"/>
          <w:szCs w:val="28"/>
        </w:rPr>
        <w:t>Parpworth</w:t>
      </w:r>
      <w:proofErr w:type="spellEnd"/>
      <w:r>
        <w:rPr>
          <w:rFonts w:ascii="Arial" w:hAnsi="Arial" w:cs="Arial"/>
          <w:sz w:val="28"/>
          <w:szCs w:val="28"/>
        </w:rPr>
        <w:t xml:space="preserve"> (2014), the powers that the police force have in terms of stop and search gather a lot of attention as they are seen as potentially causing a poor relationship between the police force and local communities, this is certainly the case with serious public disorder that </w:t>
      </w:r>
      <w:r>
        <w:rPr>
          <w:rFonts w:ascii="Arial" w:hAnsi="Arial" w:cs="Arial"/>
          <w:sz w:val="28"/>
          <w:szCs w:val="28"/>
        </w:rPr>
        <w:lastRenderedPageBreak/>
        <w:t xml:space="preserve">lead to such riots as the Brixton riots in 1981. </w:t>
      </w:r>
      <w:r w:rsidR="00671798">
        <w:rPr>
          <w:rFonts w:ascii="Arial" w:hAnsi="Arial" w:cs="Arial"/>
          <w:sz w:val="28"/>
          <w:szCs w:val="28"/>
        </w:rPr>
        <w:t xml:space="preserve"> According to Ellis (2010), the powers of stop and search </w:t>
      </w:r>
      <w:r w:rsidR="00FC64C2">
        <w:rPr>
          <w:rFonts w:ascii="Arial" w:hAnsi="Arial" w:cs="Arial"/>
          <w:sz w:val="28"/>
          <w:szCs w:val="28"/>
        </w:rPr>
        <w:t>have caused</w:t>
      </w:r>
      <w:r w:rsidR="00671798">
        <w:rPr>
          <w:rFonts w:ascii="Arial" w:hAnsi="Arial" w:cs="Arial"/>
          <w:sz w:val="28"/>
          <w:szCs w:val="28"/>
        </w:rPr>
        <w:t xml:space="preserve"> problems as many cases have been linked to racism as data shows many more black men are stop and</w:t>
      </w:r>
      <w:r w:rsidR="00FC64C2">
        <w:rPr>
          <w:rFonts w:ascii="Arial" w:hAnsi="Arial" w:cs="Arial"/>
          <w:sz w:val="28"/>
          <w:szCs w:val="28"/>
        </w:rPr>
        <w:t xml:space="preserve"> searched compared to white men, even though under the legislation is it states that police officers must have reasonable suspicion to carry out a stop and search.</w:t>
      </w:r>
      <w:r w:rsidR="00CE37EE">
        <w:rPr>
          <w:rFonts w:ascii="Arial" w:hAnsi="Arial" w:cs="Arial"/>
          <w:sz w:val="28"/>
          <w:szCs w:val="28"/>
        </w:rPr>
        <w:t xml:space="preserve"> Therefore there must be a clear definition in what is reasonable </w:t>
      </w:r>
      <w:r w:rsidR="0088437E">
        <w:rPr>
          <w:rFonts w:ascii="Arial" w:hAnsi="Arial" w:cs="Arial"/>
          <w:sz w:val="28"/>
          <w:szCs w:val="28"/>
        </w:rPr>
        <w:t>suspicion</w:t>
      </w:r>
      <w:r w:rsidR="00CE37EE">
        <w:rPr>
          <w:rFonts w:ascii="Arial" w:hAnsi="Arial" w:cs="Arial"/>
          <w:sz w:val="28"/>
          <w:szCs w:val="28"/>
        </w:rPr>
        <w:t xml:space="preserve"> to use the powers and this would prevent miscarriages of justice.</w:t>
      </w:r>
    </w:p>
    <w:p w:rsidR="0088437E" w:rsidRDefault="0088437E" w:rsidP="009603B6">
      <w:pPr>
        <w:spacing w:line="480" w:lineRule="auto"/>
        <w:rPr>
          <w:rFonts w:ascii="Arial" w:hAnsi="Arial" w:cs="Arial"/>
          <w:sz w:val="28"/>
          <w:szCs w:val="28"/>
        </w:rPr>
      </w:pPr>
      <w:r>
        <w:rPr>
          <w:rFonts w:ascii="Arial" w:hAnsi="Arial" w:cs="Arial"/>
          <w:sz w:val="28"/>
          <w:szCs w:val="28"/>
        </w:rPr>
        <w:t>E</w:t>
      </w:r>
      <w:r w:rsidR="00600EE8">
        <w:rPr>
          <w:rFonts w:ascii="Arial" w:hAnsi="Arial" w:cs="Arial"/>
          <w:sz w:val="28"/>
          <w:szCs w:val="28"/>
        </w:rPr>
        <w:t>l</w:t>
      </w:r>
      <w:r>
        <w:rPr>
          <w:rFonts w:ascii="Arial" w:hAnsi="Arial" w:cs="Arial"/>
          <w:sz w:val="28"/>
          <w:szCs w:val="28"/>
        </w:rPr>
        <w:t xml:space="preserve">lis (2010) accepts that the Police and Criminal Evidence Act under section 1 was heavily judged due to many problems such as following and regulating the common practises of police officers, also due to the rules and obligations of working formally at a street level and the huge lack of clarity what reasonable suspicion should be considered as. Ellis (2010) notes that </w:t>
      </w:r>
      <w:r w:rsidR="00FD5B68">
        <w:rPr>
          <w:rFonts w:ascii="Arial" w:hAnsi="Arial" w:cs="Arial"/>
          <w:sz w:val="28"/>
          <w:szCs w:val="28"/>
        </w:rPr>
        <w:t xml:space="preserve">in 1999 after the Stephen Lawrence inquiry that the metropolitan police were still racist due to </w:t>
      </w:r>
      <w:r w:rsidR="003149EA">
        <w:rPr>
          <w:rFonts w:ascii="Arial" w:hAnsi="Arial" w:cs="Arial"/>
          <w:sz w:val="28"/>
          <w:szCs w:val="28"/>
        </w:rPr>
        <w:t>their</w:t>
      </w:r>
      <w:r w:rsidR="00FD5B68">
        <w:rPr>
          <w:rFonts w:ascii="Arial" w:hAnsi="Arial" w:cs="Arial"/>
          <w:sz w:val="28"/>
          <w:szCs w:val="28"/>
        </w:rPr>
        <w:t xml:space="preserve"> </w:t>
      </w:r>
      <w:r w:rsidR="003149EA">
        <w:rPr>
          <w:rFonts w:ascii="Arial" w:hAnsi="Arial" w:cs="Arial"/>
          <w:sz w:val="28"/>
          <w:szCs w:val="28"/>
        </w:rPr>
        <w:t>ongoing</w:t>
      </w:r>
      <w:r w:rsidR="00FD5B68">
        <w:rPr>
          <w:rFonts w:ascii="Arial" w:hAnsi="Arial" w:cs="Arial"/>
          <w:sz w:val="28"/>
          <w:szCs w:val="28"/>
        </w:rPr>
        <w:t xml:space="preserve"> growing stop and search </w:t>
      </w:r>
      <w:r w:rsidR="003149EA">
        <w:rPr>
          <w:rFonts w:ascii="Arial" w:hAnsi="Arial" w:cs="Arial"/>
          <w:sz w:val="28"/>
          <w:szCs w:val="28"/>
        </w:rPr>
        <w:t>statistics</w:t>
      </w:r>
      <w:r w:rsidR="00FD5B68">
        <w:rPr>
          <w:rFonts w:ascii="Arial" w:hAnsi="Arial" w:cs="Arial"/>
          <w:sz w:val="28"/>
          <w:szCs w:val="28"/>
        </w:rPr>
        <w:t xml:space="preserve"> which shown the population of minority groups getting searched compared to white groups.</w:t>
      </w:r>
      <w:r w:rsidR="003149EA">
        <w:rPr>
          <w:rFonts w:ascii="Arial" w:hAnsi="Arial" w:cs="Arial"/>
          <w:sz w:val="28"/>
          <w:szCs w:val="28"/>
        </w:rPr>
        <w:t xml:space="preserve"> This again caused huge controversy but the response was that the police officers own judgement is the ground for reasonable suspicion but that limits prevention of miscarriages of justice as it gives police officers the responsibility and power of stopping and searching </w:t>
      </w:r>
      <w:r w:rsidR="003C249F">
        <w:rPr>
          <w:rFonts w:ascii="Arial" w:hAnsi="Arial" w:cs="Arial"/>
          <w:sz w:val="28"/>
          <w:szCs w:val="28"/>
        </w:rPr>
        <w:t>w</w:t>
      </w:r>
      <w:r w:rsidR="003149EA">
        <w:rPr>
          <w:rFonts w:ascii="Arial" w:hAnsi="Arial" w:cs="Arial"/>
          <w:sz w:val="28"/>
          <w:szCs w:val="28"/>
        </w:rPr>
        <w:t>hich could lead to an abuse of power.</w:t>
      </w:r>
    </w:p>
    <w:p w:rsidR="00600EE8" w:rsidRDefault="00600EE8" w:rsidP="009603B6">
      <w:pPr>
        <w:spacing w:line="480" w:lineRule="auto"/>
        <w:rPr>
          <w:rFonts w:ascii="Arial" w:hAnsi="Arial" w:cs="Arial"/>
          <w:sz w:val="28"/>
          <w:szCs w:val="28"/>
        </w:rPr>
      </w:pPr>
      <w:r>
        <w:rPr>
          <w:rFonts w:ascii="Arial" w:hAnsi="Arial" w:cs="Arial"/>
          <w:sz w:val="28"/>
          <w:szCs w:val="28"/>
        </w:rPr>
        <w:lastRenderedPageBreak/>
        <w:t>Ellis (2010) argues strongly that the legal definition of reasonable suspicion should be better clarified to then decide if whether the practices used by officers today are acceptable due to their authority and power t</w:t>
      </w:r>
      <w:r w:rsidR="00E53C84">
        <w:rPr>
          <w:rFonts w:ascii="Arial" w:hAnsi="Arial" w:cs="Arial"/>
          <w:sz w:val="28"/>
          <w:szCs w:val="28"/>
        </w:rPr>
        <w:t>h</w:t>
      </w:r>
      <w:r>
        <w:rPr>
          <w:rFonts w:ascii="Arial" w:hAnsi="Arial" w:cs="Arial"/>
          <w:sz w:val="28"/>
          <w:szCs w:val="28"/>
        </w:rPr>
        <w:t xml:space="preserve">ey hold. </w:t>
      </w:r>
      <w:r w:rsidR="00E53C84">
        <w:rPr>
          <w:rFonts w:ascii="Arial" w:hAnsi="Arial" w:cs="Arial"/>
          <w:sz w:val="28"/>
          <w:szCs w:val="28"/>
        </w:rPr>
        <w:t xml:space="preserve">The Police and Criminal Evidence Act clearly states that stereotypes should not be considered when conducting stop and search powers but there is clear </w:t>
      </w:r>
      <w:r w:rsidR="00896654">
        <w:rPr>
          <w:rFonts w:ascii="Arial" w:hAnsi="Arial" w:cs="Arial"/>
          <w:sz w:val="28"/>
          <w:szCs w:val="28"/>
        </w:rPr>
        <w:t>evidence</w:t>
      </w:r>
      <w:r w:rsidR="00E53C84">
        <w:rPr>
          <w:rFonts w:ascii="Arial" w:hAnsi="Arial" w:cs="Arial"/>
          <w:sz w:val="28"/>
          <w:szCs w:val="28"/>
        </w:rPr>
        <w:t xml:space="preserve"> that a general concept </w:t>
      </w:r>
      <w:r w:rsidR="00B165A3">
        <w:rPr>
          <w:rFonts w:ascii="Arial" w:hAnsi="Arial" w:cs="Arial"/>
          <w:sz w:val="28"/>
          <w:szCs w:val="28"/>
        </w:rPr>
        <w:t>for suspicion is used by police officers in their work.</w:t>
      </w:r>
      <w:r w:rsidR="00A53E81">
        <w:rPr>
          <w:rFonts w:ascii="Arial" w:hAnsi="Arial" w:cs="Arial"/>
          <w:sz w:val="28"/>
          <w:szCs w:val="28"/>
        </w:rPr>
        <w:t xml:space="preserve"> Ellis (2010) also acknowledges that as a result to clear </w:t>
      </w:r>
      <w:r w:rsidR="00896654">
        <w:rPr>
          <w:rFonts w:ascii="Arial" w:hAnsi="Arial" w:cs="Arial"/>
          <w:sz w:val="28"/>
          <w:szCs w:val="28"/>
        </w:rPr>
        <w:t>generalisation</w:t>
      </w:r>
      <w:r w:rsidR="00A53E81">
        <w:rPr>
          <w:rFonts w:ascii="Arial" w:hAnsi="Arial" w:cs="Arial"/>
          <w:sz w:val="28"/>
          <w:szCs w:val="28"/>
        </w:rPr>
        <w:t xml:space="preserve"> used by police officer the piece of legislation must clearly note what extent </w:t>
      </w:r>
      <w:r w:rsidR="00896654">
        <w:rPr>
          <w:rFonts w:ascii="Arial" w:hAnsi="Arial" w:cs="Arial"/>
          <w:sz w:val="28"/>
          <w:szCs w:val="28"/>
        </w:rPr>
        <w:t>police officers can</w:t>
      </w:r>
      <w:r w:rsidR="00A53E81">
        <w:rPr>
          <w:rFonts w:ascii="Arial" w:hAnsi="Arial" w:cs="Arial"/>
          <w:sz w:val="28"/>
          <w:szCs w:val="28"/>
        </w:rPr>
        <w:t xml:space="preserve"> use a general concept of </w:t>
      </w:r>
      <w:r w:rsidR="00896654">
        <w:rPr>
          <w:rFonts w:ascii="Arial" w:hAnsi="Arial" w:cs="Arial"/>
          <w:sz w:val="28"/>
          <w:szCs w:val="28"/>
        </w:rPr>
        <w:t>individuals to establish a decision</w:t>
      </w:r>
      <w:r w:rsidR="00A53E81">
        <w:rPr>
          <w:rFonts w:ascii="Arial" w:hAnsi="Arial" w:cs="Arial"/>
          <w:sz w:val="28"/>
          <w:szCs w:val="28"/>
        </w:rPr>
        <w:t xml:space="preserve"> on whether or not to stop and search that </w:t>
      </w:r>
      <w:r w:rsidR="00896654">
        <w:rPr>
          <w:rFonts w:ascii="Arial" w:hAnsi="Arial" w:cs="Arial"/>
          <w:sz w:val="28"/>
          <w:szCs w:val="28"/>
        </w:rPr>
        <w:t>individual</w:t>
      </w:r>
      <w:r w:rsidR="00A53E81">
        <w:rPr>
          <w:rFonts w:ascii="Arial" w:hAnsi="Arial" w:cs="Arial"/>
          <w:sz w:val="28"/>
          <w:szCs w:val="28"/>
        </w:rPr>
        <w:t xml:space="preserve"> but also whether generalization can be used.</w:t>
      </w:r>
      <w:r w:rsidR="007A7BD7">
        <w:rPr>
          <w:rFonts w:ascii="Arial" w:hAnsi="Arial" w:cs="Arial"/>
          <w:sz w:val="28"/>
          <w:szCs w:val="28"/>
        </w:rPr>
        <w:t xml:space="preserve"> Ellis (2010) states that if a general concept is agreed for a reasonable ground of suspicion it is not to suggests that the legal side of policing is relaxed but that a further clarification of the codes of practise are important, and therefore there would also be a need for guidelines of generalisation and safeguards to ensure that police authority do not use the power unfairly </w:t>
      </w:r>
      <w:r w:rsidR="00DE3B2B">
        <w:rPr>
          <w:rFonts w:ascii="Arial" w:hAnsi="Arial" w:cs="Arial"/>
          <w:sz w:val="28"/>
          <w:szCs w:val="28"/>
        </w:rPr>
        <w:t>and cause further miscarriages of justice.</w:t>
      </w:r>
    </w:p>
    <w:p w:rsidR="00684354" w:rsidRDefault="00684354" w:rsidP="009603B6">
      <w:pPr>
        <w:spacing w:line="480" w:lineRule="auto"/>
        <w:rPr>
          <w:rFonts w:ascii="Arial" w:hAnsi="Arial" w:cs="Arial"/>
          <w:sz w:val="28"/>
          <w:szCs w:val="28"/>
        </w:rPr>
      </w:pPr>
      <w:r>
        <w:rPr>
          <w:rFonts w:ascii="Arial" w:hAnsi="Arial" w:cs="Arial"/>
          <w:sz w:val="28"/>
          <w:szCs w:val="28"/>
        </w:rPr>
        <w:t xml:space="preserve">According to Ellis (2010), the attention of stop and search powers </w:t>
      </w:r>
      <w:r w:rsidR="00AD7648">
        <w:rPr>
          <w:rFonts w:ascii="Arial" w:hAnsi="Arial" w:cs="Arial"/>
          <w:sz w:val="28"/>
          <w:szCs w:val="28"/>
        </w:rPr>
        <w:t xml:space="preserve">that </w:t>
      </w:r>
      <w:r>
        <w:rPr>
          <w:rFonts w:ascii="Arial" w:hAnsi="Arial" w:cs="Arial"/>
          <w:sz w:val="28"/>
          <w:szCs w:val="28"/>
        </w:rPr>
        <w:t xml:space="preserve">has brought </w:t>
      </w:r>
      <w:r w:rsidR="00AD7648">
        <w:rPr>
          <w:rFonts w:ascii="Arial" w:hAnsi="Arial" w:cs="Arial"/>
          <w:sz w:val="28"/>
          <w:szCs w:val="28"/>
        </w:rPr>
        <w:t xml:space="preserve">to the reasonable suspicion which is required to carry out a stop and search has shifted a huge focus of tackling racism to tackling </w:t>
      </w:r>
      <w:r w:rsidR="00AD7648">
        <w:rPr>
          <w:rFonts w:ascii="Arial" w:hAnsi="Arial" w:cs="Arial"/>
          <w:sz w:val="28"/>
          <w:szCs w:val="28"/>
        </w:rPr>
        <w:lastRenderedPageBreak/>
        <w:t>judgment. This may be impossible in terms of police work and practises as decision making processes cannot be erased from subjectivity and simple judgment is used commonly in the police force.</w:t>
      </w:r>
    </w:p>
    <w:p w:rsidR="00AB28A8" w:rsidRDefault="00AB28A8" w:rsidP="009603B6">
      <w:pPr>
        <w:spacing w:line="480" w:lineRule="auto"/>
        <w:rPr>
          <w:rFonts w:ascii="Arial" w:hAnsi="Arial" w:cs="Arial"/>
          <w:sz w:val="28"/>
          <w:szCs w:val="28"/>
        </w:rPr>
      </w:pPr>
      <w:r>
        <w:rPr>
          <w:rFonts w:ascii="Arial" w:hAnsi="Arial" w:cs="Arial"/>
          <w:sz w:val="28"/>
          <w:szCs w:val="28"/>
        </w:rPr>
        <w:t xml:space="preserve">Overall the Police and Criminal Evidence Act 1984 leads to many problems with police officers abusing the power due to the lack of clarification of the codes of practice within the piece of legislation. There is definitely the need for constant reform due to lack of clarification in a lot of the codes that are dependent on police observation to come to a decision instead of strict guidelines that should be clarified within the act, and therefore the act is limited to </w:t>
      </w:r>
      <w:r w:rsidR="00AD7648">
        <w:rPr>
          <w:rFonts w:ascii="Arial" w:hAnsi="Arial" w:cs="Arial"/>
          <w:sz w:val="28"/>
          <w:szCs w:val="28"/>
        </w:rPr>
        <w:t xml:space="preserve">prevent miscarriages of justice and this will be important in terms of the future of policing as the </w:t>
      </w:r>
      <w:r w:rsidR="00DD4D21">
        <w:rPr>
          <w:rFonts w:ascii="Arial" w:hAnsi="Arial" w:cs="Arial"/>
          <w:sz w:val="28"/>
          <w:szCs w:val="28"/>
        </w:rPr>
        <w:t>police</w:t>
      </w:r>
      <w:r w:rsidR="00AD7648">
        <w:rPr>
          <w:rFonts w:ascii="Arial" w:hAnsi="Arial" w:cs="Arial"/>
          <w:sz w:val="28"/>
          <w:szCs w:val="28"/>
        </w:rPr>
        <w:t xml:space="preserve"> need to continue to </w:t>
      </w:r>
      <w:r w:rsidR="00DD4D21">
        <w:rPr>
          <w:rFonts w:ascii="Arial" w:hAnsi="Arial" w:cs="Arial"/>
          <w:sz w:val="28"/>
          <w:szCs w:val="28"/>
        </w:rPr>
        <w:t>have</w:t>
      </w:r>
      <w:r w:rsidR="00AD7648">
        <w:rPr>
          <w:rFonts w:ascii="Arial" w:hAnsi="Arial" w:cs="Arial"/>
          <w:sz w:val="28"/>
          <w:szCs w:val="28"/>
        </w:rPr>
        <w:t xml:space="preserve"> relationship with communities and also for there to be trust between them </w:t>
      </w:r>
      <w:r w:rsidR="00DD4D21">
        <w:rPr>
          <w:rFonts w:ascii="Arial" w:hAnsi="Arial" w:cs="Arial"/>
          <w:sz w:val="28"/>
          <w:szCs w:val="28"/>
        </w:rPr>
        <w:t>both</w:t>
      </w:r>
      <w:r w:rsidR="00AD7648">
        <w:rPr>
          <w:rFonts w:ascii="Arial" w:hAnsi="Arial" w:cs="Arial"/>
          <w:sz w:val="28"/>
          <w:szCs w:val="28"/>
        </w:rPr>
        <w:t>.</w:t>
      </w:r>
    </w:p>
    <w:p w:rsidR="00600EE8" w:rsidRDefault="00600EE8" w:rsidP="009603B6">
      <w:pPr>
        <w:spacing w:line="480" w:lineRule="auto"/>
        <w:rPr>
          <w:rFonts w:ascii="Arial" w:hAnsi="Arial" w:cs="Arial"/>
          <w:sz w:val="28"/>
          <w:szCs w:val="28"/>
        </w:rPr>
      </w:pPr>
    </w:p>
    <w:p w:rsidR="00E40376" w:rsidRPr="00865DA2" w:rsidRDefault="00E40376" w:rsidP="009603B6">
      <w:pPr>
        <w:spacing w:line="480" w:lineRule="auto"/>
      </w:pPr>
    </w:p>
    <w:p w:rsidR="004615A3" w:rsidRDefault="004615A3" w:rsidP="009603B6">
      <w:pPr>
        <w:spacing w:line="480" w:lineRule="auto"/>
        <w:rPr>
          <w:rFonts w:ascii="Helvetica" w:hAnsi="Helvetica" w:cs="Helvetica"/>
          <w:color w:val="3A3A3A"/>
          <w:sz w:val="23"/>
          <w:szCs w:val="23"/>
          <w:shd w:val="clear" w:color="auto" w:fill="FFFFFF"/>
        </w:rPr>
      </w:pPr>
    </w:p>
    <w:p w:rsidR="004615A3" w:rsidRDefault="004615A3" w:rsidP="009603B6">
      <w:pPr>
        <w:spacing w:line="480" w:lineRule="auto"/>
        <w:rPr>
          <w:rFonts w:ascii="Helvetica" w:hAnsi="Helvetica" w:cs="Helvetica"/>
          <w:color w:val="3A3A3A"/>
          <w:sz w:val="23"/>
          <w:szCs w:val="23"/>
          <w:shd w:val="clear" w:color="auto" w:fill="FFFFFF"/>
        </w:rPr>
      </w:pPr>
    </w:p>
    <w:p w:rsidR="004615A3" w:rsidRDefault="004615A3" w:rsidP="009603B6">
      <w:pPr>
        <w:spacing w:line="480" w:lineRule="auto"/>
        <w:rPr>
          <w:rFonts w:ascii="Helvetica" w:hAnsi="Helvetica" w:cs="Helvetica"/>
          <w:color w:val="3A3A3A"/>
          <w:sz w:val="23"/>
          <w:szCs w:val="23"/>
          <w:shd w:val="clear" w:color="auto" w:fill="FFFFFF"/>
        </w:rPr>
      </w:pPr>
    </w:p>
    <w:p w:rsidR="004615A3" w:rsidRDefault="004615A3" w:rsidP="009603B6">
      <w:pPr>
        <w:spacing w:line="480" w:lineRule="auto"/>
        <w:rPr>
          <w:rFonts w:ascii="Helvetica" w:hAnsi="Helvetica" w:cs="Helvetica"/>
          <w:color w:val="3A3A3A"/>
          <w:sz w:val="23"/>
          <w:szCs w:val="23"/>
          <w:shd w:val="clear" w:color="auto" w:fill="FFFFFF"/>
        </w:rPr>
      </w:pPr>
    </w:p>
    <w:p w:rsidR="004615A3" w:rsidRDefault="004615A3" w:rsidP="009603B6">
      <w:pPr>
        <w:spacing w:line="480" w:lineRule="auto"/>
        <w:rPr>
          <w:rFonts w:ascii="Helvetica" w:hAnsi="Helvetica" w:cs="Helvetica"/>
          <w:color w:val="3A3A3A"/>
          <w:sz w:val="23"/>
          <w:szCs w:val="23"/>
          <w:shd w:val="clear" w:color="auto" w:fill="FFFFFF"/>
        </w:rPr>
      </w:pPr>
    </w:p>
    <w:p w:rsidR="004615A3" w:rsidRDefault="004615A3" w:rsidP="009603B6">
      <w:pPr>
        <w:spacing w:line="480" w:lineRule="auto"/>
        <w:rPr>
          <w:rFonts w:ascii="Helvetica" w:hAnsi="Helvetica" w:cs="Helvetica"/>
          <w:color w:val="3A3A3A"/>
          <w:sz w:val="23"/>
          <w:szCs w:val="23"/>
          <w:shd w:val="clear" w:color="auto" w:fill="FFFFFF"/>
        </w:rPr>
      </w:pPr>
    </w:p>
    <w:p w:rsidR="004615A3" w:rsidRDefault="004615A3" w:rsidP="009603B6">
      <w:pPr>
        <w:spacing w:line="480" w:lineRule="auto"/>
        <w:rPr>
          <w:rFonts w:ascii="Helvetica" w:hAnsi="Helvetica" w:cs="Helvetica"/>
          <w:color w:val="3A3A3A"/>
          <w:sz w:val="23"/>
          <w:szCs w:val="23"/>
          <w:shd w:val="clear" w:color="auto" w:fill="FFFFFF"/>
        </w:rPr>
      </w:pPr>
    </w:p>
    <w:p w:rsidR="004615A3" w:rsidRDefault="004615A3" w:rsidP="009603B6">
      <w:pPr>
        <w:spacing w:line="480" w:lineRule="auto"/>
        <w:rPr>
          <w:rFonts w:ascii="Helvetica" w:hAnsi="Helvetica" w:cs="Helvetica"/>
          <w:color w:val="3A3A3A"/>
          <w:sz w:val="23"/>
          <w:szCs w:val="23"/>
          <w:shd w:val="clear" w:color="auto" w:fill="FFFFFF"/>
        </w:rPr>
      </w:pPr>
    </w:p>
    <w:p w:rsidR="004615A3" w:rsidRDefault="004615A3" w:rsidP="009603B6">
      <w:pPr>
        <w:spacing w:line="480" w:lineRule="auto"/>
        <w:rPr>
          <w:rFonts w:ascii="Helvetica" w:hAnsi="Helvetica" w:cs="Helvetica"/>
          <w:color w:val="3A3A3A"/>
          <w:sz w:val="23"/>
          <w:szCs w:val="23"/>
          <w:shd w:val="clear" w:color="auto" w:fill="FFFFFF"/>
        </w:rPr>
      </w:pPr>
    </w:p>
    <w:p w:rsidR="004615A3" w:rsidRDefault="004615A3" w:rsidP="009603B6">
      <w:pPr>
        <w:spacing w:line="480" w:lineRule="auto"/>
        <w:rPr>
          <w:rFonts w:ascii="Helvetica" w:hAnsi="Helvetica" w:cs="Helvetica"/>
          <w:color w:val="3A3A3A"/>
          <w:sz w:val="23"/>
          <w:szCs w:val="23"/>
          <w:shd w:val="clear" w:color="auto" w:fill="FFFFFF"/>
        </w:rPr>
      </w:pPr>
    </w:p>
    <w:p w:rsidR="004615A3" w:rsidRDefault="004615A3" w:rsidP="009603B6">
      <w:pPr>
        <w:spacing w:line="480" w:lineRule="auto"/>
        <w:rPr>
          <w:rFonts w:ascii="Helvetica" w:hAnsi="Helvetica" w:cs="Helvetica"/>
          <w:color w:val="3A3A3A"/>
          <w:sz w:val="23"/>
          <w:szCs w:val="23"/>
          <w:shd w:val="clear" w:color="auto" w:fill="FFFFFF"/>
        </w:rPr>
      </w:pPr>
    </w:p>
    <w:p w:rsidR="004615A3" w:rsidRDefault="004615A3" w:rsidP="009603B6">
      <w:pPr>
        <w:spacing w:line="480" w:lineRule="auto"/>
        <w:rPr>
          <w:rFonts w:ascii="Helvetica" w:hAnsi="Helvetica" w:cs="Helvetica"/>
          <w:color w:val="3A3A3A"/>
          <w:sz w:val="23"/>
          <w:szCs w:val="23"/>
          <w:shd w:val="clear" w:color="auto" w:fill="FFFFFF"/>
        </w:rPr>
      </w:pPr>
    </w:p>
    <w:p w:rsidR="004615A3" w:rsidRDefault="004615A3" w:rsidP="009603B6">
      <w:pPr>
        <w:spacing w:line="480" w:lineRule="auto"/>
        <w:rPr>
          <w:rFonts w:ascii="Helvetica" w:hAnsi="Helvetica" w:cs="Helvetica"/>
          <w:color w:val="3A3A3A"/>
          <w:sz w:val="23"/>
          <w:szCs w:val="23"/>
          <w:shd w:val="clear" w:color="auto" w:fill="FFFFFF"/>
        </w:rPr>
      </w:pPr>
    </w:p>
    <w:p w:rsidR="004615A3" w:rsidRDefault="004615A3" w:rsidP="009603B6">
      <w:pPr>
        <w:spacing w:line="480" w:lineRule="auto"/>
        <w:rPr>
          <w:rFonts w:ascii="Helvetica" w:hAnsi="Helvetica" w:cs="Helvetica"/>
          <w:color w:val="3A3A3A"/>
          <w:sz w:val="23"/>
          <w:szCs w:val="23"/>
          <w:shd w:val="clear" w:color="auto" w:fill="FFFFFF"/>
        </w:rPr>
      </w:pPr>
    </w:p>
    <w:p w:rsidR="004615A3" w:rsidRDefault="004615A3" w:rsidP="009603B6">
      <w:pPr>
        <w:spacing w:line="480" w:lineRule="auto"/>
        <w:rPr>
          <w:rFonts w:ascii="Helvetica" w:hAnsi="Helvetica" w:cs="Helvetica"/>
          <w:color w:val="3A3A3A"/>
          <w:sz w:val="23"/>
          <w:szCs w:val="23"/>
          <w:shd w:val="clear" w:color="auto" w:fill="FFFFFF"/>
        </w:rPr>
      </w:pPr>
    </w:p>
    <w:p w:rsidR="004615A3" w:rsidRDefault="004615A3" w:rsidP="009603B6">
      <w:pPr>
        <w:spacing w:line="480" w:lineRule="auto"/>
        <w:rPr>
          <w:rFonts w:ascii="Helvetica" w:hAnsi="Helvetica" w:cs="Helvetica"/>
          <w:color w:val="3A3A3A"/>
          <w:sz w:val="23"/>
          <w:szCs w:val="23"/>
          <w:shd w:val="clear" w:color="auto" w:fill="FFFFFF"/>
        </w:rPr>
      </w:pPr>
    </w:p>
    <w:p w:rsidR="004615A3" w:rsidRDefault="004615A3" w:rsidP="009603B6">
      <w:pPr>
        <w:spacing w:line="480" w:lineRule="auto"/>
        <w:rPr>
          <w:rFonts w:ascii="Helvetica" w:hAnsi="Helvetica" w:cs="Helvetica"/>
          <w:color w:val="3A3A3A"/>
          <w:sz w:val="23"/>
          <w:szCs w:val="23"/>
          <w:shd w:val="clear" w:color="auto" w:fill="FFFFFF"/>
        </w:rPr>
      </w:pPr>
    </w:p>
    <w:p w:rsidR="004615A3" w:rsidRDefault="004615A3" w:rsidP="009603B6">
      <w:pPr>
        <w:spacing w:line="480" w:lineRule="auto"/>
        <w:rPr>
          <w:rFonts w:ascii="Helvetica" w:hAnsi="Helvetica" w:cs="Helvetica"/>
          <w:color w:val="3A3A3A"/>
          <w:sz w:val="23"/>
          <w:szCs w:val="23"/>
          <w:shd w:val="clear" w:color="auto" w:fill="FFFFFF"/>
        </w:rPr>
      </w:pPr>
    </w:p>
    <w:p w:rsidR="004615A3" w:rsidRDefault="004615A3" w:rsidP="009603B6">
      <w:pPr>
        <w:spacing w:line="480" w:lineRule="auto"/>
        <w:rPr>
          <w:rFonts w:ascii="Helvetica" w:hAnsi="Helvetica" w:cs="Helvetica"/>
          <w:color w:val="3A3A3A"/>
          <w:sz w:val="23"/>
          <w:szCs w:val="23"/>
          <w:shd w:val="clear" w:color="auto" w:fill="FFFFFF"/>
        </w:rPr>
      </w:pPr>
    </w:p>
    <w:p w:rsidR="004615A3" w:rsidRDefault="004615A3" w:rsidP="009603B6">
      <w:pPr>
        <w:spacing w:line="480" w:lineRule="auto"/>
        <w:rPr>
          <w:rFonts w:ascii="Helvetica" w:hAnsi="Helvetica" w:cs="Helvetica"/>
          <w:color w:val="3A3A3A"/>
          <w:sz w:val="23"/>
          <w:szCs w:val="23"/>
          <w:shd w:val="clear" w:color="auto" w:fill="FFFFFF"/>
        </w:rPr>
      </w:pPr>
    </w:p>
    <w:p w:rsidR="004615A3" w:rsidRDefault="004615A3" w:rsidP="009603B6">
      <w:pPr>
        <w:spacing w:line="480" w:lineRule="auto"/>
        <w:rPr>
          <w:rFonts w:ascii="Helvetica" w:hAnsi="Helvetica" w:cs="Helvetica"/>
          <w:color w:val="3A3A3A"/>
          <w:sz w:val="23"/>
          <w:szCs w:val="23"/>
          <w:shd w:val="clear" w:color="auto" w:fill="FFFFFF"/>
        </w:rPr>
      </w:pPr>
    </w:p>
    <w:p w:rsidR="00B33C3A" w:rsidRDefault="00B33C3A" w:rsidP="009603B6">
      <w:pPr>
        <w:spacing w:line="480" w:lineRule="auto"/>
        <w:rPr>
          <w:rFonts w:ascii="Helvetica" w:hAnsi="Helvetica" w:cs="Helvetica"/>
          <w:color w:val="3A3A3A"/>
          <w:sz w:val="23"/>
          <w:szCs w:val="23"/>
          <w:shd w:val="clear" w:color="auto" w:fill="FFFFFF"/>
        </w:rPr>
      </w:pPr>
    </w:p>
    <w:p w:rsidR="00B33C3A" w:rsidRDefault="00B33C3A" w:rsidP="009603B6">
      <w:pPr>
        <w:spacing w:line="480" w:lineRule="auto"/>
        <w:rPr>
          <w:rFonts w:ascii="Helvetica" w:hAnsi="Helvetica" w:cs="Helvetica"/>
          <w:color w:val="3A3A3A"/>
          <w:sz w:val="23"/>
          <w:szCs w:val="23"/>
          <w:shd w:val="clear" w:color="auto" w:fill="FFFFFF"/>
        </w:rPr>
      </w:pPr>
    </w:p>
    <w:p w:rsidR="00B33C3A" w:rsidRDefault="00B33C3A" w:rsidP="009603B6">
      <w:pPr>
        <w:spacing w:line="480" w:lineRule="auto"/>
        <w:rPr>
          <w:rFonts w:ascii="Helvetica" w:hAnsi="Helvetica" w:cs="Helvetica"/>
          <w:color w:val="3A3A3A"/>
          <w:sz w:val="23"/>
          <w:szCs w:val="23"/>
          <w:shd w:val="clear" w:color="auto" w:fill="FFFFFF"/>
        </w:rPr>
      </w:pPr>
    </w:p>
    <w:p w:rsidR="00B33C3A" w:rsidRPr="009603B6" w:rsidRDefault="009603B6" w:rsidP="008C0362">
      <w:pPr>
        <w:rPr>
          <w:rFonts w:ascii="Arial" w:hAnsi="Arial" w:cs="Arial"/>
          <w:color w:val="3A3A3A"/>
          <w:sz w:val="32"/>
          <w:szCs w:val="32"/>
          <w:u w:val="single"/>
          <w:shd w:val="clear" w:color="auto" w:fill="FFFFFF"/>
        </w:rPr>
      </w:pPr>
      <w:r w:rsidRPr="009603B6">
        <w:rPr>
          <w:rFonts w:ascii="Arial" w:hAnsi="Arial" w:cs="Arial"/>
          <w:color w:val="3A3A3A"/>
          <w:sz w:val="32"/>
          <w:szCs w:val="32"/>
          <w:u w:val="single"/>
          <w:shd w:val="clear" w:color="auto" w:fill="FFFFFF"/>
        </w:rPr>
        <w:lastRenderedPageBreak/>
        <w:t xml:space="preserve">Bibliography </w:t>
      </w:r>
    </w:p>
    <w:p w:rsidR="009603B6" w:rsidRPr="009603B6" w:rsidRDefault="009603B6" w:rsidP="009603B6">
      <w:pPr>
        <w:rPr>
          <w:rFonts w:ascii="Arial" w:hAnsi="Arial" w:cs="Arial"/>
          <w:color w:val="000000" w:themeColor="text1"/>
          <w:sz w:val="28"/>
          <w:szCs w:val="28"/>
        </w:rPr>
      </w:pPr>
      <w:r w:rsidRPr="009603B6">
        <w:rPr>
          <w:rFonts w:ascii="Arial" w:hAnsi="Arial" w:cs="Arial"/>
          <w:color w:val="000000" w:themeColor="text1"/>
          <w:sz w:val="28"/>
          <w:szCs w:val="28"/>
        </w:rPr>
        <w:t xml:space="preserve">Brooke, D.A., 1999. Confessions, illegally/improperly obtained evidence and entrapment under the Police and Criminal Evidence Act </w:t>
      </w:r>
      <w:proofErr w:type="gramStart"/>
      <w:r w:rsidRPr="009603B6">
        <w:rPr>
          <w:rFonts w:ascii="Arial" w:hAnsi="Arial" w:cs="Arial"/>
          <w:color w:val="000000" w:themeColor="text1"/>
          <w:sz w:val="28"/>
          <w:szCs w:val="28"/>
        </w:rPr>
        <w:t>1984 :</w:t>
      </w:r>
      <w:proofErr w:type="gramEnd"/>
      <w:r w:rsidRPr="009603B6">
        <w:rPr>
          <w:rFonts w:ascii="Arial" w:hAnsi="Arial" w:cs="Arial"/>
          <w:color w:val="000000" w:themeColor="text1"/>
          <w:sz w:val="28"/>
          <w:szCs w:val="28"/>
        </w:rPr>
        <w:t xml:space="preserve"> changing judicial and public attitudes to the police and criminal investigations. </w:t>
      </w:r>
      <w:proofErr w:type="gramStart"/>
      <w:r w:rsidRPr="009603B6">
        <w:rPr>
          <w:rFonts w:ascii="Arial" w:hAnsi="Arial" w:cs="Arial"/>
          <w:color w:val="000000" w:themeColor="text1"/>
          <w:sz w:val="28"/>
          <w:szCs w:val="28"/>
        </w:rPr>
        <w:t xml:space="preserve">Doctoral thesis, </w:t>
      </w:r>
      <w:proofErr w:type="spellStart"/>
      <w:r w:rsidRPr="009603B6">
        <w:rPr>
          <w:rFonts w:ascii="Arial" w:hAnsi="Arial" w:cs="Arial"/>
          <w:color w:val="000000" w:themeColor="text1"/>
          <w:sz w:val="28"/>
          <w:szCs w:val="28"/>
        </w:rPr>
        <w:t>pp.Doctoral</w:t>
      </w:r>
      <w:proofErr w:type="spellEnd"/>
      <w:r w:rsidRPr="009603B6">
        <w:rPr>
          <w:rFonts w:ascii="Arial" w:hAnsi="Arial" w:cs="Arial"/>
          <w:color w:val="000000" w:themeColor="text1"/>
          <w:sz w:val="28"/>
          <w:szCs w:val="28"/>
        </w:rPr>
        <w:t xml:space="preserve"> thesis, University of London.</w:t>
      </w:r>
      <w:proofErr w:type="gramEnd"/>
    </w:p>
    <w:p w:rsidR="009603B6" w:rsidRPr="009603B6" w:rsidRDefault="009603B6" w:rsidP="009603B6">
      <w:pPr>
        <w:rPr>
          <w:rFonts w:ascii="Arial" w:hAnsi="Arial" w:cs="Arial"/>
          <w:color w:val="000000" w:themeColor="text1"/>
          <w:sz w:val="28"/>
          <w:szCs w:val="28"/>
        </w:rPr>
      </w:pPr>
      <w:proofErr w:type="gramStart"/>
      <w:r w:rsidRPr="009603B6">
        <w:rPr>
          <w:rFonts w:ascii="Arial" w:hAnsi="Arial" w:cs="Arial"/>
          <w:color w:val="000000" w:themeColor="text1"/>
          <w:sz w:val="28"/>
          <w:szCs w:val="28"/>
        </w:rPr>
        <w:t xml:space="preserve">Cane, P. &amp; </w:t>
      </w:r>
      <w:proofErr w:type="spellStart"/>
      <w:r w:rsidRPr="009603B6">
        <w:rPr>
          <w:rFonts w:ascii="Arial" w:hAnsi="Arial" w:cs="Arial"/>
          <w:color w:val="000000" w:themeColor="text1"/>
          <w:sz w:val="28"/>
          <w:szCs w:val="28"/>
        </w:rPr>
        <w:t>Conaghan</w:t>
      </w:r>
      <w:proofErr w:type="spellEnd"/>
      <w:r w:rsidRPr="009603B6">
        <w:rPr>
          <w:rFonts w:ascii="Arial" w:hAnsi="Arial" w:cs="Arial"/>
          <w:color w:val="000000" w:themeColor="text1"/>
          <w:sz w:val="28"/>
          <w:szCs w:val="28"/>
        </w:rPr>
        <w:t>, J., 2008.</w:t>
      </w:r>
      <w:proofErr w:type="gramEnd"/>
      <w:r w:rsidRPr="009603B6">
        <w:rPr>
          <w:rFonts w:ascii="Arial" w:hAnsi="Arial" w:cs="Arial"/>
          <w:color w:val="000000" w:themeColor="text1"/>
          <w:sz w:val="28"/>
          <w:szCs w:val="28"/>
        </w:rPr>
        <w:t xml:space="preserve"> </w:t>
      </w:r>
      <w:proofErr w:type="gramStart"/>
      <w:r w:rsidRPr="009603B6">
        <w:rPr>
          <w:rFonts w:ascii="Arial" w:hAnsi="Arial" w:cs="Arial"/>
          <w:color w:val="000000" w:themeColor="text1"/>
          <w:sz w:val="28"/>
          <w:szCs w:val="28"/>
        </w:rPr>
        <w:t>Police and Criminal Evidence Act 1984.</w:t>
      </w:r>
      <w:proofErr w:type="gramEnd"/>
      <w:r w:rsidRPr="009603B6">
        <w:rPr>
          <w:rFonts w:ascii="Arial" w:hAnsi="Arial" w:cs="Arial"/>
          <w:color w:val="000000" w:themeColor="text1"/>
          <w:sz w:val="28"/>
          <w:szCs w:val="28"/>
        </w:rPr>
        <w:t xml:space="preserve"> The New Oxford Companion to Law, </w:t>
      </w:r>
      <w:proofErr w:type="spellStart"/>
      <w:r w:rsidRPr="009603B6">
        <w:rPr>
          <w:rFonts w:ascii="Arial" w:hAnsi="Arial" w:cs="Arial"/>
          <w:color w:val="000000" w:themeColor="text1"/>
          <w:sz w:val="28"/>
          <w:szCs w:val="28"/>
        </w:rPr>
        <w:t>pp.The</w:t>
      </w:r>
      <w:proofErr w:type="spellEnd"/>
      <w:r w:rsidRPr="009603B6">
        <w:rPr>
          <w:rFonts w:ascii="Arial" w:hAnsi="Arial" w:cs="Arial"/>
          <w:color w:val="000000" w:themeColor="text1"/>
          <w:sz w:val="28"/>
          <w:szCs w:val="28"/>
        </w:rPr>
        <w:t xml:space="preserve"> New Oxford Companion to Law.</w:t>
      </w:r>
    </w:p>
    <w:p w:rsidR="009603B6" w:rsidRPr="009603B6" w:rsidRDefault="009603B6" w:rsidP="009603B6">
      <w:pPr>
        <w:rPr>
          <w:rFonts w:ascii="Arial" w:hAnsi="Arial" w:cs="Arial"/>
          <w:color w:val="000000" w:themeColor="text1"/>
          <w:sz w:val="28"/>
          <w:szCs w:val="28"/>
        </w:rPr>
      </w:pPr>
      <w:r w:rsidRPr="009603B6">
        <w:rPr>
          <w:rFonts w:ascii="Arial" w:hAnsi="Arial" w:cs="Arial"/>
          <w:color w:val="000000" w:themeColor="text1"/>
          <w:sz w:val="28"/>
          <w:szCs w:val="28"/>
        </w:rPr>
        <w:t>Ellis, D., 2010. Stop and Search: Disproportionality, Discretion and Generalisations. The Police Journal: Theory, Practice and Principles, 83(3), pp.199–216.</w:t>
      </w:r>
    </w:p>
    <w:p w:rsidR="009603B6" w:rsidRPr="009603B6" w:rsidRDefault="009603B6" w:rsidP="009603B6">
      <w:pPr>
        <w:rPr>
          <w:rFonts w:ascii="Arial" w:hAnsi="Arial" w:cs="Arial"/>
          <w:color w:val="000000" w:themeColor="text1"/>
          <w:sz w:val="28"/>
          <w:szCs w:val="28"/>
        </w:rPr>
      </w:pPr>
      <w:proofErr w:type="gramStart"/>
      <w:r w:rsidRPr="009603B6">
        <w:rPr>
          <w:rFonts w:ascii="Arial" w:hAnsi="Arial" w:cs="Arial"/>
          <w:color w:val="000000" w:themeColor="text1"/>
          <w:sz w:val="28"/>
          <w:szCs w:val="28"/>
          <w:shd w:val="clear" w:color="auto" w:fill="FFFFFF"/>
        </w:rPr>
        <w:t>Jones, S., 1985.</w:t>
      </w:r>
      <w:proofErr w:type="gramEnd"/>
      <w:r w:rsidRPr="009603B6">
        <w:rPr>
          <w:rFonts w:ascii="Arial" w:hAnsi="Arial" w:cs="Arial"/>
          <w:color w:val="000000" w:themeColor="text1"/>
          <w:sz w:val="28"/>
          <w:szCs w:val="28"/>
          <w:shd w:val="clear" w:color="auto" w:fill="FFFFFF"/>
        </w:rPr>
        <w:t xml:space="preserve"> </w:t>
      </w:r>
      <w:proofErr w:type="gramStart"/>
      <w:r w:rsidRPr="009603B6">
        <w:rPr>
          <w:rFonts w:ascii="Arial" w:hAnsi="Arial" w:cs="Arial"/>
          <w:color w:val="000000" w:themeColor="text1"/>
          <w:sz w:val="28"/>
          <w:szCs w:val="28"/>
          <w:shd w:val="clear" w:color="auto" w:fill="FFFFFF"/>
        </w:rPr>
        <w:t>The Police and Criminal Evidence Act 1984.</w:t>
      </w:r>
      <w:proofErr w:type="gramEnd"/>
      <w:r w:rsidRPr="009603B6">
        <w:rPr>
          <w:rFonts w:ascii="Arial" w:hAnsi="Arial" w:cs="Arial"/>
          <w:color w:val="000000" w:themeColor="text1"/>
          <w:sz w:val="28"/>
          <w:szCs w:val="28"/>
          <w:shd w:val="clear" w:color="auto" w:fill="FFFFFF"/>
        </w:rPr>
        <w:t> </w:t>
      </w:r>
      <w:proofErr w:type="gramStart"/>
      <w:r w:rsidRPr="009603B6">
        <w:rPr>
          <w:rFonts w:ascii="Arial" w:hAnsi="Arial" w:cs="Arial"/>
          <w:i/>
          <w:iCs/>
          <w:color w:val="000000" w:themeColor="text1"/>
          <w:sz w:val="28"/>
          <w:szCs w:val="28"/>
          <w:shd w:val="clear" w:color="auto" w:fill="FFFFFF"/>
        </w:rPr>
        <w:t>The Modern Law Review</w:t>
      </w:r>
      <w:r w:rsidRPr="009603B6">
        <w:rPr>
          <w:rFonts w:ascii="Arial" w:hAnsi="Arial" w:cs="Arial"/>
          <w:color w:val="000000" w:themeColor="text1"/>
          <w:sz w:val="28"/>
          <w:szCs w:val="28"/>
          <w:shd w:val="clear" w:color="auto" w:fill="FFFFFF"/>
        </w:rPr>
        <w:t>, 48(6), pp.679–693.</w:t>
      </w:r>
      <w:proofErr w:type="gramEnd"/>
    </w:p>
    <w:p w:rsidR="009603B6" w:rsidRPr="009603B6" w:rsidRDefault="009603B6" w:rsidP="009603B6">
      <w:pPr>
        <w:rPr>
          <w:rFonts w:ascii="Arial" w:hAnsi="Arial" w:cs="Arial"/>
          <w:color w:val="000000" w:themeColor="text1"/>
          <w:sz w:val="28"/>
          <w:szCs w:val="28"/>
        </w:rPr>
      </w:pPr>
      <w:r w:rsidRPr="009603B6">
        <w:rPr>
          <w:rFonts w:ascii="Arial" w:hAnsi="Arial" w:cs="Arial"/>
          <w:color w:val="000000" w:themeColor="text1"/>
          <w:sz w:val="28"/>
          <w:szCs w:val="28"/>
        </w:rPr>
        <w:t xml:space="preserve">Murray, K., 2018. </w:t>
      </w:r>
      <w:proofErr w:type="gramStart"/>
      <w:r w:rsidRPr="009603B6">
        <w:rPr>
          <w:rFonts w:ascii="Arial" w:hAnsi="Arial" w:cs="Arial"/>
          <w:color w:val="000000" w:themeColor="text1"/>
          <w:sz w:val="28"/>
          <w:szCs w:val="28"/>
        </w:rPr>
        <w:t>The Modern Making of Stop and Search.</w:t>
      </w:r>
      <w:proofErr w:type="gramEnd"/>
      <w:r w:rsidRPr="009603B6">
        <w:rPr>
          <w:rFonts w:ascii="Arial" w:hAnsi="Arial" w:cs="Arial"/>
          <w:color w:val="000000" w:themeColor="text1"/>
          <w:sz w:val="28"/>
          <w:szCs w:val="28"/>
        </w:rPr>
        <w:t xml:space="preserve"> </w:t>
      </w:r>
      <w:proofErr w:type="gramStart"/>
      <w:r w:rsidRPr="009603B6">
        <w:rPr>
          <w:rFonts w:ascii="Arial" w:hAnsi="Arial" w:cs="Arial"/>
          <w:color w:val="000000" w:themeColor="text1"/>
          <w:sz w:val="28"/>
          <w:szCs w:val="28"/>
        </w:rPr>
        <w:t>The British Journal of Criminology, 58(3), pp.588–605.</w:t>
      </w:r>
      <w:proofErr w:type="gramEnd"/>
    </w:p>
    <w:p w:rsidR="009603B6" w:rsidRPr="009603B6" w:rsidRDefault="009603B6" w:rsidP="009603B6">
      <w:pPr>
        <w:rPr>
          <w:rFonts w:ascii="Arial" w:hAnsi="Arial" w:cs="Arial"/>
          <w:color w:val="000000" w:themeColor="text1"/>
          <w:sz w:val="28"/>
          <w:szCs w:val="28"/>
        </w:rPr>
      </w:pPr>
      <w:proofErr w:type="spellStart"/>
      <w:proofErr w:type="gramStart"/>
      <w:r w:rsidRPr="009603B6">
        <w:rPr>
          <w:rFonts w:ascii="Arial" w:hAnsi="Arial" w:cs="Arial"/>
          <w:color w:val="000000" w:themeColor="text1"/>
          <w:sz w:val="28"/>
          <w:szCs w:val="28"/>
        </w:rPr>
        <w:t>Mylonaki</w:t>
      </w:r>
      <w:proofErr w:type="spellEnd"/>
      <w:r w:rsidRPr="009603B6">
        <w:rPr>
          <w:rFonts w:ascii="Arial" w:hAnsi="Arial" w:cs="Arial"/>
          <w:color w:val="000000" w:themeColor="text1"/>
          <w:sz w:val="28"/>
          <w:szCs w:val="28"/>
        </w:rPr>
        <w:t>, E. &amp; Burton, T., 2010.</w:t>
      </w:r>
      <w:proofErr w:type="gramEnd"/>
      <w:r w:rsidRPr="009603B6">
        <w:rPr>
          <w:rFonts w:ascii="Arial" w:hAnsi="Arial" w:cs="Arial"/>
          <w:color w:val="000000" w:themeColor="text1"/>
          <w:sz w:val="28"/>
          <w:szCs w:val="28"/>
        </w:rPr>
        <w:t xml:space="preserve"> </w:t>
      </w:r>
      <w:proofErr w:type="gramStart"/>
      <w:r w:rsidRPr="009603B6">
        <w:rPr>
          <w:rFonts w:ascii="Arial" w:hAnsi="Arial" w:cs="Arial"/>
          <w:color w:val="000000" w:themeColor="text1"/>
          <w:sz w:val="28"/>
          <w:szCs w:val="28"/>
        </w:rPr>
        <w:t>A Critique of the Deficiencies in the Regulation of Contemporary Police Powers of Detention and Questioning in England and Wales.</w:t>
      </w:r>
      <w:proofErr w:type="gramEnd"/>
      <w:r w:rsidRPr="009603B6">
        <w:rPr>
          <w:rFonts w:ascii="Arial" w:hAnsi="Arial" w:cs="Arial"/>
          <w:color w:val="000000" w:themeColor="text1"/>
          <w:sz w:val="28"/>
          <w:szCs w:val="28"/>
        </w:rPr>
        <w:t xml:space="preserve"> The Police Journal: Theory, Practice and Principles, 83(1), pp.61–79.</w:t>
      </w:r>
    </w:p>
    <w:p w:rsidR="007D3D1F" w:rsidRPr="009603B6" w:rsidRDefault="007D3D1F" w:rsidP="008C0362">
      <w:pPr>
        <w:rPr>
          <w:rFonts w:ascii="Arial" w:hAnsi="Arial" w:cs="Arial"/>
          <w:color w:val="000000" w:themeColor="text1"/>
          <w:sz w:val="28"/>
          <w:szCs w:val="28"/>
          <w:shd w:val="clear" w:color="auto" w:fill="FFFFFF"/>
        </w:rPr>
      </w:pPr>
      <w:proofErr w:type="gramStart"/>
      <w:r w:rsidRPr="009603B6">
        <w:rPr>
          <w:rFonts w:ascii="Arial" w:hAnsi="Arial" w:cs="Arial"/>
          <w:color w:val="000000" w:themeColor="text1"/>
          <w:sz w:val="28"/>
          <w:szCs w:val="28"/>
          <w:shd w:val="clear" w:color="auto" w:fill="FFFFFF"/>
        </w:rPr>
        <w:t>Nobles, R. &amp; Schiff, D., 2008.</w:t>
      </w:r>
      <w:proofErr w:type="gramEnd"/>
      <w:r w:rsidRPr="009603B6">
        <w:rPr>
          <w:rFonts w:ascii="Arial" w:hAnsi="Arial" w:cs="Arial"/>
          <w:color w:val="000000" w:themeColor="text1"/>
          <w:sz w:val="28"/>
          <w:szCs w:val="28"/>
          <w:shd w:val="clear" w:color="auto" w:fill="FFFFFF"/>
        </w:rPr>
        <w:t xml:space="preserve"> </w:t>
      </w:r>
      <w:proofErr w:type="gramStart"/>
      <w:r w:rsidRPr="009603B6">
        <w:rPr>
          <w:rFonts w:ascii="Arial" w:hAnsi="Arial" w:cs="Arial"/>
          <w:color w:val="000000" w:themeColor="text1"/>
          <w:sz w:val="28"/>
          <w:szCs w:val="28"/>
          <w:shd w:val="clear" w:color="auto" w:fill="FFFFFF"/>
        </w:rPr>
        <w:t>miscarriages</w:t>
      </w:r>
      <w:proofErr w:type="gramEnd"/>
      <w:r w:rsidRPr="009603B6">
        <w:rPr>
          <w:rFonts w:ascii="Arial" w:hAnsi="Arial" w:cs="Arial"/>
          <w:color w:val="000000" w:themeColor="text1"/>
          <w:sz w:val="28"/>
          <w:szCs w:val="28"/>
          <w:shd w:val="clear" w:color="auto" w:fill="FFFFFF"/>
        </w:rPr>
        <w:t xml:space="preserve"> of justice. </w:t>
      </w:r>
      <w:r w:rsidRPr="009603B6">
        <w:rPr>
          <w:rFonts w:ascii="Arial" w:hAnsi="Arial" w:cs="Arial"/>
          <w:i/>
          <w:iCs/>
          <w:color w:val="000000" w:themeColor="text1"/>
          <w:sz w:val="28"/>
          <w:szCs w:val="28"/>
          <w:shd w:val="clear" w:color="auto" w:fill="FFFFFF"/>
        </w:rPr>
        <w:t>The New Oxford Companion to Law</w:t>
      </w:r>
      <w:r w:rsidRPr="009603B6">
        <w:rPr>
          <w:rFonts w:ascii="Arial" w:hAnsi="Arial" w:cs="Arial"/>
          <w:color w:val="000000" w:themeColor="text1"/>
          <w:sz w:val="28"/>
          <w:szCs w:val="28"/>
          <w:shd w:val="clear" w:color="auto" w:fill="FFFFFF"/>
        </w:rPr>
        <w:t xml:space="preserve">, </w:t>
      </w:r>
      <w:proofErr w:type="spellStart"/>
      <w:r w:rsidRPr="009603B6">
        <w:rPr>
          <w:rFonts w:ascii="Arial" w:hAnsi="Arial" w:cs="Arial"/>
          <w:color w:val="000000" w:themeColor="text1"/>
          <w:sz w:val="28"/>
          <w:szCs w:val="28"/>
          <w:shd w:val="clear" w:color="auto" w:fill="FFFFFF"/>
        </w:rPr>
        <w:t>pp.The</w:t>
      </w:r>
      <w:proofErr w:type="spellEnd"/>
      <w:r w:rsidRPr="009603B6">
        <w:rPr>
          <w:rFonts w:ascii="Arial" w:hAnsi="Arial" w:cs="Arial"/>
          <w:color w:val="000000" w:themeColor="text1"/>
          <w:sz w:val="28"/>
          <w:szCs w:val="28"/>
          <w:shd w:val="clear" w:color="auto" w:fill="FFFFFF"/>
        </w:rPr>
        <w:t xml:space="preserve"> New Oxford Companion to Law.</w:t>
      </w:r>
    </w:p>
    <w:p w:rsidR="009603B6" w:rsidRPr="009603B6" w:rsidRDefault="009603B6" w:rsidP="009603B6">
      <w:pPr>
        <w:rPr>
          <w:rFonts w:ascii="Arial" w:hAnsi="Arial" w:cs="Arial"/>
          <w:color w:val="000000" w:themeColor="text1"/>
          <w:sz w:val="28"/>
          <w:szCs w:val="28"/>
        </w:rPr>
      </w:pPr>
      <w:proofErr w:type="spellStart"/>
      <w:r w:rsidRPr="009603B6">
        <w:rPr>
          <w:rFonts w:ascii="Arial" w:hAnsi="Arial" w:cs="Arial"/>
          <w:color w:val="000000" w:themeColor="text1"/>
          <w:sz w:val="28"/>
          <w:szCs w:val="28"/>
        </w:rPr>
        <w:t>Parpworth</w:t>
      </w:r>
      <w:proofErr w:type="spellEnd"/>
      <w:r w:rsidRPr="009603B6">
        <w:rPr>
          <w:rFonts w:ascii="Arial" w:hAnsi="Arial" w:cs="Arial"/>
          <w:color w:val="000000" w:themeColor="text1"/>
          <w:sz w:val="28"/>
          <w:szCs w:val="28"/>
        </w:rPr>
        <w:t xml:space="preserve">, N., 2014. Reforming Police Powers of Stop </w:t>
      </w:r>
      <w:proofErr w:type="gramStart"/>
      <w:r w:rsidRPr="009603B6">
        <w:rPr>
          <w:rFonts w:ascii="Arial" w:hAnsi="Arial" w:cs="Arial"/>
          <w:color w:val="000000" w:themeColor="text1"/>
          <w:sz w:val="28"/>
          <w:szCs w:val="28"/>
        </w:rPr>
        <w:t>And</w:t>
      </w:r>
      <w:proofErr w:type="gramEnd"/>
      <w:r w:rsidRPr="009603B6">
        <w:rPr>
          <w:rFonts w:ascii="Arial" w:hAnsi="Arial" w:cs="Arial"/>
          <w:color w:val="000000" w:themeColor="text1"/>
          <w:sz w:val="28"/>
          <w:szCs w:val="28"/>
        </w:rPr>
        <w:t xml:space="preserve"> Search: Voluntary Action. The Police Journal: Theory, Practice and Principles, 87(4), pp.234–244.</w:t>
      </w:r>
    </w:p>
    <w:p w:rsidR="009603B6" w:rsidRPr="009603B6" w:rsidRDefault="009603B6" w:rsidP="009603B6">
      <w:pPr>
        <w:rPr>
          <w:rFonts w:ascii="Arial" w:hAnsi="Arial" w:cs="Arial"/>
          <w:color w:val="000000" w:themeColor="text1"/>
          <w:sz w:val="28"/>
          <w:szCs w:val="28"/>
          <w:shd w:val="clear" w:color="auto" w:fill="FFFFFF"/>
        </w:rPr>
      </w:pPr>
      <w:r w:rsidRPr="009603B6">
        <w:rPr>
          <w:rFonts w:ascii="Arial" w:hAnsi="Arial" w:cs="Arial"/>
          <w:color w:val="000000" w:themeColor="text1"/>
          <w:sz w:val="28"/>
          <w:szCs w:val="28"/>
          <w:shd w:val="clear" w:color="auto" w:fill="FFFFFF"/>
        </w:rPr>
        <w:t xml:space="preserve">Savage, S.P., Grieve, J. &amp; </w:t>
      </w:r>
      <w:proofErr w:type="spellStart"/>
      <w:r w:rsidRPr="009603B6">
        <w:rPr>
          <w:rFonts w:ascii="Arial" w:hAnsi="Arial" w:cs="Arial"/>
          <w:color w:val="000000" w:themeColor="text1"/>
          <w:sz w:val="28"/>
          <w:szCs w:val="28"/>
          <w:shd w:val="clear" w:color="auto" w:fill="FFFFFF"/>
        </w:rPr>
        <w:t>Poyser</w:t>
      </w:r>
      <w:proofErr w:type="spellEnd"/>
      <w:r w:rsidRPr="009603B6">
        <w:rPr>
          <w:rFonts w:ascii="Arial" w:hAnsi="Arial" w:cs="Arial"/>
          <w:color w:val="000000" w:themeColor="text1"/>
          <w:sz w:val="28"/>
          <w:szCs w:val="28"/>
          <w:shd w:val="clear" w:color="auto" w:fill="FFFFFF"/>
        </w:rPr>
        <w:t>, S., 2007. Putting wrongs to right: Campaigns against miscarriages of justice. </w:t>
      </w:r>
      <w:r w:rsidRPr="009603B6">
        <w:rPr>
          <w:rFonts w:ascii="Arial" w:hAnsi="Arial" w:cs="Arial"/>
          <w:i/>
          <w:iCs/>
          <w:color w:val="000000" w:themeColor="text1"/>
          <w:sz w:val="28"/>
          <w:szCs w:val="28"/>
          <w:shd w:val="clear" w:color="auto" w:fill="FFFFFF"/>
        </w:rPr>
        <w:t>Criminology &amp; Criminal Justice</w:t>
      </w:r>
      <w:r w:rsidRPr="009603B6">
        <w:rPr>
          <w:rFonts w:ascii="Arial" w:hAnsi="Arial" w:cs="Arial"/>
          <w:color w:val="000000" w:themeColor="text1"/>
          <w:sz w:val="28"/>
          <w:szCs w:val="28"/>
          <w:shd w:val="clear" w:color="auto" w:fill="FFFFFF"/>
        </w:rPr>
        <w:t>, 7(1), pp.83–105</w:t>
      </w:r>
    </w:p>
    <w:p w:rsidR="00157347" w:rsidRPr="009603B6" w:rsidRDefault="00157347" w:rsidP="008C0362">
      <w:pPr>
        <w:rPr>
          <w:rFonts w:ascii="Arial" w:hAnsi="Arial" w:cs="Arial"/>
          <w:sz w:val="28"/>
          <w:szCs w:val="28"/>
        </w:rPr>
      </w:pPr>
      <w:proofErr w:type="gramStart"/>
      <w:r w:rsidRPr="009603B6">
        <w:rPr>
          <w:rFonts w:ascii="Arial" w:hAnsi="Arial" w:cs="Arial"/>
          <w:color w:val="000000" w:themeColor="text1"/>
          <w:sz w:val="28"/>
          <w:szCs w:val="28"/>
          <w:shd w:val="clear" w:color="auto" w:fill="FFFFFF"/>
        </w:rPr>
        <w:t>Zander, M., 2011.</w:t>
      </w:r>
      <w:proofErr w:type="gramEnd"/>
      <w:r w:rsidRPr="009603B6">
        <w:rPr>
          <w:rFonts w:ascii="Arial" w:hAnsi="Arial" w:cs="Arial"/>
          <w:color w:val="000000" w:themeColor="text1"/>
          <w:sz w:val="28"/>
          <w:szCs w:val="28"/>
          <w:shd w:val="clear" w:color="auto" w:fill="FFFFFF"/>
        </w:rPr>
        <w:t xml:space="preserve"> PACE (</w:t>
      </w:r>
      <w:r w:rsidR="009603B6">
        <w:rPr>
          <w:rFonts w:ascii="Arial" w:hAnsi="Arial" w:cs="Arial"/>
          <w:sz w:val="28"/>
          <w:szCs w:val="28"/>
        </w:rPr>
        <w:t>The Police and Criminal Evidence Act 1984</w:t>
      </w:r>
      <w:proofErr w:type="gramStart"/>
      <w:r w:rsidR="009603B6">
        <w:rPr>
          <w:rFonts w:ascii="Arial" w:hAnsi="Arial" w:cs="Arial"/>
          <w:sz w:val="28"/>
          <w:szCs w:val="28"/>
        </w:rPr>
        <w:t>:Past,Present</w:t>
      </w:r>
      <w:proofErr w:type="gramEnd"/>
      <w:r w:rsidR="009603B6">
        <w:rPr>
          <w:rFonts w:ascii="Arial" w:hAnsi="Arial" w:cs="Arial"/>
          <w:sz w:val="28"/>
          <w:szCs w:val="28"/>
        </w:rPr>
        <w:t xml:space="preserve"> and Future</w:t>
      </w:r>
      <w:r w:rsidRPr="009603B6">
        <w:rPr>
          <w:rFonts w:ascii="Arial" w:hAnsi="Arial" w:cs="Arial"/>
          <w:color w:val="000000" w:themeColor="text1"/>
          <w:sz w:val="28"/>
          <w:szCs w:val="28"/>
          <w:shd w:val="clear" w:color="auto" w:fill="FFFFFF"/>
        </w:rPr>
        <w:t xml:space="preserve"> *. </w:t>
      </w:r>
      <w:proofErr w:type="gramStart"/>
      <w:r w:rsidRPr="009603B6">
        <w:rPr>
          <w:rFonts w:ascii="Arial" w:hAnsi="Arial" w:cs="Arial"/>
          <w:i/>
          <w:iCs/>
          <w:color w:val="000000" w:themeColor="text1"/>
          <w:sz w:val="28"/>
          <w:szCs w:val="28"/>
          <w:shd w:val="clear" w:color="auto" w:fill="FFFFFF"/>
        </w:rPr>
        <w:t>National Law School of India Review</w:t>
      </w:r>
      <w:r w:rsidRPr="009603B6">
        <w:rPr>
          <w:rFonts w:ascii="Arial" w:hAnsi="Arial" w:cs="Arial"/>
          <w:color w:val="000000" w:themeColor="text1"/>
          <w:sz w:val="28"/>
          <w:szCs w:val="28"/>
          <w:shd w:val="clear" w:color="auto" w:fill="FFFFFF"/>
        </w:rPr>
        <w:t>, 23(1), pp.47–62.</w:t>
      </w:r>
      <w:proofErr w:type="gramEnd"/>
    </w:p>
    <w:p w:rsidR="009603B6" w:rsidRPr="009603B6" w:rsidRDefault="009603B6" w:rsidP="008C0362">
      <w:pPr>
        <w:rPr>
          <w:rFonts w:ascii="Arial" w:hAnsi="Arial" w:cs="Arial"/>
          <w:sz w:val="28"/>
          <w:szCs w:val="28"/>
        </w:rPr>
      </w:pPr>
      <w:bookmarkStart w:id="0" w:name="_GoBack"/>
      <w:bookmarkEnd w:id="0"/>
    </w:p>
    <w:sectPr w:rsidR="009603B6" w:rsidRPr="009603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C0362"/>
    <w:rsid w:val="00070BA6"/>
    <w:rsid w:val="000D6C82"/>
    <w:rsid w:val="000E1448"/>
    <w:rsid w:val="00116459"/>
    <w:rsid w:val="00157347"/>
    <w:rsid w:val="001D3CD6"/>
    <w:rsid w:val="001E44AE"/>
    <w:rsid w:val="003149EA"/>
    <w:rsid w:val="00370675"/>
    <w:rsid w:val="003C249F"/>
    <w:rsid w:val="004318D8"/>
    <w:rsid w:val="0043206E"/>
    <w:rsid w:val="004615A3"/>
    <w:rsid w:val="0047552D"/>
    <w:rsid w:val="004944B1"/>
    <w:rsid w:val="004F6C2B"/>
    <w:rsid w:val="005134E2"/>
    <w:rsid w:val="00600EE8"/>
    <w:rsid w:val="0061010B"/>
    <w:rsid w:val="0062548D"/>
    <w:rsid w:val="00640B33"/>
    <w:rsid w:val="00655294"/>
    <w:rsid w:val="00671798"/>
    <w:rsid w:val="00684354"/>
    <w:rsid w:val="006931C3"/>
    <w:rsid w:val="006C2415"/>
    <w:rsid w:val="00711346"/>
    <w:rsid w:val="00722C35"/>
    <w:rsid w:val="00753DE7"/>
    <w:rsid w:val="00767E60"/>
    <w:rsid w:val="007832D2"/>
    <w:rsid w:val="007A7BD7"/>
    <w:rsid w:val="007D3D1F"/>
    <w:rsid w:val="008140C7"/>
    <w:rsid w:val="00865DA2"/>
    <w:rsid w:val="008750C2"/>
    <w:rsid w:val="0088437E"/>
    <w:rsid w:val="00896654"/>
    <w:rsid w:val="008C0362"/>
    <w:rsid w:val="008D1696"/>
    <w:rsid w:val="009603B6"/>
    <w:rsid w:val="009671F4"/>
    <w:rsid w:val="009815BF"/>
    <w:rsid w:val="00994F58"/>
    <w:rsid w:val="00A00F1D"/>
    <w:rsid w:val="00A12277"/>
    <w:rsid w:val="00A128CB"/>
    <w:rsid w:val="00A53E81"/>
    <w:rsid w:val="00A5611C"/>
    <w:rsid w:val="00A7227A"/>
    <w:rsid w:val="00A82509"/>
    <w:rsid w:val="00AB28A8"/>
    <w:rsid w:val="00AD7648"/>
    <w:rsid w:val="00B165A3"/>
    <w:rsid w:val="00B33C3A"/>
    <w:rsid w:val="00B35EF2"/>
    <w:rsid w:val="00B459D7"/>
    <w:rsid w:val="00B80693"/>
    <w:rsid w:val="00BB5D28"/>
    <w:rsid w:val="00BB703D"/>
    <w:rsid w:val="00BE535A"/>
    <w:rsid w:val="00BF38C9"/>
    <w:rsid w:val="00C36460"/>
    <w:rsid w:val="00C4754D"/>
    <w:rsid w:val="00CE37EE"/>
    <w:rsid w:val="00D7151D"/>
    <w:rsid w:val="00D735CB"/>
    <w:rsid w:val="00D73D75"/>
    <w:rsid w:val="00DA224D"/>
    <w:rsid w:val="00DD4D21"/>
    <w:rsid w:val="00DE04B3"/>
    <w:rsid w:val="00DE3B2B"/>
    <w:rsid w:val="00E40376"/>
    <w:rsid w:val="00E42154"/>
    <w:rsid w:val="00E53C84"/>
    <w:rsid w:val="00E82D6E"/>
    <w:rsid w:val="00EE107B"/>
    <w:rsid w:val="00EE4634"/>
    <w:rsid w:val="00FC459D"/>
    <w:rsid w:val="00FC64C2"/>
    <w:rsid w:val="00FD0336"/>
    <w:rsid w:val="00FD5B68"/>
    <w:rsid w:val="00FE3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374</TotalTime>
  <Pages>13</Pages>
  <Words>2334</Words>
  <Characters>13309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chloe evans</dc:creator>
  <cp:lastModifiedBy>chloe evans</cp:lastModifiedBy>
  <cp:revision>76</cp:revision>
  <dcterms:created xsi:type="dcterms:W3CDTF">2019-10-30T15:40:00Z</dcterms:created>
  <dcterms:modified xsi:type="dcterms:W3CDTF">2019-11-06T13:51:00Z</dcterms:modified>
</cp:coreProperties>
</file>