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CE2B94" w14:textId="77777777" w:rsidR="004B76E6" w:rsidRPr="004B76E6" w:rsidRDefault="004B76E6" w:rsidP="004B76E6">
      <w:pPr>
        <w:rPr>
          <w:b/>
          <w:bCs/>
        </w:rPr>
      </w:pPr>
      <w:r w:rsidRPr="004B76E6">
        <w:rPr>
          <w:b/>
          <w:bCs/>
        </w:rPr>
        <w:t xml:space="preserve">Close Analysis of “Seth Goes to Paradise” in </w:t>
      </w:r>
      <w:r w:rsidRPr="004B76E6">
        <w:rPr>
          <w:b/>
          <w:bCs/>
          <w:i/>
          <w:iCs/>
        </w:rPr>
        <w:t>The Ordinalia</w:t>
      </w:r>
    </w:p>
    <w:p w14:paraId="176A8783" w14:textId="77777777" w:rsidR="004B76E6" w:rsidRPr="004B76E6" w:rsidRDefault="004B76E6" w:rsidP="004B76E6">
      <w:pPr>
        <w:rPr>
          <w:b/>
          <w:bCs/>
        </w:rPr>
      </w:pPr>
      <w:r w:rsidRPr="004B76E6">
        <w:rPr>
          <w:b/>
          <w:bCs/>
        </w:rPr>
        <w:t>Introduction</w:t>
      </w:r>
    </w:p>
    <w:p w14:paraId="6CDD6FA6" w14:textId="61ACDFB4" w:rsidR="004B76E6" w:rsidRPr="004B76E6" w:rsidRDefault="004B76E6" w:rsidP="004B76E6">
      <w:r w:rsidRPr="004B76E6">
        <w:t>The episode “Seth Goes to Paradise”</w:t>
      </w:r>
      <w:r w:rsidR="00B23030">
        <w:t>,</w:t>
      </w:r>
      <w:r w:rsidRPr="004B76E6">
        <w:t xml:space="preserve"> part of the </w:t>
      </w:r>
      <w:r w:rsidRPr="004B76E6">
        <w:rPr>
          <w:i/>
          <w:iCs/>
        </w:rPr>
        <w:t>Origo Mundi</w:t>
      </w:r>
      <w:r w:rsidRPr="004B76E6">
        <w:t xml:space="preserve"> in the medieval Cornish </w:t>
      </w:r>
      <w:r w:rsidRPr="004B76E6">
        <w:rPr>
          <w:i/>
          <w:iCs/>
        </w:rPr>
        <w:t>Ordinalia</w:t>
      </w:r>
      <w:r w:rsidR="008D3725" w:rsidRPr="008269C3">
        <w:t xml:space="preserve">, a collection of </w:t>
      </w:r>
      <w:r w:rsidR="00890D1D" w:rsidRPr="008269C3">
        <w:t xml:space="preserve">mystery </w:t>
      </w:r>
      <w:r w:rsidR="008D3725" w:rsidRPr="008269C3">
        <w:t>plays</w:t>
      </w:r>
      <w:r w:rsidRPr="004B76E6">
        <w:t>, provides a dramatic retelling of a</w:t>
      </w:r>
      <w:r w:rsidR="008D3725" w:rsidRPr="008269C3">
        <w:t xml:space="preserve">n </w:t>
      </w:r>
      <w:r w:rsidRPr="004B76E6">
        <w:t>apocryphal narrative in which Seth, the son of Adam and Eve, embarks on a quest to Paradise to secure the oil of mercy for his dying father. This particular episode represents an intersection of multiple themes</w:t>
      </w:r>
      <w:r w:rsidR="008D3725" w:rsidRPr="008269C3">
        <w:t xml:space="preserve"> such as the </w:t>
      </w:r>
      <w:r w:rsidRPr="004B76E6">
        <w:t xml:space="preserve">Christian </w:t>
      </w:r>
      <w:r w:rsidR="008D3725" w:rsidRPr="008269C3">
        <w:t>concept of salvation and the moral framework of the 14</w:t>
      </w:r>
      <w:r w:rsidR="008D3725" w:rsidRPr="008269C3">
        <w:rPr>
          <w:vertAlign w:val="superscript"/>
        </w:rPr>
        <w:t>th</w:t>
      </w:r>
      <w:r w:rsidR="008D3725" w:rsidRPr="008269C3">
        <w:t xml:space="preserve"> century</w:t>
      </w:r>
      <w:r w:rsidRPr="004B76E6">
        <w:t>. The episode,</w:t>
      </w:r>
      <w:r w:rsidR="008D3725" w:rsidRPr="008269C3">
        <w:t xml:space="preserve"> which is</w:t>
      </w:r>
      <w:r w:rsidRPr="004B76E6">
        <w:t xml:space="preserve"> deeply embedded in medieval religious practice, exemplifies the didactic nature of the </w:t>
      </w:r>
      <w:r w:rsidRPr="004B76E6">
        <w:rPr>
          <w:i/>
          <w:iCs/>
        </w:rPr>
        <w:t>Ordinalia</w:t>
      </w:r>
      <w:r w:rsidRPr="004B76E6">
        <w:t xml:space="preserve"> and its role in communicating complex theological ideas to a largely non-Latinate audience.</w:t>
      </w:r>
      <w:r w:rsidR="00C23798">
        <w:rPr>
          <w:rStyle w:val="FootnoteReference"/>
        </w:rPr>
        <w:footnoteReference w:id="1"/>
      </w:r>
      <w:r w:rsidRPr="004B76E6">
        <w:t xml:space="preserve"> Understanding this episode requires a contextual awareness of both its religious and theatrical genre, and its distinct cultural and linguistic setting in late medieval Cornwall. The performance of this </w:t>
      </w:r>
      <w:r w:rsidR="00890D1D" w:rsidRPr="008269C3">
        <w:t xml:space="preserve">mystery </w:t>
      </w:r>
      <w:r w:rsidRPr="004B76E6">
        <w:t>play, likely delivered in the Cornish vernacular, offered the medieval audience not only entertainment</w:t>
      </w:r>
      <w:r w:rsidR="00B23030">
        <w:t>,</w:t>
      </w:r>
      <w:r w:rsidRPr="004B76E6">
        <w:t xml:space="preserve"> but also an opportunity for spiritual reflection and communal instruction.</w:t>
      </w:r>
    </w:p>
    <w:p w14:paraId="5A7690A1" w14:textId="7903CE1C" w:rsidR="004B76E6" w:rsidRPr="004B76E6" w:rsidRDefault="004B76E6" w:rsidP="004B76E6">
      <w:r w:rsidRPr="004B76E6">
        <w:t xml:space="preserve">In this essay, I will explore how the </w:t>
      </w:r>
      <w:r w:rsidRPr="004B76E6">
        <w:rPr>
          <w:i/>
          <w:iCs/>
        </w:rPr>
        <w:t>Seth Goes to Paradise</w:t>
      </w:r>
      <w:r w:rsidRPr="004B76E6">
        <w:t xml:space="preserve"> </w:t>
      </w:r>
      <w:r w:rsidR="008D3725" w:rsidRPr="008269C3">
        <w:t>section of</w:t>
      </w:r>
      <w:r w:rsidRPr="004B76E6">
        <w:t xml:space="preserve"> the </w:t>
      </w:r>
      <w:r w:rsidRPr="004B76E6">
        <w:rPr>
          <w:i/>
          <w:iCs/>
        </w:rPr>
        <w:t>Ordinalia</w:t>
      </w:r>
      <w:r w:rsidRPr="004B76E6">
        <w:t xml:space="preserve"> is shaped as</w:t>
      </w:r>
      <w:r w:rsidR="008D3725" w:rsidRPr="008269C3">
        <w:t xml:space="preserve"> a</w:t>
      </w:r>
      <w:r w:rsidRPr="004B76E6">
        <w:t xml:space="preserve"> religious drama, typological allegory, and the specific cultural and linguistic context of late medieval Cornwall. This analysis will examine the episode’s theological significance, its narrative structure, and the symbolic imagery that pervades its depiction of Seth’s journey.</w:t>
      </w:r>
    </w:p>
    <w:p w14:paraId="11974DDA" w14:textId="77777777" w:rsidR="004B76E6" w:rsidRPr="004B76E6" w:rsidRDefault="004B76E6" w:rsidP="004B76E6">
      <w:pPr>
        <w:rPr>
          <w:b/>
          <w:bCs/>
        </w:rPr>
      </w:pPr>
      <w:r w:rsidRPr="004B76E6">
        <w:rPr>
          <w:b/>
          <w:bCs/>
        </w:rPr>
        <w:t>Genre: Religious Drama, Typology, and Performative Theology</w:t>
      </w:r>
    </w:p>
    <w:p w14:paraId="7492641B" w14:textId="49FB1713" w:rsidR="004B76E6" w:rsidRPr="004B76E6" w:rsidRDefault="004B76E6" w:rsidP="004B76E6">
      <w:r w:rsidRPr="004B76E6">
        <w:t xml:space="preserve">The </w:t>
      </w:r>
      <w:r w:rsidRPr="004B76E6">
        <w:rPr>
          <w:i/>
          <w:iCs/>
        </w:rPr>
        <w:t>Ordinalia</w:t>
      </w:r>
      <w:r w:rsidR="00890D1D" w:rsidRPr="008269C3">
        <w:rPr>
          <w:i/>
          <w:iCs/>
        </w:rPr>
        <w:t xml:space="preserve"> mystery</w:t>
      </w:r>
      <w:r w:rsidRPr="004B76E6">
        <w:t xml:space="preserve"> plays belong to the genre of medieval religious drama, which, drawing on the liturgical practices of the Church, sought to convey sacred narratives in ways that could be understood and engaged with by lay audiences. </w:t>
      </w:r>
      <w:r w:rsidR="008D3725" w:rsidRPr="008269C3">
        <w:t>P</w:t>
      </w:r>
      <w:r w:rsidRPr="004B76E6">
        <w:t xml:space="preserve">lays like the </w:t>
      </w:r>
      <w:r w:rsidRPr="004B76E6">
        <w:rPr>
          <w:i/>
          <w:iCs/>
        </w:rPr>
        <w:t>Ordinalia</w:t>
      </w:r>
      <w:r w:rsidRPr="004B76E6">
        <w:t xml:space="preserve"> were not simply staged for entertainment but were intended to educate the audience in biblical and theological matters. This genre included depictions of key moments from salvation history, such as the Creation, the Fall, and the Passion of Christ.</w:t>
      </w:r>
      <w:r w:rsidR="00C23798">
        <w:rPr>
          <w:rStyle w:val="FootnoteReference"/>
        </w:rPr>
        <w:footnoteReference w:id="2"/>
      </w:r>
      <w:r w:rsidRPr="004B76E6">
        <w:t xml:space="preserve"> The purpose of these plays </w:t>
      </w:r>
      <w:r w:rsidR="00B23030" w:rsidRPr="008269C3">
        <w:t>was</w:t>
      </w:r>
      <w:r w:rsidRPr="004B76E6">
        <w:t xml:space="preserve"> didactic</w:t>
      </w:r>
      <w:r w:rsidR="00B23030">
        <w:t>;</w:t>
      </w:r>
      <w:r w:rsidRPr="004B76E6">
        <w:t xml:space="preserve"> to make abstract Christian doctrines tangible and emotionally resonant for a public who might not have had direct access to scripture or theological education.</w:t>
      </w:r>
      <w:r w:rsidR="00C23798">
        <w:rPr>
          <w:rStyle w:val="FootnoteReference"/>
        </w:rPr>
        <w:footnoteReference w:id="3"/>
      </w:r>
      <w:r w:rsidRPr="004B76E6">
        <w:t xml:space="preserve"> The </w:t>
      </w:r>
      <w:r w:rsidRPr="004B76E6">
        <w:rPr>
          <w:i/>
          <w:iCs/>
        </w:rPr>
        <w:t>Seth Goes to Paradise</w:t>
      </w:r>
      <w:r w:rsidRPr="004B76E6">
        <w:t xml:space="preserve"> episode serves to bring the audience closer to understanding the biblical narrative of the Fall and its</w:t>
      </w:r>
      <w:r w:rsidR="00412CB5">
        <w:t xml:space="preserve"> </w:t>
      </w:r>
      <w:r w:rsidRPr="004B76E6">
        <w:t>consequences, showing not just the severity of humanity’s separation from God, but also the hope for future redemption.</w:t>
      </w:r>
      <w:r w:rsidR="00C23798">
        <w:rPr>
          <w:rStyle w:val="FootnoteReference"/>
        </w:rPr>
        <w:footnoteReference w:id="4"/>
      </w:r>
    </w:p>
    <w:p w14:paraId="2F175DB1" w14:textId="16E595B4" w:rsidR="004B76E6" w:rsidRPr="004B76E6" w:rsidRDefault="004B76E6" w:rsidP="004B76E6">
      <w:r w:rsidRPr="004B76E6">
        <w:lastRenderedPageBreak/>
        <w:t>Th</w:t>
      </w:r>
      <w:r w:rsidR="00B23030">
        <w:t>is</w:t>
      </w:r>
      <w:r w:rsidRPr="004B76E6">
        <w:t xml:space="preserve"> episode, in particular, engages heavily in typology, a key feature of medieval theology. In typology, events, characters, or symbols in the Old Testament are seen as </w:t>
      </w:r>
      <w:r w:rsidR="008D3725" w:rsidRPr="008269C3">
        <w:t>foreboding predictions</w:t>
      </w:r>
      <w:r w:rsidRPr="004B76E6">
        <w:t xml:space="preserve"> of corresponding events in the New Testament.</w:t>
      </w:r>
      <w:r w:rsidR="00C23798">
        <w:rPr>
          <w:rStyle w:val="FootnoteReference"/>
        </w:rPr>
        <w:footnoteReference w:id="5"/>
      </w:r>
      <w:r w:rsidRPr="004B76E6">
        <w:t xml:space="preserve"> Seth’s journey to Paradise becomes a </w:t>
      </w:r>
      <w:r w:rsidR="00B23030">
        <w:t>foreshadowing</w:t>
      </w:r>
      <w:r w:rsidRPr="004B76E6">
        <w:t xml:space="preserve"> of Christ’s descent into Hell, where Christ retrieves the souls of the righteous who had died before </w:t>
      </w:r>
      <w:r w:rsidR="008D3725" w:rsidRPr="008269C3">
        <w:t>h</w:t>
      </w:r>
      <w:r w:rsidRPr="004B76E6">
        <w:t>is sacrifice. Seth, much like Christ, desires to obtain something for the benefit of mankind</w:t>
      </w:r>
      <w:r w:rsidR="00B23030">
        <w:t>;</w:t>
      </w:r>
      <w:r w:rsidR="00ED1682">
        <w:t xml:space="preserve"> </w:t>
      </w:r>
      <w:r w:rsidRPr="004B76E6">
        <w:t>the “oil of mercy” that will heal his father Adam and, by extension, all of humanity.</w:t>
      </w:r>
      <w:r w:rsidR="00C23798">
        <w:rPr>
          <w:rStyle w:val="FootnoteReference"/>
        </w:rPr>
        <w:footnoteReference w:id="6"/>
      </w:r>
      <w:r w:rsidRPr="004B76E6">
        <w:t xml:space="preserve"> His failure to gain this oil </w:t>
      </w:r>
      <w:r w:rsidR="008D3725" w:rsidRPr="008269C3">
        <w:t>highlights</w:t>
      </w:r>
      <w:r w:rsidRPr="004B76E6">
        <w:t xml:space="preserve"> the incapacity of humanity, unaided by Christ, to heal itself.</w:t>
      </w:r>
      <w:r w:rsidR="00C23798">
        <w:rPr>
          <w:rStyle w:val="FootnoteReference"/>
        </w:rPr>
        <w:footnoteReference w:id="7"/>
      </w:r>
      <w:r w:rsidRPr="004B76E6">
        <w:t xml:space="preserve"> The Garden of Paradise, from which Seth is barred entry, becomes a symbol of the original state of grace, lost through sin. The sword</w:t>
      </w:r>
      <w:r w:rsidR="009D2984">
        <w:t xml:space="preserve"> mentioned earlier in the Ordinalia</w:t>
      </w:r>
      <w:r w:rsidRPr="004B76E6">
        <w:t xml:space="preserve"> that guards the gate of Paradise functions as a clear typological sign for the justice that prevents sinful humanity from accessing divine mercy. This justice is balanced by the promise of redemption, as foreshadowed by the angel's prophecy that Christ will eventually enter Paradise, reclaiming the lost oil and bringing salvation.</w:t>
      </w:r>
      <w:r w:rsidR="00C23798">
        <w:rPr>
          <w:rStyle w:val="FootnoteReference"/>
        </w:rPr>
        <w:footnoteReference w:id="8"/>
      </w:r>
    </w:p>
    <w:p w14:paraId="67C7539E" w14:textId="71CF3A29" w:rsidR="004B76E6" w:rsidRPr="004B76E6" w:rsidRDefault="004B76E6" w:rsidP="004B76E6">
      <w:r w:rsidRPr="004B76E6">
        <w:t xml:space="preserve">The performative nature of the </w:t>
      </w:r>
      <w:r w:rsidRPr="004B76E6">
        <w:rPr>
          <w:i/>
          <w:iCs/>
        </w:rPr>
        <w:t>Ordinalia</w:t>
      </w:r>
      <w:r w:rsidRPr="004B76E6">
        <w:t xml:space="preserve"> as a play would have reinforced these theological </w:t>
      </w:r>
      <w:r w:rsidR="008D3725" w:rsidRPr="008269C3">
        <w:t>topics</w:t>
      </w:r>
      <w:r w:rsidRPr="004B76E6">
        <w:t xml:space="preserve"> visually and </w:t>
      </w:r>
      <w:r w:rsidR="008D3725" w:rsidRPr="008269C3">
        <w:t>practically</w:t>
      </w:r>
      <w:r w:rsidRPr="004B76E6">
        <w:t>. The interaction between Seth and the angel, set against the symbolic backdrop of Paradise, would have been heightened by the physical staging of the play. The use of simple but powerful props, like the flaming sword and the gates of Paradise, would have provided a visual representation of the separation between sin and grace. In a typical medieval performance space, where audience members were likely standing in a circle or viewing the performance from multiple angles,</w:t>
      </w:r>
      <w:r w:rsidR="004308FF">
        <w:rPr>
          <w:rStyle w:val="FootnoteReference"/>
        </w:rPr>
        <w:footnoteReference w:id="9"/>
      </w:r>
      <w:r w:rsidRPr="004B76E6">
        <w:t xml:space="preserve"> the dynamic between Seth’s journey and the inaccessible Paradise would have emphasized the gap between the human and divine realms, making the theological truths of the play visceral.</w:t>
      </w:r>
    </w:p>
    <w:p w14:paraId="64DFBD5F" w14:textId="77777777" w:rsidR="004B76E6" w:rsidRPr="004B76E6" w:rsidRDefault="004B76E6" w:rsidP="004B76E6">
      <w:pPr>
        <w:rPr>
          <w:b/>
          <w:bCs/>
        </w:rPr>
      </w:pPr>
      <w:r w:rsidRPr="004B76E6">
        <w:rPr>
          <w:b/>
          <w:bCs/>
        </w:rPr>
        <w:t>Cultural and Linguistic Context: Cornwall and Vernacular Devotion</w:t>
      </w:r>
    </w:p>
    <w:p w14:paraId="7670D1B5" w14:textId="42E28BBC" w:rsidR="004B76E6" w:rsidRPr="004B76E6" w:rsidRDefault="004B76E6" w:rsidP="004B76E6">
      <w:r w:rsidRPr="004B76E6">
        <w:t xml:space="preserve">The </w:t>
      </w:r>
      <w:r w:rsidRPr="004B76E6">
        <w:rPr>
          <w:i/>
          <w:iCs/>
        </w:rPr>
        <w:t>Ordinalia</w:t>
      </w:r>
      <w:r w:rsidRPr="004B76E6">
        <w:t xml:space="preserve"> was likely composed in the late 14th century, when Cornwall maintained a distinctive cultural identity.</w:t>
      </w:r>
      <w:r w:rsidR="004308FF">
        <w:rPr>
          <w:rStyle w:val="FootnoteReference"/>
        </w:rPr>
        <w:footnoteReference w:id="10"/>
      </w:r>
      <w:r w:rsidRPr="004B76E6">
        <w:t xml:space="preserve"> The region was isolated both geographically and linguistically, with Cornish, a Celtic language, still in widespread use among the common people. This linguistic context is essential in understanding the </w:t>
      </w:r>
      <w:r w:rsidRPr="004B76E6">
        <w:rPr>
          <w:i/>
          <w:iCs/>
        </w:rPr>
        <w:t>Ordinalia</w:t>
      </w:r>
      <w:r w:rsidRPr="004B76E6">
        <w:t xml:space="preserve">’s function within medieval Cornwall. Although Latin was the language of the Church and the educated elite, the use of Cornish for the </w:t>
      </w:r>
      <w:r w:rsidRPr="004B76E6">
        <w:rPr>
          <w:i/>
          <w:iCs/>
        </w:rPr>
        <w:t>Ordinalia</w:t>
      </w:r>
      <w:r w:rsidRPr="004B76E6">
        <w:t xml:space="preserve"> ensured that the plays were accessible to the local population, who might not have been fluent in Latin. By utilizing the vernacular, the playwright ensured that theological and moral lessons could be </w:t>
      </w:r>
      <w:r w:rsidRPr="004B76E6">
        <w:lastRenderedPageBreak/>
        <w:t>communicated to a broad audience, making the complex ideas of salvation, sin, and divine justice more approachable.</w:t>
      </w:r>
      <w:r w:rsidR="004308FF">
        <w:rPr>
          <w:rStyle w:val="FootnoteReference"/>
        </w:rPr>
        <w:footnoteReference w:id="11"/>
      </w:r>
    </w:p>
    <w:p w14:paraId="6129F1AE" w14:textId="6F240F76" w:rsidR="004B76E6" w:rsidRPr="004B76E6" w:rsidRDefault="004B76E6" w:rsidP="004B76E6">
      <w:r w:rsidRPr="004B76E6">
        <w:t xml:space="preserve">The </w:t>
      </w:r>
      <w:r w:rsidRPr="004B76E6">
        <w:rPr>
          <w:i/>
          <w:iCs/>
        </w:rPr>
        <w:t>Ordinalia</w:t>
      </w:r>
      <w:r w:rsidRPr="004B76E6">
        <w:t xml:space="preserve">, while rooted in the universal Christian tradition, also reflects local religious practices and beliefs. For example, the integration of apocryphal material, such as the </w:t>
      </w:r>
      <w:r w:rsidRPr="004B76E6">
        <w:rPr>
          <w:i/>
          <w:iCs/>
        </w:rPr>
        <w:t>Vita Adae et Evae</w:t>
      </w:r>
      <w:r w:rsidR="004308FF">
        <w:rPr>
          <w:rStyle w:val="FootnoteReference"/>
          <w:i/>
          <w:iCs/>
        </w:rPr>
        <w:footnoteReference w:id="12"/>
      </w:r>
      <w:r w:rsidRPr="004B76E6">
        <w:t xml:space="preserve"> and the </w:t>
      </w:r>
      <w:r w:rsidRPr="004B76E6">
        <w:rPr>
          <w:i/>
          <w:iCs/>
        </w:rPr>
        <w:t>Gospel of Nicodemus</w:t>
      </w:r>
      <w:r w:rsidR="004308FF">
        <w:rPr>
          <w:rStyle w:val="FootnoteReference"/>
          <w:i/>
          <w:iCs/>
        </w:rPr>
        <w:footnoteReference w:id="13"/>
      </w:r>
      <w:r w:rsidRPr="004B76E6">
        <w:t xml:space="preserve">, into the Seth episode suggests that medieval Cornish Christians engaged not only with canonical scripture but also with popular devotional literature and legend. These apocryphal texts, while not officially part of the Bible, were widely read and discussed in medieval Christianity, and their inclusion in the </w:t>
      </w:r>
      <w:r w:rsidRPr="004B76E6">
        <w:rPr>
          <w:i/>
          <w:iCs/>
        </w:rPr>
        <w:t>Ordinalia</w:t>
      </w:r>
      <w:r w:rsidRPr="004B76E6">
        <w:t xml:space="preserve"> points to the local </w:t>
      </w:r>
      <w:r w:rsidR="008D3725" w:rsidRPr="008269C3">
        <w:t>style</w:t>
      </w:r>
      <w:r w:rsidRPr="004B76E6">
        <w:t xml:space="preserve"> of religious practice in Cornwall, where oral and folk traditions played a significant role in shaping theological understanding.</w:t>
      </w:r>
    </w:p>
    <w:p w14:paraId="5318E9E8" w14:textId="67C0D7F3" w:rsidR="004B76E6" w:rsidRPr="004B76E6" w:rsidRDefault="004B76E6" w:rsidP="004B76E6">
      <w:r w:rsidRPr="004B76E6">
        <w:t xml:space="preserve">Moreover, the performance of the </w:t>
      </w:r>
      <w:r w:rsidRPr="004B76E6">
        <w:rPr>
          <w:i/>
          <w:iCs/>
        </w:rPr>
        <w:t>Ordinalia</w:t>
      </w:r>
      <w:r w:rsidRPr="004B76E6">
        <w:t xml:space="preserve"> in public spaces, likely on feast days or during local festivals, reflects the importance of communal religious life.</w:t>
      </w:r>
      <w:r w:rsidR="004308FF">
        <w:rPr>
          <w:rStyle w:val="FootnoteReference"/>
        </w:rPr>
        <w:footnoteReference w:id="14"/>
      </w:r>
      <w:r w:rsidRPr="004B76E6">
        <w:t xml:space="preserve"> The plays were not just a means of spiritual education; they were also community events that brought people together to collectively engage with their faith. The dramatic portrayal of Seth’s journey to Paradise would have encouraged audience members to reflect on their own spiritual journeys, their place in salvation history, and the role of divine grace in their lives.</w:t>
      </w:r>
      <w:r w:rsidR="00734DB1">
        <w:rPr>
          <w:rStyle w:val="FootnoteReference"/>
        </w:rPr>
        <w:footnoteReference w:id="15"/>
      </w:r>
    </w:p>
    <w:p w14:paraId="7DD24477" w14:textId="77777777" w:rsidR="004B76E6" w:rsidRPr="004B76E6" w:rsidRDefault="004B76E6" w:rsidP="004B76E6">
      <w:pPr>
        <w:rPr>
          <w:b/>
          <w:bCs/>
        </w:rPr>
      </w:pPr>
      <w:r w:rsidRPr="004B76E6">
        <w:rPr>
          <w:b/>
          <w:bCs/>
        </w:rPr>
        <w:t>Narrative Structure and Thematic Implications</w:t>
      </w:r>
    </w:p>
    <w:p w14:paraId="06998B9C" w14:textId="6FEF855B" w:rsidR="004B76E6" w:rsidRPr="004B76E6" w:rsidRDefault="004B76E6" w:rsidP="004B76E6">
      <w:r w:rsidRPr="004B76E6">
        <w:t xml:space="preserve">Theologically, the </w:t>
      </w:r>
      <w:r w:rsidRPr="004B76E6">
        <w:rPr>
          <w:i/>
          <w:iCs/>
        </w:rPr>
        <w:t>Seth Goes to Paradise</w:t>
      </w:r>
      <w:r w:rsidRPr="004B76E6">
        <w:t xml:space="preserve"> episode provides a moment of pause between the sin of Adam and the coming redemption through Christ. Seth’s failure to retrieve the oil of mercy does not represent a tragic end but rather an opportunity to demonstrate the futility of human efforts without divine grace. This failure is not portrayed as a moral failing but as a necessary part of the divine plan. Seth’s obedience</w:t>
      </w:r>
      <w:r w:rsidR="003E18AD">
        <w:t>,</w:t>
      </w:r>
      <w:r w:rsidRPr="004B76E6">
        <w:t xml:space="preserve"> his effort to save his father, and his longing for redemption are all presented as noble, but ultimately inadequate, actions. This serves to </w:t>
      </w:r>
      <w:r w:rsidR="00963266" w:rsidRPr="008269C3">
        <w:t>highlight</w:t>
      </w:r>
      <w:r w:rsidRPr="004B76E6">
        <w:t xml:space="preserve"> the medieval theological belief in the necessity of divine grace for salvation, as humans, even in their best efforts, cannot redeem themselves.</w:t>
      </w:r>
      <w:r w:rsidR="00734DB1">
        <w:rPr>
          <w:rStyle w:val="FootnoteReference"/>
        </w:rPr>
        <w:footnoteReference w:id="16"/>
      </w:r>
    </w:p>
    <w:p w14:paraId="4B8D953F" w14:textId="1931352A" w:rsidR="004B76E6" w:rsidRPr="004B76E6" w:rsidRDefault="00963266" w:rsidP="004B76E6">
      <w:r w:rsidRPr="008269C3">
        <w:t>This</w:t>
      </w:r>
      <w:r w:rsidR="004B76E6" w:rsidRPr="004B76E6">
        <w:t xml:space="preserve"> moment of failure prefigures the narrative of Christ’s redemptive act. While Seth’s quest for the oil of mercy is unsuccessful, the angel’s prophecy that Adam will be saved in the Harrowing of Hell introduces a glimmer of hope for the future. This foreshadows the eventual triumph of Christ, who will bring the oil of mercy back into Paradise and </w:t>
      </w:r>
      <w:r w:rsidR="004B76E6" w:rsidRPr="004B76E6">
        <w:lastRenderedPageBreak/>
        <w:t>offer salvation to all of humanity.</w:t>
      </w:r>
      <w:r w:rsidR="00734DB1">
        <w:rPr>
          <w:rStyle w:val="FootnoteReference"/>
        </w:rPr>
        <w:footnoteReference w:id="17"/>
      </w:r>
      <w:r w:rsidR="004B76E6" w:rsidRPr="004B76E6">
        <w:t xml:space="preserve"> By embedding this promise of future redemption into the </w:t>
      </w:r>
      <w:r w:rsidR="004B76E6" w:rsidRPr="004B76E6">
        <w:rPr>
          <w:i/>
          <w:iCs/>
        </w:rPr>
        <w:t>Ordinalia</w:t>
      </w:r>
      <w:r w:rsidR="004B76E6" w:rsidRPr="004B76E6">
        <w:t>’s structure, the playwright ensures that the audience understands the episode not as an isolated incident but as part of a larger cosmic drama, one in which Christ’s sacrifice will ultimately heal the rupture caused by Adam’s fall.</w:t>
      </w:r>
    </w:p>
    <w:p w14:paraId="44ADB8A6" w14:textId="1A6EEA89" w:rsidR="004B76E6" w:rsidRPr="004B76E6" w:rsidRDefault="004B76E6" w:rsidP="004B76E6">
      <w:r w:rsidRPr="004B76E6">
        <w:t xml:space="preserve">The episode also illustrates the medieval Christian understanding of the passage of time and the importance of prophecy in the unfolding of salvation history. In medieval theology, the idea of </w:t>
      </w:r>
      <w:r w:rsidRPr="004B76E6">
        <w:rPr>
          <w:i/>
          <w:iCs/>
        </w:rPr>
        <w:t>God’s time</w:t>
      </w:r>
      <w:r w:rsidR="003E18AD">
        <w:t xml:space="preserve">, </w:t>
      </w:r>
      <w:r w:rsidRPr="004B76E6">
        <w:t>which unfolds according to divine will rather than human understanding</w:t>
      </w:r>
      <w:r w:rsidR="003E18AD">
        <w:t xml:space="preserve">, </w:t>
      </w:r>
      <w:r w:rsidRPr="004B76E6">
        <w:t xml:space="preserve">was central. The waiting for Christ to bring salvation reflects this theological concept, emphasizing </w:t>
      </w:r>
      <w:r w:rsidR="003E18AD">
        <w:t>a</w:t>
      </w:r>
      <w:r w:rsidRPr="004B76E6">
        <w:t xml:space="preserve"> patient </w:t>
      </w:r>
      <w:r w:rsidR="003E18AD">
        <w:t>faith</w:t>
      </w:r>
      <w:r w:rsidRPr="004B76E6">
        <w:t xml:space="preserve"> required by all humanity. The Seth episode, as a point of transition between the Fall and the Redemption, functions as a moment of theological reflection that invites the audience to consider both the severity of sin and the possibility of salvation.</w:t>
      </w:r>
    </w:p>
    <w:p w14:paraId="57919105" w14:textId="77777777" w:rsidR="004B76E6" w:rsidRPr="004B76E6" w:rsidRDefault="004B76E6" w:rsidP="004B76E6">
      <w:pPr>
        <w:rPr>
          <w:b/>
          <w:bCs/>
        </w:rPr>
      </w:pPr>
      <w:r w:rsidRPr="004B76E6">
        <w:rPr>
          <w:b/>
          <w:bCs/>
        </w:rPr>
        <w:t>Imagery and Symbolism</w:t>
      </w:r>
    </w:p>
    <w:p w14:paraId="0675490F" w14:textId="45763957" w:rsidR="004B76E6" w:rsidRPr="004B76E6" w:rsidRDefault="004B76E6" w:rsidP="004B76E6">
      <w:r w:rsidRPr="004B76E6">
        <w:t xml:space="preserve">The imagery in the </w:t>
      </w:r>
      <w:r w:rsidRPr="004B76E6">
        <w:rPr>
          <w:i/>
          <w:iCs/>
        </w:rPr>
        <w:t>Seth Goes to Paradise</w:t>
      </w:r>
      <w:r w:rsidRPr="004B76E6">
        <w:t xml:space="preserve"> episode is deeply symbolic, reflecting the theological concerns at the heart of the </w:t>
      </w:r>
      <w:r w:rsidRPr="004B76E6">
        <w:rPr>
          <w:i/>
          <w:iCs/>
        </w:rPr>
        <w:t>Ordinalia</w:t>
      </w:r>
      <w:r w:rsidRPr="004B76E6">
        <w:t>. The gates of Paradise, which are sealed off from Seth by the flaming sword, are not merely physical barriers; they symbolize the spiritual separation between humanity and God.</w:t>
      </w:r>
      <w:r w:rsidR="00734DB1">
        <w:rPr>
          <w:rStyle w:val="FootnoteReference"/>
        </w:rPr>
        <w:footnoteReference w:id="18"/>
      </w:r>
      <w:r w:rsidRPr="004B76E6">
        <w:t xml:space="preserve"> This imagery draws directly from the Genesis narrative, where the flaming sword is used to guard the entrance to Paradise after Adam and Eve are cast out. The sword, which physically prevents Seth from accessing Paradise, serves as a reminder of the justice of God, which must be satisfied before humanity can re-enter the divine presence.</w:t>
      </w:r>
      <w:r w:rsidR="00734DB1">
        <w:rPr>
          <w:rStyle w:val="FootnoteReference"/>
        </w:rPr>
        <w:footnoteReference w:id="19"/>
      </w:r>
      <w:r w:rsidRPr="004B76E6">
        <w:t xml:space="preserve"> This visual element, which would have been brought to life in the performance space, would have left a lasting impression on the audience, reinforcing the play’s moral and theological message.</w:t>
      </w:r>
    </w:p>
    <w:p w14:paraId="5C806890" w14:textId="7B2F6A4D" w:rsidR="004B76E6" w:rsidRPr="004B76E6" w:rsidRDefault="004B76E6" w:rsidP="004B76E6">
      <w:r w:rsidRPr="004B76E6">
        <w:t>Seth’s journey, while a physical one, is also deeply allegorical. His role in the play is not just that of a historical figure or a narrative character but as a symbol of mankind’s hope for redemption. His obedience to God’s command, his willingness to journey into Paradise on behalf of his father, and his sorrow at being denied the oil of mercy all point to a broader theological concern with the human condition. Seth’s failure to obtain the oil symbolizes the insufficiency of human efforts to restore what was lost in the Fall. Yet, the angel’s prophecy offers hope, and the promise of Christ’s eventual victory over sin and death. This duality</w:t>
      </w:r>
      <w:r w:rsidR="009F0BBA">
        <w:t xml:space="preserve"> </w:t>
      </w:r>
      <w:r w:rsidRPr="004B76E6">
        <w:t>of failure followed by the promise of redemption</w:t>
      </w:r>
      <w:r w:rsidR="009F0BBA">
        <w:t xml:space="preserve">, </w:t>
      </w:r>
      <w:r w:rsidRPr="004B76E6">
        <w:t xml:space="preserve">encapsulates </w:t>
      </w:r>
      <w:r w:rsidRPr="004B76E6">
        <w:lastRenderedPageBreak/>
        <w:t xml:space="preserve">the overarching theological theme of the </w:t>
      </w:r>
      <w:r w:rsidRPr="004B76E6">
        <w:rPr>
          <w:i/>
          <w:iCs/>
        </w:rPr>
        <w:t>Ordinalia</w:t>
      </w:r>
      <w:r w:rsidRPr="004B76E6">
        <w:t>, which is the movement from sin to salvation.</w:t>
      </w:r>
      <w:r w:rsidR="00734DB1">
        <w:rPr>
          <w:rStyle w:val="FootnoteReference"/>
        </w:rPr>
        <w:footnoteReference w:id="20"/>
      </w:r>
    </w:p>
    <w:p w14:paraId="1BACE35F" w14:textId="2E3A8D28" w:rsidR="004B76E6" w:rsidRDefault="004B76E6" w:rsidP="004B76E6">
      <w:r w:rsidRPr="004B76E6">
        <w:t xml:space="preserve">The symbolism of the oil itself is also critical. Oil, in Christian theology, was often associated with anointing and healing. In the </w:t>
      </w:r>
      <w:r w:rsidRPr="004B76E6">
        <w:rPr>
          <w:i/>
          <w:iCs/>
        </w:rPr>
        <w:t>Ordinalia</w:t>
      </w:r>
      <w:r w:rsidRPr="004B76E6">
        <w:t xml:space="preserve">, the oil of mercy represents the </w:t>
      </w:r>
      <w:r w:rsidR="0061507D">
        <w:t>ability to</w:t>
      </w:r>
      <w:r w:rsidRPr="004B76E6">
        <w:t xml:space="preserve"> heal the wound of sin. Seth’s inability to obtain this oil underscores humanity’s inability to heal itself. </w:t>
      </w:r>
    </w:p>
    <w:p w14:paraId="532AF182" w14:textId="77777777" w:rsidR="009F0BBA" w:rsidRPr="009F0BBA" w:rsidRDefault="009F0BBA" w:rsidP="009F0BBA">
      <w:pPr>
        <w:rPr>
          <w:b/>
          <w:bCs/>
        </w:rPr>
      </w:pPr>
      <w:r w:rsidRPr="009F0BBA">
        <w:rPr>
          <w:b/>
          <w:bCs/>
        </w:rPr>
        <w:t>Cultural Context: Cornish Christianity and Local Identity</w:t>
      </w:r>
    </w:p>
    <w:p w14:paraId="317FEB48" w14:textId="4EB871B5" w:rsidR="009F0BBA" w:rsidRPr="009F0BBA" w:rsidRDefault="009F0BBA" w:rsidP="009F0BBA">
      <w:r w:rsidRPr="009F0BBA">
        <w:t xml:space="preserve">The cultural context of 14th-century Cornwall deeply </w:t>
      </w:r>
      <w:r w:rsidR="00200157">
        <w:t>influences</w:t>
      </w:r>
      <w:r w:rsidRPr="009F0BBA">
        <w:t xml:space="preserve"> the </w:t>
      </w:r>
      <w:r w:rsidRPr="009F0BBA">
        <w:rPr>
          <w:i/>
          <w:iCs/>
        </w:rPr>
        <w:t>Ordinalia</w:t>
      </w:r>
      <w:r w:rsidRPr="009F0BBA">
        <w:t xml:space="preserve">. Cornwall in this period was a culturally distinct region with its own language, saints, and religious customs, despite being under English rule. The </w:t>
      </w:r>
      <w:r w:rsidRPr="009F0BBA">
        <w:rPr>
          <w:i/>
          <w:iCs/>
        </w:rPr>
        <w:t>Ordinalia</w:t>
      </w:r>
      <w:r w:rsidRPr="009F0BBA">
        <w:t xml:space="preserve"> was commissioned for performance by the local religious and possibly civic institutions, such as Glasney College in Penryn,</w:t>
      </w:r>
      <w:r w:rsidR="00132F0A">
        <w:rPr>
          <w:rStyle w:val="FootnoteReference"/>
        </w:rPr>
        <w:footnoteReference w:id="21"/>
      </w:r>
      <w:r w:rsidRPr="009F0BBA">
        <w:t xml:space="preserve"> a key </w:t>
      </w:r>
      <w:r w:rsidR="00200157" w:rsidRPr="009F0BBA">
        <w:t>centre</w:t>
      </w:r>
      <w:r w:rsidRPr="009F0BBA">
        <w:t xml:space="preserve"> for Cornish-language religious writing. The use of Middle Cornish, rather than Latin or English, reflects a strong regional identity and a desire to engage directly with the local populace.</w:t>
      </w:r>
    </w:p>
    <w:p w14:paraId="303EF1D0" w14:textId="35F7305B" w:rsidR="009F0BBA" w:rsidRPr="004B76E6" w:rsidRDefault="009F0BBA" w:rsidP="004B76E6">
      <w:r w:rsidRPr="009F0BBA">
        <w:t>Cornish Christianity during this period was marked by a blend of official doctrine and vernacular religiosity, incorporating oral traditions, local saint cults, and folk beliefs.</w:t>
      </w:r>
      <w:r w:rsidR="00132F0A">
        <w:rPr>
          <w:rStyle w:val="FootnoteReference"/>
        </w:rPr>
        <w:footnoteReference w:id="22"/>
      </w:r>
      <w:r w:rsidRPr="009F0BBA">
        <w:t xml:space="preserve"> The “Seth Goes to Paradise” episode mirrors this fusion. Though apocryphal, the story would have been familiar to a Cornish audience not just through church teaching but through oral storytelling and visual church iconography.</w:t>
      </w:r>
      <w:r w:rsidR="00132F0A">
        <w:rPr>
          <w:rStyle w:val="FootnoteReference"/>
        </w:rPr>
        <w:footnoteReference w:id="23"/>
      </w:r>
      <w:r w:rsidRPr="009F0BBA">
        <w:t xml:space="preserve"> The accessibility of this story made it an ideal subject for a theatrical performance aimed at communicating profound theological truths—such as the necessity of divine grace for redemption—in familiar, emotionally resonant terms.</w:t>
      </w:r>
    </w:p>
    <w:p w14:paraId="529B81A9" w14:textId="77777777" w:rsidR="004B76E6" w:rsidRPr="004B76E6" w:rsidRDefault="004B76E6" w:rsidP="004B76E6">
      <w:pPr>
        <w:rPr>
          <w:b/>
          <w:bCs/>
        </w:rPr>
      </w:pPr>
      <w:r w:rsidRPr="004B76E6">
        <w:rPr>
          <w:b/>
          <w:bCs/>
        </w:rPr>
        <w:t>Conclusion</w:t>
      </w:r>
    </w:p>
    <w:p w14:paraId="32CA1B8B" w14:textId="77777777" w:rsidR="004B76E6" w:rsidRPr="004B76E6" w:rsidRDefault="004B76E6" w:rsidP="004B76E6">
      <w:r w:rsidRPr="004B76E6">
        <w:t xml:space="preserve">The “Seth Goes to Paradise” episode in the </w:t>
      </w:r>
      <w:r w:rsidRPr="004B76E6">
        <w:rPr>
          <w:i/>
          <w:iCs/>
        </w:rPr>
        <w:t>Ordinalia</w:t>
      </w:r>
      <w:r w:rsidRPr="004B76E6">
        <w:t xml:space="preserve"> is not merely a dramatization of an apocryphal legend but a profound theological reflection on sin, grace, and redemption. Situated within the context of medieval religious drama, the episode offers a rich, typological exploration of humanity’s fall from grace and the necessity of divine intervention for salvation. The inclusion of this episode in the </w:t>
      </w:r>
      <w:r w:rsidRPr="004B76E6">
        <w:rPr>
          <w:i/>
          <w:iCs/>
        </w:rPr>
        <w:t>Ordinalia</w:t>
      </w:r>
      <w:r w:rsidRPr="004B76E6">
        <w:t xml:space="preserve"> cycle speaks to the larger project of the mystery plays to educate and spiritually edify their audience, presenting a dramatic version of Christian salvation history that connects the Old </w:t>
      </w:r>
      <w:r w:rsidRPr="004B76E6">
        <w:lastRenderedPageBreak/>
        <w:t>Testament, the life of Christ, and the eventual hope for redemption. By examining this episode within its medieval religious and cultural context, we see how it conveys the theological concerns of the time, offering hope and moral instruction through allegorical representation and symbolic imagery.</w:t>
      </w:r>
    </w:p>
    <w:p w14:paraId="0E8F7399" w14:textId="77777777" w:rsidR="004B76E6" w:rsidRPr="004B76E6" w:rsidRDefault="004B76E6" w:rsidP="004B76E6">
      <w:r w:rsidRPr="004B76E6">
        <w:t xml:space="preserve">Ultimately, the episode serves as a critical moment in the </w:t>
      </w:r>
      <w:r w:rsidRPr="004B76E6">
        <w:rPr>
          <w:i/>
          <w:iCs/>
        </w:rPr>
        <w:t>Ordinalia</w:t>
      </w:r>
      <w:r w:rsidRPr="004B76E6">
        <w:t xml:space="preserve"> cycle, where the drama of human salvation begins to unfold. Seth’s failure to obtain the oil of mercy may seem like a tragic defeat, but it is only through this failure that the necessity of divine grace becomes clear. The </w:t>
      </w:r>
      <w:r w:rsidRPr="004B76E6">
        <w:rPr>
          <w:i/>
          <w:iCs/>
        </w:rPr>
        <w:t>Seth Goes to Paradise</w:t>
      </w:r>
      <w:r w:rsidRPr="004B76E6">
        <w:t xml:space="preserve"> episode is an essential component of the </w:t>
      </w:r>
      <w:r w:rsidRPr="004B76E6">
        <w:rPr>
          <w:i/>
          <w:iCs/>
        </w:rPr>
        <w:t>Ordinalia</w:t>
      </w:r>
      <w:r w:rsidRPr="004B76E6">
        <w:t>, demonstrating the limits of human agency and the transformative power of divine intervention—key themes that would resonate with the medieval audience and continue to offer valuable theological insights for contemporary readers.</w:t>
      </w:r>
    </w:p>
    <w:p w14:paraId="30526EBA" w14:textId="22070B00" w:rsidR="004B76E6" w:rsidRPr="008269C3" w:rsidRDefault="004B76E6" w:rsidP="004B76E6"/>
    <w:p w14:paraId="56662BA5" w14:textId="77777777" w:rsidR="004B76E6" w:rsidRPr="008269C3" w:rsidRDefault="004B76E6" w:rsidP="004B76E6"/>
    <w:p w14:paraId="707B2ACB" w14:textId="2F07751F" w:rsidR="00132F0A" w:rsidRPr="00060C2E" w:rsidRDefault="004B76E6" w:rsidP="004B76E6">
      <w:pPr>
        <w:rPr>
          <w:b/>
          <w:bCs/>
        </w:rPr>
      </w:pPr>
      <w:r w:rsidRPr="00060C2E">
        <w:rPr>
          <w:b/>
          <w:bCs/>
        </w:rPr>
        <w:t xml:space="preserve">Bibliography </w:t>
      </w:r>
    </w:p>
    <w:p w14:paraId="6D4D3639" w14:textId="11B044C0" w:rsidR="00132F0A" w:rsidRPr="00060C2E" w:rsidRDefault="00060C2E" w:rsidP="00060C2E">
      <w:pPr>
        <w:pStyle w:val="FootnoteText"/>
        <w:spacing w:line="360" w:lineRule="auto"/>
        <w:ind w:left="720" w:hanging="720"/>
        <w:rPr>
          <w:sz w:val="24"/>
          <w:szCs w:val="24"/>
        </w:rPr>
      </w:pPr>
      <w:r w:rsidRPr="00060C2E">
        <w:rPr>
          <w:sz w:val="24"/>
          <w:szCs w:val="24"/>
        </w:rPr>
        <w:t>Bakere</w:t>
      </w:r>
      <w:r>
        <w:rPr>
          <w:sz w:val="24"/>
          <w:szCs w:val="24"/>
        </w:rPr>
        <w:t>,</w:t>
      </w:r>
      <w:r w:rsidRPr="00060C2E">
        <w:rPr>
          <w:sz w:val="24"/>
          <w:szCs w:val="24"/>
        </w:rPr>
        <w:t xml:space="preserve"> Jane A., </w:t>
      </w:r>
      <w:r w:rsidRPr="00060C2E">
        <w:rPr>
          <w:i/>
          <w:iCs/>
          <w:sz w:val="24"/>
          <w:szCs w:val="24"/>
        </w:rPr>
        <w:t>The Cornish Ordinalia: A Critical Study</w:t>
      </w:r>
      <w:r w:rsidRPr="00060C2E">
        <w:rPr>
          <w:sz w:val="24"/>
          <w:szCs w:val="24"/>
        </w:rPr>
        <w:t xml:space="preserve"> (Bath, The Pitman Press: 1980)</w:t>
      </w:r>
    </w:p>
    <w:p w14:paraId="66F20258" w14:textId="7EB93BEC" w:rsidR="00060C2E" w:rsidRPr="00060C2E" w:rsidRDefault="00060C2E" w:rsidP="00060C2E">
      <w:pPr>
        <w:pStyle w:val="FootnoteText"/>
        <w:spacing w:line="360" w:lineRule="auto"/>
        <w:ind w:left="720" w:hanging="720"/>
        <w:rPr>
          <w:sz w:val="24"/>
          <w:szCs w:val="24"/>
        </w:rPr>
      </w:pPr>
      <w:r w:rsidRPr="00060C2E">
        <w:rPr>
          <w:sz w:val="24"/>
          <w:szCs w:val="24"/>
        </w:rPr>
        <w:t>Black</w:t>
      </w:r>
      <w:r>
        <w:rPr>
          <w:sz w:val="24"/>
          <w:szCs w:val="24"/>
        </w:rPr>
        <w:t>,</w:t>
      </w:r>
      <w:r w:rsidRPr="00060C2E">
        <w:rPr>
          <w:sz w:val="24"/>
          <w:szCs w:val="24"/>
        </w:rPr>
        <w:t xml:space="preserve"> Daisy, ‘The Time of the Tree: Returning to Eden after the Fall in the Cornish Creation of the World’, Medieval Feminist Forum: A Journal of Gender and Sexuality, 50.1 (2014), 61-89 &lt;DOI: 10.17077/1536-8742.1979&gt;</w:t>
      </w:r>
    </w:p>
    <w:p w14:paraId="5603CB4F" w14:textId="4760AB99" w:rsidR="00060C2E" w:rsidRPr="00060C2E" w:rsidRDefault="00060C2E" w:rsidP="00060C2E">
      <w:pPr>
        <w:pStyle w:val="FootnoteText"/>
        <w:spacing w:line="360" w:lineRule="auto"/>
        <w:ind w:left="720" w:hanging="720"/>
        <w:rPr>
          <w:sz w:val="24"/>
          <w:szCs w:val="24"/>
        </w:rPr>
      </w:pPr>
      <w:r w:rsidRPr="00060C2E">
        <w:rPr>
          <w:sz w:val="24"/>
          <w:szCs w:val="24"/>
        </w:rPr>
        <w:t xml:space="preserve">Cornish App, </w:t>
      </w:r>
      <w:r w:rsidRPr="00060C2E">
        <w:rPr>
          <w:i/>
          <w:iCs/>
          <w:sz w:val="24"/>
          <w:szCs w:val="24"/>
        </w:rPr>
        <w:t>The Cornish Ordinalia: A Comprehensive Examination</w:t>
      </w:r>
      <w:hyperlink r:id="rId8" w:history="1"/>
      <w:r w:rsidRPr="00060C2E">
        <w:rPr>
          <w:sz w:val="24"/>
          <w:szCs w:val="24"/>
        </w:rPr>
        <w:t xml:space="preserve"> (2023) &lt;https://cornish.app/posts/2023-10-25-the-cornish-ordinalia-a-comprehensive-examination/&gt; [Accessed 08 May 2025]</w:t>
      </w:r>
    </w:p>
    <w:p w14:paraId="112457CB" w14:textId="6D175C19" w:rsidR="00060C2E" w:rsidRDefault="00060C2E" w:rsidP="00060C2E">
      <w:pPr>
        <w:spacing w:after="0" w:line="360" w:lineRule="auto"/>
        <w:ind w:left="720" w:hanging="720"/>
      </w:pPr>
      <w:r w:rsidRPr="00060C2E">
        <w:t>Diller, Hans-Jürgen, The Middle English Mystery Play: A Study in Dramatic Speech and Form (Cambridge: Cambridge University Press, 1992)</w:t>
      </w:r>
    </w:p>
    <w:p w14:paraId="5E6F0929" w14:textId="557B37AA" w:rsidR="00060C2E" w:rsidRPr="00060C2E" w:rsidRDefault="00060C2E" w:rsidP="00060C2E">
      <w:pPr>
        <w:pStyle w:val="FootnoteText"/>
        <w:spacing w:line="360" w:lineRule="auto"/>
        <w:ind w:left="720" w:hanging="720"/>
        <w:rPr>
          <w:sz w:val="24"/>
          <w:szCs w:val="24"/>
        </w:rPr>
      </w:pPr>
      <w:r w:rsidRPr="00060C2E">
        <w:rPr>
          <w:sz w:val="24"/>
          <w:szCs w:val="24"/>
        </w:rPr>
        <w:t>Gaskill</w:t>
      </w:r>
      <w:r>
        <w:rPr>
          <w:sz w:val="24"/>
          <w:szCs w:val="24"/>
        </w:rPr>
        <w:t>,</w:t>
      </w:r>
      <w:r w:rsidRPr="00060C2E">
        <w:rPr>
          <w:sz w:val="24"/>
          <w:szCs w:val="24"/>
        </w:rPr>
        <w:t xml:space="preserve"> Alonzo L., ‘What the Tree of Life Symbolises in the Garden of Eden and the Sacred Meaning Behind the Angels’ “Flaming Swords”</w:t>
      </w:r>
      <w:r>
        <w:rPr>
          <w:sz w:val="24"/>
          <w:szCs w:val="24"/>
        </w:rPr>
        <w:t>’</w:t>
      </w:r>
      <w:r w:rsidRPr="00060C2E">
        <w:rPr>
          <w:sz w:val="24"/>
          <w:szCs w:val="24"/>
        </w:rPr>
        <w:t xml:space="preserve">, </w:t>
      </w:r>
      <w:r w:rsidRPr="00060C2E">
        <w:rPr>
          <w:i/>
          <w:iCs/>
          <w:sz w:val="24"/>
          <w:szCs w:val="24"/>
        </w:rPr>
        <w:t>LDSLiving</w:t>
      </w:r>
      <w:r w:rsidRPr="00060C2E">
        <w:rPr>
          <w:sz w:val="24"/>
          <w:szCs w:val="24"/>
        </w:rPr>
        <w:t>, 29 August 2018 &lt;https://www.ldsliving.com/what-the-tree-of-life-symbolizes-in-the-garden-of-eden-the-sacred-meaning-behind-the-angels-flaming-swords/s/89178&gt; [Accessed 08 May 2025]</w:t>
      </w:r>
    </w:p>
    <w:p w14:paraId="64BF4861" w14:textId="77777777" w:rsidR="00060C2E" w:rsidRPr="00060C2E" w:rsidRDefault="00060C2E" w:rsidP="00060C2E">
      <w:pPr>
        <w:spacing w:after="0" w:line="360" w:lineRule="auto"/>
        <w:ind w:left="720" w:hanging="720"/>
      </w:pPr>
      <w:r w:rsidRPr="00060C2E">
        <w:t>Genesis 3. 24</w:t>
      </w:r>
    </w:p>
    <w:p w14:paraId="233B6943" w14:textId="77777777" w:rsidR="00060C2E" w:rsidRPr="00060C2E" w:rsidRDefault="00060C2E" w:rsidP="00060C2E">
      <w:pPr>
        <w:spacing w:after="0" w:line="360" w:lineRule="auto"/>
        <w:ind w:left="720" w:hanging="720"/>
      </w:pPr>
      <w:r w:rsidRPr="00060C2E">
        <w:t>Hayward</w:t>
      </w:r>
      <w:r>
        <w:t>,</w:t>
      </w:r>
      <w:r w:rsidRPr="00060C2E">
        <w:t xml:space="preserve"> Philip, ‘St. Michael’s Mount: From Christian Folklore to New Age Mythologies’, </w:t>
      </w:r>
      <w:r w:rsidRPr="00060C2E">
        <w:rPr>
          <w:i/>
          <w:iCs/>
        </w:rPr>
        <w:t>Folk, Knowledge, Place</w:t>
      </w:r>
      <w:r w:rsidRPr="00060C2E">
        <w:t>, 1.1 (2024) &lt;DOI: 10.24043/fkp.1&gt;</w:t>
      </w:r>
    </w:p>
    <w:p w14:paraId="4054E901" w14:textId="46EC9FBF" w:rsidR="00060C2E" w:rsidRPr="00060C2E" w:rsidRDefault="00060C2E" w:rsidP="00060C2E">
      <w:pPr>
        <w:pStyle w:val="FootnoteText"/>
        <w:spacing w:line="360" w:lineRule="auto"/>
        <w:ind w:left="720" w:hanging="720"/>
        <w:rPr>
          <w:sz w:val="24"/>
          <w:szCs w:val="24"/>
        </w:rPr>
      </w:pPr>
      <w:r w:rsidRPr="00060C2E">
        <w:rPr>
          <w:sz w:val="24"/>
          <w:szCs w:val="24"/>
        </w:rPr>
        <w:t>Norris</w:t>
      </w:r>
      <w:r>
        <w:rPr>
          <w:sz w:val="24"/>
          <w:szCs w:val="24"/>
        </w:rPr>
        <w:t>,</w:t>
      </w:r>
      <w:r w:rsidRPr="00060C2E">
        <w:rPr>
          <w:sz w:val="24"/>
          <w:szCs w:val="24"/>
        </w:rPr>
        <w:t xml:space="preserve"> Edwin, </w:t>
      </w:r>
      <w:r w:rsidRPr="00060C2E">
        <w:rPr>
          <w:i/>
          <w:iCs/>
          <w:sz w:val="24"/>
          <w:szCs w:val="24"/>
        </w:rPr>
        <w:t>The Ancient Cornish Drama</w:t>
      </w:r>
      <w:r w:rsidRPr="00060C2E">
        <w:rPr>
          <w:sz w:val="24"/>
          <w:szCs w:val="24"/>
        </w:rPr>
        <w:t xml:space="preserve"> (Oxford, Oxford University Press: 1859)</w:t>
      </w:r>
    </w:p>
    <w:p w14:paraId="744E24FC" w14:textId="77777777" w:rsidR="00060C2E" w:rsidRPr="00060C2E" w:rsidRDefault="00060C2E" w:rsidP="00060C2E">
      <w:pPr>
        <w:pStyle w:val="FootnoteText"/>
        <w:spacing w:line="360" w:lineRule="auto"/>
        <w:ind w:left="720" w:hanging="720"/>
        <w:rPr>
          <w:sz w:val="24"/>
          <w:szCs w:val="24"/>
        </w:rPr>
      </w:pPr>
      <w:r w:rsidRPr="00060C2E">
        <w:rPr>
          <w:sz w:val="24"/>
          <w:szCs w:val="24"/>
        </w:rPr>
        <w:lastRenderedPageBreak/>
        <w:t>Olson</w:t>
      </w:r>
      <w:r>
        <w:rPr>
          <w:sz w:val="24"/>
          <w:szCs w:val="24"/>
        </w:rPr>
        <w:t>,</w:t>
      </w:r>
      <w:r w:rsidRPr="00060C2E">
        <w:rPr>
          <w:sz w:val="24"/>
          <w:szCs w:val="24"/>
        </w:rPr>
        <w:t xml:space="preserve"> Lynette, ‘Review of Theatre in the Round – The Staging of Cornish Medieval Drama’, </w:t>
      </w:r>
      <w:r w:rsidRPr="00060C2E">
        <w:rPr>
          <w:i/>
          <w:iCs/>
          <w:sz w:val="24"/>
          <w:szCs w:val="24"/>
        </w:rPr>
        <w:t>Cornwall24</w:t>
      </w:r>
      <w:r w:rsidRPr="00060C2E">
        <w:rPr>
          <w:sz w:val="24"/>
          <w:szCs w:val="24"/>
        </w:rPr>
        <w:t xml:space="preserve">, 08 November 2013 </w:t>
      </w:r>
      <w:r>
        <w:rPr>
          <w:sz w:val="24"/>
          <w:szCs w:val="24"/>
        </w:rPr>
        <w:t>&lt;</w:t>
      </w:r>
      <w:r w:rsidRPr="00060C2E">
        <w:rPr>
          <w:sz w:val="24"/>
          <w:szCs w:val="24"/>
        </w:rPr>
        <w:t>https://www.cornwall24.net/2013/11/review-of-theatre-in-the-round-the-staging-of-cornish-medieval-drama/</w:t>
      </w:r>
      <w:r>
        <w:rPr>
          <w:sz w:val="24"/>
          <w:szCs w:val="24"/>
        </w:rPr>
        <w:t>&gt;</w:t>
      </w:r>
      <w:r w:rsidRPr="00060C2E">
        <w:rPr>
          <w:sz w:val="24"/>
          <w:szCs w:val="24"/>
        </w:rPr>
        <w:t xml:space="preserve"> [Accessed 08 May 2025]</w:t>
      </w:r>
    </w:p>
    <w:p w14:paraId="4A6674AF" w14:textId="77777777" w:rsidR="00060C2E" w:rsidRPr="00060C2E" w:rsidRDefault="00060C2E" w:rsidP="00060C2E">
      <w:pPr>
        <w:pStyle w:val="FootnoteText"/>
        <w:spacing w:line="360" w:lineRule="auto"/>
        <w:ind w:left="720" w:hanging="720"/>
        <w:rPr>
          <w:sz w:val="24"/>
          <w:szCs w:val="24"/>
        </w:rPr>
      </w:pPr>
      <w:r w:rsidRPr="00060C2E">
        <w:rPr>
          <w:sz w:val="24"/>
          <w:szCs w:val="24"/>
        </w:rPr>
        <w:t xml:space="preserve">Sacred Texts, </w:t>
      </w:r>
      <w:r w:rsidRPr="00060C2E">
        <w:rPr>
          <w:i/>
          <w:iCs/>
          <w:sz w:val="24"/>
          <w:szCs w:val="24"/>
        </w:rPr>
        <w:t>The Gospel of Nicodemus</w:t>
      </w:r>
      <w:r w:rsidRPr="00060C2E">
        <w:rPr>
          <w:sz w:val="24"/>
          <w:szCs w:val="24"/>
        </w:rPr>
        <w:t xml:space="preserve"> &lt;https://sacred-texts.com/bib/lbob/lbob10.htm&gt; [Accessed 08 May 2025]</w:t>
      </w:r>
    </w:p>
    <w:p w14:paraId="6D472EFC" w14:textId="77777777" w:rsidR="00060C2E" w:rsidRPr="00060C2E" w:rsidRDefault="00060C2E" w:rsidP="00060C2E">
      <w:pPr>
        <w:pStyle w:val="FootnoteText"/>
        <w:spacing w:line="360" w:lineRule="auto"/>
        <w:ind w:left="720" w:hanging="720"/>
        <w:rPr>
          <w:sz w:val="24"/>
          <w:szCs w:val="24"/>
        </w:rPr>
      </w:pPr>
      <w:r w:rsidRPr="00060C2E">
        <w:rPr>
          <w:sz w:val="24"/>
          <w:szCs w:val="24"/>
        </w:rPr>
        <w:t>Squibb</w:t>
      </w:r>
      <w:r>
        <w:rPr>
          <w:sz w:val="24"/>
          <w:szCs w:val="24"/>
        </w:rPr>
        <w:t>,</w:t>
      </w:r>
      <w:r w:rsidRPr="00060C2E">
        <w:rPr>
          <w:sz w:val="24"/>
          <w:szCs w:val="24"/>
        </w:rPr>
        <w:t xml:space="preserve"> Jason, </w:t>
      </w:r>
      <w:r w:rsidRPr="00060C2E">
        <w:rPr>
          <w:i/>
          <w:iCs/>
          <w:sz w:val="24"/>
          <w:szCs w:val="24"/>
        </w:rPr>
        <w:t>Introduction to the Cornish Ordinalia</w:t>
      </w:r>
      <w:r w:rsidRPr="00060C2E">
        <w:rPr>
          <w:sz w:val="24"/>
          <w:szCs w:val="24"/>
        </w:rPr>
        <w:t xml:space="preserve"> (2021) &lt;https://www.stjustordinalia.com/2021-features/article&gt; [Accessed 08 May 2025]</w:t>
      </w:r>
    </w:p>
    <w:p w14:paraId="23583770" w14:textId="77777777" w:rsidR="00060C2E" w:rsidRPr="00060C2E" w:rsidRDefault="00060C2E" w:rsidP="00060C2E">
      <w:pPr>
        <w:pStyle w:val="FootnoteText"/>
        <w:spacing w:line="360" w:lineRule="auto"/>
        <w:ind w:left="720" w:hanging="720"/>
        <w:rPr>
          <w:sz w:val="24"/>
          <w:szCs w:val="24"/>
        </w:rPr>
      </w:pPr>
      <w:r w:rsidRPr="00060C2E">
        <w:rPr>
          <w:sz w:val="24"/>
          <w:szCs w:val="24"/>
        </w:rPr>
        <w:t>Turner</w:t>
      </w:r>
      <w:r>
        <w:rPr>
          <w:sz w:val="24"/>
          <w:szCs w:val="24"/>
        </w:rPr>
        <w:t>,</w:t>
      </w:r>
      <w:r w:rsidRPr="00060C2E">
        <w:rPr>
          <w:sz w:val="24"/>
          <w:szCs w:val="24"/>
        </w:rPr>
        <w:t xml:space="preserve"> Samuel Charles, </w:t>
      </w:r>
      <w:r w:rsidRPr="00060C2E">
        <w:rPr>
          <w:i/>
          <w:iCs/>
          <w:sz w:val="24"/>
          <w:szCs w:val="24"/>
        </w:rPr>
        <w:t>Christianity and the Landscape of Early Medieval South-West Britain</w:t>
      </w:r>
      <w:r w:rsidRPr="00060C2E">
        <w:rPr>
          <w:sz w:val="24"/>
          <w:szCs w:val="24"/>
        </w:rPr>
        <w:t>. (Unpublished PhD thesis, University of York, 2003)</w:t>
      </w:r>
    </w:p>
    <w:p w14:paraId="035C4C65" w14:textId="77777777" w:rsidR="00060C2E" w:rsidRPr="00060C2E" w:rsidRDefault="00060C2E" w:rsidP="00060C2E">
      <w:pPr>
        <w:pStyle w:val="FootnoteText"/>
        <w:spacing w:line="360" w:lineRule="auto"/>
        <w:ind w:left="720" w:hanging="720"/>
        <w:rPr>
          <w:sz w:val="24"/>
          <w:szCs w:val="24"/>
        </w:rPr>
      </w:pPr>
      <w:r w:rsidRPr="00060C2E">
        <w:rPr>
          <w:i/>
          <w:iCs/>
          <w:sz w:val="24"/>
          <w:szCs w:val="24"/>
        </w:rPr>
        <w:t>Vita Adae and Evae</w:t>
      </w:r>
      <w:r w:rsidRPr="00060C2E">
        <w:rPr>
          <w:sz w:val="24"/>
          <w:szCs w:val="24"/>
        </w:rPr>
        <w:t>, trans. by B. Custis &lt;https://www2.iath.virginia.edu/anderson/vita/english/vita.lat.html&gt; [Accessed 08 May 2025]</w:t>
      </w:r>
    </w:p>
    <w:p w14:paraId="1524CEA3" w14:textId="3B7365F9" w:rsidR="00060C2E" w:rsidRPr="00060C2E" w:rsidRDefault="00060C2E" w:rsidP="00060C2E">
      <w:pPr>
        <w:spacing w:after="0" w:line="360" w:lineRule="auto"/>
        <w:ind w:left="720" w:hanging="720"/>
      </w:pPr>
      <w:r w:rsidRPr="00060C2E">
        <w:t>Woolf</w:t>
      </w:r>
      <w:r>
        <w:t>,</w:t>
      </w:r>
      <w:r w:rsidRPr="00060C2E">
        <w:t xml:space="preserve"> Rosemary, </w:t>
      </w:r>
      <w:r w:rsidRPr="00060C2E">
        <w:rPr>
          <w:i/>
          <w:iCs/>
        </w:rPr>
        <w:t xml:space="preserve">The English Mystery Plays </w:t>
      </w:r>
      <w:r w:rsidRPr="00060C2E">
        <w:t>(</w:t>
      </w:r>
      <w:r>
        <w:t>Berkley</w:t>
      </w:r>
      <w:r w:rsidRPr="00060C2E">
        <w:t>, University of California Press: 1972)</w:t>
      </w:r>
    </w:p>
    <w:p w14:paraId="41C418C3" w14:textId="77777777" w:rsidR="00060C2E" w:rsidRPr="00060C2E" w:rsidRDefault="00060C2E">
      <w:pPr>
        <w:spacing w:after="0" w:line="360" w:lineRule="auto"/>
        <w:ind w:left="720" w:hanging="720"/>
      </w:pPr>
    </w:p>
    <w:sectPr w:rsidR="00060C2E" w:rsidRPr="00060C2E">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9E705D" w14:textId="77777777" w:rsidR="00506F04" w:rsidRDefault="00506F04" w:rsidP="00C23798">
      <w:pPr>
        <w:spacing w:after="0" w:line="240" w:lineRule="auto"/>
      </w:pPr>
      <w:r>
        <w:separator/>
      </w:r>
    </w:p>
  </w:endnote>
  <w:endnote w:type="continuationSeparator" w:id="0">
    <w:p w14:paraId="59F7B868" w14:textId="77777777" w:rsidR="00506F04" w:rsidRDefault="00506F04" w:rsidP="00C237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120A44" w14:textId="77777777" w:rsidR="00506F04" w:rsidRDefault="00506F04" w:rsidP="00C23798">
      <w:pPr>
        <w:spacing w:after="0" w:line="240" w:lineRule="auto"/>
      </w:pPr>
      <w:r>
        <w:separator/>
      </w:r>
    </w:p>
  </w:footnote>
  <w:footnote w:type="continuationSeparator" w:id="0">
    <w:p w14:paraId="15E4CC13" w14:textId="77777777" w:rsidR="00506F04" w:rsidRDefault="00506F04" w:rsidP="00C23798">
      <w:pPr>
        <w:spacing w:after="0" w:line="240" w:lineRule="auto"/>
      </w:pPr>
      <w:r>
        <w:continuationSeparator/>
      </w:r>
    </w:p>
  </w:footnote>
  <w:footnote w:id="1">
    <w:p w14:paraId="46A71A4A" w14:textId="049B9901" w:rsidR="00C23798" w:rsidRDefault="00C23798">
      <w:pPr>
        <w:pStyle w:val="FootnoteText"/>
      </w:pPr>
      <w:r>
        <w:rPr>
          <w:rStyle w:val="FootnoteReference"/>
        </w:rPr>
        <w:footnoteRef/>
      </w:r>
      <w:r>
        <w:t xml:space="preserve"> Cornish App, </w:t>
      </w:r>
      <w:r>
        <w:rPr>
          <w:i/>
          <w:iCs/>
        </w:rPr>
        <w:t>The Cornish Ordinalia: A Comprehensive Examination</w:t>
      </w:r>
      <w:hyperlink r:id="rId1" w:history="1"/>
      <w:r>
        <w:t xml:space="preserve"> (2023) &lt;</w:t>
      </w:r>
      <w:r w:rsidRPr="00C23798">
        <w:t>https://cornish.app/posts/2023-10-25-the-cornish-ordinalia-a-comprehensive-examination/</w:t>
      </w:r>
      <w:r>
        <w:t>&gt; [Accessed 08 May 2025].</w:t>
      </w:r>
    </w:p>
  </w:footnote>
  <w:footnote w:id="2">
    <w:p w14:paraId="5178E411" w14:textId="32580421" w:rsidR="00C23798" w:rsidRDefault="00C23798">
      <w:pPr>
        <w:pStyle w:val="FootnoteText"/>
      </w:pPr>
      <w:r>
        <w:rPr>
          <w:rStyle w:val="FootnoteReference"/>
        </w:rPr>
        <w:footnoteRef/>
      </w:r>
      <w:r>
        <w:t xml:space="preserve"> Ibid.</w:t>
      </w:r>
    </w:p>
  </w:footnote>
  <w:footnote w:id="3">
    <w:p w14:paraId="13F9AC80" w14:textId="7E774CC8" w:rsidR="00C23798" w:rsidRPr="00C23798" w:rsidRDefault="00C23798">
      <w:pPr>
        <w:pStyle w:val="FootnoteText"/>
      </w:pPr>
      <w:r>
        <w:rPr>
          <w:rStyle w:val="FootnoteReference"/>
        </w:rPr>
        <w:footnoteRef/>
      </w:r>
      <w:r>
        <w:t xml:space="preserve"> Rosemary Woolf, </w:t>
      </w:r>
      <w:r>
        <w:rPr>
          <w:i/>
          <w:iCs/>
        </w:rPr>
        <w:t xml:space="preserve">The English Mystery Plays </w:t>
      </w:r>
      <w:r>
        <w:t>(</w:t>
      </w:r>
      <w:r w:rsidR="00060C2E">
        <w:t>Berkley</w:t>
      </w:r>
      <w:r>
        <w:t>, University of California Press: 1972) p. 2.</w:t>
      </w:r>
    </w:p>
  </w:footnote>
  <w:footnote w:id="4">
    <w:p w14:paraId="40B12006" w14:textId="20AE57C4" w:rsidR="00C23798" w:rsidRPr="00C23798" w:rsidRDefault="00C23798">
      <w:pPr>
        <w:pStyle w:val="FootnoteText"/>
      </w:pPr>
      <w:r>
        <w:rPr>
          <w:rStyle w:val="FootnoteReference"/>
        </w:rPr>
        <w:footnoteRef/>
      </w:r>
      <w:r>
        <w:t xml:space="preserve"> Edwin Norris, </w:t>
      </w:r>
      <w:r>
        <w:rPr>
          <w:i/>
          <w:iCs/>
        </w:rPr>
        <w:t>The Ancient Cornish Drama</w:t>
      </w:r>
      <w:r>
        <w:t xml:space="preserve"> (Oxford, Oxford University Press: 1859) p. 65.</w:t>
      </w:r>
    </w:p>
  </w:footnote>
  <w:footnote w:id="5">
    <w:p w14:paraId="47DCF95B" w14:textId="0356F3ED" w:rsidR="00C23798" w:rsidRDefault="00C23798">
      <w:pPr>
        <w:pStyle w:val="FootnoteText"/>
      </w:pPr>
      <w:r>
        <w:rPr>
          <w:rStyle w:val="FootnoteReference"/>
        </w:rPr>
        <w:footnoteRef/>
      </w:r>
      <w:r>
        <w:t xml:space="preserve"> Ibid pp.58-65.</w:t>
      </w:r>
    </w:p>
  </w:footnote>
  <w:footnote w:id="6">
    <w:p w14:paraId="3FB67382" w14:textId="4E0578B2" w:rsidR="00C23798" w:rsidRDefault="00C23798">
      <w:pPr>
        <w:pStyle w:val="FootnoteText"/>
      </w:pPr>
      <w:r>
        <w:rPr>
          <w:rStyle w:val="FootnoteReference"/>
        </w:rPr>
        <w:footnoteRef/>
      </w:r>
      <w:r>
        <w:t xml:space="preserve"> Ibid p. 55.</w:t>
      </w:r>
    </w:p>
  </w:footnote>
  <w:footnote w:id="7">
    <w:p w14:paraId="2AEF84C7" w14:textId="1061353B" w:rsidR="00C23798" w:rsidRDefault="00C23798">
      <w:pPr>
        <w:pStyle w:val="FootnoteText"/>
      </w:pPr>
      <w:r>
        <w:rPr>
          <w:rStyle w:val="FootnoteReference"/>
        </w:rPr>
        <w:footnoteRef/>
      </w:r>
      <w:r>
        <w:t xml:space="preserve"> Ibid p. 65.</w:t>
      </w:r>
    </w:p>
  </w:footnote>
  <w:footnote w:id="8">
    <w:p w14:paraId="00ACE8C5" w14:textId="5675B7D4" w:rsidR="00C23798" w:rsidRDefault="00C23798">
      <w:pPr>
        <w:pStyle w:val="FootnoteText"/>
      </w:pPr>
      <w:r>
        <w:rPr>
          <w:rStyle w:val="FootnoteReference"/>
        </w:rPr>
        <w:footnoteRef/>
      </w:r>
      <w:r>
        <w:t xml:space="preserve"> Ibid p. </w:t>
      </w:r>
      <w:r w:rsidR="004308FF">
        <w:t>63</w:t>
      </w:r>
    </w:p>
  </w:footnote>
  <w:footnote w:id="9">
    <w:p w14:paraId="6E6A0C33" w14:textId="07294B32" w:rsidR="004308FF" w:rsidRPr="004308FF" w:rsidRDefault="004308FF">
      <w:pPr>
        <w:pStyle w:val="FootnoteText"/>
      </w:pPr>
      <w:r>
        <w:rPr>
          <w:rStyle w:val="FootnoteReference"/>
        </w:rPr>
        <w:footnoteRef/>
      </w:r>
      <w:r>
        <w:t xml:space="preserve"> Lynette Olson, ‘</w:t>
      </w:r>
      <w:r w:rsidRPr="004308FF">
        <w:t>Review of Theatre in the Round – The Staging of Cornish Medieval Drama</w:t>
      </w:r>
      <w:r>
        <w:t xml:space="preserve">’, </w:t>
      </w:r>
      <w:r>
        <w:rPr>
          <w:i/>
          <w:iCs/>
        </w:rPr>
        <w:t>Cornwall24</w:t>
      </w:r>
      <w:r>
        <w:t xml:space="preserve">, 08 November 2013 </w:t>
      </w:r>
      <w:r w:rsidR="00BD2DBB">
        <w:t>&lt;</w:t>
      </w:r>
      <w:r w:rsidR="00BD2DBB" w:rsidRPr="00BD2DBB">
        <w:t>https://www.cornwall24.net/2013/11/review-of-theatre-in-the-round-the-staging-of-cornish-medieval-drama/</w:t>
      </w:r>
      <w:r w:rsidR="00BD2DBB">
        <w:t>&gt;</w:t>
      </w:r>
      <w:r>
        <w:t xml:space="preserve"> [Accessed 08 May 2025]</w:t>
      </w:r>
      <w:r w:rsidR="00060C2E">
        <w:t>.</w:t>
      </w:r>
    </w:p>
  </w:footnote>
  <w:footnote w:id="10">
    <w:p w14:paraId="71282198" w14:textId="7417E7B8" w:rsidR="004308FF" w:rsidRDefault="004308FF">
      <w:pPr>
        <w:pStyle w:val="FootnoteText"/>
      </w:pPr>
      <w:r>
        <w:rPr>
          <w:rStyle w:val="FootnoteReference"/>
        </w:rPr>
        <w:footnoteRef/>
      </w:r>
      <w:r>
        <w:t xml:space="preserve"> Cornish App, </w:t>
      </w:r>
      <w:r>
        <w:rPr>
          <w:i/>
          <w:iCs/>
        </w:rPr>
        <w:t>The Cornish Ordinalia: A Comprehensive Examination</w:t>
      </w:r>
      <w:hyperlink r:id="rId2" w:history="1"/>
      <w:r>
        <w:t>.</w:t>
      </w:r>
    </w:p>
  </w:footnote>
  <w:footnote w:id="11">
    <w:p w14:paraId="104752DC" w14:textId="6EC21DD5" w:rsidR="004308FF" w:rsidRDefault="004308FF">
      <w:pPr>
        <w:pStyle w:val="FootnoteText"/>
      </w:pPr>
      <w:r>
        <w:rPr>
          <w:rStyle w:val="FootnoteReference"/>
        </w:rPr>
        <w:footnoteRef/>
      </w:r>
      <w:r>
        <w:t xml:space="preserve"> Rosemary Woolf, </w:t>
      </w:r>
      <w:r>
        <w:rPr>
          <w:i/>
          <w:iCs/>
        </w:rPr>
        <w:t>The English Mystery Plays</w:t>
      </w:r>
      <w:r>
        <w:t xml:space="preserve"> p. 3</w:t>
      </w:r>
      <w:r w:rsidR="00060C2E">
        <w:t>.</w:t>
      </w:r>
    </w:p>
  </w:footnote>
  <w:footnote w:id="12">
    <w:p w14:paraId="13F5FF6A" w14:textId="0EF460C6" w:rsidR="004308FF" w:rsidRPr="004308FF" w:rsidRDefault="004308FF">
      <w:pPr>
        <w:pStyle w:val="FootnoteText"/>
      </w:pPr>
      <w:r>
        <w:rPr>
          <w:rStyle w:val="FootnoteReference"/>
        </w:rPr>
        <w:footnoteRef/>
      </w:r>
      <w:r>
        <w:t xml:space="preserve"> </w:t>
      </w:r>
      <w:r>
        <w:rPr>
          <w:i/>
          <w:iCs/>
        </w:rPr>
        <w:t>Vita Adae and Evae</w:t>
      </w:r>
      <w:r>
        <w:t>, trans. by B. Custis &lt;</w:t>
      </w:r>
      <w:r w:rsidRPr="004308FF">
        <w:t>https://www2.iath.virginia.edu/anderson/vita/english/vita.lat.html</w:t>
      </w:r>
      <w:r>
        <w:t>&gt; [Accessed 08 May 2025].</w:t>
      </w:r>
    </w:p>
  </w:footnote>
  <w:footnote w:id="13">
    <w:p w14:paraId="7B13650B" w14:textId="3AA8DD64" w:rsidR="004308FF" w:rsidRPr="004308FF" w:rsidRDefault="004308FF">
      <w:pPr>
        <w:pStyle w:val="FootnoteText"/>
      </w:pPr>
      <w:r>
        <w:rPr>
          <w:rStyle w:val="FootnoteReference"/>
        </w:rPr>
        <w:footnoteRef/>
      </w:r>
      <w:r>
        <w:t xml:space="preserve"> Sacred Texts, </w:t>
      </w:r>
      <w:r>
        <w:rPr>
          <w:i/>
          <w:iCs/>
        </w:rPr>
        <w:t>The Gospel of Nicodemus</w:t>
      </w:r>
      <w:r>
        <w:t xml:space="preserve"> &lt;</w:t>
      </w:r>
      <w:r w:rsidRPr="004308FF">
        <w:t>https://sacred-texts.com/bib/lbob/lbob10.htm</w:t>
      </w:r>
      <w:r>
        <w:t>&gt; [Accessed 08 May 2025].</w:t>
      </w:r>
    </w:p>
  </w:footnote>
  <w:footnote w:id="14">
    <w:p w14:paraId="32482B14" w14:textId="3383F0FD" w:rsidR="004308FF" w:rsidRPr="004308FF" w:rsidRDefault="004308FF">
      <w:pPr>
        <w:pStyle w:val="FootnoteText"/>
      </w:pPr>
      <w:r>
        <w:rPr>
          <w:rStyle w:val="FootnoteReference"/>
        </w:rPr>
        <w:footnoteRef/>
      </w:r>
      <w:r>
        <w:t xml:space="preserve"> Jane A. Bakere, </w:t>
      </w:r>
      <w:r>
        <w:rPr>
          <w:i/>
          <w:iCs/>
        </w:rPr>
        <w:t>The Cornish Ordinalia: A Critical Study</w:t>
      </w:r>
      <w:r w:rsidR="00734DB1">
        <w:t xml:space="preserve"> (Bath, The Pitman Press: 1980) p. 12.</w:t>
      </w:r>
    </w:p>
  </w:footnote>
  <w:footnote w:id="15">
    <w:p w14:paraId="6C296E66" w14:textId="3BF98EFE" w:rsidR="00734DB1" w:rsidRDefault="00734DB1">
      <w:pPr>
        <w:pStyle w:val="FootnoteText"/>
      </w:pPr>
      <w:r>
        <w:rPr>
          <w:rStyle w:val="FootnoteReference"/>
        </w:rPr>
        <w:footnoteRef/>
      </w:r>
      <w:r>
        <w:t xml:space="preserve"> Cornish App, </w:t>
      </w:r>
      <w:r>
        <w:rPr>
          <w:i/>
          <w:iCs/>
        </w:rPr>
        <w:t>The Cornish Ordinalia: A Comprehensive Examination</w:t>
      </w:r>
      <w:hyperlink r:id="rId3" w:history="1"/>
      <w:r>
        <w:t>.</w:t>
      </w:r>
    </w:p>
  </w:footnote>
  <w:footnote w:id="16">
    <w:p w14:paraId="52DBE127" w14:textId="050E85D7" w:rsidR="00734DB1" w:rsidRDefault="00734DB1">
      <w:pPr>
        <w:pStyle w:val="FootnoteText"/>
      </w:pPr>
      <w:r>
        <w:rPr>
          <w:rStyle w:val="FootnoteReference"/>
        </w:rPr>
        <w:footnoteRef/>
      </w:r>
      <w:r>
        <w:t xml:space="preserve"> Cornish App, </w:t>
      </w:r>
      <w:r>
        <w:rPr>
          <w:i/>
          <w:iCs/>
        </w:rPr>
        <w:t>The Cornish Ordinalia: A Comprehensive Examination</w:t>
      </w:r>
      <w:hyperlink r:id="rId4" w:history="1"/>
      <w:r>
        <w:t>.</w:t>
      </w:r>
    </w:p>
  </w:footnote>
  <w:footnote w:id="17">
    <w:p w14:paraId="0FD15E9B" w14:textId="115D8E8F" w:rsidR="00734DB1" w:rsidRDefault="00734DB1">
      <w:pPr>
        <w:pStyle w:val="FootnoteText"/>
      </w:pPr>
      <w:r>
        <w:rPr>
          <w:rStyle w:val="FootnoteReference"/>
        </w:rPr>
        <w:footnoteRef/>
      </w:r>
      <w:r>
        <w:t xml:space="preserve"> Edwin Norris, </w:t>
      </w:r>
      <w:r>
        <w:rPr>
          <w:i/>
          <w:iCs/>
        </w:rPr>
        <w:t>The Ancient Cornish Drama,</w:t>
      </w:r>
      <w:r>
        <w:t xml:space="preserve"> p. 63.</w:t>
      </w:r>
    </w:p>
  </w:footnote>
  <w:footnote w:id="18">
    <w:p w14:paraId="2C6ED0E3" w14:textId="0C768BF7" w:rsidR="00734DB1" w:rsidRPr="00734DB1" w:rsidRDefault="00734DB1">
      <w:pPr>
        <w:pStyle w:val="FootnoteText"/>
      </w:pPr>
      <w:r>
        <w:rPr>
          <w:rStyle w:val="FootnoteReference"/>
        </w:rPr>
        <w:footnoteRef/>
      </w:r>
      <w:r>
        <w:t xml:space="preserve"> Alonzo L. Gaskill, ‘What the Tree of Life Symbolises in the Garden of Eden and the Sacred Meaning Behind the Angels’ “Flaming Swords”</w:t>
      </w:r>
      <w:r w:rsidR="00060C2E">
        <w:t>’</w:t>
      </w:r>
      <w:r>
        <w:t xml:space="preserve">, </w:t>
      </w:r>
      <w:r>
        <w:rPr>
          <w:i/>
          <w:iCs/>
        </w:rPr>
        <w:t>LDSLiving</w:t>
      </w:r>
      <w:r>
        <w:t>, 29 August 2018 &lt;</w:t>
      </w:r>
      <w:r w:rsidRPr="00734DB1">
        <w:t>https://www.ldsliving.com/what-the-tree-of-life-symbolizes-in-the-garden-of-eden-the-sacred-meaning-behind-the-angels-flaming-swords/s/89178</w:t>
      </w:r>
      <w:r>
        <w:t>&gt; [Accessed 08 May 2025].</w:t>
      </w:r>
    </w:p>
  </w:footnote>
  <w:footnote w:id="19">
    <w:p w14:paraId="6382A70E" w14:textId="503134D7" w:rsidR="00734DB1" w:rsidRDefault="00734DB1">
      <w:pPr>
        <w:pStyle w:val="FootnoteText"/>
      </w:pPr>
      <w:r>
        <w:rPr>
          <w:rStyle w:val="FootnoteReference"/>
        </w:rPr>
        <w:footnoteRef/>
      </w:r>
      <w:r>
        <w:t xml:space="preserve"> Genesis 3. 24</w:t>
      </w:r>
      <w:r w:rsidR="00060C2E">
        <w:t>.</w:t>
      </w:r>
    </w:p>
  </w:footnote>
  <w:footnote w:id="20">
    <w:p w14:paraId="650E128B" w14:textId="794FCE83" w:rsidR="00734DB1" w:rsidRDefault="00734DB1">
      <w:pPr>
        <w:pStyle w:val="FootnoteText"/>
      </w:pPr>
      <w:r>
        <w:rPr>
          <w:rStyle w:val="FootnoteReference"/>
        </w:rPr>
        <w:footnoteRef/>
      </w:r>
      <w:r>
        <w:t xml:space="preserve"> Daisy Black, ‘The Time of the Tree: Returning to Eden after the Fall in the Cornish Creation of the World’, Medieval Feminist Forum: A Journal of Gender and Sexuality, 50.1 (2014), 61-89 (p. 69) &lt;DOI: </w:t>
      </w:r>
      <w:r w:rsidRPr="00734DB1">
        <w:t>10.17077/1536-8742.1979</w:t>
      </w:r>
      <w:r>
        <w:t>&gt;.</w:t>
      </w:r>
    </w:p>
  </w:footnote>
  <w:footnote w:id="21">
    <w:p w14:paraId="14EF1A9A" w14:textId="16F6224A" w:rsidR="00132F0A" w:rsidRPr="00132F0A" w:rsidRDefault="00132F0A">
      <w:pPr>
        <w:pStyle w:val="FootnoteText"/>
      </w:pPr>
      <w:r>
        <w:rPr>
          <w:rStyle w:val="FootnoteReference"/>
        </w:rPr>
        <w:footnoteRef/>
      </w:r>
      <w:r>
        <w:t xml:space="preserve"> Jason Squibb, </w:t>
      </w:r>
      <w:r>
        <w:rPr>
          <w:i/>
          <w:iCs/>
        </w:rPr>
        <w:t>Introduction to the Cornish Ordinalia</w:t>
      </w:r>
      <w:r>
        <w:t xml:space="preserve"> (2021) &lt;</w:t>
      </w:r>
      <w:r w:rsidRPr="00132F0A">
        <w:t>https://www.stjustordinalia.com/2021-features/article</w:t>
      </w:r>
      <w:r>
        <w:t>&gt; [Accessed 08 May 2025].</w:t>
      </w:r>
    </w:p>
  </w:footnote>
  <w:footnote w:id="22">
    <w:p w14:paraId="1635792F" w14:textId="62346768" w:rsidR="00132F0A" w:rsidRDefault="00132F0A">
      <w:pPr>
        <w:pStyle w:val="FootnoteText"/>
      </w:pPr>
      <w:r>
        <w:rPr>
          <w:rStyle w:val="FootnoteReference"/>
        </w:rPr>
        <w:footnoteRef/>
      </w:r>
      <w:r>
        <w:t xml:space="preserve"> Samuel Charles Turner</w:t>
      </w:r>
      <w:r w:rsidRPr="00132F0A">
        <w:t xml:space="preserve">, </w:t>
      </w:r>
      <w:r>
        <w:rPr>
          <w:i/>
          <w:iCs/>
        </w:rPr>
        <w:t>Christianity and the Landscape of Early Medieval South-West Britain</w:t>
      </w:r>
      <w:r w:rsidRPr="00132F0A">
        <w:t xml:space="preserve">. (Unpublished PhD thesis, </w:t>
      </w:r>
      <w:r>
        <w:t>University of York</w:t>
      </w:r>
      <w:r w:rsidRPr="00132F0A">
        <w:t xml:space="preserve">, </w:t>
      </w:r>
      <w:r>
        <w:t>2003</w:t>
      </w:r>
      <w:r w:rsidRPr="00132F0A">
        <w:t xml:space="preserve">). </w:t>
      </w:r>
    </w:p>
  </w:footnote>
  <w:footnote w:id="23">
    <w:p w14:paraId="54BAAE0C" w14:textId="5094A463" w:rsidR="00132F0A" w:rsidRPr="00132F0A" w:rsidRDefault="00132F0A">
      <w:pPr>
        <w:pStyle w:val="FootnoteText"/>
      </w:pPr>
      <w:r>
        <w:rPr>
          <w:rStyle w:val="FootnoteReference"/>
        </w:rPr>
        <w:footnoteRef/>
      </w:r>
      <w:r>
        <w:t xml:space="preserve"> Philip Hayward, ‘St. Michael’s Mount: From Christian Folklore to New Age Mythologies’, </w:t>
      </w:r>
      <w:r>
        <w:rPr>
          <w:i/>
          <w:iCs/>
        </w:rPr>
        <w:t>Folk, Knowledge, Place</w:t>
      </w:r>
      <w:r>
        <w:t xml:space="preserve">, 1.1 (2024) &lt;DOI: </w:t>
      </w:r>
      <w:r w:rsidRPr="00132F0A">
        <w:t>10.24043/fkp.1</w:t>
      </w:r>
      <w:r>
        <w:t>&gt;.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B11C2E" w14:textId="77777777" w:rsidR="00482DEC" w:rsidRPr="005A407F" w:rsidRDefault="00482DEC" w:rsidP="00482DEC">
    <w:pPr>
      <w:pStyle w:val="Header"/>
    </w:pPr>
    <w:r>
      <w:t>Chris Guy</w:t>
    </w:r>
    <w:r>
      <w:tab/>
    </w:r>
    <w:r w:rsidRPr="005A407F">
      <w:t>An Introduction to Celtic Literatures</w:t>
    </w:r>
    <w:r>
      <w:tab/>
    </w:r>
    <w:r w:rsidRPr="005A407F">
      <w:t>HPCS4008</w:t>
    </w:r>
  </w:p>
  <w:p w14:paraId="0C4D803D" w14:textId="226B127D" w:rsidR="00482DEC" w:rsidRPr="00482DEC" w:rsidRDefault="00482DEC" w:rsidP="00482DE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06AB3"/>
    <w:multiLevelType w:val="multilevel"/>
    <w:tmpl w:val="48CE70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99C2810"/>
    <w:multiLevelType w:val="hybridMultilevel"/>
    <w:tmpl w:val="474C7A7C"/>
    <w:lvl w:ilvl="0" w:tplc="8E280B96">
      <w:start w:val="1"/>
      <w:numFmt w:val="decimal"/>
      <w:lvlText w:val="%1."/>
      <w:lvlJc w:val="left"/>
      <w:pPr>
        <w:ind w:left="1440" w:hanging="360"/>
      </w:pPr>
    </w:lvl>
    <w:lvl w:ilvl="1" w:tplc="F30EE65C">
      <w:start w:val="1"/>
      <w:numFmt w:val="decimal"/>
      <w:lvlText w:val="%2."/>
      <w:lvlJc w:val="left"/>
      <w:pPr>
        <w:ind w:left="1440" w:hanging="360"/>
      </w:pPr>
    </w:lvl>
    <w:lvl w:ilvl="2" w:tplc="1AA81A26">
      <w:start w:val="1"/>
      <w:numFmt w:val="decimal"/>
      <w:lvlText w:val="%3."/>
      <w:lvlJc w:val="left"/>
      <w:pPr>
        <w:ind w:left="1440" w:hanging="360"/>
      </w:pPr>
    </w:lvl>
    <w:lvl w:ilvl="3" w:tplc="7CD224A0">
      <w:start w:val="1"/>
      <w:numFmt w:val="decimal"/>
      <w:lvlText w:val="%4."/>
      <w:lvlJc w:val="left"/>
      <w:pPr>
        <w:ind w:left="1440" w:hanging="360"/>
      </w:pPr>
    </w:lvl>
    <w:lvl w:ilvl="4" w:tplc="60FE56D0">
      <w:start w:val="1"/>
      <w:numFmt w:val="decimal"/>
      <w:lvlText w:val="%5."/>
      <w:lvlJc w:val="left"/>
      <w:pPr>
        <w:ind w:left="1440" w:hanging="360"/>
      </w:pPr>
    </w:lvl>
    <w:lvl w:ilvl="5" w:tplc="DBC2518E">
      <w:start w:val="1"/>
      <w:numFmt w:val="decimal"/>
      <w:lvlText w:val="%6."/>
      <w:lvlJc w:val="left"/>
      <w:pPr>
        <w:ind w:left="1440" w:hanging="360"/>
      </w:pPr>
    </w:lvl>
    <w:lvl w:ilvl="6" w:tplc="1BA03C66">
      <w:start w:val="1"/>
      <w:numFmt w:val="decimal"/>
      <w:lvlText w:val="%7."/>
      <w:lvlJc w:val="left"/>
      <w:pPr>
        <w:ind w:left="1440" w:hanging="360"/>
      </w:pPr>
    </w:lvl>
    <w:lvl w:ilvl="7" w:tplc="662ACF90">
      <w:start w:val="1"/>
      <w:numFmt w:val="decimal"/>
      <w:lvlText w:val="%8."/>
      <w:lvlJc w:val="left"/>
      <w:pPr>
        <w:ind w:left="1440" w:hanging="360"/>
      </w:pPr>
    </w:lvl>
    <w:lvl w:ilvl="8" w:tplc="42AAF2C6">
      <w:start w:val="1"/>
      <w:numFmt w:val="decimal"/>
      <w:lvlText w:val="%9."/>
      <w:lvlJc w:val="left"/>
      <w:pPr>
        <w:ind w:left="1440" w:hanging="360"/>
      </w:pPr>
    </w:lvl>
  </w:abstractNum>
  <w:abstractNum w:abstractNumId="2" w15:restartNumberingAfterBreak="0">
    <w:nsid w:val="565D08E3"/>
    <w:multiLevelType w:val="multilevel"/>
    <w:tmpl w:val="340297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BE94B8B"/>
    <w:multiLevelType w:val="multilevel"/>
    <w:tmpl w:val="8F6491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50197241">
    <w:abstractNumId w:val="0"/>
  </w:num>
  <w:num w:numId="2" w16cid:durableId="957375854">
    <w:abstractNumId w:val="2"/>
  </w:num>
  <w:num w:numId="3" w16cid:durableId="207618589">
    <w:abstractNumId w:val="1"/>
  </w:num>
  <w:num w:numId="4" w16cid:durableId="12227937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5DBA"/>
    <w:rsid w:val="00060C2E"/>
    <w:rsid w:val="00132F0A"/>
    <w:rsid w:val="001C7D7B"/>
    <w:rsid w:val="00200157"/>
    <w:rsid w:val="00334161"/>
    <w:rsid w:val="003E18AD"/>
    <w:rsid w:val="00412CB5"/>
    <w:rsid w:val="004308FF"/>
    <w:rsid w:val="00482DEC"/>
    <w:rsid w:val="004B76E6"/>
    <w:rsid w:val="00506F04"/>
    <w:rsid w:val="00572EE7"/>
    <w:rsid w:val="0061507D"/>
    <w:rsid w:val="00645767"/>
    <w:rsid w:val="00672A08"/>
    <w:rsid w:val="0070245E"/>
    <w:rsid w:val="00734DB1"/>
    <w:rsid w:val="008269C3"/>
    <w:rsid w:val="00890D1D"/>
    <w:rsid w:val="008D3725"/>
    <w:rsid w:val="0092531D"/>
    <w:rsid w:val="00963266"/>
    <w:rsid w:val="009D2984"/>
    <w:rsid w:val="009F0BBA"/>
    <w:rsid w:val="00A2104A"/>
    <w:rsid w:val="00B23030"/>
    <w:rsid w:val="00BD2DBB"/>
    <w:rsid w:val="00C23798"/>
    <w:rsid w:val="00C5239A"/>
    <w:rsid w:val="00E547E5"/>
    <w:rsid w:val="00ED1682"/>
    <w:rsid w:val="00F95D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DD6D7"/>
  <w15:chartTrackingRefBased/>
  <w15:docId w15:val="{CFE08D8C-1AEB-409F-BF2A-1A6F5F999F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5DB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95DB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95DB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95DB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95DB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95DB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95DB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95DB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95DB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DB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95DB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95DB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95DB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95DB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95DB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95DB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95DB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95DBA"/>
    <w:rPr>
      <w:rFonts w:eastAsiaTheme="majorEastAsia" w:cstheme="majorBidi"/>
      <w:color w:val="272727" w:themeColor="text1" w:themeTint="D8"/>
    </w:rPr>
  </w:style>
  <w:style w:type="paragraph" w:styleId="Title">
    <w:name w:val="Title"/>
    <w:basedOn w:val="Normal"/>
    <w:next w:val="Normal"/>
    <w:link w:val="TitleChar"/>
    <w:uiPriority w:val="10"/>
    <w:qFormat/>
    <w:rsid w:val="00F95DB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5DB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95DB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95DB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95DBA"/>
    <w:pPr>
      <w:spacing w:before="160"/>
      <w:jc w:val="center"/>
    </w:pPr>
    <w:rPr>
      <w:i/>
      <w:iCs/>
      <w:color w:val="404040" w:themeColor="text1" w:themeTint="BF"/>
    </w:rPr>
  </w:style>
  <w:style w:type="character" w:customStyle="1" w:styleId="QuoteChar">
    <w:name w:val="Quote Char"/>
    <w:basedOn w:val="DefaultParagraphFont"/>
    <w:link w:val="Quote"/>
    <w:uiPriority w:val="29"/>
    <w:rsid w:val="00F95DBA"/>
    <w:rPr>
      <w:i/>
      <w:iCs/>
      <w:color w:val="404040" w:themeColor="text1" w:themeTint="BF"/>
    </w:rPr>
  </w:style>
  <w:style w:type="paragraph" w:styleId="ListParagraph">
    <w:name w:val="List Paragraph"/>
    <w:basedOn w:val="Normal"/>
    <w:uiPriority w:val="34"/>
    <w:qFormat/>
    <w:rsid w:val="00F95DBA"/>
    <w:pPr>
      <w:ind w:left="720"/>
      <w:contextualSpacing/>
    </w:pPr>
  </w:style>
  <w:style w:type="character" w:styleId="IntenseEmphasis">
    <w:name w:val="Intense Emphasis"/>
    <w:basedOn w:val="DefaultParagraphFont"/>
    <w:uiPriority w:val="21"/>
    <w:qFormat/>
    <w:rsid w:val="00F95DBA"/>
    <w:rPr>
      <w:i/>
      <w:iCs/>
      <w:color w:val="0F4761" w:themeColor="accent1" w:themeShade="BF"/>
    </w:rPr>
  </w:style>
  <w:style w:type="paragraph" w:styleId="IntenseQuote">
    <w:name w:val="Intense Quote"/>
    <w:basedOn w:val="Normal"/>
    <w:next w:val="Normal"/>
    <w:link w:val="IntenseQuoteChar"/>
    <w:uiPriority w:val="30"/>
    <w:qFormat/>
    <w:rsid w:val="00F95DB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95DBA"/>
    <w:rPr>
      <w:i/>
      <w:iCs/>
      <w:color w:val="0F4761" w:themeColor="accent1" w:themeShade="BF"/>
    </w:rPr>
  </w:style>
  <w:style w:type="character" w:styleId="IntenseReference">
    <w:name w:val="Intense Reference"/>
    <w:basedOn w:val="DefaultParagraphFont"/>
    <w:uiPriority w:val="32"/>
    <w:qFormat/>
    <w:rsid w:val="00F95DBA"/>
    <w:rPr>
      <w:b/>
      <w:bCs/>
      <w:smallCaps/>
      <w:color w:val="0F4761" w:themeColor="accent1" w:themeShade="BF"/>
      <w:spacing w:val="5"/>
    </w:rPr>
  </w:style>
  <w:style w:type="character" w:styleId="CommentReference">
    <w:name w:val="annotation reference"/>
    <w:basedOn w:val="DefaultParagraphFont"/>
    <w:uiPriority w:val="99"/>
    <w:semiHidden/>
    <w:unhideWhenUsed/>
    <w:rsid w:val="008D3725"/>
    <w:rPr>
      <w:sz w:val="16"/>
      <w:szCs w:val="16"/>
    </w:rPr>
  </w:style>
  <w:style w:type="paragraph" w:styleId="CommentText">
    <w:name w:val="annotation text"/>
    <w:basedOn w:val="Normal"/>
    <w:link w:val="CommentTextChar"/>
    <w:uiPriority w:val="99"/>
    <w:unhideWhenUsed/>
    <w:rsid w:val="008D3725"/>
    <w:pPr>
      <w:spacing w:line="240" w:lineRule="auto"/>
    </w:pPr>
    <w:rPr>
      <w:sz w:val="20"/>
      <w:szCs w:val="20"/>
    </w:rPr>
  </w:style>
  <w:style w:type="character" w:customStyle="1" w:styleId="CommentTextChar">
    <w:name w:val="Comment Text Char"/>
    <w:basedOn w:val="DefaultParagraphFont"/>
    <w:link w:val="CommentText"/>
    <w:uiPriority w:val="99"/>
    <w:rsid w:val="008D3725"/>
    <w:rPr>
      <w:sz w:val="20"/>
      <w:szCs w:val="20"/>
    </w:rPr>
  </w:style>
  <w:style w:type="paragraph" w:styleId="CommentSubject">
    <w:name w:val="annotation subject"/>
    <w:basedOn w:val="CommentText"/>
    <w:next w:val="CommentText"/>
    <w:link w:val="CommentSubjectChar"/>
    <w:uiPriority w:val="99"/>
    <w:semiHidden/>
    <w:unhideWhenUsed/>
    <w:rsid w:val="008D3725"/>
    <w:rPr>
      <w:b/>
      <w:bCs/>
    </w:rPr>
  </w:style>
  <w:style w:type="character" w:customStyle="1" w:styleId="CommentSubjectChar">
    <w:name w:val="Comment Subject Char"/>
    <w:basedOn w:val="CommentTextChar"/>
    <w:link w:val="CommentSubject"/>
    <w:uiPriority w:val="99"/>
    <w:semiHidden/>
    <w:rsid w:val="008D3725"/>
    <w:rPr>
      <w:b/>
      <w:bCs/>
      <w:sz w:val="20"/>
      <w:szCs w:val="20"/>
    </w:rPr>
  </w:style>
  <w:style w:type="character" w:styleId="Hyperlink">
    <w:name w:val="Hyperlink"/>
    <w:basedOn w:val="DefaultParagraphFont"/>
    <w:uiPriority w:val="99"/>
    <w:unhideWhenUsed/>
    <w:rsid w:val="00890D1D"/>
    <w:rPr>
      <w:color w:val="467886" w:themeColor="hyperlink"/>
      <w:u w:val="single"/>
    </w:rPr>
  </w:style>
  <w:style w:type="character" w:styleId="UnresolvedMention">
    <w:name w:val="Unresolved Mention"/>
    <w:basedOn w:val="DefaultParagraphFont"/>
    <w:uiPriority w:val="99"/>
    <w:semiHidden/>
    <w:unhideWhenUsed/>
    <w:rsid w:val="00890D1D"/>
    <w:rPr>
      <w:color w:val="605E5C"/>
      <w:shd w:val="clear" w:color="auto" w:fill="E1DFDD"/>
    </w:rPr>
  </w:style>
  <w:style w:type="paragraph" w:styleId="FootnoteText">
    <w:name w:val="footnote text"/>
    <w:basedOn w:val="Normal"/>
    <w:link w:val="FootnoteTextChar"/>
    <w:uiPriority w:val="99"/>
    <w:unhideWhenUsed/>
    <w:rsid w:val="00C23798"/>
    <w:pPr>
      <w:spacing w:after="0" w:line="240" w:lineRule="auto"/>
    </w:pPr>
    <w:rPr>
      <w:sz w:val="20"/>
      <w:szCs w:val="20"/>
    </w:rPr>
  </w:style>
  <w:style w:type="character" w:customStyle="1" w:styleId="FootnoteTextChar">
    <w:name w:val="Footnote Text Char"/>
    <w:basedOn w:val="DefaultParagraphFont"/>
    <w:link w:val="FootnoteText"/>
    <w:uiPriority w:val="99"/>
    <w:rsid w:val="00C23798"/>
    <w:rPr>
      <w:sz w:val="20"/>
      <w:szCs w:val="20"/>
    </w:rPr>
  </w:style>
  <w:style w:type="character" w:styleId="FootnoteReference">
    <w:name w:val="footnote reference"/>
    <w:basedOn w:val="DefaultParagraphFont"/>
    <w:uiPriority w:val="99"/>
    <w:semiHidden/>
    <w:unhideWhenUsed/>
    <w:rsid w:val="00C23798"/>
    <w:rPr>
      <w:vertAlign w:val="superscript"/>
    </w:rPr>
  </w:style>
  <w:style w:type="character" w:styleId="FollowedHyperlink">
    <w:name w:val="FollowedHyperlink"/>
    <w:basedOn w:val="DefaultParagraphFont"/>
    <w:uiPriority w:val="99"/>
    <w:semiHidden/>
    <w:unhideWhenUsed/>
    <w:rsid w:val="00C23798"/>
    <w:rPr>
      <w:color w:val="96607D" w:themeColor="followedHyperlink"/>
      <w:u w:val="single"/>
    </w:rPr>
  </w:style>
  <w:style w:type="paragraph" w:styleId="Header">
    <w:name w:val="header"/>
    <w:basedOn w:val="Normal"/>
    <w:link w:val="HeaderChar"/>
    <w:uiPriority w:val="99"/>
    <w:unhideWhenUsed/>
    <w:rsid w:val="00482D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2DEC"/>
  </w:style>
  <w:style w:type="paragraph" w:styleId="Footer">
    <w:name w:val="footer"/>
    <w:basedOn w:val="Normal"/>
    <w:link w:val="FooterChar"/>
    <w:uiPriority w:val="99"/>
    <w:unhideWhenUsed/>
    <w:rsid w:val="00482D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2D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61744">
      <w:bodyDiv w:val="1"/>
      <w:marLeft w:val="0"/>
      <w:marRight w:val="0"/>
      <w:marTop w:val="0"/>
      <w:marBottom w:val="0"/>
      <w:divBdr>
        <w:top w:val="none" w:sz="0" w:space="0" w:color="auto"/>
        <w:left w:val="none" w:sz="0" w:space="0" w:color="auto"/>
        <w:bottom w:val="none" w:sz="0" w:space="0" w:color="auto"/>
        <w:right w:val="none" w:sz="0" w:space="0" w:color="auto"/>
      </w:divBdr>
    </w:div>
    <w:div w:id="288364530">
      <w:bodyDiv w:val="1"/>
      <w:marLeft w:val="0"/>
      <w:marRight w:val="0"/>
      <w:marTop w:val="0"/>
      <w:marBottom w:val="0"/>
      <w:divBdr>
        <w:top w:val="none" w:sz="0" w:space="0" w:color="auto"/>
        <w:left w:val="none" w:sz="0" w:space="0" w:color="auto"/>
        <w:bottom w:val="none" w:sz="0" w:space="0" w:color="auto"/>
        <w:right w:val="none" w:sz="0" w:space="0" w:color="auto"/>
      </w:divBdr>
    </w:div>
    <w:div w:id="378550376">
      <w:bodyDiv w:val="1"/>
      <w:marLeft w:val="0"/>
      <w:marRight w:val="0"/>
      <w:marTop w:val="0"/>
      <w:marBottom w:val="0"/>
      <w:divBdr>
        <w:top w:val="none" w:sz="0" w:space="0" w:color="auto"/>
        <w:left w:val="none" w:sz="0" w:space="0" w:color="auto"/>
        <w:bottom w:val="none" w:sz="0" w:space="0" w:color="auto"/>
        <w:right w:val="none" w:sz="0" w:space="0" w:color="auto"/>
      </w:divBdr>
    </w:div>
    <w:div w:id="608973831">
      <w:bodyDiv w:val="1"/>
      <w:marLeft w:val="0"/>
      <w:marRight w:val="0"/>
      <w:marTop w:val="0"/>
      <w:marBottom w:val="0"/>
      <w:divBdr>
        <w:top w:val="none" w:sz="0" w:space="0" w:color="auto"/>
        <w:left w:val="none" w:sz="0" w:space="0" w:color="auto"/>
        <w:bottom w:val="none" w:sz="0" w:space="0" w:color="auto"/>
        <w:right w:val="none" w:sz="0" w:space="0" w:color="auto"/>
      </w:divBdr>
    </w:div>
    <w:div w:id="765537311">
      <w:bodyDiv w:val="1"/>
      <w:marLeft w:val="0"/>
      <w:marRight w:val="0"/>
      <w:marTop w:val="0"/>
      <w:marBottom w:val="0"/>
      <w:divBdr>
        <w:top w:val="none" w:sz="0" w:space="0" w:color="auto"/>
        <w:left w:val="none" w:sz="0" w:space="0" w:color="auto"/>
        <w:bottom w:val="none" w:sz="0" w:space="0" w:color="auto"/>
        <w:right w:val="none" w:sz="0" w:space="0" w:color="auto"/>
      </w:divBdr>
    </w:div>
    <w:div w:id="1466585023">
      <w:bodyDiv w:val="1"/>
      <w:marLeft w:val="0"/>
      <w:marRight w:val="0"/>
      <w:marTop w:val="0"/>
      <w:marBottom w:val="0"/>
      <w:divBdr>
        <w:top w:val="none" w:sz="0" w:space="0" w:color="auto"/>
        <w:left w:val="none" w:sz="0" w:space="0" w:color="auto"/>
        <w:bottom w:val="none" w:sz="0" w:space="0" w:color="auto"/>
        <w:right w:val="none" w:sz="0" w:space="0" w:color="auto"/>
      </w:divBdr>
    </w:div>
    <w:div w:id="1834563707">
      <w:bodyDiv w:val="1"/>
      <w:marLeft w:val="0"/>
      <w:marRight w:val="0"/>
      <w:marTop w:val="0"/>
      <w:marBottom w:val="0"/>
      <w:divBdr>
        <w:top w:val="none" w:sz="0" w:space="0" w:color="auto"/>
        <w:left w:val="none" w:sz="0" w:space="0" w:color="auto"/>
        <w:bottom w:val="none" w:sz="0" w:space="0" w:color="auto"/>
        <w:right w:val="none" w:sz="0" w:space="0" w:color="auto"/>
      </w:divBdr>
    </w:div>
    <w:div w:id="1966158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rnish.app/posts/2023-10-25-the-cornish-ordinalia-a-comprehensive-examinatio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s://cornish.app/posts/2023-10-25-the-cornish-ordinalia-a-comprehensive-examination/" TargetMode="External"/><Relationship Id="rId2" Type="http://schemas.openxmlformats.org/officeDocument/2006/relationships/hyperlink" Target="https://cornish.app/posts/2023-10-25-the-cornish-ordinalia-a-comprehensive-examination/" TargetMode="External"/><Relationship Id="rId1" Type="http://schemas.openxmlformats.org/officeDocument/2006/relationships/hyperlink" Target="https://cornish.app/posts/2023-10-25-the-cornish-ordinalia-a-comprehensive-examination/" TargetMode="External"/><Relationship Id="rId4" Type="http://schemas.openxmlformats.org/officeDocument/2006/relationships/hyperlink" Target="https://cornish.app/posts/2023-10-25-the-cornish-ordinalia-a-comprehensive-examin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2C632E-1C18-4302-9FE7-2460B5C45A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2334</Words>
  <Characters>13307</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Guy (2404993)</dc:creator>
  <cp:keywords/>
  <dc:description/>
  <cp:lastModifiedBy>Chris Guy (2404993)</cp:lastModifiedBy>
  <cp:revision>3</cp:revision>
  <dcterms:created xsi:type="dcterms:W3CDTF">2025-05-08T20:38:00Z</dcterms:created>
  <dcterms:modified xsi:type="dcterms:W3CDTF">2025-05-08T20:39:00Z</dcterms:modified>
</cp:coreProperties>
</file>