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A25" w:rsidRDefault="001C0A25" w:rsidP="00CC29B7">
      <w:pPr>
        <w:pStyle w:val="Heading1"/>
      </w:pPr>
    </w:p>
    <w:p w:rsidR="001C0A25" w:rsidRDefault="001C0A25" w:rsidP="00CC29B7">
      <w:pPr>
        <w:pStyle w:val="Heading1"/>
      </w:pPr>
    </w:p>
    <w:p w:rsidR="001C0A25" w:rsidRDefault="001C0A25" w:rsidP="001C0A25">
      <w:pPr>
        <w:pStyle w:val="Heading1"/>
        <w:jc w:val="center"/>
      </w:pPr>
      <w:r w:rsidRPr="001C0A25">
        <w:t>MODULE CODE/ COD Y MODIWL: EMPL4008</w:t>
      </w:r>
    </w:p>
    <w:p w:rsidR="001C0A25" w:rsidRDefault="001C0A25" w:rsidP="001C0A25">
      <w:pPr>
        <w:pStyle w:val="Heading1"/>
        <w:jc w:val="center"/>
      </w:pPr>
      <w:r w:rsidRPr="001C0A25">
        <w:t>PROBLEM  SOLVING</w:t>
      </w: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1C0A25" w:rsidRDefault="001C0A25" w:rsidP="00CC29B7">
      <w:pPr>
        <w:pStyle w:val="Heading1"/>
      </w:pPr>
    </w:p>
    <w:p w:rsidR="00BA2C8D" w:rsidRDefault="0046244B" w:rsidP="00CC29B7">
      <w:pPr>
        <w:pStyle w:val="Heading1"/>
      </w:pPr>
      <w:r>
        <w:lastRenderedPageBreak/>
        <w:t>P</w:t>
      </w:r>
      <w:r w:rsidR="00D94115">
        <w:t>1</w:t>
      </w:r>
      <w:r w:rsidR="007629F5">
        <w:t xml:space="preserve">: Problem Solving </w:t>
      </w:r>
      <w:r w:rsidR="002F7ECF">
        <w:t>Abilities</w:t>
      </w:r>
    </w:p>
    <w:p w:rsidR="007629F5" w:rsidRDefault="0002166D" w:rsidP="0046244B">
      <w:pPr>
        <w:spacing w:line="360" w:lineRule="auto"/>
        <w:jc w:val="both"/>
        <w:rPr>
          <w:rStyle w:val="IntenseEmphasis"/>
          <w:rFonts w:ascii="Times New Roman" w:hAnsi="Times New Roman" w:cs="Times New Roman"/>
          <w:sz w:val="24"/>
        </w:rPr>
      </w:pPr>
      <w:r>
        <w:rPr>
          <w:rStyle w:val="IntenseEmphasis"/>
          <w:rFonts w:ascii="Times New Roman" w:hAnsi="Times New Roman" w:cs="Times New Roman"/>
          <w:sz w:val="24"/>
        </w:rPr>
        <w:t>AC</w:t>
      </w:r>
      <w:r w:rsidR="007629F5">
        <w:rPr>
          <w:rStyle w:val="IntenseEmphasis"/>
          <w:rFonts w:ascii="Times New Roman" w:hAnsi="Times New Roman" w:cs="Times New Roman"/>
          <w:sz w:val="24"/>
        </w:rPr>
        <w:t xml:space="preserve"> 1.1 Analysis of Problem</w:t>
      </w:r>
      <w:r w:rsidR="002101F2">
        <w:rPr>
          <w:rStyle w:val="IntenseEmphasis"/>
          <w:rFonts w:ascii="Times New Roman" w:hAnsi="Times New Roman" w:cs="Times New Roman"/>
          <w:sz w:val="24"/>
        </w:rPr>
        <w:t xml:space="preserve"> and Solution</w:t>
      </w:r>
    </w:p>
    <w:p w:rsidR="0046244B" w:rsidRPr="000E2D35" w:rsidRDefault="006C0C41" w:rsidP="000E2D35">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 xml:space="preserve">For any human being problems form a vital part both in </w:t>
      </w:r>
      <w:r w:rsidR="00CF11CB">
        <w:rPr>
          <w:rStyle w:val="IntenseEmphasis"/>
          <w:rFonts w:ascii="Times New Roman" w:hAnsi="Times New Roman" w:cs="Times New Roman"/>
          <w:i w:val="0"/>
          <w:color w:val="auto"/>
          <w:sz w:val="24"/>
        </w:rPr>
        <w:t xml:space="preserve">their </w:t>
      </w:r>
      <w:r>
        <w:rPr>
          <w:rStyle w:val="IntenseEmphasis"/>
          <w:rFonts w:ascii="Times New Roman" w:hAnsi="Times New Roman" w:cs="Times New Roman"/>
          <w:i w:val="0"/>
          <w:color w:val="auto"/>
          <w:sz w:val="24"/>
        </w:rPr>
        <w:t>personal and professional lives.</w:t>
      </w:r>
      <w:r w:rsidR="00CF11CB">
        <w:rPr>
          <w:rStyle w:val="IntenseEmphasis"/>
          <w:rFonts w:ascii="Times New Roman" w:hAnsi="Times New Roman" w:cs="Times New Roman"/>
          <w:i w:val="0"/>
          <w:color w:val="auto"/>
          <w:sz w:val="24"/>
        </w:rPr>
        <w:t xml:space="preserve"> The nature and type of problems can differ and hence the solution</w:t>
      </w:r>
      <w:r w:rsidR="001E6E07">
        <w:rPr>
          <w:rStyle w:val="IntenseEmphasis"/>
          <w:rFonts w:ascii="Times New Roman" w:hAnsi="Times New Roman" w:cs="Times New Roman"/>
          <w:i w:val="0"/>
          <w:color w:val="auto"/>
          <w:sz w:val="24"/>
        </w:rPr>
        <w:t>s for any particular problem is different from the other one. Basically, the term ‘problem’ can be defined as any type of unwanted, harmful or unwelcomed situation that breaks the positive flow of a smooth running process and needs to be resolved as early as possible</w:t>
      </w:r>
      <w:r w:rsidR="001378DE">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566501560"/>
          <w:citation/>
        </w:sdtPr>
        <w:sdtEndPr>
          <w:rPr>
            <w:rStyle w:val="IntenseEmphasis"/>
          </w:rPr>
        </w:sdtEndPr>
        <w:sdtContent>
          <w:r w:rsidR="001378DE">
            <w:rPr>
              <w:rStyle w:val="IntenseEmphasis"/>
              <w:rFonts w:ascii="Times New Roman" w:hAnsi="Times New Roman" w:cs="Times New Roman"/>
              <w:i w:val="0"/>
              <w:color w:val="auto"/>
              <w:sz w:val="24"/>
            </w:rPr>
            <w:fldChar w:fldCharType="begin"/>
          </w:r>
          <w:r w:rsidR="001378DE">
            <w:rPr>
              <w:rStyle w:val="IntenseEmphasis"/>
              <w:rFonts w:ascii="Times New Roman" w:hAnsi="Times New Roman" w:cs="Times New Roman"/>
              <w:i w:val="0"/>
              <w:color w:val="auto"/>
              <w:sz w:val="24"/>
            </w:rPr>
            <w:instrText xml:space="preserve"> CITATION Fun07 \l 16393 </w:instrText>
          </w:r>
          <w:r w:rsidR="001378DE">
            <w:rPr>
              <w:rStyle w:val="IntenseEmphasis"/>
              <w:rFonts w:ascii="Times New Roman" w:hAnsi="Times New Roman" w:cs="Times New Roman"/>
              <w:i w:val="0"/>
              <w:color w:val="auto"/>
              <w:sz w:val="24"/>
            </w:rPr>
            <w:fldChar w:fldCharType="separate"/>
          </w:r>
          <w:r w:rsidR="001378DE" w:rsidRPr="001378DE">
            <w:rPr>
              <w:rFonts w:ascii="Times New Roman" w:hAnsi="Times New Roman" w:cs="Times New Roman"/>
              <w:noProof/>
              <w:sz w:val="24"/>
            </w:rPr>
            <w:t>(Funke &amp; Frensch, 2007)</w:t>
          </w:r>
          <w:r w:rsidR="001378DE">
            <w:rPr>
              <w:rStyle w:val="IntenseEmphasis"/>
              <w:rFonts w:ascii="Times New Roman" w:hAnsi="Times New Roman" w:cs="Times New Roman"/>
              <w:i w:val="0"/>
              <w:color w:val="auto"/>
              <w:sz w:val="24"/>
            </w:rPr>
            <w:fldChar w:fldCharType="end"/>
          </w:r>
        </w:sdtContent>
      </w:sdt>
      <w:r w:rsidR="001E6E07">
        <w:rPr>
          <w:rStyle w:val="IntenseEmphasis"/>
          <w:rFonts w:ascii="Times New Roman" w:hAnsi="Times New Roman" w:cs="Times New Roman"/>
          <w:i w:val="0"/>
          <w:color w:val="auto"/>
          <w:sz w:val="24"/>
        </w:rPr>
        <w:t>. In spite of the varied nature of problems a</w:t>
      </w:r>
      <w:r w:rsidR="009F3E9F">
        <w:rPr>
          <w:rStyle w:val="IntenseEmphasis"/>
          <w:rFonts w:ascii="Times New Roman" w:hAnsi="Times New Roman" w:cs="Times New Roman"/>
          <w:i w:val="0"/>
          <w:color w:val="auto"/>
          <w:sz w:val="24"/>
        </w:rPr>
        <w:t>nd the corresponding resolutions surrounding us, the process of problem resolution is represented in a diagrammatic form as shown below:</w:t>
      </w:r>
    </w:p>
    <w:p w:rsidR="0046244B" w:rsidRDefault="000E2D35" w:rsidP="0046244B">
      <w:pPr>
        <w:spacing w:line="360" w:lineRule="auto"/>
        <w:jc w:val="both"/>
        <w:rPr>
          <w:rStyle w:val="IntenseEmphasis"/>
          <w:rFonts w:ascii="Times New Roman" w:hAnsi="Times New Roman" w:cs="Times New Roman"/>
          <w:i w:val="0"/>
          <w:sz w:val="24"/>
        </w:rPr>
      </w:pPr>
      <w:r>
        <w:rPr>
          <w:rStyle w:val="IntenseEmphasis"/>
          <w:rFonts w:ascii="Times New Roman" w:hAnsi="Times New Roman" w:cs="Times New Roman"/>
          <w:i w:val="0"/>
          <w:sz w:val="24"/>
        </w:rPr>
        <w:t xml:space="preserve">                   </w:t>
      </w:r>
      <w:r w:rsidR="0046244B">
        <w:rPr>
          <w:noProof/>
          <w:lang w:val="en-US"/>
        </w:rPr>
        <w:drawing>
          <wp:inline distT="0" distB="0" distL="0" distR="0" wp14:anchorId="0452199E" wp14:editId="5CAD6C95">
            <wp:extent cx="4752975" cy="31908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6244B" w:rsidRDefault="000E2D35" w:rsidP="0046244B">
      <w:pPr>
        <w:spacing w:line="360" w:lineRule="auto"/>
        <w:jc w:val="center"/>
        <w:rPr>
          <w:rStyle w:val="IntenseEmphasis"/>
          <w:rFonts w:ascii="Times New Roman" w:hAnsi="Times New Roman" w:cs="Times New Roman"/>
          <w:color w:val="auto"/>
          <w:sz w:val="24"/>
        </w:rPr>
      </w:pPr>
      <w:r w:rsidRPr="000E2D35">
        <w:rPr>
          <w:rStyle w:val="IntenseEmphasis"/>
          <w:rFonts w:ascii="Times New Roman" w:hAnsi="Times New Roman" w:cs="Times New Roman"/>
          <w:color w:val="auto"/>
          <w:sz w:val="24"/>
        </w:rPr>
        <w:t>F</w:t>
      </w:r>
      <w:r w:rsidR="0046244B" w:rsidRPr="000E2D35">
        <w:rPr>
          <w:rStyle w:val="IntenseEmphasis"/>
          <w:rFonts w:ascii="Times New Roman" w:hAnsi="Times New Roman" w:cs="Times New Roman"/>
          <w:color w:val="auto"/>
          <w:sz w:val="24"/>
        </w:rPr>
        <w:t>ig</w:t>
      </w:r>
      <w:r>
        <w:rPr>
          <w:rStyle w:val="IntenseEmphasis"/>
          <w:rFonts w:ascii="Times New Roman" w:hAnsi="Times New Roman" w:cs="Times New Roman"/>
          <w:color w:val="auto"/>
          <w:sz w:val="24"/>
        </w:rPr>
        <w:t xml:space="preserve"> 1</w:t>
      </w:r>
      <w:r w:rsidRPr="000E2D35">
        <w:rPr>
          <w:rStyle w:val="IntenseEmphasis"/>
          <w:rFonts w:ascii="Times New Roman" w:hAnsi="Times New Roman" w:cs="Times New Roman"/>
          <w:color w:val="auto"/>
          <w:sz w:val="24"/>
        </w:rPr>
        <w:t>: Problem Resolution and Identification Phases</w:t>
      </w:r>
    </w:p>
    <w:p w:rsidR="009F3E9F" w:rsidRDefault="009F3E9F" w:rsidP="009F3E9F">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 xml:space="preserve">As we can see from the above figure that there are four stages involved in a problem identification and resolution process. At first the concerned problem needs to be recognized and confirmed. Then it’s essential to find out the main cause of the problem. Then the process of resolving the problem should be effectively initiated and needs to be executed in a disciplined fashion. At the end of the stage the process of implementation needs to be controlled, monitored and should be </w:t>
      </w:r>
      <w:r w:rsidR="00891E38">
        <w:rPr>
          <w:rStyle w:val="IntenseEmphasis"/>
          <w:rFonts w:ascii="Times New Roman" w:hAnsi="Times New Roman" w:cs="Times New Roman"/>
          <w:i w:val="0"/>
          <w:color w:val="auto"/>
          <w:sz w:val="24"/>
        </w:rPr>
        <w:t>improvised on the basis of feedbacks received</w:t>
      </w:r>
      <w:r w:rsidR="002904D9">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977493116"/>
          <w:citation/>
        </w:sdtPr>
        <w:sdtEndPr>
          <w:rPr>
            <w:rStyle w:val="IntenseEmphasis"/>
          </w:rPr>
        </w:sdtEndPr>
        <w:sdtContent>
          <w:r w:rsidR="002904D9">
            <w:rPr>
              <w:rStyle w:val="IntenseEmphasis"/>
              <w:rFonts w:ascii="Times New Roman" w:hAnsi="Times New Roman" w:cs="Times New Roman"/>
              <w:i w:val="0"/>
              <w:color w:val="auto"/>
              <w:sz w:val="24"/>
            </w:rPr>
            <w:fldChar w:fldCharType="begin"/>
          </w:r>
          <w:r w:rsidR="002904D9">
            <w:rPr>
              <w:rStyle w:val="IntenseEmphasis"/>
              <w:rFonts w:ascii="Times New Roman" w:hAnsi="Times New Roman" w:cs="Times New Roman"/>
              <w:i w:val="0"/>
              <w:color w:val="auto"/>
              <w:sz w:val="24"/>
            </w:rPr>
            <w:instrText xml:space="preserve"> CITATION Kli04 \l 16393 </w:instrText>
          </w:r>
          <w:r w:rsidR="002904D9">
            <w:rPr>
              <w:rStyle w:val="IntenseEmphasis"/>
              <w:rFonts w:ascii="Times New Roman" w:hAnsi="Times New Roman" w:cs="Times New Roman"/>
              <w:i w:val="0"/>
              <w:color w:val="auto"/>
              <w:sz w:val="24"/>
            </w:rPr>
            <w:fldChar w:fldCharType="separate"/>
          </w:r>
          <w:r w:rsidR="002904D9" w:rsidRPr="002904D9">
            <w:rPr>
              <w:rFonts w:ascii="Times New Roman" w:hAnsi="Times New Roman" w:cs="Times New Roman"/>
              <w:noProof/>
              <w:sz w:val="24"/>
            </w:rPr>
            <w:t>(Klieme, 2004)</w:t>
          </w:r>
          <w:r w:rsidR="002904D9">
            <w:rPr>
              <w:rStyle w:val="IntenseEmphasis"/>
              <w:rFonts w:ascii="Times New Roman" w:hAnsi="Times New Roman" w:cs="Times New Roman"/>
              <w:i w:val="0"/>
              <w:color w:val="auto"/>
              <w:sz w:val="24"/>
            </w:rPr>
            <w:fldChar w:fldCharType="end"/>
          </w:r>
        </w:sdtContent>
      </w:sdt>
      <w:r w:rsidR="00891E38">
        <w:rPr>
          <w:rStyle w:val="IntenseEmphasis"/>
          <w:rFonts w:ascii="Times New Roman" w:hAnsi="Times New Roman" w:cs="Times New Roman"/>
          <w:i w:val="0"/>
          <w:color w:val="auto"/>
          <w:sz w:val="24"/>
        </w:rPr>
        <w:t>. People also get psychologically affected by the problems which creates anger, grief and feeling of failure among themselves. Problems are sudden and spontaneous by nature and this causes psychological concerns of panic and trouble in almost every human beings.</w:t>
      </w:r>
    </w:p>
    <w:p w:rsidR="009F3E9F" w:rsidRPr="009F3E9F" w:rsidRDefault="00891E38" w:rsidP="009F3E9F">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lastRenderedPageBreak/>
        <w:t>The nature of problems can also be simple</w:t>
      </w:r>
      <w:r w:rsidR="00060276">
        <w:rPr>
          <w:rStyle w:val="IntenseEmphasis"/>
          <w:rFonts w:ascii="Times New Roman" w:hAnsi="Times New Roman" w:cs="Times New Roman"/>
          <w:i w:val="0"/>
          <w:color w:val="auto"/>
          <w:sz w:val="24"/>
        </w:rPr>
        <w:t xml:space="preserve"> and can be easily resolved by a person. For instance, the kind of problem which troubled me while working as a sales person in Tesco. </w:t>
      </w:r>
      <w:r w:rsidR="00443C3C">
        <w:rPr>
          <w:rStyle w:val="IntenseEmphasis"/>
          <w:rFonts w:ascii="Times New Roman" w:hAnsi="Times New Roman" w:cs="Times New Roman"/>
          <w:i w:val="0"/>
          <w:color w:val="auto"/>
          <w:sz w:val="24"/>
        </w:rPr>
        <w:t>There the customer was dissatisfied with the product quality because there were few imperfections in the concerned electronic product that he bought and that was the sole reason for his anger and disappointment</w:t>
      </w:r>
      <w:r w:rsidR="002904D9">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247810851"/>
          <w:citation/>
        </w:sdtPr>
        <w:sdtEndPr>
          <w:rPr>
            <w:rStyle w:val="IntenseEmphasis"/>
          </w:rPr>
        </w:sdtEndPr>
        <w:sdtContent>
          <w:r w:rsidR="002904D9">
            <w:rPr>
              <w:rStyle w:val="IntenseEmphasis"/>
              <w:rFonts w:ascii="Times New Roman" w:hAnsi="Times New Roman" w:cs="Times New Roman"/>
              <w:i w:val="0"/>
              <w:color w:val="auto"/>
              <w:sz w:val="24"/>
            </w:rPr>
            <w:fldChar w:fldCharType="begin"/>
          </w:r>
          <w:r w:rsidR="002904D9">
            <w:rPr>
              <w:rStyle w:val="IntenseEmphasis"/>
              <w:rFonts w:ascii="Times New Roman" w:hAnsi="Times New Roman" w:cs="Times New Roman"/>
              <w:i w:val="0"/>
              <w:color w:val="auto"/>
              <w:sz w:val="24"/>
            </w:rPr>
            <w:instrText xml:space="preserve"> CITATION Wir04 \l 16393 </w:instrText>
          </w:r>
          <w:r w:rsidR="002904D9">
            <w:rPr>
              <w:rStyle w:val="IntenseEmphasis"/>
              <w:rFonts w:ascii="Times New Roman" w:hAnsi="Times New Roman" w:cs="Times New Roman"/>
              <w:i w:val="0"/>
              <w:color w:val="auto"/>
              <w:sz w:val="24"/>
            </w:rPr>
            <w:fldChar w:fldCharType="separate"/>
          </w:r>
          <w:r w:rsidR="002904D9" w:rsidRPr="002904D9">
            <w:rPr>
              <w:rFonts w:ascii="Times New Roman" w:hAnsi="Times New Roman" w:cs="Times New Roman"/>
              <w:noProof/>
              <w:sz w:val="24"/>
            </w:rPr>
            <w:t>(Wirth &amp; Klieme, 2004)</w:t>
          </w:r>
          <w:r w:rsidR="002904D9">
            <w:rPr>
              <w:rStyle w:val="IntenseEmphasis"/>
              <w:rFonts w:ascii="Times New Roman" w:hAnsi="Times New Roman" w:cs="Times New Roman"/>
              <w:i w:val="0"/>
              <w:color w:val="auto"/>
              <w:sz w:val="24"/>
            </w:rPr>
            <w:fldChar w:fldCharType="end"/>
          </w:r>
        </w:sdtContent>
      </w:sdt>
      <w:r w:rsidR="00443C3C">
        <w:rPr>
          <w:rStyle w:val="IntenseEmphasis"/>
          <w:rFonts w:ascii="Times New Roman" w:hAnsi="Times New Roman" w:cs="Times New Roman"/>
          <w:i w:val="0"/>
          <w:color w:val="auto"/>
          <w:sz w:val="24"/>
        </w:rPr>
        <w:t xml:space="preserve">. Whereas a complex problem requires a lot of resources and planning for the problem to get resolved. For example, </w:t>
      </w:r>
      <w:r w:rsidR="00D874D6">
        <w:rPr>
          <w:rStyle w:val="IntenseEmphasis"/>
          <w:rFonts w:ascii="Times New Roman" w:hAnsi="Times New Roman" w:cs="Times New Roman"/>
          <w:i w:val="0"/>
          <w:color w:val="auto"/>
          <w:sz w:val="24"/>
        </w:rPr>
        <w:t>the topic of unavailability of enough sales persons during peak hours such as in Thanksgiving ceremony or Christmas. This particular issue requires more strategic planning and disciplined execution for its resolution.</w:t>
      </w:r>
    </w:p>
    <w:p w:rsidR="002F7ECF" w:rsidRDefault="0002166D" w:rsidP="0046244B">
      <w:pPr>
        <w:spacing w:line="360" w:lineRule="auto"/>
        <w:jc w:val="both"/>
        <w:rPr>
          <w:rStyle w:val="IntenseEmphasis"/>
          <w:rFonts w:ascii="Times New Roman" w:hAnsi="Times New Roman" w:cs="Times New Roman"/>
          <w:sz w:val="24"/>
        </w:rPr>
      </w:pPr>
      <w:r>
        <w:rPr>
          <w:rStyle w:val="IntenseEmphasis"/>
          <w:rFonts w:ascii="Times New Roman" w:hAnsi="Times New Roman" w:cs="Times New Roman"/>
          <w:sz w:val="24"/>
        </w:rPr>
        <w:t>AC</w:t>
      </w:r>
      <w:r w:rsidR="002F7ECF">
        <w:rPr>
          <w:rStyle w:val="IntenseEmphasis"/>
          <w:rFonts w:ascii="Times New Roman" w:hAnsi="Times New Roman" w:cs="Times New Roman"/>
          <w:sz w:val="24"/>
        </w:rPr>
        <w:t xml:space="preserve"> 1.2 Innovation and Essential Thinking</w:t>
      </w:r>
    </w:p>
    <w:p w:rsidR="00D874D6" w:rsidRPr="00D874D6" w:rsidRDefault="008916AA" w:rsidP="0046244B">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Fo</w:t>
      </w:r>
      <w:bookmarkStart w:id="0" w:name="_GoBack"/>
      <w:bookmarkEnd w:id="0"/>
      <w:r>
        <w:rPr>
          <w:rStyle w:val="IntenseEmphasis"/>
          <w:rFonts w:ascii="Times New Roman" w:hAnsi="Times New Roman" w:cs="Times New Roman"/>
          <w:i w:val="0"/>
          <w:color w:val="auto"/>
          <w:sz w:val="24"/>
        </w:rPr>
        <w:t>r the resolution of any kind of potential or existing problem critical thinking is highly essential and plays a significant r</w:t>
      </w:r>
      <w:r w:rsidR="001378DE">
        <w:rPr>
          <w:rStyle w:val="IntenseEmphasis"/>
          <w:rFonts w:ascii="Times New Roman" w:hAnsi="Times New Roman" w:cs="Times New Roman"/>
          <w:i w:val="0"/>
          <w:color w:val="auto"/>
          <w:sz w:val="24"/>
        </w:rPr>
        <w:t xml:space="preserve">ole in resolution. As per </w:t>
      </w:r>
      <w:sdt>
        <w:sdtPr>
          <w:rPr>
            <w:rStyle w:val="IntenseEmphasis"/>
            <w:rFonts w:ascii="Times New Roman" w:hAnsi="Times New Roman" w:cs="Times New Roman"/>
            <w:i w:val="0"/>
            <w:color w:val="auto"/>
            <w:sz w:val="24"/>
          </w:rPr>
          <w:id w:val="-1631311533"/>
          <w:citation/>
        </w:sdtPr>
        <w:sdtEndPr>
          <w:rPr>
            <w:rStyle w:val="IntenseEmphasis"/>
          </w:rPr>
        </w:sdtEndPr>
        <w:sdtContent>
          <w:r w:rsidR="001378DE">
            <w:rPr>
              <w:rStyle w:val="IntenseEmphasis"/>
              <w:rFonts w:ascii="Times New Roman" w:hAnsi="Times New Roman" w:cs="Times New Roman"/>
              <w:i w:val="0"/>
              <w:color w:val="auto"/>
              <w:sz w:val="24"/>
            </w:rPr>
            <w:fldChar w:fldCharType="begin"/>
          </w:r>
          <w:r w:rsidR="001378DE">
            <w:rPr>
              <w:rStyle w:val="IntenseEmphasis"/>
              <w:rFonts w:ascii="Times New Roman" w:hAnsi="Times New Roman" w:cs="Times New Roman"/>
              <w:i w:val="0"/>
              <w:color w:val="auto"/>
              <w:sz w:val="24"/>
            </w:rPr>
            <w:instrText xml:space="preserve"> CITATION Fun10 \l 16393 </w:instrText>
          </w:r>
          <w:r w:rsidR="001378DE">
            <w:rPr>
              <w:rStyle w:val="IntenseEmphasis"/>
              <w:rFonts w:ascii="Times New Roman" w:hAnsi="Times New Roman" w:cs="Times New Roman"/>
              <w:i w:val="0"/>
              <w:color w:val="auto"/>
              <w:sz w:val="24"/>
            </w:rPr>
            <w:fldChar w:fldCharType="separate"/>
          </w:r>
          <w:r w:rsidR="001378DE" w:rsidRPr="001378DE">
            <w:rPr>
              <w:rFonts w:ascii="Times New Roman" w:hAnsi="Times New Roman" w:cs="Times New Roman"/>
              <w:noProof/>
              <w:sz w:val="24"/>
            </w:rPr>
            <w:t>(Funke, 2010)</w:t>
          </w:r>
          <w:r w:rsidR="001378DE">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critical thinking can be viewed as sensible controlled approach of analysing, synthesizing, identifying and evaluating information acquired from some secondary or primary sources and thereby helps in finding a logical solution to a given problem. Basically 6 major stages are involved in the process of critical thinking which is as follows:</w:t>
      </w:r>
    </w:p>
    <w:p w:rsidR="000E2D35" w:rsidRDefault="000E2D35" w:rsidP="0046244B">
      <w:pPr>
        <w:spacing w:line="360" w:lineRule="auto"/>
        <w:jc w:val="both"/>
        <w:rPr>
          <w:rStyle w:val="IntenseEmphasis"/>
          <w:rFonts w:ascii="Times New Roman" w:hAnsi="Times New Roman" w:cs="Times New Roman"/>
          <w:sz w:val="24"/>
        </w:rPr>
      </w:pPr>
      <w:r>
        <w:rPr>
          <w:noProof/>
          <w:lang w:val="en-US"/>
        </w:rPr>
        <w:drawing>
          <wp:inline distT="0" distB="0" distL="0" distR="0" wp14:anchorId="3F0E34CA" wp14:editId="1F0C1282">
            <wp:extent cx="5486400" cy="1417320"/>
            <wp:effectExtent l="0" t="0" r="0" b="114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0E2D35" w:rsidRDefault="000E2D35" w:rsidP="000E2D35">
      <w:pPr>
        <w:spacing w:line="360" w:lineRule="auto"/>
        <w:jc w:val="center"/>
        <w:rPr>
          <w:rStyle w:val="IntenseEmphasis"/>
          <w:rFonts w:ascii="Times New Roman" w:hAnsi="Times New Roman" w:cs="Times New Roman"/>
          <w:color w:val="auto"/>
          <w:sz w:val="24"/>
        </w:rPr>
      </w:pPr>
      <w:r w:rsidRPr="000E2D35">
        <w:rPr>
          <w:rStyle w:val="IntenseEmphasis"/>
          <w:rFonts w:ascii="Times New Roman" w:hAnsi="Times New Roman" w:cs="Times New Roman"/>
          <w:color w:val="auto"/>
          <w:sz w:val="24"/>
        </w:rPr>
        <w:t>Fig</w:t>
      </w:r>
      <w:r>
        <w:rPr>
          <w:rStyle w:val="IntenseEmphasis"/>
          <w:rFonts w:ascii="Times New Roman" w:hAnsi="Times New Roman" w:cs="Times New Roman"/>
          <w:color w:val="auto"/>
          <w:sz w:val="24"/>
        </w:rPr>
        <w:t xml:space="preserve"> 2</w:t>
      </w:r>
      <w:r w:rsidRPr="000E2D35">
        <w:rPr>
          <w:rStyle w:val="IntenseEmphasis"/>
          <w:rFonts w:ascii="Times New Roman" w:hAnsi="Times New Roman" w:cs="Times New Roman"/>
          <w:color w:val="auto"/>
          <w:sz w:val="24"/>
        </w:rPr>
        <w:t>: Stages involved in Critical Thinking</w:t>
      </w:r>
    </w:p>
    <w:p w:rsidR="008916AA" w:rsidRDefault="00192CCF" w:rsidP="008916AA">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As we can infer from the above mentioned figure that the process of critical thinking starts with attaining an in-depth knowledge regarding the selected problem. Then we try to understand the problem which is a part of the comprehension stage. Then the problem is required to be understood by applying the resources and facts available with us for the problem resolution and this forms the application stage</w:t>
      </w:r>
      <w:r w:rsidR="002904D9">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1253816914"/>
          <w:citation/>
        </w:sdtPr>
        <w:sdtEndPr>
          <w:rPr>
            <w:rStyle w:val="IntenseEmphasis"/>
          </w:rPr>
        </w:sdtEndPr>
        <w:sdtContent>
          <w:r w:rsidR="002904D9">
            <w:rPr>
              <w:rStyle w:val="IntenseEmphasis"/>
              <w:rFonts w:ascii="Times New Roman" w:hAnsi="Times New Roman" w:cs="Times New Roman"/>
              <w:i w:val="0"/>
              <w:color w:val="auto"/>
              <w:sz w:val="24"/>
            </w:rPr>
            <w:fldChar w:fldCharType="begin"/>
          </w:r>
          <w:r w:rsidR="002904D9">
            <w:rPr>
              <w:rStyle w:val="IntenseEmphasis"/>
              <w:rFonts w:ascii="Times New Roman" w:hAnsi="Times New Roman" w:cs="Times New Roman"/>
              <w:i w:val="0"/>
              <w:color w:val="auto"/>
              <w:sz w:val="24"/>
            </w:rPr>
            <w:instrText xml:space="preserve"> CITATION Bar07 \l 16393 </w:instrText>
          </w:r>
          <w:r w:rsidR="002904D9">
            <w:rPr>
              <w:rStyle w:val="IntenseEmphasis"/>
              <w:rFonts w:ascii="Times New Roman" w:hAnsi="Times New Roman" w:cs="Times New Roman"/>
              <w:i w:val="0"/>
              <w:color w:val="auto"/>
              <w:sz w:val="24"/>
            </w:rPr>
            <w:fldChar w:fldCharType="separate"/>
          </w:r>
          <w:r w:rsidR="002904D9" w:rsidRPr="002904D9">
            <w:rPr>
              <w:rFonts w:ascii="Times New Roman" w:hAnsi="Times New Roman" w:cs="Times New Roman"/>
              <w:noProof/>
              <w:sz w:val="24"/>
            </w:rPr>
            <w:t>(Barak &amp; Mesika, 2007)</w:t>
          </w:r>
          <w:r w:rsidR="002904D9">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xml:space="preserve">. Then the figured out solution so obtained is being analysed in the analysis stage and the effectiveness is </w:t>
      </w:r>
      <w:r w:rsidR="007970FD">
        <w:rPr>
          <w:rStyle w:val="IntenseEmphasis"/>
          <w:rFonts w:ascii="Times New Roman" w:hAnsi="Times New Roman" w:cs="Times New Roman"/>
          <w:i w:val="0"/>
          <w:color w:val="auto"/>
          <w:sz w:val="24"/>
        </w:rPr>
        <w:t>assessed. In the synthesis stage the challenges, weak points and strong points pertaining to the solution of the problem are involved. The synthesis is regarding developing an active plan of action and execution in the final phase of critical thinking process</w:t>
      </w:r>
      <w:r w:rsidR="002904D9">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1615053406"/>
          <w:citation/>
        </w:sdtPr>
        <w:sdtEndPr>
          <w:rPr>
            <w:rStyle w:val="IntenseEmphasis"/>
          </w:rPr>
        </w:sdtEndPr>
        <w:sdtContent>
          <w:r w:rsidR="002904D9">
            <w:rPr>
              <w:rStyle w:val="IntenseEmphasis"/>
              <w:rFonts w:ascii="Times New Roman" w:hAnsi="Times New Roman" w:cs="Times New Roman"/>
              <w:i w:val="0"/>
              <w:color w:val="auto"/>
              <w:sz w:val="24"/>
            </w:rPr>
            <w:fldChar w:fldCharType="begin"/>
          </w:r>
          <w:r w:rsidR="002904D9">
            <w:rPr>
              <w:rStyle w:val="IntenseEmphasis"/>
              <w:rFonts w:ascii="Times New Roman" w:hAnsi="Times New Roman" w:cs="Times New Roman"/>
              <w:i w:val="0"/>
              <w:color w:val="auto"/>
              <w:sz w:val="24"/>
            </w:rPr>
            <w:instrText xml:space="preserve"> CITATION Atm07 \l 16393 </w:instrText>
          </w:r>
          <w:r w:rsidR="002904D9">
            <w:rPr>
              <w:rStyle w:val="IntenseEmphasis"/>
              <w:rFonts w:ascii="Times New Roman" w:hAnsi="Times New Roman" w:cs="Times New Roman"/>
              <w:i w:val="0"/>
              <w:color w:val="auto"/>
              <w:sz w:val="24"/>
            </w:rPr>
            <w:fldChar w:fldCharType="separate"/>
          </w:r>
          <w:r w:rsidR="002904D9" w:rsidRPr="002904D9">
            <w:rPr>
              <w:rFonts w:ascii="Times New Roman" w:hAnsi="Times New Roman" w:cs="Times New Roman"/>
              <w:noProof/>
              <w:sz w:val="24"/>
            </w:rPr>
            <w:t>(Atman, et al., 2007)</w:t>
          </w:r>
          <w:r w:rsidR="002904D9">
            <w:rPr>
              <w:rStyle w:val="IntenseEmphasis"/>
              <w:rFonts w:ascii="Times New Roman" w:hAnsi="Times New Roman" w:cs="Times New Roman"/>
              <w:i w:val="0"/>
              <w:color w:val="auto"/>
              <w:sz w:val="24"/>
            </w:rPr>
            <w:fldChar w:fldCharType="end"/>
          </w:r>
        </w:sdtContent>
      </w:sdt>
      <w:r w:rsidR="007970FD">
        <w:rPr>
          <w:rStyle w:val="IntenseEmphasis"/>
          <w:rFonts w:ascii="Times New Roman" w:hAnsi="Times New Roman" w:cs="Times New Roman"/>
          <w:i w:val="0"/>
          <w:color w:val="auto"/>
          <w:sz w:val="24"/>
        </w:rPr>
        <w:t>.</w:t>
      </w:r>
    </w:p>
    <w:p w:rsidR="007970FD" w:rsidRPr="008916AA" w:rsidRDefault="007970FD" w:rsidP="008916AA">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lastRenderedPageBreak/>
        <w:t xml:space="preserve">For resolution of any problem </w:t>
      </w:r>
      <w:r w:rsidR="00DE4B7D">
        <w:rPr>
          <w:rStyle w:val="IntenseEmphasis"/>
          <w:rFonts w:ascii="Times New Roman" w:hAnsi="Times New Roman" w:cs="Times New Roman"/>
          <w:i w:val="0"/>
          <w:color w:val="auto"/>
          <w:sz w:val="24"/>
        </w:rPr>
        <w:t xml:space="preserve">both innovation and critical thinking are very impactful and necessary. For example, as per discussion if we choose any complex problem then we can easily understand the role of critical thinking and innovation while resolving any problem. In the concerned problem where </w:t>
      </w:r>
      <w:r w:rsidR="005B5BE7">
        <w:rPr>
          <w:rStyle w:val="IntenseEmphasis"/>
          <w:rFonts w:ascii="Times New Roman" w:hAnsi="Times New Roman" w:cs="Times New Roman"/>
          <w:i w:val="0"/>
          <w:color w:val="auto"/>
          <w:sz w:val="24"/>
        </w:rPr>
        <w:t>there is scarcity of sales person during the peak season, the understanding and knowledge of the problem would help us in carving out the features of the problem. It was found out that during these peak seasons not only the customer base increase but also the salesmen remain in leave in such special occasions and spend time with their families &amp; relatives. Analysis and execution of application would reveal that it impossible to not sanction leave to these employees on such occasions. Not all would be sanctioned leave but few have to be provided with leaves</w:t>
      </w:r>
      <w:r w:rsidR="002904D9">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1259287855"/>
          <w:citation/>
        </w:sdtPr>
        <w:sdtEndPr>
          <w:rPr>
            <w:rStyle w:val="IntenseEmphasis"/>
          </w:rPr>
        </w:sdtEndPr>
        <w:sdtContent>
          <w:r w:rsidR="002904D9">
            <w:rPr>
              <w:rStyle w:val="IntenseEmphasis"/>
              <w:rFonts w:ascii="Times New Roman" w:hAnsi="Times New Roman" w:cs="Times New Roman"/>
              <w:i w:val="0"/>
              <w:color w:val="auto"/>
              <w:sz w:val="24"/>
            </w:rPr>
            <w:fldChar w:fldCharType="begin"/>
          </w:r>
          <w:r w:rsidR="002904D9">
            <w:rPr>
              <w:rStyle w:val="IntenseEmphasis"/>
              <w:rFonts w:ascii="Times New Roman" w:hAnsi="Times New Roman" w:cs="Times New Roman"/>
              <w:i w:val="0"/>
              <w:color w:val="auto"/>
              <w:sz w:val="24"/>
            </w:rPr>
            <w:instrText xml:space="preserve"> CITATION Arr10 \l 16393 </w:instrText>
          </w:r>
          <w:r w:rsidR="002904D9">
            <w:rPr>
              <w:rStyle w:val="IntenseEmphasis"/>
              <w:rFonts w:ascii="Times New Roman" w:hAnsi="Times New Roman" w:cs="Times New Roman"/>
              <w:i w:val="0"/>
              <w:color w:val="auto"/>
              <w:sz w:val="24"/>
            </w:rPr>
            <w:fldChar w:fldCharType="separate"/>
          </w:r>
          <w:r w:rsidR="002904D9" w:rsidRPr="002904D9">
            <w:rPr>
              <w:rFonts w:ascii="Times New Roman" w:hAnsi="Times New Roman" w:cs="Times New Roman"/>
              <w:noProof/>
              <w:sz w:val="24"/>
            </w:rPr>
            <w:t>(Arroio, 2010)</w:t>
          </w:r>
          <w:r w:rsidR="002904D9">
            <w:rPr>
              <w:rStyle w:val="IntenseEmphasis"/>
              <w:rFonts w:ascii="Times New Roman" w:hAnsi="Times New Roman" w:cs="Times New Roman"/>
              <w:i w:val="0"/>
              <w:color w:val="auto"/>
              <w:sz w:val="24"/>
            </w:rPr>
            <w:fldChar w:fldCharType="end"/>
          </w:r>
        </w:sdtContent>
      </w:sdt>
      <w:r w:rsidR="005B5BE7">
        <w:rPr>
          <w:rStyle w:val="IntenseEmphasis"/>
          <w:rFonts w:ascii="Times New Roman" w:hAnsi="Times New Roman" w:cs="Times New Roman"/>
          <w:i w:val="0"/>
          <w:color w:val="auto"/>
          <w:sz w:val="24"/>
        </w:rPr>
        <w:t xml:space="preserve">. </w:t>
      </w:r>
      <w:r w:rsidR="0078486D">
        <w:rPr>
          <w:rStyle w:val="IntenseEmphasis"/>
          <w:rFonts w:ascii="Times New Roman" w:hAnsi="Times New Roman" w:cs="Times New Roman"/>
          <w:i w:val="0"/>
          <w:color w:val="auto"/>
          <w:sz w:val="24"/>
        </w:rPr>
        <w:t>Therefore, in such a scenario innovation for resolving such a problem has of a greater importance where we can allow the college going students as part time employees which would be a win-win scenario for both the employees, customers and organizations. Thus, we can say that critical thinking and innovation plays a significant role in resolution of a given problem.</w:t>
      </w:r>
    </w:p>
    <w:p w:rsidR="002F7ECF" w:rsidRDefault="0046244B" w:rsidP="008639A3">
      <w:pPr>
        <w:pStyle w:val="Heading1"/>
        <w:rPr>
          <w:rStyle w:val="IntenseEmphasis"/>
          <w:rFonts w:ascii="Times New Roman" w:hAnsi="Times New Roman" w:cs="Times New Roman"/>
          <w:i w:val="0"/>
          <w:sz w:val="28"/>
        </w:rPr>
      </w:pPr>
      <w:r>
        <w:rPr>
          <w:rStyle w:val="IntenseEmphasis"/>
          <w:rFonts w:ascii="Times New Roman" w:hAnsi="Times New Roman" w:cs="Times New Roman"/>
          <w:sz w:val="28"/>
        </w:rPr>
        <w:t>P</w:t>
      </w:r>
      <w:r w:rsidR="002F7ECF">
        <w:rPr>
          <w:rStyle w:val="IntenseEmphasis"/>
          <w:rFonts w:ascii="Times New Roman" w:hAnsi="Times New Roman" w:cs="Times New Roman"/>
          <w:sz w:val="28"/>
        </w:rPr>
        <w:t xml:space="preserve">2: </w:t>
      </w:r>
      <w:r w:rsidR="0002166D" w:rsidRPr="008639A3">
        <w:rPr>
          <w:rStyle w:val="Heading1Char"/>
        </w:rPr>
        <w:t>Knowhow of Communication Skills and Organizational Analysis</w:t>
      </w:r>
    </w:p>
    <w:p w:rsidR="0002166D" w:rsidRDefault="0002166D" w:rsidP="0046244B">
      <w:pPr>
        <w:spacing w:line="360" w:lineRule="auto"/>
        <w:rPr>
          <w:rStyle w:val="IntenseEmphasis"/>
          <w:rFonts w:ascii="Times New Roman" w:hAnsi="Times New Roman" w:cs="Times New Roman"/>
          <w:sz w:val="24"/>
        </w:rPr>
      </w:pPr>
      <w:r>
        <w:rPr>
          <w:rStyle w:val="IntenseEmphasis"/>
          <w:rFonts w:ascii="Times New Roman" w:hAnsi="Times New Roman" w:cs="Times New Roman"/>
          <w:sz w:val="24"/>
        </w:rPr>
        <w:t>AC 2.1 PEST Analysis</w:t>
      </w:r>
    </w:p>
    <w:p w:rsidR="0078486D" w:rsidRDefault="0078486D" w:rsidP="0078486D">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The analysis pertaining to macroeconomic and external factors of a firm is performed in a PEST (Political, Economic, Social and Technological) analysis. The above mentioned factors in relation to an organization are being analysed</w:t>
      </w:r>
      <w:r w:rsidR="00747CD7">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423460485"/>
          <w:citation/>
        </w:sdtPr>
        <w:sdtEndPr>
          <w:rPr>
            <w:rStyle w:val="IntenseEmphasis"/>
          </w:rPr>
        </w:sdtEndPr>
        <w:sdtContent>
          <w:r w:rsidR="00747CD7">
            <w:rPr>
              <w:rStyle w:val="IntenseEmphasis"/>
              <w:rFonts w:ascii="Times New Roman" w:hAnsi="Times New Roman" w:cs="Times New Roman"/>
              <w:i w:val="0"/>
              <w:color w:val="auto"/>
              <w:sz w:val="24"/>
            </w:rPr>
            <w:fldChar w:fldCharType="begin"/>
          </w:r>
          <w:r w:rsidR="00747CD7">
            <w:rPr>
              <w:rStyle w:val="IntenseEmphasis"/>
              <w:rFonts w:ascii="Times New Roman" w:hAnsi="Times New Roman" w:cs="Times New Roman"/>
              <w:i w:val="0"/>
              <w:color w:val="auto"/>
              <w:sz w:val="24"/>
            </w:rPr>
            <w:instrText xml:space="preserve"> CITATION Ahm03 \l 16393 </w:instrText>
          </w:r>
          <w:r w:rsidR="00747CD7">
            <w:rPr>
              <w:rStyle w:val="IntenseEmphasis"/>
              <w:rFonts w:ascii="Times New Roman" w:hAnsi="Times New Roman" w:cs="Times New Roman"/>
              <w:i w:val="0"/>
              <w:color w:val="auto"/>
              <w:sz w:val="24"/>
            </w:rPr>
            <w:fldChar w:fldCharType="separate"/>
          </w:r>
          <w:r w:rsidR="00747CD7" w:rsidRPr="00747CD7">
            <w:rPr>
              <w:rFonts w:ascii="Times New Roman" w:hAnsi="Times New Roman" w:cs="Times New Roman"/>
              <w:noProof/>
              <w:sz w:val="24"/>
            </w:rPr>
            <w:t>(Ahmed, et al., 2003)</w:t>
          </w:r>
          <w:r w:rsidR="00747CD7">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xml:space="preserve">. The selected organization in this case is Tesco. Political situation where Tesco functions is stable and encourages growth &amp; development for the business. </w:t>
      </w:r>
      <w:r w:rsidR="001003DB">
        <w:rPr>
          <w:rStyle w:val="IntenseEmphasis"/>
          <w:rFonts w:ascii="Times New Roman" w:hAnsi="Times New Roman" w:cs="Times New Roman"/>
          <w:i w:val="0"/>
          <w:color w:val="auto"/>
          <w:sz w:val="24"/>
        </w:rPr>
        <w:t xml:space="preserve">But there are some steps being taken by the UK government such as increase in the rate of taxation like VAT has significantly reduced the profitability of the business in Tesco. The tax system changed to control the profits generated from the foods contributing to obesity factors which is also a matter of concern in Tesco. The Brexit factor would again </w:t>
      </w:r>
      <w:r w:rsidR="002A065D">
        <w:rPr>
          <w:rStyle w:val="IntenseEmphasis"/>
          <w:rFonts w:ascii="Times New Roman" w:hAnsi="Times New Roman" w:cs="Times New Roman"/>
          <w:i w:val="0"/>
          <w:color w:val="auto"/>
          <w:sz w:val="24"/>
        </w:rPr>
        <w:t>add to the existing problem and cause the unavailability of trained employees. The economic conditions are quite favourable for Tesco in UK because of the high purchasing ability of customers. There is enough scope of employment opportunity</w:t>
      </w:r>
      <w:r w:rsidR="00FC1CAC">
        <w:rPr>
          <w:rStyle w:val="IntenseEmphasis"/>
          <w:rFonts w:ascii="Times New Roman" w:hAnsi="Times New Roman" w:cs="Times New Roman"/>
          <w:i w:val="0"/>
          <w:color w:val="auto"/>
          <w:sz w:val="24"/>
        </w:rPr>
        <w:t xml:space="preserve"> in UK which is an added value in its sales promotion. When it comes to social environment, the religious beliefs and culture in UK is varying in nature. This seems to be a constraint but it is actually an opportunity for the business. The one-stop shopping a social trend emerging in UK has encouraged the company to sell its different non-food items in its outlets. The greatest evolution has been seen in the field of technology where the people of UK seem to use the social media platform which enabled the companies to use these platforms for their PR and </w:t>
      </w:r>
      <w:r w:rsidR="00FC1CAC">
        <w:rPr>
          <w:rStyle w:val="IntenseEmphasis"/>
          <w:rFonts w:ascii="Times New Roman" w:hAnsi="Times New Roman" w:cs="Times New Roman"/>
          <w:i w:val="0"/>
          <w:color w:val="auto"/>
          <w:sz w:val="24"/>
        </w:rPr>
        <w:lastRenderedPageBreak/>
        <w:t>marketing activities</w:t>
      </w:r>
      <w:r w:rsidR="00747CD7">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900213062"/>
          <w:citation/>
        </w:sdtPr>
        <w:sdtEndPr>
          <w:rPr>
            <w:rStyle w:val="IntenseEmphasis"/>
          </w:rPr>
        </w:sdtEndPr>
        <w:sdtContent>
          <w:r w:rsidR="00747CD7">
            <w:rPr>
              <w:rStyle w:val="IntenseEmphasis"/>
              <w:rFonts w:ascii="Times New Roman" w:hAnsi="Times New Roman" w:cs="Times New Roman"/>
              <w:i w:val="0"/>
              <w:color w:val="auto"/>
              <w:sz w:val="24"/>
            </w:rPr>
            <w:fldChar w:fldCharType="begin"/>
          </w:r>
          <w:r w:rsidR="00747CD7">
            <w:rPr>
              <w:rStyle w:val="IntenseEmphasis"/>
              <w:rFonts w:ascii="Times New Roman" w:hAnsi="Times New Roman" w:cs="Times New Roman"/>
              <w:i w:val="0"/>
              <w:color w:val="auto"/>
              <w:sz w:val="24"/>
            </w:rPr>
            <w:instrText xml:space="preserve"> CITATION Con11 \l 16393 </w:instrText>
          </w:r>
          <w:r w:rsidR="00747CD7">
            <w:rPr>
              <w:rStyle w:val="IntenseEmphasis"/>
              <w:rFonts w:ascii="Times New Roman" w:hAnsi="Times New Roman" w:cs="Times New Roman"/>
              <w:i w:val="0"/>
              <w:color w:val="auto"/>
              <w:sz w:val="24"/>
            </w:rPr>
            <w:fldChar w:fldCharType="separate"/>
          </w:r>
          <w:r w:rsidR="00747CD7" w:rsidRPr="00747CD7">
            <w:rPr>
              <w:rFonts w:ascii="Times New Roman" w:hAnsi="Times New Roman" w:cs="Times New Roman"/>
              <w:noProof/>
              <w:sz w:val="24"/>
            </w:rPr>
            <w:t>(Conley, 2011)</w:t>
          </w:r>
          <w:r w:rsidR="00747CD7">
            <w:rPr>
              <w:rStyle w:val="IntenseEmphasis"/>
              <w:rFonts w:ascii="Times New Roman" w:hAnsi="Times New Roman" w:cs="Times New Roman"/>
              <w:i w:val="0"/>
              <w:color w:val="auto"/>
              <w:sz w:val="24"/>
            </w:rPr>
            <w:fldChar w:fldCharType="end"/>
          </w:r>
        </w:sdtContent>
      </w:sdt>
      <w:r w:rsidR="00FC1CAC">
        <w:rPr>
          <w:rStyle w:val="IntenseEmphasis"/>
          <w:rFonts w:ascii="Times New Roman" w:hAnsi="Times New Roman" w:cs="Times New Roman"/>
          <w:i w:val="0"/>
          <w:color w:val="auto"/>
          <w:sz w:val="24"/>
        </w:rPr>
        <w:t>. However, there are certain customers who extensively use this platform to show their satisfaction or dissatisfaction with Tesco which greatly impacts the brand image of the company in a positive or negative way.</w:t>
      </w: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Default="001C0A25" w:rsidP="0078486D">
      <w:pPr>
        <w:spacing w:line="360" w:lineRule="auto"/>
        <w:jc w:val="both"/>
        <w:rPr>
          <w:rStyle w:val="IntenseEmphasis"/>
          <w:rFonts w:ascii="Times New Roman" w:hAnsi="Times New Roman" w:cs="Times New Roman"/>
          <w:i w:val="0"/>
          <w:color w:val="auto"/>
          <w:sz w:val="24"/>
        </w:rPr>
      </w:pPr>
    </w:p>
    <w:p w:rsidR="001C0A25" w:rsidRPr="0078486D" w:rsidRDefault="001C0A25" w:rsidP="0078486D">
      <w:pPr>
        <w:spacing w:line="360" w:lineRule="auto"/>
        <w:jc w:val="both"/>
        <w:rPr>
          <w:rStyle w:val="IntenseEmphasis"/>
          <w:rFonts w:ascii="Times New Roman" w:hAnsi="Times New Roman" w:cs="Times New Roman"/>
          <w:i w:val="0"/>
          <w:color w:val="auto"/>
          <w:sz w:val="24"/>
        </w:rPr>
      </w:pPr>
    </w:p>
    <w:p w:rsidR="0002166D" w:rsidRDefault="0002166D" w:rsidP="0046244B">
      <w:pPr>
        <w:spacing w:line="360" w:lineRule="auto"/>
        <w:rPr>
          <w:rStyle w:val="IntenseEmphasis"/>
          <w:rFonts w:ascii="Times New Roman" w:hAnsi="Times New Roman" w:cs="Times New Roman"/>
          <w:sz w:val="24"/>
        </w:rPr>
      </w:pPr>
      <w:r>
        <w:rPr>
          <w:rStyle w:val="IntenseEmphasis"/>
          <w:rFonts w:ascii="Times New Roman" w:hAnsi="Times New Roman" w:cs="Times New Roman"/>
          <w:sz w:val="24"/>
        </w:rPr>
        <w:lastRenderedPageBreak/>
        <w:t>AC 2.2 Letter to line manager</w:t>
      </w:r>
    </w:p>
    <w:p w:rsidR="00FC1CAC" w:rsidRDefault="0079598A" w:rsidP="0079598A">
      <w:pPr>
        <w:spacing w:line="276"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To</w:t>
      </w:r>
    </w:p>
    <w:p w:rsidR="0079598A" w:rsidRDefault="0079598A" w:rsidP="00FA618E">
      <w:pPr>
        <w:spacing w:line="24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The Manager</w:t>
      </w:r>
      <w:r w:rsidR="001C0A25">
        <w:rPr>
          <w:rStyle w:val="IntenseEmphasis"/>
          <w:rFonts w:ascii="Times New Roman" w:hAnsi="Times New Roman" w:cs="Times New Roman"/>
          <w:i w:val="0"/>
          <w:color w:val="auto"/>
          <w:sz w:val="24"/>
        </w:rPr>
        <w:t xml:space="preserve"> – Tesco UK</w:t>
      </w:r>
    </w:p>
    <w:p w:rsidR="0079598A" w:rsidRDefault="0079598A" w:rsidP="00FA618E">
      <w:pPr>
        <w:spacing w:line="24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Sales Division</w:t>
      </w:r>
    </w:p>
    <w:p w:rsidR="0079598A" w:rsidRDefault="0079598A" w:rsidP="0079598A">
      <w:pPr>
        <w:spacing w:line="276" w:lineRule="auto"/>
        <w:jc w:val="both"/>
        <w:rPr>
          <w:rStyle w:val="IntenseEmphasis"/>
          <w:rFonts w:ascii="Times New Roman" w:hAnsi="Times New Roman" w:cs="Times New Roman"/>
          <w:i w:val="0"/>
          <w:color w:val="auto"/>
          <w:sz w:val="24"/>
        </w:rPr>
      </w:pPr>
    </w:p>
    <w:p w:rsidR="001C0A25" w:rsidRDefault="001C0A25" w:rsidP="00FC1CAC">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Dear Madam,</w:t>
      </w:r>
    </w:p>
    <w:p w:rsidR="0079598A" w:rsidRDefault="001C0A25" w:rsidP="00FC1CAC">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In this letter, you will be excited to find some analysis conducted in the business environment in which your supermarket operates.</w:t>
      </w:r>
      <w:r w:rsidR="0079598A">
        <w:rPr>
          <w:rStyle w:val="IntenseEmphasis"/>
          <w:rFonts w:ascii="Times New Roman" w:hAnsi="Times New Roman" w:cs="Times New Roman"/>
          <w:i w:val="0"/>
          <w:color w:val="auto"/>
          <w:sz w:val="24"/>
        </w:rPr>
        <w:t xml:space="preserve"> During the PEST analysis it was discovered that the political atmosphere of Tesco is quite stable. For example, the hike in taxation rate on food items causing obesity has significantly reduced the profitability of Tesco</w:t>
      </w:r>
      <w:r w:rsidR="003C2380">
        <w:rPr>
          <w:rStyle w:val="IntenseEmphasis"/>
          <w:rFonts w:ascii="Times New Roman" w:hAnsi="Times New Roman" w:cs="Times New Roman"/>
          <w:i w:val="0"/>
          <w:color w:val="auto"/>
          <w:sz w:val="24"/>
        </w:rPr>
        <w:t xml:space="preserve">. Therefore, it is required by the company to position itself as a healthy consumable. The next challenge was the scarcity of human resources due to Brexit. Tesco must have proper recruitment policies and succession policies in store to deal with the scarcity of human resources. </w:t>
      </w:r>
      <w:r>
        <w:rPr>
          <w:rStyle w:val="IntenseEmphasis"/>
          <w:rFonts w:ascii="Times New Roman" w:hAnsi="Times New Roman" w:cs="Times New Roman"/>
          <w:i w:val="0"/>
          <w:color w:val="auto"/>
          <w:sz w:val="24"/>
        </w:rPr>
        <w:t>In terms of</w:t>
      </w:r>
      <w:r w:rsidR="003C2380">
        <w:rPr>
          <w:rStyle w:val="IntenseEmphasis"/>
          <w:rFonts w:ascii="Times New Roman" w:hAnsi="Times New Roman" w:cs="Times New Roman"/>
          <w:i w:val="0"/>
          <w:color w:val="auto"/>
          <w:sz w:val="24"/>
        </w:rPr>
        <w:t xml:space="preserve"> economic analysis, efforts were made on increasing the scope of employment for the country and this would result in the greater purchasing power of people at large</w:t>
      </w:r>
      <w:r>
        <w:rPr>
          <w:rStyle w:val="IntenseEmphasis"/>
          <w:rFonts w:ascii="Times New Roman" w:hAnsi="Times New Roman" w:cs="Times New Roman"/>
          <w:i w:val="0"/>
          <w:color w:val="auto"/>
          <w:sz w:val="24"/>
        </w:rPr>
        <w:t xml:space="preserve"> (</w:t>
      </w:r>
      <w:r w:rsidR="003C2380">
        <w:rPr>
          <w:rStyle w:val="IntenseEmphasis"/>
          <w:rFonts w:ascii="Times New Roman" w:hAnsi="Times New Roman" w:cs="Times New Roman"/>
          <w:i w:val="0"/>
          <w:color w:val="auto"/>
          <w:sz w:val="24"/>
        </w:rPr>
        <w:t xml:space="preserve">. Tesco should target the evolving middle class and middle class customers more efficiently with tactics of end of season sale, discounts, etc. The social analysis represented the varied culture in UK and hence Tesco should make sure that it should have products for every culture existing in UK. Lastly, </w:t>
      </w:r>
      <w:r w:rsidR="00951739">
        <w:rPr>
          <w:rStyle w:val="IntenseEmphasis"/>
          <w:rFonts w:ascii="Times New Roman" w:hAnsi="Times New Roman" w:cs="Times New Roman"/>
          <w:i w:val="0"/>
          <w:color w:val="auto"/>
          <w:sz w:val="24"/>
        </w:rPr>
        <w:t>the technological analysis emphasized on the role of social media and online shopping usage. Tesco should seriously concentrate on getting all its product online rather than selling offline because customers these days are more active in online platforms. The company should also increase its presence in online social media platforms like Twitter, Facebook and Instagram. These platforms are highly used in building the brand image of any organization.</w:t>
      </w:r>
    </w:p>
    <w:p w:rsidR="00951739" w:rsidRDefault="00951739" w:rsidP="00FC1CAC">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Based on my analysis, I have shared the thoughtful understanding regarding Tesco’s external atmosphere. I hope it looks meaningful and effective to you.</w:t>
      </w:r>
    </w:p>
    <w:p w:rsidR="00951739" w:rsidRDefault="00951739" w:rsidP="00FC1CAC">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Regards</w:t>
      </w:r>
    </w:p>
    <w:p w:rsidR="0079598A" w:rsidRPr="00FC1CAC" w:rsidRDefault="0079598A" w:rsidP="00FC1CAC">
      <w:pPr>
        <w:spacing w:line="360" w:lineRule="auto"/>
        <w:jc w:val="both"/>
        <w:rPr>
          <w:rStyle w:val="IntenseEmphasis"/>
          <w:rFonts w:ascii="Times New Roman" w:hAnsi="Times New Roman" w:cs="Times New Roman"/>
          <w:i w:val="0"/>
          <w:color w:val="auto"/>
          <w:sz w:val="24"/>
        </w:rPr>
      </w:pPr>
    </w:p>
    <w:p w:rsidR="007A4BFB" w:rsidRDefault="007A4BFB" w:rsidP="003B37FB">
      <w:pPr>
        <w:pStyle w:val="Heading1"/>
        <w:rPr>
          <w:rStyle w:val="IntenseEmphasis"/>
          <w:rFonts w:ascii="Times New Roman" w:hAnsi="Times New Roman" w:cs="Times New Roman"/>
          <w:i w:val="0"/>
          <w:sz w:val="28"/>
        </w:rPr>
      </w:pPr>
      <w:r>
        <w:rPr>
          <w:rStyle w:val="IntenseEmphasis"/>
          <w:rFonts w:ascii="Times New Roman" w:hAnsi="Times New Roman" w:cs="Times New Roman"/>
          <w:sz w:val="28"/>
        </w:rPr>
        <w:t xml:space="preserve">P3: Functioning with others </w:t>
      </w:r>
      <w:r w:rsidR="0046244B">
        <w:rPr>
          <w:rStyle w:val="IntenseEmphasis"/>
          <w:rFonts w:ascii="Times New Roman" w:hAnsi="Times New Roman" w:cs="Times New Roman"/>
          <w:sz w:val="28"/>
        </w:rPr>
        <w:t>and understanding Employees behaviour</w:t>
      </w:r>
    </w:p>
    <w:p w:rsidR="0046244B" w:rsidRDefault="0046244B" w:rsidP="0046244B">
      <w:pPr>
        <w:spacing w:line="360" w:lineRule="auto"/>
        <w:rPr>
          <w:rStyle w:val="IntenseEmphasis"/>
          <w:rFonts w:ascii="Times New Roman" w:hAnsi="Times New Roman" w:cs="Times New Roman"/>
          <w:sz w:val="24"/>
        </w:rPr>
      </w:pPr>
      <w:r>
        <w:rPr>
          <w:rStyle w:val="IntenseEmphasis"/>
          <w:rFonts w:ascii="Times New Roman" w:hAnsi="Times New Roman" w:cs="Times New Roman"/>
          <w:sz w:val="24"/>
        </w:rPr>
        <w:t>AC 3.1 Employee Behaviour</w:t>
      </w:r>
    </w:p>
    <w:p w:rsidR="00951739" w:rsidRDefault="00801BD2" w:rsidP="00951739">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lastRenderedPageBreak/>
        <w:t>Employees are integral to any organization. Any positive or negative things that happen in an organization is because of the employees and their behaviour in an organization</w:t>
      </w:r>
      <w:r w:rsidR="00747CD7">
        <w:rPr>
          <w:rStyle w:val="IntenseEmphasis"/>
          <w:rFonts w:ascii="Times New Roman" w:hAnsi="Times New Roman" w:cs="Times New Roman"/>
          <w:i w:val="0"/>
          <w:color w:val="auto"/>
          <w:sz w:val="24"/>
        </w:rPr>
        <w:t xml:space="preserve">. As per </w:t>
      </w:r>
      <w:sdt>
        <w:sdtPr>
          <w:rPr>
            <w:rStyle w:val="IntenseEmphasis"/>
            <w:rFonts w:ascii="Times New Roman" w:hAnsi="Times New Roman" w:cs="Times New Roman"/>
            <w:i w:val="0"/>
            <w:color w:val="auto"/>
            <w:sz w:val="24"/>
          </w:rPr>
          <w:id w:val="1162354519"/>
          <w:citation/>
        </w:sdtPr>
        <w:sdtEndPr>
          <w:rPr>
            <w:rStyle w:val="IntenseEmphasis"/>
          </w:rPr>
        </w:sdtEndPr>
        <w:sdtContent>
          <w:r w:rsidR="00747CD7">
            <w:rPr>
              <w:rStyle w:val="IntenseEmphasis"/>
              <w:rFonts w:ascii="Times New Roman" w:hAnsi="Times New Roman" w:cs="Times New Roman"/>
              <w:i w:val="0"/>
              <w:color w:val="auto"/>
              <w:sz w:val="24"/>
            </w:rPr>
            <w:fldChar w:fldCharType="begin"/>
          </w:r>
          <w:r w:rsidR="00747CD7">
            <w:rPr>
              <w:rStyle w:val="IntenseEmphasis"/>
              <w:rFonts w:ascii="Times New Roman" w:hAnsi="Times New Roman" w:cs="Times New Roman"/>
              <w:i w:val="0"/>
              <w:color w:val="auto"/>
              <w:sz w:val="24"/>
            </w:rPr>
            <w:instrText xml:space="preserve"> CITATION Dix12 \l 16393 </w:instrText>
          </w:r>
          <w:r w:rsidR="00747CD7">
            <w:rPr>
              <w:rStyle w:val="IntenseEmphasis"/>
              <w:rFonts w:ascii="Times New Roman" w:hAnsi="Times New Roman" w:cs="Times New Roman"/>
              <w:i w:val="0"/>
              <w:color w:val="auto"/>
              <w:sz w:val="24"/>
            </w:rPr>
            <w:fldChar w:fldCharType="separate"/>
          </w:r>
          <w:r w:rsidR="00747CD7" w:rsidRPr="00747CD7">
            <w:rPr>
              <w:rFonts w:ascii="Times New Roman" w:hAnsi="Times New Roman" w:cs="Times New Roman"/>
              <w:noProof/>
              <w:sz w:val="24"/>
            </w:rPr>
            <w:t>(Dixon &amp; Brown, 2012)</w:t>
          </w:r>
          <w:r w:rsidR="00747CD7">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xml:space="preserve">, employee behaviour is the way with which the employees react to and act in a certain environment within a firm. </w:t>
      </w:r>
      <w:r w:rsidR="00435B9A">
        <w:rPr>
          <w:rStyle w:val="IntenseEmphasis"/>
          <w:rFonts w:ascii="Times New Roman" w:hAnsi="Times New Roman" w:cs="Times New Roman"/>
          <w:i w:val="0"/>
          <w:color w:val="auto"/>
          <w:sz w:val="24"/>
        </w:rPr>
        <w:t>The respective way in which the employees respond and behave in an organization together forms the employee behaviour. Organizations are influenced by the employee attitude and behaviour because it is the employees who builds the organizational culture and forms the face of any organization.</w:t>
      </w:r>
    </w:p>
    <w:p w:rsidR="00435B9A" w:rsidRPr="00951739" w:rsidRDefault="00435B9A" w:rsidP="00951739">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Although the employee behaviour can be classified into several types but basically there are two main types of employee behaviour that greatly impacts the organizational culture and these are briefly discussed as outlier behaviours.</w:t>
      </w:r>
    </w:p>
    <w:p w:rsidR="000E2D35" w:rsidRDefault="000E2D35" w:rsidP="0046244B">
      <w:pPr>
        <w:spacing w:line="360" w:lineRule="auto"/>
        <w:rPr>
          <w:rStyle w:val="IntenseEmphasis"/>
          <w:rFonts w:ascii="Times New Roman" w:hAnsi="Times New Roman" w:cs="Times New Roman"/>
          <w:sz w:val="24"/>
        </w:rPr>
      </w:pPr>
      <w:r>
        <w:rPr>
          <w:rStyle w:val="IntenseEmphasis"/>
          <w:rFonts w:ascii="Times New Roman" w:hAnsi="Times New Roman" w:cs="Times New Roman"/>
          <w:sz w:val="24"/>
        </w:rPr>
        <w:t xml:space="preserve">                                        </w:t>
      </w:r>
      <w:r>
        <w:rPr>
          <w:noProof/>
          <w:lang w:val="en-US"/>
        </w:rPr>
        <w:drawing>
          <wp:inline distT="0" distB="0" distL="0" distR="0" wp14:anchorId="4F1C0674" wp14:editId="01307440">
            <wp:extent cx="2918460" cy="982980"/>
            <wp:effectExtent l="0" t="0" r="15240" b="266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0E2D35" w:rsidRDefault="000E2D35" w:rsidP="000E2D35">
      <w:pPr>
        <w:spacing w:line="360" w:lineRule="auto"/>
        <w:jc w:val="center"/>
        <w:rPr>
          <w:rStyle w:val="IntenseEmphasis"/>
          <w:rFonts w:ascii="Times New Roman" w:hAnsi="Times New Roman" w:cs="Times New Roman"/>
          <w:color w:val="auto"/>
          <w:sz w:val="24"/>
        </w:rPr>
      </w:pPr>
      <w:r w:rsidRPr="000E2D35">
        <w:rPr>
          <w:rStyle w:val="IntenseEmphasis"/>
          <w:rFonts w:ascii="Times New Roman" w:hAnsi="Times New Roman" w:cs="Times New Roman"/>
          <w:color w:val="auto"/>
          <w:sz w:val="24"/>
        </w:rPr>
        <w:t>Fig 3: Main kinds of Employee Beh</w:t>
      </w:r>
      <w:r>
        <w:rPr>
          <w:rStyle w:val="IntenseEmphasis"/>
          <w:rFonts w:ascii="Times New Roman" w:hAnsi="Times New Roman" w:cs="Times New Roman"/>
          <w:color w:val="auto"/>
          <w:sz w:val="24"/>
        </w:rPr>
        <w:t>a</w:t>
      </w:r>
      <w:r w:rsidRPr="000E2D35">
        <w:rPr>
          <w:rStyle w:val="IntenseEmphasis"/>
          <w:rFonts w:ascii="Times New Roman" w:hAnsi="Times New Roman" w:cs="Times New Roman"/>
          <w:color w:val="auto"/>
          <w:sz w:val="24"/>
        </w:rPr>
        <w:t>viours</w:t>
      </w:r>
    </w:p>
    <w:p w:rsidR="00435B9A" w:rsidRDefault="00435B9A" w:rsidP="00435B9A">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Positive outliers are the ones who are proactive, smart, charismatic and dedicated. These employees show a great performance within the organization and are being placed above the rest of the employees in an organization</w:t>
      </w:r>
      <w:r w:rsidR="00747CD7">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1921288188"/>
          <w:citation/>
        </w:sdtPr>
        <w:sdtEndPr>
          <w:rPr>
            <w:rStyle w:val="IntenseEmphasis"/>
          </w:rPr>
        </w:sdtEndPr>
        <w:sdtContent>
          <w:r w:rsidR="00747CD7">
            <w:rPr>
              <w:rStyle w:val="IntenseEmphasis"/>
              <w:rFonts w:ascii="Times New Roman" w:hAnsi="Times New Roman" w:cs="Times New Roman"/>
              <w:i w:val="0"/>
              <w:color w:val="auto"/>
              <w:sz w:val="24"/>
            </w:rPr>
            <w:fldChar w:fldCharType="begin"/>
          </w:r>
          <w:r w:rsidR="00747CD7">
            <w:rPr>
              <w:rStyle w:val="IntenseEmphasis"/>
              <w:rFonts w:ascii="Times New Roman" w:hAnsi="Times New Roman" w:cs="Times New Roman"/>
              <w:i w:val="0"/>
              <w:color w:val="auto"/>
              <w:sz w:val="24"/>
            </w:rPr>
            <w:instrText xml:space="preserve"> CITATION Cri12 \l 16393 </w:instrText>
          </w:r>
          <w:r w:rsidR="00747CD7">
            <w:rPr>
              <w:rStyle w:val="IntenseEmphasis"/>
              <w:rFonts w:ascii="Times New Roman" w:hAnsi="Times New Roman" w:cs="Times New Roman"/>
              <w:i w:val="0"/>
              <w:color w:val="auto"/>
              <w:sz w:val="24"/>
            </w:rPr>
            <w:fldChar w:fldCharType="separate"/>
          </w:r>
          <w:r w:rsidR="00747CD7" w:rsidRPr="00747CD7">
            <w:rPr>
              <w:rFonts w:ascii="Times New Roman" w:hAnsi="Times New Roman" w:cs="Times New Roman"/>
              <w:noProof/>
              <w:sz w:val="24"/>
            </w:rPr>
            <w:t>(Crismond &amp; Adams, 2012)</w:t>
          </w:r>
          <w:r w:rsidR="00747CD7">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On the other hand the negative outliers are the ones who show a delayed performance and are more of a liability for the organization. These kinds of employees are unable to take up small challenges and tend to show negative attitude towards work which includes avoidance, negligence and anger. These two important types of employee behaviour helps in determining either the success or failure of an organization</w:t>
      </w:r>
      <w:r w:rsidR="00747CD7">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1817367922"/>
          <w:citation/>
        </w:sdtPr>
        <w:sdtEndPr>
          <w:rPr>
            <w:rStyle w:val="IntenseEmphasis"/>
          </w:rPr>
        </w:sdtEndPr>
        <w:sdtContent>
          <w:r w:rsidR="00747CD7">
            <w:rPr>
              <w:rStyle w:val="IntenseEmphasis"/>
              <w:rFonts w:ascii="Times New Roman" w:hAnsi="Times New Roman" w:cs="Times New Roman"/>
              <w:i w:val="0"/>
              <w:color w:val="auto"/>
              <w:sz w:val="24"/>
            </w:rPr>
            <w:fldChar w:fldCharType="begin"/>
          </w:r>
          <w:r w:rsidR="00747CD7">
            <w:rPr>
              <w:rStyle w:val="IntenseEmphasis"/>
              <w:rFonts w:ascii="Times New Roman" w:hAnsi="Times New Roman" w:cs="Times New Roman"/>
              <w:i w:val="0"/>
              <w:color w:val="auto"/>
              <w:sz w:val="24"/>
            </w:rPr>
            <w:instrText xml:space="preserve"> CITATION Eft04 \l 16393 </w:instrText>
          </w:r>
          <w:r w:rsidR="00747CD7">
            <w:rPr>
              <w:rStyle w:val="IntenseEmphasis"/>
              <w:rFonts w:ascii="Times New Roman" w:hAnsi="Times New Roman" w:cs="Times New Roman"/>
              <w:i w:val="0"/>
              <w:color w:val="auto"/>
              <w:sz w:val="24"/>
            </w:rPr>
            <w:fldChar w:fldCharType="separate"/>
          </w:r>
          <w:r w:rsidR="00747CD7" w:rsidRPr="00747CD7">
            <w:rPr>
              <w:rFonts w:ascii="Times New Roman" w:hAnsi="Times New Roman" w:cs="Times New Roman"/>
              <w:noProof/>
              <w:sz w:val="24"/>
            </w:rPr>
            <w:t>(Efthimiou &amp; Llewellyn, 2004)</w:t>
          </w:r>
          <w:r w:rsidR="00747CD7">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It is the management’s duty to convert the negative outliers to positive ones and increase the efficiency and profitability of the business. At the same time it is quite challenging for the management to convert the negative outliers to average ones.</w:t>
      </w:r>
    </w:p>
    <w:p w:rsidR="00435B9A" w:rsidRPr="00435B9A" w:rsidRDefault="00435B9A" w:rsidP="00435B9A">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 xml:space="preserve">Therefore, the employee behaviour management is </w:t>
      </w:r>
      <w:r w:rsidR="00B61039">
        <w:rPr>
          <w:rStyle w:val="IntenseEmphasis"/>
          <w:rFonts w:ascii="Times New Roman" w:hAnsi="Times New Roman" w:cs="Times New Roman"/>
          <w:i w:val="0"/>
          <w:color w:val="auto"/>
          <w:sz w:val="24"/>
        </w:rPr>
        <w:t xml:space="preserve">the sole responsibility of the management and some of the important techniques to do that involves managerial ethics, harassment, control and accountability. The managerial control needs to be performed in manner so that the positive behaviour would be promoted and helps in getting rid of the negative behaviour. This necessitates the control process to encourage the employees and helps in setting goals for them. </w:t>
      </w:r>
      <w:r w:rsidR="00B61039">
        <w:rPr>
          <w:rStyle w:val="IntenseEmphasis"/>
          <w:rFonts w:ascii="Times New Roman" w:hAnsi="Times New Roman" w:cs="Times New Roman"/>
          <w:i w:val="0"/>
          <w:color w:val="auto"/>
          <w:sz w:val="24"/>
        </w:rPr>
        <w:lastRenderedPageBreak/>
        <w:t xml:space="preserve">Ethically, there should be a set of standards that the employees should abide by while in an organization and any inconsistency in the standards would lead to a greater penalty. For example, sharing of official information whether personally or professionally is strictly prohibited. Another method of inculcating positive behaviour among employees is to makes them accountable in whatever they do. Accountability promotes empowerment and gives them inspiration to have a positive attitude. Lastly, there should be strict rule w.r.t harassment and should have policies in place which can prevent harassment to seniors or juniors. </w:t>
      </w:r>
    </w:p>
    <w:p w:rsidR="0046244B" w:rsidRDefault="0046244B" w:rsidP="00D07FC0">
      <w:pPr>
        <w:pStyle w:val="Heading1"/>
        <w:rPr>
          <w:rStyle w:val="IntenseEmphasis"/>
          <w:rFonts w:ascii="Times New Roman" w:hAnsi="Times New Roman" w:cs="Times New Roman"/>
          <w:i w:val="0"/>
          <w:sz w:val="28"/>
        </w:rPr>
      </w:pPr>
      <w:r>
        <w:rPr>
          <w:rStyle w:val="IntenseEmphasis"/>
          <w:rFonts w:ascii="Times New Roman" w:hAnsi="Times New Roman" w:cs="Times New Roman"/>
          <w:sz w:val="28"/>
        </w:rPr>
        <w:t>P4: Data Analysis Skills and Information communication technology</w:t>
      </w:r>
    </w:p>
    <w:p w:rsidR="0046244B" w:rsidRDefault="0046244B" w:rsidP="0046244B">
      <w:pPr>
        <w:spacing w:line="360" w:lineRule="auto"/>
        <w:rPr>
          <w:rStyle w:val="IntenseEmphasis"/>
          <w:rFonts w:ascii="Times New Roman" w:hAnsi="Times New Roman" w:cs="Times New Roman"/>
          <w:sz w:val="24"/>
        </w:rPr>
      </w:pPr>
      <w:r>
        <w:rPr>
          <w:rStyle w:val="IntenseEmphasis"/>
          <w:rFonts w:ascii="Times New Roman" w:hAnsi="Times New Roman" w:cs="Times New Roman"/>
          <w:sz w:val="24"/>
        </w:rPr>
        <w:t>AC 4.1 Pros and Cons of Information Technology</w:t>
      </w:r>
    </w:p>
    <w:p w:rsidR="007E46EF" w:rsidRDefault="007E46EF" w:rsidP="007E46EF">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The day to day increase in competition has enabled Tesco to use Information Technology (IT) for the benefit of the organization</w:t>
      </w:r>
      <w:r w:rsidR="00747CD7">
        <w:rPr>
          <w:rStyle w:val="IntenseEmphasis"/>
          <w:rFonts w:ascii="Times New Roman" w:hAnsi="Times New Roman" w:cs="Times New Roman"/>
          <w:i w:val="0"/>
          <w:color w:val="auto"/>
          <w:sz w:val="24"/>
        </w:rPr>
        <w:t xml:space="preserve"> </w:t>
      </w:r>
      <w:sdt>
        <w:sdtPr>
          <w:rPr>
            <w:rStyle w:val="IntenseEmphasis"/>
            <w:rFonts w:ascii="Times New Roman" w:hAnsi="Times New Roman" w:cs="Times New Roman"/>
            <w:i w:val="0"/>
            <w:color w:val="auto"/>
            <w:sz w:val="24"/>
          </w:rPr>
          <w:id w:val="546266662"/>
          <w:citation/>
        </w:sdtPr>
        <w:sdtEndPr>
          <w:rPr>
            <w:rStyle w:val="IntenseEmphasis"/>
          </w:rPr>
        </w:sdtEndPr>
        <w:sdtContent>
          <w:r w:rsidR="00747CD7">
            <w:rPr>
              <w:rStyle w:val="IntenseEmphasis"/>
              <w:rFonts w:ascii="Times New Roman" w:hAnsi="Times New Roman" w:cs="Times New Roman"/>
              <w:i w:val="0"/>
              <w:color w:val="auto"/>
              <w:sz w:val="24"/>
            </w:rPr>
            <w:fldChar w:fldCharType="begin"/>
          </w:r>
          <w:r w:rsidR="00747CD7">
            <w:rPr>
              <w:rStyle w:val="IntenseEmphasis"/>
              <w:rFonts w:ascii="Times New Roman" w:hAnsi="Times New Roman" w:cs="Times New Roman"/>
              <w:i w:val="0"/>
              <w:color w:val="auto"/>
              <w:sz w:val="24"/>
            </w:rPr>
            <w:instrText xml:space="preserve"> CITATION Kel09 \l 16393 </w:instrText>
          </w:r>
          <w:r w:rsidR="00747CD7">
            <w:rPr>
              <w:rStyle w:val="IntenseEmphasis"/>
              <w:rFonts w:ascii="Times New Roman" w:hAnsi="Times New Roman" w:cs="Times New Roman"/>
              <w:i w:val="0"/>
              <w:color w:val="auto"/>
              <w:sz w:val="24"/>
            </w:rPr>
            <w:fldChar w:fldCharType="separate"/>
          </w:r>
          <w:r w:rsidR="00747CD7" w:rsidRPr="00747CD7">
            <w:rPr>
              <w:rFonts w:ascii="Times New Roman" w:hAnsi="Times New Roman" w:cs="Times New Roman"/>
              <w:noProof/>
              <w:sz w:val="24"/>
            </w:rPr>
            <w:t>(Kelley &amp; Kellam, 2009)</w:t>
          </w:r>
          <w:r w:rsidR="00747CD7">
            <w:rPr>
              <w:rStyle w:val="IntenseEmphasis"/>
              <w:rFonts w:ascii="Times New Roman" w:hAnsi="Times New Roman" w:cs="Times New Roman"/>
              <w:i w:val="0"/>
              <w:color w:val="auto"/>
              <w:sz w:val="24"/>
            </w:rPr>
            <w:fldChar w:fldCharType="end"/>
          </w:r>
        </w:sdtContent>
      </w:sdt>
      <w:r>
        <w:rPr>
          <w:rStyle w:val="IntenseEmphasis"/>
          <w:rFonts w:ascii="Times New Roman" w:hAnsi="Times New Roman" w:cs="Times New Roman"/>
          <w:i w:val="0"/>
          <w:color w:val="auto"/>
          <w:sz w:val="24"/>
        </w:rPr>
        <w:t>. There are various advantages as well as disadvantages taking IT into consideration which are described as follows:</w:t>
      </w:r>
    </w:p>
    <w:p w:rsidR="007E46EF" w:rsidRDefault="007E46EF" w:rsidP="007E46EF">
      <w:pPr>
        <w:spacing w:line="360" w:lineRule="auto"/>
        <w:jc w:val="both"/>
        <w:rPr>
          <w:rStyle w:val="IntenseEmphasis"/>
          <w:rFonts w:ascii="Times New Roman" w:hAnsi="Times New Roman" w:cs="Times New Roman"/>
          <w:color w:val="auto"/>
          <w:sz w:val="24"/>
          <w:u w:val="single"/>
        </w:rPr>
      </w:pPr>
      <w:r>
        <w:rPr>
          <w:rStyle w:val="IntenseEmphasis"/>
          <w:rFonts w:ascii="Times New Roman" w:hAnsi="Times New Roman" w:cs="Times New Roman"/>
          <w:color w:val="auto"/>
          <w:sz w:val="24"/>
          <w:u w:val="single"/>
        </w:rPr>
        <w:t>Advantages</w:t>
      </w:r>
    </w:p>
    <w:p w:rsidR="007E46EF" w:rsidRDefault="007E46EF" w:rsidP="007E46EF">
      <w:pPr>
        <w:pStyle w:val="ListParagraph"/>
        <w:numPr>
          <w:ilvl w:val="0"/>
          <w:numId w:val="1"/>
        </w:numPr>
        <w:spacing w:line="360" w:lineRule="auto"/>
        <w:jc w:val="both"/>
        <w:rPr>
          <w:rStyle w:val="IntenseEmphasis"/>
          <w:rFonts w:ascii="Times New Roman" w:hAnsi="Times New Roman" w:cs="Times New Roman"/>
          <w:i w:val="0"/>
          <w:color w:val="auto"/>
          <w:sz w:val="24"/>
        </w:rPr>
      </w:pPr>
      <w:r w:rsidRPr="007E46EF">
        <w:rPr>
          <w:rStyle w:val="IntenseEmphasis"/>
          <w:rFonts w:ascii="Times New Roman" w:hAnsi="Times New Roman" w:cs="Times New Roman"/>
          <w:i w:val="0"/>
          <w:color w:val="auto"/>
          <w:sz w:val="24"/>
        </w:rPr>
        <w:t>While doing payment or any</w:t>
      </w:r>
      <w:r>
        <w:rPr>
          <w:rStyle w:val="IntenseEmphasis"/>
          <w:rFonts w:ascii="Times New Roman" w:hAnsi="Times New Roman" w:cs="Times New Roman"/>
          <w:i w:val="0"/>
          <w:color w:val="auto"/>
          <w:sz w:val="24"/>
        </w:rPr>
        <w:t xml:space="preserve"> billing or any kind of automation process, the usage of IT saves a lots of time</w:t>
      </w:r>
    </w:p>
    <w:p w:rsidR="007E46EF" w:rsidRDefault="007E46EF" w:rsidP="007E46EF">
      <w:pPr>
        <w:pStyle w:val="ListParagraph"/>
        <w:numPr>
          <w:ilvl w:val="0"/>
          <w:numId w:val="1"/>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Collection of customers data and analysis of the same has become very easy after the usage of IT in retail industry</w:t>
      </w:r>
    </w:p>
    <w:p w:rsidR="007E46EF" w:rsidRDefault="007E46EF" w:rsidP="007E46EF">
      <w:pPr>
        <w:pStyle w:val="ListParagraph"/>
        <w:numPr>
          <w:ilvl w:val="0"/>
          <w:numId w:val="1"/>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Company finds itself in a better position while understanding the results of promotion, branding and advertisements</w:t>
      </w:r>
    </w:p>
    <w:p w:rsidR="007E46EF" w:rsidRDefault="007E46EF" w:rsidP="007E46EF">
      <w:pPr>
        <w:pStyle w:val="ListParagraph"/>
        <w:numPr>
          <w:ilvl w:val="0"/>
          <w:numId w:val="1"/>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Strategy planning such as product positioning, inventory management, etc. has become very easy</w:t>
      </w:r>
    </w:p>
    <w:p w:rsidR="007E46EF" w:rsidRDefault="007E46EF" w:rsidP="007E46EF">
      <w:pPr>
        <w:pStyle w:val="ListParagraph"/>
        <w:numPr>
          <w:ilvl w:val="0"/>
          <w:numId w:val="1"/>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Communication has been easier among the stakeholders such as managers, transporters, storekeepers, suppliers, etc.</w:t>
      </w:r>
    </w:p>
    <w:p w:rsidR="007E46EF" w:rsidRDefault="007E46EF" w:rsidP="007E46EF">
      <w:pPr>
        <w:pStyle w:val="ListParagraph"/>
        <w:numPr>
          <w:ilvl w:val="0"/>
          <w:numId w:val="1"/>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The</w:t>
      </w:r>
      <w:r w:rsidR="00360F5D">
        <w:rPr>
          <w:rStyle w:val="IntenseEmphasis"/>
          <w:rFonts w:ascii="Times New Roman" w:hAnsi="Times New Roman" w:cs="Times New Roman"/>
          <w:i w:val="0"/>
          <w:color w:val="auto"/>
          <w:sz w:val="24"/>
        </w:rPr>
        <w:t xml:space="preserve"> cost per </w:t>
      </w:r>
      <w:r>
        <w:rPr>
          <w:rStyle w:val="IntenseEmphasis"/>
          <w:rFonts w:ascii="Times New Roman" w:hAnsi="Times New Roman" w:cs="Times New Roman"/>
          <w:i w:val="0"/>
          <w:color w:val="auto"/>
          <w:sz w:val="24"/>
        </w:rPr>
        <w:t xml:space="preserve">contact has been reduced after the application of online promotion and </w:t>
      </w:r>
      <w:r w:rsidR="00360F5D">
        <w:rPr>
          <w:rStyle w:val="IntenseEmphasis"/>
          <w:rFonts w:ascii="Times New Roman" w:hAnsi="Times New Roman" w:cs="Times New Roman"/>
          <w:i w:val="0"/>
          <w:color w:val="auto"/>
          <w:sz w:val="24"/>
        </w:rPr>
        <w:t>making the online availability of the products</w:t>
      </w:r>
    </w:p>
    <w:p w:rsidR="00C26FCB" w:rsidRDefault="00C26FCB" w:rsidP="00C26FCB">
      <w:pPr>
        <w:spacing w:line="360" w:lineRule="auto"/>
        <w:jc w:val="both"/>
        <w:rPr>
          <w:rStyle w:val="IntenseEmphasis"/>
          <w:rFonts w:ascii="Times New Roman" w:hAnsi="Times New Roman" w:cs="Times New Roman"/>
          <w:i w:val="0"/>
          <w:color w:val="auto"/>
          <w:sz w:val="24"/>
        </w:rPr>
      </w:pPr>
    </w:p>
    <w:p w:rsidR="00C26FCB" w:rsidRPr="00C26FCB" w:rsidRDefault="00C26FCB" w:rsidP="00C26FCB">
      <w:pPr>
        <w:spacing w:line="360" w:lineRule="auto"/>
        <w:jc w:val="both"/>
        <w:rPr>
          <w:rStyle w:val="IntenseEmphasis"/>
          <w:rFonts w:ascii="Times New Roman" w:hAnsi="Times New Roman" w:cs="Times New Roman"/>
          <w:i w:val="0"/>
          <w:color w:val="auto"/>
          <w:sz w:val="24"/>
        </w:rPr>
      </w:pPr>
    </w:p>
    <w:p w:rsidR="00360F5D" w:rsidRDefault="00360F5D" w:rsidP="00360F5D">
      <w:pPr>
        <w:spacing w:line="360" w:lineRule="auto"/>
        <w:jc w:val="both"/>
        <w:rPr>
          <w:rStyle w:val="IntenseEmphasis"/>
          <w:rFonts w:ascii="Times New Roman" w:hAnsi="Times New Roman" w:cs="Times New Roman"/>
          <w:color w:val="auto"/>
          <w:sz w:val="24"/>
          <w:u w:val="single"/>
        </w:rPr>
      </w:pPr>
      <w:r>
        <w:rPr>
          <w:rStyle w:val="IntenseEmphasis"/>
          <w:rFonts w:ascii="Times New Roman" w:hAnsi="Times New Roman" w:cs="Times New Roman"/>
          <w:color w:val="auto"/>
          <w:sz w:val="24"/>
          <w:u w:val="single"/>
        </w:rPr>
        <w:t>Disadvantages</w:t>
      </w:r>
    </w:p>
    <w:p w:rsidR="00360F5D" w:rsidRDefault="00360F5D" w:rsidP="00360F5D">
      <w:pPr>
        <w:pStyle w:val="ListParagraph"/>
        <w:numPr>
          <w:ilvl w:val="0"/>
          <w:numId w:val="2"/>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Due to the varied nature of retail business, the cost of implementation of IT is very high</w:t>
      </w:r>
    </w:p>
    <w:p w:rsidR="00360F5D" w:rsidRDefault="00360F5D" w:rsidP="00360F5D">
      <w:pPr>
        <w:pStyle w:val="ListParagraph"/>
        <w:numPr>
          <w:ilvl w:val="0"/>
          <w:numId w:val="2"/>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Managing the complexity of IT in Tesco’s business also seems to be high</w:t>
      </w:r>
    </w:p>
    <w:p w:rsidR="00360F5D" w:rsidRDefault="00360F5D" w:rsidP="00360F5D">
      <w:pPr>
        <w:pStyle w:val="ListParagraph"/>
        <w:numPr>
          <w:ilvl w:val="0"/>
          <w:numId w:val="2"/>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lastRenderedPageBreak/>
        <w:t>Over usage of IT can hamper the core business of Tesco</w:t>
      </w:r>
    </w:p>
    <w:p w:rsidR="00360F5D" w:rsidRDefault="00360F5D" w:rsidP="00360F5D">
      <w:pPr>
        <w:pStyle w:val="ListParagraph"/>
        <w:numPr>
          <w:ilvl w:val="0"/>
          <w:numId w:val="2"/>
        </w:num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Training the employees on the various aspects of IT also becomes a costly affair</w:t>
      </w:r>
    </w:p>
    <w:p w:rsidR="00360F5D" w:rsidRDefault="00360F5D" w:rsidP="00360F5D">
      <w:pPr>
        <w:spacing w:line="360" w:lineRule="auto"/>
        <w:jc w:val="both"/>
        <w:rPr>
          <w:rStyle w:val="IntenseEmphasis"/>
          <w:rFonts w:ascii="Times New Roman" w:hAnsi="Times New Roman" w:cs="Times New Roman"/>
          <w:i w:val="0"/>
          <w:color w:val="auto"/>
          <w:sz w:val="24"/>
        </w:rPr>
      </w:pPr>
      <w:r>
        <w:rPr>
          <w:rStyle w:val="IntenseEmphasis"/>
          <w:rFonts w:ascii="Times New Roman" w:hAnsi="Times New Roman" w:cs="Times New Roman"/>
          <w:i w:val="0"/>
          <w:color w:val="auto"/>
          <w:sz w:val="24"/>
        </w:rPr>
        <w:t>Therefore, the usage of IT in the retail outlets of Tesco will obviously boost the business but the negative aspects should be taken care of so as to boost the business and make the process faster and efficient.</w:t>
      </w: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C0A25" w:rsidRDefault="001C0A25" w:rsidP="00360F5D">
      <w:pPr>
        <w:spacing w:line="360" w:lineRule="auto"/>
        <w:jc w:val="both"/>
        <w:rPr>
          <w:rStyle w:val="IntenseEmphasis"/>
          <w:rFonts w:ascii="Times New Roman" w:hAnsi="Times New Roman" w:cs="Times New Roman"/>
          <w:i w:val="0"/>
          <w:color w:val="auto"/>
          <w:sz w:val="24"/>
        </w:rPr>
      </w:pPr>
    </w:p>
    <w:p w:rsidR="001254B8" w:rsidRDefault="001254B8" w:rsidP="00644495">
      <w:pPr>
        <w:pStyle w:val="Heading1"/>
        <w:rPr>
          <w:rStyle w:val="IntenseEmphasis"/>
          <w:rFonts w:ascii="Times New Roman" w:hAnsi="Times New Roman" w:cs="Times New Roman"/>
          <w:i w:val="0"/>
          <w:color w:val="9CC2E5" w:themeColor="accent1" w:themeTint="99"/>
          <w:sz w:val="28"/>
          <w:szCs w:val="28"/>
        </w:rPr>
      </w:pPr>
      <w:r>
        <w:rPr>
          <w:rStyle w:val="IntenseEmphasis"/>
          <w:rFonts w:ascii="Times New Roman" w:hAnsi="Times New Roman" w:cs="Times New Roman"/>
          <w:color w:val="9CC2E5" w:themeColor="accent1" w:themeTint="99"/>
          <w:sz w:val="28"/>
          <w:szCs w:val="28"/>
        </w:rPr>
        <w:t>References</w:t>
      </w:r>
    </w:p>
    <w:p w:rsidR="001254B8" w:rsidRPr="001254B8" w:rsidRDefault="001254B8" w:rsidP="001254B8">
      <w:pPr>
        <w:pStyle w:val="Bibliography"/>
        <w:spacing w:line="360" w:lineRule="auto"/>
        <w:jc w:val="both"/>
        <w:rPr>
          <w:rFonts w:ascii="Times New Roman" w:hAnsi="Times New Roman" w:cs="Times New Roman"/>
          <w:noProof/>
          <w:sz w:val="26"/>
          <w:szCs w:val="24"/>
        </w:rPr>
      </w:pPr>
      <w:r w:rsidRPr="001254B8">
        <w:rPr>
          <w:rFonts w:ascii="Times New Roman" w:hAnsi="Times New Roman" w:cs="Times New Roman"/>
          <w:sz w:val="24"/>
        </w:rPr>
        <w:fldChar w:fldCharType="begin"/>
      </w:r>
      <w:r w:rsidRPr="001254B8">
        <w:rPr>
          <w:rFonts w:ascii="Times New Roman" w:hAnsi="Times New Roman" w:cs="Times New Roman"/>
          <w:sz w:val="24"/>
        </w:rPr>
        <w:instrText xml:space="preserve"> BIBLIOGRAPHY  \l 16393 </w:instrText>
      </w:r>
      <w:r w:rsidRPr="001254B8">
        <w:rPr>
          <w:rFonts w:ascii="Times New Roman" w:hAnsi="Times New Roman" w:cs="Times New Roman"/>
          <w:sz w:val="24"/>
        </w:rPr>
        <w:fldChar w:fldCharType="separate"/>
      </w:r>
      <w:r w:rsidRPr="001254B8">
        <w:rPr>
          <w:rFonts w:ascii="Times New Roman" w:hAnsi="Times New Roman" w:cs="Times New Roman"/>
          <w:noProof/>
          <w:sz w:val="24"/>
        </w:rPr>
        <w:t xml:space="preserve">Ahmed, S., Wallace, K., Lucienne, T. &amp; Blessing, L., 2003. Understanding the differences between how novice and experienced designers approach design tasks. </w:t>
      </w:r>
      <w:r w:rsidRPr="001254B8">
        <w:rPr>
          <w:rFonts w:ascii="Times New Roman" w:hAnsi="Times New Roman" w:cs="Times New Roman"/>
          <w:i/>
          <w:iCs/>
          <w:noProof/>
          <w:sz w:val="24"/>
        </w:rPr>
        <w:t xml:space="preserve">Research in Engineering Design, </w:t>
      </w:r>
      <w:r w:rsidRPr="001254B8">
        <w:rPr>
          <w:rFonts w:ascii="Times New Roman" w:hAnsi="Times New Roman" w:cs="Times New Roman"/>
          <w:noProof/>
          <w:sz w:val="24"/>
        </w:rPr>
        <w:t>Volume 14, p. 1–11.</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lastRenderedPageBreak/>
        <w:t xml:space="preserve">Arroio, A., 2010. Context based learning: A role for cinema in science education. </w:t>
      </w:r>
      <w:r w:rsidRPr="001254B8">
        <w:rPr>
          <w:rFonts w:ascii="Times New Roman" w:hAnsi="Times New Roman" w:cs="Times New Roman"/>
          <w:i/>
          <w:iCs/>
          <w:noProof/>
          <w:sz w:val="24"/>
        </w:rPr>
        <w:t xml:space="preserve">Science Education International, </w:t>
      </w:r>
      <w:r w:rsidRPr="001254B8">
        <w:rPr>
          <w:rFonts w:ascii="Times New Roman" w:hAnsi="Times New Roman" w:cs="Times New Roman"/>
          <w:noProof/>
          <w:sz w:val="24"/>
        </w:rPr>
        <w:t>21(3), p. 131–143.</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Atman, C. J. et al., 2007. Engineering design processes: A comparison of students and expert practitioners. </w:t>
      </w:r>
      <w:r w:rsidRPr="001254B8">
        <w:rPr>
          <w:rFonts w:ascii="Times New Roman" w:hAnsi="Times New Roman" w:cs="Times New Roman"/>
          <w:i/>
          <w:iCs/>
          <w:noProof/>
          <w:sz w:val="24"/>
        </w:rPr>
        <w:t xml:space="preserve">Journal of Engineering Education, </w:t>
      </w:r>
      <w:r w:rsidRPr="001254B8">
        <w:rPr>
          <w:rFonts w:ascii="Times New Roman" w:hAnsi="Times New Roman" w:cs="Times New Roman"/>
          <w:noProof/>
          <w:sz w:val="24"/>
        </w:rPr>
        <w:t>96(4), p. 359–379.</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Barak, M. &amp; Mesika, P., 2007. Teaching methods for inventive problem-solving in junior high school. </w:t>
      </w:r>
      <w:r w:rsidRPr="001254B8">
        <w:rPr>
          <w:rFonts w:ascii="Times New Roman" w:hAnsi="Times New Roman" w:cs="Times New Roman"/>
          <w:i/>
          <w:iCs/>
          <w:noProof/>
          <w:sz w:val="24"/>
        </w:rPr>
        <w:t xml:space="preserve">Thinking Skills and Creativity, </w:t>
      </w:r>
      <w:r w:rsidRPr="001254B8">
        <w:rPr>
          <w:rFonts w:ascii="Times New Roman" w:hAnsi="Times New Roman" w:cs="Times New Roman"/>
          <w:noProof/>
          <w:sz w:val="24"/>
        </w:rPr>
        <w:t>2(1), p. 19–29.</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Conley, D., 2011. Building on the common core. </w:t>
      </w:r>
      <w:r w:rsidRPr="001254B8">
        <w:rPr>
          <w:rFonts w:ascii="Times New Roman" w:hAnsi="Times New Roman" w:cs="Times New Roman"/>
          <w:i/>
          <w:iCs/>
          <w:noProof/>
          <w:sz w:val="24"/>
        </w:rPr>
        <w:t xml:space="preserve">Educational Leadership, </w:t>
      </w:r>
      <w:r w:rsidRPr="001254B8">
        <w:rPr>
          <w:rFonts w:ascii="Times New Roman" w:hAnsi="Times New Roman" w:cs="Times New Roman"/>
          <w:noProof/>
          <w:sz w:val="24"/>
        </w:rPr>
        <w:t>68(6), p. 16–20.</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Crismond, D. P. &amp; Adams, R. S., 2012. The informed design teaching and learning matrix. </w:t>
      </w:r>
      <w:r w:rsidRPr="001254B8">
        <w:rPr>
          <w:rFonts w:ascii="Times New Roman" w:hAnsi="Times New Roman" w:cs="Times New Roman"/>
          <w:i/>
          <w:iCs/>
          <w:noProof/>
          <w:sz w:val="24"/>
        </w:rPr>
        <w:t xml:space="preserve">Journal of Engineering Education, </w:t>
      </w:r>
      <w:r w:rsidRPr="001254B8">
        <w:rPr>
          <w:rFonts w:ascii="Times New Roman" w:hAnsi="Times New Roman" w:cs="Times New Roman"/>
          <w:noProof/>
          <w:sz w:val="24"/>
        </w:rPr>
        <w:t>101(4), p. 738–797.</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Dixon, R. A. &amp; Brown, R. A., 2012. Transfer of learning: Connecting concepts during problem solving. </w:t>
      </w:r>
      <w:r w:rsidRPr="001254B8">
        <w:rPr>
          <w:rFonts w:ascii="Times New Roman" w:hAnsi="Times New Roman" w:cs="Times New Roman"/>
          <w:i/>
          <w:iCs/>
          <w:noProof/>
          <w:sz w:val="24"/>
        </w:rPr>
        <w:t xml:space="preserve">Journal of Technology Education, </w:t>
      </w:r>
      <w:r w:rsidRPr="001254B8">
        <w:rPr>
          <w:rFonts w:ascii="Times New Roman" w:hAnsi="Times New Roman" w:cs="Times New Roman"/>
          <w:noProof/>
          <w:sz w:val="24"/>
        </w:rPr>
        <w:t>24(1), p. 2–17.</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Efthimiou, C. &amp; Llewellyn, R. A., 2004. Cinema as a tool for science literacy. </w:t>
      </w:r>
      <w:r w:rsidRPr="001254B8">
        <w:rPr>
          <w:rFonts w:ascii="Times New Roman" w:hAnsi="Times New Roman" w:cs="Times New Roman"/>
          <w:i/>
          <w:iCs/>
          <w:noProof/>
          <w:sz w:val="24"/>
        </w:rPr>
        <w:t xml:space="preserve">Physics Education, </w:t>
      </w:r>
      <w:r w:rsidRPr="001254B8">
        <w:rPr>
          <w:rFonts w:ascii="Times New Roman" w:hAnsi="Times New Roman" w:cs="Times New Roman"/>
          <w:noProof/>
          <w:sz w:val="24"/>
        </w:rPr>
        <w:t>16(1), p. 1–13.</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Funke, J., 2010. Complex problem solving: A case for complex cognition?. </w:t>
      </w:r>
      <w:r w:rsidRPr="001254B8">
        <w:rPr>
          <w:rFonts w:ascii="Times New Roman" w:hAnsi="Times New Roman" w:cs="Times New Roman"/>
          <w:i/>
          <w:iCs/>
          <w:noProof/>
          <w:sz w:val="24"/>
        </w:rPr>
        <w:t xml:space="preserve">Cognitive Processing, </w:t>
      </w:r>
      <w:r w:rsidRPr="001254B8">
        <w:rPr>
          <w:rFonts w:ascii="Times New Roman" w:hAnsi="Times New Roman" w:cs="Times New Roman"/>
          <w:noProof/>
          <w:sz w:val="24"/>
        </w:rPr>
        <w:t>Volume 11, p. 133–142.</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Funke, J. &amp; Frensch, P. A., 2007. Complex problem solving: The European perspective – 10 years after. In: </w:t>
      </w:r>
      <w:r w:rsidRPr="001254B8">
        <w:rPr>
          <w:rFonts w:ascii="Times New Roman" w:hAnsi="Times New Roman" w:cs="Times New Roman"/>
          <w:i/>
          <w:iCs/>
          <w:noProof/>
          <w:sz w:val="24"/>
        </w:rPr>
        <w:t xml:space="preserve">Learning to Solve Complex Scientific Problems. </w:t>
      </w:r>
      <w:r w:rsidRPr="001254B8">
        <w:rPr>
          <w:rFonts w:ascii="Times New Roman" w:hAnsi="Times New Roman" w:cs="Times New Roman"/>
          <w:noProof/>
          <w:sz w:val="24"/>
        </w:rPr>
        <w:t>New York: Lawrence Erlbaum, p. 25–47.</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Kelley, T. &amp; Kellam, N., 2009. A theoretical framework to guide the re-engineering of technology education. </w:t>
      </w:r>
      <w:r w:rsidRPr="001254B8">
        <w:rPr>
          <w:rFonts w:ascii="Times New Roman" w:hAnsi="Times New Roman" w:cs="Times New Roman"/>
          <w:i/>
          <w:iCs/>
          <w:noProof/>
          <w:sz w:val="24"/>
        </w:rPr>
        <w:t xml:space="preserve">Journal of Technology Education, </w:t>
      </w:r>
      <w:r w:rsidRPr="001254B8">
        <w:rPr>
          <w:rFonts w:ascii="Times New Roman" w:hAnsi="Times New Roman" w:cs="Times New Roman"/>
          <w:noProof/>
          <w:sz w:val="24"/>
        </w:rPr>
        <w:t>20(2), p. 37–49.</w:t>
      </w:r>
    </w:p>
    <w:p w:rsid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Klieme, E., 2004. Assessment of cross-curricular problem-solving competencies. In: </w:t>
      </w:r>
      <w:r w:rsidRPr="001254B8">
        <w:rPr>
          <w:rFonts w:ascii="Times New Roman" w:hAnsi="Times New Roman" w:cs="Times New Roman"/>
          <w:i/>
          <w:iCs/>
          <w:noProof/>
          <w:sz w:val="24"/>
        </w:rPr>
        <w:t xml:space="preserve">Comparing Learning Outcomes. International Assessment and Education Policy. </w:t>
      </w:r>
      <w:r w:rsidRPr="001254B8">
        <w:rPr>
          <w:rFonts w:ascii="Times New Roman" w:hAnsi="Times New Roman" w:cs="Times New Roman"/>
          <w:noProof/>
          <w:sz w:val="24"/>
        </w:rPr>
        <w:t>London: Routledge Falme, p. 81–107.</w:t>
      </w:r>
    </w:p>
    <w:p w:rsidR="001C0A25" w:rsidRPr="001C0A25" w:rsidRDefault="001C0A25" w:rsidP="001C0A25">
      <w:pPr>
        <w:rPr>
          <w:rFonts w:ascii="Times New Roman" w:hAnsi="Times New Roman" w:cs="Times New Roman"/>
          <w:sz w:val="24"/>
          <w:szCs w:val="24"/>
        </w:rPr>
      </w:pPr>
      <w:r w:rsidRPr="001C0A25">
        <w:rPr>
          <w:rFonts w:ascii="Times New Roman" w:hAnsi="Times New Roman" w:cs="Times New Roman"/>
          <w:sz w:val="24"/>
          <w:szCs w:val="24"/>
        </w:rPr>
        <w:t>Schlosser, E. (2001) Fast Food Nation: The Dark side of the All-American Meal. London, Sage publications.</w:t>
      </w:r>
    </w:p>
    <w:p w:rsidR="001254B8" w:rsidRPr="001254B8" w:rsidRDefault="001254B8" w:rsidP="001254B8">
      <w:pPr>
        <w:pStyle w:val="Bibliography"/>
        <w:spacing w:line="360" w:lineRule="auto"/>
        <w:jc w:val="both"/>
        <w:rPr>
          <w:rFonts w:ascii="Times New Roman" w:hAnsi="Times New Roman" w:cs="Times New Roman"/>
          <w:noProof/>
          <w:sz w:val="24"/>
        </w:rPr>
      </w:pPr>
      <w:r w:rsidRPr="001254B8">
        <w:rPr>
          <w:rFonts w:ascii="Times New Roman" w:hAnsi="Times New Roman" w:cs="Times New Roman"/>
          <w:noProof/>
          <w:sz w:val="24"/>
        </w:rPr>
        <w:t xml:space="preserve">Wirth, J. &amp; Klieme, E., 2004. Computer-based assessment of problem solving competence“. </w:t>
      </w:r>
      <w:r w:rsidRPr="001254B8">
        <w:rPr>
          <w:rFonts w:ascii="Times New Roman" w:hAnsi="Times New Roman" w:cs="Times New Roman"/>
          <w:i/>
          <w:iCs/>
          <w:noProof/>
          <w:sz w:val="24"/>
        </w:rPr>
        <w:t xml:space="preserve">Assessment in Education: Principles, Policy and Practice, </w:t>
      </w:r>
      <w:r w:rsidRPr="001254B8">
        <w:rPr>
          <w:rFonts w:ascii="Times New Roman" w:hAnsi="Times New Roman" w:cs="Times New Roman"/>
          <w:noProof/>
          <w:sz w:val="24"/>
        </w:rPr>
        <w:t>10(3), p. 329–345.</w:t>
      </w:r>
    </w:p>
    <w:p w:rsidR="001254B8" w:rsidRPr="001254B8" w:rsidRDefault="001254B8" w:rsidP="001254B8">
      <w:pPr>
        <w:spacing w:line="360" w:lineRule="auto"/>
        <w:jc w:val="both"/>
        <w:rPr>
          <w:rFonts w:ascii="Times New Roman" w:hAnsi="Times New Roman" w:cs="Times New Roman"/>
          <w:sz w:val="24"/>
        </w:rPr>
      </w:pPr>
      <w:r w:rsidRPr="001254B8">
        <w:rPr>
          <w:rFonts w:ascii="Times New Roman" w:hAnsi="Times New Roman" w:cs="Times New Roman"/>
          <w:sz w:val="24"/>
        </w:rPr>
        <w:fldChar w:fldCharType="end"/>
      </w:r>
    </w:p>
    <w:sectPr w:rsidR="001254B8" w:rsidRPr="001254B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5497" w:rsidRDefault="00E15497" w:rsidP="00FC2268">
      <w:pPr>
        <w:spacing w:after="0" w:line="240" w:lineRule="auto"/>
      </w:pPr>
      <w:r>
        <w:separator/>
      </w:r>
    </w:p>
  </w:endnote>
  <w:endnote w:type="continuationSeparator" w:id="0">
    <w:p w:rsidR="00E15497" w:rsidRDefault="00E15497" w:rsidP="00FC2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6183127"/>
      <w:docPartObj>
        <w:docPartGallery w:val="Page Numbers (Bottom of Page)"/>
        <w:docPartUnique/>
      </w:docPartObj>
    </w:sdtPr>
    <w:sdtEndPr/>
    <w:sdtContent>
      <w:p w:rsidR="00FC2268" w:rsidRDefault="00FC2268">
        <w:pPr>
          <w:pStyle w:val="Footer"/>
        </w:pPr>
        <w:r>
          <w:rPr>
            <w:noProof/>
            <w:lang w:val="en-US"/>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5"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FC2268" w:rsidRDefault="00FC2268">
                              <w:pPr>
                                <w:jc w:val="center"/>
                              </w:pPr>
                              <w:r>
                                <w:fldChar w:fldCharType="begin"/>
                              </w:r>
                              <w:r>
                                <w:instrText xml:space="preserve"> PAGE    \* MERGEFORMAT </w:instrText>
                              </w:r>
                              <w:r>
                                <w:fldChar w:fldCharType="separate"/>
                              </w:r>
                              <w:r w:rsidR="001C0A25">
                                <w:rPr>
                                  <w:noProof/>
                                </w:rPr>
                                <w:t>1</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GnsNwIAAGoEAAAOAAAAZHJzL2Uyb0RvYy54bWysVFFv0zAQfkfiP1h+Z2nG2pVo6TQ2hpAG&#10;VBr8gIvtNGaOL5zdpuPXc3HS0QFPiFay7uy7z999d87F5b51YmcoWPSlzE9mUhivUFu/KeXXL7ev&#10;llKECF6DQ29K+WiCvFy9fHHRd4U5xQadNiQYxIei70rZxNgVWRZUY1oIJ9gZz4c1UguRXdpkmqBn&#10;9NZlp7PZIuuRdEeoTAi8ezMeylXCr2uj4ue6DiYKV0rmFtNKaa2GNVtdQLEh6BqrJhrwDyxasJ4v&#10;fYK6gQhiS/YPqNYqwoB1PFHYZljXVplUA1eTz36r5r6BzqRaWJzQPckU/h+s+rRbk7C6lHMpPLTc&#10;ohvcVs6ItwTqgYWbDxr1XSg49L5b01Bl6O5QPQTh8boBvzFXRNg3BjQzy4f47FnC4AROFVX/ETVf&#10;AduISa59Te0AyEKIferK41NXzD4KxZvzeb7MmZ3io9PXy/NF6loGxSG5oxDfG2zFYJSyGomvwVK6&#10;A3Z3Iabe6KlC0N+kqFvHnd6BE/lisThPrKGYghn9gJrqRWf1rXUuObSprh0JTi3lbfpNyeE4zHnR&#10;M+Hl/HyeaDw7DMcYy9nw/xsG4dbrNKKDuO8mO4J1o800nZ/UHgQeGxX31X7qWYX6kXUnHAefHyob&#10;DdIPKXoe+lKG71sgI4X74Ll3b/Kzs+GVJIcNOt6tDrvgFUOUMkoxmtdxfFHbjuym4RvyVLHHK+5z&#10;beNhIEY2E18eaLaevZhjP0X9+kSsfgIAAP//AwBQSwMEFAAGAAgAAAAhAP8vKureAAAAAwEAAA8A&#10;AABkcnMvZG93bnJldi54bWxMj81OwzAQhO+VeAdrkbi1Dn9pG7KpEBWgcmhLQULc3HhJIuJ1FLut&#10;+/YYLvSy0mhGM9/ms2BasafeNZYRLkcJCOLS6oYrhPe3x+EEhPOKtWotE8KRHMyKs0GuMm0P/Er7&#10;ja9ELGGXKYTa+y6T0pU1GeVGtiOO3pftjfJR9pXUvTrEctPKqyRJpVENx4VadfRQU/m92RmEJ77R&#10;ISxXyfrlI/1cP08Xt/P5AvHiPNzfgfAU/H8YfvEjOhSRaWt3rJ1oEeIj/u9Gb5JOQWwRrscpyCKX&#10;p+zFDwAAAP//AwBQSwECLQAUAAYACAAAACEAtoM4kv4AAADhAQAAEwAAAAAAAAAAAAAAAAAAAAAA&#10;W0NvbnRlbnRfVHlwZXNdLnhtbFBLAQItABQABgAIAAAAIQA4/SH/1gAAAJQBAAALAAAAAAAAAAAA&#10;AAAAAC8BAABfcmVscy8ucmVsc1BLAQItABQABgAIAAAAIQC95GnsNwIAAGoEAAAOAAAAAAAAAAAA&#10;AAAAAC4CAABkcnMvZTJvRG9jLnhtbFBLAQItABQABgAIAAAAIQD/Lyrq3gAAAAMBAAAPAAAAAAAA&#10;AAAAAAAAAJEEAABkcnMvZG93bnJldi54bWxQSwUGAAAAAAQABADzAAAAnAUAAAAA&#10;" filled="t" strokecolor="gray" strokeweight="2.25pt">
                  <v:textbox inset=",0,,0">
                    <w:txbxContent>
                      <w:p w:rsidR="00FC2268" w:rsidRDefault="00FC2268">
                        <w:pPr>
                          <w:jc w:val="center"/>
                        </w:pPr>
                        <w:r>
                          <w:fldChar w:fldCharType="begin"/>
                        </w:r>
                        <w:r>
                          <w:instrText xml:space="preserve"> PAGE    \* MERGEFORMAT </w:instrText>
                        </w:r>
                        <w:r>
                          <w:fldChar w:fldCharType="separate"/>
                        </w:r>
                        <w:r w:rsidR="001C0A25">
                          <w:rPr>
                            <w:noProof/>
                          </w:rPr>
                          <w:t>1</w:t>
                        </w:r>
                        <w:r>
                          <w:rPr>
                            <w:noProof/>
                          </w:rPr>
                          <w:fldChar w:fldCharType="end"/>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2039BF9"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aZpJgIAAEsEAAAOAAAAZHJzL2Uyb0RvYy54bWysVMGO2jAQvVfqP1i5QxIaWDYirFYJ9LLt&#10;IrH9AGM7xGrisWxDQFX/vWMDEdteqqqK5IwznjdvZp6zeDp1LTkKYyWoIkrHSUSEYsCl2hfRt7f1&#10;aB4R66jitAUliugsbPS0/Phh0etcTKCBlgtDEETZvNdF1Din8zi2rBEdtWPQQqGzBtNRh1uzj7mh&#10;PaJ3bTxJklncg+HaABPW4tfq4oyWAb+uBXOvdW2FI20RITcXVhPWnV/j5YLme0N1I9mVBv0HFh2V&#10;CpMOUBV1lByM/AOqk8yAhdqNGXQx1LVkItSA1aTJb9VsG6pFqAWbY/XQJvv/YNnX48YQyYsoi4ii&#10;HY5o6wyV+8aRZ2OgJyUohW0EQzLfrV7bHINKtTG+XnZSW/0C7LslCsqGqr0IrN/OGqFSHxG/C/Eb&#10;qzHnrv8CHM/Qg4PQulNtOg+JTSGnMKHzMCFxcoThx+k0nadTHCS7+WKa3wK1se6zgI54o4jstY6h&#10;gDSkoccX6zwtmt8CfFYFa9m2QQ6tIj1ynzwkSYiw0Eruvf6cNftd2RpypKioeeKfUCR67o8ZOCge&#10;0BpB+epqOyrbi43ZW+XxsDLkc7UukvnxmDyu5qt5Nsoms9UoS6pq9Lwus9FsnT5Mq09VWVbpT08t&#10;zfJGci6UZ3eTb5r9nTyuF+kivEHAQx/i9+ihYUj29g6kw2j9NC+62AE/b8xt5KjYcPh6u/yVuN+j&#10;ff8PWP4CAAD//wMAUEsDBBQABgAIAAAAIQD1pk3X1wAAAAIBAAAPAAAAZHJzL2Rvd25yZXYueG1s&#10;TI/BTsMwDIbvSLxDZCQuiKXsUJXSdIKhHRAnNg47eo1pCo1TNelW3h6PC1wsffqt35+r1ex7daQx&#10;doEN3C0yUMRNsB23Bt53m9sCVEzIFvvAZOCbIqzqy4sKSxtO/EbHbWqVlHAs0YBLaSi1jo0jj3ER&#10;BmLJPsLoMQmOrbYjnqTc93qZZbn22LFccDjQ2lHztZ28gQ25/ikUy+eX6TXL436PN+vP3Jjrq/nx&#10;AVSiOf0tw1lf1KEWp0OY2EbVG5BH0u+UrMjvBQ9n1HWl/6vXPwAAAP//AwBQSwECLQAUAAYACAAA&#10;ACEAtoM4kv4AAADhAQAAEwAAAAAAAAAAAAAAAAAAAAAAW0NvbnRlbnRfVHlwZXNdLnhtbFBLAQIt&#10;ABQABgAIAAAAIQA4/SH/1gAAAJQBAAALAAAAAAAAAAAAAAAAAC8BAABfcmVscy8ucmVsc1BLAQIt&#10;ABQABgAIAAAAIQBI0aZpJgIAAEsEAAAOAAAAAAAAAAAAAAAAAC4CAABkcnMvZTJvRG9jLnhtbFBL&#10;AQItABQABgAIAAAAIQD1pk3X1wAAAAIBAAAPAAAAAAAAAAAAAAAAAIAEAABkcnMvZG93bnJldi54&#10;bWxQSwUGAAAAAAQABADzAAAAh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5497" w:rsidRDefault="00E15497" w:rsidP="00FC2268">
      <w:pPr>
        <w:spacing w:after="0" w:line="240" w:lineRule="auto"/>
      </w:pPr>
      <w:r>
        <w:separator/>
      </w:r>
    </w:p>
  </w:footnote>
  <w:footnote w:type="continuationSeparator" w:id="0">
    <w:p w:rsidR="00E15497" w:rsidRDefault="00E15497" w:rsidP="00FC2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4024C"/>
    <w:multiLevelType w:val="hybridMultilevel"/>
    <w:tmpl w:val="B8F6563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5C36820"/>
    <w:multiLevelType w:val="hybridMultilevel"/>
    <w:tmpl w:val="A770167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115"/>
    <w:rsid w:val="0002166D"/>
    <w:rsid w:val="00060276"/>
    <w:rsid w:val="000E2D35"/>
    <w:rsid w:val="001003DB"/>
    <w:rsid w:val="001254B8"/>
    <w:rsid w:val="001378DE"/>
    <w:rsid w:val="001842C5"/>
    <w:rsid w:val="00192CCF"/>
    <w:rsid w:val="001C0A25"/>
    <w:rsid w:val="001E6E07"/>
    <w:rsid w:val="002101F2"/>
    <w:rsid w:val="002904D9"/>
    <w:rsid w:val="002A065D"/>
    <w:rsid w:val="002C7717"/>
    <w:rsid w:val="002F7ECF"/>
    <w:rsid w:val="00360F5D"/>
    <w:rsid w:val="003B37FB"/>
    <w:rsid w:val="003C2380"/>
    <w:rsid w:val="00435B9A"/>
    <w:rsid w:val="00443C3C"/>
    <w:rsid w:val="0046244B"/>
    <w:rsid w:val="004B52D6"/>
    <w:rsid w:val="005B5BE7"/>
    <w:rsid w:val="00644495"/>
    <w:rsid w:val="006C0C41"/>
    <w:rsid w:val="00747CD7"/>
    <w:rsid w:val="007629F5"/>
    <w:rsid w:val="0078486D"/>
    <w:rsid w:val="0079598A"/>
    <w:rsid w:val="007970FD"/>
    <w:rsid w:val="007A4BFB"/>
    <w:rsid w:val="007E46EF"/>
    <w:rsid w:val="00801BD2"/>
    <w:rsid w:val="008639A3"/>
    <w:rsid w:val="008916AA"/>
    <w:rsid w:val="00891E38"/>
    <w:rsid w:val="00951739"/>
    <w:rsid w:val="009F3E9F"/>
    <w:rsid w:val="00B61039"/>
    <w:rsid w:val="00BA2C8D"/>
    <w:rsid w:val="00C26FCB"/>
    <w:rsid w:val="00CC29B7"/>
    <w:rsid w:val="00CF11CB"/>
    <w:rsid w:val="00D07FC0"/>
    <w:rsid w:val="00D874D6"/>
    <w:rsid w:val="00D94115"/>
    <w:rsid w:val="00DE4B7D"/>
    <w:rsid w:val="00E15497"/>
    <w:rsid w:val="00FA618E"/>
    <w:rsid w:val="00FC1CAC"/>
    <w:rsid w:val="00FC2268"/>
    <w:rsid w:val="00FD6A16"/>
    <w:rsid w:val="00FF6F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C1A7E1"/>
  <w15:chartTrackingRefBased/>
  <w15:docId w15:val="{B5C1081C-AAE7-4EE8-95FD-1FA56E581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1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9411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94115"/>
    <w:rPr>
      <w:i/>
      <w:iCs/>
      <w:color w:val="5B9BD5" w:themeColor="accent1"/>
    </w:rPr>
  </w:style>
  <w:style w:type="character" w:styleId="IntenseReference">
    <w:name w:val="Intense Reference"/>
    <w:basedOn w:val="DefaultParagraphFont"/>
    <w:uiPriority w:val="32"/>
    <w:qFormat/>
    <w:rsid w:val="007629F5"/>
    <w:rPr>
      <w:b/>
      <w:bCs/>
      <w:smallCaps/>
      <w:color w:val="5B9BD5" w:themeColor="accent1"/>
      <w:spacing w:val="5"/>
    </w:rPr>
  </w:style>
  <w:style w:type="character" w:styleId="IntenseEmphasis">
    <w:name w:val="Intense Emphasis"/>
    <w:basedOn w:val="DefaultParagraphFont"/>
    <w:uiPriority w:val="21"/>
    <w:qFormat/>
    <w:rsid w:val="007629F5"/>
    <w:rPr>
      <w:i/>
      <w:iCs/>
      <w:color w:val="5B9BD5" w:themeColor="accent1"/>
    </w:rPr>
  </w:style>
  <w:style w:type="paragraph" w:styleId="ListParagraph">
    <w:name w:val="List Paragraph"/>
    <w:basedOn w:val="Normal"/>
    <w:uiPriority w:val="34"/>
    <w:qFormat/>
    <w:rsid w:val="007E46EF"/>
    <w:pPr>
      <w:ind w:left="720"/>
      <w:contextualSpacing/>
    </w:pPr>
  </w:style>
  <w:style w:type="paragraph" w:styleId="Header">
    <w:name w:val="header"/>
    <w:basedOn w:val="Normal"/>
    <w:link w:val="HeaderChar"/>
    <w:uiPriority w:val="99"/>
    <w:unhideWhenUsed/>
    <w:rsid w:val="00FC2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268"/>
  </w:style>
  <w:style w:type="paragraph" w:styleId="Footer">
    <w:name w:val="footer"/>
    <w:basedOn w:val="Normal"/>
    <w:link w:val="FooterChar"/>
    <w:uiPriority w:val="99"/>
    <w:unhideWhenUsed/>
    <w:rsid w:val="00FC2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268"/>
  </w:style>
  <w:style w:type="paragraph" w:styleId="Bibliography">
    <w:name w:val="Bibliography"/>
    <w:basedOn w:val="Normal"/>
    <w:next w:val="Normal"/>
    <w:uiPriority w:val="37"/>
    <w:unhideWhenUsed/>
    <w:rsid w:val="001254B8"/>
  </w:style>
  <w:style w:type="character" w:customStyle="1" w:styleId="Heading1Char">
    <w:name w:val="Heading 1 Char"/>
    <w:basedOn w:val="DefaultParagraphFont"/>
    <w:link w:val="Heading1"/>
    <w:uiPriority w:val="9"/>
    <w:rsid w:val="002101F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101F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299706">
      <w:bodyDiv w:val="1"/>
      <w:marLeft w:val="0"/>
      <w:marRight w:val="0"/>
      <w:marTop w:val="0"/>
      <w:marBottom w:val="0"/>
      <w:divBdr>
        <w:top w:val="none" w:sz="0" w:space="0" w:color="auto"/>
        <w:left w:val="none" w:sz="0" w:space="0" w:color="auto"/>
        <w:bottom w:val="none" w:sz="0" w:space="0" w:color="auto"/>
        <w:right w:val="none" w:sz="0" w:space="0" w:color="auto"/>
      </w:divBdr>
    </w:div>
    <w:div w:id="242226082">
      <w:bodyDiv w:val="1"/>
      <w:marLeft w:val="0"/>
      <w:marRight w:val="0"/>
      <w:marTop w:val="0"/>
      <w:marBottom w:val="0"/>
      <w:divBdr>
        <w:top w:val="none" w:sz="0" w:space="0" w:color="auto"/>
        <w:left w:val="none" w:sz="0" w:space="0" w:color="auto"/>
        <w:bottom w:val="none" w:sz="0" w:space="0" w:color="auto"/>
        <w:right w:val="none" w:sz="0" w:space="0" w:color="auto"/>
      </w:divBdr>
    </w:div>
    <w:div w:id="314649060">
      <w:bodyDiv w:val="1"/>
      <w:marLeft w:val="0"/>
      <w:marRight w:val="0"/>
      <w:marTop w:val="0"/>
      <w:marBottom w:val="0"/>
      <w:divBdr>
        <w:top w:val="none" w:sz="0" w:space="0" w:color="auto"/>
        <w:left w:val="none" w:sz="0" w:space="0" w:color="auto"/>
        <w:bottom w:val="none" w:sz="0" w:space="0" w:color="auto"/>
        <w:right w:val="none" w:sz="0" w:space="0" w:color="auto"/>
      </w:divBdr>
    </w:div>
    <w:div w:id="384792350">
      <w:bodyDiv w:val="1"/>
      <w:marLeft w:val="0"/>
      <w:marRight w:val="0"/>
      <w:marTop w:val="0"/>
      <w:marBottom w:val="0"/>
      <w:divBdr>
        <w:top w:val="none" w:sz="0" w:space="0" w:color="auto"/>
        <w:left w:val="none" w:sz="0" w:space="0" w:color="auto"/>
        <w:bottom w:val="none" w:sz="0" w:space="0" w:color="auto"/>
        <w:right w:val="none" w:sz="0" w:space="0" w:color="auto"/>
      </w:divBdr>
    </w:div>
    <w:div w:id="417604483">
      <w:bodyDiv w:val="1"/>
      <w:marLeft w:val="0"/>
      <w:marRight w:val="0"/>
      <w:marTop w:val="0"/>
      <w:marBottom w:val="0"/>
      <w:divBdr>
        <w:top w:val="none" w:sz="0" w:space="0" w:color="auto"/>
        <w:left w:val="none" w:sz="0" w:space="0" w:color="auto"/>
        <w:bottom w:val="none" w:sz="0" w:space="0" w:color="auto"/>
        <w:right w:val="none" w:sz="0" w:space="0" w:color="auto"/>
      </w:divBdr>
    </w:div>
    <w:div w:id="683360540">
      <w:bodyDiv w:val="1"/>
      <w:marLeft w:val="0"/>
      <w:marRight w:val="0"/>
      <w:marTop w:val="0"/>
      <w:marBottom w:val="0"/>
      <w:divBdr>
        <w:top w:val="none" w:sz="0" w:space="0" w:color="auto"/>
        <w:left w:val="none" w:sz="0" w:space="0" w:color="auto"/>
        <w:bottom w:val="none" w:sz="0" w:space="0" w:color="auto"/>
        <w:right w:val="none" w:sz="0" w:space="0" w:color="auto"/>
      </w:divBdr>
    </w:div>
    <w:div w:id="933510941">
      <w:bodyDiv w:val="1"/>
      <w:marLeft w:val="0"/>
      <w:marRight w:val="0"/>
      <w:marTop w:val="0"/>
      <w:marBottom w:val="0"/>
      <w:divBdr>
        <w:top w:val="none" w:sz="0" w:space="0" w:color="auto"/>
        <w:left w:val="none" w:sz="0" w:space="0" w:color="auto"/>
        <w:bottom w:val="none" w:sz="0" w:space="0" w:color="auto"/>
        <w:right w:val="none" w:sz="0" w:space="0" w:color="auto"/>
      </w:divBdr>
    </w:div>
    <w:div w:id="1420904281">
      <w:bodyDiv w:val="1"/>
      <w:marLeft w:val="0"/>
      <w:marRight w:val="0"/>
      <w:marTop w:val="0"/>
      <w:marBottom w:val="0"/>
      <w:divBdr>
        <w:top w:val="none" w:sz="0" w:space="0" w:color="auto"/>
        <w:left w:val="none" w:sz="0" w:space="0" w:color="auto"/>
        <w:bottom w:val="none" w:sz="0" w:space="0" w:color="auto"/>
        <w:right w:val="none" w:sz="0" w:space="0" w:color="auto"/>
      </w:divBdr>
    </w:div>
    <w:div w:id="1526283334">
      <w:bodyDiv w:val="1"/>
      <w:marLeft w:val="0"/>
      <w:marRight w:val="0"/>
      <w:marTop w:val="0"/>
      <w:marBottom w:val="0"/>
      <w:divBdr>
        <w:top w:val="none" w:sz="0" w:space="0" w:color="auto"/>
        <w:left w:val="none" w:sz="0" w:space="0" w:color="auto"/>
        <w:bottom w:val="none" w:sz="0" w:space="0" w:color="auto"/>
        <w:right w:val="none" w:sz="0" w:space="0" w:color="auto"/>
      </w:divBdr>
    </w:div>
    <w:div w:id="1572038092">
      <w:bodyDiv w:val="1"/>
      <w:marLeft w:val="0"/>
      <w:marRight w:val="0"/>
      <w:marTop w:val="0"/>
      <w:marBottom w:val="0"/>
      <w:divBdr>
        <w:top w:val="none" w:sz="0" w:space="0" w:color="auto"/>
        <w:left w:val="none" w:sz="0" w:space="0" w:color="auto"/>
        <w:bottom w:val="none" w:sz="0" w:space="0" w:color="auto"/>
        <w:right w:val="none" w:sz="0" w:space="0" w:color="auto"/>
      </w:divBdr>
    </w:div>
    <w:div w:id="1761486024">
      <w:bodyDiv w:val="1"/>
      <w:marLeft w:val="0"/>
      <w:marRight w:val="0"/>
      <w:marTop w:val="0"/>
      <w:marBottom w:val="0"/>
      <w:divBdr>
        <w:top w:val="none" w:sz="0" w:space="0" w:color="auto"/>
        <w:left w:val="none" w:sz="0" w:space="0" w:color="auto"/>
        <w:bottom w:val="none" w:sz="0" w:space="0" w:color="auto"/>
        <w:right w:val="none" w:sz="0" w:space="0" w:color="auto"/>
      </w:divBdr>
    </w:div>
    <w:div w:id="2087800079">
      <w:bodyDiv w:val="1"/>
      <w:marLeft w:val="0"/>
      <w:marRight w:val="0"/>
      <w:marTop w:val="0"/>
      <w:marBottom w:val="0"/>
      <w:divBdr>
        <w:top w:val="none" w:sz="0" w:space="0" w:color="auto"/>
        <w:left w:val="none" w:sz="0" w:space="0" w:color="auto"/>
        <w:bottom w:val="none" w:sz="0" w:space="0" w:color="auto"/>
        <w:right w:val="none" w:sz="0" w:space="0" w:color="auto"/>
      </w:divBdr>
    </w:div>
    <w:div w:id="2124374720">
      <w:bodyDiv w:val="1"/>
      <w:marLeft w:val="0"/>
      <w:marRight w:val="0"/>
      <w:marTop w:val="0"/>
      <w:marBottom w:val="0"/>
      <w:divBdr>
        <w:top w:val="none" w:sz="0" w:space="0" w:color="auto"/>
        <w:left w:val="none" w:sz="0" w:space="0" w:color="auto"/>
        <w:bottom w:val="none" w:sz="0" w:space="0" w:color="auto"/>
        <w:right w:val="none" w:sz="0" w:space="0" w:color="auto"/>
      </w:divBdr>
    </w:div>
    <w:div w:id="214230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0C91DA-0C4B-4A03-A6E4-450F59971B98}" type="doc">
      <dgm:prSet loTypeId="urn:microsoft.com/office/officeart/2005/8/layout/cycle2" loCatId="cycle" qsTypeId="urn:microsoft.com/office/officeart/2005/8/quickstyle/simple2" qsCatId="simple" csTypeId="urn:microsoft.com/office/officeart/2005/8/colors/accent2_1" csCatId="accent2" phldr="1"/>
      <dgm:spPr/>
      <dgm:t>
        <a:bodyPr/>
        <a:lstStyle/>
        <a:p>
          <a:endParaRPr lang="en-US"/>
        </a:p>
      </dgm:t>
    </dgm:pt>
    <dgm:pt modelId="{AA85F5A3-3989-444B-BA71-E667C58EDDBC}">
      <dgm:prSet phldrT="[Text]" custT="1"/>
      <dgm:spPr/>
      <dgm:t>
        <a:bodyPr/>
        <a:lstStyle/>
        <a:p>
          <a:pPr algn="ctr"/>
          <a:r>
            <a:rPr lang="en-US" sz="800"/>
            <a:t>Problem Identification</a:t>
          </a:r>
        </a:p>
      </dgm:t>
    </dgm:pt>
    <dgm:pt modelId="{BD6B364C-DC26-4342-999A-C777C80D1DC3}" type="parTrans" cxnId="{E02538B9-7454-4E13-A363-F0320D56B156}">
      <dgm:prSet/>
      <dgm:spPr/>
      <dgm:t>
        <a:bodyPr/>
        <a:lstStyle/>
        <a:p>
          <a:pPr algn="ctr"/>
          <a:endParaRPr lang="en-US">
            <a:solidFill>
              <a:sysClr val="windowText" lastClr="000000"/>
            </a:solidFill>
          </a:endParaRPr>
        </a:p>
      </dgm:t>
    </dgm:pt>
    <dgm:pt modelId="{A033D790-1549-4465-9C1E-BA80F272E949}" type="sibTrans" cxnId="{E02538B9-7454-4E13-A363-F0320D56B156}">
      <dgm:prSet/>
      <dgm:spPr/>
      <dgm:t>
        <a:bodyPr/>
        <a:lstStyle/>
        <a:p>
          <a:pPr algn="ctr"/>
          <a:endParaRPr lang="en-US">
            <a:solidFill>
              <a:sysClr val="windowText" lastClr="000000"/>
            </a:solidFill>
          </a:endParaRPr>
        </a:p>
      </dgm:t>
    </dgm:pt>
    <dgm:pt modelId="{D9C41FCE-A5C5-4A4E-9663-B0058F06E5F7}">
      <dgm:prSet phldrT="[Text]" custT="1"/>
      <dgm:spPr/>
      <dgm:t>
        <a:bodyPr/>
        <a:lstStyle/>
        <a:p>
          <a:pPr algn="ctr"/>
          <a:r>
            <a:rPr lang="en-US" sz="800"/>
            <a:t>Root Cause Identification</a:t>
          </a:r>
        </a:p>
      </dgm:t>
    </dgm:pt>
    <dgm:pt modelId="{610CF6D4-B8B4-4198-B423-1456F83F524E}" type="parTrans" cxnId="{8A54028F-96D9-421A-80EA-4F2D19365703}">
      <dgm:prSet/>
      <dgm:spPr/>
      <dgm:t>
        <a:bodyPr/>
        <a:lstStyle/>
        <a:p>
          <a:pPr algn="ctr"/>
          <a:endParaRPr lang="en-US">
            <a:solidFill>
              <a:sysClr val="windowText" lastClr="000000"/>
            </a:solidFill>
          </a:endParaRPr>
        </a:p>
      </dgm:t>
    </dgm:pt>
    <dgm:pt modelId="{CB1FFBC5-4FCC-4C71-A0B1-FCA40C52D941}" type="sibTrans" cxnId="{8A54028F-96D9-421A-80EA-4F2D19365703}">
      <dgm:prSet/>
      <dgm:spPr/>
      <dgm:t>
        <a:bodyPr/>
        <a:lstStyle/>
        <a:p>
          <a:pPr algn="ctr"/>
          <a:endParaRPr lang="en-US">
            <a:solidFill>
              <a:sysClr val="windowText" lastClr="000000"/>
            </a:solidFill>
          </a:endParaRPr>
        </a:p>
      </dgm:t>
    </dgm:pt>
    <dgm:pt modelId="{B9D1C0D1-09E0-4335-950F-26128F46590F}">
      <dgm:prSet phldrT="[Text]" custT="1"/>
      <dgm:spPr/>
      <dgm:t>
        <a:bodyPr/>
        <a:lstStyle/>
        <a:p>
          <a:pPr algn="ctr"/>
          <a:r>
            <a:rPr lang="en-US" sz="800"/>
            <a:t>Resolution </a:t>
          </a:r>
          <a:r>
            <a:rPr lang="en-US" sz="800" b="0" cap="none" spc="0">
              <a:ln w="0"/>
              <a:effectLst>
                <a:outerShdw blurRad="38100" dist="19050" dir="2700000" algn="tl" rotWithShape="0">
                  <a:schemeClr val="dk1">
                    <a:alpha val="40000"/>
                  </a:schemeClr>
                </a:outerShdw>
              </a:effectLst>
            </a:rPr>
            <a:t>Planning</a:t>
          </a:r>
          <a:endParaRPr lang="en-US" sz="800"/>
        </a:p>
      </dgm:t>
    </dgm:pt>
    <dgm:pt modelId="{FE5A4FC3-0D65-4143-9673-D28E598B7985}" type="parTrans" cxnId="{286D2D41-278F-45CB-8C51-4F36D8AF1F6A}">
      <dgm:prSet/>
      <dgm:spPr/>
      <dgm:t>
        <a:bodyPr/>
        <a:lstStyle/>
        <a:p>
          <a:pPr algn="ctr"/>
          <a:endParaRPr lang="en-US">
            <a:solidFill>
              <a:sysClr val="windowText" lastClr="000000"/>
            </a:solidFill>
          </a:endParaRPr>
        </a:p>
      </dgm:t>
    </dgm:pt>
    <dgm:pt modelId="{BCAC4E6E-DCE4-41CA-B05F-6869DEE51ABF}" type="sibTrans" cxnId="{286D2D41-278F-45CB-8C51-4F36D8AF1F6A}">
      <dgm:prSet/>
      <dgm:spPr/>
      <dgm:t>
        <a:bodyPr/>
        <a:lstStyle/>
        <a:p>
          <a:pPr algn="ctr"/>
          <a:endParaRPr lang="en-US">
            <a:solidFill>
              <a:sysClr val="windowText" lastClr="000000"/>
            </a:solidFill>
          </a:endParaRPr>
        </a:p>
      </dgm:t>
    </dgm:pt>
    <dgm:pt modelId="{7DC4B57A-EB93-435C-8F85-CB37952F35BE}">
      <dgm:prSet phldrT="[Text]" custT="1"/>
      <dgm:spPr/>
      <dgm:t>
        <a:bodyPr/>
        <a:lstStyle/>
        <a:p>
          <a:pPr algn="ctr"/>
          <a:r>
            <a:rPr lang="en-US" sz="800"/>
            <a:t>Resolution Implementation</a:t>
          </a:r>
        </a:p>
      </dgm:t>
    </dgm:pt>
    <dgm:pt modelId="{6C1D7C5C-276F-4EF8-B467-492C53A79396}" type="parTrans" cxnId="{7A4E35E8-64F1-42BE-9449-DA2B0EC27CFF}">
      <dgm:prSet/>
      <dgm:spPr/>
      <dgm:t>
        <a:bodyPr/>
        <a:lstStyle/>
        <a:p>
          <a:pPr algn="ctr"/>
          <a:endParaRPr lang="en-US">
            <a:solidFill>
              <a:sysClr val="windowText" lastClr="000000"/>
            </a:solidFill>
          </a:endParaRPr>
        </a:p>
      </dgm:t>
    </dgm:pt>
    <dgm:pt modelId="{0364EDED-24C8-42D6-B117-ED6A637BC81A}" type="sibTrans" cxnId="{7A4E35E8-64F1-42BE-9449-DA2B0EC27CFF}">
      <dgm:prSet/>
      <dgm:spPr/>
      <dgm:t>
        <a:bodyPr/>
        <a:lstStyle/>
        <a:p>
          <a:pPr algn="ctr"/>
          <a:endParaRPr lang="en-US">
            <a:solidFill>
              <a:sysClr val="windowText" lastClr="000000"/>
            </a:solidFill>
          </a:endParaRPr>
        </a:p>
      </dgm:t>
    </dgm:pt>
    <dgm:pt modelId="{6651252F-9199-4E46-985C-9B991CCE2CAC}">
      <dgm:prSet phldrT="[Text]" custT="1"/>
      <dgm:spPr/>
      <dgm:t>
        <a:bodyPr/>
        <a:lstStyle/>
        <a:p>
          <a:pPr algn="ctr"/>
          <a:r>
            <a:rPr lang="en-US" sz="800"/>
            <a:t>Monitoring, Control and Feedbac</a:t>
          </a:r>
          <a:r>
            <a:rPr lang="en-US" sz="700"/>
            <a:t>k </a:t>
          </a:r>
        </a:p>
      </dgm:t>
    </dgm:pt>
    <dgm:pt modelId="{BA4477AB-6A82-4973-944E-526FF5472410}" type="parTrans" cxnId="{0EFFE0EB-DA4A-472B-89AE-60E077591A5B}">
      <dgm:prSet/>
      <dgm:spPr/>
      <dgm:t>
        <a:bodyPr/>
        <a:lstStyle/>
        <a:p>
          <a:pPr algn="ctr"/>
          <a:endParaRPr lang="en-US">
            <a:solidFill>
              <a:sysClr val="windowText" lastClr="000000"/>
            </a:solidFill>
          </a:endParaRPr>
        </a:p>
      </dgm:t>
    </dgm:pt>
    <dgm:pt modelId="{C15B3522-0280-4735-AD87-B09B802A9855}" type="sibTrans" cxnId="{0EFFE0EB-DA4A-472B-89AE-60E077591A5B}">
      <dgm:prSet/>
      <dgm:spPr/>
      <dgm:t>
        <a:bodyPr/>
        <a:lstStyle/>
        <a:p>
          <a:pPr algn="ctr"/>
          <a:endParaRPr lang="en-US">
            <a:solidFill>
              <a:sysClr val="windowText" lastClr="000000"/>
            </a:solidFill>
          </a:endParaRPr>
        </a:p>
      </dgm:t>
    </dgm:pt>
    <dgm:pt modelId="{065C4B07-C071-4152-928F-C605EEEB5555}" type="pres">
      <dgm:prSet presAssocID="{BD0C91DA-0C4B-4A03-A6E4-450F59971B98}" presName="cycle" presStyleCnt="0">
        <dgm:presLayoutVars>
          <dgm:dir/>
          <dgm:resizeHandles val="exact"/>
        </dgm:presLayoutVars>
      </dgm:prSet>
      <dgm:spPr/>
    </dgm:pt>
    <dgm:pt modelId="{22F7B46B-C0A5-46A2-9420-5ED0B67C9A22}" type="pres">
      <dgm:prSet presAssocID="{AA85F5A3-3989-444B-BA71-E667C58EDDBC}" presName="node" presStyleLbl="node1" presStyleIdx="0" presStyleCnt="5">
        <dgm:presLayoutVars>
          <dgm:bulletEnabled val="1"/>
        </dgm:presLayoutVars>
      </dgm:prSet>
      <dgm:spPr/>
    </dgm:pt>
    <dgm:pt modelId="{CEC1A091-45E2-4493-A804-38B3C88167C7}" type="pres">
      <dgm:prSet presAssocID="{A033D790-1549-4465-9C1E-BA80F272E949}" presName="sibTrans" presStyleLbl="sibTrans2D1" presStyleIdx="0" presStyleCnt="5"/>
      <dgm:spPr/>
    </dgm:pt>
    <dgm:pt modelId="{C06103EB-38F8-47DE-9BAB-D98CE4523023}" type="pres">
      <dgm:prSet presAssocID="{A033D790-1549-4465-9C1E-BA80F272E949}" presName="connectorText" presStyleLbl="sibTrans2D1" presStyleIdx="0" presStyleCnt="5"/>
      <dgm:spPr/>
    </dgm:pt>
    <dgm:pt modelId="{B8BC1F4E-4453-446C-A9B9-86CDDBA39B27}" type="pres">
      <dgm:prSet presAssocID="{D9C41FCE-A5C5-4A4E-9663-B0058F06E5F7}" presName="node" presStyleLbl="node1" presStyleIdx="1" presStyleCnt="5">
        <dgm:presLayoutVars>
          <dgm:bulletEnabled val="1"/>
        </dgm:presLayoutVars>
      </dgm:prSet>
      <dgm:spPr/>
    </dgm:pt>
    <dgm:pt modelId="{2B71ED3A-112E-49F2-8F3A-97A9FE0782D8}" type="pres">
      <dgm:prSet presAssocID="{CB1FFBC5-4FCC-4C71-A0B1-FCA40C52D941}" presName="sibTrans" presStyleLbl="sibTrans2D1" presStyleIdx="1" presStyleCnt="5"/>
      <dgm:spPr/>
    </dgm:pt>
    <dgm:pt modelId="{E38A4687-C502-4DD0-B3B4-656AF9605324}" type="pres">
      <dgm:prSet presAssocID="{CB1FFBC5-4FCC-4C71-A0B1-FCA40C52D941}" presName="connectorText" presStyleLbl="sibTrans2D1" presStyleIdx="1" presStyleCnt="5"/>
      <dgm:spPr/>
    </dgm:pt>
    <dgm:pt modelId="{7C779204-B8B7-41DA-A428-A1FBC228F15E}" type="pres">
      <dgm:prSet presAssocID="{B9D1C0D1-09E0-4335-950F-26128F46590F}" presName="node" presStyleLbl="node1" presStyleIdx="2" presStyleCnt="5">
        <dgm:presLayoutVars>
          <dgm:bulletEnabled val="1"/>
        </dgm:presLayoutVars>
      </dgm:prSet>
      <dgm:spPr/>
    </dgm:pt>
    <dgm:pt modelId="{DD26DD46-CA66-4C8C-9AEB-7166780EFEC5}" type="pres">
      <dgm:prSet presAssocID="{BCAC4E6E-DCE4-41CA-B05F-6869DEE51ABF}" presName="sibTrans" presStyleLbl="sibTrans2D1" presStyleIdx="2" presStyleCnt="5"/>
      <dgm:spPr/>
    </dgm:pt>
    <dgm:pt modelId="{CE289F4A-9B81-4091-AE2E-F18F15A82493}" type="pres">
      <dgm:prSet presAssocID="{BCAC4E6E-DCE4-41CA-B05F-6869DEE51ABF}" presName="connectorText" presStyleLbl="sibTrans2D1" presStyleIdx="2" presStyleCnt="5"/>
      <dgm:spPr/>
    </dgm:pt>
    <dgm:pt modelId="{E2BB84FB-B85C-437C-9C2B-92F7DE1CF644}" type="pres">
      <dgm:prSet presAssocID="{7DC4B57A-EB93-435C-8F85-CB37952F35BE}" presName="node" presStyleLbl="node1" presStyleIdx="3" presStyleCnt="5">
        <dgm:presLayoutVars>
          <dgm:bulletEnabled val="1"/>
        </dgm:presLayoutVars>
      </dgm:prSet>
      <dgm:spPr/>
    </dgm:pt>
    <dgm:pt modelId="{CCC96C3F-8820-4A47-BE03-306370ECD515}" type="pres">
      <dgm:prSet presAssocID="{0364EDED-24C8-42D6-B117-ED6A637BC81A}" presName="sibTrans" presStyleLbl="sibTrans2D1" presStyleIdx="3" presStyleCnt="5"/>
      <dgm:spPr/>
    </dgm:pt>
    <dgm:pt modelId="{54C36AB3-BCD2-4B71-960F-FFEF6A856E3F}" type="pres">
      <dgm:prSet presAssocID="{0364EDED-24C8-42D6-B117-ED6A637BC81A}" presName="connectorText" presStyleLbl="sibTrans2D1" presStyleIdx="3" presStyleCnt="5"/>
      <dgm:spPr/>
    </dgm:pt>
    <dgm:pt modelId="{B1ECC5AE-37C7-42A4-A5A2-9EF9D489F437}" type="pres">
      <dgm:prSet presAssocID="{6651252F-9199-4E46-985C-9B991CCE2CAC}" presName="node" presStyleLbl="node1" presStyleIdx="4" presStyleCnt="5">
        <dgm:presLayoutVars>
          <dgm:bulletEnabled val="1"/>
        </dgm:presLayoutVars>
      </dgm:prSet>
      <dgm:spPr/>
    </dgm:pt>
    <dgm:pt modelId="{3FAF0B1B-922B-4221-A598-0952D75F0750}" type="pres">
      <dgm:prSet presAssocID="{C15B3522-0280-4735-AD87-B09B802A9855}" presName="sibTrans" presStyleLbl="sibTrans2D1" presStyleIdx="4" presStyleCnt="5"/>
      <dgm:spPr/>
    </dgm:pt>
    <dgm:pt modelId="{2DCEA88B-5DC0-42BE-B8A4-E7ED57CFC5D2}" type="pres">
      <dgm:prSet presAssocID="{C15B3522-0280-4735-AD87-B09B802A9855}" presName="connectorText" presStyleLbl="sibTrans2D1" presStyleIdx="4" presStyleCnt="5"/>
      <dgm:spPr/>
    </dgm:pt>
  </dgm:ptLst>
  <dgm:cxnLst>
    <dgm:cxn modelId="{9D172912-4A90-4E89-B6AB-EC791203B845}" type="presOf" srcId="{0364EDED-24C8-42D6-B117-ED6A637BC81A}" destId="{54C36AB3-BCD2-4B71-960F-FFEF6A856E3F}" srcOrd="1" destOrd="0" presId="urn:microsoft.com/office/officeart/2005/8/layout/cycle2"/>
    <dgm:cxn modelId="{A58B1F1B-B2C9-47F2-9EAE-5535E065A3B3}" type="presOf" srcId="{D9C41FCE-A5C5-4A4E-9663-B0058F06E5F7}" destId="{B8BC1F4E-4453-446C-A9B9-86CDDBA39B27}" srcOrd="0" destOrd="0" presId="urn:microsoft.com/office/officeart/2005/8/layout/cycle2"/>
    <dgm:cxn modelId="{B8924237-D9B3-42DD-95E4-F02D0543683D}" type="presOf" srcId="{CB1FFBC5-4FCC-4C71-A0B1-FCA40C52D941}" destId="{2B71ED3A-112E-49F2-8F3A-97A9FE0782D8}" srcOrd="0" destOrd="0" presId="urn:microsoft.com/office/officeart/2005/8/layout/cycle2"/>
    <dgm:cxn modelId="{394F1739-80AD-44EB-A6F9-B93E290CA720}" type="presOf" srcId="{A033D790-1549-4465-9C1E-BA80F272E949}" destId="{C06103EB-38F8-47DE-9BAB-D98CE4523023}" srcOrd="1" destOrd="0" presId="urn:microsoft.com/office/officeart/2005/8/layout/cycle2"/>
    <dgm:cxn modelId="{286D2D41-278F-45CB-8C51-4F36D8AF1F6A}" srcId="{BD0C91DA-0C4B-4A03-A6E4-450F59971B98}" destId="{B9D1C0D1-09E0-4335-950F-26128F46590F}" srcOrd="2" destOrd="0" parTransId="{FE5A4FC3-0D65-4143-9673-D28E598B7985}" sibTransId="{BCAC4E6E-DCE4-41CA-B05F-6869DEE51ABF}"/>
    <dgm:cxn modelId="{B3F12D41-880F-4B11-A03D-EBA3FB92BCF3}" type="presOf" srcId="{7DC4B57A-EB93-435C-8F85-CB37952F35BE}" destId="{E2BB84FB-B85C-437C-9C2B-92F7DE1CF644}" srcOrd="0" destOrd="0" presId="urn:microsoft.com/office/officeart/2005/8/layout/cycle2"/>
    <dgm:cxn modelId="{04F4AE68-D1DC-46A8-894A-61A42DAF6550}" type="presOf" srcId="{A033D790-1549-4465-9C1E-BA80F272E949}" destId="{CEC1A091-45E2-4493-A804-38B3C88167C7}" srcOrd="0" destOrd="0" presId="urn:microsoft.com/office/officeart/2005/8/layout/cycle2"/>
    <dgm:cxn modelId="{8A73E048-B467-4326-9915-E33528E05A6B}" type="presOf" srcId="{C15B3522-0280-4735-AD87-B09B802A9855}" destId="{2DCEA88B-5DC0-42BE-B8A4-E7ED57CFC5D2}" srcOrd="1" destOrd="0" presId="urn:microsoft.com/office/officeart/2005/8/layout/cycle2"/>
    <dgm:cxn modelId="{DFDB286B-DB20-4339-BB5F-7F4E4768E3B0}" type="presOf" srcId="{0364EDED-24C8-42D6-B117-ED6A637BC81A}" destId="{CCC96C3F-8820-4A47-BE03-306370ECD515}" srcOrd="0" destOrd="0" presId="urn:microsoft.com/office/officeart/2005/8/layout/cycle2"/>
    <dgm:cxn modelId="{7EC58D81-C62D-4815-A397-6488F4FA2F19}" type="presOf" srcId="{CB1FFBC5-4FCC-4C71-A0B1-FCA40C52D941}" destId="{E38A4687-C502-4DD0-B3B4-656AF9605324}" srcOrd="1" destOrd="0" presId="urn:microsoft.com/office/officeart/2005/8/layout/cycle2"/>
    <dgm:cxn modelId="{8A54028F-96D9-421A-80EA-4F2D19365703}" srcId="{BD0C91DA-0C4B-4A03-A6E4-450F59971B98}" destId="{D9C41FCE-A5C5-4A4E-9663-B0058F06E5F7}" srcOrd="1" destOrd="0" parTransId="{610CF6D4-B8B4-4198-B423-1456F83F524E}" sibTransId="{CB1FFBC5-4FCC-4C71-A0B1-FCA40C52D941}"/>
    <dgm:cxn modelId="{D4A77C93-2D06-4311-A903-85370A448B83}" type="presOf" srcId="{C15B3522-0280-4735-AD87-B09B802A9855}" destId="{3FAF0B1B-922B-4221-A598-0952D75F0750}" srcOrd="0" destOrd="0" presId="urn:microsoft.com/office/officeart/2005/8/layout/cycle2"/>
    <dgm:cxn modelId="{447E969C-C6EB-4CD5-BD5C-AA56097B1ADD}" type="presOf" srcId="{AA85F5A3-3989-444B-BA71-E667C58EDDBC}" destId="{22F7B46B-C0A5-46A2-9420-5ED0B67C9A22}" srcOrd="0" destOrd="0" presId="urn:microsoft.com/office/officeart/2005/8/layout/cycle2"/>
    <dgm:cxn modelId="{44D170B4-2737-447C-8742-FEE535D46C7A}" type="presOf" srcId="{BD0C91DA-0C4B-4A03-A6E4-450F59971B98}" destId="{065C4B07-C071-4152-928F-C605EEEB5555}" srcOrd="0" destOrd="0" presId="urn:microsoft.com/office/officeart/2005/8/layout/cycle2"/>
    <dgm:cxn modelId="{E02538B9-7454-4E13-A363-F0320D56B156}" srcId="{BD0C91DA-0C4B-4A03-A6E4-450F59971B98}" destId="{AA85F5A3-3989-444B-BA71-E667C58EDDBC}" srcOrd="0" destOrd="0" parTransId="{BD6B364C-DC26-4342-999A-C777C80D1DC3}" sibTransId="{A033D790-1549-4465-9C1E-BA80F272E949}"/>
    <dgm:cxn modelId="{0640B9E1-A518-4841-8FA2-EA4973C5640D}" type="presOf" srcId="{BCAC4E6E-DCE4-41CA-B05F-6869DEE51ABF}" destId="{CE289F4A-9B81-4091-AE2E-F18F15A82493}" srcOrd="1" destOrd="0" presId="urn:microsoft.com/office/officeart/2005/8/layout/cycle2"/>
    <dgm:cxn modelId="{7A4E35E8-64F1-42BE-9449-DA2B0EC27CFF}" srcId="{BD0C91DA-0C4B-4A03-A6E4-450F59971B98}" destId="{7DC4B57A-EB93-435C-8F85-CB37952F35BE}" srcOrd="3" destOrd="0" parTransId="{6C1D7C5C-276F-4EF8-B467-492C53A79396}" sibTransId="{0364EDED-24C8-42D6-B117-ED6A637BC81A}"/>
    <dgm:cxn modelId="{2623E1E9-D0DE-4670-BB2C-AA6E36ADAB73}" type="presOf" srcId="{BCAC4E6E-DCE4-41CA-B05F-6869DEE51ABF}" destId="{DD26DD46-CA66-4C8C-9AEB-7166780EFEC5}" srcOrd="0" destOrd="0" presId="urn:microsoft.com/office/officeart/2005/8/layout/cycle2"/>
    <dgm:cxn modelId="{0EFFE0EB-DA4A-472B-89AE-60E077591A5B}" srcId="{BD0C91DA-0C4B-4A03-A6E4-450F59971B98}" destId="{6651252F-9199-4E46-985C-9B991CCE2CAC}" srcOrd="4" destOrd="0" parTransId="{BA4477AB-6A82-4973-944E-526FF5472410}" sibTransId="{C15B3522-0280-4735-AD87-B09B802A9855}"/>
    <dgm:cxn modelId="{5E590DEE-0225-4D9F-94CF-D607B2A1B2FB}" type="presOf" srcId="{6651252F-9199-4E46-985C-9B991CCE2CAC}" destId="{B1ECC5AE-37C7-42A4-A5A2-9EF9D489F437}" srcOrd="0" destOrd="0" presId="urn:microsoft.com/office/officeart/2005/8/layout/cycle2"/>
    <dgm:cxn modelId="{01A115FF-D826-4FCA-A754-02E4A6E0DD3A}" type="presOf" srcId="{B9D1C0D1-09E0-4335-950F-26128F46590F}" destId="{7C779204-B8B7-41DA-A428-A1FBC228F15E}" srcOrd="0" destOrd="0" presId="urn:microsoft.com/office/officeart/2005/8/layout/cycle2"/>
    <dgm:cxn modelId="{F15EC427-6ACC-4600-959F-B4303E763227}" type="presParOf" srcId="{065C4B07-C071-4152-928F-C605EEEB5555}" destId="{22F7B46B-C0A5-46A2-9420-5ED0B67C9A22}" srcOrd="0" destOrd="0" presId="urn:microsoft.com/office/officeart/2005/8/layout/cycle2"/>
    <dgm:cxn modelId="{BCC5BAC0-0C93-498A-8821-853D348CCA32}" type="presParOf" srcId="{065C4B07-C071-4152-928F-C605EEEB5555}" destId="{CEC1A091-45E2-4493-A804-38B3C88167C7}" srcOrd="1" destOrd="0" presId="urn:microsoft.com/office/officeart/2005/8/layout/cycle2"/>
    <dgm:cxn modelId="{0426305A-BC37-443E-BD10-77E962D3F539}" type="presParOf" srcId="{CEC1A091-45E2-4493-A804-38B3C88167C7}" destId="{C06103EB-38F8-47DE-9BAB-D98CE4523023}" srcOrd="0" destOrd="0" presId="urn:microsoft.com/office/officeart/2005/8/layout/cycle2"/>
    <dgm:cxn modelId="{EC0244AC-3057-4074-B568-E8CD5ED14BA4}" type="presParOf" srcId="{065C4B07-C071-4152-928F-C605EEEB5555}" destId="{B8BC1F4E-4453-446C-A9B9-86CDDBA39B27}" srcOrd="2" destOrd="0" presId="urn:microsoft.com/office/officeart/2005/8/layout/cycle2"/>
    <dgm:cxn modelId="{269BBC03-2F82-47B4-915C-6EE73CA1E798}" type="presParOf" srcId="{065C4B07-C071-4152-928F-C605EEEB5555}" destId="{2B71ED3A-112E-49F2-8F3A-97A9FE0782D8}" srcOrd="3" destOrd="0" presId="urn:microsoft.com/office/officeart/2005/8/layout/cycle2"/>
    <dgm:cxn modelId="{13153ECC-274E-48ED-A129-6FB01CE10F6E}" type="presParOf" srcId="{2B71ED3A-112E-49F2-8F3A-97A9FE0782D8}" destId="{E38A4687-C502-4DD0-B3B4-656AF9605324}" srcOrd="0" destOrd="0" presId="urn:microsoft.com/office/officeart/2005/8/layout/cycle2"/>
    <dgm:cxn modelId="{6245EEF9-0ABC-4B14-BDE0-D6495F07496C}" type="presParOf" srcId="{065C4B07-C071-4152-928F-C605EEEB5555}" destId="{7C779204-B8B7-41DA-A428-A1FBC228F15E}" srcOrd="4" destOrd="0" presId="urn:microsoft.com/office/officeart/2005/8/layout/cycle2"/>
    <dgm:cxn modelId="{93073566-9B0E-45B4-AF72-194E452FB8DF}" type="presParOf" srcId="{065C4B07-C071-4152-928F-C605EEEB5555}" destId="{DD26DD46-CA66-4C8C-9AEB-7166780EFEC5}" srcOrd="5" destOrd="0" presId="urn:microsoft.com/office/officeart/2005/8/layout/cycle2"/>
    <dgm:cxn modelId="{9152C2D1-8022-4460-91BE-6B44EBCB654A}" type="presParOf" srcId="{DD26DD46-CA66-4C8C-9AEB-7166780EFEC5}" destId="{CE289F4A-9B81-4091-AE2E-F18F15A82493}" srcOrd="0" destOrd="0" presId="urn:microsoft.com/office/officeart/2005/8/layout/cycle2"/>
    <dgm:cxn modelId="{F34AAA7B-4E69-4C26-ADF5-A2558929EC2D}" type="presParOf" srcId="{065C4B07-C071-4152-928F-C605EEEB5555}" destId="{E2BB84FB-B85C-437C-9C2B-92F7DE1CF644}" srcOrd="6" destOrd="0" presId="urn:microsoft.com/office/officeart/2005/8/layout/cycle2"/>
    <dgm:cxn modelId="{83174264-FC54-44F6-AC5D-E24FA79F0032}" type="presParOf" srcId="{065C4B07-C071-4152-928F-C605EEEB5555}" destId="{CCC96C3F-8820-4A47-BE03-306370ECD515}" srcOrd="7" destOrd="0" presId="urn:microsoft.com/office/officeart/2005/8/layout/cycle2"/>
    <dgm:cxn modelId="{E3E4C687-6144-4757-97D4-4FFB2F5727C8}" type="presParOf" srcId="{CCC96C3F-8820-4A47-BE03-306370ECD515}" destId="{54C36AB3-BCD2-4B71-960F-FFEF6A856E3F}" srcOrd="0" destOrd="0" presId="urn:microsoft.com/office/officeart/2005/8/layout/cycle2"/>
    <dgm:cxn modelId="{2CE0C765-2F17-4F9A-9DEC-A0DAD9BAEBF6}" type="presParOf" srcId="{065C4B07-C071-4152-928F-C605EEEB5555}" destId="{B1ECC5AE-37C7-42A4-A5A2-9EF9D489F437}" srcOrd="8" destOrd="0" presId="urn:microsoft.com/office/officeart/2005/8/layout/cycle2"/>
    <dgm:cxn modelId="{2E95E8F5-C867-46F7-B681-6E87202C6A49}" type="presParOf" srcId="{065C4B07-C071-4152-928F-C605EEEB5555}" destId="{3FAF0B1B-922B-4221-A598-0952D75F0750}" srcOrd="9" destOrd="0" presId="urn:microsoft.com/office/officeart/2005/8/layout/cycle2"/>
    <dgm:cxn modelId="{18AB20E2-83E0-456E-A014-E710093EEB17}" type="presParOf" srcId="{3FAF0B1B-922B-4221-A598-0952D75F0750}" destId="{2DCEA88B-5DC0-42BE-B8A4-E7ED57CFC5D2}"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13C5B2-EDE9-4147-A4D2-0F8B16437E8C}" type="doc">
      <dgm:prSet loTypeId="urn:microsoft.com/office/officeart/2005/8/layout/bProcess3" loCatId="process" qsTypeId="urn:microsoft.com/office/officeart/2005/8/quickstyle/simple1" qsCatId="simple" csTypeId="urn:microsoft.com/office/officeart/2005/8/colors/accent1_1" csCatId="accent1" phldr="1"/>
      <dgm:spPr/>
      <dgm:t>
        <a:bodyPr/>
        <a:lstStyle/>
        <a:p>
          <a:endParaRPr lang="en-US"/>
        </a:p>
      </dgm:t>
    </dgm:pt>
    <dgm:pt modelId="{A26D2642-FEAF-492E-9716-307E9FFA81E3}">
      <dgm:prSet phldrT="[Text]"/>
      <dgm:spPr/>
      <dgm:t>
        <a:bodyPr/>
        <a:lstStyle/>
        <a:p>
          <a:r>
            <a:rPr lang="en-US"/>
            <a:t>Knowledge</a:t>
          </a:r>
        </a:p>
      </dgm:t>
    </dgm:pt>
    <dgm:pt modelId="{403E7E47-F643-4AFD-92C0-3EC5EA26B415}" type="parTrans" cxnId="{8704614F-9FD1-48D5-B508-617510D7BC9C}">
      <dgm:prSet/>
      <dgm:spPr/>
      <dgm:t>
        <a:bodyPr/>
        <a:lstStyle/>
        <a:p>
          <a:endParaRPr lang="en-US">
            <a:solidFill>
              <a:schemeClr val="tx1"/>
            </a:solidFill>
          </a:endParaRPr>
        </a:p>
      </dgm:t>
    </dgm:pt>
    <dgm:pt modelId="{9E9DF536-5EB3-46BB-84CF-5E04216EFA5D}" type="sibTrans" cxnId="{8704614F-9FD1-48D5-B508-617510D7BC9C}">
      <dgm:prSet/>
      <dgm:spPr/>
      <dgm:t>
        <a:bodyPr/>
        <a:lstStyle/>
        <a:p>
          <a:endParaRPr lang="en-US">
            <a:solidFill>
              <a:schemeClr val="tx1"/>
            </a:solidFill>
          </a:endParaRPr>
        </a:p>
      </dgm:t>
    </dgm:pt>
    <dgm:pt modelId="{D15F93DA-B733-4CA8-B195-1CBC0DAE97AE}">
      <dgm:prSet phldrT="[Text]"/>
      <dgm:spPr/>
      <dgm:t>
        <a:bodyPr/>
        <a:lstStyle/>
        <a:p>
          <a:r>
            <a:rPr lang="en-US"/>
            <a:t>Comprehension</a:t>
          </a:r>
        </a:p>
      </dgm:t>
    </dgm:pt>
    <dgm:pt modelId="{54B99222-64EC-48A4-A001-0CA8C00A813E}" type="parTrans" cxnId="{75610A5D-C081-4447-AB10-18D1731EE135}">
      <dgm:prSet/>
      <dgm:spPr/>
      <dgm:t>
        <a:bodyPr/>
        <a:lstStyle/>
        <a:p>
          <a:endParaRPr lang="en-US">
            <a:solidFill>
              <a:schemeClr val="tx1"/>
            </a:solidFill>
          </a:endParaRPr>
        </a:p>
      </dgm:t>
    </dgm:pt>
    <dgm:pt modelId="{92CB7573-C7C3-4D77-92E4-958855602AF8}" type="sibTrans" cxnId="{75610A5D-C081-4447-AB10-18D1731EE135}">
      <dgm:prSet/>
      <dgm:spPr/>
      <dgm:t>
        <a:bodyPr/>
        <a:lstStyle/>
        <a:p>
          <a:endParaRPr lang="en-US">
            <a:solidFill>
              <a:schemeClr val="tx1"/>
            </a:solidFill>
          </a:endParaRPr>
        </a:p>
      </dgm:t>
    </dgm:pt>
    <dgm:pt modelId="{241BF10F-9334-4F68-9F59-9BE90720C691}">
      <dgm:prSet phldrT="[Text]"/>
      <dgm:spPr/>
      <dgm:t>
        <a:bodyPr/>
        <a:lstStyle/>
        <a:p>
          <a:r>
            <a:rPr lang="en-US"/>
            <a:t>Application</a:t>
          </a:r>
        </a:p>
      </dgm:t>
    </dgm:pt>
    <dgm:pt modelId="{5B06AD12-0317-45B8-B2C3-9BB3B5B59D14}" type="parTrans" cxnId="{857F6885-0072-4367-B73C-984E7F1D3647}">
      <dgm:prSet/>
      <dgm:spPr/>
      <dgm:t>
        <a:bodyPr/>
        <a:lstStyle/>
        <a:p>
          <a:endParaRPr lang="en-US">
            <a:solidFill>
              <a:schemeClr val="tx1"/>
            </a:solidFill>
          </a:endParaRPr>
        </a:p>
      </dgm:t>
    </dgm:pt>
    <dgm:pt modelId="{D2E3EFEA-CB23-46F0-B3F5-D7E580125F04}" type="sibTrans" cxnId="{857F6885-0072-4367-B73C-984E7F1D3647}">
      <dgm:prSet/>
      <dgm:spPr/>
      <dgm:t>
        <a:bodyPr/>
        <a:lstStyle/>
        <a:p>
          <a:endParaRPr lang="en-US">
            <a:solidFill>
              <a:schemeClr val="tx1"/>
            </a:solidFill>
          </a:endParaRPr>
        </a:p>
      </dgm:t>
    </dgm:pt>
    <dgm:pt modelId="{F5785541-31A1-4719-8E2A-8E5F47DD7DB0}">
      <dgm:prSet phldrT="[Text]"/>
      <dgm:spPr/>
      <dgm:t>
        <a:bodyPr/>
        <a:lstStyle/>
        <a:p>
          <a:r>
            <a:rPr lang="en-US"/>
            <a:t>Analyze</a:t>
          </a:r>
        </a:p>
      </dgm:t>
    </dgm:pt>
    <dgm:pt modelId="{F273ED26-C7AD-4ACD-BCEC-3165AEA8F077}" type="parTrans" cxnId="{9F4A2F29-3B19-4771-BDDC-AD90DCDB2422}">
      <dgm:prSet/>
      <dgm:spPr/>
      <dgm:t>
        <a:bodyPr/>
        <a:lstStyle/>
        <a:p>
          <a:endParaRPr lang="en-US">
            <a:solidFill>
              <a:schemeClr val="tx1"/>
            </a:solidFill>
          </a:endParaRPr>
        </a:p>
      </dgm:t>
    </dgm:pt>
    <dgm:pt modelId="{2ADDC775-EA39-4149-8684-55A845E469BE}" type="sibTrans" cxnId="{9F4A2F29-3B19-4771-BDDC-AD90DCDB2422}">
      <dgm:prSet/>
      <dgm:spPr/>
      <dgm:t>
        <a:bodyPr/>
        <a:lstStyle/>
        <a:p>
          <a:endParaRPr lang="en-US">
            <a:solidFill>
              <a:schemeClr val="tx1"/>
            </a:solidFill>
          </a:endParaRPr>
        </a:p>
      </dgm:t>
    </dgm:pt>
    <dgm:pt modelId="{07050203-8A4A-437D-B0C0-51604FE5A73B}">
      <dgm:prSet phldrT="[Text]"/>
      <dgm:spPr/>
      <dgm:t>
        <a:bodyPr/>
        <a:lstStyle/>
        <a:p>
          <a:r>
            <a:rPr lang="en-US"/>
            <a:t>Synthesis</a:t>
          </a:r>
        </a:p>
      </dgm:t>
    </dgm:pt>
    <dgm:pt modelId="{2E50DF2F-E52D-4667-AD64-10BE45493A60}" type="parTrans" cxnId="{ED4C813F-158D-4D60-92BF-2F3BDF910C27}">
      <dgm:prSet/>
      <dgm:spPr/>
      <dgm:t>
        <a:bodyPr/>
        <a:lstStyle/>
        <a:p>
          <a:endParaRPr lang="en-US">
            <a:solidFill>
              <a:schemeClr val="tx1"/>
            </a:solidFill>
          </a:endParaRPr>
        </a:p>
      </dgm:t>
    </dgm:pt>
    <dgm:pt modelId="{52A8D41C-30EB-4396-9722-C7C3A69EA34E}" type="sibTrans" cxnId="{ED4C813F-158D-4D60-92BF-2F3BDF910C27}">
      <dgm:prSet/>
      <dgm:spPr/>
      <dgm:t>
        <a:bodyPr/>
        <a:lstStyle/>
        <a:p>
          <a:endParaRPr lang="en-US">
            <a:solidFill>
              <a:schemeClr val="tx1"/>
            </a:solidFill>
          </a:endParaRPr>
        </a:p>
      </dgm:t>
    </dgm:pt>
    <dgm:pt modelId="{58E3AC7D-4E22-413E-AB76-D45B349CFB95}">
      <dgm:prSet phldrT="[Text]"/>
      <dgm:spPr/>
      <dgm:t>
        <a:bodyPr/>
        <a:lstStyle/>
        <a:p>
          <a:r>
            <a:rPr lang="en-US"/>
            <a:t>Take Action</a:t>
          </a:r>
        </a:p>
      </dgm:t>
    </dgm:pt>
    <dgm:pt modelId="{2D378ACE-F3D1-477D-A247-6F3EA27D1A4D}" type="parTrans" cxnId="{59E43D9F-0FDD-4804-8FD6-4C0166ABF4C3}">
      <dgm:prSet/>
      <dgm:spPr/>
      <dgm:t>
        <a:bodyPr/>
        <a:lstStyle/>
        <a:p>
          <a:endParaRPr lang="en-US">
            <a:solidFill>
              <a:schemeClr val="tx1"/>
            </a:solidFill>
          </a:endParaRPr>
        </a:p>
      </dgm:t>
    </dgm:pt>
    <dgm:pt modelId="{9CD3828C-85DE-4E02-A414-84201EA7ED86}" type="sibTrans" cxnId="{59E43D9F-0FDD-4804-8FD6-4C0166ABF4C3}">
      <dgm:prSet/>
      <dgm:spPr/>
      <dgm:t>
        <a:bodyPr/>
        <a:lstStyle/>
        <a:p>
          <a:endParaRPr lang="en-US">
            <a:solidFill>
              <a:schemeClr val="tx1"/>
            </a:solidFill>
          </a:endParaRPr>
        </a:p>
      </dgm:t>
    </dgm:pt>
    <dgm:pt modelId="{E217CA4D-4EDC-48C6-A8B6-DC9C9AEBA67D}" type="pres">
      <dgm:prSet presAssocID="{C813C5B2-EDE9-4147-A4D2-0F8B16437E8C}" presName="Name0" presStyleCnt="0">
        <dgm:presLayoutVars>
          <dgm:dir/>
          <dgm:resizeHandles val="exact"/>
        </dgm:presLayoutVars>
      </dgm:prSet>
      <dgm:spPr/>
    </dgm:pt>
    <dgm:pt modelId="{F4B430F3-61C5-4D96-B26F-A31D4C364C0E}" type="pres">
      <dgm:prSet presAssocID="{A26D2642-FEAF-492E-9716-307E9FFA81E3}" presName="node" presStyleLbl="node1" presStyleIdx="0" presStyleCnt="6">
        <dgm:presLayoutVars>
          <dgm:bulletEnabled val="1"/>
        </dgm:presLayoutVars>
      </dgm:prSet>
      <dgm:spPr/>
    </dgm:pt>
    <dgm:pt modelId="{CD2FFB6B-6454-41CE-B41F-FAA536153A2C}" type="pres">
      <dgm:prSet presAssocID="{9E9DF536-5EB3-46BB-84CF-5E04216EFA5D}" presName="sibTrans" presStyleLbl="sibTrans1D1" presStyleIdx="0" presStyleCnt="5"/>
      <dgm:spPr/>
    </dgm:pt>
    <dgm:pt modelId="{7139898C-0554-438C-9D8E-2EE8256DA291}" type="pres">
      <dgm:prSet presAssocID="{9E9DF536-5EB3-46BB-84CF-5E04216EFA5D}" presName="connectorText" presStyleLbl="sibTrans1D1" presStyleIdx="0" presStyleCnt="5"/>
      <dgm:spPr/>
    </dgm:pt>
    <dgm:pt modelId="{C1F2F2C4-C61F-4EBE-A36C-7ADB34E9EB68}" type="pres">
      <dgm:prSet presAssocID="{D15F93DA-B733-4CA8-B195-1CBC0DAE97AE}" presName="node" presStyleLbl="node1" presStyleIdx="1" presStyleCnt="6">
        <dgm:presLayoutVars>
          <dgm:bulletEnabled val="1"/>
        </dgm:presLayoutVars>
      </dgm:prSet>
      <dgm:spPr/>
    </dgm:pt>
    <dgm:pt modelId="{8AE77E75-CB9E-41DA-AAA6-B6C3CE4708A1}" type="pres">
      <dgm:prSet presAssocID="{92CB7573-C7C3-4D77-92E4-958855602AF8}" presName="sibTrans" presStyleLbl="sibTrans1D1" presStyleIdx="1" presStyleCnt="5"/>
      <dgm:spPr/>
    </dgm:pt>
    <dgm:pt modelId="{CC11509B-57D0-4232-8C5A-213A08A6D9F7}" type="pres">
      <dgm:prSet presAssocID="{92CB7573-C7C3-4D77-92E4-958855602AF8}" presName="connectorText" presStyleLbl="sibTrans1D1" presStyleIdx="1" presStyleCnt="5"/>
      <dgm:spPr/>
    </dgm:pt>
    <dgm:pt modelId="{6BCD5158-E404-457C-B298-0E38048706B0}" type="pres">
      <dgm:prSet presAssocID="{241BF10F-9334-4F68-9F59-9BE90720C691}" presName="node" presStyleLbl="node1" presStyleIdx="2" presStyleCnt="6">
        <dgm:presLayoutVars>
          <dgm:bulletEnabled val="1"/>
        </dgm:presLayoutVars>
      </dgm:prSet>
      <dgm:spPr/>
    </dgm:pt>
    <dgm:pt modelId="{1267A877-23D5-46C0-B5B8-F6D5B6D10A3A}" type="pres">
      <dgm:prSet presAssocID="{D2E3EFEA-CB23-46F0-B3F5-D7E580125F04}" presName="sibTrans" presStyleLbl="sibTrans1D1" presStyleIdx="2" presStyleCnt="5"/>
      <dgm:spPr/>
    </dgm:pt>
    <dgm:pt modelId="{792F0E0B-AC4D-487A-BF1B-34F54F6A2B23}" type="pres">
      <dgm:prSet presAssocID="{D2E3EFEA-CB23-46F0-B3F5-D7E580125F04}" presName="connectorText" presStyleLbl="sibTrans1D1" presStyleIdx="2" presStyleCnt="5"/>
      <dgm:spPr/>
    </dgm:pt>
    <dgm:pt modelId="{E3E50150-6BF2-4FA8-927D-B3095D1377EE}" type="pres">
      <dgm:prSet presAssocID="{F5785541-31A1-4719-8E2A-8E5F47DD7DB0}" presName="node" presStyleLbl="node1" presStyleIdx="3" presStyleCnt="6">
        <dgm:presLayoutVars>
          <dgm:bulletEnabled val="1"/>
        </dgm:presLayoutVars>
      </dgm:prSet>
      <dgm:spPr/>
    </dgm:pt>
    <dgm:pt modelId="{4754C808-E3E8-41F4-95D6-14F724BADD98}" type="pres">
      <dgm:prSet presAssocID="{2ADDC775-EA39-4149-8684-55A845E469BE}" presName="sibTrans" presStyleLbl="sibTrans1D1" presStyleIdx="3" presStyleCnt="5"/>
      <dgm:spPr/>
    </dgm:pt>
    <dgm:pt modelId="{13DD4620-DA21-4BA4-9EFF-7FD8C5A3C873}" type="pres">
      <dgm:prSet presAssocID="{2ADDC775-EA39-4149-8684-55A845E469BE}" presName="connectorText" presStyleLbl="sibTrans1D1" presStyleIdx="3" presStyleCnt="5"/>
      <dgm:spPr/>
    </dgm:pt>
    <dgm:pt modelId="{4524C697-CAC5-40CD-A510-50FA3FAB5F49}" type="pres">
      <dgm:prSet presAssocID="{07050203-8A4A-437D-B0C0-51604FE5A73B}" presName="node" presStyleLbl="node1" presStyleIdx="4" presStyleCnt="6">
        <dgm:presLayoutVars>
          <dgm:bulletEnabled val="1"/>
        </dgm:presLayoutVars>
      </dgm:prSet>
      <dgm:spPr/>
    </dgm:pt>
    <dgm:pt modelId="{76A8B1BA-CC49-4C6E-A434-559C3336ED86}" type="pres">
      <dgm:prSet presAssocID="{52A8D41C-30EB-4396-9722-C7C3A69EA34E}" presName="sibTrans" presStyleLbl="sibTrans1D1" presStyleIdx="4" presStyleCnt="5"/>
      <dgm:spPr/>
    </dgm:pt>
    <dgm:pt modelId="{4966FBD4-0960-4B46-A748-844196F6A5AE}" type="pres">
      <dgm:prSet presAssocID="{52A8D41C-30EB-4396-9722-C7C3A69EA34E}" presName="connectorText" presStyleLbl="sibTrans1D1" presStyleIdx="4" presStyleCnt="5"/>
      <dgm:spPr/>
    </dgm:pt>
    <dgm:pt modelId="{556425E3-64CE-40F5-A674-2A4E4E82609C}" type="pres">
      <dgm:prSet presAssocID="{58E3AC7D-4E22-413E-AB76-D45B349CFB95}" presName="node" presStyleLbl="node1" presStyleIdx="5" presStyleCnt="6">
        <dgm:presLayoutVars>
          <dgm:bulletEnabled val="1"/>
        </dgm:presLayoutVars>
      </dgm:prSet>
      <dgm:spPr/>
    </dgm:pt>
  </dgm:ptLst>
  <dgm:cxnLst>
    <dgm:cxn modelId="{F3025816-D0F0-4D9E-AF80-74BF5BE90DF2}" type="presOf" srcId="{52A8D41C-30EB-4396-9722-C7C3A69EA34E}" destId="{76A8B1BA-CC49-4C6E-A434-559C3336ED86}" srcOrd="0" destOrd="0" presId="urn:microsoft.com/office/officeart/2005/8/layout/bProcess3"/>
    <dgm:cxn modelId="{9F4A2F29-3B19-4771-BDDC-AD90DCDB2422}" srcId="{C813C5B2-EDE9-4147-A4D2-0F8B16437E8C}" destId="{F5785541-31A1-4719-8E2A-8E5F47DD7DB0}" srcOrd="3" destOrd="0" parTransId="{F273ED26-C7AD-4ACD-BCEC-3165AEA8F077}" sibTransId="{2ADDC775-EA39-4149-8684-55A845E469BE}"/>
    <dgm:cxn modelId="{CD830E32-FE1B-4822-86DE-26E690E678DF}" type="presOf" srcId="{241BF10F-9334-4F68-9F59-9BE90720C691}" destId="{6BCD5158-E404-457C-B298-0E38048706B0}" srcOrd="0" destOrd="0" presId="urn:microsoft.com/office/officeart/2005/8/layout/bProcess3"/>
    <dgm:cxn modelId="{ED4C813F-158D-4D60-92BF-2F3BDF910C27}" srcId="{C813C5B2-EDE9-4147-A4D2-0F8B16437E8C}" destId="{07050203-8A4A-437D-B0C0-51604FE5A73B}" srcOrd="4" destOrd="0" parTransId="{2E50DF2F-E52D-4667-AD64-10BE45493A60}" sibTransId="{52A8D41C-30EB-4396-9722-C7C3A69EA34E}"/>
    <dgm:cxn modelId="{75610A5D-C081-4447-AB10-18D1731EE135}" srcId="{C813C5B2-EDE9-4147-A4D2-0F8B16437E8C}" destId="{D15F93DA-B733-4CA8-B195-1CBC0DAE97AE}" srcOrd="1" destOrd="0" parTransId="{54B99222-64EC-48A4-A001-0CA8C00A813E}" sibTransId="{92CB7573-C7C3-4D77-92E4-958855602AF8}"/>
    <dgm:cxn modelId="{33D46262-01BB-4DCC-9FF1-167D0814DBCE}" type="presOf" srcId="{D2E3EFEA-CB23-46F0-B3F5-D7E580125F04}" destId="{792F0E0B-AC4D-487A-BF1B-34F54F6A2B23}" srcOrd="1" destOrd="0" presId="urn:microsoft.com/office/officeart/2005/8/layout/bProcess3"/>
    <dgm:cxn modelId="{A6890467-C6C3-4A46-9FE9-BF3DC3A85EB6}" type="presOf" srcId="{52A8D41C-30EB-4396-9722-C7C3A69EA34E}" destId="{4966FBD4-0960-4B46-A748-844196F6A5AE}" srcOrd="1" destOrd="0" presId="urn:microsoft.com/office/officeart/2005/8/layout/bProcess3"/>
    <dgm:cxn modelId="{8F4CEB48-93D3-482B-9A01-0EA050CD31FC}" type="presOf" srcId="{9E9DF536-5EB3-46BB-84CF-5E04216EFA5D}" destId="{CD2FFB6B-6454-41CE-B41F-FAA536153A2C}" srcOrd="0" destOrd="0" presId="urn:microsoft.com/office/officeart/2005/8/layout/bProcess3"/>
    <dgm:cxn modelId="{5979B36A-C97C-4014-A6F8-1AEF66855E0A}" type="presOf" srcId="{C813C5B2-EDE9-4147-A4D2-0F8B16437E8C}" destId="{E217CA4D-4EDC-48C6-A8B6-DC9C9AEBA67D}" srcOrd="0" destOrd="0" presId="urn:microsoft.com/office/officeart/2005/8/layout/bProcess3"/>
    <dgm:cxn modelId="{D7F2696D-97A3-4D9A-BDEE-21D084110F4C}" type="presOf" srcId="{D15F93DA-B733-4CA8-B195-1CBC0DAE97AE}" destId="{C1F2F2C4-C61F-4EBE-A36C-7ADB34E9EB68}" srcOrd="0" destOrd="0" presId="urn:microsoft.com/office/officeart/2005/8/layout/bProcess3"/>
    <dgm:cxn modelId="{9B41EE6D-4A7D-41E9-97D0-4836A94292B9}" type="presOf" srcId="{F5785541-31A1-4719-8E2A-8E5F47DD7DB0}" destId="{E3E50150-6BF2-4FA8-927D-B3095D1377EE}" srcOrd="0" destOrd="0" presId="urn:microsoft.com/office/officeart/2005/8/layout/bProcess3"/>
    <dgm:cxn modelId="{8704614F-9FD1-48D5-B508-617510D7BC9C}" srcId="{C813C5B2-EDE9-4147-A4D2-0F8B16437E8C}" destId="{A26D2642-FEAF-492E-9716-307E9FFA81E3}" srcOrd="0" destOrd="0" parTransId="{403E7E47-F643-4AFD-92C0-3EC5EA26B415}" sibTransId="{9E9DF536-5EB3-46BB-84CF-5E04216EFA5D}"/>
    <dgm:cxn modelId="{3803307D-A8E1-43A5-BCF1-03F8993C9E33}" type="presOf" srcId="{58E3AC7D-4E22-413E-AB76-D45B349CFB95}" destId="{556425E3-64CE-40F5-A674-2A4E4E82609C}" srcOrd="0" destOrd="0" presId="urn:microsoft.com/office/officeart/2005/8/layout/bProcess3"/>
    <dgm:cxn modelId="{857F6885-0072-4367-B73C-984E7F1D3647}" srcId="{C813C5B2-EDE9-4147-A4D2-0F8B16437E8C}" destId="{241BF10F-9334-4F68-9F59-9BE90720C691}" srcOrd="2" destOrd="0" parTransId="{5B06AD12-0317-45B8-B2C3-9BB3B5B59D14}" sibTransId="{D2E3EFEA-CB23-46F0-B3F5-D7E580125F04}"/>
    <dgm:cxn modelId="{A50E288B-4E4F-4FD0-B2BC-9FC29400B974}" type="presOf" srcId="{07050203-8A4A-437D-B0C0-51604FE5A73B}" destId="{4524C697-CAC5-40CD-A510-50FA3FAB5F49}" srcOrd="0" destOrd="0" presId="urn:microsoft.com/office/officeart/2005/8/layout/bProcess3"/>
    <dgm:cxn modelId="{59E43D9F-0FDD-4804-8FD6-4C0166ABF4C3}" srcId="{C813C5B2-EDE9-4147-A4D2-0F8B16437E8C}" destId="{58E3AC7D-4E22-413E-AB76-D45B349CFB95}" srcOrd="5" destOrd="0" parTransId="{2D378ACE-F3D1-477D-A247-6F3EA27D1A4D}" sibTransId="{9CD3828C-85DE-4E02-A414-84201EA7ED86}"/>
    <dgm:cxn modelId="{A91C42B6-4402-474E-BDC2-DCF93C2C2028}" type="presOf" srcId="{92CB7573-C7C3-4D77-92E4-958855602AF8}" destId="{CC11509B-57D0-4232-8C5A-213A08A6D9F7}" srcOrd="1" destOrd="0" presId="urn:microsoft.com/office/officeart/2005/8/layout/bProcess3"/>
    <dgm:cxn modelId="{68403DB7-2BD5-4AFC-B472-E9D8365D6248}" type="presOf" srcId="{92CB7573-C7C3-4D77-92E4-958855602AF8}" destId="{8AE77E75-CB9E-41DA-AAA6-B6C3CE4708A1}" srcOrd="0" destOrd="0" presId="urn:microsoft.com/office/officeart/2005/8/layout/bProcess3"/>
    <dgm:cxn modelId="{9526FBBE-1951-49A4-A7C2-9AE669BDAE51}" type="presOf" srcId="{2ADDC775-EA39-4149-8684-55A845E469BE}" destId="{13DD4620-DA21-4BA4-9EFF-7FD8C5A3C873}" srcOrd="1" destOrd="0" presId="urn:microsoft.com/office/officeart/2005/8/layout/bProcess3"/>
    <dgm:cxn modelId="{E6092FC0-4A9C-433E-9C33-0F5DB7A4DAB2}" type="presOf" srcId="{D2E3EFEA-CB23-46F0-B3F5-D7E580125F04}" destId="{1267A877-23D5-46C0-B5B8-F6D5B6D10A3A}" srcOrd="0" destOrd="0" presId="urn:microsoft.com/office/officeart/2005/8/layout/bProcess3"/>
    <dgm:cxn modelId="{22EE2EC9-7F7E-4615-8A11-EBEF82E03482}" type="presOf" srcId="{A26D2642-FEAF-492E-9716-307E9FFA81E3}" destId="{F4B430F3-61C5-4D96-B26F-A31D4C364C0E}" srcOrd="0" destOrd="0" presId="urn:microsoft.com/office/officeart/2005/8/layout/bProcess3"/>
    <dgm:cxn modelId="{8D88D1E3-1613-4D21-BD68-6AC846B36075}" type="presOf" srcId="{2ADDC775-EA39-4149-8684-55A845E469BE}" destId="{4754C808-E3E8-41F4-95D6-14F724BADD98}" srcOrd="0" destOrd="0" presId="urn:microsoft.com/office/officeart/2005/8/layout/bProcess3"/>
    <dgm:cxn modelId="{36152AFF-5EAF-4B39-BF66-233CC8838E3A}" type="presOf" srcId="{9E9DF536-5EB3-46BB-84CF-5E04216EFA5D}" destId="{7139898C-0554-438C-9D8E-2EE8256DA291}" srcOrd="1" destOrd="0" presId="urn:microsoft.com/office/officeart/2005/8/layout/bProcess3"/>
    <dgm:cxn modelId="{974BC439-B1B8-4845-A636-19A2415F8AE0}" type="presParOf" srcId="{E217CA4D-4EDC-48C6-A8B6-DC9C9AEBA67D}" destId="{F4B430F3-61C5-4D96-B26F-A31D4C364C0E}" srcOrd="0" destOrd="0" presId="urn:microsoft.com/office/officeart/2005/8/layout/bProcess3"/>
    <dgm:cxn modelId="{D707F10D-DA03-4BBA-ABAB-58CFCF184148}" type="presParOf" srcId="{E217CA4D-4EDC-48C6-A8B6-DC9C9AEBA67D}" destId="{CD2FFB6B-6454-41CE-B41F-FAA536153A2C}" srcOrd="1" destOrd="0" presId="urn:microsoft.com/office/officeart/2005/8/layout/bProcess3"/>
    <dgm:cxn modelId="{919E32CD-56A3-44BD-B134-BAAC6552FDAC}" type="presParOf" srcId="{CD2FFB6B-6454-41CE-B41F-FAA536153A2C}" destId="{7139898C-0554-438C-9D8E-2EE8256DA291}" srcOrd="0" destOrd="0" presId="urn:microsoft.com/office/officeart/2005/8/layout/bProcess3"/>
    <dgm:cxn modelId="{18F91DEB-3A96-40FB-922E-5F1CA0A37EA1}" type="presParOf" srcId="{E217CA4D-4EDC-48C6-A8B6-DC9C9AEBA67D}" destId="{C1F2F2C4-C61F-4EBE-A36C-7ADB34E9EB68}" srcOrd="2" destOrd="0" presId="urn:microsoft.com/office/officeart/2005/8/layout/bProcess3"/>
    <dgm:cxn modelId="{95769CFB-6F36-41D0-B9D7-6DDE6A8574B1}" type="presParOf" srcId="{E217CA4D-4EDC-48C6-A8B6-DC9C9AEBA67D}" destId="{8AE77E75-CB9E-41DA-AAA6-B6C3CE4708A1}" srcOrd="3" destOrd="0" presId="urn:microsoft.com/office/officeart/2005/8/layout/bProcess3"/>
    <dgm:cxn modelId="{8134CCA1-3659-491D-AEB3-D252BFD1006D}" type="presParOf" srcId="{8AE77E75-CB9E-41DA-AAA6-B6C3CE4708A1}" destId="{CC11509B-57D0-4232-8C5A-213A08A6D9F7}" srcOrd="0" destOrd="0" presId="urn:microsoft.com/office/officeart/2005/8/layout/bProcess3"/>
    <dgm:cxn modelId="{07ADFE9F-5F91-4C68-BF89-FDF1291661EE}" type="presParOf" srcId="{E217CA4D-4EDC-48C6-A8B6-DC9C9AEBA67D}" destId="{6BCD5158-E404-457C-B298-0E38048706B0}" srcOrd="4" destOrd="0" presId="urn:microsoft.com/office/officeart/2005/8/layout/bProcess3"/>
    <dgm:cxn modelId="{4A27358E-CA4F-4092-8CA3-9BB5F42A8B59}" type="presParOf" srcId="{E217CA4D-4EDC-48C6-A8B6-DC9C9AEBA67D}" destId="{1267A877-23D5-46C0-B5B8-F6D5B6D10A3A}" srcOrd="5" destOrd="0" presId="urn:microsoft.com/office/officeart/2005/8/layout/bProcess3"/>
    <dgm:cxn modelId="{073C7B70-1733-424D-91C9-C4CE6D660D67}" type="presParOf" srcId="{1267A877-23D5-46C0-B5B8-F6D5B6D10A3A}" destId="{792F0E0B-AC4D-487A-BF1B-34F54F6A2B23}" srcOrd="0" destOrd="0" presId="urn:microsoft.com/office/officeart/2005/8/layout/bProcess3"/>
    <dgm:cxn modelId="{8EA14F04-A6AF-4B12-9994-688B7BDE257E}" type="presParOf" srcId="{E217CA4D-4EDC-48C6-A8B6-DC9C9AEBA67D}" destId="{E3E50150-6BF2-4FA8-927D-B3095D1377EE}" srcOrd="6" destOrd="0" presId="urn:microsoft.com/office/officeart/2005/8/layout/bProcess3"/>
    <dgm:cxn modelId="{B715B1E8-9F2E-4470-8CA7-2791923D9B38}" type="presParOf" srcId="{E217CA4D-4EDC-48C6-A8B6-DC9C9AEBA67D}" destId="{4754C808-E3E8-41F4-95D6-14F724BADD98}" srcOrd="7" destOrd="0" presId="urn:microsoft.com/office/officeart/2005/8/layout/bProcess3"/>
    <dgm:cxn modelId="{644472D3-A44B-4ED0-8035-56530CA58796}" type="presParOf" srcId="{4754C808-E3E8-41F4-95D6-14F724BADD98}" destId="{13DD4620-DA21-4BA4-9EFF-7FD8C5A3C873}" srcOrd="0" destOrd="0" presId="urn:microsoft.com/office/officeart/2005/8/layout/bProcess3"/>
    <dgm:cxn modelId="{11057391-39A0-43F7-BF66-29D4B36CF3EE}" type="presParOf" srcId="{E217CA4D-4EDC-48C6-A8B6-DC9C9AEBA67D}" destId="{4524C697-CAC5-40CD-A510-50FA3FAB5F49}" srcOrd="8" destOrd="0" presId="urn:microsoft.com/office/officeart/2005/8/layout/bProcess3"/>
    <dgm:cxn modelId="{2EB04452-1AD6-4A1A-9959-039E3ACB5E33}" type="presParOf" srcId="{E217CA4D-4EDC-48C6-A8B6-DC9C9AEBA67D}" destId="{76A8B1BA-CC49-4C6E-A434-559C3336ED86}" srcOrd="9" destOrd="0" presId="urn:microsoft.com/office/officeart/2005/8/layout/bProcess3"/>
    <dgm:cxn modelId="{721135D6-EFCB-4B09-891E-5DBB4FB88B4F}" type="presParOf" srcId="{76A8B1BA-CC49-4C6E-A434-559C3336ED86}" destId="{4966FBD4-0960-4B46-A748-844196F6A5AE}" srcOrd="0" destOrd="0" presId="urn:microsoft.com/office/officeart/2005/8/layout/bProcess3"/>
    <dgm:cxn modelId="{3FF9AD10-AF8D-4A01-92A0-E917EDB43FA9}" type="presParOf" srcId="{E217CA4D-4EDC-48C6-A8B6-DC9C9AEBA67D}" destId="{556425E3-64CE-40F5-A674-2A4E4E82609C}" srcOrd="10" destOrd="0" presId="urn:microsoft.com/office/officeart/2005/8/layout/b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DD6BD85-81E8-4BEC-B1AE-A0B1D3004665}" type="doc">
      <dgm:prSet loTypeId="urn:microsoft.com/office/officeart/2005/8/layout/hList7" loCatId="relationship" qsTypeId="urn:microsoft.com/office/officeart/2005/8/quickstyle/simple1" qsCatId="simple" csTypeId="urn:microsoft.com/office/officeart/2005/8/colors/colorful4" csCatId="colorful" phldr="1"/>
      <dgm:spPr/>
      <dgm:t>
        <a:bodyPr/>
        <a:lstStyle/>
        <a:p>
          <a:endParaRPr lang="en-US"/>
        </a:p>
      </dgm:t>
    </dgm:pt>
    <dgm:pt modelId="{B6938849-8CA6-4816-9F51-A81D6424139D}">
      <dgm:prSet phldrT="[Text]"/>
      <dgm:spPr/>
      <dgm:t>
        <a:bodyPr/>
        <a:lstStyle/>
        <a:p>
          <a:r>
            <a:rPr lang="en-US" b="1"/>
            <a:t>Positive Outliers</a:t>
          </a:r>
        </a:p>
      </dgm:t>
    </dgm:pt>
    <dgm:pt modelId="{54C3D91C-B33B-4A74-BC2F-D00A765DC81A}" type="parTrans" cxnId="{601A918D-1EB7-42A2-B5FD-845561709B38}">
      <dgm:prSet/>
      <dgm:spPr/>
      <dgm:t>
        <a:bodyPr/>
        <a:lstStyle/>
        <a:p>
          <a:endParaRPr lang="en-US" b="1">
            <a:solidFill>
              <a:sysClr val="windowText" lastClr="000000"/>
            </a:solidFill>
          </a:endParaRPr>
        </a:p>
      </dgm:t>
    </dgm:pt>
    <dgm:pt modelId="{55FE1447-67A7-4402-8081-49F4DA6D83E8}" type="sibTrans" cxnId="{601A918D-1EB7-42A2-B5FD-845561709B38}">
      <dgm:prSet/>
      <dgm:spPr/>
      <dgm:t>
        <a:bodyPr/>
        <a:lstStyle/>
        <a:p>
          <a:endParaRPr lang="en-US" b="1">
            <a:solidFill>
              <a:sysClr val="windowText" lastClr="000000"/>
            </a:solidFill>
          </a:endParaRPr>
        </a:p>
      </dgm:t>
    </dgm:pt>
    <dgm:pt modelId="{7B45DB96-7771-4B6B-9A28-76B0A996B234}">
      <dgm:prSet phldrT="[Text]"/>
      <dgm:spPr/>
      <dgm:t>
        <a:bodyPr/>
        <a:lstStyle/>
        <a:p>
          <a:r>
            <a:rPr lang="en-US" b="1"/>
            <a:t>Negative Outliers</a:t>
          </a:r>
        </a:p>
      </dgm:t>
    </dgm:pt>
    <dgm:pt modelId="{DF347508-EF1F-45AC-9D31-90C5FE53BB91}" type="parTrans" cxnId="{582F4152-E891-4B49-A864-1695214F7EEC}">
      <dgm:prSet/>
      <dgm:spPr/>
      <dgm:t>
        <a:bodyPr/>
        <a:lstStyle/>
        <a:p>
          <a:endParaRPr lang="en-US" b="1">
            <a:solidFill>
              <a:sysClr val="windowText" lastClr="000000"/>
            </a:solidFill>
          </a:endParaRPr>
        </a:p>
      </dgm:t>
    </dgm:pt>
    <dgm:pt modelId="{47539CC5-D2F0-4A82-8158-0A42C0434C50}" type="sibTrans" cxnId="{582F4152-E891-4B49-A864-1695214F7EEC}">
      <dgm:prSet/>
      <dgm:spPr/>
      <dgm:t>
        <a:bodyPr/>
        <a:lstStyle/>
        <a:p>
          <a:endParaRPr lang="en-US" b="1">
            <a:solidFill>
              <a:sysClr val="windowText" lastClr="000000"/>
            </a:solidFill>
          </a:endParaRPr>
        </a:p>
      </dgm:t>
    </dgm:pt>
    <dgm:pt modelId="{086FC1E5-8B5F-4D5A-AE04-02977D9A7F35}" type="pres">
      <dgm:prSet presAssocID="{FDD6BD85-81E8-4BEC-B1AE-A0B1D3004665}" presName="Name0" presStyleCnt="0">
        <dgm:presLayoutVars>
          <dgm:dir/>
          <dgm:resizeHandles val="exact"/>
        </dgm:presLayoutVars>
      </dgm:prSet>
      <dgm:spPr/>
    </dgm:pt>
    <dgm:pt modelId="{2C5DB474-5D44-4879-9BF3-62E43910F8A4}" type="pres">
      <dgm:prSet presAssocID="{FDD6BD85-81E8-4BEC-B1AE-A0B1D3004665}" presName="fgShape" presStyleLbl="fgShp" presStyleIdx="0" presStyleCnt="1"/>
      <dgm:spPr/>
    </dgm:pt>
    <dgm:pt modelId="{6585029C-BB85-48C7-AC8A-E1F897AB3F71}" type="pres">
      <dgm:prSet presAssocID="{FDD6BD85-81E8-4BEC-B1AE-A0B1D3004665}" presName="linComp" presStyleCnt="0"/>
      <dgm:spPr/>
    </dgm:pt>
    <dgm:pt modelId="{8907ADCF-C1BB-4565-B233-2D159E5DE41A}" type="pres">
      <dgm:prSet presAssocID="{B6938849-8CA6-4816-9F51-A81D6424139D}" presName="compNode" presStyleCnt="0"/>
      <dgm:spPr/>
    </dgm:pt>
    <dgm:pt modelId="{11E660B4-4BB5-4614-A447-5DFF94C72E48}" type="pres">
      <dgm:prSet presAssocID="{B6938849-8CA6-4816-9F51-A81D6424139D}" presName="bkgdShape" presStyleLbl="node1" presStyleIdx="0" presStyleCnt="2"/>
      <dgm:spPr/>
    </dgm:pt>
    <dgm:pt modelId="{DDD078E7-EA41-4CD4-9947-7F0E9468E123}" type="pres">
      <dgm:prSet presAssocID="{B6938849-8CA6-4816-9F51-A81D6424139D}" presName="nodeTx" presStyleLbl="node1" presStyleIdx="0" presStyleCnt="2">
        <dgm:presLayoutVars>
          <dgm:bulletEnabled val="1"/>
        </dgm:presLayoutVars>
      </dgm:prSet>
      <dgm:spPr/>
    </dgm:pt>
    <dgm:pt modelId="{0109B08B-E66D-4351-8F0A-16A3CE724286}" type="pres">
      <dgm:prSet presAssocID="{B6938849-8CA6-4816-9F51-A81D6424139D}" presName="invisiNode" presStyleLbl="node1" presStyleIdx="0" presStyleCnt="2"/>
      <dgm:spPr/>
    </dgm:pt>
    <dgm:pt modelId="{223B0655-C73D-462D-9D6A-58AF39C0BC50}" type="pres">
      <dgm:prSet presAssocID="{B6938849-8CA6-4816-9F51-A81D6424139D}" presName="imagNode" presStyleLbl="fgImgPlace1" presStyleIdx="0" presStyleCnt="2" custFlipVert="0" custFlipHor="1" custScaleX="72949" custScaleY="13967"/>
      <dgm:spPr>
        <a:solidFill>
          <a:schemeClr val="accent4"/>
        </a:solidFill>
      </dgm:spPr>
    </dgm:pt>
    <dgm:pt modelId="{CBFD3414-BD46-4FE3-A026-CDE7927A141F}" type="pres">
      <dgm:prSet presAssocID="{55FE1447-67A7-4402-8081-49F4DA6D83E8}" presName="sibTrans" presStyleLbl="sibTrans2D1" presStyleIdx="0" presStyleCnt="0"/>
      <dgm:spPr/>
    </dgm:pt>
    <dgm:pt modelId="{5A81ED9B-93E2-492A-8BFA-92D2312486EF}" type="pres">
      <dgm:prSet presAssocID="{7B45DB96-7771-4B6B-9A28-76B0A996B234}" presName="compNode" presStyleCnt="0"/>
      <dgm:spPr/>
    </dgm:pt>
    <dgm:pt modelId="{0C0B555B-3996-4760-9464-F271C687E934}" type="pres">
      <dgm:prSet presAssocID="{7B45DB96-7771-4B6B-9A28-76B0A996B234}" presName="bkgdShape" presStyleLbl="node1" presStyleIdx="1" presStyleCnt="2"/>
      <dgm:spPr/>
    </dgm:pt>
    <dgm:pt modelId="{40AA2835-A512-4268-9FD8-E51E0F49249C}" type="pres">
      <dgm:prSet presAssocID="{7B45DB96-7771-4B6B-9A28-76B0A996B234}" presName="nodeTx" presStyleLbl="node1" presStyleIdx="1" presStyleCnt="2">
        <dgm:presLayoutVars>
          <dgm:bulletEnabled val="1"/>
        </dgm:presLayoutVars>
      </dgm:prSet>
      <dgm:spPr/>
    </dgm:pt>
    <dgm:pt modelId="{940C9F55-223C-4928-A907-8DA75C625B9D}" type="pres">
      <dgm:prSet presAssocID="{7B45DB96-7771-4B6B-9A28-76B0A996B234}" presName="invisiNode" presStyleLbl="node1" presStyleIdx="1" presStyleCnt="2"/>
      <dgm:spPr/>
    </dgm:pt>
    <dgm:pt modelId="{399677EC-DE48-4BFD-B85C-74A2C1BCC1F1}" type="pres">
      <dgm:prSet presAssocID="{7B45DB96-7771-4B6B-9A28-76B0A996B234}" presName="imagNode" presStyleLbl="fgImgPlace1" presStyleIdx="1" presStyleCnt="2" custFlipVert="0" custFlipHor="1" custScaleX="24064" custScaleY="13967"/>
      <dgm:spPr>
        <a:solidFill>
          <a:schemeClr val="accent1">
            <a:lumMod val="75000"/>
          </a:schemeClr>
        </a:solidFill>
      </dgm:spPr>
    </dgm:pt>
  </dgm:ptLst>
  <dgm:cxnLst>
    <dgm:cxn modelId="{EFBDFC02-FF31-4D14-9135-D668519203B2}" type="presOf" srcId="{7B45DB96-7771-4B6B-9A28-76B0A996B234}" destId="{0C0B555B-3996-4760-9464-F271C687E934}" srcOrd="0" destOrd="0" presId="urn:microsoft.com/office/officeart/2005/8/layout/hList7"/>
    <dgm:cxn modelId="{0E8F965B-397B-434E-955C-391C038BFFA0}" type="presOf" srcId="{55FE1447-67A7-4402-8081-49F4DA6D83E8}" destId="{CBFD3414-BD46-4FE3-A026-CDE7927A141F}" srcOrd="0" destOrd="0" presId="urn:microsoft.com/office/officeart/2005/8/layout/hList7"/>
    <dgm:cxn modelId="{582F4152-E891-4B49-A864-1695214F7EEC}" srcId="{FDD6BD85-81E8-4BEC-B1AE-A0B1D3004665}" destId="{7B45DB96-7771-4B6B-9A28-76B0A996B234}" srcOrd="1" destOrd="0" parTransId="{DF347508-EF1F-45AC-9D31-90C5FE53BB91}" sibTransId="{47539CC5-D2F0-4A82-8158-0A42C0434C50}"/>
    <dgm:cxn modelId="{5F5F007F-F495-4BD4-BDFE-BAC88327697D}" type="presOf" srcId="{B6938849-8CA6-4816-9F51-A81D6424139D}" destId="{11E660B4-4BB5-4614-A447-5DFF94C72E48}" srcOrd="0" destOrd="0" presId="urn:microsoft.com/office/officeart/2005/8/layout/hList7"/>
    <dgm:cxn modelId="{601A918D-1EB7-42A2-B5FD-845561709B38}" srcId="{FDD6BD85-81E8-4BEC-B1AE-A0B1D3004665}" destId="{B6938849-8CA6-4816-9F51-A81D6424139D}" srcOrd="0" destOrd="0" parTransId="{54C3D91C-B33B-4A74-BC2F-D00A765DC81A}" sibTransId="{55FE1447-67A7-4402-8081-49F4DA6D83E8}"/>
    <dgm:cxn modelId="{4B6A77B3-43E0-493C-A3BA-4954197C1F08}" type="presOf" srcId="{B6938849-8CA6-4816-9F51-A81D6424139D}" destId="{DDD078E7-EA41-4CD4-9947-7F0E9468E123}" srcOrd="1" destOrd="0" presId="urn:microsoft.com/office/officeart/2005/8/layout/hList7"/>
    <dgm:cxn modelId="{9A9853BF-91D3-4D09-AC9A-E99F55ED4030}" type="presOf" srcId="{FDD6BD85-81E8-4BEC-B1AE-A0B1D3004665}" destId="{086FC1E5-8B5F-4D5A-AE04-02977D9A7F35}" srcOrd="0" destOrd="0" presId="urn:microsoft.com/office/officeart/2005/8/layout/hList7"/>
    <dgm:cxn modelId="{F36C0CC1-11F1-44CF-97B7-2F2CB4C42873}" type="presOf" srcId="{7B45DB96-7771-4B6B-9A28-76B0A996B234}" destId="{40AA2835-A512-4268-9FD8-E51E0F49249C}" srcOrd="1" destOrd="0" presId="urn:microsoft.com/office/officeart/2005/8/layout/hList7"/>
    <dgm:cxn modelId="{7859A5F4-809E-423D-9613-5CF8FACEEC30}" type="presParOf" srcId="{086FC1E5-8B5F-4D5A-AE04-02977D9A7F35}" destId="{2C5DB474-5D44-4879-9BF3-62E43910F8A4}" srcOrd="0" destOrd="0" presId="urn:microsoft.com/office/officeart/2005/8/layout/hList7"/>
    <dgm:cxn modelId="{B0D2F125-47F7-438C-BC2A-67712AFD4747}" type="presParOf" srcId="{086FC1E5-8B5F-4D5A-AE04-02977D9A7F35}" destId="{6585029C-BB85-48C7-AC8A-E1F897AB3F71}" srcOrd="1" destOrd="0" presId="urn:microsoft.com/office/officeart/2005/8/layout/hList7"/>
    <dgm:cxn modelId="{5375793C-2CA9-4E40-A877-11168984C575}" type="presParOf" srcId="{6585029C-BB85-48C7-AC8A-E1F897AB3F71}" destId="{8907ADCF-C1BB-4565-B233-2D159E5DE41A}" srcOrd="0" destOrd="0" presId="urn:microsoft.com/office/officeart/2005/8/layout/hList7"/>
    <dgm:cxn modelId="{CFB2A073-0330-4AF6-9528-62AF3370E426}" type="presParOf" srcId="{8907ADCF-C1BB-4565-B233-2D159E5DE41A}" destId="{11E660B4-4BB5-4614-A447-5DFF94C72E48}" srcOrd="0" destOrd="0" presId="urn:microsoft.com/office/officeart/2005/8/layout/hList7"/>
    <dgm:cxn modelId="{A9B8A8AB-BA98-42C3-956D-F348060ACBC5}" type="presParOf" srcId="{8907ADCF-C1BB-4565-B233-2D159E5DE41A}" destId="{DDD078E7-EA41-4CD4-9947-7F0E9468E123}" srcOrd="1" destOrd="0" presId="urn:microsoft.com/office/officeart/2005/8/layout/hList7"/>
    <dgm:cxn modelId="{2E6C5A75-BEAB-45FA-9488-B6DA467DE361}" type="presParOf" srcId="{8907ADCF-C1BB-4565-B233-2D159E5DE41A}" destId="{0109B08B-E66D-4351-8F0A-16A3CE724286}" srcOrd="2" destOrd="0" presId="urn:microsoft.com/office/officeart/2005/8/layout/hList7"/>
    <dgm:cxn modelId="{7D15910B-74B6-43BD-8950-756491858552}" type="presParOf" srcId="{8907ADCF-C1BB-4565-B233-2D159E5DE41A}" destId="{223B0655-C73D-462D-9D6A-58AF39C0BC50}" srcOrd="3" destOrd="0" presId="urn:microsoft.com/office/officeart/2005/8/layout/hList7"/>
    <dgm:cxn modelId="{C50137A0-2150-475E-8E17-DDDD1C7AE128}" type="presParOf" srcId="{6585029C-BB85-48C7-AC8A-E1F897AB3F71}" destId="{CBFD3414-BD46-4FE3-A026-CDE7927A141F}" srcOrd="1" destOrd="0" presId="urn:microsoft.com/office/officeart/2005/8/layout/hList7"/>
    <dgm:cxn modelId="{E99399A8-50FD-4BF7-9CEA-0AEA02A94156}" type="presParOf" srcId="{6585029C-BB85-48C7-AC8A-E1F897AB3F71}" destId="{5A81ED9B-93E2-492A-8BFA-92D2312486EF}" srcOrd="2" destOrd="0" presId="urn:microsoft.com/office/officeart/2005/8/layout/hList7"/>
    <dgm:cxn modelId="{792A82A4-986E-4C5B-B2F0-540A9F28281D}" type="presParOf" srcId="{5A81ED9B-93E2-492A-8BFA-92D2312486EF}" destId="{0C0B555B-3996-4760-9464-F271C687E934}" srcOrd="0" destOrd="0" presId="urn:microsoft.com/office/officeart/2005/8/layout/hList7"/>
    <dgm:cxn modelId="{9C58E9C8-93C1-4B22-ADDD-AD03B2565707}" type="presParOf" srcId="{5A81ED9B-93E2-492A-8BFA-92D2312486EF}" destId="{40AA2835-A512-4268-9FD8-E51E0F49249C}" srcOrd="1" destOrd="0" presId="urn:microsoft.com/office/officeart/2005/8/layout/hList7"/>
    <dgm:cxn modelId="{1AA11244-D760-4BF1-8DC7-F89C2F07CB48}" type="presParOf" srcId="{5A81ED9B-93E2-492A-8BFA-92D2312486EF}" destId="{940C9F55-223C-4928-A907-8DA75C625B9D}" srcOrd="2" destOrd="0" presId="urn:microsoft.com/office/officeart/2005/8/layout/hList7"/>
    <dgm:cxn modelId="{27E31EC1-3EF4-470C-B619-10E5E6D5A7BB}" type="presParOf" srcId="{5A81ED9B-93E2-492A-8BFA-92D2312486EF}" destId="{399677EC-DE48-4BFD-B85C-74A2C1BCC1F1}" srcOrd="3" destOrd="0" presId="urn:microsoft.com/office/officeart/2005/8/layout/hList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F7B46B-C0A5-46A2-9420-5ED0B67C9A22}">
      <dsp:nvSpPr>
        <dsp:cNvPr id="0" name=""/>
        <dsp:cNvSpPr/>
      </dsp:nvSpPr>
      <dsp:spPr>
        <a:xfrm>
          <a:off x="1894923" y="901"/>
          <a:ext cx="963127" cy="963127"/>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Problem Identification</a:t>
          </a:r>
        </a:p>
      </dsp:txBody>
      <dsp:txXfrm>
        <a:off x="2035970" y="141948"/>
        <a:ext cx="681033" cy="681033"/>
      </dsp:txXfrm>
    </dsp:sp>
    <dsp:sp modelId="{CEC1A091-45E2-4493-A804-38B3C88167C7}">
      <dsp:nvSpPr>
        <dsp:cNvPr id="0" name=""/>
        <dsp:cNvSpPr/>
      </dsp:nvSpPr>
      <dsp:spPr>
        <a:xfrm rot="2160000">
          <a:off x="2827650" y="740793"/>
          <a:ext cx="256191" cy="325055"/>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solidFill>
              <a:sysClr val="windowText" lastClr="000000"/>
            </a:solidFill>
          </a:endParaRPr>
        </a:p>
      </dsp:txBody>
      <dsp:txXfrm>
        <a:off x="2834989" y="783216"/>
        <a:ext cx="179334" cy="195033"/>
      </dsp:txXfrm>
    </dsp:sp>
    <dsp:sp modelId="{B8BC1F4E-4453-446C-A9B9-86CDDBA39B27}">
      <dsp:nvSpPr>
        <dsp:cNvPr id="0" name=""/>
        <dsp:cNvSpPr/>
      </dsp:nvSpPr>
      <dsp:spPr>
        <a:xfrm>
          <a:off x="3065172" y="851136"/>
          <a:ext cx="963127" cy="963127"/>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Root Cause Identification</a:t>
          </a:r>
        </a:p>
      </dsp:txBody>
      <dsp:txXfrm>
        <a:off x="3206219" y="992183"/>
        <a:ext cx="681033" cy="681033"/>
      </dsp:txXfrm>
    </dsp:sp>
    <dsp:sp modelId="{2B71ED3A-112E-49F2-8F3A-97A9FE0782D8}">
      <dsp:nvSpPr>
        <dsp:cNvPr id="0" name=""/>
        <dsp:cNvSpPr/>
      </dsp:nvSpPr>
      <dsp:spPr>
        <a:xfrm rot="6480000">
          <a:off x="3197383" y="1851131"/>
          <a:ext cx="256191" cy="325055"/>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solidFill>
              <a:sysClr val="windowText" lastClr="000000"/>
            </a:solidFill>
          </a:endParaRPr>
        </a:p>
      </dsp:txBody>
      <dsp:txXfrm rot="10800000">
        <a:off x="3247687" y="1879594"/>
        <a:ext cx="179334" cy="195033"/>
      </dsp:txXfrm>
    </dsp:sp>
    <dsp:sp modelId="{7C779204-B8B7-41DA-A428-A1FBC228F15E}">
      <dsp:nvSpPr>
        <dsp:cNvPr id="0" name=""/>
        <dsp:cNvSpPr/>
      </dsp:nvSpPr>
      <dsp:spPr>
        <a:xfrm>
          <a:off x="2618177" y="2226846"/>
          <a:ext cx="963127" cy="963127"/>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Resolution </a:t>
          </a:r>
          <a:r>
            <a:rPr lang="en-US" sz="800" b="0" kern="1200" cap="none" spc="0">
              <a:ln w="0"/>
              <a:effectLst>
                <a:outerShdw blurRad="38100" dist="19050" dir="2700000" algn="tl" rotWithShape="0">
                  <a:schemeClr val="dk1">
                    <a:alpha val="40000"/>
                  </a:schemeClr>
                </a:outerShdw>
              </a:effectLst>
            </a:rPr>
            <a:t>Planning</a:t>
          </a:r>
          <a:endParaRPr lang="en-US" sz="800" kern="1200"/>
        </a:p>
      </dsp:txBody>
      <dsp:txXfrm>
        <a:off x="2759224" y="2367893"/>
        <a:ext cx="681033" cy="681033"/>
      </dsp:txXfrm>
    </dsp:sp>
    <dsp:sp modelId="{DD26DD46-CA66-4C8C-9AEB-7166780EFEC5}">
      <dsp:nvSpPr>
        <dsp:cNvPr id="0" name=""/>
        <dsp:cNvSpPr/>
      </dsp:nvSpPr>
      <dsp:spPr>
        <a:xfrm rot="10800000">
          <a:off x="2255642" y="2545882"/>
          <a:ext cx="256191" cy="325055"/>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solidFill>
              <a:sysClr val="windowText" lastClr="000000"/>
            </a:solidFill>
          </a:endParaRPr>
        </a:p>
      </dsp:txBody>
      <dsp:txXfrm rot="10800000">
        <a:off x="2332499" y="2610893"/>
        <a:ext cx="179334" cy="195033"/>
      </dsp:txXfrm>
    </dsp:sp>
    <dsp:sp modelId="{E2BB84FB-B85C-437C-9C2B-92F7DE1CF644}">
      <dsp:nvSpPr>
        <dsp:cNvPr id="0" name=""/>
        <dsp:cNvSpPr/>
      </dsp:nvSpPr>
      <dsp:spPr>
        <a:xfrm>
          <a:off x="1171670" y="2226846"/>
          <a:ext cx="963127" cy="963127"/>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Resolution Implementation</a:t>
          </a:r>
        </a:p>
      </dsp:txBody>
      <dsp:txXfrm>
        <a:off x="1312717" y="2367893"/>
        <a:ext cx="681033" cy="681033"/>
      </dsp:txXfrm>
    </dsp:sp>
    <dsp:sp modelId="{CCC96C3F-8820-4A47-BE03-306370ECD515}">
      <dsp:nvSpPr>
        <dsp:cNvPr id="0" name=""/>
        <dsp:cNvSpPr/>
      </dsp:nvSpPr>
      <dsp:spPr>
        <a:xfrm rot="15120000">
          <a:off x="1303881" y="1864923"/>
          <a:ext cx="256191" cy="325055"/>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solidFill>
              <a:sysClr val="windowText" lastClr="000000"/>
            </a:solidFill>
          </a:endParaRPr>
        </a:p>
      </dsp:txBody>
      <dsp:txXfrm rot="10800000">
        <a:off x="1354185" y="1966482"/>
        <a:ext cx="179334" cy="195033"/>
      </dsp:txXfrm>
    </dsp:sp>
    <dsp:sp modelId="{B1ECC5AE-37C7-42A4-A5A2-9EF9D489F437}">
      <dsp:nvSpPr>
        <dsp:cNvPr id="0" name=""/>
        <dsp:cNvSpPr/>
      </dsp:nvSpPr>
      <dsp:spPr>
        <a:xfrm>
          <a:off x="724675" y="851136"/>
          <a:ext cx="963127" cy="963127"/>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Monitoring, Control and Feedbac</a:t>
          </a:r>
          <a:r>
            <a:rPr lang="en-US" sz="700" kern="1200"/>
            <a:t>k </a:t>
          </a:r>
        </a:p>
      </dsp:txBody>
      <dsp:txXfrm>
        <a:off x="865722" y="992183"/>
        <a:ext cx="681033" cy="681033"/>
      </dsp:txXfrm>
    </dsp:sp>
    <dsp:sp modelId="{3FAF0B1B-922B-4221-A598-0952D75F0750}">
      <dsp:nvSpPr>
        <dsp:cNvPr id="0" name=""/>
        <dsp:cNvSpPr/>
      </dsp:nvSpPr>
      <dsp:spPr>
        <a:xfrm rot="19440000">
          <a:off x="1657401" y="749316"/>
          <a:ext cx="256191" cy="325055"/>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solidFill>
              <a:sysClr val="windowText" lastClr="000000"/>
            </a:solidFill>
          </a:endParaRPr>
        </a:p>
      </dsp:txBody>
      <dsp:txXfrm>
        <a:off x="1664740" y="836915"/>
        <a:ext cx="179334" cy="1950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2FFB6B-6454-41CE-B41F-FAA536153A2C}">
      <dsp:nvSpPr>
        <dsp:cNvPr id="0" name=""/>
        <dsp:cNvSpPr/>
      </dsp:nvSpPr>
      <dsp:spPr>
        <a:xfrm>
          <a:off x="1410043" y="252149"/>
          <a:ext cx="197066" cy="91440"/>
        </a:xfrm>
        <a:custGeom>
          <a:avLst/>
          <a:gdLst/>
          <a:ahLst/>
          <a:cxnLst/>
          <a:rect l="0" t="0" r="0" b="0"/>
          <a:pathLst>
            <a:path>
              <a:moveTo>
                <a:pt x="0" y="45720"/>
              </a:moveTo>
              <a:lnTo>
                <a:pt x="19706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endParaRPr>
        </a:p>
      </dsp:txBody>
      <dsp:txXfrm>
        <a:off x="1502885" y="296731"/>
        <a:ext cx="11383" cy="2276"/>
      </dsp:txXfrm>
    </dsp:sp>
    <dsp:sp modelId="{F4B430F3-61C5-4D96-B26F-A31D4C364C0E}">
      <dsp:nvSpPr>
        <dsp:cNvPr id="0" name=""/>
        <dsp:cNvSpPr/>
      </dsp:nvSpPr>
      <dsp:spPr>
        <a:xfrm>
          <a:off x="421988" y="913"/>
          <a:ext cx="989855" cy="59391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Knowledge</a:t>
          </a:r>
        </a:p>
      </dsp:txBody>
      <dsp:txXfrm>
        <a:off x="421988" y="913"/>
        <a:ext cx="989855" cy="593913"/>
      </dsp:txXfrm>
    </dsp:sp>
    <dsp:sp modelId="{8AE77E75-CB9E-41DA-AAA6-B6C3CE4708A1}">
      <dsp:nvSpPr>
        <dsp:cNvPr id="0" name=""/>
        <dsp:cNvSpPr/>
      </dsp:nvSpPr>
      <dsp:spPr>
        <a:xfrm>
          <a:off x="2627566" y="252149"/>
          <a:ext cx="197066" cy="91440"/>
        </a:xfrm>
        <a:custGeom>
          <a:avLst/>
          <a:gdLst/>
          <a:ahLst/>
          <a:cxnLst/>
          <a:rect l="0" t="0" r="0" b="0"/>
          <a:pathLst>
            <a:path>
              <a:moveTo>
                <a:pt x="0" y="45720"/>
              </a:moveTo>
              <a:lnTo>
                <a:pt x="19706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endParaRPr>
        </a:p>
      </dsp:txBody>
      <dsp:txXfrm>
        <a:off x="2720408" y="296731"/>
        <a:ext cx="11383" cy="2276"/>
      </dsp:txXfrm>
    </dsp:sp>
    <dsp:sp modelId="{C1F2F2C4-C61F-4EBE-A36C-7ADB34E9EB68}">
      <dsp:nvSpPr>
        <dsp:cNvPr id="0" name=""/>
        <dsp:cNvSpPr/>
      </dsp:nvSpPr>
      <dsp:spPr>
        <a:xfrm>
          <a:off x="1639510" y="913"/>
          <a:ext cx="989855" cy="59391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Comprehension</a:t>
          </a:r>
        </a:p>
      </dsp:txBody>
      <dsp:txXfrm>
        <a:off x="1639510" y="913"/>
        <a:ext cx="989855" cy="593913"/>
      </dsp:txXfrm>
    </dsp:sp>
    <dsp:sp modelId="{1267A877-23D5-46C0-B5B8-F6D5B6D10A3A}">
      <dsp:nvSpPr>
        <dsp:cNvPr id="0" name=""/>
        <dsp:cNvSpPr/>
      </dsp:nvSpPr>
      <dsp:spPr>
        <a:xfrm>
          <a:off x="3845089" y="252149"/>
          <a:ext cx="197066" cy="91440"/>
        </a:xfrm>
        <a:custGeom>
          <a:avLst/>
          <a:gdLst/>
          <a:ahLst/>
          <a:cxnLst/>
          <a:rect l="0" t="0" r="0" b="0"/>
          <a:pathLst>
            <a:path>
              <a:moveTo>
                <a:pt x="0" y="45720"/>
              </a:moveTo>
              <a:lnTo>
                <a:pt x="19706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endParaRPr>
        </a:p>
      </dsp:txBody>
      <dsp:txXfrm>
        <a:off x="3937931" y="296731"/>
        <a:ext cx="11383" cy="2276"/>
      </dsp:txXfrm>
    </dsp:sp>
    <dsp:sp modelId="{6BCD5158-E404-457C-B298-0E38048706B0}">
      <dsp:nvSpPr>
        <dsp:cNvPr id="0" name=""/>
        <dsp:cNvSpPr/>
      </dsp:nvSpPr>
      <dsp:spPr>
        <a:xfrm>
          <a:off x="2857033" y="913"/>
          <a:ext cx="989855" cy="59391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Application</a:t>
          </a:r>
        </a:p>
      </dsp:txBody>
      <dsp:txXfrm>
        <a:off x="2857033" y="913"/>
        <a:ext cx="989855" cy="593913"/>
      </dsp:txXfrm>
    </dsp:sp>
    <dsp:sp modelId="{4754C808-E3E8-41F4-95D6-14F724BADD98}">
      <dsp:nvSpPr>
        <dsp:cNvPr id="0" name=""/>
        <dsp:cNvSpPr/>
      </dsp:nvSpPr>
      <dsp:spPr>
        <a:xfrm>
          <a:off x="916915" y="593026"/>
          <a:ext cx="3652568" cy="197066"/>
        </a:xfrm>
        <a:custGeom>
          <a:avLst/>
          <a:gdLst/>
          <a:ahLst/>
          <a:cxnLst/>
          <a:rect l="0" t="0" r="0" b="0"/>
          <a:pathLst>
            <a:path>
              <a:moveTo>
                <a:pt x="3652568" y="0"/>
              </a:moveTo>
              <a:lnTo>
                <a:pt x="3652568" y="115633"/>
              </a:lnTo>
              <a:lnTo>
                <a:pt x="0" y="115633"/>
              </a:lnTo>
              <a:lnTo>
                <a:pt x="0" y="197066"/>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endParaRPr>
        </a:p>
      </dsp:txBody>
      <dsp:txXfrm>
        <a:off x="2651708" y="690421"/>
        <a:ext cx="182982" cy="2276"/>
      </dsp:txXfrm>
    </dsp:sp>
    <dsp:sp modelId="{E3E50150-6BF2-4FA8-927D-B3095D1377EE}">
      <dsp:nvSpPr>
        <dsp:cNvPr id="0" name=""/>
        <dsp:cNvSpPr/>
      </dsp:nvSpPr>
      <dsp:spPr>
        <a:xfrm>
          <a:off x="4074556" y="913"/>
          <a:ext cx="989855" cy="59391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Analyze</a:t>
          </a:r>
        </a:p>
      </dsp:txBody>
      <dsp:txXfrm>
        <a:off x="4074556" y="913"/>
        <a:ext cx="989855" cy="593913"/>
      </dsp:txXfrm>
    </dsp:sp>
    <dsp:sp modelId="{76A8B1BA-CC49-4C6E-A434-559C3336ED86}">
      <dsp:nvSpPr>
        <dsp:cNvPr id="0" name=""/>
        <dsp:cNvSpPr/>
      </dsp:nvSpPr>
      <dsp:spPr>
        <a:xfrm>
          <a:off x="1410043" y="1073730"/>
          <a:ext cx="197066" cy="91440"/>
        </a:xfrm>
        <a:custGeom>
          <a:avLst/>
          <a:gdLst/>
          <a:ahLst/>
          <a:cxnLst/>
          <a:rect l="0" t="0" r="0" b="0"/>
          <a:pathLst>
            <a:path>
              <a:moveTo>
                <a:pt x="0" y="45720"/>
              </a:moveTo>
              <a:lnTo>
                <a:pt x="197066"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chemeClr val="tx1"/>
            </a:solidFill>
          </a:endParaRPr>
        </a:p>
      </dsp:txBody>
      <dsp:txXfrm>
        <a:off x="1502885" y="1118311"/>
        <a:ext cx="11383" cy="2276"/>
      </dsp:txXfrm>
    </dsp:sp>
    <dsp:sp modelId="{4524C697-CAC5-40CD-A510-50FA3FAB5F49}">
      <dsp:nvSpPr>
        <dsp:cNvPr id="0" name=""/>
        <dsp:cNvSpPr/>
      </dsp:nvSpPr>
      <dsp:spPr>
        <a:xfrm>
          <a:off x="421988" y="822493"/>
          <a:ext cx="989855" cy="59391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Synthesis</a:t>
          </a:r>
        </a:p>
      </dsp:txBody>
      <dsp:txXfrm>
        <a:off x="421988" y="822493"/>
        <a:ext cx="989855" cy="593913"/>
      </dsp:txXfrm>
    </dsp:sp>
    <dsp:sp modelId="{556425E3-64CE-40F5-A674-2A4E4E82609C}">
      <dsp:nvSpPr>
        <dsp:cNvPr id="0" name=""/>
        <dsp:cNvSpPr/>
      </dsp:nvSpPr>
      <dsp:spPr>
        <a:xfrm>
          <a:off x="1639510" y="822493"/>
          <a:ext cx="989855" cy="593913"/>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Take Action</a:t>
          </a:r>
        </a:p>
      </dsp:txBody>
      <dsp:txXfrm>
        <a:off x="1639510" y="822493"/>
        <a:ext cx="989855" cy="59391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E660B4-4BB5-4614-A447-5DFF94C72E48}">
      <dsp:nvSpPr>
        <dsp:cNvPr id="0" name=""/>
        <dsp:cNvSpPr/>
      </dsp:nvSpPr>
      <dsp:spPr>
        <a:xfrm>
          <a:off x="1254" y="0"/>
          <a:ext cx="1436429" cy="98298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b="1" kern="1200"/>
            <a:t>Positive Outliers</a:t>
          </a:r>
        </a:p>
      </dsp:txBody>
      <dsp:txXfrm>
        <a:off x="1254" y="393192"/>
        <a:ext cx="1436429" cy="393192"/>
      </dsp:txXfrm>
    </dsp:sp>
    <dsp:sp modelId="{223B0655-C73D-462D-9D6A-58AF39C0BC50}">
      <dsp:nvSpPr>
        <dsp:cNvPr id="0" name=""/>
        <dsp:cNvSpPr/>
      </dsp:nvSpPr>
      <dsp:spPr>
        <a:xfrm flipH="1">
          <a:off x="600075" y="199785"/>
          <a:ext cx="238785" cy="45718"/>
        </a:xfrm>
        <a:prstGeom prst="ellipse">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0B555B-3996-4760-9464-F271C687E934}">
      <dsp:nvSpPr>
        <dsp:cNvPr id="0" name=""/>
        <dsp:cNvSpPr/>
      </dsp:nvSpPr>
      <dsp:spPr>
        <a:xfrm>
          <a:off x="1480776" y="0"/>
          <a:ext cx="1436429" cy="982980"/>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b="1" kern="1200"/>
            <a:t>Negative Outliers</a:t>
          </a:r>
        </a:p>
      </dsp:txBody>
      <dsp:txXfrm>
        <a:off x="1480776" y="393192"/>
        <a:ext cx="1436429" cy="393192"/>
      </dsp:txXfrm>
    </dsp:sp>
    <dsp:sp modelId="{399677EC-DE48-4BFD-B85C-74A2C1BCC1F1}">
      <dsp:nvSpPr>
        <dsp:cNvPr id="0" name=""/>
        <dsp:cNvSpPr/>
      </dsp:nvSpPr>
      <dsp:spPr>
        <a:xfrm flipH="1">
          <a:off x="2159606" y="199785"/>
          <a:ext cx="78769" cy="45718"/>
        </a:xfrm>
        <a:prstGeom prst="ellipse">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C5DB474-5D44-4879-9BF3-62E43910F8A4}">
      <dsp:nvSpPr>
        <dsp:cNvPr id="0" name=""/>
        <dsp:cNvSpPr/>
      </dsp:nvSpPr>
      <dsp:spPr>
        <a:xfrm>
          <a:off x="116738" y="786384"/>
          <a:ext cx="2684983" cy="147447"/>
        </a:xfrm>
        <a:prstGeom prst="leftRightArrow">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Fun10</b:Tag>
    <b:SourceType>JournalArticle</b:SourceType>
    <b:Guid>{914215FF-BC20-4A1B-8764-FF5A37E3429D}</b:Guid>
    <b:Author>
      <b:Author>
        <b:NameList>
          <b:Person>
            <b:Last>Funke</b:Last>
            <b:First>J.</b:First>
          </b:Person>
        </b:NameList>
      </b:Author>
    </b:Author>
    <b:Title>Complex problem solving: A case for complex cognition?</b:Title>
    <b:JournalName> Cognitive Processing</b:JournalName>
    <b:Year>2010</b:Year>
    <b:Pages> 133–142</b:Pages>
    <b:Volume>11</b:Volume>
    <b:RefOrder>4</b:RefOrder>
  </b:Source>
  <b:Source>
    <b:Tag>Fun07</b:Tag>
    <b:SourceType>BookSection</b:SourceType>
    <b:Guid>{B61FD36E-678C-4656-A741-92C3671616B2}</b:Guid>
    <b:Author>
      <b:Author>
        <b:NameList>
          <b:Person>
            <b:Last>Funke</b:Last>
            <b:First>J.</b:First>
          </b:Person>
          <b:Person>
            <b:Last>Frensch</b:Last>
            <b:First>P.</b:First>
            <b:Middle>A.</b:Middle>
          </b:Person>
        </b:NameList>
      </b:Author>
    </b:Author>
    <b:Title>Complex problem solving: The European perspective – 10 years after</b:Title>
    <b:JournalName> Learning to</b:JournalName>
    <b:Year>2007</b:Year>
    <b:Pages> 25–47</b:Pages>
    <b:City>New York</b:City>
    <b:Publisher>Lawrence Erlbaum</b:Publisher>
    <b:BookTitle>Learning to Solve Complex Scientific Problems</b:BookTitle>
    <b:RefOrder>1</b:RefOrder>
  </b:Source>
  <b:Source>
    <b:Tag>Kli04</b:Tag>
    <b:SourceType>BookSection</b:SourceType>
    <b:Guid>{B36F4250-6E70-42E4-99DE-C5AF13E194F3}</b:Guid>
    <b:Author>
      <b:Author>
        <b:NameList>
          <b:Person>
            <b:Last>Klieme</b:Last>
            <b:First>E.</b:First>
          </b:Person>
        </b:NameList>
      </b:Author>
    </b:Author>
    <b:Title> Assessment of cross-curricular problem-solving competencies</b:Title>
    <b:BookTitle>Comparing Learning Outcomes.  International Assessment and Education Policy</b:BookTitle>
    <b:Year>2004</b:Year>
    <b:Pages>81–107</b:Pages>
    <b:City>London</b:City>
    <b:Publisher>Routledge Falme</b:Publisher>
    <b:RefOrder>2</b:RefOrder>
  </b:Source>
  <b:Source>
    <b:Tag>Wir04</b:Tag>
    <b:SourceType>JournalArticle</b:SourceType>
    <b:Guid>{B1862ADD-EA76-4B7F-A4BB-F98D5930803C}</b:Guid>
    <b:Author>
      <b:Author>
        <b:NameList>
          <b:Person>
            <b:Last>Wirth</b:Last>
            <b:First>J.</b:First>
          </b:Person>
          <b:Person>
            <b:Last>Klieme</b:Last>
            <b:First>E.</b:First>
          </b:Person>
        </b:NameList>
      </b:Author>
    </b:Author>
    <b:Title>Computer-based assessment of problem solving competence“</b:Title>
    <b:Year>2004</b:Year>
    <b:Pages> 329–345</b:Pages>
    <b:JournalName>Assessment in Education: Principles, Policy and Practice</b:JournalName>
    <b:Volume>10</b:Volume>
    <b:Issue>3</b:Issue>
    <b:RefOrder>3</b:RefOrder>
  </b:Source>
  <b:Source>
    <b:Tag>Bar07</b:Tag>
    <b:SourceType>JournalArticle</b:SourceType>
    <b:Guid>{EF6A63B1-1912-4798-80B6-858E7CA53293}</b:Guid>
    <b:Author>
      <b:Author>
        <b:NameList>
          <b:Person>
            <b:Last>Barak</b:Last>
            <b:First>M.</b:First>
          </b:Person>
          <b:Person>
            <b:Last>Mesika</b:Last>
            <b:First>P.</b:First>
          </b:Person>
        </b:NameList>
      </b:Author>
    </b:Author>
    <b:Title>Teaching methods for inventive problem-solving in junior high school</b:Title>
    <b:JournalName>Thinking Skills and Creativity</b:JournalName>
    <b:Year>2007</b:Year>
    <b:Pages>19–29</b:Pages>
    <b:Volume>2</b:Volume>
    <b:Issue>1</b:Issue>
    <b:RefOrder>5</b:RefOrder>
  </b:Source>
  <b:Source>
    <b:Tag>Atm07</b:Tag>
    <b:SourceType>JournalArticle</b:SourceType>
    <b:Guid>{05968052-53E6-4F95-94BC-5028801DE92A}</b:Guid>
    <b:Author>
      <b:Author>
        <b:NameList>
          <b:Person>
            <b:Last>Atman</b:Last>
            <b:First>C.</b:First>
            <b:Middle>J.</b:Middle>
          </b:Person>
          <b:Person>
            <b:Last>Adams</b:Last>
            <b:First>R.</b:First>
            <b:Middle>S.</b:Middle>
          </b:Person>
          <b:Person>
            <b:Last>Cardella</b:Last>
            <b:First>M.</b:First>
            <b:Middle>E.</b:Middle>
          </b:Person>
          <b:Person>
            <b:Last>Turns</b:Last>
            <b:First>J.</b:First>
          </b:Person>
          <b:Person>
            <b:Last>Mosborg</b:Last>
            <b:First>S.</b:First>
          </b:Person>
          <b:Person>
            <b:Last>Saleem</b:Last>
            <b:First>J.</b:First>
          </b:Person>
        </b:NameList>
      </b:Author>
    </b:Author>
    <b:Title>Engineering design processes: A comparison of students and expert practitioners</b:Title>
    <b:JournalName>Journal of Engineering Education</b:JournalName>
    <b:Year>2007</b:Year>
    <b:Pages>359–379</b:Pages>
    <b:Volume>96</b:Volume>
    <b:Issue>4</b:Issue>
    <b:RefOrder>6</b:RefOrder>
  </b:Source>
  <b:Source>
    <b:Tag>Arr10</b:Tag>
    <b:SourceType>JournalArticle</b:SourceType>
    <b:Guid>{1BDBA27D-6097-4333-A21F-CFC10140A924}</b:Guid>
    <b:Author>
      <b:Author>
        <b:NameList>
          <b:Person>
            <b:Last>Arroio</b:Last>
            <b:First>A.</b:First>
          </b:Person>
        </b:NameList>
      </b:Author>
    </b:Author>
    <b:Title>Context based learning: A role for cinema in science education</b:Title>
    <b:JournalName>Science Education International</b:JournalName>
    <b:Year>2010</b:Year>
    <b:Pages>131–143</b:Pages>
    <b:Volume>21</b:Volume>
    <b:Issue>3</b:Issue>
    <b:RefOrder>7</b:RefOrder>
  </b:Source>
  <b:Source>
    <b:Tag>Ahm03</b:Tag>
    <b:SourceType>JournalArticle</b:SourceType>
    <b:Guid>{9BEA127A-2FE3-4552-A664-FE1031D836EE}</b:Guid>
    <b:Author>
      <b:Author>
        <b:NameList>
          <b:Person>
            <b:Last>Ahmed</b:Last>
            <b:First>S.</b:First>
          </b:Person>
          <b:Person>
            <b:Last>Wallace</b:Last>
            <b:First>K.</b:First>
          </b:Person>
          <b:Person>
            <b:Last>Lucienne</b:Last>
            <b:First>T.</b:First>
          </b:Person>
          <b:Person>
            <b:Last>Blessing</b:Last>
            <b:First>L.</b:First>
          </b:Person>
        </b:NameList>
      </b:Author>
    </b:Author>
    <b:Title>Understanding the differences between how novice and experienced designers approach design tasks</b:Title>
    <b:JournalName>Research in Engineering Design</b:JournalName>
    <b:Year>2003</b:Year>
    <b:Pages>1–11</b:Pages>
    <b:Volume>14</b:Volume>
    <b:RefOrder>8</b:RefOrder>
  </b:Source>
  <b:Source>
    <b:Tag>Con11</b:Tag>
    <b:SourceType>JournalArticle</b:SourceType>
    <b:Guid>{F39F70AB-19E8-470B-9D82-27330F7C3C22}</b:Guid>
    <b:Author>
      <b:Author>
        <b:NameList>
          <b:Person>
            <b:Last>Conley</b:Last>
            <b:First>D.</b:First>
          </b:Person>
        </b:NameList>
      </b:Author>
    </b:Author>
    <b:Title>Building on the common core</b:Title>
    <b:JournalName>Educational Leadership</b:JournalName>
    <b:Year>2011</b:Year>
    <b:Pages>16–20</b:Pages>
    <b:Volume>68</b:Volume>
    <b:Issue>6</b:Issue>
    <b:RefOrder>9</b:RefOrder>
  </b:Source>
  <b:Source>
    <b:Tag>Dix12</b:Tag>
    <b:SourceType>JournalArticle</b:SourceType>
    <b:Guid>{1A59022C-3985-41DC-995A-9DFD63E77093}</b:Guid>
    <b:Author>
      <b:Author>
        <b:NameList>
          <b:Person>
            <b:Last>Dixon</b:Last>
            <b:First>R.</b:First>
            <b:Middle>A.</b:Middle>
          </b:Person>
          <b:Person>
            <b:Last>Brown</b:Last>
            <b:First>R.</b:First>
            <b:Middle>A.</b:Middle>
          </b:Person>
        </b:NameList>
      </b:Author>
    </b:Author>
    <b:Title>Transfer of learning: Connecting concepts during problem solving</b:Title>
    <b:JournalName>Journal of Technology Education</b:JournalName>
    <b:Year>2012</b:Year>
    <b:Pages>2–17</b:Pages>
    <b:Volume>24</b:Volume>
    <b:Issue>1</b:Issue>
    <b:RefOrder>10</b:RefOrder>
  </b:Source>
  <b:Source>
    <b:Tag>Cri12</b:Tag>
    <b:SourceType>JournalArticle</b:SourceType>
    <b:Guid>{0AA46E62-9BC3-4B8D-8778-D53AF281FD23}</b:Guid>
    <b:Author>
      <b:Author>
        <b:NameList>
          <b:Person>
            <b:Last>Crismond</b:Last>
            <b:First>D.</b:First>
            <b:Middle>P.</b:Middle>
          </b:Person>
          <b:Person>
            <b:Last>Adams</b:Last>
            <b:First>R.</b:First>
            <b:Middle>S.</b:Middle>
          </b:Person>
        </b:NameList>
      </b:Author>
    </b:Author>
    <b:Title>The informed design teaching and learning matrix</b:Title>
    <b:JournalName>Journal of Engineering Education</b:JournalName>
    <b:Year>2012</b:Year>
    <b:Pages>738–797</b:Pages>
    <b:Volume>101</b:Volume>
    <b:Issue>4</b:Issue>
    <b:RefOrder>11</b:RefOrder>
  </b:Source>
  <b:Source>
    <b:Tag>Eft04</b:Tag>
    <b:SourceType>JournalArticle</b:SourceType>
    <b:Guid>{18317591-F1B2-4337-806F-4072BFCEF621}</b:Guid>
    <b:Author>
      <b:Author>
        <b:NameList>
          <b:Person>
            <b:Last>Efthimiou</b:Last>
            <b:First>C.</b:First>
          </b:Person>
          <b:Person>
            <b:Last>Llewellyn</b:Last>
            <b:First>R.</b:First>
            <b:Middle>A.</b:Middle>
          </b:Person>
        </b:NameList>
      </b:Author>
    </b:Author>
    <b:Title>Cinema as a tool for science literacy</b:Title>
    <b:JournalName>Physics Education</b:JournalName>
    <b:Year>2004</b:Year>
    <b:Pages>1–13</b:Pages>
    <b:Volume>16</b:Volume>
    <b:Issue>1</b:Issue>
    <b:RefOrder>12</b:RefOrder>
  </b:Source>
  <b:Source>
    <b:Tag>Kel09</b:Tag>
    <b:SourceType>JournalArticle</b:SourceType>
    <b:Guid>{96383239-8530-46A2-8DA4-6BB411D3B400}</b:Guid>
    <b:Author>
      <b:Author>
        <b:NameList>
          <b:Person>
            <b:Last>Kelley</b:Last>
            <b:First>T.</b:First>
          </b:Person>
          <b:Person>
            <b:Last>Kellam</b:Last>
            <b:First>N.</b:First>
          </b:Person>
        </b:NameList>
      </b:Author>
    </b:Author>
    <b:Title>A theoretical framework to guide the re-engineering of technology education</b:Title>
    <b:JournalName>Journal of Technology Education</b:JournalName>
    <b:Year>2009</b:Year>
    <b:Pages>37–49</b:Pages>
    <b:Volume>20</b:Volume>
    <b:Issue>2</b:Issue>
    <b:RefOrder>13</b:RefOrder>
  </b:Source>
</b:Sources>
</file>

<file path=customXml/itemProps1.xml><?xml version="1.0" encoding="utf-8"?>
<ds:datastoreItem xmlns:ds="http://schemas.openxmlformats.org/officeDocument/2006/customXml" ds:itemID="{F2ED6087-A1C3-4DF3-B941-F223E7C73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10</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Romy</dc:creator>
  <cp:keywords/>
  <dc:description/>
  <cp:lastModifiedBy>Turnit Great</cp:lastModifiedBy>
  <cp:revision>15</cp:revision>
  <dcterms:created xsi:type="dcterms:W3CDTF">2018-01-08T15:08:00Z</dcterms:created>
  <dcterms:modified xsi:type="dcterms:W3CDTF">2018-01-09T15:16:00Z</dcterms:modified>
</cp:coreProperties>
</file>