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6D699" w14:textId="5C55BC0A" w:rsidR="007F3E00" w:rsidRPr="00CF657A" w:rsidRDefault="007F3E00"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In order for us to give advice to Ava and Mason about the merits of a negligence claim, we need to consider the problems raised by each scenario in the assignment</w:t>
      </w:r>
      <w:r w:rsidR="00F5737B" w:rsidRPr="00CF657A">
        <w:rPr>
          <w:rFonts w:ascii="Times New Roman" w:hAnsi="Times New Roman" w:cs="Times New Roman"/>
          <w:sz w:val="24"/>
          <w:szCs w:val="24"/>
          <w:lang w:val="en-GB"/>
        </w:rPr>
        <w:t xml:space="preserve">. </w:t>
      </w:r>
    </w:p>
    <w:p w14:paraId="601BB116" w14:textId="77777777" w:rsidR="008F0742" w:rsidRPr="00CF657A" w:rsidRDefault="008F0742" w:rsidP="00B62008">
      <w:pPr>
        <w:spacing w:after="0" w:line="240" w:lineRule="auto"/>
        <w:jc w:val="both"/>
        <w:rPr>
          <w:rFonts w:ascii="Times New Roman" w:hAnsi="Times New Roman" w:cs="Times New Roman"/>
          <w:sz w:val="24"/>
          <w:szCs w:val="24"/>
          <w:lang w:val="en-GB"/>
        </w:rPr>
      </w:pPr>
    </w:p>
    <w:p w14:paraId="0C96EAAE" w14:textId="77777777" w:rsidR="00572B28" w:rsidRPr="00CF657A" w:rsidRDefault="00C600C6"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In the first scenario, Mason is a chef at the Crown Inn, and on a regular day during his shift, he receives numerous orders and is kept fairly busy. As he was working, he inadvertently set fire to his towel since he had placed it in the incorrect location. Mason noticed the fire blanket had been previously used and was no longer in good shape when he reached for it to extinguish the fire. The fire caused a slight burn to Mason's arm.</w:t>
      </w:r>
      <w:r w:rsidR="00027617" w:rsidRPr="00CF657A">
        <w:rPr>
          <w:rFonts w:ascii="Times New Roman" w:hAnsi="Times New Roman" w:cs="Times New Roman"/>
          <w:sz w:val="24"/>
          <w:szCs w:val="24"/>
          <w:lang w:val="en-GB"/>
        </w:rPr>
        <w:t xml:space="preserve"> </w:t>
      </w:r>
    </w:p>
    <w:p w14:paraId="1E2B6ABD" w14:textId="77777777" w:rsidR="00572B28" w:rsidRPr="00CF657A" w:rsidRDefault="00572B28" w:rsidP="00B62008">
      <w:pPr>
        <w:spacing w:after="0" w:line="240" w:lineRule="auto"/>
        <w:jc w:val="both"/>
        <w:rPr>
          <w:rFonts w:ascii="Times New Roman" w:hAnsi="Times New Roman" w:cs="Times New Roman"/>
          <w:sz w:val="24"/>
          <w:szCs w:val="24"/>
          <w:lang w:val="en-GB"/>
        </w:rPr>
      </w:pPr>
    </w:p>
    <w:p w14:paraId="7C99CBE4" w14:textId="14324D4F" w:rsidR="00027617" w:rsidRPr="00CF657A" w:rsidRDefault="00C600C6"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 xml:space="preserve">There was a clear breach of the requirements under the </w:t>
      </w:r>
      <w:r w:rsidRPr="00CF657A">
        <w:rPr>
          <w:rFonts w:ascii="Times New Roman" w:hAnsi="Times New Roman" w:cs="Times New Roman"/>
          <w:sz w:val="24"/>
          <w:szCs w:val="24"/>
          <w:highlight w:val="lightGray"/>
          <w:lang w:val="en-GB"/>
        </w:rPr>
        <w:t xml:space="preserve">Health and Safety at Work </w:t>
      </w:r>
      <w:r w:rsidR="00751117" w:rsidRPr="00CF657A">
        <w:rPr>
          <w:rFonts w:ascii="Times New Roman" w:hAnsi="Times New Roman" w:cs="Times New Roman"/>
          <w:sz w:val="24"/>
          <w:szCs w:val="24"/>
          <w:highlight w:val="lightGray"/>
          <w:lang w:val="en-GB"/>
        </w:rPr>
        <w:t>etc</w:t>
      </w:r>
      <w:r w:rsidR="006A0F99" w:rsidRPr="00CF657A">
        <w:rPr>
          <w:rFonts w:ascii="Times New Roman" w:hAnsi="Times New Roman" w:cs="Times New Roman"/>
          <w:sz w:val="24"/>
          <w:szCs w:val="24"/>
          <w:highlight w:val="lightGray"/>
          <w:lang w:val="en-GB"/>
        </w:rPr>
        <w:t xml:space="preserve">. </w:t>
      </w:r>
      <w:r w:rsidRPr="00CF657A">
        <w:rPr>
          <w:rFonts w:ascii="Times New Roman" w:hAnsi="Times New Roman" w:cs="Times New Roman"/>
          <w:sz w:val="24"/>
          <w:szCs w:val="24"/>
          <w:highlight w:val="lightGray"/>
          <w:lang w:val="en-GB"/>
        </w:rPr>
        <w:t>Act 1974</w:t>
      </w:r>
      <w:r w:rsidRPr="00CF657A">
        <w:rPr>
          <w:rFonts w:ascii="Times New Roman" w:hAnsi="Times New Roman" w:cs="Times New Roman"/>
          <w:sz w:val="24"/>
          <w:szCs w:val="24"/>
          <w:lang w:val="en-GB"/>
        </w:rPr>
        <w:t xml:space="preserve"> (</w:t>
      </w:r>
      <w:r w:rsidR="00B04AE1" w:rsidRPr="00CF657A">
        <w:rPr>
          <w:rFonts w:ascii="Times New Roman" w:hAnsi="Times New Roman" w:cs="Times New Roman"/>
          <w:sz w:val="24"/>
          <w:szCs w:val="24"/>
        </w:rPr>
        <w:t>HASAWA</w:t>
      </w:r>
      <w:r w:rsidRPr="00CF657A">
        <w:rPr>
          <w:rFonts w:ascii="Times New Roman" w:hAnsi="Times New Roman" w:cs="Times New Roman"/>
          <w:sz w:val="24"/>
          <w:szCs w:val="24"/>
          <w:lang w:val="en-GB"/>
        </w:rPr>
        <w:t xml:space="preserve">). The </w:t>
      </w:r>
      <w:r w:rsidR="00B04AE1" w:rsidRPr="00CF657A">
        <w:rPr>
          <w:rFonts w:ascii="Times New Roman" w:hAnsi="Times New Roman" w:cs="Times New Roman"/>
          <w:sz w:val="24"/>
          <w:szCs w:val="24"/>
        </w:rPr>
        <w:t xml:space="preserve">HASAWA </w:t>
      </w:r>
      <w:r w:rsidRPr="00CF657A">
        <w:rPr>
          <w:rFonts w:ascii="Times New Roman" w:hAnsi="Times New Roman" w:cs="Times New Roman"/>
          <w:sz w:val="24"/>
          <w:szCs w:val="24"/>
          <w:lang w:val="en-GB"/>
        </w:rPr>
        <w:t xml:space="preserve">is the legislation which ensures that all workplaces are safe and that employers care about the health of their employees. It concerns the safety and well-being of all employees, whether permanent, temporary, seasonal, or hourly, as well as any people from the general public who may be present. The law requires enterprises to safeguard the safety of their workplaces by preventing accidents and injuries, such as by preventing fires, maintaining clean facilities, disposing of rubbish appropriately, and securing and managing dangerous chemicals. </w:t>
      </w:r>
    </w:p>
    <w:p w14:paraId="4E381D6A" w14:textId="77777777" w:rsidR="00027617" w:rsidRPr="00CF657A" w:rsidRDefault="00027617" w:rsidP="00B62008">
      <w:pPr>
        <w:spacing w:after="0" w:line="240" w:lineRule="auto"/>
        <w:jc w:val="both"/>
        <w:rPr>
          <w:rFonts w:ascii="Times New Roman" w:hAnsi="Times New Roman" w:cs="Times New Roman"/>
          <w:sz w:val="24"/>
          <w:szCs w:val="24"/>
          <w:lang w:val="en-GB"/>
        </w:rPr>
      </w:pPr>
    </w:p>
    <w:p w14:paraId="0264B5C1" w14:textId="23070C69" w:rsidR="00534A57" w:rsidRPr="00CF657A" w:rsidRDefault="0064752D"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Furthermore</w:t>
      </w:r>
      <w:r w:rsidR="00C600C6" w:rsidRPr="00CF657A">
        <w:rPr>
          <w:rFonts w:ascii="Times New Roman" w:hAnsi="Times New Roman" w:cs="Times New Roman"/>
          <w:sz w:val="24"/>
          <w:szCs w:val="24"/>
          <w:lang w:val="en-GB"/>
        </w:rPr>
        <w:t xml:space="preserve">, </w:t>
      </w:r>
      <w:r w:rsidR="00D27C42">
        <w:rPr>
          <w:rFonts w:ascii="Times New Roman" w:hAnsi="Times New Roman" w:cs="Times New Roman"/>
          <w:sz w:val="24"/>
          <w:szCs w:val="24"/>
          <w:lang w:val="en-GB"/>
        </w:rPr>
        <w:t>t</w:t>
      </w:r>
      <w:r w:rsidR="00D27C42" w:rsidRPr="00D27C42">
        <w:rPr>
          <w:rFonts w:ascii="Times New Roman" w:hAnsi="Times New Roman" w:cs="Times New Roman"/>
          <w:sz w:val="24"/>
          <w:szCs w:val="24"/>
          <w:lang w:val="en-GB"/>
        </w:rPr>
        <w:t xml:space="preserve">he </w:t>
      </w:r>
      <w:r w:rsidR="008150D8">
        <w:rPr>
          <w:rFonts w:ascii="Times New Roman" w:hAnsi="Times New Roman" w:cs="Times New Roman"/>
          <w:sz w:val="24"/>
          <w:szCs w:val="24"/>
          <w:lang w:val="en-GB"/>
        </w:rPr>
        <w:t xml:space="preserve">HASAWA </w:t>
      </w:r>
      <w:r w:rsidR="00D27C42" w:rsidRPr="00D27C42">
        <w:rPr>
          <w:rFonts w:ascii="Times New Roman" w:hAnsi="Times New Roman" w:cs="Times New Roman"/>
          <w:sz w:val="24"/>
          <w:szCs w:val="24"/>
          <w:lang w:val="en-GB"/>
        </w:rPr>
        <w:t>requires firms to undertake risk assessments and implement actions to mitigate any identified dangers based on the results</w:t>
      </w:r>
      <w:r w:rsidR="00D27C42" w:rsidRPr="00D27C42">
        <w:rPr>
          <w:rFonts w:ascii="Times New Roman" w:hAnsi="Times New Roman" w:cs="Times New Roman"/>
          <w:sz w:val="24"/>
          <w:szCs w:val="24"/>
          <w:lang w:val="en-GB"/>
        </w:rPr>
        <w:t xml:space="preserve"> </w:t>
      </w:r>
      <w:r w:rsidR="00C600C6" w:rsidRPr="00CF657A">
        <w:rPr>
          <w:rFonts w:ascii="Times New Roman" w:hAnsi="Times New Roman" w:cs="Times New Roman"/>
          <w:sz w:val="24"/>
          <w:szCs w:val="24"/>
          <w:lang w:val="en-GB"/>
        </w:rPr>
        <w:t>This area includes training in manual handling and fire safety, among other issues. Employers are required by law to guarantee the safety and well-being of their employees to the maximum extent possible. Additionally, a certified employee must be selected to oversee health and safety. The individual's primary task would be to guarantee that staff adhere to all health and safety policies. As part of the responsibilities, conducting routine safety inspections, supervising operations, and collaborating with company-recognized safety champions needs to be done</w:t>
      </w:r>
      <w:r w:rsidR="00676AD9" w:rsidRPr="00CF657A">
        <w:rPr>
          <w:rFonts w:ascii="Times New Roman" w:hAnsi="Times New Roman" w:cs="Times New Roman"/>
          <w:sz w:val="24"/>
          <w:szCs w:val="24"/>
          <w:lang w:val="en-GB"/>
        </w:rPr>
        <w:t xml:space="preserve"> </w:t>
      </w:r>
      <w:r w:rsidR="00676AD9" w:rsidRPr="00CF657A">
        <w:rPr>
          <w:rFonts w:ascii="Times New Roman" w:hAnsi="Times New Roman" w:cs="Times New Roman"/>
          <w:sz w:val="24"/>
          <w:szCs w:val="24"/>
          <w:highlight w:val="lightGray"/>
          <w:lang w:val="en-GB"/>
        </w:rPr>
        <w:t>(Selwyn, and Emir, 2012</w:t>
      </w:r>
      <w:r w:rsidR="006947AF" w:rsidRPr="00CF657A">
        <w:rPr>
          <w:rFonts w:ascii="Times New Roman" w:hAnsi="Times New Roman" w:cs="Times New Roman"/>
          <w:sz w:val="24"/>
          <w:szCs w:val="24"/>
          <w:highlight w:val="lightGray"/>
          <w:lang w:val="en-GB"/>
        </w:rPr>
        <w:t>a</w:t>
      </w:r>
      <w:r w:rsidR="00676AD9" w:rsidRPr="00CF657A">
        <w:rPr>
          <w:rFonts w:ascii="Times New Roman" w:hAnsi="Times New Roman" w:cs="Times New Roman"/>
          <w:sz w:val="24"/>
          <w:szCs w:val="24"/>
          <w:highlight w:val="lightGray"/>
          <w:lang w:val="en-GB"/>
        </w:rPr>
        <w:t>, p316-350).</w:t>
      </w:r>
    </w:p>
    <w:p w14:paraId="6D10ACB5" w14:textId="77777777" w:rsidR="00534A57" w:rsidRPr="00CF657A" w:rsidRDefault="00534A57" w:rsidP="00B62008">
      <w:pPr>
        <w:spacing w:after="0" w:line="240" w:lineRule="auto"/>
        <w:jc w:val="both"/>
        <w:rPr>
          <w:rFonts w:ascii="Times New Roman" w:hAnsi="Times New Roman" w:cs="Times New Roman"/>
          <w:sz w:val="24"/>
          <w:szCs w:val="24"/>
          <w:lang w:val="en-GB"/>
        </w:rPr>
      </w:pPr>
    </w:p>
    <w:p w14:paraId="56B21B60" w14:textId="5417EB08" w:rsidR="00BB604D" w:rsidRPr="00CF657A" w:rsidRDefault="00C61863"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Moreover</w:t>
      </w:r>
      <w:r w:rsidR="00C600C6" w:rsidRPr="00CF657A">
        <w:rPr>
          <w:rFonts w:ascii="Times New Roman" w:hAnsi="Times New Roman" w:cs="Times New Roman"/>
          <w:sz w:val="24"/>
          <w:szCs w:val="24"/>
          <w:lang w:val="en-GB"/>
        </w:rPr>
        <w:t xml:space="preserve">, </w:t>
      </w:r>
      <w:r w:rsidR="00C600C6" w:rsidRPr="00CF657A">
        <w:rPr>
          <w:rFonts w:ascii="Times New Roman" w:hAnsi="Times New Roman" w:cs="Times New Roman"/>
          <w:sz w:val="24"/>
          <w:szCs w:val="24"/>
          <w:highlight w:val="lightGray"/>
          <w:lang w:val="en-GB"/>
        </w:rPr>
        <w:t>Management of Health and Safety at Work Regulations (MHSWR) 1999</w:t>
      </w:r>
      <w:r w:rsidR="00C600C6" w:rsidRPr="00CF657A">
        <w:rPr>
          <w:rFonts w:ascii="Times New Roman" w:hAnsi="Times New Roman" w:cs="Times New Roman"/>
          <w:sz w:val="24"/>
          <w:szCs w:val="24"/>
          <w:lang w:val="en-GB"/>
        </w:rPr>
        <w:t xml:space="preserve"> standards were not met. In order to determine what kind of risks exist and how severe they are, businesses are obligated by the MHSWR to undertake risk assessments for their employees and anybody else who might be damaged by their operations. Any significant findings must be documented by businesses with at least five employees. It is the obligation of the employer to adopt safety and health precautions once a risk assessment has been completed. After doing a risk assessment, it is necessary to determine the measures required to address critical and imminent threats. If fire breaks out,</w:t>
      </w:r>
      <w:r w:rsidR="008D443D" w:rsidRPr="00CF657A">
        <w:rPr>
          <w:rFonts w:ascii="Times New Roman" w:hAnsi="Times New Roman" w:cs="Times New Roman"/>
          <w:sz w:val="24"/>
          <w:szCs w:val="24"/>
          <w:lang w:val="en-GB"/>
        </w:rPr>
        <w:t xml:space="preserve"> for example,</w:t>
      </w:r>
      <w:r w:rsidR="00C600C6" w:rsidRPr="00CF657A">
        <w:rPr>
          <w:rFonts w:ascii="Times New Roman" w:hAnsi="Times New Roman" w:cs="Times New Roman"/>
          <w:sz w:val="24"/>
          <w:szCs w:val="24"/>
          <w:lang w:val="en-GB"/>
        </w:rPr>
        <w:t xml:space="preserve"> there needs to be a standard procedure for evacuating the facility. Additionally, it should clarify when and how employees should call for emergency assistance </w:t>
      </w:r>
      <w:r w:rsidR="00C600C6" w:rsidRPr="00CF657A">
        <w:rPr>
          <w:rFonts w:ascii="Times New Roman" w:hAnsi="Times New Roman" w:cs="Times New Roman"/>
          <w:sz w:val="24"/>
          <w:szCs w:val="24"/>
          <w:highlight w:val="lightGray"/>
          <w:lang w:val="en-GB"/>
        </w:rPr>
        <w:t>(</w:t>
      </w:r>
      <w:r w:rsidR="00C94EDD" w:rsidRPr="00CF657A">
        <w:rPr>
          <w:rFonts w:ascii="Times New Roman" w:hAnsi="Times New Roman" w:cs="Times New Roman"/>
          <w:sz w:val="24"/>
          <w:szCs w:val="24"/>
          <w:highlight w:val="lightGray"/>
        </w:rPr>
        <w:t>Health and Safety Executive</w:t>
      </w:r>
      <w:r w:rsidR="001D74B0" w:rsidRPr="00CF657A">
        <w:rPr>
          <w:rFonts w:ascii="Times New Roman" w:hAnsi="Times New Roman" w:cs="Times New Roman"/>
          <w:sz w:val="24"/>
          <w:szCs w:val="24"/>
          <w:highlight w:val="lightGray"/>
          <w:lang w:val="en-GB"/>
        </w:rPr>
        <w:t>, 2002</w:t>
      </w:r>
      <w:r w:rsidR="00C600C6" w:rsidRPr="00CF657A">
        <w:rPr>
          <w:rFonts w:ascii="Times New Roman" w:hAnsi="Times New Roman" w:cs="Times New Roman"/>
          <w:sz w:val="24"/>
          <w:szCs w:val="24"/>
          <w:highlight w:val="lightGray"/>
          <w:lang w:val="en-GB"/>
        </w:rPr>
        <w:t>).</w:t>
      </w:r>
      <w:r w:rsidR="00C600C6" w:rsidRPr="00CF657A">
        <w:rPr>
          <w:rFonts w:ascii="Times New Roman" w:hAnsi="Times New Roman" w:cs="Times New Roman"/>
          <w:sz w:val="24"/>
          <w:szCs w:val="24"/>
          <w:lang w:val="en-GB"/>
        </w:rPr>
        <w:t xml:space="preserve"> </w:t>
      </w:r>
    </w:p>
    <w:p w14:paraId="3533CC36" w14:textId="77777777" w:rsidR="00BB604D" w:rsidRPr="00CF657A" w:rsidRDefault="00BB604D" w:rsidP="00B62008">
      <w:pPr>
        <w:spacing w:after="0" w:line="240" w:lineRule="auto"/>
        <w:jc w:val="both"/>
        <w:rPr>
          <w:rFonts w:ascii="Times New Roman" w:hAnsi="Times New Roman" w:cs="Times New Roman"/>
          <w:sz w:val="24"/>
          <w:szCs w:val="24"/>
          <w:lang w:val="en-GB"/>
        </w:rPr>
      </w:pPr>
    </w:p>
    <w:p w14:paraId="444B78BD" w14:textId="15F2FFA4" w:rsidR="00BB604D" w:rsidRPr="00CF657A" w:rsidRDefault="00C600C6"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highlight w:val="lightGray"/>
          <w:lang w:val="en-GB"/>
        </w:rPr>
        <w:t>The Provision and Use of Work Equipment Regulations (PUWER) of 1998</w:t>
      </w:r>
      <w:r w:rsidRPr="00CF657A">
        <w:rPr>
          <w:rFonts w:ascii="Times New Roman" w:hAnsi="Times New Roman" w:cs="Times New Roman"/>
          <w:sz w:val="24"/>
          <w:szCs w:val="24"/>
          <w:lang w:val="en-GB"/>
        </w:rPr>
        <w:t xml:space="preserve"> stipulate that any equipment used in the workplace must be fit for purpose, free of known hazards, regularly inspected to make sure it remains in well workable condition, and utilised only by persons with suitable knowledge, education, and training, together with appropriate health and safety safeguards such protective equipment and filters. Typical examples comprise of security precautions, urgent shutoffs, separation from power sources, and labels and signage that stand out. For safety, portable tools and power presses must be utilised in a particular </w:t>
      </w:r>
      <w:r w:rsidRPr="00CF657A">
        <w:rPr>
          <w:rFonts w:ascii="Times New Roman" w:hAnsi="Times New Roman" w:cs="Times New Roman"/>
          <w:sz w:val="24"/>
          <w:szCs w:val="24"/>
          <w:highlight w:val="lightGray"/>
          <w:lang w:val="en-GB"/>
        </w:rPr>
        <w:t xml:space="preserve">manner </w:t>
      </w:r>
      <w:r w:rsidR="00521CBB" w:rsidRPr="00CF657A">
        <w:rPr>
          <w:rFonts w:ascii="Times New Roman" w:hAnsi="Times New Roman" w:cs="Times New Roman"/>
          <w:sz w:val="24"/>
          <w:szCs w:val="24"/>
          <w:highlight w:val="lightGray"/>
          <w:lang w:val="en-GB"/>
        </w:rPr>
        <w:t>(</w:t>
      </w:r>
      <w:r w:rsidR="00607007" w:rsidRPr="00CF657A">
        <w:rPr>
          <w:rFonts w:ascii="Times New Roman" w:hAnsi="Times New Roman" w:cs="Times New Roman"/>
          <w:sz w:val="24"/>
          <w:szCs w:val="24"/>
          <w:highlight w:val="lightGray"/>
        </w:rPr>
        <w:t>Health and Safety Executive</w:t>
      </w:r>
      <w:r w:rsidR="00521CBB" w:rsidRPr="00CF657A">
        <w:rPr>
          <w:rFonts w:ascii="Times New Roman" w:hAnsi="Times New Roman" w:cs="Times New Roman"/>
          <w:sz w:val="24"/>
          <w:szCs w:val="24"/>
          <w:highlight w:val="lightGray"/>
        </w:rPr>
        <w:t>, 2008)</w:t>
      </w:r>
      <w:r w:rsidR="000D62AF" w:rsidRPr="00CF657A">
        <w:rPr>
          <w:rFonts w:ascii="Times New Roman" w:hAnsi="Times New Roman" w:cs="Times New Roman"/>
          <w:sz w:val="24"/>
          <w:szCs w:val="24"/>
          <w:highlight w:val="lightGray"/>
        </w:rPr>
        <w:t>.</w:t>
      </w:r>
    </w:p>
    <w:p w14:paraId="72346E2A" w14:textId="77777777" w:rsidR="00BB604D" w:rsidRPr="00CF657A" w:rsidRDefault="00BB604D" w:rsidP="00B62008">
      <w:pPr>
        <w:spacing w:after="0" w:line="240" w:lineRule="auto"/>
        <w:jc w:val="both"/>
        <w:rPr>
          <w:rFonts w:ascii="Times New Roman" w:hAnsi="Times New Roman" w:cs="Times New Roman"/>
          <w:sz w:val="24"/>
          <w:szCs w:val="24"/>
          <w:lang w:val="en-GB"/>
        </w:rPr>
      </w:pPr>
    </w:p>
    <w:p w14:paraId="210BC41E" w14:textId="41259AA8" w:rsidR="00C600C6" w:rsidRPr="00CF657A" w:rsidRDefault="00C600C6"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 xml:space="preserve">According to the </w:t>
      </w:r>
      <w:r w:rsidRPr="00CF657A">
        <w:rPr>
          <w:rFonts w:ascii="Times New Roman" w:hAnsi="Times New Roman" w:cs="Times New Roman"/>
          <w:sz w:val="24"/>
          <w:szCs w:val="24"/>
          <w:highlight w:val="lightGray"/>
          <w:lang w:val="en-GB"/>
        </w:rPr>
        <w:t>Employer's Liability (Defective Equipment) Act 1981</w:t>
      </w:r>
      <w:r w:rsidRPr="00CF657A">
        <w:rPr>
          <w:rFonts w:ascii="Times New Roman" w:hAnsi="Times New Roman" w:cs="Times New Roman"/>
          <w:sz w:val="24"/>
          <w:szCs w:val="24"/>
          <w:lang w:val="en-GB"/>
        </w:rPr>
        <w:t xml:space="preserve">, if a worker sustains serious harm on the job because of a flaw in the tools or machines given by the employer for </w:t>
      </w:r>
      <w:r w:rsidRPr="00CF657A">
        <w:rPr>
          <w:rFonts w:ascii="Times New Roman" w:hAnsi="Times New Roman" w:cs="Times New Roman"/>
          <w:sz w:val="24"/>
          <w:szCs w:val="24"/>
          <w:lang w:val="en-GB"/>
        </w:rPr>
        <w:lastRenderedPageBreak/>
        <w:t>the business and the flaw is ascribable entirely or in part to a third party, the employer's negligence shall also be regarded as ascribable, without regard to contributory negligence</w:t>
      </w:r>
      <w:r w:rsidR="003807FE" w:rsidRPr="00CF657A">
        <w:rPr>
          <w:rFonts w:ascii="Times New Roman" w:hAnsi="Times New Roman" w:cs="Times New Roman"/>
          <w:sz w:val="24"/>
          <w:szCs w:val="24"/>
          <w:lang w:val="en-GB"/>
        </w:rPr>
        <w:t xml:space="preserve">. </w:t>
      </w:r>
      <w:r w:rsidR="00C66FFD" w:rsidRPr="00CF657A">
        <w:rPr>
          <w:rFonts w:ascii="Times New Roman" w:hAnsi="Times New Roman" w:cs="Times New Roman"/>
          <w:sz w:val="24"/>
          <w:szCs w:val="24"/>
          <w:lang w:val="en-GB"/>
        </w:rPr>
        <w:t>Mo</w:t>
      </w:r>
      <w:r w:rsidR="00530F84" w:rsidRPr="00CF657A">
        <w:rPr>
          <w:rFonts w:ascii="Times New Roman" w:hAnsi="Times New Roman" w:cs="Times New Roman"/>
          <w:sz w:val="24"/>
          <w:szCs w:val="24"/>
          <w:lang w:val="en-GB"/>
        </w:rPr>
        <w:t>reover</w:t>
      </w:r>
      <w:r w:rsidR="00C66FFD" w:rsidRPr="00CF657A">
        <w:rPr>
          <w:rFonts w:ascii="Times New Roman" w:hAnsi="Times New Roman" w:cs="Times New Roman"/>
          <w:sz w:val="24"/>
          <w:szCs w:val="24"/>
          <w:lang w:val="en-GB"/>
        </w:rPr>
        <w:t xml:space="preserve">, </w:t>
      </w:r>
      <w:r w:rsidR="00530F84" w:rsidRPr="00CF657A">
        <w:rPr>
          <w:rFonts w:ascii="Times New Roman" w:hAnsi="Times New Roman" w:cs="Times New Roman"/>
          <w:sz w:val="24"/>
          <w:szCs w:val="24"/>
          <w:lang w:val="en-GB"/>
        </w:rPr>
        <w:t>a</w:t>
      </w:r>
      <w:r w:rsidRPr="00CF657A">
        <w:rPr>
          <w:rFonts w:ascii="Times New Roman" w:hAnsi="Times New Roman" w:cs="Times New Roman"/>
          <w:sz w:val="24"/>
          <w:szCs w:val="24"/>
          <w:lang w:val="en-GB"/>
        </w:rPr>
        <w:t>ll these requirements were not fulfilled in this scenario and that is why the injury occurred.</w:t>
      </w:r>
    </w:p>
    <w:p w14:paraId="0119F842" w14:textId="77777777" w:rsidR="008F0742" w:rsidRPr="00CF657A" w:rsidRDefault="008F0742" w:rsidP="00B62008">
      <w:pPr>
        <w:spacing w:after="0" w:line="240" w:lineRule="auto"/>
        <w:jc w:val="both"/>
        <w:rPr>
          <w:rFonts w:ascii="Times New Roman" w:hAnsi="Times New Roman" w:cs="Times New Roman"/>
          <w:sz w:val="24"/>
          <w:szCs w:val="24"/>
          <w:lang w:val="en-GB"/>
        </w:rPr>
      </w:pPr>
    </w:p>
    <w:p w14:paraId="5B780564" w14:textId="6824EB8F" w:rsidR="00C600C6" w:rsidRPr="00CF657A" w:rsidRDefault="008D7ABB"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In</w:t>
      </w:r>
      <w:r w:rsidR="00EB6972" w:rsidRPr="00CF657A">
        <w:rPr>
          <w:rFonts w:ascii="Times New Roman" w:hAnsi="Times New Roman" w:cs="Times New Roman"/>
          <w:sz w:val="24"/>
          <w:szCs w:val="24"/>
          <w:lang w:val="en-GB"/>
        </w:rPr>
        <w:t xml:space="preserve"> the second scenario, </w:t>
      </w:r>
      <w:r w:rsidR="00C600C6" w:rsidRPr="00CF657A">
        <w:rPr>
          <w:rFonts w:ascii="Times New Roman" w:hAnsi="Times New Roman" w:cs="Times New Roman"/>
          <w:sz w:val="24"/>
          <w:szCs w:val="24"/>
          <w:lang w:val="en-GB"/>
        </w:rPr>
        <w:t>Ava was also on duty that day and had just returned to the kitchen to collect new orders after serving two plates of hot meals to the bar's upstairs clients. Jack had already dispatched someone to clean up the mess he had caused by dropping food when Ava descended the stairs. Unfortunately for Ava, the damaged and unrepaired railing on the steps leading to the upper area of the bar caused her to slip and fall, and she was unable to get up. So much so that she fell down the stairs and fractured her collarbone as a result.</w:t>
      </w:r>
      <w:r w:rsidR="00CF1BE3" w:rsidRPr="00CF657A">
        <w:rPr>
          <w:rFonts w:ascii="Times New Roman" w:hAnsi="Times New Roman" w:cs="Times New Roman"/>
          <w:sz w:val="24"/>
          <w:szCs w:val="24"/>
          <w:lang w:val="en-GB"/>
        </w:rPr>
        <w:t xml:space="preserve"> </w:t>
      </w:r>
      <w:r w:rsidR="00C600C6" w:rsidRPr="00CF657A">
        <w:rPr>
          <w:rFonts w:ascii="Times New Roman" w:hAnsi="Times New Roman" w:cs="Times New Roman"/>
          <w:sz w:val="24"/>
          <w:szCs w:val="24"/>
          <w:lang w:val="en-GB"/>
        </w:rPr>
        <w:t xml:space="preserve">There was a clear violation of the </w:t>
      </w:r>
      <w:r w:rsidR="00C600C6" w:rsidRPr="00CF657A">
        <w:rPr>
          <w:rFonts w:ascii="Times New Roman" w:hAnsi="Times New Roman" w:cs="Times New Roman"/>
          <w:sz w:val="24"/>
          <w:szCs w:val="24"/>
          <w:highlight w:val="lightGray"/>
          <w:lang w:val="en-GB"/>
        </w:rPr>
        <w:t>HSWA of 1974</w:t>
      </w:r>
      <w:r w:rsidR="00C600C6" w:rsidRPr="00CF657A">
        <w:rPr>
          <w:rFonts w:ascii="Times New Roman" w:hAnsi="Times New Roman" w:cs="Times New Roman"/>
          <w:sz w:val="24"/>
          <w:szCs w:val="24"/>
          <w:lang w:val="en-GB"/>
        </w:rPr>
        <w:t xml:space="preserve"> because neither a competent person nor a risk assessment was conducted, both of which would have averted the harm. The infringement of the </w:t>
      </w:r>
      <w:r w:rsidR="00C600C6" w:rsidRPr="00CF657A">
        <w:rPr>
          <w:rFonts w:ascii="Times New Roman" w:hAnsi="Times New Roman" w:cs="Times New Roman"/>
          <w:sz w:val="24"/>
          <w:szCs w:val="24"/>
          <w:highlight w:val="lightGray"/>
          <w:lang w:val="en-GB"/>
        </w:rPr>
        <w:t>Management of Health and Safety at Work Regulations 1999</w:t>
      </w:r>
      <w:r w:rsidR="00C600C6" w:rsidRPr="00CF657A">
        <w:rPr>
          <w:rFonts w:ascii="Times New Roman" w:hAnsi="Times New Roman" w:cs="Times New Roman"/>
          <w:sz w:val="24"/>
          <w:szCs w:val="24"/>
          <w:lang w:val="en-GB"/>
        </w:rPr>
        <w:t xml:space="preserve"> was caused by comparable factors. The inadequate guardrail was the cause of Ava's fall and subsequent collarbone fracture.</w:t>
      </w:r>
    </w:p>
    <w:p w14:paraId="524A82D5" w14:textId="77777777" w:rsidR="00401771" w:rsidRPr="00CF657A" w:rsidRDefault="00401771" w:rsidP="00B62008">
      <w:pPr>
        <w:spacing w:after="0" w:line="240" w:lineRule="auto"/>
        <w:jc w:val="both"/>
        <w:rPr>
          <w:rFonts w:ascii="Times New Roman" w:hAnsi="Times New Roman" w:cs="Times New Roman"/>
          <w:sz w:val="24"/>
          <w:szCs w:val="24"/>
          <w:lang w:val="en-GB"/>
        </w:rPr>
      </w:pPr>
    </w:p>
    <w:p w14:paraId="2673B4A8" w14:textId="2D1E372F" w:rsidR="00C600C6" w:rsidRPr="00CF657A" w:rsidRDefault="00C600C6"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 xml:space="preserve">Ava and Mason both work for </w:t>
      </w:r>
      <w:r w:rsidR="00401771" w:rsidRPr="00CF657A">
        <w:rPr>
          <w:rFonts w:ascii="Times New Roman" w:hAnsi="Times New Roman" w:cs="Times New Roman"/>
          <w:sz w:val="24"/>
          <w:szCs w:val="24"/>
          <w:lang w:val="en-GB"/>
        </w:rPr>
        <w:t>a</w:t>
      </w:r>
      <w:r w:rsidRPr="00CF657A">
        <w:rPr>
          <w:rFonts w:ascii="Times New Roman" w:hAnsi="Times New Roman" w:cs="Times New Roman"/>
          <w:sz w:val="24"/>
          <w:szCs w:val="24"/>
          <w:lang w:val="en-GB"/>
        </w:rPr>
        <w:t xml:space="preserve"> company. Employees are workers who have contracts with their employers. Every employer has a legal obligation to provide a safe working environment. The purchase of employer liability insurance is also required. Mason and Ava were entitled to personal attention from the employer. Each corporation has a legal obligation to ensure the safety of its personnel. Employers are responsible for assessing potential dangers to the health and well-being of their workers on the workplace and implementing appropriate solutions </w:t>
      </w:r>
      <w:r w:rsidR="0018668C" w:rsidRPr="00CF657A">
        <w:rPr>
          <w:rFonts w:ascii="Times New Roman" w:hAnsi="Times New Roman" w:cs="Times New Roman"/>
          <w:sz w:val="24"/>
          <w:szCs w:val="24"/>
          <w:highlight w:val="lightGray"/>
          <w:lang w:val="en-GB"/>
        </w:rPr>
        <w:t>(</w:t>
      </w:r>
      <w:r w:rsidR="0018668C" w:rsidRPr="00CF657A">
        <w:rPr>
          <w:rFonts w:ascii="Times New Roman" w:hAnsi="Times New Roman" w:cs="Times New Roman"/>
          <w:sz w:val="24"/>
          <w:szCs w:val="24"/>
          <w:highlight w:val="lightGray"/>
        </w:rPr>
        <w:t>Selwyn and Emir, 2022b</w:t>
      </w:r>
      <w:r w:rsidR="000C51B7" w:rsidRPr="00CF657A">
        <w:rPr>
          <w:rFonts w:ascii="Times New Roman" w:hAnsi="Times New Roman" w:cs="Times New Roman"/>
          <w:sz w:val="24"/>
          <w:szCs w:val="24"/>
          <w:highlight w:val="lightGray"/>
        </w:rPr>
        <w:t>, p.</w:t>
      </w:r>
      <w:r w:rsidR="006272F5" w:rsidRPr="00CF657A">
        <w:rPr>
          <w:rFonts w:ascii="Times New Roman" w:hAnsi="Times New Roman" w:cs="Times New Roman"/>
          <w:sz w:val="24"/>
          <w:szCs w:val="24"/>
          <w:highlight w:val="lightGray"/>
        </w:rPr>
        <w:t>13-113</w:t>
      </w:r>
      <w:r w:rsidR="0018668C" w:rsidRPr="00CF657A">
        <w:rPr>
          <w:rFonts w:ascii="Times New Roman" w:hAnsi="Times New Roman" w:cs="Times New Roman"/>
          <w:sz w:val="24"/>
          <w:szCs w:val="24"/>
          <w:highlight w:val="lightGray"/>
        </w:rPr>
        <w:t>).</w:t>
      </w:r>
      <w:r w:rsidR="0018668C" w:rsidRPr="00CF657A">
        <w:rPr>
          <w:rFonts w:ascii="Times New Roman" w:hAnsi="Times New Roman" w:cs="Times New Roman"/>
          <w:sz w:val="24"/>
          <w:szCs w:val="24"/>
        </w:rPr>
        <w:t xml:space="preserve"> </w:t>
      </w:r>
      <w:r w:rsidRPr="00CF657A">
        <w:rPr>
          <w:rFonts w:ascii="Times New Roman" w:hAnsi="Times New Roman" w:cs="Times New Roman"/>
          <w:sz w:val="24"/>
          <w:szCs w:val="24"/>
          <w:lang w:val="en-GB"/>
        </w:rPr>
        <w:t xml:space="preserve">In tort law, the term "duty of care" refers to the obligation placed on a person to use reasonable caution while engaging in activity that might put the safety of others at risk </w:t>
      </w:r>
      <w:r w:rsidR="00DE2F54" w:rsidRPr="00CF657A">
        <w:rPr>
          <w:rFonts w:ascii="Times New Roman" w:hAnsi="Times New Roman" w:cs="Times New Roman"/>
          <w:sz w:val="24"/>
          <w:szCs w:val="24"/>
          <w:highlight w:val="lightGray"/>
        </w:rPr>
        <w:t>(Colyer, 1966, p.30-44).</w:t>
      </w:r>
      <w:r w:rsidR="00DE2F54" w:rsidRPr="00CF657A">
        <w:rPr>
          <w:rFonts w:ascii="Times New Roman" w:hAnsi="Times New Roman" w:cs="Times New Roman"/>
          <w:sz w:val="24"/>
          <w:szCs w:val="24"/>
        </w:rPr>
        <w:t xml:space="preserve">  </w:t>
      </w:r>
      <w:r w:rsidR="0015344F" w:rsidRPr="00CF657A">
        <w:rPr>
          <w:rFonts w:ascii="Times New Roman" w:hAnsi="Times New Roman" w:cs="Times New Roman"/>
          <w:sz w:val="24"/>
          <w:szCs w:val="24"/>
          <w:lang w:val="en-GB"/>
        </w:rPr>
        <w:t>Therefore, d</w:t>
      </w:r>
      <w:r w:rsidRPr="00CF657A">
        <w:rPr>
          <w:rFonts w:ascii="Times New Roman" w:hAnsi="Times New Roman" w:cs="Times New Roman"/>
          <w:sz w:val="24"/>
          <w:szCs w:val="24"/>
          <w:lang w:val="en-GB"/>
        </w:rPr>
        <w:t>uty of care was owed to Mason and Ava. In both instances, the duty of care was breached since there was no fire blanket and the broken railing was not repaired. All of the harm resulted from these infractions.</w:t>
      </w:r>
    </w:p>
    <w:p w14:paraId="467C6914" w14:textId="77777777" w:rsidR="00401771" w:rsidRPr="00CF657A" w:rsidRDefault="00401771" w:rsidP="00B62008">
      <w:pPr>
        <w:spacing w:after="0" w:line="240" w:lineRule="auto"/>
        <w:jc w:val="both"/>
        <w:rPr>
          <w:rFonts w:ascii="Times New Roman" w:hAnsi="Times New Roman" w:cs="Times New Roman"/>
          <w:sz w:val="24"/>
          <w:szCs w:val="24"/>
          <w:lang w:val="en-GB"/>
        </w:rPr>
      </w:pPr>
    </w:p>
    <w:p w14:paraId="5E535C3F" w14:textId="438E71A8" w:rsidR="002A11A6" w:rsidRPr="00CF657A" w:rsidRDefault="00C600C6"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 xml:space="preserve">Employers are required by common law to ensure the health and wellbeing of their workers, taking into account all relevant variables. The duty of care encompasses the worker's emotional and psychological well. The common law obligation is a personal one that cannot be satisfied by passing responsibility for an employee's health to another employee or an independent contractor </w:t>
      </w:r>
      <w:r w:rsidR="002E742B" w:rsidRPr="00CF657A">
        <w:rPr>
          <w:rFonts w:ascii="Times New Roman" w:hAnsi="Times New Roman" w:cs="Times New Roman"/>
          <w:sz w:val="24"/>
          <w:szCs w:val="24"/>
          <w:highlight w:val="lightGray"/>
          <w:lang w:val="en-GB"/>
        </w:rPr>
        <w:t>(</w:t>
      </w:r>
      <w:r w:rsidR="002E742B" w:rsidRPr="00CF657A">
        <w:rPr>
          <w:rFonts w:ascii="Times New Roman" w:hAnsi="Times New Roman" w:cs="Times New Roman"/>
          <w:sz w:val="24"/>
          <w:szCs w:val="24"/>
          <w:highlight w:val="lightGray"/>
        </w:rPr>
        <w:t>Plunkett, 2018, p.8-18).</w:t>
      </w:r>
      <w:r w:rsidR="002E742B" w:rsidRPr="00CF657A">
        <w:rPr>
          <w:rFonts w:ascii="Times New Roman" w:hAnsi="Times New Roman" w:cs="Times New Roman"/>
          <w:sz w:val="24"/>
          <w:szCs w:val="24"/>
        </w:rPr>
        <w:t xml:space="preserve"> </w:t>
      </w:r>
      <w:r w:rsidRPr="00CF657A">
        <w:rPr>
          <w:rFonts w:ascii="Times New Roman" w:hAnsi="Times New Roman" w:cs="Times New Roman"/>
          <w:sz w:val="24"/>
          <w:szCs w:val="24"/>
          <w:lang w:val="en-GB"/>
        </w:rPr>
        <w:t xml:space="preserve">The Health and Safety at Work Act of 1974, the Management of Health and Safety at Work Regulations of 1999, the Provision and Use of Work Equipment Regulations of 1998, and the Employer's Liability (Defective Equipment) Act of 1969 all outline these obligations in precision. Mason and Ava's common law rights were violated as well as their employer's duty to them were broken. </w:t>
      </w:r>
    </w:p>
    <w:p w14:paraId="05D76E7B" w14:textId="77777777" w:rsidR="00401771" w:rsidRPr="00CF657A" w:rsidRDefault="00401771" w:rsidP="00B62008">
      <w:pPr>
        <w:spacing w:after="0" w:line="240" w:lineRule="auto"/>
        <w:jc w:val="both"/>
        <w:rPr>
          <w:rFonts w:ascii="Times New Roman" w:hAnsi="Times New Roman" w:cs="Times New Roman"/>
          <w:sz w:val="24"/>
          <w:szCs w:val="24"/>
          <w:lang w:val="en-GB"/>
        </w:rPr>
      </w:pPr>
    </w:p>
    <w:p w14:paraId="3FE65704" w14:textId="084E0E58" w:rsidR="00C600C6" w:rsidRPr="00CF657A" w:rsidRDefault="002A11A6" w:rsidP="00B62008">
      <w:pPr>
        <w:spacing w:after="0" w:line="240" w:lineRule="auto"/>
        <w:jc w:val="both"/>
        <w:rPr>
          <w:rFonts w:ascii="Times New Roman" w:hAnsi="Times New Roman" w:cs="Times New Roman"/>
          <w:color w:val="4472C4" w:themeColor="accent1"/>
          <w:sz w:val="24"/>
          <w:szCs w:val="24"/>
          <w:lang w:val="en-GB"/>
        </w:rPr>
      </w:pPr>
      <w:r w:rsidRPr="00CF657A">
        <w:rPr>
          <w:rFonts w:ascii="Times New Roman" w:hAnsi="Times New Roman" w:cs="Times New Roman"/>
          <w:sz w:val="24"/>
          <w:szCs w:val="24"/>
          <w:lang w:val="en-GB"/>
        </w:rPr>
        <w:t>Furthermore, a</w:t>
      </w:r>
      <w:r w:rsidR="00C600C6" w:rsidRPr="00CF657A">
        <w:rPr>
          <w:rFonts w:ascii="Times New Roman" w:hAnsi="Times New Roman" w:cs="Times New Roman"/>
          <w:sz w:val="24"/>
          <w:szCs w:val="24"/>
          <w:lang w:val="en-GB"/>
        </w:rPr>
        <w:t xml:space="preserve">ll personnel should be given training to familiarise themselves with the many hazards that might arise at work. Health and safety training needs might vary widely from one role to the next. Employees also have rights and obligations for the health and safety of themselves and their co-workers. HSE states that employees must protect their health and those of others who may be harmed by their employment. Thus, employers and workers share workplace safety duties. They must collaborate with their company and co-workers to ensure legal compliance and workplace safety. They need to follow health and safety guidelines, attend training, follow safety procedures, report dangers and failures, and be proactive </w:t>
      </w:r>
      <w:r w:rsidR="00C600C6" w:rsidRPr="00CF657A">
        <w:rPr>
          <w:rFonts w:ascii="Times New Roman" w:hAnsi="Times New Roman" w:cs="Times New Roman"/>
          <w:sz w:val="24"/>
          <w:szCs w:val="24"/>
          <w:highlight w:val="lightGray"/>
          <w:lang w:val="en-GB"/>
        </w:rPr>
        <w:t>(British Safety Council, 2022).</w:t>
      </w:r>
    </w:p>
    <w:p w14:paraId="3588F8B2" w14:textId="77777777" w:rsidR="00401771" w:rsidRPr="00CF657A" w:rsidRDefault="00401771" w:rsidP="00B62008">
      <w:pPr>
        <w:spacing w:after="0" w:line="240" w:lineRule="auto"/>
        <w:jc w:val="both"/>
        <w:rPr>
          <w:rFonts w:ascii="Times New Roman" w:hAnsi="Times New Roman" w:cs="Times New Roman"/>
          <w:sz w:val="24"/>
          <w:szCs w:val="24"/>
          <w:lang w:val="en-GB"/>
        </w:rPr>
      </w:pPr>
    </w:p>
    <w:p w14:paraId="02A500F5" w14:textId="76A838BD" w:rsidR="00C600C6" w:rsidRPr="00CF657A" w:rsidRDefault="00C600C6"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 xml:space="preserve">In </w:t>
      </w:r>
      <w:r w:rsidRPr="00CF657A">
        <w:rPr>
          <w:rFonts w:ascii="Times New Roman" w:hAnsi="Times New Roman" w:cs="Times New Roman"/>
          <w:sz w:val="24"/>
          <w:szCs w:val="24"/>
          <w:highlight w:val="lightGray"/>
          <w:lang w:val="en-GB"/>
        </w:rPr>
        <w:t>Ammah v. Kuehne and Nagal Logistics Ltd | [2009] EWCA Civ 11,</w:t>
      </w:r>
      <w:r w:rsidRPr="00CF657A">
        <w:rPr>
          <w:rFonts w:ascii="Times New Roman" w:hAnsi="Times New Roman" w:cs="Times New Roman"/>
          <w:sz w:val="24"/>
          <w:szCs w:val="24"/>
          <w:lang w:val="en-GB"/>
        </w:rPr>
        <w:t xml:space="preserve"> the plaintiff appealed the court's decision to dismiss his claim for damages. While reaching for a pamphlet on a high </w:t>
      </w:r>
      <w:r w:rsidRPr="00CF657A">
        <w:rPr>
          <w:rFonts w:ascii="Times New Roman" w:hAnsi="Times New Roman" w:cs="Times New Roman"/>
          <w:sz w:val="24"/>
          <w:szCs w:val="24"/>
          <w:lang w:val="en-GB"/>
        </w:rPr>
        <w:lastRenderedPageBreak/>
        <w:t>shelf, he injured himself by tripping over an inverted plastic box. The employees were instructed not to stand on these boxes, and a riser was made available. According to his knowledge, he had received no introduction instruction. This time around, the appeal was denied</w:t>
      </w:r>
      <w:r w:rsidR="00EA3345" w:rsidRPr="00CF657A">
        <w:rPr>
          <w:rFonts w:ascii="Times New Roman" w:hAnsi="Times New Roman" w:cs="Times New Roman"/>
          <w:sz w:val="24"/>
          <w:szCs w:val="24"/>
          <w:lang w:val="en-GB"/>
        </w:rPr>
        <w:t>. Furthermore, i</w:t>
      </w:r>
      <w:r w:rsidRPr="00CF657A">
        <w:rPr>
          <w:rFonts w:ascii="Times New Roman" w:hAnsi="Times New Roman" w:cs="Times New Roman"/>
          <w:sz w:val="24"/>
          <w:szCs w:val="24"/>
          <w:lang w:val="en-GB"/>
        </w:rPr>
        <w:t>t was determined that the respondent acted appropriately in providing a safe way of access to the upper shelves. In addition to having the right equipment available, staff were advised not to use boxes as a substitute. It was understood that standing on a box posed some risk, but this risk was lessened by the instructions provided. Workers may have occasionally stood on top of boxes, although this was discouraged. By footing on a box, the plaintiff assumed a risk, and he, not his employer, is solely responsible for the results</w:t>
      </w:r>
      <w:r w:rsidR="00AD273D" w:rsidRPr="00CF657A">
        <w:rPr>
          <w:rFonts w:ascii="Times New Roman" w:hAnsi="Times New Roman" w:cs="Times New Roman"/>
          <w:sz w:val="24"/>
          <w:szCs w:val="24"/>
          <w:lang w:val="en-GB"/>
        </w:rPr>
        <w:t>. Therefore, t</w:t>
      </w:r>
      <w:r w:rsidRPr="00CF657A">
        <w:rPr>
          <w:rFonts w:ascii="Times New Roman" w:hAnsi="Times New Roman" w:cs="Times New Roman"/>
          <w:sz w:val="24"/>
          <w:szCs w:val="24"/>
          <w:lang w:val="en-GB"/>
        </w:rPr>
        <w:t>he claimant cannot be held accountable for the injuries he sustained.</w:t>
      </w:r>
    </w:p>
    <w:p w14:paraId="245FEE1D" w14:textId="77777777" w:rsidR="00C9259A" w:rsidRPr="00CF657A" w:rsidRDefault="00C9259A" w:rsidP="00B62008">
      <w:pPr>
        <w:spacing w:after="0" w:line="240" w:lineRule="auto"/>
        <w:jc w:val="both"/>
        <w:rPr>
          <w:rFonts w:ascii="Times New Roman" w:hAnsi="Times New Roman" w:cs="Times New Roman"/>
          <w:sz w:val="24"/>
          <w:szCs w:val="24"/>
          <w:lang w:val="en-GB"/>
        </w:rPr>
      </w:pPr>
    </w:p>
    <w:p w14:paraId="0F227BF1" w14:textId="78559595" w:rsidR="00C600C6" w:rsidRPr="00CF657A" w:rsidRDefault="006C4EE7"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Moreover, t</w:t>
      </w:r>
      <w:r w:rsidR="00C600C6" w:rsidRPr="00CF657A">
        <w:rPr>
          <w:rFonts w:ascii="Times New Roman" w:hAnsi="Times New Roman" w:cs="Times New Roman"/>
          <w:sz w:val="24"/>
          <w:szCs w:val="24"/>
          <w:lang w:val="en-GB"/>
        </w:rPr>
        <w:t xml:space="preserve">he claimant in the case of </w:t>
      </w:r>
      <w:r w:rsidR="00C600C6" w:rsidRPr="00CF657A">
        <w:rPr>
          <w:rFonts w:ascii="Times New Roman" w:hAnsi="Times New Roman" w:cs="Times New Roman"/>
          <w:sz w:val="24"/>
          <w:szCs w:val="24"/>
          <w:highlight w:val="lightGray"/>
          <w:lang w:val="en-GB"/>
        </w:rPr>
        <w:t>Jebson v. Ministry of Defence [2000] 1 WLR 2055</w:t>
      </w:r>
      <w:r w:rsidR="00C600C6" w:rsidRPr="00CF657A">
        <w:rPr>
          <w:rFonts w:ascii="Times New Roman" w:hAnsi="Times New Roman" w:cs="Times New Roman"/>
          <w:sz w:val="24"/>
          <w:szCs w:val="24"/>
          <w:lang w:val="en-GB"/>
        </w:rPr>
        <w:t xml:space="preserve"> was also an employee of the defendant and a soldier. The claimant's superior organised a night out for the local troops and provided army transportation. The trailer had canvas sidewalls and an open rear. The driver was utterly oblivious to the back. When the soldiers returned to the truck late that night, many of them were intoxicated and there was no officer on duty. Encouraged by his co-workers, the claimant attempted to scale the truck's canvas while returning. Due to the fall, he sustained severe injuries. The defendants were sued by the plaintiff for negligence</w:t>
      </w:r>
      <w:r w:rsidR="00D11AEB" w:rsidRPr="00CF657A">
        <w:rPr>
          <w:rFonts w:ascii="Times New Roman" w:hAnsi="Times New Roman" w:cs="Times New Roman"/>
          <w:sz w:val="24"/>
          <w:szCs w:val="24"/>
          <w:lang w:val="en-GB"/>
        </w:rPr>
        <w:t>.</w:t>
      </w:r>
      <w:r w:rsidR="00C600C6" w:rsidRPr="00CF657A">
        <w:rPr>
          <w:rFonts w:ascii="Times New Roman" w:hAnsi="Times New Roman" w:cs="Times New Roman"/>
          <w:sz w:val="24"/>
          <w:szCs w:val="24"/>
          <w:lang w:val="en-GB"/>
        </w:rPr>
        <w:t xml:space="preserve"> The Appellate Court decided in favour of the plaintiff. In this case, the defendant owed a duty of care to the plaintiff, and the injury was not too far away. When an employer promotes a trip during which employees are likely to drink alcoholic beverages, he or she must provide enough transportation and supervision. </w:t>
      </w:r>
      <w:r w:rsidR="007D4AAD" w:rsidRPr="00CF657A">
        <w:rPr>
          <w:rFonts w:ascii="Times New Roman" w:hAnsi="Times New Roman" w:cs="Times New Roman"/>
          <w:sz w:val="24"/>
          <w:szCs w:val="24"/>
          <w:lang w:val="en-GB"/>
        </w:rPr>
        <w:t>In addi</w:t>
      </w:r>
      <w:r w:rsidR="000C06D5" w:rsidRPr="00CF657A">
        <w:rPr>
          <w:rFonts w:ascii="Times New Roman" w:hAnsi="Times New Roman" w:cs="Times New Roman"/>
          <w:sz w:val="24"/>
          <w:szCs w:val="24"/>
          <w:lang w:val="en-GB"/>
        </w:rPr>
        <w:t>tion, w</w:t>
      </w:r>
      <w:r w:rsidR="00C600C6" w:rsidRPr="00CF657A">
        <w:rPr>
          <w:rFonts w:ascii="Times New Roman" w:hAnsi="Times New Roman" w:cs="Times New Roman"/>
          <w:sz w:val="24"/>
          <w:szCs w:val="24"/>
          <w:lang w:val="en-GB"/>
        </w:rPr>
        <w:t xml:space="preserve">hen analysing whether the damage is foreseeable for the sake of remoteness, the hazard should typically be presented in plain words. Not whether it was predictable that the claimant would attempt to climb on the canvas, but whether it was foreseeable that harm would result from intoxicated and disorderly conduct on the truck. The Court of Appeals maintained the lower court's judgement that seventy-five percent of the claimant's compensations should be deducted due to the plaintiff's contributory negligence after hearing arguments </w:t>
      </w:r>
      <w:r w:rsidR="00613D12" w:rsidRPr="00CF657A">
        <w:rPr>
          <w:rFonts w:ascii="Times New Roman" w:hAnsi="Times New Roman" w:cs="Times New Roman"/>
          <w:sz w:val="24"/>
          <w:szCs w:val="24"/>
          <w:highlight w:val="lightGray"/>
          <w:lang w:val="en-GB"/>
        </w:rPr>
        <w:t>(</w:t>
      </w:r>
      <w:r w:rsidR="00613D12" w:rsidRPr="00CF657A">
        <w:rPr>
          <w:rFonts w:ascii="Times New Roman" w:hAnsi="Times New Roman" w:cs="Times New Roman"/>
          <w:sz w:val="24"/>
          <w:szCs w:val="24"/>
          <w:highlight w:val="lightGray"/>
        </w:rPr>
        <w:t>Brennan, 2022</w:t>
      </w:r>
      <w:r w:rsidR="000F4825" w:rsidRPr="00CF657A">
        <w:rPr>
          <w:rFonts w:ascii="Times New Roman" w:hAnsi="Times New Roman" w:cs="Times New Roman"/>
          <w:sz w:val="24"/>
          <w:szCs w:val="24"/>
          <w:highlight w:val="lightGray"/>
        </w:rPr>
        <w:t>a</w:t>
      </w:r>
      <w:r w:rsidR="00613D12" w:rsidRPr="00CF657A">
        <w:rPr>
          <w:rFonts w:ascii="Times New Roman" w:hAnsi="Times New Roman" w:cs="Times New Roman"/>
          <w:sz w:val="24"/>
          <w:szCs w:val="24"/>
          <w:highlight w:val="lightGray"/>
        </w:rPr>
        <w:t xml:space="preserve">, </w:t>
      </w:r>
      <w:r w:rsidR="0090485E" w:rsidRPr="00CF657A">
        <w:rPr>
          <w:rFonts w:ascii="Times New Roman" w:hAnsi="Times New Roman" w:cs="Times New Roman"/>
          <w:sz w:val="24"/>
          <w:szCs w:val="24"/>
          <w:highlight w:val="lightGray"/>
        </w:rPr>
        <w:t>p.20-210</w:t>
      </w:r>
      <w:r w:rsidR="00613D12" w:rsidRPr="00CF657A">
        <w:rPr>
          <w:rFonts w:ascii="Times New Roman" w:hAnsi="Times New Roman" w:cs="Times New Roman"/>
          <w:sz w:val="24"/>
          <w:szCs w:val="24"/>
          <w:highlight w:val="lightGray"/>
        </w:rPr>
        <w:t>)</w:t>
      </w:r>
      <w:r w:rsidR="0090485E" w:rsidRPr="00CF657A">
        <w:rPr>
          <w:rFonts w:ascii="Times New Roman" w:hAnsi="Times New Roman" w:cs="Times New Roman"/>
          <w:sz w:val="24"/>
          <w:szCs w:val="24"/>
          <w:highlight w:val="lightGray"/>
        </w:rPr>
        <w:t>.</w:t>
      </w:r>
    </w:p>
    <w:p w14:paraId="253B22DB" w14:textId="77777777" w:rsidR="0008228E" w:rsidRPr="00CF657A" w:rsidRDefault="0008228E" w:rsidP="00B62008">
      <w:pPr>
        <w:spacing w:after="0" w:line="240" w:lineRule="auto"/>
        <w:jc w:val="both"/>
        <w:rPr>
          <w:rFonts w:ascii="Times New Roman" w:hAnsi="Times New Roman" w:cs="Times New Roman"/>
          <w:sz w:val="24"/>
          <w:szCs w:val="24"/>
          <w:lang w:val="en-GB"/>
        </w:rPr>
      </w:pPr>
    </w:p>
    <w:p w14:paraId="2045A872" w14:textId="77777777" w:rsidR="00855A8C" w:rsidRDefault="004B6407" w:rsidP="00272C12">
      <w:pPr>
        <w:pStyle w:val="NormalWeb"/>
        <w:spacing w:before="0" w:beforeAutospacing="0" w:after="0" w:afterAutospacing="0"/>
        <w:jc w:val="both"/>
        <w:rPr>
          <w:color w:val="4472C4" w:themeColor="accent1"/>
        </w:rPr>
      </w:pPr>
      <w:r w:rsidRPr="00CF657A">
        <w:t xml:space="preserve">In </w:t>
      </w:r>
      <w:r w:rsidRPr="00CF657A">
        <w:rPr>
          <w:highlight w:val="lightGray"/>
        </w:rPr>
        <w:t>Wilsons &amp; Clyde Co Ltd v. English [1938] AC 57</w:t>
      </w:r>
      <w:r w:rsidRPr="00CF657A">
        <w:t>, Mr. English worked for the defendants.</w:t>
      </w:r>
      <w:r w:rsidR="00F424E2" w:rsidRPr="00CF657A">
        <w:t xml:space="preserve"> </w:t>
      </w:r>
      <w:r w:rsidR="00C600C6" w:rsidRPr="00CF657A">
        <w:t xml:space="preserve">He repaired a ventilation duct on the Mine Jigger Brae haulage system. He entered the mine's abyss before haulage began. He got caught in a manhole and crushed by machinery. </w:t>
      </w:r>
      <w:r w:rsidR="00216389" w:rsidRPr="00CF657A">
        <w:t xml:space="preserve">In this case </w:t>
      </w:r>
      <w:r w:rsidR="00C600C6" w:rsidRPr="00CF657A">
        <w:t>the defendants and Mr. English's employer, claimed that Mr. English's death was due to his carelessness</w:t>
      </w:r>
      <w:r w:rsidR="00753893" w:rsidRPr="00CF657A">
        <w:t xml:space="preserve">. </w:t>
      </w:r>
      <w:r w:rsidR="00216389" w:rsidRPr="00CF657A">
        <w:t xml:space="preserve">They claim that </w:t>
      </w:r>
      <w:r w:rsidR="00C600C6" w:rsidRPr="00CF657A">
        <w:t xml:space="preserve">he could have taken a different route or informed the machinery operator to halt it. The defendants had entrusted an experienced employee to set up a safe working procedure for the site and had made reasonable attempts to do so. Thus, they were found not liable. The complaint questioned whether employers have a non-delegable duty to protect employee health and safety </w:t>
      </w:r>
      <w:r w:rsidR="00613850" w:rsidRPr="00CF657A">
        <w:rPr>
          <w:highlight w:val="lightGray"/>
        </w:rPr>
        <w:t>(Brennan, 2022</w:t>
      </w:r>
      <w:r w:rsidR="000F4825" w:rsidRPr="00CF657A">
        <w:rPr>
          <w:highlight w:val="lightGray"/>
        </w:rPr>
        <w:t>b</w:t>
      </w:r>
      <w:r w:rsidR="00613850" w:rsidRPr="00CF657A">
        <w:rPr>
          <w:highlight w:val="lightGray"/>
        </w:rPr>
        <w:t>, p.20</w:t>
      </w:r>
      <w:r w:rsidR="009C2177" w:rsidRPr="00CF657A">
        <w:rPr>
          <w:highlight w:val="lightGray"/>
        </w:rPr>
        <w:t>6</w:t>
      </w:r>
      <w:r w:rsidR="00CA6336" w:rsidRPr="00CF657A">
        <w:rPr>
          <w:highlight w:val="lightGray"/>
        </w:rPr>
        <w:t>).</w:t>
      </w:r>
      <w:r w:rsidR="00CA6336" w:rsidRPr="00CF657A">
        <w:t xml:space="preserve"> The</w:t>
      </w:r>
      <w:r w:rsidR="00C600C6" w:rsidRPr="00CF657A">
        <w:t xml:space="preserve"> House of Lords ruled that Wilsons &amp; Clyde Co Ltd had an obligation to provide a safe workplace and could not delegate this responsibility to another worker. Thus, defendants are vicariously liable for others' negligence and must ensure employee safety. This task requires sufficient supplies, qualified employees, and good management</w:t>
      </w:r>
      <w:r w:rsidR="002D5249" w:rsidRPr="00CF657A">
        <w:t xml:space="preserve">. </w:t>
      </w:r>
      <w:r w:rsidR="00C600C6" w:rsidRPr="00CF657A">
        <w:t xml:space="preserve">The defendants had to pay the complainant. </w:t>
      </w:r>
      <w:r w:rsidR="000464AB" w:rsidRPr="00CF657A">
        <w:t>Therefore</w:t>
      </w:r>
      <w:r w:rsidR="00C600C6" w:rsidRPr="00CF657A">
        <w:t>, there is vicarious liability as a result of Jack’s actions</w:t>
      </w:r>
      <w:r w:rsidR="00C600C6" w:rsidRPr="00CF657A">
        <w:rPr>
          <w:color w:val="4472C4" w:themeColor="accent1"/>
        </w:rPr>
        <w:t>.</w:t>
      </w:r>
      <w:r w:rsidR="00DE3CD7">
        <w:rPr>
          <w:color w:val="4472C4" w:themeColor="accent1"/>
        </w:rPr>
        <w:t xml:space="preserve"> </w:t>
      </w:r>
    </w:p>
    <w:p w14:paraId="7F468B85" w14:textId="77777777" w:rsidR="00855A8C" w:rsidRDefault="00855A8C" w:rsidP="00272C12">
      <w:pPr>
        <w:pStyle w:val="NormalWeb"/>
        <w:spacing w:before="0" w:beforeAutospacing="0" w:after="0" w:afterAutospacing="0"/>
        <w:jc w:val="both"/>
        <w:rPr>
          <w:color w:val="4472C4" w:themeColor="accent1"/>
        </w:rPr>
      </w:pPr>
    </w:p>
    <w:p w14:paraId="0F1A53C3" w14:textId="77777777" w:rsidR="00855A8C" w:rsidRDefault="00272C12" w:rsidP="00272C12">
      <w:pPr>
        <w:pStyle w:val="NormalWeb"/>
        <w:spacing w:before="0" w:beforeAutospacing="0" w:after="0" w:afterAutospacing="0"/>
        <w:jc w:val="both"/>
      </w:pPr>
      <w:r w:rsidRPr="00272C12">
        <w:t>Furthermore, the Court rejected the restrictive view that vicarious liability could only arise when an employee acts for his employer's benefit in Lister v Hesley Hall Ltd [2002] 1 AC 215. According to the Court, the abuse that the warden committed was sufficiently related to the work that he was hired to do to be considered within the scope of his employment. The abuse occurred while the boys were under the warden's care at the time, on the premises, and in the course of the warden's duties.</w:t>
      </w:r>
    </w:p>
    <w:p w14:paraId="6B986D39" w14:textId="77777777" w:rsidR="00855A8C" w:rsidRDefault="00855A8C" w:rsidP="00272C12">
      <w:pPr>
        <w:pStyle w:val="NormalWeb"/>
        <w:spacing w:before="0" w:beforeAutospacing="0" w:after="0" w:afterAutospacing="0"/>
        <w:jc w:val="both"/>
      </w:pPr>
    </w:p>
    <w:p w14:paraId="57526DF9" w14:textId="000C1BF0" w:rsidR="00C600C6" w:rsidRPr="00CF657A" w:rsidRDefault="00C600C6" w:rsidP="00272C12">
      <w:pPr>
        <w:pStyle w:val="NormalWeb"/>
        <w:spacing w:before="0" w:beforeAutospacing="0" w:after="0" w:afterAutospacing="0"/>
        <w:jc w:val="both"/>
      </w:pPr>
      <w:r w:rsidRPr="00CF657A">
        <w:t xml:space="preserve">The plaintiff in </w:t>
      </w:r>
      <w:r w:rsidRPr="00CF657A">
        <w:rPr>
          <w:highlight w:val="lightGray"/>
        </w:rPr>
        <w:t>Hudson v. Ridge Manufacturing Co. Ltd</w:t>
      </w:r>
      <w:r w:rsidR="00DD43FD" w:rsidRPr="00CF657A">
        <w:rPr>
          <w:highlight w:val="lightGray"/>
        </w:rPr>
        <w:t xml:space="preserve"> </w:t>
      </w:r>
      <w:r w:rsidRPr="00CF657A">
        <w:rPr>
          <w:highlight w:val="lightGray"/>
        </w:rPr>
        <w:t>[1957] 2 QB 348</w:t>
      </w:r>
      <w:r w:rsidRPr="00CF657A">
        <w:t xml:space="preserve"> was injured on the job after a co-worker played a practical joke on him. The employer was aware of the employee's history of playing pranks on co-workers and had repeatedly urged them to stop out of concern for their safety. On the relevant date, the employee grabbed the claimant and flung him to the ground, injuring the claimant's wrist. They filed a lawsuit against the business. In this case, the question was whether an employer had an obligation to take adequate measures to safeguard its employees from harm on the job</w:t>
      </w:r>
      <w:r w:rsidR="00FE51BD" w:rsidRPr="00CF657A">
        <w:t xml:space="preserve">. </w:t>
      </w:r>
      <w:r w:rsidRPr="00CF657A">
        <w:t xml:space="preserve">It was determined that the claimant was injured since the employer did nothing to stop the persistent behaviour of the other employee. The corporation ought to have eradicated any risk for injury for the sake of its employees. The employer was responsible for ensuring the employee's cessation of problematic behaviour and, if that did not occur, for terminating the employee's employment </w:t>
      </w:r>
      <w:r w:rsidR="00FE51BD" w:rsidRPr="00CF657A">
        <w:rPr>
          <w:highlight w:val="lightGray"/>
        </w:rPr>
        <w:t xml:space="preserve">(Witting, 2021, </w:t>
      </w:r>
      <w:r w:rsidR="00D47670" w:rsidRPr="00CF657A">
        <w:rPr>
          <w:highlight w:val="lightGray"/>
        </w:rPr>
        <w:t>p.</w:t>
      </w:r>
      <w:r w:rsidR="008D546E" w:rsidRPr="00CF657A">
        <w:rPr>
          <w:highlight w:val="lightGray"/>
        </w:rPr>
        <w:t>605-633</w:t>
      </w:r>
      <w:r w:rsidR="00FE51BD" w:rsidRPr="00CF657A">
        <w:rPr>
          <w:highlight w:val="lightGray"/>
        </w:rPr>
        <w:t>)</w:t>
      </w:r>
      <w:r w:rsidR="008D546E" w:rsidRPr="00CF657A">
        <w:rPr>
          <w:highlight w:val="lightGray"/>
        </w:rPr>
        <w:t>.</w:t>
      </w:r>
    </w:p>
    <w:p w14:paraId="678B9561" w14:textId="77777777" w:rsidR="00064F8E" w:rsidRPr="00CF657A" w:rsidRDefault="00064F8E" w:rsidP="00B62008">
      <w:pPr>
        <w:spacing w:after="0" w:line="240" w:lineRule="auto"/>
        <w:jc w:val="both"/>
        <w:rPr>
          <w:rFonts w:ascii="Times New Roman" w:hAnsi="Times New Roman" w:cs="Times New Roman"/>
          <w:sz w:val="24"/>
          <w:szCs w:val="24"/>
          <w:lang w:val="en-GB"/>
        </w:rPr>
      </w:pPr>
    </w:p>
    <w:p w14:paraId="1051DF8C" w14:textId="57139ECF" w:rsidR="00C600C6" w:rsidRPr="00CF657A" w:rsidRDefault="002B4BD5" w:rsidP="00B62008">
      <w:pPr>
        <w:spacing w:after="0" w:line="240" w:lineRule="auto"/>
        <w:jc w:val="both"/>
        <w:rPr>
          <w:rFonts w:ascii="Times New Roman" w:hAnsi="Times New Roman" w:cs="Times New Roman"/>
          <w:sz w:val="24"/>
          <w:szCs w:val="24"/>
          <w:lang w:val="en-GB"/>
        </w:rPr>
      </w:pPr>
      <w:r w:rsidRPr="00CF657A">
        <w:rPr>
          <w:rFonts w:ascii="Times New Roman" w:hAnsi="Times New Roman" w:cs="Times New Roman"/>
          <w:sz w:val="24"/>
          <w:szCs w:val="24"/>
          <w:lang w:val="en-GB"/>
        </w:rPr>
        <w:t>Considering</w:t>
      </w:r>
      <w:r w:rsidR="00790FED" w:rsidRPr="00CF657A">
        <w:rPr>
          <w:rFonts w:ascii="Times New Roman" w:hAnsi="Times New Roman" w:cs="Times New Roman"/>
          <w:sz w:val="24"/>
          <w:szCs w:val="24"/>
          <w:lang w:val="en-GB"/>
        </w:rPr>
        <w:t xml:space="preserve"> the</w:t>
      </w:r>
      <w:r w:rsidR="00E7619F" w:rsidRPr="00CF657A">
        <w:rPr>
          <w:rFonts w:ascii="Times New Roman" w:hAnsi="Times New Roman" w:cs="Times New Roman"/>
          <w:sz w:val="24"/>
          <w:szCs w:val="24"/>
          <w:lang w:val="en-GB"/>
        </w:rPr>
        <w:t xml:space="preserve"> above</w:t>
      </w:r>
      <w:r w:rsidR="00790FED" w:rsidRPr="00CF657A">
        <w:rPr>
          <w:rFonts w:ascii="Times New Roman" w:hAnsi="Times New Roman" w:cs="Times New Roman"/>
          <w:sz w:val="24"/>
          <w:szCs w:val="24"/>
          <w:lang w:val="en-GB"/>
        </w:rPr>
        <w:t xml:space="preserve"> case references, Ava and Mason may wish to consider filing a negligence </w:t>
      </w:r>
      <w:r w:rsidR="00C56345" w:rsidRPr="00CF657A">
        <w:rPr>
          <w:rFonts w:ascii="Times New Roman" w:hAnsi="Times New Roman" w:cs="Times New Roman"/>
          <w:sz w:val="24"/>
          <w:szCs w:val="24"/>
          <w:lang w:val="en-GB"/>
        </w:rPr>
        <w:t>claim</w:t>
      </w:r>
      <w:r w:rsidR="00790FED" w:rsidRPr="00CF657A">
        <w:rPr>
          <w:rFonts w:ascii="Times New Roman" w:hAnsi="Times New Roman" w:cs="Times New Roman"/>
          <w:sz w:val="24"/>
          <w:szCs w:val="24"/>
          <w:lang w:val="en-GB"/>
        </w:rPr>
        <w:t xml:space="preserve">. </w:t>
      </w:r>
      <w:r w:rsidR="00C600C6" w:rsidRPr="00CF657A">
        <w:rPr>
          <w:rFonts w:ascii="Times New Roman" w:hAnsi="Times New Roman" w:cs="Times New Roman"/>
          <w:sz w:val="24"/>
          <w:szCs w:val="24"/>
          <w:lang w:val="en-GB"/>
        </w:rPr>
        <w:t>Clearly, negligence existed on the part of the employer. As noted in Wilsons &amp; Clyde Co Ltd v. English, if rationality and remoteness are present, an employer can be held vicariously accountable for an employee's wrongdoing. Jack's conduct of splattering food on the stairs was a frequent restaurant blunder that might have been made by anyone. There was no contributory negligence present. Employers owe a legal duty of care to their employees, which must be fulfilled. The negligence claim of Ava and Mason will be plausible.</w:t>
      </w:r>
    </w:p>
    <w:p w14:paraId="58FC57EE" w14:textId="4F837973" w:rsidR="00C4745C" w:rsidRPr="00CF657A" w:rsidRDefault="00C4745C" w:rsidP="00B62008">
      <w:pPr>
        <w:spacing w:after="0" w:line="240" w:lineRule="auto"/>
        <w:rPr>
          <w:rFonts w:ascii="Times New Roman" w:hAnsi="Times New Roman" w:cs="Times New Roman"/>
          <w:sz w:val="24"/>
          <w:szCs w:val="24"/>
          <w:lang w:val="en-GB"/>
        </w:rPr>
      </w:pPr>
    </w:p>
    <w:p w14:paraId="01D713B9" w14:textId="331C6165" w:rsidR="0083726E" w:rsidRPr="00CF657A" w:rsidRDefault="0083726E" w:rsidP="00B62008">
      <w:pPr>
        <w:spacing w:after="0" w:line="240" w:lineRule="auto"/>
        <w:rPr>
          <w:rFonts w:ascii="Times New Roman" w:hAnsi="Times New Roman" w:cs="Times New Roman"/>
          <w:sz w:val="24"/>
          <w:szCs w:val="24"/>
          <w:lang w:val="en-GB"/>
        </w:rPr>
      </w:pPr>
    </w:p>
    <w:p w14:paraId="62D13A94" w14:textId="0FC13D46" w:rsidR="0083726E" w:rsidRPr="00CF657A" w:rsidRDefault="0083726E" w:rsidP="00B62008">
      <w:pPr>
        <w:spacing w:after="0" w:line="240" w:lineRule="auto"/>
        <w:rPr>
          <w:rFonts w:ascii="Times New Roman" w:hAnsi="Times New Roman" w:cs="Times New Roman"/>
          <w:sz w:val="24"/>
          <w:szCs w:val="24"/>
          <w:lang w:val="en-GB"/>
        </w:rPr>
      </w:pPr>
    </w:p>
    <w:p w14:paraId="0358636D" w14:textId="70EAFA87" w:rsidR="0083726E" w:rsidRPr="00CF657A" w:rsidRDefault="0083726E" w:rsidP="00B62008">
      <w:pPr>
        <w:spacing w:after="0" w:line="240" w:lineRule="auto"/>
        <w:rPr>
          <w:rFonts w:ascii="Times New Roman" w:hAnsi="Times New Roman" w:cs="Times New Roman"/>
          <w:sz w:val="24"/>
          <w:szCs w:val="24"/>
          <w:lang w:val="en-GB"/>
        </w:rPr>
      </w:pPr>
    </w:p>
    <w:p w14:paraId="0199F426" w14:textId="0A3806E3" w:rsidR="0083726E" w:rsidRPr="00CF657A" w:rsidRDefault="0083726E" w:rsidP="00B62008">
      <w:pPr>
        <w:spacing w:after="0" w:line="240" w:lineRule="auto"/>
        <w:rPr>
          <w:rFonts w:ascii="Times New Roman" w:hAnsi="Times New Roman" w:cs="Times New Roman"/>
          <w:sz w:val="24"/>
          <w:szCs w:val="24"/>
          <w:lang w:val="en-GB"/>
        </w:rPr>
      </w:pPr>
    </w:p>
    <w:p w14:paraId="226CE4F8" w14:textId="4698CD68" w:rsidR="0083726E" w:rsidRPr="00CF657A" w:rsidRDefault="0083726E" w:rsidP="00B62008">
      <w:pPr>
        <w:spacing w:after="0" w:line="240" w:lineRule="auto"/>
        <w:rPr>
          <w:rFonts w:ascii="Times New Roman" w:hAnsi="Times New Roman" w:cs="Times New Roman"/>
          <w:sz w:val="24"/>
          <w:szCs w:val="24"/>
          <w:lang w:val="en-GB"/>
        </w:rPr>
      </w:pPr>
    </w:p>
    <w:p w14:paraId="6F0CDFAA" w14:textId="5BED6CD9" w:rsidR="0083726E" w:rsidRPr="00CF657A" w:rsidRDefault="0083726E" w:rsidP="00B62008">
      <w:pPr>
        <w:spacing w:after="0" w:line="240" w:lineRule="auto"/>
        <w:rPr>
          <w:rFonts w:ascii="Times New Roman" w:hAnsi="Times New Roman" w:cs="Times New Roman"/>
          <w:sz w:val="24"/>
          <w:szCs w:val="24"/>
          <w:lang w:val="en-GB"/>
        </w:rPr>
      </w:pPr>
    </w:p>
    <w:p w14:paraId="3E75B6D8" w14:textId="44F45988" w:rsidR="0083726E" w:rsidRPr="00CF657A" w:rsidRDefault="0083726E" w:rsidP="00B62008">
      <w:pPr>
        <w:spacing w:after="0" w:line="240" w:lineRule="auto"/>
        <w:rPr>
          <w:rFonts w:ascii="Times New Roman" w:hAnsi="Times New Roman" w:cs="Times New Roman"/>
          <w:sz w:val="24"/>
          <w:szCs w:val="24"/>
          <w:lang w:val="en-GB"/>
        </w:rPr>
      </w:pPr>
    </w:p>
    <w:p w14:paraId="6D1B80CF" w14:textId="53296D33" w:rsidR="0083726E" w:rsidRPr="00CF657A" w:rsidRDefault="0083726E" w:rsidP="00B62008">
      <w:pPr>
        <w:spacing w:after="0" w:line="240" w:lineRule="auto"/>
        <w:rPr>
          <w:rFonts w:ascii="Times New Roman" w:hAnsi="Times New Roman" w:cs="Times New Roman"/>
          <w:sz w:val="24"/>
          <w:szCs w:val="24"/>
          <w:lang w:val="en-GB"/>
        </w:rPr>
      </w:pPr>
    </w:p>
    <w:p w14:paraId="774F1BDC" w14:textId="30ECBB10" w:rsidR="0083726E" w:rsidRPr="00CF657A" w:rsidRDefault="0083726E" w:rsidP="00B62008">
      <w:pPr>
        <w:spacing w:after="0" w:line="240" w:lineRule="auto"/>
        <w:rPr>
          <w:rFonts w:ascii="Times New Roman" w:hAnsi="Times New Roman" w:cs="Times New Roman"/>
          <w:sz w:val="24"/>
          <w:szCs w:val="24"/>
          <w:lang w:val="en-GB"/>
        </w:rPr>
      </w:pPr>
    </w:p>
    <w:p w14:paraId="04D11D46" w14:textId="655CAC57" w:rsidR="0083726E" w:rsidRPr="00CF657A" w:rsidRDefault="0083726E" w:rsidP="00B62008">
      <w:pPr>
        <w:spacing w:after="0" w:line="240" w:lineRule="auto"/>
        <w:rPr>
          <w:rFonts w:ascii="Times New Roman" w:hAnsi="Times New Roman" w:cs="Times New Roman"/>
          <w:sz w:val="24"/>
          <w:szCs w:val="24"/>
          <w:lang w:val="en-GB"/>
        </w:rPr>
      </w:pPr>
    </w:p>
    <w:p w14:paraId="2F4C825D" w14:textId="2531EDD2" w:rsidR="0083726E" w:rsidRPr="00CF657A" w:rsidRDefault="0083726E" w:rsidP="00B62008">
      <w:pPr>
        <w:spacing w:after="0" w:line="240" w:lineRule="auto"/>
        <w:rPr>
          <w:rFonts w:ascii="Times New Roman" w:hAnsi="Times New Roman" w:cs="Times New Roman"/>
          <w:sz w:val="24"/>
          <w:szCs w:val="24"/>
          <w:lang w:val="en-GB"/>
        </w:rPr>
      </w:pPr>
    </w:p>
    <w:p w14:paraId="077D686F" w14:textId="711C2750" w:rsidR="0083726E" w:rsidRPr="00CF657A" w:rsidRDefault="0083726E" w:rsidP="00B62008">
      <w:pPr>
        <w:spacing w:after="0" w:line="240" w:lineRule="auto"/>
        <w:rPr>
          <w:rFonts w:ascii="Times New Roman" w:hAnsi="Times New Roman" w:cs="Times New Roman"/>
          <w:sz w:val="24"/>
          <w:szCs w:val="24"/>
          <w:lang w:val="en-GB"/>
        </w:rPr>
      </w:pPr>
    </w:p>
    <w:p w14:paraId="601D22B8" w14:textId="58C9D405" w:rsidR="0083726E" w:rsidRPr="00CF657A" w:rsidRDefault="0083726E" w:rsidP="00B62008">
      <w:pPr>
        <w:spacing w:after="0" w:line="240" w:lineRule="auto"/>
        <w:rPr>
          <w:rFonts w:ascii="Times New Roman" w:hAnsi="Times New Roman" w:cs="Times New Roman"/>
          <w:sz w:val="24"/>
          <w:szCs w:val="24"/>
          <w:lang w:val="en-GB"/>
        </w:rPr>
      </w:pPr>
    </w:p>
    <w:p w14:paraId="51D7A23A" w14:textId="58775FD0" w:rsidR="0083726E" w:rsidRPr="00CF657A" w:rsidRDefault="0083726E" w:rsidP="00B62008">
      <w:pPr>
        <w:spacing w:after="0" w:line="240" w:lineRule="auto"/>
        <w:rPr>
          <w:rFonts w:ascii="Times New Roman" w:hAnsi="Times New Roman" w:cs="Times New Roman"/>
          <w:sz w:val="24"/>
          <w:szCs w:val="24"/>
          <w:lang w:val="en-GB"/>
        </w:rPr>
      </w:pPr>
    </w:p>
    <w:p w14:paraId="76A3991C" w14:textId="7D35AC3F" w:rsidR="0083726E" w:rsidRPr="00CF657A" w:rsidRDefault="0083726E" w:rsidP="00B62008">
      <w:pPr>
        <w:spacing w:after="0" w:line="240" w:lineRule="auto"/>
        <w:rPr>
          <w:rFonts w:ascii="Times New Roman" w:hAnsi="Times New Roman" w:cs="Times New Roman"/>
          <w:sz w:val="24"/>
          <w:szCs w:val="24"/>
          <w:lang w:val="en-GB"/>
        </w:rPr>
      </w:pPr>
    </w:p>
    <w:p w14:paraId="0F1DEE71" w14:textId="0A511AC7" w:rsidR="0083726E" w:rsidRPr="00CF657A" w:rsidRDefault="0083726E" w:rsidP="00B62008">
      <w:pPr>
        <w:spacing w:after="0" w:line="240" w:lineRule="auto"/>
        <w:rPr>
          <w:rFonts w:ascii="Times New Roman" w:hAnsi="Times New Roman" w:cs="Times New Roman"/>
          <w:sz w:val="24"/>
          <w:szCs w:val="24"/>
          <w:lang w:val="en-GB"/>
        </w:rPr>
      </w:pPr>
    </w:p>
    <w:p w14:paraId="647D00D5" w14:textId="2A95E297" w:rsidR="0083726E" w:rsidRPr="00CF657A" w:rsidRDefault="0083726E" w:rsidP="00B62008">
      <w:pPr>
        <w:spacing w:after="0" w:line="240" w:lineRule="auto"/>
        <w:rPr>
          <w:rFonts w:ascii="Times New Roman" w:hAnsi="Times New Roman" w:cs="Times New Roman"/>
          <w:sz w:val="24"/>
          <w:szCs w:val="24"/>
          <w:lang w:val="en-GB"/>
        </w:rPr>
      </w:pPr>
    </w:p>
    <w:p w14:paraId="53229452" w14:textId="70A0E2FB" w:rsidR="0083726E" w:rsidRPr="00CF657A" w:rsidRDefault="0083726E" w:rsidP="00B62008">
      <w:pPr>
        <w:spacing w:after="0" w:line="240" w:lineRule="auto"/>
        <w:rPr>
          <w:rFonts w:ascii="Times New Roman" w:hAnsi="Times New Roman" w:cs="Times New Roman"/>
          <w:sz w:val="24"/>
          <w:szCs w:val="24"/>
          <w:lang w:val="en-GB"/>
        </w:rPr>
      </w:pPr>
    </w:p>
    <w:p w14:paraId="6730A52D" w14:textId="503DA210" w:rsidR="0083726E" w:rsidRPr="00CF657A" w:rsidRDefault="0083726E" w:rsidP="00B62008">
      <w:pPr>
        <w:spacing w:after="0" w:line="240" w:lineRule="auto"/>
        <w:rPr>
          <w:rFonts w:ascii="Times New Roman" w:hAnsi="Times New Roman" w:cs="Times New Roman"/>
          <w:sz w:val="24"/>
          <w:szCs w:val="24"/>
          <w:lang w:val="en-GB"/>
        </w:rPr>
      </w:pPr>
    </w:p>
    <w:p w14:paraId="677F1D2C" w14:textId="128F0744" w:rsidR="0083726E" w:rsidRPr="00CF657A" w:rsidRDefault="0083726E" w:rsidP="00B62008">
      <w:pPr>
        <w:spacing w:after="0" w:line="240" w:lineRule="auto"/>
        <w:rPr>
          <w:rFonts w:ascii="Times New Roman" w:hAnsi="Times New Roman" w:cs="Times New Roman"/>
          <w:sz w:val="24"/>
          <w:szCs w:val="24"/>
          <w:lang w:val="en-GB"/>
        </w:rPr>
      </w:pPr>
    </w:p>
    <w:p w14:paraId="14166CDC" w14:textId="3B5AED64" w:rsidR="0083726E" w:rsidRPr="00CF657A" w:rsidRDefault="0083726E" w:rsidP="00B62008">
      <w:pPr>
        <w:spacing w:after="0" w:line="240" w:lineRule="auto"/>
        <w:rPr>
          <w:rFonts w:ascii="Times New Roman" w:hAnsi="Times New Roman" w:cs="Times New Roman"/>
          <w:sz w:val="24"/>
          <w:szCs w:val="24"/>
          <w:lang w:val="en-GB"/>
        </w:rPr>
      </w:pPr>
    </w:p>
    <w:p w14:paraId="2A51FB62" w14:textId="2625A137" w:rsidR="0083726E" w:rsidRPr="00CF657A" w:rsidRDefault="0083726E" w:rsidP="00B62008">
      <w:pPr>
        <w:spacing w:after="0" w:line="240" w:lineRule="auto"/>
        <w:rPr>
          <w:rFonts w:ascii="Times New Roman" w:hAnsi="Times New Roman" w:cs="Times New Roman"/>
          <w:sz w:val="24"/>
          <w:szCs w:val="24"/>
          <w:lang w:val="en-GB"/>
        </w:rPr>
      </w:pPr>
    </w:p>
    <w:p w14:paraId="0CA680D1" w14:textId="6AA8907D" w:rsidR="0083726E" w:rsidRPr="00CF657A" w:rsidRDefault="0083726E" w:rsidP="00B62008">
      <w:pPr>
        <w:spacing w:after="0" w:line="240" w:lineRule="auto"/>
        <w:rPr>
          <w:rFonts w:ascii="Times New Roman" w:hAnsi="Times New Roman" w:cs="Times New Roman"/>
          <w:sz w:val="24"/>
          <w:szCs w:val="24"/>
          <w:lang w:val="en-GB"/>
        </w:rPr>
      </w:pPr>
    </w:p>
    <w:p w14:paraId="5FBBFEF3" w14:textId="4A308D90" w:rsidR="0083726E" w:rsidRPr="00CF657A" w:rsidRDefault="0083726E" w:rsidP="00B62008">
      <w:pPr>
        <w:spacing w:after="0" w:line="240" w:lineRule="auto"/>
        <w:rPr>
          <w:rFonts w:ascii="Times New Roman" w:hAnsi="Times New Roman" w:cs="Times New Roman"/>
          <w:sz w:val="24"/>
          <w:szCs w:val="24"/>
          <w:lang w:val="en-GB"/>
        </w:rPr>
      </w:pPr>
    </w:p>
    <w:p w14:paraId="43B3AC9F" w14:textId="5EF22B66" w:rsidR="0083726E" w:rsidRPr="00CF657A" w:rsidRDefault="0083726E" w:rsidP="00B62008">
      <w:pPr>
        <w:spacing w:after="0" w:line="240" w:lineRule="auto"/>
        <w:rPr>
          <w:rFonts w:ascii="Times New Roman" w:hAnsi="Times New Roman" w:cs="Times New Roman"/>
          <w:sz w:val="24"/>
          <w:szCs w:val="24"/>
          <w:lang w:val="en-GB"/>
        </w:rPr>
      </w:pPr>
    </w:p>
    <w:p w14:paraId="0B77C784" w14:textId="0D2DD62B" w:rsidR="0083726E" w:rsidRPr="00CF657A" w:rsidRDefault="0083726E" w:rsidP="00B62008">
      <w:pPr>
        <w:spacing w:after="0" w:line="240" w:lineRule="auto"/>
        <w:rPr>
          <w:rFonts w:ascii="Times New Roman" w:hAnsi="Times New Roman" w:cs="Times New Roman"/>
          <w:sz w:val="24"/>
          <w:szCs w:val="24"/>
          <w:lang w:val="en-GB"/>
        </w:rPr>
      </w:pPr>
    </w:p>
    <w:p w14:paraId="327DE07A" w14:textId="22196C48" w:rsidR="0083726E" w:rsidRPr="00CF657A" w:rsidRDefault="0083726E" w:rsidP="00B62008">
      <w:pPr>
        <w:spacing w:after="0" w:line="240" w:lineRule="auto"/>
        <w:rPr>
          <w:rFonts w:ascii="Times New Roman" w:hAnsi="Times New Roman" w:cs="Times New Roman"/>
          <w:sz w:val="24"/>
          <w:szCs w:val="24"/>
          <w:lang w:val="en-GB"/>
        </w:rPr>
      </w:pPr>
    </w:p>
    <w:p w14:paraId="445BD654" w14:textId="123A3BFF" w:rsidR="0083726E" w:rsidRPr="00CF657A" w:rsidRDefault="0083726E" w:rsidP="00B62008">
      <w:pPr>
        <w:spacing w:after="0" w:line="240" w:lineRule="auto"/>
        <w:rPr>
          <w:rFonts w:ascii="Times New Roman" w:hAnsi="Times New Roman" w:cs="Times New Roman"/>
          <w:sz w:val="24"/>
          <w:szCs w:val="24"/>
          <w:lang w:val="en-GB"/>
        </w:rPr>
      </w:pPr>
    </w:p>
    <w:p w14:paraId="5E5A8787" w14:textId="77777777" w:rsidR="00313EA7" w:rsidRDefault="00313EA7" w:rsidP="00B62008">
      <w:pPr>
        <w:spacing w:after="0" w:line="240" w:lineRule="auto"/>
        <w:rPr>
          <w:rFonts w:ascii="Times New Roman" w:hAnsi="Times New Roman" w:cs="Times New Roman"/>
          <w:sz w:val="24"/>
          <w:szCs w:val="24"/>
          <w:lang w:val="en-GB"/>
        </w:rPr>
      </w:pPr>
    </w:p>
    <w:p w14:paraId="21C0BA89" w14:textId="44D945E0" w:rsidR="0083726E" w:rsidRPr="00077FDB" w:rsidRDefault="0083726E" w:rsidP="00B62008">
      <w:pPr>
        <w:spacing w:after="0" w:line="240" w:lineRule="auto"/>
        <w:rPr>
          <w:rFonts w:ascii="Times New Roman" w:hAnsi="Times New Roman" w:cs="Times New Roman"/>
          <w:b/>
          <w:bCs/>
          <w:sz w:val="24"/>
          <w:szCs w:val="24"/>
          <w:lang w:val="en-GB"/>
        </w:rPr>
      </w:pPr>
      <w:r w:rsidRPr="00077FDB">
        <w:rPr>
          <w:rFonts w:ascii="Times New Roman" w:hAnsi="Times New Roman" w:cs="Times New Roman"/>
          <w:b/>
          <w:bCs/>
          <w:sz w:val="24"/>
          <w:szCs w:val="24"/>
          <w:lang w:val="en-GB"/>
        </w:rPr>
        <w:lastRenderedPageBreak/>
        <w:t>Reference</w:t>
      </w:r>
    </w:p>
    <w:p w14:paraId="4CC7F799" w14:textId="2E7296F4" w:rsidR="00726BD0" w:rsidRDefault="00726BD0" w:rsidP="00B62008">
      <w:pPr>
        <w:spacing w:after="0" w:line="240" w:lineRule="auto"/>
        <w:rPr>
          <w:rFonts w:ascii="Times New Roman" w:hAnsi="Times New Roman" w:cs="Times New Roman"/>
          <w:sz w:val="24"/>
          <w:szCs w:val="24"/>
          <w:lang w:val="en-GB"/>
        </w:rPr>
      </w:pPr>
    </w:p>
    <w:p w14:paraId="49F805B6" w14:textId="77777777" w:rsidR="00726BD0" w:rsidRPr="00CF657A" w:rsidRDefault="00726BD0" w:rsidP="00726BD0">
      <w:pPr>
        <w:pStyle w:val="NormalWeb"/>
        <w:spacing w:before="0" w:beforeAutospacing="0" w:after="240" w:afterAutospacing="0" w:line="360" w:lineRule="auto"/>
      </w:pPr>
      <w:r w:rsidRPr="00CF657A">
        <w:t xml:space="preserve">Brennan, C. (2022a) - </w:t>
      </w:r>
      <w:r w:rsidRPr="00CF657A">
        <w:rPr>
          <w:i/>
          <w:iCs/>
        </w:rPr>
        <w:t>Tort law: directions</w:t>
      </w:r>
      <w:r w:rsidRPr="00CF657A">
        <w:t xml:space="preserve"> – 8</w:t>
      </w:r>
      <w:r w:rsidRPr="00CF657A">
        <w:rPr>
          <w:vertAlign w:val="superscript"/>
        </w:rPr>
        <w:t>th</w:t>
      </w:r>
      <w:r w:rsidRPr="00CF657A">
        <w:t xml:space="preserve"> Ed - Oxford: Oxford University Press</w:t>
      </w:r>
    </w:p>
    <w:p w14:paraId="4AFFFF58" w14:textId="7323E45B" w:rsidR="00726BD0" w:rsidRDefault="00726BD0" w:rsidP="00BA7097">
      <w:pPr>
        <w:pStyle w:val="NormalWeb"/>
        <w:spacing w:before="0" w:beforeAutospacing="0" w:after="0" w:afterAutospacing="0"/>
      </w:pPr>
      <w:r w:rsidRPr="00CF657A">
        <w:t xml:space="preserve">Brennan, C. (2022b) - </w:t>
      </w:r>
      <w:r w:rsidRPr="00CF657A">
        <w:rPr>
          <w:i/>
          <w:iCs/>
        </w:rPr>
        <w:t>Tort law: directions</w:t>
      </w:r>
      <w:r w:rsidRPr="00CF657A">
        <w:t xml:space="preserve"> – 8</w:t>
      </w:r>
      <w:r w:rsidRPr="00CF657A">
        <w:rPr>
          <w:vertAlign w:val="superscript"/>
        </w:rPr>
        <w:t>th</w:t>
      </w:r>
      <w:r w:rsidRPr="00CF657A">
        <w:t xml:space="preserve"> Ed - Oxford: Oxford University Press</w:t>
      </w:r>
    </w:p>
    <w:p w14:paraId="42FC6BB9" w14:textId="77777777" w:rsidR="00BA7097" w:rsidRDefault="00BA7097" w:rsidP="00BA7097">
      <w:pPr>
        <w:pStyle w:val="NormalWeb"/>
        <w:spacing w:before="0" w:beforeAutospacing="0" w:after="0" w:afterAutospacing="0"/>
      </w:pPr>
    </w:p>
    <w:p w14:paraId="15F5237D" w14:textId="77777777" w:rsidR="00DD1A57" w:rsidRPr="00CF657A" w:rsidRDefault="00DD1A57" w:rsidP="00BA7097">
      <w:pPr>
        <w:pStyle w:val="NormalWeb"/>
        <w:spacing w:before="0" w:beforeAutospacing="0" w:after="0" w:afterAutospacing="0"/>
      </w:pPr>
      <w:r w:rsidRPr="00CF657A">
        <w:t xml:space="preserve">British Safety Council (2022) - Who is responsible for workplace health and safety? | Available at: </w:t>
      </w:r>
      <w:hyperlink r:id="rId4" w:history="1">
        <w:r w:rsidRPr="00CF657A">
          <w:rPr>
            <w:rStyle w:val="Hyperlink"/>
          </w:rPr>
          <w:t>https://www.britsafe.org/training-and-learning/find-the-right-course-for-you/informational-resources/who-is-responsible-for-workplace-health-and-safety/</w:t>
        </w:r>
      </w:hyperlink>
    </w:p>
    <w:p w14:paraId="785F2549" w14:textId="77777777" w:rsidR="00DD1A57" w:rsidRPr="00CF657A" w:rsidRDefault="00DD1A57" w:rsidP="00BA7097">
      <w:pPr>
        <w:pStyle w:val="NormalWeb"/>
        <w:spacing w:before="0" w:beforeAutospacing="0" w:after="0" w:afterAutospacing="0"/>
      </w:pPr>
      <w:r w:rsidRPr="00CF657A">
        <w:t>(Accessed: 23</w:t>
      </w:r>
      <w:r w:rsidRPr="00CF657A">
        <w:rPr>
          <w:vertAlign w:val="superscript"/>
        </w:rPr>
        <w:t xml:space="preserve"> </w:t>
      </w:r>
      <w:r w:rsidRPr="00CF657A">
        <w:t xml:space="preserve">Dec 2022) </w:t>
      </w:r>
    </w:p>
    <w:p w14:paraId="036BF995" w14:textId="77777777" w:rsidR="00BA7097" w:rsidRDefault="00BA7097" w:rsidP="00BA7097">
      <w:pPr>
        <w:spacing w:after="0" w:line="240" w:lineRule="auto"/>
        <w:rPr>
          <w:rFonts w:ascii="Times New Roman" w:hAnsi="Times New Roman" w:cs="Times New Roman"/>
          <w:sz w:val="24"/>
          <w:szCs w:val="24"/>
        </w:rPr>
      </w:pPr>
    </w:p>
    <w:p w14:paraId="586BED81" w14:textId="5E223712" w:rsidR="00BA7097" w:rsidRDefault="00726BD0" w:rsidP="00BA7097">
      <w:pPr>
        <w:spacing w:after="0" w:line="240" w:lineRule="auto"/>
        <w:rPr>
          <w:rFonts w:ascii="Times New Roman" w:hAnsi="Times New Roman" w:cs="Times New Roman"/>
          <w:i/>
          <w:iCs/>
          <w:sz w:val="24"/>
          <w:szCs w:val="24"/>
        </w:rPr>
      </w:pPr>
      <w:r w:rsidRPr="00CF657A">
        <w:rPr>
          <w:rFonts w:ascii="Times New Roman" w:hAnsi="Times New Roman" w:cs="Times New Roman"/>
          <w:sz w:val="24"/>
          <w:szCs w:val="24"/>
        </w:rPr>
        <w:t>Colyer, J.S. (1966)</w:t>
      </w:r>
      <w:r w:rsidRPr="00CF657A">
        <w:rPr>
          <w:rFonts w:ascii="Times New Roman" w:hAnsi="Times New Roman" w:cs="Times New Roman"/>
          <w:i/>
          <w:iCs/>
          <w:sz w:val="24"/>
          <w:szCs w:val="24"/>
        </w:rPr>
        <w:t xml:space="preserve"> - A modern view of the law of torts – Oxford: </w:t>
      </w:r>
      <w:r w:rsidRPr="00CF657A">
        <w:rPr>
          <w:rFonts w:ascii="Times New Roman" w:hAnsi="Times New Roman" w:cs="Times New Roman"/>
          <w:sz w:val="24"/>
          <w:szCs w:val="24"/>
        </w:rPr>
        <w:t>Pergamon Press</w:t>
      </w:r>
      <w:r w:rsidRPr="00CF657A">
        <w:rPr>
          <w:rFonts w:ascii="Times New Roman" w:hAnsi="Times New Roman" w:cs="Times New Roman"/>
          <w:i/>
          <w:iCs/>
          <w:sz w:val="24"/>
          <w:szCs w:val="24"/>
        </w:rPr>
        <w:t xml:space="preserve"> </w:t>
      </w:r>
    </w:p>
    <w:p w14:paraId="61A78847" w14:textId="77777777" w:rsidR="00BA7097" w:rsidRDefault="00BA7097" w:rsidP="00BA7097">
      <w:pPr>
        <w:spacing w:after="0" w:line="240" w:lineRule="auto"/>
        <w:rPr>
          <w:rFonts w:ascii="Times New Roman" w:hAnsi="Times New Roman" w:cs="Times New Roman"/>
          <w:i/>
          <w:iCs/>
          <w:sz w:val="24"/>
          <w:szCs w:val="24"/>
        </w:rPr>
      </w:pPr>
    </w:p>
    <w:p w14:paraId="1B47661D" w14:textId="77777777" w:rsidR="00482C52" w:rsidRPr="00CF657A" w:rsidRDefault="00482C52" w:rsidP="00482C52">
      <w:pPr>
        <w:pStyle w:val="NormalWeb"/>
        <w:spacing w:before="0" w:beforeAutospacing="0" w:after="0" w:afterAutospacing="0"/>
      </w:pPr>
      <w:r w:rsidRPr="00CF657A">
        <w:t xml:space="preserve">Employer’s Liability (Defective Equipment) Act 1969 – available at: </w:t>
      </w:r>
    </w:p>
    <w:p w14:paraId="1D25148B" w14:textId="56641116" w:rsidR="00482C52" w:rsidRDefault="00482C52" w:rsidP="00482C52">
      <w:pPr>
        <w:pStyle w:val="NormalWeb"/>
        <w:spacing w:before="0" w:beforeAutospacing="0" w:after="0" w:afterAutospacing="0"/>
        <w:rPr>
          <w:rStyle w:val="Hyperlink"/>
        </w:rPr>
      </w:pPr>
      <w:hyperlink r:id="rId5" w:history="1">
        <w:r w:rsidRPr="00CF657A">
          <w:rPr>
            <w:rStyle w:val="Hyperlink"/>
          </w:rPr>
          <w:t>https://www.legislation.gov.uk/ukpga/1969/37</w:t>
        </w:r>
      </w:hyperlink>
    </w:p>
    <w:p w14:paraId="1706A50B" w14:textId="77777777" w:rsidR="00482C52" w:rsidRPr="00CF657A" w:rsidRDefault="00482C52" w:rsidP="00482C52">
      <w:pPr>
        <w:pStyle w:val="NormalWeb"/>
        <w:spacing w:before="0" w:beforeAutospacing="0" w:after="0" w:afterAutospacing="0"/>
      </w:pPr>
    </w:p>
    <w:p w14:paraId="27C41D21" w14:textId="77777777" w:rsidR="00B70A7A" w:rsidRPr="00CF657A" w:rsidRDefault="00B70A7A" w:rsidP="00B70A7A">
      <w:pPr>
        <w:pStyle w:val="NormalWeb"/>
        <w:spacing w:before="0" w:beforeAutospacing="0" w:after="0" w:afterAutospacing="0"/>
      </w:pPr>
      <w:r w:rsidRPr="00CF657A">
        <w:t xml:space="preserve">Health and Safety at Work etc. Act 1974 – available at: </w:t>
      </w:r>
      <w:hyperlink r:id="rId6" w:history="1">
        <w:r w:rsidRPr="00CF657A">
          <w:rPr>
            <w:rStyle w:val="Hyperlink"/>
          </w:rPr>
          <w:t>https://www.legislation.gov.uk/ukpga/1974/37/contents</w:t>
        </w:r>
      </w:hyperlink>
    </w:p>
    <w:p w14:paraId="299E3B94" w14:textId="77777777" w:rsidR="00B70A7A" w:rsidRPr="00CF657A" w:rsidRDefault="00B70A7A" w:rsidP="00B70A7A">
      <w:pPr>
        <w:pStyle w:val="NormalWeb"/>
        <w:spacing w:before="0" w:beforeAutospacing="0" w:after="0" w:afterAutospacing="0"/>
      </w:pPr>
    </w:p>
    <w:p w14:paraId="37E0E5C7" w14:textId="77777777" w:rsidR="00B70A7A" w:rsidRPr="00CF657A" w:rsidRDefault="00B70A7A" w:rsidP="00B70A7A">
      <w:pPr>
        <w:pStyle w:val="NormalWeb"/>
        <w:spacing w:before="0" w:beforeAutospacing="0" w:after="0" w:afterAutospacing="0"/>
      </w:pPr>
      <w:r w:rsidRPr="00CF657A">
        <w:t xml:space="preserve">Health and Safety Executive (2003) – </w:t>
      </w:r>
      <w:r w:rsidRPr="00CF657A">
        <w:rPr>
          <w:rStyle w:val="markedcontent"/>
        </w:rPr>
        <w:t xml:space="preserve">Health and Safety regulation…a short guide – available at: </w:t>
      </w:r>
      <w:hyperlink r:id="rId7" w:history="1">
        <w:r w:rsidRPr="00CF657A">
          <w:rPr>
            <w:rStyle w:val="Hyperlink"/>
          </w:rPr>
          <w:t>https://www.hse.gov.uk/pubns/hsc13.pdf</w:t>
        </w:r>
      </w:hyperlink>
    </w:p>
    <w:p w14:paraId="49DBC42E" w14:textId="52770751" w:rsidR="00B70A7A" w:rsidRDefault="00B70A7A" w:rsidP="00B70A7A">
      <w:pPr>
        <w:pStyle w:val="NormalWeb"/>
        <w:spacing w:before="0" w:beforeAutospacing="0" w:after="0" w:afterAutospacing="0"/>
      </w:pPr>
      <w:r w:rsidRPr="00CF657A">
        <w:t>(Accessed: 23</w:t>
      </w:r>
      <w:r w:rsidRPr="00CF657A">
        <w:rPr>
          <w:vertAlign w:val="superscript"/>
        </w:rPr>
        <w:t xml:space="preserve"> </w:t>
      </w:r>
      <w:r w:rsidRPr="00CF657A">
        <w:t xml:space="preserve">Dec 2022) </w:t>
      </w:r>
    </w:p>
    <w:p w14:paraId="3B609980" w14:textId="03ED8CA2" w:rsidR="00F91248" w:rsidRDefault="00F91248" w:rsidP="00B70A7A">
      <w:pPr>
        <w:pStyle w:val="NormalWeb"/>
        <w:spacing w:before="0" w:beforeAutospacing="0" w:after="0" w:afterAutospacing="0"/>
      </w:pPr>
    </w:p>
    <w:p w14:paraId="60211390" w14:textId="77777777" w:rsidR="00F91248" w:rsidRPr="00CF657A" w:rsidRDefault="00F91248" w:rsidP="00F91248">
      <w:pPr>
        <w:pStyle w:val="NormalWeb"/>
        <w:spacing w:before="0" w:beforeAutospacing="0" w:after="0" w:afterAutospacing="0"/>
      </w:pPr>
      <w:r w:rsidRPr="00CF657A">
        <w:t xml:space="preserve">Health and Safety Executive (2008) - PUWER 1998: Provision and Use of Work Equipment Regulations 1998. Open learning guidance – available at: </w:t>
      </w:r>
    </w:p>
    <w:p w14:paraId="6FF86914" w14:textId="77777777" w:rsidR="00F91248" w:rsidRPr="00CF657A" w:rsidRDefault="00F91248" w:rsidP="00F91248">
      <w:pPr>
        <w:pStyle w:val="NormalWeb"/>
        <w:spacing w:before="0" w:beforeAutospacing="0" w:after="0" w:afterAutospacing="0"/>
      </w:pPr>
      <w:hyperlink r:id="rId8" w:history="1">
        <w:r w:rsidRPr="00CF657A">
          <w:rPr>
            <w:rStyle w:val="Hyperlink"/>
          </w:rPr>
          <w:t>https://www.hse.gov.uk/pubns/books/puwer.htm</w:t>
        </w:r>
      </w:hyperlink>
    </w:p>
    <w:p w14:paraId="27E42871" w14:textId="77777777" w:rsidR="00F91248" w:rsidRPr="00CF657A" w:rsidRDefault="00F91248" w:rsidP="00F91248">
      <w:pPr>
        <w:pStyle w:val="NormalWeb"/>
        <w:spacing w:before="0" w:beforeAutospacing="0" w:after="0" w:afterAutospacing="0"/>
      </w:pPr>
      <w:r w:rsidRPr="00CF657A">
        <w:t>(Accessed: 18 Dec 2022)</w:t>
      </w:r>
    </w:p>
    <w:p w14:paraId="76F03A69" w14:textId="77777777" w:rsidR="00F91248" w:rsidRPr="00CF657A" w:rsidRDefault="00F91248" w:rsidP="00F91248">
      <w:pPr>
        <w:pStyle w:val="NormalWeb"/>
        <w:spacing w:before="0" w:beforeAutospacing="0" w:after="0" w:afterAutospacing="0"/>
      </w:pPr>
    </w:p>
    <w:p w14:paraId="37D44CD7" w14:textId="77777777" w:rsidR="00F91248" w:rsidRPr="00CF657A" w:rsidRDefault="00F91248" w:rsidP="00F91248">
      <w:pPr>
        <w:pStyle w:val="NormalWeb"/>
        <w:spacing w:before="0" w:beforeAutospacing="0" w:after="0" w:afterAutospacing="0"/>
      </w:pPr>
      <w:r w:rsidRPr="00CF657A">
        <w:t xml:space="preserve">Health and Safety Executive (no date) – Legal requirements - available at: </w:t>
      </w:r>
    </w:p>
    <w:p w14:paraId="6694B30A" w14:textId="77777777" w:rsidR="00F91248" w:rsidRPr="00CF657A" w:rsidRDefault="00F91248" w:rsidP="00F91248">
      <w:pPr>
        <w:pStyle w:val="NormalWeb"/>
        <w:spacing w:before="0" w:beforeAutospacing="0" w:after="0" w:afterAutospacing="0"/>
      </w:pPr>
      <w:hyperlink r:id="rId9" w:history="1">
        <w:r w:rsidRPr="00CF657A">
          <w:rPr>
            <w:rStyle w:val="Hyperlink"/>
          </w:rPr>
          <w:t>https://www.hse.gov.uk/violence/toolkit/legislation.htm</w:t>
        </w:r>
      </w:hyperlink>
    </w:p>
    <w:p w14:paraId="71A565CA" w14:textId="77777777" w:rsidR="00F91248" w:rsidRPr="00CF657A" w:rsidRDefault="00F91248" w:rsidP="00F91248">
      <w:pPr>
        <w:pStyle w:val="NormalWeb"/>
        <w:spacing w:before="0" w:beforeAutospacing="0" w:after="0" w:afterAutospacing="0"/>
      </w:pPr>
      <w:r w:rsidRPr="00CF657A">
        <w:t>(Accessed: 18 Dec 2022)</w:t>
      </w:r>
    </w:p>
    <w:p w14:paraId="4B38E11E" w14:textId="26C2473B" w:rsidR="00F91248" w:rsidRDefault="00F91248" w:rsidP="00B70A7A">
      <w:pPr>
        <w:pStyle w:val="NormalWeb"/>
        <w:spacing w:before="0" w:beforeAutospacing="0" w:after="0" w:afterAutospacing="0"/>
      </w:pPr>
    </w:p>
    <w:p w14:paraId="7D8CF99E" w14:textId="77777777" w:rsidR="00F91248" w:rsidRPr="00CF657A" w:rsidRDefault="00F91248" w:rsidP="00F91248">
      <w:pPr>
        <w:pStyle w:val="NormalWeb"/>
        <w:spacing w:before="0" w:beforeAutospacing="0" w:after="0" w:afterAutospacing="0"/>
      </w:pPr>
      <w:r w:rsidRPr="00CF657A">
        <w:t xml:space="preserve">Management of Health and Safety at Work Regulations (MHSWR) 1999 – available at: </w:t>
      </w:r>
      <w:hyperlink r:id="rId10" w:history="1">
        <w:r w:rsidRPr="00CF657A">
          <w:rPr>
            <w:rStyle w:val="Hyperlink"/>
          </w:rPr>
          <w:t>https://www.legislation.gov.uk/uksi/1999/3242/contents/made</w:t>
        </w:r>
      </w:hyperlink>
    </w:p>
    <w:p w14:paraId="06336A98" w14:textId="508B800A" w:rsidR="00F91248" w:rsidRDefault="00F91248" w:rsidP="00B70A7A">
      <w:pPr>
        <w:pStyle w:val="NormalWeb"/>
        <w:spacing w:before="0" w:beforeAutospacing="0" w:after="0" w:afterAutospacing="0"/>
      </w:pPr>
    </w:p>
    <w:p w14:paraId="4B22ADAC" w14:textId="0E855DDD" w:rsidR="00F91248" w:rsidRDefault="00F91248" w:rsidP="00F91248">
      <w:pPr>
        <w:pStyle w:val="NormalWeb"/>
        <w:spacing w:before="0" w:beforeAutospacing="0" w:after="240" w:afterAutospacing="0" w:line="360" w:lineRule="auto"/>
      </w:pPr>
      <w:r w:rsidRPr="00CF657A">
        <w:t xml:space="preserve">Plunkett, J. (2018) - </w:t>
      </w:r>
      <w:r w:rsidRPr="00CF657A">
        <w:rPr>
          <w:i/>
          <w:iCs/>
        </w:rPr>
        <w:t xml:space="preserve">Duty Of Care In Negligence - </w:t>
      </w:r>
      <w:r w:rsidRPr="00CF657A">
        <w:t>Oxford: Hart Publishing</w:t>
      </w:r>
    </w:p>
    <w:p w14:paraId="361C3BFD" w14:textId="77777777" w:rsidR="00F91248" w:rsidRDefault="00F91248" w:rsidP="00F91248">
      <w:pPr>
        <w:pStyle w:val="NormalWeb"/>
        <w:spacing w:after="240" w:line="360" w:lineRule="auto"/>
      </w:pPr>
      <w:r>
        <w:t>Selwyn, N. and Emir, A. (2022a) - Selwyn’s Law of Employment – 22nd Ed – Oxford: Oxford University Press.</w:t>
      </w:r>
    </w:p>
    <w:p w14:paraId="2D6EAF68" w14:textId="5E963DCD" w:rsidR="00F91248" w:rsidRDefault="00F91248" w:rsidP="00F91248">
      <w:pPr>
        <w:pStyle w:val="NormalWeb"/>
        <w:spacing w:before="0" w:beforeAutospacing="0" w:after="240" w:afterAutospacing="0" w:line="360" w:lineRule="auto"/>
      </w:pPr>
      <w:r>
        <w:t>Selwyn, N. and Emir, A. (2022b) - Selwyn’s Law of Employment – 22nd Ed – Oxford: Oxford University Press.</w:t>
      </w:r>
    </w:p>
    <w:p w14:paraId="5A7D88FA" w14:textId="77777777" w:rsidR="00B70A7A" w:rsidRPr="00CF657A" w:rsidRDefault="00B70A7A" w:rsidP="00B70A7A">
      <w:pPr>
        <w:pStyle w:val="NormalWeb"/>
        <w:spacing w:before="0" w:beforeAutospacing="0" w:after="0" w:afterAutospacing="0"/>
      </w:pPr>
      <w:r w:rsidRPr="00CF657A">
        <w:t xml:space="preserve">The Provision and Use of Work Equipment Regulations 1998 – available at: </w:t>
      </w:r>
      <w:hyperlink r:id="rId11" w:history="1">
        <w:r w:rsidRPr="00CF657A">
          <w:rPr>
            <w:rStyle w:val="Hyperlink"/>
          </w:rPr>
          <w:t>https://www.legislation.gov.uk/uksi/1998/2306/contents/made</w:t>
        </w:r>
      </w:hyperlink>
    </w:p>
    <w:p w14:paraId="1CFCC9BF" w14:textId="77777777" w:rsidR="00B70A7A" w:rsidRPr="00CF657A" w:rsidRDefault="00B70A7A" w:rsidP="00B70A7A">
      <w:pPr>
        <w:pStyle w:val="NormalWeb"/>
        <w:spacing w:before="0" w:beforeAutospacing="0" w:after="0" w:afterAutospacing="0"/>
      </w:pPr>
    </w:p>
    <w:p w14:paraId="24A58A6D" w14:textId="39F4F3E6" w:rsidR="00B70A7A" w:rsidRDefault="00B70A7A" w:rsidP="00B70A7A">
      <w:pPr>
        <w:pStyle w:val="NormalWeb"/>
        <w:spacing w:before="0" w:beforeAutospacing="0" w:after="0" w:afterAutospacing="0"/>
      </w:pPr>
      <w:r w:rsidRPr="00CF657A">
        <w:t xml:space="preserve">Witting, C. (2021) – </w:t>
      </w:r>
      <w:r w:rsidRPr="00CF657A">
        <w:rPr>
          <w:i/>
          <w:iCs/>
        </w:rPr>
        <w:t>Streets on Torts</w:t>
      </w:r>
      <w:r w:rsidRPr="00CF657A">
        <w:t xml:space="preserve"> – 16</w:t>
      </w:r>
      <w:r w:rsidRPr="00CF657A">
        <w:rPr>
          <w:vertAlign w:val="superscript"/>
        </w:rPr>
        <w:t>th</w:t>
      </w:r>
      <w:r w:rsidRPr="00CF657A">
        <w:t xml:space="preserve"> Ed - Oxford: Oxford University Press</w:t>
      </w:r>
    </w:p>
    <w:p w14:paraId="053D9E18" w14:textId="27E6A289" w:rsidR="00726BD0" w:rsidRDefault="00726BD0" w:rsidP="00B70A7A">
      <w:pPr>
        <w:pStyle w:val="NormalWeb"/>
        <w:spacing w:before="0" w:beforeAutospacing="0" w:after="0" w:afterAutospacing="0"/>
      </w:pPr>
    </w:p>
    <w:p w14:paraId="55F634DD" w14:textId="6156ECFB" w:rsidR="00726BD0" w:rsidRDefault="00726BD0" w:rsidP="00B70A7A">
      <w:pPr>
        <w:pStyle w:val="NormalWeb"/>
        <w:spacing w:before="0" w:beforeAutospacing="0" w:after="0" w:afterAutospacing="0"/>
      </w:pPr>
    </w:p>
    <w:p w14:paraId="3A344264" w14:textId="77777777" w:rsidR="00B70A7A" w:rsidRPr="00CF657A" w:rsidRDefault="00B70A7A" w:rsidP="00B70A7A">
      <w:pPr>
        <w:rPr>
          <w:rFonts w:ascii="Times New Roman" w:hAnsi="Times New Roman" w:cs="Times New Roman"/>
          <w:sz w:val="24"/>
          <w:szCs w:val="24"/>
          <w:lang w:val="en-GB"/>
        </w:rPr>
      </w:pPr>
      <w:r w:rsidRPr="00CF657A">
        <w:rPr>
          <w:rFonts w:ascii="Times New Roman" w:hAnsi="Times New Roman" w:cs="Times New Roman"/>
          <w:sz w:val="24"/>
          <w:szCs w:val="24"/>
          <w:lang w:val="en-GB"/>
        </w:rPr>
        <w:t>Ammah v. Kuehne and Nagal Logistics Ltd | [2009] EWCA Civ 11</w:t>
      </w:r>
    </w:p>
    <w:p w14:paraId="01E3BABE" w14:textId="77777777" w:rsidR="00B70A7A" w:rsidRPr="00CF657A" w:rsidRDefault="00B70A7A" w:rsidP="00B70A7A">
      <w:pPr>
        <w:rPr>
          <w:rStyle w:val="Strong"/>
          <w:rFonts w:ascii="Times New Roman" w:hAnsi="Times New Roman" w:cs="Times New Roman"/>
          <w:b w:val="0"/>
          <w:bCs w:val="0"/>
          <w:i/>
          <w:iCs/>
          <w:sz w:val="24"/>
          <w:szCs w:val="24"/>
        </w:rPr>
      </w:pPr>
      <w:r w:rsidRPr="00CF657A">
        <w:rPr>
          <w:rStyle w:val="Emphasis"/>
          <w:rFonts w:ascii="Times New Roman" w:hAnsi="Times New Roman" w:cs="Times New Roman"/>
          <w:i w:val="0"/>
          <w:iCs w:val="0"/>
          <w:sz w:val="24"/>
          <w:szCs w:val="24"/>
        </w:rPr>
        <w:t>Jebson v Ministry of Defence</w:t>
      </w:r>
      <w:r w:rsidRPr="00CF657A">
        <w:rPr>
          <w:rStyle w:val="Strong"/>
          <w:rFonts w:ascii="Times New Roman" w:hAnsi="Times New Roman" w:cs="Times New Roman"/>
          <w:b w:val="0"/>
          <w:bCs w:val="0"/>
          <w:i/>
          <w:iCs/>
          <w:sz w:val="24"/>
          <w:szCs w:val="24"/>
        </w:rPr>
        <w:t xml:space="preserve"> [2000] EWCA Civ 198</w:t>
      </w:r>
    </w:p>
    <w:p w14:paraId="187FB848" w14:textId="77777777" w:rsidR="00B70A7A" w:rsidRPr="00CF657A" w:rsidRDefault="00B70A7A" w:rsidP="00B70A7A">
      <w:pPr>
        <w:rPr>
          <w:rFonts w:ascii="Times New Roman" w:hAnsi="Times New Roman" w:cs="Times New Roman"/>
          <w:sz w:val="24"/>
          <w:szCs w:val="24"/>
        </w:rPr>
      </w:pPr>
      <w:r w:rsidRPr="00CF657A">
        <w:rPr>
          <w:rFonts w:ascii="Times New Roman" w:hAnsi="Times New Roman" w:cs="Times New Roman"/>
          <w:sz w:val="24"/>
          <w:szCs w:val="24"/>
        </w:rPr>
        <w:t>Wilsons &amp; Clyde Co Ltd v. English [1938] AC 57</w:t>
      </w:r>
    </w:p>
    <w:p w14:paraId="76CD70E8" w14:textId="4E937D93" w:rsidR="00B70A7A" w:rsidRDefault="00B70A7A" w:rsidP="00B70A7A">
      <w:pPr>
        <w:rPr>
          <w:rFonts w:ascii="Times New Roman" w:eastAsia="Times New Roman" w:hAnsi="Times New Roman" w:cs="Times New Roman"/>
          <w:sz w:val="24"/>
          <w:szCs w:val="24"/>
        </w:rPr>
      </w:pPr>
      <w:r w:rsidRPr="00CF657A">
        <w:rPr>
          <w:rFonts w:ascii="Times New Roman" w:eastAsia="Times New Roman" w:hAnsi="Times New Roman" w:cs="Times New Roman"/>
          <w:sz w:val="24"/>
          <w:szCs w:val="24"/>
        </w:rPr>
        <w:t>Hudson v. Ridge Manufacturing Co. Ltd [1957] 2 QB 348</w:t>
      </w:r>
    </w:p>
    <w:p w14:paraId="0B455D6D" w14:textId="7F1DDD16" w:rsidR="00E64152" w:rsidRPr="00CF657A" w:rsidRDefault="00E64152" w:rsidP="00B70A7A">
      <w:pPr>
        <w:rPr>
          <w:rFonts w:ascii="Times New Roman" w:eastAsia="Times New Roman" w:hAnsi="Times New Roman" w:cs="Times New Roman"/>
          <w:sz w:val="24"/>
          <w:szCs w:val="24"/>
        </w:rPr>
      </w:pPr>
      <w:r w:rsidRPr="00272C12">
        <w:t>Lister v Hesley Hall Ltd [2002] 1 AC 215</w:t>
      </w:r>
    </w:p>
    <w:p w14:paraId="42716174" w14:textId="77777777" w:rsidR="00B70A7A" w:rsidRPr="00CF657A" w:rsidRDefault="00B70A7A" w:rsidP="00B70A7A">
      <w:pPr>
        <w:spacing w:line="360" w:lineRule="auto"/>
        <w:jc w:val="both"/>
        <w:rPr>
          <w:rFonts w:ascii="Times New Roman" w:hAnsi="Times New Roman" w:cs="Times New Roman"/>
          <w:sz w:val="24"/>
          <w:szCs w:val="24"/>
        </w:rPr>
      </w:pPr>
    </w:p>
    <w:p w14:paraId="3129B2FB" w14:textId="77777777" w:rsidR="00B70A7A" w:rsidRPr="00CF657A" w:rsidRDefault="00B70A7A" w:rsidP="00B62008">
      <w:pPr>
        <w:spacing w:after="0" w:line="240" w:lineRule="auto"/>
        <w:rPr>
          <w:rFonts w:ascii="Times New Roman" w:hAnsi="Times New Roman" w:cs="Times New Roman"/>
          <w:sz w:val="24"/>
          <w:szCs w:val="24"/>
          <w:lang w:val="en-GB"/>
        </w:rPr>
      </w:pPr>
    </w:p>
    <w:sectPr w:rsidR="00B70A7A" w:rsidRPr="00CF65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0C6"/>
    <w:rsid w:val="00000AE4"/>
    <w:rsid w:val="00007D1B"/>
    <w:rsid w:val="00027617"/>
    <w:rsid w:val="00032034"/>
    <w:rsid w:val="00032383"/>
    <w:rsid w:val="000464AB"/>
    <w:rsid w:val="000547AB"/>
    <w:rsid w:val="00057D03"/>
    <w:rsid w:val="00064F8E"/>
    <w:rsid w:val="00077FDB"/>
    <w:rsid w:val="0008228E"/>
    <w:rsid w:val="000A08D0"/>
    <w:rsid w:val="000C03D1"/>
    <w:rsid w:val="000C06D5"/>
    <w:rsid w:val="000C51B7"/>
    <w:rsid w:val="000D62AF"/>
    <w:rsid w:val="000D6571"/>
    <w:rsid w:val="000F4825"/>
    <w:rsid w:val="0015344F"/>
    <w:rsid w:val="00172C57"/>
    <w:rsid w:val="00180370"/>
    <w:rsid w:val="0018668C"/>
    <w:rsid w:val="001C1BBF"/>
    <w:rsid w:val="001C2BB0"/>
    <w:rsid w:val="001D350A"/>
    <w:rsid w:val="001D3568"/>
    <w:rsid w:val="001D74B0"/>
    <w:rsid w:val="001E23FA"/>
    <w:rsid w:val="001E54D3"/>
    <w:rsid w:val="001F4379"/>
    <w:rsid w:val="00216389"/>
    <w:rsid w:val="002535A9"/>
    <w:rsid w:val="00266F6E"/>
    <w:rsid w:val="00272C12"/>
    <w:rsid w:val="002A0AB0"/>
    <w:rsid w:val="002A11A6"/>
    <w:rsid w:val="002B4BD5"/>
    <w:rsid w:val="002C54B2"/>
    <w:rsid w:val="002D5249"/>
    <w:rsid w:val="002E742B"/>
    <w:rsid w:val="00313EA7"/>
    <w:rsid w:val="0032312A"/>
    <w:rsid w:val="00355685"/>
    <w:rsid w:val="003807FE"/>
    <w:rsid w:val="003B4F46"/>
    <w:rsid w:val="003B7917"/>
    <w:rsid w:val="00401771"/>
    <w:rsid w:val="00431D0F"/>
    <w:rsid w:val="00477062"/>
    <w:rsid w:val="00482C52"/>
    <w:rsid w:val="004B6407"/>
    <w:rsid w:val="004C6029"/>
    <w:rsid w:val="004F1989"/>
    <w:rsid w:val="00521CBB"/>
    <w:rsid w:val="00522AFB"/>
    <w:rsid w:val="00523173"/>
    <w:rsid w:val="0052505A"/>
    <w:rsid w:val="00530F84"/>
    <w:rsid w:val="00534A57"/>
    <w:rsid w:val="00543079"/>
    <w:rsid w:val="00562B7D"/>
    <w:rsid w:val="00572B28"/>
    <w:rsid w:val="0057593A"/>
    <w:rsid w:val="005A4A1A"/>
    <w:rsid w:val="005B3877"/>
    <w:rsid w:val="005D4BA8"/>
    <w:rsid w:val="005F37B4"/>
    <w:rsid w:val="00607007"/>
    <w:rsid w:val="00613850"/>
    <w:rsid w:val="00613D12"/>
    <w:rsid w:val="006272F5"/>
    <w:rsid w:val="006339A9"/>
    <w:rsid w:val="006411BB"/>
    <w:rsid w:val="0064752D"/>
    <w:rsid w:val="00676AD9"/>
    <w:rsid w:val="006947AF"/>
    <w:rsid w:val="006A0F99"/>
    <w:rsid w:val="006C4787"/>
    <w:rsid w:val="006C4EE7"/>
    <w:rsid w:val="006D7CDC"/>
    <w:rsid w:val="006F3729"/>
    <w:rsid w:val="007007E3"/>
    <w:rsid w:val="00715FE9"/>
    <w:rsid w:val="00726BD0"/>
    <w:rsid w:val="0073092A"/>
    <w:rsid w:val="00751117"/>
    <w:rsid w:val="0075232C"/>
    <w:rsid w:val="00753893"/>
    <w:rsid w:val="0077152A"/>
    <w:rsid w:val="00786CC2"/>
    <w:rsid w:val="00790FED"/>
    <w:rsid w:val="007B2134"/>
    <w:rsid w:val="007D4AAD"/>
    <w:rsid w:val="007F3E00"/>
    <w:rsid w:val="008150D8"/>
    <w:rsid w:val="0083726E"/>
    <w:rsid w:val="00855A8C"/>
    <w:rsid w:val="008568A4"/>
    <w:rsid w:val="0089501D"/>
    <w:rsid w:val="00896A78"/>
    <w:rsid w:val="008D443D"/>
    <w:rsid w:val="008D546E"/>
    <w:rsid w:val="008D7ABB"/>
    <w:rsid w:val="008F0742"/>
    <w:rsid w:val="0090485E"/>
    <w:rsid w:val="0092330D"/>
    <w:rsid w:val="009C2177"/>
    <w:rsid w:val="009C6068"/>
    <w:rsid w:val="00A01AC2"/>
    <w:rsid w:val="00A35BFC"/>
    <w:rsid w:val="00A636D0"/>
    <w:rsid w:val="00A6720F"/>
    <w:rsid w:val="00A75B80"/>
    <w:rsid w:val="00AD1E05"/>
    <w:rsid w:val="00AD273D"/>
    <w:rsid w:val="00AE78CD"/>
    <w:rsid w:val="00AF1C71"/>
    <w:rsid w:val="00B04AE1"/>
    <w:rsid w:val="00B31DC7"/>
    <w:rsid w:val="00B3635F"/>
    <w:rsid w:val="00B40618"/>
    <w:rsid w:val="00B62008"/>
    <w:rsid w:val="00B70A7A"/>
    <w:rsid w:val="00B74A4F"/>
    <w:rsid w:val="00B96583"/>
    <w:rsid w:val="00BA7097"/>
    <w:rsid w:val="00BB604D"/>
    <w:rsid w:val="00C128C9"/>
    <w:rsid w:val="00C4745C"/>
    <w:rsid w:val="00C56345"/>
    <w:rsid w:val="00C600C6"/>
    <w:rsid w:val="00C61863"/>
    <w:rsid w:val="00C66FFD"/>
    <w:rsid w:val="00C7049C"/>
    <w:rsid w:val="00C9259A"/>
    <w:rsid w:val="00C94EDD"/>
    <w:rsid w:val="00CA5B51"/>
    <w:rsid w:val="00CA6336"/>
    <w:rsid w:val="00CF1BE3"/>
    <w:rsid w:val="00CF657A"/>
    <w:rsid w:val="00D11AEB"/>
    <w:rsid w:val="00D27C42"/>
    <w:rsid w:val="00D47670"/>
    <w:rsid w:val="00DD1A57"/>
    <w:rsid w:val="00DD43FD"/>
    <w:rsid w:val="00DE2F54"/>
    <w:rsid w:val="00DE3CD7"/>
    <w:rsid w:val="00DE7A57"/>
    <w:rsid w:val="00DF5524"/>
    <w:rsid w:val="00E07FE8"/>
    <w:rsid w:val="00E11FA0"/>
    <w:rsid w:val="00E333A7"/>
    <w:rsid w:val="00E64152"/>
    <w:rsid w:val="00E7619F"/>
    <w:rsid w:val="00E867A4"/>
    <w:rsid w:val="00EA1030"/>
    <w:rsid w:val="00EA3345"/>
    <w:rsid w:val="00EA3435"/>
    <w:rsid w:val="00EB4300"/>
    <w:rsid w:val="00EB6972"/>
    <w:rsid w:val="00EF258F"/>
    <w:rsid w:val="00F17965"/>
    <w:rsid w:val="00F424E2"/>
    <w:rsid w:val="00F4434C"/>
    <w:rsid w:val="00F5737B"/>
    <w:rsid w:val="00F91248"/>
    <w:rsid w:val="00FD7BFE"/>
    <w:rsid w:val="00FE0D78"/>
    <w:rsid w:val="00FE433D"/>
    <w:rsid w:val="00FE5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AA5E3"/>
  <w15:chartTrackingRefBased/>
  <w15:docId w15:val="{286E3C52-FCD6-4126-BF07-E1FBF11A3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0C6"/>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640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B70A7A"/>
    <w:rPr>
      <w:color w:val="0563C1" w:themeColor="hyperlink"/>
      <w:u w:val="single"/>
    </w:rPr>
  </w:style>
  <w:style w:type="character" w:customStyle="1" w:styleId="markedcontent">
    <w:name w:val="markedcontent"/>
    <w:basedOn w:val="DefaultParagraphFont"/>
    <w:rsid w:val="00B70A7A"/>
  </w:style>
  <w:style w:type="character" w:styleId="Strong">
    <w:name w:val="Strong"/>
    <w:basedOn w:val="DefaultParagraphFont"/>
    <w:uiPriority w:val="22"/>
    <w:qFormat/>
    <w:rsid w:val="00B70A7A"/>
    <w:rPr>
      <w:b/>
      <w:bCs/>
    </w:rPr>
  </w:style>
  <w:style w:type="character" w:styleId="Emphasis">
    <w:name w:val="Emphasis"/>
    <w:basedOn w:val="DefaultParagraphFont"/>
    <w:uiPriority w:val="20"/>
    <w:qFormat/>
    <w:rsid w:val="00B70A7A"/>
    <w:rPr>
      <w:i/>
      <w:iCs/>
    </w:rPr>
  </w:style>
  <w:style w:type="character" w:styleId="FollowedHyperlink">
    <w:name w:val="FollowedHyperlink"/>
    <w:basedOn w:val="DefaultParagraphFont"/>
    <w:uiPriority w:val="99"/>
    <w:semiHidden/>
    <w:unhideWhenUsed/>
    <w:rsid w:val="00B70A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50030">
      <w:bodyDiv w:val="1"/>
      <w:marLeft w:val="0"/>
      <w:marRight w:val="0"/>
      <w:marTop w:val="0"/>
      <w:marBottom w:val="0"/>
      <w:divBdr>
        <w:top w:val="none" w:sz="0" w:space="0" w:color="auto"/>
        <w:left w:val="none" w:sz="0" w:space="0" w:color="auto"/>
        <w:bottom w:val="none" w:sz="0" w:space="0" w:color="auto"/>
        <w:right w:val="none" w:sz="0" w:space="0" w:color="auto"/>
      </w:divBdr>
    </w:div>
    <w:div w:id="66690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pubns/books/puwer.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se.gov.uk/pubns/hsc13.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1974/37/contents" TargetMode="External"/><Relationship Id="rId11" Type="http://schemas.openxmlformats.org/officeDocument/2006/relationships/hyperlink" Target="https://www.legislation.gov.uk/uksi/1998/2306/contents/made" TargetMode="External"/><Relationship Id="rId5" Type="http://schemas.openxmlformats.org/officeDocument/2006/relationships/hyperlink" Target="https://www.legislation.gov.uk/ukpga/1969/37" TargetMode="External"/><Relationship Id="rId10" Type="http://schemas.openxmlformats.org/officeDocument/2006/relationships/hyperlink" Target="https://www.legislation.gov.uk/uksi/1999/3242/contents/made" TargetMode="External"/><Relationship Id="rId4" Type="http://schemas.openxmlformats.org/officeDocument/2006/relationships/hyperlink" Target="https://www.britsafe.org/training-and-learning/find-the-right-course-for-you/informational-resources/who-is-responsible-for-workplace-health-and-safety/" TargetMode="External"/><Relationship Id="rId9" Type="http://schemas.openxmlformats.org/officeDocument/2006/relationships/hyperlink" Target="https://www.hse.gov.uk/violence/toolkit/legisl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2451</Words>
  <Characters>13977</Characters>
  <Application>Microsoft Office Word</Application>
  <DocSecurity>0</DocSecurity>
  <Lines>116</Lines>
  <Paragraphs>32</Paragraphs>
  <ScaleCrop>false</ScaleCrop>
  <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dc:creator>
  <cp:keywords/>
  <dc:description/>
  <cp:lastModifiedBy>Mukta Khan</cp:lastModifiedBy>
  <cp:revision>206</cp:revision>
  <dcterms:created xsi:type="dcterms:W3CDTF">2023-01-12T20:22:00Z</dcterms:created>
  <dcterms:modified xsi:type="dcterms:W3CDTF">2023-01-13T16:28:00Z</dcterms:modified>
</cp:coreProperties>
</file>