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61F90" w:rsidRDefault="00D61F90">
      <w:pPr>
        <w:spacing w:after="200" w:line="360" w:lineRule="auto"/>
        <w:jc w:val="center"/>
        <w:rPr>
          <w:rFonts w:ascii="Times New Roman" w:eastAsia="Times New Roman" w:hAnsi="Times New Roman" w:cs="Times New Roman"/>
          <w:b/>
          <w:color w:val="000000" w:themeColor="text1"/>
          <w:sz w:val="24"/>
          <w:szCs w:val="24"/>
        </w:rPr>
      </w:pPr>
    </w:p>
    <w:p w:rsidR="00D61F90" w:rsidRDefault="00D61F90">
      <w:pPr>
        <w:spacing w:after="200" w:line="360" w:lineRule="auto"/>
        <w:jc w:val="center"/>
        <w:rPr>
          <w:rFonts w:ascii="Times New Roman" w:eastAsia="Times New Roman" w:hAnsi="Times New Roman" w:cs="Times New Roman"/>
          <w:b/>
          <w:color w:val="000000" w:themeColor="text1"/>
          <w:sz w:val="24"/>
          <w:szCs w:val="24"/>
        </w:rPr>
      </w:pPr>
    </w:p>
    <w:p w:rsidR="00D61F90" w:rsidRDefault="00D61F90">
      <w:pPr>
        <w:spacing w:after="200" w:line="360" w:lineRule="auto"/>
        <w:jc w:val="center"/>
        <w:rPr>
          <w:rFonts w:ascii="Times New Roman" w:eastAsia="Times New Roman" w:hAnsi="Times New Roman" w:cs="Times New Roman"/>
          <w:b/>
          <w:color w:val="000000" w:themeColor="text1"/>
          <w:sz w:val="24"/>
          <w:szCs w:val="24"/>
        </w:rPr>
      </w:pPr>
    </w:p>
    <w:p w:rsidR="00D61F90" w:rsidRDefault="00D61F90">
      <w:pPr>
        <w:spacing w:after="200" w:line="360" w:lineRule="auto"/>
        <w:jc w:val="center"/>
        <w:rPr>
          <w:rFonts w:ascii="Times New Roman" w:eastAsia="Times New Roman" w:hAnsi="Times New Roman" w:cs="Times New Roman"/>
          <w:b/>
          <w:color w:val="000000" w:themeColor="text1"/>
          <w:sz w:val="24"/>
          <w:szCs w:val="24"/>
        </w:rPr>
      </w:pPr>
    </w:p>
    <w:p w:rsidR="00D61F90" w:rsidRDefault="00D61F90">
      <w:pPr>
        <w:spacing w:after="200" w:line="360" w:lineRule="auto"/>
        <w:jc w:val="center"/>
        <w:rPr>
          <w:rFonts w:ascii="Times New Roman" w:eastAsia="Times New Roman" w:hAnsi="Times New Roman" w:cs="Times New Roman"/>
          <w:b/>
          <w:color w:val="000000" w:themeColor="text1"/>
          <w:sz w:val="24"/>
          <w:szCs w:val="24"/>
        </w:rPr>
      </w:pPr>
    </w:p>
    <w:p w:rsidR="00D61F90" w:rsidRDefault="00D61F90">
      <w:pPr>
        <w:spacing w:after="200" w:line="360" w:lineRule="auto"/>
        <w:jc w:val="center"/>
        <w:rPr>
          <w:rFonts w:ascii="Times New Roman" w:eastAsia="Times New Roman" w:hAnsi="Times New Roman" w:cs="Times New Roman"/>
          <w:b/>
          <w:color w:val="000000" w:themeColor="text1"/>
          <w:sz w:val="24"/>
          <w:szCs w:val="24"/>
        </w:rPr>
      </w:pPr>
    </w:p>
    <w:p w:rsidR="00D61F90" w:rsidRDefault="005F6697">
      <w:pPr>
        <w:spacing w:after="200"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INTRODUCING THE MODERN WORKPLACE - REPORT</w:t>
      </w:r>
    </w:p>
    <w:p w:rsidR="00D61F90" w:rsidRDefault="005F6697">
      <w:pPr>
        <w:spacing w:after="200" w:line="360" w:lineRule="auto"/>
        <w:jc w:val="center"/>
        <w:rPr>
          <w:rFonts w:ascii="Times New Roman" w:eastAsia="Times New Roman" w:hAnsi="Times New Roman" w:cs="Times New Roman"/>
          <w:i/>
          <w:color w:val="000000" w:themeColor="text1"/>
          <w:sz w:val="24"/>
          <w:szCs w:val="24"/>
        </w:rPr>
      </w:pPr>
      <w:r>
        <w:rPr>
          <w:rFonts w:ascii="Times New Roman" w:eastAsia="Times New Roman" w:hAnsi="Times New Roman" w:cs="Times New Roman"/>
          <w:i/>
          <w:color w:val="000000" w:themeColor="text1"/>
          <w:sz w:val="24"/>
          <w:szCs w:val="24"/>
        </w:rPr>
        <w:t>Organizational Structure &amp;</w:t>
      </w:r>
    </w:p>
    <w:p w:rsidR="00D61F90" w:rsidRDefault="005F6697">
      <w:pPr>
        <w:spacing w:after="200" w:line="360" w:lineRule="auto"/>
        <w:jc w:val="center"/>
        <w:rPr>
          <w:rFonts w:ascii="Times New Roman" w:eastAsia="Times New Roman" w:hAnsi="Times New Roman" w:cs="Times New Roman"/>
          <w:i/>
          <w:color w:val="000000" w:themeColor="text1"/>
          <w:sz w:val="24"/>
          <w:szCs w:val="24"/>
        </w:rPr>
      </w:pPr>
      <w:r>
        <w:rPr>
          <w:rFonts w:ascii="Times New Roman" w:eastAsia="Times New Roman" w:hAnsi="Times New Roman" w:cs="Times New Roman"/>
          <w:i/>
          <w:color w:val="000000" w:themeColor="text1"/>
          <w:sz w:val="24"/>
          <w:szCs w:val="24"/>
        </w:rPr>
        <w:t>Culture</w:t>
      </w:r>
    </w:p>
    <w:p w:rsidR="00D61F90" w:rsidRDefault="00D61F90">
      <w:pPr>
        <w:spacing w:after="200" w:line="360" w:lineRule="auto"/>
        <w:jc w:val="center"/>
        <w:rPr>
          <w:rFonts w:ascii="Times New Roman" w:eastAsia="Times New Roman" w:hAnsi="Times New Roman" w:cs="Times New Roman"/>
          <w:i/>
          <w:color w:val="000000" w:themeColor="text1"/>
          <w:sz w:val="24"/>
          <w:szCs w:val="24"/>
        </w:rPr>
      </w:pPr>
    </w:p>
    <w:p w:rsidR="00D61F90" w:rsidRDefault="005F6697">
      <w:pPr>
        <w:spacing w:after="200"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i/>
          <w:noProof/>
          <w:color w:val="000000" w:themeColor="text1"/>
          <w:sz w:val="24"/>
          <w:szCs w:val="24"/>
          <w:lang w:eastAsia="en-US"/>
        </w:rPr>
        <w:drawing>
          <wp:inline distT="0" distB="0" distL="114300" distR="114300">
            <wp:extent cx="5069840" cy="2520315"/>
            <wp:effectExtent l="0" t="0" r="16510" b="13335"/>
            <wp:docPr id="6" name="Picture 6" descr="th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h (9)"/>
                    <pic:cNvPicPr>
                      <a:picLocks noChangeAspect="1"/>
                    </pic:cNvPicPr>
                  </pic:nvPicPr>
                  <pic:blipFill>
                    <a:blip r:embed="rId8"/>
                    <a:stretch>
                      <a:fillRect/>
                    </a:stretch>
                  </pic:blipFill>
                  <pic:spPr>
                    <a:xfrm>
                      <a:off x="0" y="0"/>
                      <a:ext cx="5069840" cy="2520315"/>
                    </a:xfrm>
                    <a:prstGeom prst="rect">
                      <a:avLst/>
                    </a:prstGeom>
                  </pic:spPr>
                </pic:pic>
              </a:graphicData>
            </a:graphic>
          </wp:inline>
        </w:drawing>
      </w:r>
    </w:p>
    <w:p w:rsidR="00D61F90" w:rsidRDefault="005F6697">
      <w:pPr>
        <w:spacing w:after="200"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Student’s name</w:t>
      </w:r>
      <w:r w:rsidR="00C5457A">
        <w:rPr>
          <w:rFonts w:ascii="Times New Roman" w:eastAsia="Times New Roman" w:hAnsi="Times New Roman" w:cs="Times New Roman"/>
          <w:b/>
          <w:color w:val="000000" w:themeColor="text1"/>
          <w:sz w:val="24"/>
          <w:szCs w:val="24"/>
        </w:rPr>
        <w:t xml:space="preserve"> :George Popa  </w:t>
      </w:r>
      <w:r w:rsidR="0035393C">
        <w:rPr>
          <w:rFonts w:ascii="Times New Roman" w:eastAsia="Times New Roman" w:hAnsi="Times New Roman" w:cs="Times New Roman"/>
          <w:b/>
          <w:color w:val="000000" w:themeColor="text1"/>
          <w:sz w:val="24"/>
          <w:szCs w:val="24"/>
        </w:rPr>
        <w:t xml:space="preserve">ID </w:t>
      </w:r>
      <w:r>
        <w:rPr>
          <w:rFonts w:ascii="Times New Roman" w:eastAsia="Times New Roman" w:hAnsi="Times New Roman" w:cs="Times New Roman"/>
          <w:b/>
          <w:color w:val="000000" w:themeColor="text1"/>
          <w:sz w:val="24"/>
          <w:szCs w:val="24"/>
        </w:rPr>
        <w:t>2219838</w:t>
      </w:r>
    </w:p>
    <w:p w:rsidR="00D61F90" w:rsidRDefault="005F6697">
      <w:pPr>
        <w:spacing w:after="200"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Course: LCBB4003, Introducing the Modern Work place</w:t>
      </w:r>
    </w:p>
    <w:p w:rsidR="00D61F90" w:rsidRDefault="005F6697">
      <w:pPr>
        <w:spacing w:after="200"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Professor’s name: Dr Hoang Dang Nguyen</w:t>
      </w:r>
    </w:p>
    <w:p w:rsidR="00D61F90" w:rsidRDefault="005F6697">
      <w:pPr>
        <w:spacing w:after="200" w:line="360" w:lineRule="auto"/>
        <w:jc w:val="both"/>
        <w:rPr>
          <w:rFonts w:ascii="Times New Roman" w:eastAsia="Times New Roman" w:hAnsi="Times New Roman" w:cs="Times New Roman"/>
          <w:color w:val="000000" w:themeColor="text1"/>
          <w:sz w:val="24"/>
          <w:szCs w:val="24"/>
        </w:rPr>
        <w:sectPr w:rsidR="00D61F90">
          <w:headerReference w:type="default" r:id="rId9"/>
          <w:pgSz w:w="11906" w:h="16838"/>
          <w:pgMar w:top="1440" w:right="1440" w:bottom="1440" w:left="1440" w:header="720" w:footer="720" w:gutter="0"/>
          <w:pgNumType w:start="1"/>
          <w:cols w:space="720"/>
        </w:sectPr>
      </w:pPr>
      <w:r>
        <w:rPr>
          <w:rFonts w:ascii="Times New Roman" w:hAnsi="Times New Roman" w:cs="Times New Roman"/>
          <w:color w:val="000000" w:themeColor="text1"/>
          <w:sz w:val="24"/>
          <w:szCs w:val="24"/>
        </w:rPr>
        <w:br w:type="page"/>
      </w:r>
    </w:p>
    <w:p w:rsidR="00D61F90" w:rsidRDefault="00D61F90"/>
    <w:sdt>
      <w:sdtPr>
        <w:rPr>
          <w:rFonts w:ascii="Times New Roman" w:eastAsia="SimSun" w:hAnsi="Times New Roman" w:cs="Times New Roman"/>
          <w:b/>
          <w:bCs/>
          <w:sz w:val="24"/>
          <w:szCs w:val="24"/>
        </w:rPr>
        <w:id w:val="147467981"/>
        <w15:color w:val="DBDBDB"/>
        <w:docPartObj>
          <w:docPartGallery w:val="Table of Contents"/>
          <w:docPartUnique/>
        </w:docPartObj>
      </w:sdtPr>
      <w:sdtEndPr>
        <w:rPr>
          <w:rFonts w:eastAsiaTheme="minorEastAsia"/>
          <w:color w:val="000000" w:themeColor="text1"/>
        </w:rPr>
      </w:sdtEndPr>
      <w:sdtContent>
        <w:p w:rsidR="00D61F90" w:rsidRDefault="005F6697">
          <w:pPr>
            <w:rPr>
              <w:rFonts w:ascii="Times New Roman" w:hAnsi="Times New Roman" w:cs="Times New Roman"/>
              <w:b/>
              <w:bCs/>
              <w:sz w:val="24"/>
              <w:szCs w:val="24"/>
            </w:rPr>
          </w:pPr>
          <w:r>
            <w:rPr>
              <w:rFonts w:ascii="Times New Roman" w:eastAsia="SimSun" w:hAnsi="Times New Roman" w:cs="Times New Roman"/>
              <w:b/>
              <w:bCs/>
              <w:sz w:val="24"/>
              <w:szCs w:val="24"/>
            </w:rPr>
            <w:t>Tabke Of Contents</w:t>
          </w:r>
        </w:p>
        <w:p w:rsidR="00D61F90" w:rsidRDefault="005F6697">
          <w:pPr>
            <w:pStyle w:val="WPSOffice3"/>
            <w:tabs>
              <w:tab w:val="right" w:leader="dot" w:pos="8306"/>
            </w:tabs>
          </w:pPr>
          <w:r>
            <w:rPr>
              <w:color w:val="000000" w:themeColor="text1"/>
              <w:sz w:val="24"/>
              <w:szCs w:val="24"/>
            </w:rPr>
            <w:fldChar w:fldCharType="begin"/>
          </w:r>
          <w:r>
            <w:rPr>
              <w:color w:val="000000" w:themeColor="text1"/>
              <w:sz w:val="24"/>
              <w:szCs w:val="24"/>
            </w:rPr>
            <w:instrText xml:space="preserve">TOC \o "1-3" \h \u </w:instrText>
          </w:r>
          <w:r>
            <w:rPr>
              <w:color w:val="000000" w:themeColor="text1"/>
              <w:sz w:val="24"/>
              <w:szCs w:val="24"/>
            </w:rPr>
            <w:fldChar w:fldCharType="separate"/>
          </w:r>
          <w:hyperlink w:anchor="_Toc5221" w:history="1">
            <w:r>
              <w:rPr>
                <w:szCs w:val="24"/>
              </w:rPr>
              <w:t>Introduction</w:t>
            </w:r>
            <w:r>
              <w:tab/>
            </w:r>
            <w:r>
              <w:fldChar w:fldCharType="begin"/>
            </w:r>
            <w:r>
              <w:instrText xml:space="preserve"> PAGEREF _Toc5221 \h </w:instrText>
            </w:r>
            <w:r>
              <w:fldChar w:fldCharType="separate"/>
            </w:r>
            <w:r>
              <w:t>3</w:t>
            </w:r>
            <w:r>
              <w:fldChar w:fldCharType="end"/>
            </w:r>
          </w:hyperlink>
        </w:p>
        <w:p w:rsidR="00D61F90" w:rsidRDefault="005F6697">
          <w:pPr>
            <w:pStyle w:val="WPSOffice2"/>
            <w:tabs>
              <w:tab w:val="right" w:leader="dot" w:pos="8306"/>
            </w:tabs>
          </w:pPr>
          <w:hyperlink w:anchor="_Toc14159" w:history="1">
            <w:r>
              <w:rPr>
                <w:szCs w:val="24"/>
              </w:rPr>
              <w:t>Company Overview</w:t>
            </w:r>
            <w:r>
              <w:tab/>
            </w:r>
            <w:r>
              <w:fldChar w:fldCharType="begin"/>
            </w:r>
            <w:r>
              <w:instrText xml:space="preserve"> PAGEREF _Toc14159 \h </w:instrText>
            </w:r>
            <w:r>
              <w:fldChar w:fldCharType="separate"/>
            </w:r>
            <w:r>
              <w:t>3</w:t>
            </w:r>
            <w:r>
              <w:fldChar w:fldCharType="end"/>
            </w:r>
          </w:hyperlink>
        </w:p>
        <w:p w:rsidR="00D61F90" w:rsidRDefault="005F6697">
          <w:pPr>
            <w:pStyle w:val="WPSOffice2"/>
            <w:tabs>
              <w:tab w:val="right" w:leader="dot" w:pos="8306"/>
            </w:tabs>
          </w:pPr>
          <w:hyperlink w:anchor="_Toc28992" w:history="1">
            <w:r>
              <w:rPr>
                <w:szCs w:val="24"/>
              </w:rPr>
              <w:t>1. Organizational Structure and Culture</w:t>
            </w:r>
            <w:r>
              <w:tab/>
            </w:r>
            <w:r>
              <w:fldChar w:fldCharType="begin"/>
            </w:r>
            <w:r>
              <w:instrText xml:space="preserve"> PAGEREF _Toc28992 \h </w:instrText>
            </w:r>
            <w:r>
              <w:fldChar w:fldCharType="separate"/>
            </w:r>
            <w:r>
              <w:t>4</w:t>
            </w:r>
            <w:r>
              <w:fldChar w:fldCharType="end"/>
            </w:r>
          </w:hyperlink>
        </w:p>
        <w:p w:rsidR="00D61F90" w:rsidRDefault="005F6697">
          <w:pPr>
            <w:pStyle w:val="WPSOffice3"/>
            <w:tabs>
              <w:tab w:val="right" w:leader="dot" w:pos="8306"/>
            </w:tabs>
          </w:pPr>
          <w:hyperlink w:anchor="_Toc28426" w:history="1">
            <w:r>
              <w:rPr>
                <w:szCs w:val="24"/>
              </w:rPr>
              <w:t>Corporate Level</w:t>
            </w:r>
            <w:r>
              <w:tab/>
            </w:r>
            <w:r>
              <w:fldChar w:fldCharType="begin"/>
            </w:r>
            <w:r>
              <w:instrText xml:space="preserve"> PAGEREF _</w:instrText>
            </w:r>
            <w:r>
              <w:instrText xml:space="preserve">Toc28426 \h </w:instrText>
            </w:r>
            <w:r>
              <w:fldChar w:fldCharType="separate"/>
            </w:r>
            <w:r>
              <w:t>5</w:t>
            </w:r>
            <w:r>
              <w:fldChar w:fldCharType="end"/>
            </w:r>
          </w:hyperlink>
        </w:p>
        <w:p w:rsidR="00D61F90" w:rsidRDefault="005F6697">
          <w:pPr>
            <w:pStyle w:val="WPSOffice1"/>
            <w:tabs>
              <w:tab w:val="right" w:leader="dot" w:pos="8306"/>
            </w:tabs>
          </w:pPr>
          <w:hyperlink w:anchor="_Toc30663" w:history="1">
            <w:r>
              <w:rPr>
                <w:szCs w:val="24"/>
              </w:rPr>
              <w:t>Figure 2: Unilever’s Corporate Hierarchy</w:t>
            </w:r>
            <w:r>
              <w:tab/>
            </w:r>
            <w:r>
              <w:fldChar w:fldCharType="begin"/>
            </w:r>
            <w:r>
              <w:instrText xml:space="preserve"> PAGEREF _Toc30663 \h </w:instrText>
            </w:r>
            <w:r>
              <w:fldChar w:fldCharType="separate"/>
            </w:r>
            <w:r>
              <w:t>5</w:t>
            </w:r>
            <w:r>
              <w:fldChar w:fldCharType="end"/>
            </w:r>
          </w:hyperlink>
        </w:p>
        <w:p w:rsidR="00D61F90" w:rsidRDefault="005F6697">
          <w:pPr>
            <w:pStyle w:val="WPSOffice3"/>
            <w:tabs>
              <w:tab w:val="right" w:leader="dot" w:pos="8306"/>
            </w:tabs>
          </w:pPr>
          <w:hyperlink w:anchor="_Toc2160" w:history="1">
            <w:r>
              <w:rPr>
                <w:szCs w:val="24"/>
              </w:rPr>
              <w:t>Regional Level</w:t>
            </w:r>
            <w:r>
              <w:tab/>
            </w:r>
            <w:r>
              <w:fldChar w:fldCharType="begin"/>
            </w:r>
            <w:r>
              <w:instrText xml:space="preserve"> PAGEREF _Toc2160 \h </w:instrText>
            </w:r>
            <w:r>
              <w:fldChar w:fldCharType="separate"/>
            </w:r>
            <w:r>
              <w:t>6</w:t>
            </w:r>
            <w:r>
              <w:fldChar w:fldCharType="end"/>
            </w:r>
          </w:hyperlink>
        </w:p>
        <w:p w:rsidR="00D61F90" w:rsidRDefault="005F6697">
          <w:pPr>
            <w:pStyle w:val="WPSOffice1"/>
            <w:tabs>
              <w:tab w:val="right" w:leader="dot" w:pos="8306"/>
            </w:tabs>
          </w:pPr>
          <w:hyperlink w:anchor="_Toc580" w:history="1">
            <w:r>
              <w:rPr>
                <w:bCs/>
                <w:szCs w:val="24"/>
              </w:rPr>
              <w:t>Figure 3:</w:t>
            </w:r>
            <w:r>
              <w:rPr>
                <w:szCs w:val="24"/>
              </w:rPr>
              <w:t xml:space="preserve"> Regional Structure</w:t>
            </w:r>
            <w:r>
              <w:tab/>
            </w:r>
            <w:r>
              <w:fldChar w:fldCharType="begin"/>
            </w:r>
            <w:r>
              <w:instrText xml:space="preserve"> PAGEREF _Toc580 \h </w:instrText>
            </w:r>
            <w:r>
              <w:fldChar w:fldCharType="separate"/>
            </w:r>
            <w:r>
              <w:t>6</w:t>
            </w:r>
            <w:r>
              <w:fldChar w:fldCharType="end"/>
            </w:r>
          </w:hyperlink>
        </w:p>
        <w:p w:rsidR="00D61F90" w:rsidRDefault="005F6697">
          <w:pPr>
            <w:pStyle w:val="WPSOffice3"/>
            <w:tabs>
              <w:tab w:val="right" w:leader="dot" w:pos="8306"/>
            </w:tabs>
          </w:pPr>
          <w:hyperlink w:anchor="_Toc19467" w:history="1">
            <w:r>
              <w:rPr>
                <w:szCs w:val="24"/>
              </w:rPr>
              <w:t>Local Level</w:t>
            </w:r>
            <w:r>
              <w:tab/>
            </w:r>
            <w:r>
              <w:fldChar w:fldCharType="begin"/>
            </w:r>
            <w:r>
              <w:instrText xml:space="preserve"> PAGEREF _Toc19467 \h </w:instrText>
            </w:r>
            <w:r>
              <w:fldChar w:fldCharType="separate"/>
            </w:r>
            <w:r>
              <w:t>7</w:t>
            </w:r>
            <w:r>
              <w:fldChar w:fldCharType="end"/>
            </w:r>
          </w:hyperlink>
        </w:p>
        <w:p w:rsidR="00D61F90" w:rsidRDefault="005F6697">
          <w:pPr>
            <w:pStyle w:val="WPSOffice3"/>
            <w:tabs>
              <w:tab w:val="right" w:leader="dot" w:pos="8306"/>
            </w:tabs>
          </w:pPr>
          <w:hyperlink w:anchor="_Toc22749" w:history="1">
            <w:r>
              <w:rPr>
                <w:szCs w:val="24"/>
              </w:rPr>
              <w:t>1. Country Manager</w:t>
            </w:r>
            <w:r>
              <w:tab/>
            </w:r>
            <w:r>
              <w:fldChar w:fldCharType="begin"/>
            </w:r>
            <w:r>
              <w:instrText xml:space="preserve"> PAGEREF _Toc22749 \h </w:instrText>
            </w:r>
            <w:r>
              <w:fldChar w:fldCharType="separate"/>
            </w:r>
            <w:r>
              <w:t>7</w:t>
            </w:r>
            <w:r>
              <w:fldChar w:fldCharType="end"/>
            </w:r>
          </w:hyperlink>
        </w:p>
        <w:p w:rsidR="00D61F90" w:rsidRDefault="005F6697">
          <w:pPr>
            <w:pStyle w:val="WPSOffice3"/>
            <w:tabs>
              <w:tab w:val="right" w:leader="dot" w:pos="8306"/>
            </w:tabs>
          </w:pPr>
          <w:hyperlink w:anchor="_Toc1061" w:history="1">
            <w:r>
              <w:rPr>
                <w:szCs w:val="24"/>
              </w:rPr>
              <w:t>2. Marketing Director</w:t>
            </w:r>
            <w:r>
              <w:tab/>
            </w:r>
            <w:r>
              <w:fldChar w:fldCharType="begin"/>
            </w:r>
            <w:r>
              <w:instrText xml:space="preserve"> PAGEREF _Toc1061 \h </w:instrText>
            </w:r>
            <w:r>
              <w:fldChar w:fldCharType="separate"/>
            </w:r>
            <w:r>
              <w:t>7</w:t>
            </w:r>
            <w:r>
              <w:fldChar w:fldCharType="end"/>
            </w:r>
          </w:hyperlink>
        </w:p>
        <w:p w:rsidR="00D61F90" w:rsidRDefault="005F6697">
          <w:pPr>
            <w:pStyle w:val="WPSOffice3"/>
            <w:tabs>
              <w:tab w:val="right" w:leader="dot" w:pos="8306"/>
            </w:tabs>
          </w:pPr>
          <w:hyperlink w:anchor="_Toc7302" w:history="1">
            <w:r>
              <w:rPr>
                <w:szCs w:val="24"/>
              </w:rPr>
              <w:t>3. Supply Chain Director</w:t>
            </w:r>
            <w:r>
              <w:tab/>
            </w:r>
            <w:r>
              <w:fldChar w:fldCharType="begin"/>
            </w:r>
            <w:r>
              <w:instrText xml:space="preserve"> PAGEREF _Toc7302 \h </w:instrText>
            </w:r>
            <w:r>
              <w:fldChar w:fldCharType="separate"/>
            </w:r>
            <w:r>
              <w:t>8</w:t>
            </w:r>
            <w:r>
              <w:fldChar w:fldCharType="end"/>
            </w:r>
          </w:hyperlink>
        </w:p>
        <w:p w:rsidR="00D61F90" w:rsidRDefault="005F6697">
          <w:pPr>
            <w:pStyle w:val="WPSOffice3"/>
            <w:tabs>
              <w:tab w:val="right" w:leader="dot" w:pos="8306"/>
            </w:tabs>
          </w:pPr>
          <w:hyperlink w:anchor="_Toc5738" w:history="1">
            <w:r>
              <w:rPr>
                <w:szCs w:val="24"/>
              </w:rPr>
              <w:t>4. Human Resources Director</w:t>
            </w:r>
            <w:r>
              <w:tab/>
            </w:r>
            <w:r>
              <w:fldChar w:fldCharType="begin"/>
            </w:r>
            <w:r>
              <w:instrText xml:space="preserve"> PAGEREF _Toc5738 \h </w:instrText>
            </w:r>
            <w:r>
              <w:fldChar w:fldCharType="separate"/>
            </w:r>
            <w:r>
              <w:t>8</w:t>
            </w:r>
            <w:r>
              <w:fldChar w:fldCharType="end"/>
            </w:r>
          </w:hyperlink>
        </w:p>
        <w:p w:rsidR="00D61F90" w:rsidRDefault="005F6697">
          <w:pPr>
            <w:pStyle w:val="WPSOffice3"/>
            <w:tabs>
              <w:tab w:val="right" w:leader="dot" w:pos="8306"/>
            </w:tabs>
          </w:pPr>
          <w:hyperlink w:anchor="_Toc27292" w:history="1">
            <w:r>
              <w:rPr>
                <w:szCs w:val="24"/>
              </w:rPr>
              <w:t>5. Finance Director</w:t>
            </w:r>
            <w:r>
              <w:tab/>
            </w:r>
            <w:r>
              <w:fldChar w:fldCharType="begin"/>
            </w:r>
            <w:r>
              <w:instrText xml:space="preserve"> PAGEREF _Toc27292 \h </w:instrText>
            </w:r>
            <w:r>
              <w:fldChar w:fldCharType="separate"/>
            </w:r>
            <w:r>
              <w:t>8</w:t>
            </w:r>
            <w:r>
              <w:fldChar w:fldCharType="end"/>
            </w:r>
          </w:hyperlink>
        </w:p>
        <w:p w:rsidR="00D61F90" w:rsidRDefault="005F6697">
          <w:pPr>
            <w:pStyle w:val="WPSOffice2"/>
            <w:tabs>
              <w:tab w:val="right" w:leader="dot" w:pos="8306"/>
            </w:tabs>
          </w:pPr>
          <w:hyperlink w:anchor="_Toc18331" w:history="1">
            <w:r>
              <w:rPr>
                <w:szCs w:val="24"/>
              </w:rPr>
              <w:t>Organizational Culture</w:t>
            </w:r>
            <w:r>
              <w:tab/>
            </w:r>
            <w:r>
              <w:fldChar w:fldCharType="begin"/>
            </w:r>
            <w:r>
              <w:instrText xml:space="preserve"> PAGEREF _Toc18</w:instrText>
            </w:r>
            <w:r>
              <w:instrText xml:space="preserve">331 \h </w:instrText>
            </w:r>
            <w:r>
              <w:fldChar w:fldCharType="separate"/>
            </w:r>
            <w:r>
              <w:t>9</w:t>
            </w:r>
            <w:r>
              <w:fldChar w:fldCharType="end"/>
            </w:r>
          </w:hyperlink>
        </w:p>
        <w:p w:rsidR="00D61F90" w:rsidRDefault="005F6697">
          <w:pPr>
            <w:pStyle w:val="WPSOffice2"/>
            <w:tabs>
              <w:tab w:val="right" w:leader="dot" w:pos="8306"/>
            </w:tabs>
          </w:pPr>
          <w:hyperlink w:anchor="_Toc1613" w:history="1">
            <w:r>
              <w:rPr>
                <w:szCs w:val="24"/>
              </w:rPr>
              <w:t>Unilever's Structure and Culture Impact Of Performances</w:t>
            </w:r>
            <w:r>
              <w:tab/>
            </w:r>
            <w:r>
              <w:fldChar w:fldCharType="begin"/>
            </w:r>
            <w:r>
              <w:instrText xml:space="preserve"> PAGEREF _Toc1613 \h </w:instrText>
            </w:r>
            <w:r>
              <w:fldChar w:fldCharType="separate"/>
            </w:r>
            <w:r>
              <w:t>9</w:t>
            </w:r>
            <w:r>
              <w:fldChar w:fldCharType="end"/>
            </w:r>
          </w:hyperlink>
        </w:p>
        <w:p w:rsidR="00D61F90" w:rsidRDefault="005F6697">
          <w:pPr>
            <w:pStyle w:val="WPSOffice2"/>
            <w:tabs>
              <w:tab w:val="right" w:leader="dot" w:pos="8306"/>
            </w:tabs>
          </w:pPr>
          <w:hyperlink w:anchor="_Toc25052" w:history="1">
            <w:r>
              <w:rPr>
                <w:szCs w:val="24"/>
              </w:rPr>
              <w:t>Part 2: How Unilever Motivates Its Employees</w:t>
            </w:r>
            <w:r>
              <w:tab/>
            </w:r>
            <w:r>
              <w:fldChar w:fldCharType="begin"/>
            </w:r>
            <w:r>
              <w:instrText xml:space="preserve"> PAGEREF _Toc25052 \h </w:instrText>
            </w:r>
            <w:r>
              <w:fldChar w:fldCharType="separate"/>
            </w:r>
            <w:r>
              <w:t>10</w:t>
            </w:r>
            <w:r>
              <w:fldChar w:fldCharType="end"/>
            </w:r>
          </w:hyperlink>
        </w:p>
        <w:p w:rsidR="00D61F90" w:rsidRDefault="005F6697">
          <w:pPr>
            <w:pStyle w:val="WPSOffice2"/>
            <w:tabs>
              <w:tab w:val="right" w:leader="dot" w:pos="8306"/>
            </w:tabs>
          </w:pPr>
          <w:hyperlink w:anchor="_Toc32304" w:history="1">
            <w:r>
              <w:rPr>
                <w:szCs w:val="24"/>
              </w:rPr>
              <w:t>References</w:t>
            </w:r>
            <w:r>
              <w:tab/>
            </w:r>
            <w:r>
              <w:fldChar w:fldCharType="begin"/>
            </w:r>
            <w:r>
              <w:instrText xml:space="preserve"> PAGEREF </w:instrText>
            </w:r>
            <w:r>
              <w:instrText xml:space="preserve">_Toc32304 \h </w:instrText>
            </w:r>
            <w:r>
              <w:fldChar w:fldCharType="separate"/>
            </w:r>
            <w:r>
              <w:t>12</w:t>
            </w:r>
            <w:r>
              <w:fldChar w:fldCharType="end"/>
            </w:r>
          </w:hyperlink>
        </w:p>
        <w:p w:rsidR="00D61F90" w:rsidRDefault="005F6697">
          <w:pPr>
            <w:rPr>
              <w:rFonts w:ascii="Times New Roman" w:hAnsi="Times New Roman" w:cs="Times New Roman"/>
              <w:color w:val="000000" w:themeColor="text1"/>
              <w:sz w:val="24"/>
              <w:szCs w:val="24"/>
            </w:rPr>
          </w:pPr>
          <w:r>
            <w:rPr>
              <w:rFonts w:ascii="Times New Roman" w:hAnsi="Times New Roman" w:cs="Times New Roman"/>
              <w:color w:val="000000" w:themeColor="text1"/>
              <w:szCs w:val="24"/>
            </w:rPr>
            <w:fldChar w:fldCharType="end"/>
          </w:r>
        </w:p>
      </w:sdtContent>
    </w:sdt>
    <w:p w:rsidR="00D61F90" w:rsidRDefault="005F6697">
      <w:pPr>
        <w:rPr>
          <w:rFonts w:ascii="Times New Roman" w:hAnsi="Times New Roman" w:cs="Times New Roman"/>
          <w:color w:val="000000" w:themeColor="text1"/>
          <w:sz w:val="24"/>
          <w:szCs w:val="24"/>
        </w:rPr>
      </w:pPr>
      <w:bookmarkStart w:id="0" w:name="_Toc5221"/>
      <w:r>
        <w:rPr>
          <w:rFonts w:ascii="Times New Roman" w:hAnsi="Times New Roman" w:cs="Times New Roman"/>
          <w:color w:val="000000" w:themeColor="text1"/>
          <w:sz w:val="24"/>
          <w:szCs w:val="24"/>
        </w:rPr>
        <w:br w:type="page"/>
      </w:r>
    </w:p>
    <w:p w:rsidR="00D61F90" w:rsidRDefault="005F6697">
      <w:pPr>
        <w:pStyle w:val="Titlu3"/>
        <w:spacing w:after="20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Introduction</w:t>
      </w:r>
      <w:bookmarkEnd w:id="0"/>
    </w:p>
    <w:p w:rsidR="00D61F90" w:rsidRDefault="005F6697">
      <w:pPr>
        <w:spacing w:after="20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In this report, we will examine how organizational structure and culture relate to organizational performance and how employee </w:t>
      </w:r>
      <w:r>
        <w:rPr>
          <w:rFonts w:ascii="Times New Roman" w:hAnsi="Times New Roman" w:cs="Times New Roman"/>
          <w:color w:val="000000" w:themeColor="text1"/>
          <w:sz w:val="24"/>
          <w:szCs w:val="24"/>
        </w:rPr>
        <w:t>motivation affects organizational goals. The organization that we have chosen for this report is Unilever which is one of the largest retailers in the UK, with presence in over 190 countries. Unilever has a diverse portfolio of well-known brands, including</w:t>
      </w:r>
      <w:r>
        <w:rPr>
          <w:rFonts w:ascii="Times New Roman" w:hAnsi="Times New Roman" w:cs="Times New Roman"/>
          <w:color w:val="000000" w:themeColor="text1"/>
          <w:sz w:val="24"/>
          <w:szCs w:val="24"/>
        </w:rPr>
        <w:t xml:space="preserve"> Dove, Lipton, Knorr, and Hellmann's, among others. The company has received numerous awards for its commitment to sustainability, social responsibility, and ethical business practices.</w:t>
      </w:r>
    </w:p>
    <w:p w:rsidR="00D61F90" w:rsidRDefault="005F6697">
      <w:pPr>
        <w:spacing w:after="20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first part of this report will explore how Unilever's organization</w:t>
      </w:r>
      <w:r>
        <w:rPr>
          <w:rFonts w:ascii="Times New Roman" w:hAnsi="Times New Roman" w:cs="Times New Roman"/>
          <w:color w:val="000000" w:themeColor="text1"/>
          <w:sz w:val="24"/>
          <w:szCs w:val="24"/>
        </w:rPr>
        <w:t>al structure and culture have contributed to its performance. We will examine how the hierarchical structure of the company facilitates decision-making and coordination of activities across the organization. Additionally, we will analyze how Unilever's cul</w:t>
      </w:r>
      <w:r>
        <w:rPr>
          <w:rFonts w:ascii="Times New Roman" w:hAnsi="Times New Roman" w:cs="Times New Roman"/>
          <w:color w:val="000000" w:themeColor="text1"/>
          <w:sz w:val="24"/>
          <w:szCs w:val="24"/>
        </w:rPr>
        <w:t xml:space="preserve">ture of sustainability, diversity, and inclusion has helped the company to attract and retain customers, foster innovation, and create a sense of purpose and shared values among its employees. In the second part of the report, we will examine how Unilever </w:t>
      </w:r>
      <w:r>
        <w:rPr>
          <w:rFonts w:ascii="Times New Roman" w:hAnsi="Times New Roman" w:cs="Times New Roman"/>
          <w:color w:val="000000" w:themeColor="text1"/>
          <w:sz w:val="24"/>
          <w:szCs w:val="24"/>
        </w:rPr>
        <w:t>motivates its employees. It will also explore how Unilever's employee motivation strategies align with the company's organizational goals and contribute to the achievement of those goals.</w:t>
      </w:r>
    </w:p>
    <w:p w:rsidR="00D61F90" w:rsidRDefault="005F6697">
      <w:pPr>
        <w:pStyle w:val="Titlu2"/>
        <w:spacing w:after="200" w:line="360" w:lineRule="auto"/>
        <w:rPr>
          <w:rFonts w:ascii="Times New Roman" w:hAnsi="Times New Roman" w:cs="Times New Roman"/>
          <w:color w:val="000000" w:themeColor="text1"/>
          <w:sz w:val="24"/>
          <w:szCs w:val="24"/>
        </w:rPr>
      </w:pPr>
      <w:bookmarkStart w:id="1" w:name="_Toc14159"/>
      <w:r>
        <w:rPr>
          <w:rFonts w:ascii="Times New Roman" w:hAnsi="Times New Roman" w:cs="Times New Roman"/>
          <w:color w:val="000000" w:themeColor="text1"/>
          <w:sz w:val="24"/>
          <w:szCs w:val="24"/>
        </w:rPr>
        <w:t>Company Overview</w:t>
      </w:r>
      <w:bookmarkEnd w:id="1"/>
      <w:r>
        <w:rPr>
          <w:rFonts w:ascii="Times New Roman" w:hAnsi="Times New Roman" w:cs="Times New Roman"/>
          <w:color w:val="000000" w:themeColor="text1"/>
          <w:sz w:val="24"/>
          <w:szCs w:val="24"/>
        </w:rPr>
        <w:t>:</w:t>
      </w:r>
    </w:p>
    <w:p w:rsidR="00D61F90" w:rsidRDefault="005F6697">
      <w:pPr>
        <w:spacing w:after="20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Unilever is a multinational consumer goods company</w:t>
      </w:r>
      <w:r>
        <w:rPr>
          <w:rFonts w:ascii="Times New Roman" w:hAnsi="Times New Roman" w:cs="Times New Roman"/>
          <w:color w:val="000000" w:themeColor="text1"/>
          <w:sz w:val="24"/>
          <w:szCs w:val="24"/>
        </w:rPr>
        <w:t xml:space="preserve"> headquartered in London, England. Founded in 1929, the company has grown to become one of the largest retailers in the world. Unilever is a publicly traded company and currently employs approximately 169,000 people worldwide. Its portfolio consists of wel</w:t>
      </w:r>
      <w:r>
        <w:rPr>
          <w:rFonts w:ascii="Times New Roman" w:hAnsi="Times New Roman" w:cs="Times New Roman"/>
          <w:color w:val="000000" w:themeColor="text1"/>
          <w:sz w:val="24"/>
          <w:szCs w:val="24"/>
        </w:rPr>
        <w:t>l-known brands such as Dove, Lipton, Knorr, Ben &amp; Jerry's, and Hellmann's. Unilever is committed to driving sustainable growth while also protecting the environment and promoting social responsibility (Unilever 2015).</w:t>
      </w:r>
    </w:p>
    <w:p w:rsidR="00D61F90" w:rsidRDefault="005F6697">
      <w:pPr>
        <w:pStyle w:val="Titlu2"/>
        <w:numPr>
          <w:ilvl w:val="0"/>
          <w:numId w:val="1"/>
        </w:numPr>
        <w:spacing w:after="200" w:line="360" w:lineRule="auto"/>
        <w:rPr>
          <w:rFonts w:ascii="Times New Roman" w:hAnsi="Times New Roman" w:cs="Times New Roman"/>
          <w:color w:val="000000" w:themeColor="text1"/>
          <w:sz w:val="24"/>
          <w:szCs w:val="24"/>
        </w:rPr>
      </w:pPr>
      <w:bookmarkStart w:id="2" w:name="_Toc28992"/>
      <w:r>
        <w:rPr>
          <w:rFonts w:ascii="Times New Roman" w:hAnsi="Times New Roman" w:cs="Times New Roman"/>
          <w:color w:val="000000" w:themeColor="text1"/>
          <w:sz w:val="24"/>
          <w:szCs w:val="24"/>
        </w:rPr>
        <w:lastRenderedPageBreak/>
        <w:t>Organizational Structure and Culture</w:t>
      </w:r>
      <w:bookmarkEnd w:id="2"/>
    </w:p>
    <w:p w:rsidR="00D61F90" w:rsidRDefault="005F6697">
      <w:pPr>
        <w:rPr>
          <w:color w:val="000000" w:themeColor="text1"/>
        </w:rPr>
      </w:pPr>
      <w:r>
        <w:rPr>
          <w:noProof/>
          <w:color w:val="000000" w:themeColor="text1"/>
          <w:lang w:eastAsia="en-US"/>
        </w:rPr>
        <w:drawing>
          <wp:inline distT="0" distB="0" distL="114300" distR="114300">
            <wp:extent cx="5265420" cy="4028440"/>
            <wp:effectExtent l="0" t="0" r="11430" b="1016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pic:cNvPicPr>
                      <a:picLocks noChangeAspect="1"/>
                    </pic:cNvPicPr>
                  </pic:nvPicPr>
                  <pic:blipFill>
                    <a:blip r:embed="rId10"/>
                    <a:stretch>
                      <a:fillRect/>
                    </a:stretch>
                  </pic:blipFill>
                  <pic:spPr>
                    <a:xfrm>
                      <a:off x="0" y="0"/>
                      <a:ext cx="5265420" cy="4028440"/>
                    </a:xfrm>
                    <a:prstGeom prst="rect">
                      <a:avLst/>
                    </a:prstGeom>
                    <a:noFill/>
                    <a:ln>
                      <a:noFill/>
                    </a:ln>
                  </pic:spPr>
                </pic:pic>
              </a:graphicData>
            </a:graphic>
          </wp:inline>
        </w:drawing>
      </w:r>
    </w:p>
    <w:p w:rsidR="00D61F90" w:rsidRDefault="005F6697">
      <w:pPr>
        <w:rPr>
          <w:color w:val="000000" w:themeColor="text1"/>
        </w:rPr>
      </w:pPr>
      <w:r>
        <w:rPr>
          <w:color w:val="000000" w:themeColor="text1"/>
        </w:rPr>
        <w:t>Figure 1: Organizational structure at Unilever (nd, Unilever’s Organizational Structure)</w:t>
      </w:r>
    </w:p>
    <w:p w:rsidR="00D61F90" w:rsidRDefault="00D61F90">
      <w:pPr>
        <w:rPr>
          <w:color w:val="000000" w:themeColor="text1"/>
        </w:rPr>
      </w:pPr>
    </w:p>
    <w:p w:rsidR="00D61F90" w:rsidRDefault="005F6697">
      <w:pPr>
        <w:spacing w:after="20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In order to understand how Unilever's organizational structure and culture have contributed to its performance, it is important to first examine the hierarchical str</w:t>
      </w:r>
      <w:r>
        <w:rPr>
          <w:rFonts w:ascii="Times New Roman" w:hAnsi="Times New Roman" w:cs="Times New Roman"/>
          <w:color w:val="000000" w:themeColor="text1"/>
          <w:sz w:val="24"/>
          <w:szCs w:val="24"/>
        </w:rPr>
        <w:t xml:space="preserve">ucture of the company. Unilever's hierarchical structure is divided into three main levels: corporate, regional, and local. </w:t>
      </w:r>
    </w:p>
    <w:p w:rsidR="00D61F90" w:rsidRDefault="005F6697">
      <w:pPr>
        <w:pStyle w:val="Titlu3"/>
        <w:spacing w:after="200" w:line="360" w:lineRule="auto"/>
        <w:rPr>
          <w:rFonts w:ascii="Times New Roman" w:hAnsi="Times New Roman" w:cs="Times New Roman"/>
          <w:color w:val="000000" w:themeColor="text1"/>
          <w:sz w:val="24"/>
          <w:szCs w:val="24"/>
        </w:rPr>
      </w:pPr>
      <w:bookmarkStart w:id="3" w:name="_Toc28426"/>
      <w:r>
        <w:rPr>
          <w:rFonts w:ascii="Times New Roman" w:hAnsi="Times New Roman" w:cs="Times New Roman"/>
          <w:color w:val="000000" w:themeColor="text1"/>
          <w:sz w:val="24"/>
          <w:szCs w:val="24"/>
        </w:rPr>
        <w:t>Corporate Level</w:t>
      </w:r>
      <w:bookmarkEnd w:id="3"/>
      <w:r>
        <w:rPr>
          <w:rFonts w:ascii="Times New Roman" w:hAnsi="Times New Roman" w:cs="Times New Roman"/>
          <w:color w:val="000000" w:themeColor="text1"/>
          <w:sz w:val="24"/>
          <w:szCs w:val="24"/>
        </w:rPr>
        <w:t xml:space="preserve"> </w:t>
      </w:r>
    </w:p>
    <w:p w:rsidR="00D61F90" w:rsidRDefault="005F6697">
      <w:pPr>
        <w:rPr>
          <w:color w:val="000000" w:themeColor="text1"/>
        </w:rPr>
      </w:pPr>
      <w:r>
        <w:rPr>
          <w:noProof/>
          <w:color w:val="000000" w:themeColor="text1"/>
          <w:lang w:eastAsia="en-US"/>
        </w:rPr>
        <w:drawing>
          <wp:inline distT="0" distB="0" distL="114300" distR="114300">
            <wp:extent cx="3482340" cy="2476500"/>
            <wp:effectExtent l="19050" t="0" r="2286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D61F90" w:rsidRDefault="005F6697">
      <w:pPr>
        <w:jc w:val="center"/>
        <w:outlineLvl w:val="0"/>
        <w:rPr>
          <w:color w:val="000000" w:themeColor="text1"/>
          <w:sz w:val="24"/>
          <w:szCs w:val="24"/>
        </w:rPr>
      </w:pPr>
      <w:bookmarkStart w:id="4" w:name="_Toc30663"/>
      <w:r>
        <w:rPr>
          <w:color w:val="000000" w:themeColor="text1"/>
          <w:sz w:val="24"/>
          <w:szCs w:val="24"/>
        </w:rPr>
        <w:lastRenderedPageBreak/>
        <w:t>Figure 2: Unilever’s Corporate Hierarchy</w:t>
      </w:r>
      <w:bookmarkEnd w:id="4"/>
    </w:p>
    <w:p w:rsidR="00D61F90" w:rsidRDefault="00D61F90">
      <w:pPr>
        <w:jc w:val="center"/>
        <w:rPr>
          <w:color w:val="000000" w:themeColor="text1"/>
          <w:sz w:val="24"/>
          <w:szCs w:val="24"/>
        </w:rPr>
      </w:pPr>
    </w:p>
    <w:p w:rsidR="00D61F90" w:rsidRDefault="005F6697">
      <w:pPr>
        <w:spacing w:after="200" w:line="360" w:lineRule="auto"/>
        <w:rPr>
          <w:rFonts w:ascii="Times New Roman" w:hAnsi="Times New Roman" w:cs="Times New Roman"/>
          <w:color w:val="000000" w:themeColor="text1"/>
          <w:sz w:val="24"/>
          <w:szCs w:val="24"/>
        </w:rPr>
      </w:pPr>
      <w:r>
        <w:rPr>
          <w:rFonts w:ascii="Times New Roman" w:hAnsi="Times New Roman"/>
          <w:color w:val="000000" w:themeColor="text1"/>
          <w:sz w:val="24"/>
          <w:szCs w:val="24"/>
        </w:rPr>
        <w:t>Unilever's corporate structure includes a Board of Directors at the to</w:t>
      </w:r>
      <w:r>
        <w:rPr>
          <w:rFonts w:ascii="Times New Roman" w:hAnsi="Times New Roman"/>
          <w:color w:val="000000" w:themeColor="text1"/>
          <w:sz w:val="24"/>
          <w:szCs w:val="24"/>
        </w:rPr>
        <w:t>p, responsible for setting overall strategy and overseeing operations, comprised of non-executive and executive directors. Below the Board is the Executive Leadership Team, responsible for implementing strategy and managing day-to-day operations, led by th</w:t>
      </w:r>
      <w:r>
        <w:rPr>
          <w:rFonts w:ascii="Times New Roman" w:hAnsi="Times New Roman"/>
          <w:color w:val="000000" w:themeColor="text1"/>
          <w:sz w:val="24"/>
          <w:szCs w:val="24"/>
        </w:rPr>
        <w:t>e CEO and CFO, with other senior executives responsible for various areas of the business</w:t>
      </w:r>
      <w:r>
        <w:rPr>
          <w:rFonts w:ascii="Times New Roman" w:hAnsi="Times New Roman" w:cs="Times New Roman"/>
          <w:color w:val="000000" w:themeColor="text1"/>
          <w:sz w:val="24"/>
          <w:szCs w:val="24"/>
        </w:rPr>
        <w:t>.</w:t>
      </w:r>
    </w:p>
    <w:p w:rsidR="00D61F90" w:rsidRDefault="005F6697">
      <w:pPr>
        <w:spacing w:after="200" w:line="360" w:lineRule="auto"/>
        <w:rPr>
          <w:rFonts w:ascii="Times New Roman" w:hAnsi="Times New Roman" w:cs="Times New Roman"/>
          <w:color w:val="000000" w:themeColor="text1"/>
          <w:sz w:val="24"/>
          <w:szCs w:val="24"/>
        </w:rPr>
      </w:pPr>
      <w:r>
        <w:rPr>
          <w:rFonts w:ascii="Times New Roman" w:hAnsi="Times New Roman"/>
          <w:color w:val="000000" w:themeColor="text1"/>
          <w:sz w:val="24"/>
          <w:szCs w:val="24"/>
        </w:rPr>
        <w:t xml:space="preserve">Corporate functions including finance, legal, communications, and sustainability support the ELT. Each function is led by a senior executive who reports to the </w:t>
      </w:r>
      <w:r>
        <w:rPr>
          <w:rFonts w:ascii="Times New Roman" w:hAnsi="Times New Roman"/>
          <w:color w:val="000000" w:themeColor="text1"/>
          <w:sz w:val="24"/>
          <w:szCs w:val="24"/>
        </w:rPr>
        <w:t>ELT. Unilever also has regional and local organizations to manage operations around the world. Regional presidents and country managers report to the ELT.</w:t>
      </w:r>
      <w:r>
        <w:rPr>
          <w:rFonts w:ascii="Times New Roman" w:hAnsi="Times New Roman" w:cs="Times New Roman"/>
          <w:color w:val="000000" w:themeColor="text1"/>
          <w:sz w:val="24"/>
          <w:szCs w:val="24"/>
        </w:rPr>
        <w:t xml:space="preserve"> </w:t>
      </w:r>
      <w:r>
        <w:rPr>
          <w:rFonts w:ascii="Times New Roman" w:hAnsi="Times New Roman"/>
          <w:color w:val="000000" w:themeColor="text1"/>
          <w:sz w:val="24"/>
          <w:szCs w:val="24"/>
        </w:rPr>
        <w:t>Unilever's corporate hierarchical structure is designed to ensure effective implementation of the com</w:t>
      </w:r>
      <w:r>
        <w:rPr>
          <w:rFonts w:ascii="Times New Roman" w:hAnsi="Times New Roman"/>
          <w:color w:val="000000" w:themeColor="text1"/>
          <w:sz w:val="24"/>
          <w:szCs w:val="24"/>
        </w:rPr>
        <w:t>pany's strategy and efficient management of operations. This helps the company operate effectively in a complex global environment through clear chain of command and well-defined roles</w:t>
      </w:r>
      <w:r>
        <w:rPr>
          <w:rFonts w:ascii="Times New Roman" w:hAnsi="Times New Roman"/>
          <w:color w:val="000000" w:themeColor="text1"/>
          <w:sz w:val="24"/>
          <w:szCs w:val="24"/>
        </w:rPr>
        <w:t>.</w:t>
      </w:r>
    </w:p>
    <w:p w:rsidR="00D61F90" w:rsidRDefault="005F6697">
      <w:pPr>
        <w:pStyle w:val="Titlu3"/>
        <w:spacing w:after="200" w:line="360" w:lineRule="auto"/>
        <w:rPr>
          <w:rFonts w:ascii="Times New Roman" w:hAnsi="Times New Roman" w:cs="Times New Roman"/>
          <w:color w:val="000000" w:themeColor="text1"/>
          <w:sz w:val="24"/>
          <w:szCs w:val="24"/>
        </w:rPr>
      </w:pPr>
      <w:bookmarkStart w:id="5" w:name="_Toc2160"/>
      <w:r>
        <w:rPr>
          <w:rFonts w:ascii="Times New Roman" w:hAnsi="Times New Roman" w:cs="Times New Roman"/>
          <w:color w:val="000000" w:themeColor="text1"/>
          <w:sz w:val="24"/>
          <w:szCs w:val="24"/>
        </w:rPr>
        <w:t>Regional Level</w:t>
      </w:r>
      <w:bookmarkEnd w:id="5"/>
      <w:r>
        <w:rPr>
          <w:rFonts w:ascii="Times New Roman" w:hAnsi="Times New Roman" w:cs="Times New Roman"/>
          <w:color w:val="000000" w:themeColor="text1"/>
          <w:sz w:val="24"/>
          <w:szCs w:val="24"/>
        </w:rPr>
        <w:t xml:space="preserve"> </w:t>
      </w:r>
    </w:p>
    <w:p w:rsidR="00D61F90" w:rsidRDefault="005F6697">
      <w:pPr>
        <w:rPr>
          <w:color w:val="000000" w:themeColor="text1"/>
        </w:rPr>
      </w:pPr>
      <w:r>
        <w:rPr>
          <w:noProof/>
          <w:color w:val="000000" w:themeColor="text1"/>
          <w:lang w:eastAsia="en-US"/>
        </w:rPr>
        <w:drawing>
          <wp:inline distT="0" distB="0" distL="114300" distR="114300">
            <wp:extent cx="4545330" cy="3091180"/>
            <wp:effectExtent l="0" t="38100" r="0" b="5207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rsidR="00D61F90" w:rsidRDefault="005F6697">
      <w:pPr>
        <w:jc w:val="center"/>
        <w:outlineLvl w:val="0"/>
        <w:rPr>
          <w:color w:val="000000" w:themeColor="text1"/>
          <w:sz w:val="24"/>
          <w:szCs w:val="24"/>
        </w:rPr>
      </w:pPr>
      <w:bookmarkStart w:id="6" w:name="_Toc580"/>
      <w:r>
        <w:rPr>
          <w:b/>
          <w:bCs/>
          <w:color w:val="000000" w:themeColor="text1"/>
          <w:sz w:val="24"/>
          <w:szCs w:val="24"/>
        </w:rPr>
        <w:t>Figure 3:</w:t>
      </w:r>
      <w:r>
        <w:rPr>
          <w:color w:val="000000" w:themeColor="text1"/>
          <w:sz w:val="24"/>
          <w:szCs w:val="24"/>
        </w:rPr>
        <w:t xml:space="preserve"> Regional Structure</w:t>
      </w:r>
      <w:bookmarkEnd w:id="6"/>
    </w:p>
    <w:p w:rsidR="00D61F90" w:rsidRDefault="00D61F90">
      <w:pPr>
        <w:jc w:val="center"/>
        <w:rPr>
          <w:color w:val="000000" w:themeColor="text1"/>
          <w:sz w:val="24"/>
          <w:szCs w:val="24"/>
        </w:rPr>
      </w:pPr>
    </w:p>
    <w:p w:rsidR="00D61F90" w:rsidRDefault="005F6697">
      <w:pPr>
        <w:spacing w:after="20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At the regional level Unilever </w:t>
      </w:r>
      <w:r>
        <w:rPr>
          <w:rFonts w:ascii="Times New Roman" w:hAnsi="Times New Roman" w:cs="Times New Roman"/>
          <w:color w:val="000000" w:themeColor="text1"/>
          <w:sz w:val="24"/>
          <w:szCs w:val="24"/>
        </w:rPr>
        <w:t xml:space="preserve">has </w:t>
      </w:r>
      <w:r>
        <w:rPr>
          <w:rFonts w:ascii="Times New Roman" w:hAnsi="Times New Roman" w:cs="Times New Roman"/>
          <w:color w:val="000000" w:themeColor="text1"/>
          <w:sz w:val="24"/>
          <w:szCs w:val="24"/>
        </w:rPr>
        <w:t>four regions</w:t>
      </w:r>
      <w:r>
        <w:rPr>
          <w:rFonts w:ascii="Times New Roman" w:hAnsi="Times New Roman" w:cs="Times New Roman"/>
          <w:color w:val="000000" w:themeColor="text1"/>
          <w:sz w:val="24"/>
          <w:szCs w:val="24"/>
        </w:rPr>
        <w:t>. They are</w:t>
      </w:r>
      <w:r>
        <w:rPr>
          <w:rFonts w:ascii="Times New Roman" w:hAnsi="Times New Roman" w:cs="Times New Roman"/>
          <w:color w:val="000000" w:themeColor="text1"/>
          <w:sz w:val="24"/>
          <w:szCs w:val="24"/>
        </w:rPr>
        <w:t xml:space="preserve"> North America, Latin America, Europe, and Asia, Africa, and the Middle East. Each region is led by an executive vice president who reports directly to the CEO. </w:t>
      </w:r>
      <w:r>
        <w:rPr>
          <w:rFonts w:ascii="Times New Roman" w:hAnsi="Times New Roman"/>
          <w:color w:val="000000" w:themeColor="text1"/>
          <w:sz w:val="24"/>
          <w:szCs w:val="24"/>
        </w:rPr>
        <w:t>The regional executive vice presidents</w:t>
      </w:r>
      <w:r>
        <w:rPr>
          <w:rFonts w:ascii="Times New Roman" w:hAnsi="Times New Roman"/>
          <w:color w:val="000000" w:themeColor="text1"/>
          <w:sz w:val="24"/>
          <w:szCs w:val="24"/>
        </w:rPr>
        <w:t xml:space="preserve"> have a broad range of responsibilities, which encompass sales, marketing, </w:t>
      </w:r>
      <w:r>
        <w:rPr>
          <w:rFonts w:ascii="Times New Roman" w:hAnsi="Times New Roman"/>
          <w:color w:val="000000" w:themeColor="text1"/>
          <w:sz w:val="24"/>
          <w:szCs w:val="24"/>
        </w:rPr>
        <w:lastRenderedPageBreak/>
        <w:t>and operations, among other areas, and are accountable for the overall performance of their respective region</w:t>
      </w:r>
      <w:r>
        <w:rPr>
          <w:rFonts w:ascii="Times New Roman" w:hAnsi="Times New Roman" w:cs="Times New Roman"/>
          <w:color w:val="000000" w:themeColor="text1"/>
          <w:sz w:val="24"/>
          <w:szCs w:val="24"/>
        </w:rPr>
        <w:t xml:space="preserve">. Under each regional executive vice president, there are country </w:t>
      </w:r>
      <w:r>
        <w:rPr>
          <w:rFonts w:ascii="Times New Roman" w:hAnsi="Times New Roman" w:cs="Times New Roman"/>
          <w:color w:val="000000" w:themeColor="text1"/>
          <w:sz w:val="24"/>
          <w:szCs w:val="24"/>
        </w:rPr>
        <w:t>managers who are responsible for the performance of their respective countries within the region. The country manager’s report to the regional executive vice president and are responsible for implementing the company's strategy at the local level. They are</w:t>
      </w:r>
      <w:r>
        <w:rPr>
          <w:rFonts w:ascii="Times New Roman" w:hAnsi="Times New Roman" w:cs="Times New Roman"/>
          <w:color w:val="000000" w:themeColor="text1"/>
          <w:sz w:val="24"/>
          <w:szCs w:val="24"/>
        </w:rPr>
        <w:t xml:space="preserve"> also responsible for managing the local marketing and sales teams, as well as the local supply chain.</w:t>
      </w:r>
    </w:p>
    <w:p w:rsidR="00D61F90" w:rsidRDefault="005F6697">
      <w:pPr>
        <w:spacing w:after="20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Below the country managers, there are functional managers who are responsible for specific areas within the country. For example, there may be a marketin</w:t>
      </w:r>
      <w:r>
        <w:rPr>
          <w:rFonts w:ascii="Times New Roman" w:hAnsi="Times New Roman" w:cs="Times New Roman"/>
          <w:color w:val="000000" w:themeColor="text1"/>
          <w:sz w:val="24"/>
          <w:szCs w:val="24"/>
        </w:rPr>
        <w:t>g manager, a sales manager, a supply chain manager, and a finance manager, among others. These functional manager’s report to the country manager and are responsible for executing the company's strategy in their respective areas.</w:t>
      </w:r>
    </w:p>
    <w:p w:rsidR="00D61F90" w:rsidRDefault="005F6697">
      <w:pPr>
        <w:spacing w:after="20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In the end of structure co</w:t>
      </w:r>
      <w:r>
        <w:rPr>
          <w:rFonts w:ascii="Times New Roman" w:hAnsi="Times New Roman" w:cs="Times New Roman"/>
          <w:color w:val="000000" w:themeColor="text1"/>
          <w:sz w:val="24"/>
          <w:szCs w:val="24"/>
        </w:rPr>
        <w:t xml:space="preserve">mes </w:t>
      </w:r>
      <w:r>
        <w:rPr>
          <w:rFonts w:ascii="Times New Roman" w:hAnsi="Times New Roman" w:cs="Times New Roman"/>
          <w:color w:val="000000" w:themeColor="text1"/>
          <w:sz w:val="24"/>
          <w:szCs w:val="24"/>
        </w:rPr>
        <w:t>employees who work in the various functions, such as marketing, sales, and supply chain. These employees report to their respective functional managers and are responsible for executing the day-to-day tasks required to achieve the company's objectives.</w:t>
      </w:r>
      <w:r>
        <w:rPr>
          <w:rFonts w:ascii="Times New Roman" w:hAnsi="Times New Roman" w:cs="Times New Roman"/>
          <w:color w:val="000000" w:themeColor="text1"/>
          <w:sz w:val="24"/>
          <w:szCs w:val="24"/>
        </w:rPr>
        <w:t xml:space="preserve"> One unique aspect of Unilever's regional structure is that the company has a matrix organization. This means that employees may report to both a functional manager and a country manager </w:t>
      </w:r>
      <w:r>
        <w:rPr>
          <w:rFonts w:ascii="Times New Roman" w:hAnsi="Times New Roman"/>
          <w:color w:val="000000" w:themeColor="text1"/>
          <w:sz w:val="24"/>
          <w:szCs w:val="24"/>
        </w:rPr>
        <w:t>(Unilever PLC, Unilever simplifies organisation 2023)</w:t>
      </w:r>
      <w:r>
        <w:rPr>
          <w:rFonts w:ascii="Times New Roman" w:hAnsi="Times New Roman" w:cs="Times New Roman"/>
          <w:color w:val="000000" w:themeColor="text1"/>
          <w:sz w:val="24"/>
          <w:szCs w:val="24"/>
        </w:rPr>
        <w:t>. Unilever's reg</w:t>
      </w:r>
      <w:r>
        <w:rPr>
          <w:rFonts w:ascii="Times New Roman" w:hAnsi="Times New Roman" w:cs="Times New Roman"/>
          <w:color w:val="000000" w:themeColor="text1"/>
          <w:sz w:val="24"/>
          <w:szCs w:val="24"/>
        </w:rPr>
        <w:t>ional level of hierarchical structure is complex, with multiple layers of management and a matrix organization. The regional executive vice presidents are responsible for the overall performance of their regions, while the country managers and functional m</w:t>
      </w:r>
      <w:r>
        <w:rPr>
          <w:rFonts w:ascii="Times New Roman" w:hAnsi="Times New Roman" w:cs="Times New Roman"/>
          <w:color w:val="000000" w:themeColor="text1"/>
          <w:sz w:val="24"/>
          <w:szCs w:val="24"/>
        </w:rPr>
        <w:t>anagers are responsible for executing the company's strategy at the local level. The matrix structure allows for greater collaboration and communication across functions and regions, which is essential for a global company like Unilever.</w:t>
      </w:r>
    </w:p>
    <w:p w:rsidR="00D61F90" w:rsidRDefault="005F6697">
      <w:pPr>
        <w:pStyle w:val="Titlu3"/>
        <w:spacing w:after="200" w:line="360" w:lineRule="auto"/>
        <w:rPr>
          <w:rFonts w:ascii="Times New Roman" w:hAnsi="Times New Roman" w:cs="Times New Roman"/>
          <w:color w:val="000000" w:themeColor="text1"/>
          <w:sz w:val="24"/>
          <w:szCs w:val="24"/>
        </w:rPr>
      </w:pPr>
      <w:bookmarkStart w:id="7" w:name="_Toc19467"/>
      <w:r>
        <w:rPr>
          <w:rFonts w:ascii="Times New Roman" w:hAnsi="Times New Roman" w:cs="Times New Roman"/>
          <w:color w:val="000000" w:themeColor="text1"/>
          <w:sz w:val="24"/>
          <w:szCs w:val="24"/>
        </w:rPr>
        <w:t xml:space="preserve">Local </w:t>
      </w:r>
      <w:bookmarkEnd w:id="7"/>
      <w:r>
        <w:rPr>
          <w:rFonts w:ascii="Times New Roman" w:hAnsi="Times New Roman" w:cs="Times New Roman"/>
          <w:color w:val="000000" w:themeColor="text1"/>
          <w:sz w:val="24"/>
          <w:szCs w:val="24"/>
        </w:rPr>
        <w:t>Sector Struc</w:t>
      </w:r>
      <w:r>
        <w:rPr>
          <w:rFonts w:ascii="Times New Roman" w:hAnsi="Times New Roman" w:cs="Times New Roman"/>
          <w:color w:val="000000" w:themeColor="text1"/>
          <w:sz w:val="24"/>
          <w:szCs w:val="24"/>
        </w:rPr>
        <w:t>ture</w:t>
      </w:r>
    </w:p>
    <w:p w:rsidR="00D61F90" w:rsidRDefault="00D61F90">
      <w:pPr>
        <w:rPr>
          <w:color w:val="000000" w:themeColor="text1"/>
        </w:rPr>
      </w:pPr>
    </w:p>
    <w:p w:rsidR="00D61F90" w:rsidRDefault="005F6697">
      <w:pPr>
        <w:spacing w:after="20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At this level, there are several positions that are critical to the success of the company. These positions include:</w:t>
      </w:r>
    </w:p>
    <w:p w:rsidR="00D61F90" w:rsidRDefault="005F6697">
      <w:pPr>
        <w:pStyle w:val="Titlu3"/>
        <w:rPr>
          <w:rFonts w:ascii="Times New Roman" w:hAnsi="Times New Roman" w:cs="Times New Roman"/>
          <w:color w:val="000000" w:themeColor="text1"/>
          <w:sz w:val="24"/>
          <w:szCs w:val="24"/>
        </w:rPr>
      </w:pPr>
      <w:bookmarkStart w:id="8" w:name="_Toc22749"/>
      <w:r>
        <w:rPr>
          <w:rFonts w:ascii="Times New Roman" w:hAnsi="Times New Roman" w:cs="Times New Roman"/>
          <w:color w:val="000000" w:themeColor="text1"/>
          <w:sz w:val="24"/>
          <w:szCs w:val="24"/>
        </w:rPr>
        <w:t>1. Country Manager</w:t>
      </w:r>
      <w:bookmarkEnd w:id="8"/>
    </w:p>
    <w:p w:rsidR="00D61F90" w:rsidRDefault="005F6697">
      <w:pPr>
        <w:spacing w:after="20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Country Manager is the highest-ranking position at the local level of Unilever's hierarchy. They are </w:t>
      </w:r>
      <w:r>
        <w:rPr>
          <w:rFonts w:ascii="Times New Roman" w:hAnsi="Times New Roman" w:cs="Times New Roman"/>
          <w:color w:val="000000" w:themeColor="text1"/>
          <w:sz w:val="24"/>
          <w:szCs w:val="24"/>
        </w:rPr>
        <w:t xml:space="preserve">responsible for overseeing all operations within their assigned </w:t>
      </w:r>
      <w:r>
        <w:rPr>
          <w:rFonts w:ascii="Times New Roman" w:hAnsi="Times New Roman" w:cs="Times New Roman"/>
          <w:color w:val="000000" w:themeColor="text1"/>
          <w:sz w:val="24"/>
          <w:szCs w:val="24"/>
        </w:rPr>
        <w:lastRenderedPageBreak/>
        <w:t>country or region. This includes managing the company's finances, operations, and employees. The Country Manager is also responsible for ensuring that the company is compliant with all local l</w:t>
      </w:r>
      <w:r>
        <w:rPr>
          <w:rFonts w:ascii="Times New Roman" w:hAnsi="Times New Roman" w:cs="Times New Roman"/>
          <w:color w:val="000000" w:themeColor="text1"/>
          <w:sz w:val="24"/>
          <w:szCs w:val="24"/>
        </w:rPr>
        <w:t>aws and regulations.</w:t>
      </w:r>
    </w:p>
    <w:p w:rsidR="00D61F90" w:rsidRDefault="005F6697">
      <w:pPr>
        <w:pStyle w:val="Titlu3"/>
        <w:rPr>
          <w:rFonts w:ascii="Times New Roman" w:hAnsi="Times New Roman" w:cs="Times New Roman"/>
          <w:color w:val="000000" w:themeColor="text1"/>
          <w:sz w:val="24"/>
          <w:szCs w:val="24"/>
        </w:rPr>
      </w:pPr>
      <w:bookmarkStart w:id="9" w:name="_Toc1061"/>
      <w:r>
        <w:rPr>
          <w:rFonts w:ascii="Times New Roman" w:hAnsi="Times New Roman" w:cs="Times New Roman"/>
          <w:color w:val="000000" w:themeColor="text1"/>
          <w:sz w:val="24"/>
          <w:szCs w:val="24"/>
        </w:rPr>
        <w:t>2. Marketing Director</w:t>
      </w:r>
      <w:bookmarkEnd w:id="9"/>
    </w:p>
    <w:p w:rsidR="00D61F90" w:rsidRDefault="005F6697">
      <w:pPr>
        <w:spacing w:after="20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w:t>
      </w:r>
      <w:r>
        <w:rPr>
          <w:rFonts w:ascii="Times New Roman" w:hAnsi="Times New Roman" w:cs="Times New Roman"/>
          <w:color w:val="000000" w:themeColor="text1"/>
          <w:sz w:val="24"/>
          <w:szCs w:val="24"/>
        </w:rPr>
        <w:t>m</w:t>
      </w:r>
      <w:r>
        <w:rPr>
          <w:rFonts w:ascii="Times New Roman" w:hAnsi="Times New Roman" w:cs="Times New Roman"/>
          <w:color w:val="000000" w:themeColor="text1"/>
          <w:sz w:val="24"/>
          <w:szCs w:val="24"/>
        </w:rPr>
        <w:t xml:space="preserve">arketing </w:t>
      </w:r>
      <w:r>
        <w:rPr>
          <w:rFonts w:ascii="Times New Roman" w:hAnsi="Times New Roman" w:cs="Times New Roman"/>
          <w:color w:val="000000" w:themeColor="text1"/>
          <w:sz w:val="24"/>
          <w:szCs w:val="24"/>
        </w:rPr>
        <w:t>d</w:t>
      </w:r>
      <w:r>
        <w:rPr>
          <w:rFonts w:ascii="Times New Roman" w:hAnsi="Times New Roman" w:cs="Times New Roman"/>
          <w:color w:val="000000" w:themeColor="text1"/>
          <w:sz w:val="24"/>
          <w:szCs w:val="24"/>
        </w:rPr>
        <w:t>irector is responsible for developing and implementing marketing strategies for Unilever's products within their assigned country or region.</w:t>
      </w:r>
      <w:r>
        <w:rPr>
          <w:rFonts w:ascii="Times New Roman" w:hAnsi="Times New Roman" w:cs="Times New Roman"/>
          <w:color w:val="000000" w:themeColor="text1"/>
          <w:sz w:val="24"/>
          <w:szCs w:val="24"/>
        </w:rPr>
        <w:t xml:space="preserve"> He</w:t>
      </w:r>
      <w:r>
        <w:rPr>
          <w:rFonts w:ascii="Times New Roman" w:hAnsi="Times New Roman" w:cs="Times New Roman"/>
          <w:color w:val="000000" w:themeColor="text1"/>
          <w:sz w:val="24"/>
          <w:szCs w:val="24"/>
        </w:rPr>
        <w:t xml:space="preserve"> works closely with the Country Manager to ensure that marketing strategies align with the overall business strategy.</w:t>
      </w:r>
    </w:p>
    <w:p w:rsidR="00D61F90" w:rsidRDefault="005F6697">
      <w:pPr>
        <w:pStyle w:val="Titlu3"/>
        <w:rPr>
          <w:rFonts w:ascii="Times New Roman" w:hAnsi="Times New Roman" w:cs="Times New Roman"/>
          <w:color w:val="000000" w:themeColor="text1"/>
          <w:sz w:val="24"/>
          <w:szCs w:val="24"/>
        </w:rPr>
      </w:pPr>
      <w:bookmarkStart w:id="10" w:name="_Toc7302"/>
      <w:r>
        <w:rPr>
          <w:rFonts w:ascii="Times New Roman" w:hAnsi="Times New Roman" w:cs="Times New Roman"/>
          <w:color w:val="000000" w:themeColor="text1"/>
          <w:sz w:val="24"/>
          <w:szCs w:val="24"/>
        </w:rPr>
        <w:t>3. Supply Chain Director</w:t>
      </w:r>
      <w:bookmarkEnd w:id="10"/>
    </w:p>
    <w:p w:rsidR="00D61F90" w:rsidRDefault="005F6697">
      <w:pPr>
        <w:spacing w:after="20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w:t>
      </w:r>
      <w:r>
        <w:rPr>
          <w:rFonts w:ascii="Times New Roman" w:hAnsi="Times New Roman" w:cs="Times New Roman"/>
          <w:color w:val="000000" w:themeColor="text1"/>
          <w:sz w:val="24"/>
          <w:szCs w:val="24"/>
        </w:rPr>
        <w:t xml:space="preserve">upply </w:t>
      </w:r>
      <w:r>
        <w:rPr>
          <w:rFonts w:ascii="Times New Roman" w:hAnsi="Times New Roman" w:cs="Times New Roman"/>
          <w:color w:val="000000" w:themeColor="text1"/>
          <w:sz w:val="24"/>
          <w:szCs w:val="24"/>
        </w:rPr>
        <w:t>c</w:t>
      </w:r>
      <w:r>
        <w:rPr>
          <w:rFonts w:ascii="Times New Roman" w:hAnsi="Times New Roman" w:cs="Times New Roman"/>
          <w:color w:val="000000" w:themeColor="text1"/>
          <w:sz w:val="24"/>
          <w:szCs w:val="24"/>
        </w:rPr>
        <w:t xml:space="preserve">hain </w:t>
      </w:r>
      <w:r>
        <w:rPr>
          <w:rFonts w:ascii="Times New Roman" w:hAnsi="Times New Roman" w:cs="Times New Roman"/>
          <w:color w:val="000000" w:themeColor="text1"/>
          <w:sz w:val="24"/>
          <w:szCs w:val="24"/>
        </w:rPr>
        <w:t>d</w:t>
      </w:r>
      <w:r>
        <w:rPr>
          <w:rFonts w:ascii="Times New Roman" w:hAnsi="Times New Roman" w:cs="Times New Roman"/>
          <w:color w:val="000000" w:themeColor="text1"/>
          <w:sz w:val="24"/>
          <w:szCs w:val="24"/>
        </w:rPr>
        <w:t>irector is responsible for managing the company's supply chain operations within their assigned cou</w:t>
      </w:r>
      <w:r>
        <w:rPr>
          <w:rFonts w:ascii="Times New Roman" w:hAnsi="Times New Roman" w:cs="Times New Roman"/>
          <w:color w:val="000000" w:themeColor="text1"/>
          <w:sz w:val="24"/>
          <w:szCs w:val="24"/>
        </w:rPr>
        <w:t>ntry or region. This includes managing the procurement of raw materials, managing inventory levels, and overseeing the logistics of getting products to market. The Supply Chain Director works closely with the Country Manager to ensure that supply chain ope</w:t>
      </w:r>
      <w:r>
        <w:rPr>
          <w:rFonts w:ascii="Times New Roman" w:hAnsi="Times New Roman" w:cs="Times New Roman"/>
          <w:color w:val="000000" w:themeColor="text1"/>
          <w:sz w:val="24"/>
          <w:szCs w:val="24"/>
        </w:rPr>
        <w:t>rations align with the overall business strategy.</w:t>
      </w:r>
    </w:p>
    <w:p w:rsidR="00D61F90" w:rsidRDefault="005F6697">
      <w:pPr>
        <w:pStyle w:val="Titlu3"/>
        <w:rPr>
          <w:rFonts w:ascii="Times New Roman" w:hAnsi="Times New Roman" w:cs="Times New Roman"/>
          <w:color w:val="000000" w:themeColor="text1"/>
          <w:sz w:val="24"/>
          <w:szCs w:val="24"/>
        </w:rPr>
      </w:pPr>
      <w:bookmarkStart w:id="11" w:name="_Toc5738"/>
      <w:r>
        <w:rPr>
          <w:rFonts w:ascii="Times New Roman" w:hAnsi="Times New Roman" w:cs="Times New Roman"/>
          <w:color w:val="000000" w:themeColor="text1"/>
          <w:sz w:val="24"/>
          <w:szCs w:val="24"/>
        </w:rPr>
        <w:t>4. Human Resources Director</w:t>
      </w:r>
      <w:bookmarkEnd w:id="11"/>
    </w:p>
    <w:p w:rsidR="00D61F90" w:rsidRDefault="005F6697">
      <w:pPr>
        <w:spacing w:after="20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HR d</w:t>
      </w:r>
      <w:r>
        <w:rPr>
          <w:rFonts w:ascii="Times New Roman" w:hAnsi="Times New Roman" w:cs="Times New Roman"/>
          <w:color w:val="000000" w:themeColor="text1"/>
          <w:sz w:val="24"/>
          <w:szCs w:val="24"/>
        </w:rPr>
        <w:t>irector is responsible for managing the company's human resources operations within their assigned country or region. This includes managing employee relations, recruiting ne</w:t>
      </w:r>
      <w:r>
        <w:rPr>
          <w:rFonts w:ascii="Times New Roman" w:hAnsi="Times New Roman" w:cs="Times New Roman"/>
          <w:color w:val="000000" w:themeColor="text1"/>
          <w:sz w:val="24"/>
          <w:szCs w:val="24"/>
        </w:rPr>
        <w:t xml:space="preserve">w employees, and ensuring that the company is compliant with local labor laws. </w:t>
      </w:r>
    </w:p>
    <w:p w:rsidR="00D61F90" w:rsidRDefault="005F6697">
      <w:pPr>
        <w:pStyle w:val="Titlu3"/>
        <w:rPr>
          <w:rFonts w:ascii="Times New Roman" w:hAnsi="Times New Roman" w:cs="Times New Roman"/>
          <w:color w:val="000000" w:themeColor="text1"/>
          <w:sz w:val="24"/>
          <w:szCs w:val="24"/>
        </w:rPr>
      </w:pPr>
      <w:bookmarkStart w:id="12" w:name="_Toc27292"/>
      <w:r>
        <w:rPr>
          <w:rFonts w:ascii="Times New Roman" w:hAnsi="Times New Roman" w:cs="Times New Roman"/>
          <w:color w:val="000000" w:themeColor="text1"/>
          <w:sz w:val="24"/>
          <w:szCs w:val="24"/>
        </w:rPr>
        <w:t>5. Finance Director</w:t>
      </w:r>
      <w:bookmarkEnd w:id="12"/>
    </w:p>
    <w:p w:rsidR="00D61F90" w:rsidRDefault="005F6697">
      <w:pPr>
        <w:spacing w:after="20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Fi</w:t>
      </w:r>
      <w:r>
        <w:rPr>
          <w:rFonts w:ascii="Times New Roman" w:hAnsi="Times New Roman" w:cs="Times New Roman"/>
          <w:color w:val="000000" w:themeColor="text1"/>
          <w:sz w:val="24"/>
          <w:szCs w:val="24"/>
        </w:rPr>
        <w:t>nance Director is responsible for managing the company's finances within their assigned country or region. This includes managing budgets, forecasting fin</w:t>
      </w:r>
      <w:r>
        <w:rPr>
          <w:rFonts w:ascii="Times New Roman" w:hAnsi="Times New Roman" w:cs="Times New Roman"/>
          <w:color w:val="000000" w:themeColor="text1"/>
          <w:sz w:val="24"/>
          <w:szCs w:val="24"/>
        </w:rPr>
        <w:t xml:space="preserve">ancial performance, and ensuring that the company is compliant with local tax laws. </w:t>
      </w:r>
      <w:r>
        <w:rPr>
          <w:rFonts w:ascii="Times New Roman" w:hAnsi="Times New Roman" w:cs="Times New Roman"/>
          <w:color w:val="000000" w:themeColor="text1"/>
          <w:sz w:val="24"/>
          <w:szCs w:val="24"/>
        </w:rPr>
        <w:t>He</w:t>
      </w:r>
      <w:r>
        <w:rPr>
          <w:rFonts w:ascii="Times New Roman" w:hAnsi="Times New Roman" w:cs="Times New Roman"/>
          <w:color w:val="000000" w:themeColor="text1"/>
          <w:sz w:val="24"/>
          <w:szCs w:val="24"/>
        </w:rPr>
        <w:t xml:space="preserve"> works closely with the Country Manager to ensure that financial operations align with the overall business strategy </w:t>
      </w:r>
      <w:r>
        <w:rPr>
          <w:rFonts w:ascii="Times New Roman" w:hAnsi="Times New Roman"/>
          <w:color w:val="000000" w:themeColor="text1"/>
          <w:sz w:val="24"/>
          <w:szCs w:val="24"/>
        </w:rPr>
        <w:t>(</w:t>
      </w:r>
      <w:r>
        <w:rPr>
          <w:rFonts w:ascii="Times New Roman" w:hAnsi="Times New Roman"/>
          <w:i/>
          <w:iCs/>
          <w:color w:val="000000" w:themeColor="text1"/>
          <w:sz w:val="24"/>
          <w:szCs w:val="24"/>
        </w:rPr>
        <w:t xml:space="preserve">What is the role of the finance director? </w:t>
      </w:r>
      <w:r>
        <w:rPr>
          <w:rFonts w:ascii="Times New Roman" w:hAnsi="Times New Roman"/>
          <w:color w:val="000000" w:themeColor="text1"/>
          <w:sz w:val="24"/>
          <w:szCs w:val="24"/>
        </w:rPr>
        <w:t>2022)</w:t>
      </w:r>
      <w:r>
        <w:rPr>
          <w:rFonts w:ascii="Times New Roman" w:hAnsi="Times New Roman" w:cs="Times New Roman"/>
          <w:color w:val="000000" w:themeColor="text1"/>
          <w:sz w:val="24"/>
          <w:szCs w:val="24"/>
        </w:rPr>
        <w:t>.</w:t>
      </w:r>
    </w:p>
    <w:p w:rsidR="00D61F90" w:rsidRDefault="005F6697">
      <w:pPr>
        <w:spacing w:after="20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Local level of unilever's hierarchy is critical to the success of the company. The country manager, marketing director, supply chain director, human resources director, and finance director all play important roles in managing the company's operations with</w:t>
      </w:r>
      <w:r>
        <w:rPr>
          <w:rFonts w:ascii="Times New Roman" w:hAnsi="Times New Roman" w:cs="Times New Roman"/>
          <w:color w:val="000000" w:themeColor="text1"/>
          <w:sz w:val="24"/>
          <w:szCs w:val="24"/>
        </w:rPr>
        <w:t xml:space="preserve">in specific regions or countries. </w:t>
      </w:r>
    </w:p>
    <w:p w:rsidR="00D61F90" w:rsidRDefault="005F6697">
      <w:pPr>
        <w:pStyle w:val="Titlu2"/>
        <w:spacing w:after="200" w:line="360" w:lineRule="auto"/>
        <w:rPr>
          <w:rFonts w:ascii="Times New Roman" w:hAnsi="Times New Roman" w:cs="Times New Roman"/>
          <w:color w:val="000000" w:themeColor="text1"/>
          <w:sz w:val="24"/>
          <w:szCs w:val="24"/>
        </w:rPr>
      </w:pPr>
      <w:bookmarkStart w:id="13" w:name="_Toc18331"/>
      <w:r>
        <w:rPr>
          <w:rFonts w:ascii="Times New Roman" w:hAnsi="Times New Roman" w:cs="Times New Roman"/>
          <w:color w:val="000000" w:themeColor="text1"/>
          <w:sz w:val="24"/>
          <w:szCs w:val="24"/>
        </w:rPr>
        <w:t>Organizational Culture</w:t>
      </w:r>
      <w:bookmarkEnd w:id="13"/>
    </w:p>
    <w:p w:rsidR="00D61F90" w:rsidRDefault="005F6697">
      <w:pPr>
        <w:spacing w:after="20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Unilever's organizational culture is centered around a set of values that guide the behavior of its employees. These values include integrity, respect, responsibility, and accountability. </w:t>
      </w:r>
      <w:r>
        <w:rPr>
          <w:rFonts w:ascii="Times New Roman" w:hAnsi="Times New Roman" w:cs="Times New Roman"/>
          <w:color w:val="000000" w:themeColor="text1"/>
          <w:sz w:val="24"/>
          <w:szCs w:val="24"/>
        </w:rPr>
        <w:t>Unilever’s</w:t>
      </w:r>
      <w:r>
        <w:rPr>
          <w:rFonts w:ascii="Times New Roman" w:hAnsi="Times New Roman" w:cs="Times New Roman"/>
          <w:color w:val="000000" w:themeColor="text1"/>
          <w:sz w:val="24"/>
          <w:szCs w:val="24"/>
        </w:rPr>
        <w:t xml:space="preserve"> c</w:t>
      </w:r>
      <w:r>
        <w:rPr>
          <w:rFonts w:ascii="Times New Roman" w:hAnsi="Times New Roman" w:cs="Times New Roman"/>
          <w:color w:val="000000" w:themeColor="text1"/>
          <w:sz w:val="24"/>
          <w:szCs w:val="24"/>
        </w:rPr>
        <w:t xml:space="preserve">ulture is characterized by a focus on sustainability, diversity, and inclusiveness (Witte &amp; van, 2000). </w:t>
      </w:r>
    </w:p>
    <w:p w:rsidR="00D61F90" w:rsidRDefault="005F6697">
      <w:pPr>
        <w:spacing w:after="20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One of the key aspects of Unilever's culture is its commitment to sustainability. The company has set ambitious targets for reducing its environmenta</w:t>
      </w:r>
      <w:r>
        <w:rPr>
          <w:rFonts w:ascii="Times New Roman" w:hAnsi="Times New Roman" w:cs="Times New Roman"/>
          <w:color w:val="000000" w:themeColor="text1"/>
          <w:sz w:val="24"/>
          <w:szCs w:val="24"/>
        </w:rPr>
        <w:t>l impact and has made significant progress in achieving these goals. This commitment to sustainability is reflected in the company's products, which are designed to be environmentally friendly and socially responsible.</w:t>
      </w:r>
    </w:p>
    <w:p w:rsidR="00D61F90" w:rsidRDefault="005F6697">
      <w:pPr>
        <w:spacing w:after="20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Unilever also has a strong focus on d</w:t>
      </w:r>
      <w:r>
        <w:rPr>
          <w:rFonts w:ascii="Times New Roman" w:hAnsi="Times New Roman" w:cs="Times New Roman"/>
          <w:color w:val="000000" w:themeColor="text1"/>
          <w:sz w:val="24"/>
          <w:szCs w:val="24"/>
        </w:rPr>
        <w:t>iversity and inclusiveness. The company believes that diversity is essential to its success and has implemented a number of initiatives to promote diversity. These initiatives include training programs, mentorship programs, and employee resource groups.</w:t>
      </w:r>
      <w:r>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Th</w:t>
      </w:r>
      <w:r>
        <w:rPr>
          <w:rFonts w:ascii="Times New Roman" w:hAnsi="Times New Roman" w:cs="Times New Roman"/>
          <w:color w:val="000000" w:themeColor="text1"/>
          <w:sz w:val="24"/>
          <w:szCs w:val="24"/>
        </w:rPr>
        <w:t>is focus on employee development has helped to create a highly skilled and dedicated workforce that is committed to the company's success (</w:t>
      </w:r>
      <w:r>
        <w:rPr>
          <w:rFonts w:ascii="Times New Roman" w:hAnsi="Times New Roman" w:cs="Times New Roman"/>
          <w:i/>
          <w:iCs/>
          <w:color w:val="000000" w:themeColor="text1"/>
          <w:sz w:val="24"/>
          <w:szCs w:val="24"/>
        </w:rPr>
        <w:t xml:space="preserve">Use purpose to transform your workplace, </w:t>
      </w:r>
      <w:r>
        <w:rPr>
          <w:rFonts w:ascii="Times New Roman" w:hAnsi="Times New Roman" w:cs="Times New Roman"/>
          <w:color w:val="000000" w:themeColor="text1"/>
          <w:sz w:val="24"/>
          <w:szCs w:val="24"/>
        </w:rPr>
        <w:t>2022).</w:t>
      </w:r>
    </w:p>
    <w:p w:rsidR="00D61F90" w:rsidRDefault="005F6697">
      <w:pPr>
        <w:pStyle w:val="Titlu2"/>
        <w:spacing w:after="200" w:line="360" w:lineRule="auto"/>
        <w:rPr>
          <w:rFonts w:ascii="Times New Roman" w:hAnsi="Times New Roman" w:cs="Times New Roman"/>
          <w:color w:val="000000" w:themeColor="text1"/>
          <w:sz w:val="24"/>
          <w:szCs w:val="24"/>
        </w:rPr>
      </w:pPr>
      <w:bookmarkStart w:id="14" w:name="_Toc1613"/>
      <w:r>
        <w:rPr>
          <w:rFonts w:ascii="Times New Roman" w:hAnsi="Times New Roman" w:cs="Times New Roman"/>
          <w:color w:val="000000" w:themeColor="text1"/>
          <w:sz w:val="24"/>
          <w:szCs w:val="24"/>
        </w:rPr>
        <w:t>Unilever's Structure and Culture Impact on performance</w:t>
      </w:r>
      <w:bookmarkEnd w:id="14"/>
      <w:r>
        <w:rPr>
          <w:rFonts w:ascii="Times New Roman" w:hAnsi="Times New Roman" w:cs="Times New Roman"/>
          <w:color w:val="000000" w:themeColor="text1"/>
          <w:sz w:val="24"/>
          <w:szCs w:val="24"/>
        </w:rPr>
        <w:t>:</w:t>
      </w:r>
    </w:p>
    <w:p w:rsidR="00D61F90" w:rsidRDefault="005F6697">
      <w:pPr>
        <w:spacing w:after="20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Unilever's organizational structure is designed to promote collaboration and efficiency. The company is divided into three main divisions: Beauty &amp; Personal Care, Foods &amp; Refreshment, and Home Care. Each division is responsible for a specific product categ</w:t>
      </w:r>
      <w:r>
        <w:rPr>
          <w:rFonts w:ascii="Times New Roman" w:hAnsi="Times New Roman" w:cs="Times New Roman"/>
          <w:color w:val="000000" w:themeColor="text1"/>
          <w:sz w:val="24"/>
          <w:szCs w:val="24"/>
        </w:rPr>
        <w:t>ory and has its own leadership team. Within each division, there are regional and local teams responsible for sales, marketing, and distribution. This structure allows Unilever to adapt to local market conditions while still maintaining global brand consis</w:t>
      </w:r>
      <w:r>
        <w:rPr>
          <w:rFonts w:ascii="Times New Roman" w:hAnsi="Times New Roman" w:cs="Times New Roman"/>
          <w:color w:val="000000" w:themeColor="text1"/>
          <w:sz w:val="24"/>
          <w:szCs w:val="24"/>
        </w:rPr>
        <w:t>tency.</w:t>
      </w:r>
    </w:p>
    <w:p w:rsidR="00D61F90" w:rsidRDefault="005F6697">
      <w:pPr>
        <w:spacing w:after="20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The company is committed to reducing its environmental impact and improving the lives of its consumers. This purpose is embedded in the company's values, which include integrity, respect, and responsibility. Unilever also has a strong focus on dive</w:t>
      </w:r>
      <w:r>
        <w:rPr>
          <w:rFonts w:ascii="Times New Roman" w:hAnsi="Times New Roman" w:cs="Times New Roman"/>
          <w:color w:val="000000" w:themeColor="text1"/>
          <w:sz w:val="24"/>
          <w:szCs w:val="24"/>
        </w:rPr>
        <w:t>rsity and inclusion, with a goal to have a gender-balanced workforce by 2025 (Unilever PLC, 2023).</w:t>
      </w:r>
      <w:r>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Unilever's structure and culture have played a significant role in its performance. The company has consistently outperformed its competitors in terms of rev</w:t>
      </w:r>
      <w:r>
        <w:rPr>
          <w:rFonts w:ascii="Times New Roman" w:hAnsi="Times New Roman" w:cs="Times New Roman"/>
          <w:color w:val="000000" w:themeColor="text1"/>
          <w:sz w:val="24"/>
          <w:szCs w:val="24"/>
        </w:rPr>
        <w:t>enue growth and profitability. The decentralized structure has allowed Unilever to respond quickly to local market conditions and adapt its products and marketing strategies accordingly. This has resulted in strong brand recognition and customer loyalty in</w:t>
      </w:r>
      <w:r>
        <w:rPr>
          <w:rFonts w:ascii="Times New Roman" w:hAnsi="Times New Roman" w:cs="Times New Roman"/>
          <w:color w:val="000000" w:themeColor="text1"/>
          <w:sz w:val="24"/>
          <w:szCs w:val="24"/>
        </w:rPr>
        <w:t xml:space="preserve"> different parts of the world.</w:t>
      </w:r>
    </w:p>
    <w:p w:rsidR="00D61F90" w:rsidRDefault="005F6697">
      <w:pPr>
        <w:spacing w:after="20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Unilever's focus on sustainability and social responsibility has also resonated with consumers, particularly younger generations who are increasingly conscious of the impact of their purchasing decisions. This has resulted in</w:t>
      </w:r>
      <w:r>
        <w:rPr>
          <w:rFonts w:ascii="Times New Roman" w:hAnsi="Times New Roman" w:cs="Times New Roman"/>
          <w:color w:val="000000" w:themeColor="text1"/>
          <w:sz w:val="24"/>
          <w:szCs w:val="24"/>
        </w:rPr>
        <w:t xml:space="preserve"> increased sales and brand loyalty. Unilever's success can be attributed to its strong organizational structure and culture. The company's decentralized structure allows it to adapt to local market conditions while still maintaining global brand consistenc</w:t>
      </w:r>
      <w:r>
        <w:rPr>
          <w:rFonts w:ascii="Times New Roman" w:hAnsi="Times New Roman" w:cs="Times New Roman"/>
          <w:color w:val="000000" w:themeColor="text1"/>
          <w:sz w:val="24"/>
          <w:szCs w:val="24"/>
        </w:rPr>
        <w:t xml:space="preserve">y. </w:t>
      </w:r>
    </w:p>
    <w:p w:rsidR="00D61F90" w:rsidRDefault="005F6697">
      <w:pPr>
        <w:pStyle w:val="Titlu2"/>
        <w:rPr>
          <w:rFonts w:ascii="Times New Roman" w:hAnsi="Times New Roman" w:cs="Times New Roman"/>
          <w:color w:val="000000" w:themeColor="text1"/>
          <w:sz w:val="24"/>
          <w:szCs w:val="24"/>
        </w:rPr>
      </w:pPr>
      <w:bookmarkStart w:id="15" w:name="_Toc25052"/>
      <w:r>
        <w:rPr>
          <w:rFonts w:ascii="Times New Roman" w:hAnsi="Times New Roman" w:cs="Times New Roman"/>
          <w:color w:val="000000" w:themeColor="text1"/>
          <w:sz w:val="24"/>
          <w:szCs w:val="24"/>
        </w:rPr>
        <w:t>Part 2: How Unilever Motivates Its Employees</w:t>
      </w:r>
      <w:bookmarkEnd w:id="15"/>
    </w:p>
    <w:p w:rsidR="00D61F90" w:rsidRDefault="005F6697">
      <w:pPr>
        <w:spacing w:after="20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Unilever's approach to motivation is centered on the idea of purpose. The company believes that a sense of purpose is essential for individual motivation, and that it leads to better business results. Unilev</w:t>
      </w:r>
      <w:r>
        <w:rPr>
          <w:rFonts w:ascii="Times New Roman" w:hAnsi="Times New Roman" w:cs="Times New Roman"/>
          <w:color w:val="000000" w:themeColor="text1"/>
          <w:sz w:val="24"/>
          <w:szCs w:val="24"/>
        </w:rPr>
        <w:t xml:space="preserve">er's purpose is "to make sustainable living commonplace", and this is reflected in its employee motivation strategies. One of the key ways that Unilever motivates its employees is by giving them a sense of ownership over their work. The company encourages </w:t>
      </w:r>
      <w:r>
        <w:rPr>
          <w:rFonts w:ascii="Times New Roman" w:hAnsi="Times New Roman" w:cs="Times New Roman"/>
          <w:color w:val="000000" w:themeColor="text1"/>
          <w:sz w:val="24"/>
          <w:szCs w:val="24"/>
        </w:rPr>
        <w:t>employees to take initiative and be entrepreneurial, and it provides them with the freedom to experiment and innovate. This approach allows employees to feel more invested in their work, and it leads to a greater sense of satisfaction and fulfillment (Unil</w:t>
      </w:r>
      <w:r>
        <w:rPr>
          <w:rFonts w:ascii="Times New Roman" w:hAnsi="Times New Roman" w:cs="Times New Roman"/>
          <w:color w:val="000000" w:themeColor="text1"/>
          <w:sz w:val="24"/>
          <w:szCs w:val="24"/>
        </w:rPr>
        <w:t xml:space="preserve">ever PLC, 2023) . </w:t>
      </w:r>
    </w:p>
    <w:p w:rsidR="00D61F90" w:rsidRDefault="005F6697">
      <w:pPr>
        <w:spacing w:after="20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Unilever strong</w:t>
      </w:r>
      <w:r>
        <w:rPr>
          <w:rFonts w:ascii="Times New Roman" w:hAnsi="Times New Roman" w:cs="Times New Roman"/>
          <w:color w:val="000000" w:themeColor="text1"/>
          <w:sz w:val="24"/>
          <w:szCs w:val="24"/>
        </w:rPr>
        <w:t>ly</w:t>
      </w:r>
      <w:r>
        <w:rPr>
          <w:rFonts w:ascii="Times New Roman" w:hAnsi="Times New Roman" w:cs="Times New Roman"/>
          <w:color w:val="000000" w:themeColor="text1"/>
          <w:sz w:val="24"/>
          <w:szCs w:val="24"/>
        </w:rPr>
        <w:t xml:space="preserve"> emphasis on employee development. The company provides a range of training and development opportunities, including leadership programs, mentor ship, and job rotations. This not only helps employees to develop new skill</w:t>
      </w:r>
      <w:r>
        <w:rPr>
          <w:rFonts w:ascii="Times New Roman" w:hAnsi="Times New Roman" w:cs="Times New Roman"/>
          <w:color w:val="000000" w:themeColor="text1"/>
          <w:sz w:val="24"/>
          <w:szCs w:val="24"/>
        </w:rPr>
        <w:t xml:space="preserve">s and knowledge, but it also shows that Unilever is invested in their long-term career success. Another way that Unilever motivates its employees is by creating a positive work environment. The company is committed to diversity and inclusion, and it works </w:t>
      </w:r>
      <w:r>
        <w:rPr>
          <w:rFonts w:ascii="Times New Roman" w:hAnsi="Times New Roman" w:cs="Times New Roman"/>
          <w:color w:val="000000" w:themeColor="text1"/>
          <w:sz w:val="24"/>
          <w:szCs w:val="24"/>
        </w:rPr>
        <w:t>hard to create a culture of respect and collaboration. Unilever also offers a range of employee benefits and perks, such as flexible working arrangements, wellness programs, and social events. These initiatives help to foster a sense of community and belon</w:t>
      </w:r>
      <w:r>
        <w:rPr>
          <w:rFonts w:ascii="Times New Roman" w:hAnsi="Times New Roman" w:cs="Times New Roman"/>
          <w:color w:val="000000" w:themeColor="text1"/>
          <w:sz w:val="24"/>
          <w:szCs w:val="24"/>
        </w:rPr>
        <w:t>ging among employees (Monetary rewards and the creativity of employee inventors).</w:t>
      </w:r>
    </w:p>
    <w:p w:rsidR="00D61F90" w:rsidRDefault="005F6697">
      <w:pPr>
        <w:spacing w:after="20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Unilever also motivates its employees by recognizing and rewarding their achievements. The company has a range of recognition programs in place, such as awards for innovation</w:t>
      </w:r>
      <w:r>
        <w:rPr>
          <w:rFonts w:ascii="Times New Roman" w:hAnsi="Times New Roman" w:cs="Times New Roman"/>
          <w:color w:val="000000" w:themeColor="text1"/>
          <w:sz w:val="24"/>
          <w:szCs w:val="24"/>
        </w:rPr>
        <w:t>, sustainability, and customer service. These programs not only celebrate individual achievements, but they also reinforce the company's values and purpose. Unilever's approach to individual motivation is centered around purpose, ownership, development, po</w:t>
      </w:r>
      <w:r>
        <w:rPr>
          <w:rFonts w:ascii="Times New Roman" w:hAnsi="Times New Roman" w:cs="Times New Roman"/>
          <w:color w:val="000000" w:themeColor="text1"/>
          <w:sz w:val="24"/>
          <w:szCs w:val="24"/>
        </w:rPr>
        <w:t>sitive work environment, and recognition. By focusing on these key areas, the company is able to create a highly motivated and engaged workforce that is committed to achieving its goals.</w:t>
      </w:r>
    </w:p>
    <w:p w:rsidR="00D61F90" w:rsidRDefault="005F6697">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rsidR="00D61F90" w:rsidRDefault="005F6697">
      <w:pPr>
        <w:pStyle w:val="Titlu2"/>
        <w:jc w:val="center"/>
        <w:rPr>
          <w:rFonts w:ascii="Times New Roman" w:hAnsi="Times New Roman" w:cs="Times New Roman"/>
          <w:color w:val="000000" w:themeColor="text1"/>
          <w:sz w:val="24"/>
          <w:szCs w:val="24"/>
        </w:rPr>
      </w:pPr>
      <w:bookmarkStart w:id="16" w:name="_Toc32304"/>
      <w:r>
        <w:rPr>
          <w:rFonts w:ascii="Times New Roman" w:hAnsi="Times New Roman" w:cs="Times New Roman"/>
          <w:color w:val="000000" w:themeColor="text1"/>
          <w:sz w:val="24"/>
          <w:szCs w:val="24"/>
        </w:rPr>
        <w:t>References</w:t>
      </w:r>
      <w:bookmarkEnd w:id="16"/>
    </w:p>
    <w:p w:rsidR="00D61F90" w:rsidRDefault="005F6697">
      <w:pPr>
        <w:pStyle w:val="NormalWeb"/>
        <w:spacing w:after="200" w:afterAutospacing="0" w:line="360" w:lineRule="auto"/>
        <w:ind w:left="240" w:hangingChars="200" w:hanging="240"/>
        <w:rPr>
          <w:color w:val="000000" w:themeColor="text1"/>
        </w:rPr>
      </w:pPr>
      <w:r>
        <w:rPr>
          <w:color w:val="000000" w:themeColor="text1"/>
        </w:rPr>
        <w:t xml:space="preserve">Kortmann, S. (2012) “Organizational structure,” </w:t>
      </w:r>
      <w:r>
        <w:rPr>
          <w:i/>
          <w:iCs/>
          <w:color w:val="000000" w:themeColor="text1"/>
        </w:rPr>
        <w:t>The Relationship between Organizational Structure and Organizational Ambidexterity</w:t>
      </w:r>
      <w:r>
        <w:rPr>
          <w:color w:val="000000" w:themeColor="text1"/>
        </w:rPr>
        <w:t xml:space="preserve">, pp. 12–17. Available at: https://doi.org/10.1007/978-3-8349-3630-1_2. </w:t>
      </w:r>
    </w:p>
    <w:p w:rsidR="00D61F90" w:rsidRDefault="005F6697">
      <w:pPr>
        <w:pStyle w:val="NormalWeb"/>
        <w:spacing w:after="200" w:afterAutospacing="0" w:line="360" w:lineRule="auto"/>
        <w:ind w:left="240" w:hangingChars="200" w:hanging="240"/>
        <w:rPr>
          <w:color w:val="000000" w:themeColor="text1"/>
        </w:rPr>
      </w:pPr>
      <w:r>
        <w:rPr>
          <w:color w:val="000000" w:themeColor="text1"/>
        </w:rPr>
        <w:t xml:space="preserve">“Monetary rewards and the creativity of employee inventors” (no date) </w:t>
      </w:r>
      <w:r>
        <w:rPr>
          <w:i/>
          <w:iCs/>
          <w:color w:val="000000" w:themeColor="text1"/>
        </w:rPr>
        <w:t>The Right to Employee Inventions in Patent Law : Debunking the Myth of Incentive Theory</w:t>
      </w:r>
      <w:r>
        <w:rPr>
          <w:color w:val="000000" w:themeColor="text1"/>
        </w:rPr>
        <w:t xml:space="preserve"> [Preprint]. Available at:</w:t>
      </w:r>
      <w:r>
        <w:rPr>
          <w:color w:val="000000" w:themeColor="text1"/>
        </w:rPr>
        <w:t xml:space="preserve"> https://doi.org/10.5040/9781509920341.ch-004. </w:t>
      </w:r>
    </w:p>
    <w:p w:rsidR="00D61F90" w:rsidRDefault="005F6697">
      <w:pPr>
        <w:pStyle w:val="NormalWeb"/>
        <w:spacing w:after="200" w:afterAutospacing="0" w:line="360" w:lineRule="auto"/>
        <w:ind w:left="240" w:hangingChars="200" w:hanging="240"/>
        <w:rPr>
          <w:color w:val="000000" w:themeColor="text1"/>
        </w:rPr>
      </w:pPr>
      <w:r>
        <w:rPr>
          <w:color w:val="000000" w:themeColor="text1"/>
        </w:rPr>
        <w:t xml:space="preserve">Unilever PLC (2023) </w:t>
      </w:r>
      <w:r>
        <w:rPr>
          <w:i/>
          <w:iCs/>
          <w:color w:val="000000" w:themeColor="text1"/>
        </w:rPr>
        <w:t>Employee health and wellbeing</w:t>
      </w:r>
      <w:r>
        <w:rPr>
          <w:color w:val="000000" w:themeColor="text1"/>
        </w:rPr>
        <w:t xml:space="preserve">, </w:t>
      </w:r>
      <w:r>
        <w:rPr>
          <w:i/>
          <w:iCs/>
          <w:color w:val="000000" w:themeColor="text1"/>
        </w:rPr>
        <w:t>Unilever</w:t>
      </w:r>
      <w:r>
        <w:rPr>
          <w:color w:val="000000" w:themeColor="text1"/>
        </w:rPr>
        <w:t xml:space="preserve">. Unilever PLC. Available at: https://www.unilever.com/planet-and-society/responsible-business/employee-wellbeing/ (Accessed: March 27, 2023). </w:t>
      </w:r>
    </w:p>
    <w:p w:rsidR="00D61F90" w:rsidRDefault="005F6697">
      <w:pPr>
        <w:pStyle w:val="NormalWeb"/>
        <w:spacing w:after="200" w:afterAutospacing="0" w:line="360" w:lineRule="auto"/>
        <w:ind w:left="240" w:hangingChars="200" w:hanging="240"/>
        <w:rPr>
          <w:color w:val="000000" w:themeColor="text1"/>
        </w:rPr>
      </w:pPr>
      <w:r>
        <w:rPr>
          <w:color w:val="000000" w:themeColor="text1"/>
        </w:rPr>
        <w:t>Unile</w:t>
      </w:r>
      <w:r>
        <w:rPr>
          <w:color w:val="000000" w:themeColor="text1"/>
        </w:rPr>
        <w:t xml:space="preserve">ver PLC (2023) </w:t>
      </w:r>
      <w:r>
        <w:rPr>
          <w:i/>
          <w:iCs/>
          <w:color w:val="000000" w:themeColor="text1"/>
        </w:rPr>
        <w:t>Equity, diversity and inclusion</w:t>
      </w:r>
      <w:r>
        <w:rPr>
          <w:color w:val="000000" w:themeColor="text1"/>
        </w:rPr>
        <w:t xml:space="preserve">, </w:t>
      </w:r>
      <w:r>
        <w:rPr>
          <w:i/>
          <w:iCs/>
          <w:color w:val="000000" w:themeColor="text1"/>
        </w:rPr>
        <w:t>Unilever</w:t>
      </w:r>
      <w:r>
        <w:rPr>
          <w:color w:val="000000" w:themeColor="text1"/>
        </w:rPr>
        <w:t xml:space="preserve">. Unilever PLC. Available at: https://www.unilever.com/planet-and-society/equity-diversity-and-inclusion/ (Accessed: March 27, 2023). </w:t>
      </w:r>
    </w:p>
    <w:p w:rsidR="00D61F90" w:rsidRDefault="005F6697">
      <w:pPr>
        <w:pStyle w:val="NormalWeb"/>
        <w:spacing w:after="200" w:afterAutospacing="0" w:line="360" w:lineRule="auto"/>
        <w:ind w:left="240" w:hangingChars="200" w:hanging="240"/>
        <w:rPr>
          <w:color w:val="000000" w:themeColor="text1"/>
        </w:rPr>
      </w:pPr>
      <w:r>
        <w:rPr>
          <w:color w:val="000000" w:themeColor="text1"/>
        </w:rPr>
        <w:t>“Unilever. see Lever Brothers Company/Unilever United Kingdom” (2</w:t>
      </w:r>
      <w:r>
        <w:rPr>
          <w:color w:val="000000" w:themeColor="text1"/>
        </w:rPr>
        <w:t xml:space="preserve">015) </w:t>
      </w:r>
      <w:r>
        <w:rPr>
          <w:i/>
          <w:iCs/>
          <w:color w:val="000000" w:themeColor="text1"/>
        </w:rPr>
        <w:t>The Advertising Age Encyclopedia of Advertising</w:t>
      </w:r>
      <w:r>
        <w:rPr>
          <w:color w:val="000000" w:themeColor="text1"/>
        </w:rPr>
        <w:t xml:space="preserve">, pp. 1609–1626. Available at: https://doi.org/10.4324/9781315062754-147. </w:t>
      </w:r>
    </w:p>
    <w:p w:rsidR="00D61F90" w:rsidRDefault="005F6697">
      <w:pPr>
        <w:pStyle w:val="NormalWeb"/>
        <w:spacing w:after="200" w:afterAutospacing="0" w:line="360" w:lineRule="auto"/>
        <w:ind w:left="240" w:hangingChars="200" w:hanging="240"/>
        <w:rPr>
          <w:color w:val="000000" w:themeColor="text1"/>
        </w:rPr>
      </w:pPr>
      <w:r>
        <w:rPr>
          <w:i/>
          <w:iCs/>
          <w:color w:val="000000" w:themeColor="text1"/>
        </w:rPr>
        <w:t>Use purpose to transform your workplace</w:t>
      </w:r>
      <w:r>
        <w:rPr>
          <w:color w:val="000000" w:themeColor="text1"/>
        </w:rPr>
        <w:t xml:space="preserve"> (2022) </w:t>
      </w:r>
      <w:r>
        <w:rPr>
          <w:i/>
          <w:iCs/>
          <w:color w:val="000000" w:themeColor="text1"/>
        </w:rPr>
        <w:t>Harvard Business Review</w:t>
      </w:r>
      <w:r>
        <w:rPr>
          <w:color w:val="000000" w:themeColor="text1"/>
        </w:rPr>
        <w:t>. Available at: https://hbr.org/2022/03/use-purpose-to-tran</w:t>
      </w:r>
      <w:r>
        <w:rPr>
          <w:color w:val="000000" w:themeColor="text1"/>
        </w:rPr>
        <w:t xml:space="preserve">sform-your-workplace (Accessed: March 27, 2023). </w:t>
      </w:r>
    </w:p>
    <w:p w:rsidR="00D61F90" w:rsidRDefault="005F6697">
      <w:pPr>
        <w:pStyle w:val="NormalWeb"/>
        <w:spacing w:after="200" w:afterAutospacing="0" w:line="360" w:lineRule="auto"/>
        <w:ind w:left="240" w:hangingChars="200" w:hanging="240"/>
        <w:rPr>
          <w:color w:val="000000" w:themeColor="text1"/>
        </w:rPr>
      </w:pPr>
      <w:r>
        <w:rPr>
          <w:color w:val="000000" w:themeColor="text1"/>
        </w:rPr>
        <w:t xml:space="preserve">Witte, K.D. and van, M.J.J. (2000) </w:t>
      </w:r>
      <w:r>
        <w:rPr>
          <w:i/>
          <w:iCs/>
          <w:color w:val="000000" w:themeColor="text1"/>
        </w:rPr>
        <w:t>Organizational culture</w:t>
      </w:r>
      <w:r>
        <w:rPr>
          <w:color w:val="000000" w:themeColor="text1"/>
        </w:rPr>
        <w:t xml:space="preserve">. Hove UK: Psychology Press. </w:t>
      </w:r>
    </w:p>
    <w:p w:rsidR="00D61F90" w:rsidRDefault="005F6697">
      <w:pPr>
        <w:pStyle w:val="NormalWeb"/>
        <w:spacing w:after="200" w:afterAutospacing="0" w:line="360" w:lineRule="auto"/>
        <w:ind w:left="240" w:hangingChars="200" w:hanging="240"/>
        <w:rPr>
          <w:color w:val="000000" w:themeColor="text1"/>
        </w:rPr>
      </w:pPr>
      <w:r>
        <w:rPr>
          <w:i/>
          <w:iCs/>
          <w:color w:val="000000" w:themeColor="text1"/>
        </w:rPr>
        <w:t>Unilever’s Organizational Structure</w:t>
      </w:r>
      <w:r>
        <w:rPr>
          <w:color w:val="000000" w:themeColor="text1"/>
        </w:rPr>
        <w:t xml:space="preserve"> (no date) </w:t>
      </w:r>
      <w:r>
        <w:rPr>
          <w:i/>
          <w:iCs/>
          <w:color w:val="000000" w:themeColor="text1"/>
        </w:rPr>
        <w:t>organimi</w:t>
      </w:r>
      <w:r>
        <w:rPr>
          <w:color w:val="000000" w:themeColor="text1"/>
        </w:rPr>
        <w:t>. Available at: https://www.organimi.com/organizational-structure</w:t>
      </w:r>
      <w:r>
        <w:rPr>
          <w:color w:val="000000" w:themeColor="text1"/>
        </w:rPr>
        <w:t xml:space="preserve">s/unilever/. </w:t>
      </w:r>
    </w:p>
    <w:p w:rsidR="00D61F90" w:rsidRDefault="005F6697">
      <w:pPr>
        <w:pStyle w:val="NormalWeb"/>
        <w:spacing w:after="200" w:afterAutospacing="0" w:line="360" w:lineRule="auto"/>
        <w:ind w:left="240" w:hangingChars="200" w:hanging="240"/>
        <w:rPr>
          <w:color w:val="000000" w:themeColor="text1"/>
        </w:rPr>
      </w:pPr>
      <w:r>
        <w:rPr>
          <w:color w:val="000000" w:themeColor="text1"/>
        </w:rPr>
        <w:t xml:space="preserve">Unilever PLC (2023) </w:t>
      </w:r>
      <w:r>
        <w:rPr>
          <w:i/>
          <w:iCs/>
          <w:color w:val="000000" w:themeColor="text1"/>
        </w:rPr>
        <w:t>Unilever simplifies organisation</w:t>
      </w:r>
      <w:r>
        <w:rPr>
          <w:color w:val="000000" w:themeColor="text1"/>
        </w:rPr>
        <w:t xml:space="preserve">, </w:t>
      </w:r>
      <w:r>
        <w:rPr>
          <w:i/>
          <w:iCs/>
          <w:color w:val="000000" w:themeColor="text1"/>
        </w:rPr>
        <w:t>Unilever</w:t>
      </w:r>
      <w:r>
        <w:rPr>
          <w:color w:val="000000" w:themeColor="text1"/>
        </w:rPr>
        <w:t xml:space="preserve">. Unilever PLC. Available at: https://www.unilever.com/news/press-and-media/press-releases/2022/unilever-simplifies-organisation/ (Accessed: March 27, 2023). </w:t>
      </w:r>
    </w:p>
    <w:p w:rsidR="00D61F90" w:rsidRDefault="005F6697">
      <w:pPr>
        <w:pStyle w:val="NormalWeb"/>
        <w:spacing w:afterLines="1000" w:after="2400" w:afterAutospacing="0" w:line="360" w:lineRule="auto"/>
        <w:ind w:left="562" w:hanging="562"/>
      </w:pPr>
      <w:r>
        <w:rPr>
          <w:i/>
          <w:iCs/>
        </w:rPr>
        <w:t>What is the role of t</w:t>
      </w:r>
      <w:r>
        <w:rPr>
          <w:i/>
          <w:iCs/>
        </w:rPr>
        <w:t>he finance director?</w:t>
      </w:r>
      <w:r>
        <w:t xml:space="preserve"> (2022) </w:t>
      </w:r>
      <w:r>
        <w:rPr>
          <w:i/>
          <w:iCs/>
        </w:rPr>
        <w:t>Institute of Directors</w:t>
      </w:r>
      <w:r>
        <w:t xml:space="preserve">. Available at: https://www.iod.com/resources/factsheets/company-structure/what-is-the-role-of-the-finance-director/ (Accessed: March 27, 2023). </w:t>
      </w:r>
    </w:p>
    <w:p w:rsidR="00D61F90" w:rsidRDefault="00D61F90">
      <w:pPr>
        <w:pStyle w:val="NormalWeb"/>
        <w:spacing w:after="200" w:afterAutospacing="0" w:line="360" w:lineRule="auto"/>
        <w:ind w:left="240" w:hangingChars="200" w:hanging="240"/>
        <w:rPr>
          <w:color w:val="000000" w:themeColor="text1"/>
        </w:rPr>
      </w:pPr>
    </w:p>
    <w:p w:rsidR="00D61F90" w:rsidRDefault="00D61F90">
      <w:pPr>
        <w:pStyle w:val="NormalWeb"/>
        <w:spacing w:after="200" w:afterAutospacing="0" w:line="360" w:lineRule="auto"/>
        <w:ind w:left="562" w:hanging="562"/>
        <w:rPr>
          <w:color w:val="000000" w:themeColor="text1"/>
        </w:rPr>
      </w:pPr>
    </w:p>
    <w:p w:rsidR="00D61F90" w:rsidRDefault="00D61F90">
      <w:pPr>
        <w:spacing w:after="200" w:line="360" w:lineRule="auto"/>
        <w:rPr>
          <w:rFonts w:ascii="Times New Roman" w:hAnsi="Times New Roman" w:cs="Times New Roman"/>
          <w:color w:val="000000" w:themeColor="text1"/>
          <w:sz w:val="24"/>
          <w:szCs w:val="24"/>
        </w:rPr>
      </w:pPr>
    </w:p>
    <w:sectPr w:rsidR="00D61F90">
      <w:headerReference w:type="default" r:id="rId21"/>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00000" w:rsidRDefault="005F6697">
      <w:r>
        <w:separator/>
      </w:r>
    </w:p>
  </w:endnote>
  <w:endnote w:type="continuationSeparator" w:id="0">
    <w:p w:rsidR="00000000" w:rsidRDefault="005F66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00000" w:rsidRDefault="005F6697">
      <w:r>
        <w:separator/>
      </w:r>
    </w:p>
  </w:footnote>
  <w:footnote w:type="continuationSeparator" w:id="0">
    <w:p w:rsidR="00000000" w:rsidRDefault="005F669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61F90" w:rsidRDefault="005F6697">
    <w:pPr>
      <w:tabs>
        <w:tab w:val="center" w:pos="4153"/>
        <w:tab w:val="right" w:pos="8306"/>
      </w:tabs>
      <w:rPr>
        <w:rFonts w:ascii="Calibri" w:eastAsia="Calibri" w:hAnsi="Calibri" w:cs="Calibri"/>
        <w:color w:val="000000"/>
        <w:sz w:val="18"/>
        <w:szCs w:val="18"/>
      </w:rPr>
    </w:pPr>
    <w:r>
      <w:rPr>
        <w:rFonts w:ascii="Calibri" w:eastAsia="Calibri" w:hAnsi="Calibri" w:cs="Calibri"/>
        <w:color w:val="000000"/>
        <w:sz w:val="18"/>
        <w:szCs w:val="18"/>
      </w:rPr>
      <w:tab/>
    </w:r>
    <w:r>
      <w:rPr>
        <w:rFonts w:ascii="Calibri" w:eastAsia="Calibri" w:hAnsi="Calibri" w:cs="Calibri"/>
        <w:color w:val="000000"/>
        <w:sz w:val="18"/>
        <w:szCs w:val="18"/>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61F90" w:rsidRDefault="005F6697">
    <w:pPr>
      <w:tabs>
        <w:tab w:val="center" w:pos="4153"/>
        <w:tab w:val="right" w:pos="8306"/>
      </w:tabs>
      <w:rPr>
        <w:rFonts w:ascii="Calibri" w:eastAsia="Calibri" w:hAnsi="Calibri" w:cs="Calibri"/>
        <w:color w:val="000000"/>
        <w:sz w:val="18"/>
        <w:szCs w:val="18"/>
      </w:rPr>
    </w:pPr>
    <w:r>
      <w:rPr>
        <w:noProof/>
        <w:sz w:val="18"/>
        <w:lang w:eastAsia="en-US"/>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7" name="Text Box 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rsidR="00D61F90" w:rsidRDefault="005F6697">
                          <w:pPr>
                            <w:pStyle w:val="Antet"/>
                          </w:pPr>
                          <w:r>
                            <w:fldChar w:fldCharType="begin"/>
                          </w:r>
                          <w:r>
                            <w:instrText xml:space="preserve"> PAGE  \* MERGEFORMAT </w:instrText>
                          </w:r>
                          <w:r>
                            <w:fldChar w:fldCharType="separate"/>
                          </w:r>
                          <w:r>
                            <w:t>2</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id="_x0000_t202" coordsize="21600,21600" o:spt="202" path="m,l,21600r21600,l21600,xe">
              <v:stroke joinstyle="miter"/>
              <v:path gradientshapeok="t" o:connecttype="rect"/>
            </v:shapetype>
            <v:shape id="Text Box 7" o:spid="_x0000_s1026" type="#_x0000_t202" style="position:absolute;margin-left:92.8pt;margin-top:0;width:2in;height:2in;z-index:251659264;visibility:visible;mso-wrap-style:none;mso-wrap-distance-left:9pt;mso-wrap-distance-top:0;mso-wrap-distance-right:9pt;mso-wrap-distance-bottom:0;mso-position-horizontal:right;mso-position-horizontal-relative:margin;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" filled="f" stroked="f" strokeweight=".5pt">
              <v:textbox style="mso-fit-shape-to-text:t" inset="0,0,0,0">
                <w:txbxContent>
                  <w:p w:rsidR="00D61F90" w:rsidRDefault="005F6697">
                    <w:pPr>
                      <w:pStyle w:val="Antet"/>
                    </w:pPr>
                    <w:r>
                      <w:fldChar w:fldCharType="begin"/>
                    </w:r>
                    <w:r>
                      <w:instrText xml:space="preserve"> PAGE  \* MERGEFORMAT </w:instrText>
                    </w:r>
                    <w:r>
                      <w:fldChar w:fldCharType="separate"/>
                    </w:r>
                    <w:r>
                      <w:t>2</w:t>
                    </w:r>
                    <w:r>
                      <w:fldChar w:fldCharType="end"/>
                    </w:r>
                  </w:p>
                </w:txbxContent>
              </v:textbox>
              <w10:wrap anchorx="margin"/>
            </v:shape>
          </w:pict>
        </mc:Fallback>
      </mc:AlternateContent>
    </w:r>
    <w:r>
      <w:rPr>
        <w:rFonts w:ascii="Calibri" w:eastAsia="Calibri" w:hAnsi="Calibri" w:cs="Calibri"/>
        <w:color w:val="000000"/>
        <w:sz w:val="18"/>
        <w:szCs w:val="18"/>
      </w:rPr>
      <w:tab/>
    </w:r>
    <w:r>
      <w:rPr>
        <w:rFonts w:ascii="Calibri" w:eastAsia="Calibri" w:hAnsi="Calibri" w:cs="Calibri"/>
        <w:color w:val="000000"/>
        <w:sz w:val="18"/>
        <w:szCs w:val="18"/>
      </w:rPr>
      <w:t xml:space="preserve">                                                                                                                            </w:t>
    </w:r>
    <w:r>
      <w:rPr>
        <w:rFonts w:ascii="Calibri" w:eastAsia="Calibri" w:hAnsi="Calibri"/>
        <w:color w:val="000000"/>
        <w:sz w:val="18"/>
        <w:szCs w:val="18"/>
      </w:rPr>
      <w:t xml:space="preserve">Organisational Structure &amp; Culture     </w:t>
    </w:r>
    <w:r>
      <w:rPr>
        <w:rFonts w:ascii="Calibri" w:eastAsia="Calibri" w:hAnsi="Calibri" w:cs="Calibri"/>
        <w:color w:val="000000"/>
        <w:sz w:val="18"/>
        <w:szCs w:val="18"/>
      </w:rPr>
      <w:t xml:space="preserve">                                                                                             </w:t>
    </w:r>
    <w:r>
      <w:rPr>
        <w:rFonts w:ascii="Calibri" w:eastAsia="Calibri" w:hAnsi="Calibri" w:cs="Calibri"/>
        <w:color w:val="000000"/>
        <w:sz w:val="18"/>
        <w:szCs w:val="18"/>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0A11AF"/>
    <w:multiLevelType w:val="singleLevel"/>
    <w:tmpl w:val="720A11AF"/>
    <w:lvl w:ilvl="0">
      <w:start w:val="1"/>
      <w:numFmt w:val="decimal"/>
      <w:suff w:val="space"/>
      <w:lvlText w:val="%1."/>
      <w:lvlJc w:val="left"/>
    </w:lvl>
  </w:abstractNum>
  <w:num w:numId="1" w16cid:durableId="8036175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embedSystemFonts/>
  <w:revisionView w:inkAnnotations="0"/>
  <w:defaultTabStop w:val="720"/>
  <w:hyphenationZone w:val="425"/>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5B241676"/>
    <w:rsid w:val="0035393C"/>
    <w:rsid w:val="005F6697"/>
    <w:rsid w:val="008622AD"/>
    <w:rsid w:val="00900843"/>
    <w:rsid w:val="009211B9"/>
    <w:rsid w:val="00BD5297"/>
    <w:rsid w:val="00C5457A"/>
    <w:rsid w:val="00D61F90"/>
    <w:rsid w:val="00E05EB9"/>
    <w:rsid w:val="00E33F7B"/>
    <w:rsid w:val="00E71BB4"/>
    <w:rsid w:val="0A082255"/>
    <w:rsid w:val="5B241676"/>
    <w:rsid w:val="639D7B4D"/>
    <w:rsid w:val="6EF83E12"/>
    <w:rsid w:val="767E2FE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7ED72639"/>
  <w15:docId w15:val="{B21A17E7-B502-A948-B1C4-786D3C6F96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ro-RO" w:eastAsia="ro-RO" w:bidi="ar-SA"/>
      </w:rPr>
    </w:rPrDefault>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uiPriority="1" w:unhideWhenUsed="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iPriority="99"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val="en-US" w:eastAsia="zh-CN"/>
    </w:rPr>
  </w:style>
  <w:style w:type="paragraph" w:styleId="Titlu1">
    <w:name w:val="heading 1"/>
    <w:basedOn w:val="Normal"/>
    <w:next w:val="Normal"/>
    <w:qFormat/>
    <w:pPr>
      <w:keepNext/>
      <w:keepLines/>
      <w:spacing w:before="340" w:after="330" w:line="578" w:lineRule="auto"/>
      <w:outlineLvl w:val="0"/>
    </w:pPr>
    <w:rPr>
      <w:b/>
      <w:bCs/>
      <w:kern w:val="44"/>
      <w:sz w:val="44"/>
      <w:szCs w:val="44"/>
    </w:rPr>
  </w:style>
  <w:style w:type="paragraph" w:styleId="Titlu2">
    <w:name w:val="heading 2"/>
    <w:basedOn w:val="Normal"/>
    <w:next w:val="Normal"/>
    <w:unhideWhenUsed/>
    <w:qFormat/>
    <w:pPr>
      <w:keepNext/>
      <w:keepLines/>
      <w:spacing w:before="260" w:after="260" w:line="416" w:lineRule="auto"/>
      <w:outlineLvl w:val="1"/>
    </w:pPr>
    <w:rPr>
      <w:b/>
      <w:bCs/>
      <w:sz w:val="32"/>
      <w:szCs w:val="32"/>
    </w:rPr>
  </w:style>
  <w:style w:type="paragraph" w:styleId="Titlu3">
    <w:name w:val="heading 3"/>
    <w:basedOn w:val="Normal"/>
    <w:next w:val="Normal"/>
    <w:unhideWhenUsed/>
    <w:qFormat/>
    <w:pPr>
      <w:keepNext/>
      <w:keepLines/>
      <w:spacing w:before="260" w:after="260" w:line="416" w:lineRule="auto"/>
      <w:outlineLvl w:val="2"/>
    </w:pPr>
    <w:rPr>
      <w:b/>
      <w:bCs/>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Subsol">
    <w:name w:val="footer"/>
    <w:basedOn w:val="Normal"/>
    <w:pPr>
      <w:tabs>
        <w:tab w:val="center" w:pos="4153"/>
        <w:tab w:val="right" w:pos="8306"/>
      </w:tabs>
      <w:snapToGrid w:val="0"/>
    </w:pPr>
    <w:rPr>
      <w:sz w:val="18"/>
      <w:szCs w:val="18"/>
    </w:rPr>
  </w:style>
  <w:style w:type="paragraph" w:styleId="Antet">
    <w:name w:val="header"/>
    <w:basedOn w:val="Normal"/>
    <w:pPr>
      <w:tabs>
        <w:tab w:val="center" w:pos="4153"/>
        <w:tab w:val="right" w:pos="8306"/>
      </w:tabs>
      <w:snapToGrid w:val="0"/>
    </w:pPr>
    <w:rPr>
      <w:sz w:val="18"/>
      <w:szCs w:val="18"/>
    </w:rPr>
  </w:style>
  <w:style w:type="paragraph" w:styleId="NormalWeb">
    <w:name w:val="Normal (Web)"/>
    <w:pPr>
      <w:spacing w:beforeAutospacing="1" w:afterAutospacing="1"/>
    </w:pPr>
    <w:rPr>
      <w:sz w:val="24"/>
      <w:szCs w:val="24"/>
      <w:lang w:val="en-US" w:eastAsia="zh-CN"/>
    </w:rPr>
  </w:style>
  <w:style w:type="paragraph" w:customStyle="1" w:styleId="WPSOffice3">
    <w:name w:val="WPSOffice手动目录 3"/>
    <w:pPr>
      <w:ind w:leftChars="400" w:left="400"/>
    </w:pPr>
    <w:rPr>
      <w:lang w:val="en-US" w:eastAsia="en-US"/>
    </w:rPr>
  </w:style>
  <w:style w:type="paragraph" w:customStyle="1" w:styleId="WPSOffice2">
    <w:name w:val="WPSOffice手动目录 2"/>
    <w:pPr>
      <w:ind w:leftChars="200" w:left="200"/>
    </w:pPr>
    <w:rPr>
      <w:lang w:val="en-US" w:eastAsia="en-US"/>
    </w:rPr>
  </w:style>
  <w:style w:type="paragraph" w:customStyle="1" w:styleId="WPSOffice1">
    <w:name w:val="WPSOffice手动目录 1"/>
    <w:qFormat/>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diagramQuickStyle" Target="diagrams/quickStyle1.xml" /><Relationship Id="rId18" Type="http://schemas.openxmlformats.org/officeDocument/2006/relationships/diagramQuickStyle" Target="diagrams/quickStyle2.xml" /><Relationship Id="rId3" Type="http://schemas.openxmlformats.org/officeDocument/2006/relationships/styles" Target="styles.xml" /><Relationship Id="rId21" Type="http://schemas.openxmlformats.org/officeDocument/2006/relationships/header" Target="header2.xml" /><Relationship Id="rId7" Type="http://schemas.openxmlformats.org/officeDocument/2006/relationships/endnotes" Target="endnotes.xml" /><Relationship Id="rId12" Type="http://schemas.openxmlformats.org/officeDocument/2006/relationships/diagramLayout" Target="diagrams/layout1.xml" /><Relationship Id="rId17" Type="http://schemas.openxmlformats.org/officeDocument/2006/relationships/diagramLayout" Target="diagrams/layout2.xml" /><Relationship Id="rId2" Type="http://schemas.openxmlformats.org/officeDocument/2006/relationships/numbering" Target="numbering.xml" /><Relationship Id="rId16" Type="http://schemas.openxmlformats.org/officeDocument/2006/relationships/diagramData" Target="diagrams/data2.xml" /><Relationship Id="rId20" Type="http://schemas.microsoft.com/office/2007/relationships/diagramDrawing" Target="diagrams/drawing2.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Data" Target="diagrams/data1.xml" /><Relationship Id="rId5" Type="http://schemas.openxmlformats.org/officeDocument/2006/relationships/webSettings" Target="webSettings.xml" /><Relationship Id="rId15" Type="http://schemas.microsoft.com/office/2007/relationships/diagramDrawing" Target="diagrams/drawing1.xml" /><Relationship Id="rId23" Type="http://schemas.openxmlformats.org/officeDocument/2006/relationships/theme" Target="theme/theme1.xml" /><Relationship Id="rId10" Type="http://schemas.openxmlformats.org/officeDocument/2006/relationships/image" Target="media/image2.png" /><Relationship Id="rId19" Type="http://schemas.openxmlformats.org/officeDocument/2006/relationships/diagramColors" Target="diagrams/colors2.xml" /><Relationship Id="rId4" Type="http://schemas.openxmlformats.org/officeDocument/2006/relationships/settings" Target="settings.xml" /><Relationship Id="rId9" Type="http://schemas.openxmlformats.org/officeDocument/2006/relationships/header" Target="header1.xml" /><Relationship Id="rId14" Type="http://schemas.openxmlformats.org/officeDocument/2006/relationships/diagramColors" Target="diagrams/colors1.xml" /><Relationship Id="rId22" Type="http://schemas.openxmlformats.org/officeDocument/2006/relationships/fontTable" Target="fontTable.xml" /></Relationships>
</file>

<file path=word/diagrams/colors1.xml><?xml version="1.0" encoding="utf-8"?>
<dgm:colorsDef xmlns:dgm="http://schemas.openxmlformats.org/drawingml/2006/diagram" xmlns:a="http://schemas.openxmlformats.org/drawingml/2006/main" uniqueId="urn:microsoft.com/office/officeart/2005/8/colors/accent1_2#1">
  <dgm:title val=""/>
  <dgm:desc val=""/>
  <dgm:catLst>
    <dgm:cat type="accent1" pri="11200"/>
  </dgm:catLst>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2">
  <dgm:title val=""/>
  <dgm:desc val=""/>
  <dgm:catLst>
    <dgm:cat type="accent1" pri="11200"/>
  </dgm:catLst>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2E15931E-1654-4B73-89B2-8E333D9C42E0}" type="doc">
      <dgm:prSet loTypeId="urn:microsoft.com/office/officeart/2005/8/layout/vList5" loCatId="list" qsTypeId="urn:microsoft.com/office/officeart/2005/8/quickstyle/simple1#1" qsCatId="simple" csTypeId="urn:microsoft.com/office/officeart/2005/8/colors/accent1_2#1" csCatId="accent1" phldr="0"/>
      <dgm:spPr/>
      <dgm:t>
        <a:bodyPr/>
        <a:lstStyle/>
        <a:p>
          <a:endParaRPr lang="en-US"/>
        </a:p>
      </dgm:t>
    </dgm:pt>
    <dgm:pt modelId="{90DDC401-903F-495B-A387-FFA8A45891F6}">
      <dgm:prSet phldrT="[Text]" phldr="0" custT="0"/>
      <dgm:spPr/>
      <dgm:t>
        <a:bodyPr vert="horz" wrap="square"/>
        <a:lstStyle/>
        <a:p>
          <a:pPr>
            <a:lnSpc>
              <a:spcPct val="100000"/>
            </a:lnSpc>
            <a:spcBef>
              <a:spcPct val="0"/>
            </a:spcBef>
            <a:spcAft>
              <a:spcPct val="35000"/>
            </a:spcAft>
          </a:pPr>
          <a:r>
            <a:rPr lang="en-US"/>
            <a:t>Board of directors</a:t>
          </a:r>
        </a:p>
      </dgm:t>
    </dgm:pt>
    <dgm:pt modelId="{C8BB0B8A-C63A-4F83-B8DD-3A7CE259E4EE}" type="parTrans" cxnId="{F5B7ACEE-30D1-40EF-AAC5-F9E7AA66DD48}">
      <dgm:prSet/>
      <dgm:spPr/>
      <dgm:t>
        <a:bodyPr/>
        <a:lstStyle/>
        <a:p>
          <a:endParaRPr lang="en-US"/>
        </a:p>
      </dgm:t>
    </dgm:pt>
    <dgm:pt modelId="{35E5E878-0907-4014-9CFA-56AEFE6C22E5}" type="sibTrans" cxnId="{F5B7ACEE-30D1-40EF-AAC5-F9E7AA66DD48}">
      <dgm:prSet/>
      <dgm:spPr/>
      <dgm:t>
        <a:bodyPr/>
        <a:lstStyle/>
        <a:p>
          <a:endParaRPr lang="en-US"/>
        </a:p>
      </dgm:t>
    </dgm:pt>
    <dgm:pt modelId="{E08CEB0C-E37F-4DCA-A8EA-4B2CD3AD7754}">
      <dgm:prSet phldrT="[Text]" phldr="0" custT="0"/>
      <dgm:spPr/>
      <dgm:t>
        <a:bodyPr vert="horz" wrap="square"/>
        <a:lstStyle/>
        <a:p>
          <a:pPr>
            <a:lnSpc>
              <a:spcPct val="100000"/>
            </a:lnSpc>
            <a:spcBef>
              <a:spcPct val="0"/>
            </a:spcBef>
            <a:spcAft>
              <a:spcPct val="15000"/>
            </a:spcAft>
          </a:pPr>
          <a:r>
            <a:rPr lang="en-US"/>
            <a:t>Executive</a:t>
          </a:r>
        </a:p>
      </dgm:t>
    </dgm:pt>
    <dgm:pt modelId="{FB4BCC77-44E9-4065-8A2F-90CD32DE34E3}" type="parTrans" cxnId="{6E32D73D-0783-45EE-A89E-73C71C51CB69}">
      <dgm:prSet/>
      <dgm:spPr/>
      <dgm:t>
        <a:bodyPr/>
        <a:lstStyle/>
        <a:p>
          <a:endParaRPr lang="en-US"/>
        </a:p>
      </dgm:t>
    </dgm:pt>
    <dgm:pt modelId="{41FED480-3E2E-47A2-B997-02D527BC8082}" type="sibTrans" cxnId="{6E32D73D-0783-45EE-A89E-73C71C51CB69}">
      <dgm:prSet/>
      <dgm:spPr/>
      <dgm:t>
        <a:bodyPr/>
        <a:lstStyle/>
        <a:p>
          <a:endParaRPr lang="en-US"/>
        </a:p>
      </dgm:t>
    </dgm:pt>
    <dgm:pt modelId="{4A9A80CD-89AA-40D8-9C19-870FA80D1EE2}">
      <dgm:prSet phldr="0" custT="0"/>
      <dgm:spPr/>
      <dgm:t>
        <a:bodyPr vert="horz" wrap="square"/>
        <a:lstStyle/>
        <a:p>
          <a:pPr>
            <a:lnSpc>
              <a:spcPct val="100000"/>
            </a:lnSpc>
            <a:spcBef>
              <a:spcPct val="0"/>
            </a:spcBef>
            <a:spcAft>
              <a:spcPct val="15000"/>
            </a:spcAft>
          </a:pPr>
          <a:r>
            <a:rPr lang="en-US"/>
            <a:t>Non Executive</a:t>
          </a:r>
        </a:p>
      </dgm:t>
    </dgm:pt>
    <dgm:pt modelId="{65173EF7-AA7D-407F-BEE6-623ED0B265E8}" type="parTrans" cxnId="{BD1BC5B2-AEB0-4DBA-A5DA-CB05E812D4B0}">
      <dgm:prSet/>
      <dgm:spPr/>
      <dgm:t>
        <a:bodyPr/>
        <a:lstStyle/>
        <a:p>
          <a:endParaRPr lang="en-US"/>
        </a:p>
      </dgm:t>
    </dgm:pt>
    <dgm:pt modelId="{0AFA7CEE-5917-40DA-BBF6-8D796387A44A}" type="sibTrans" cxnId="{BD1BC5B2-AEB0-4DBA-A5DA-CB05E812D4B0}">
      <dgm:prSet/>
      <dgm:spPr/>
      <dgm:t>
        <a:bodyPr/>
        <a:lstStyle/>
        <a:p>
          <a:endParaRPr lang="en-US"/>
        </a:p>
      </dgm:t>
    </dgm:pt>
    <dgm:pt modelId="{A93CEB80-8459-48C7-B1B8-495DC07B7C9D}">
      <dgm:prSet phldr="0" custT="0"/>
      <dgm:spPr/>
      <dgm:t>
        <a:bodyPr vert="horz" wrap="square"/>
        <a:lstStyle/>
        <a:p>
          <a:pPr>
            <a:lnSpc>
              <a:spcPct val="100000"/>
            </a:lnSpc>
            <a:spcBef>
              <a:spcPct val="0"/>
            </a:spcBef>
            <a:spcAft>
              <a:spcPct val="15000"/>
            </a:spcAft>
          </a:pPr>
          <a:r>
            <a:rPr lang="en-US"/>
            <a:t>Chairman</a:t>
          </a:r>
        </a:p>
      </dgm:t>
    </dgm:pt>
    <dgm:pt modelId="{5BA0FC81-6D19-46BA-B03C-AC5336749A1B}" type="parTrans" cxnId="{918427BE-1D5A-4051-B2EA-9897AA486599}">
      <dgm:prSet/>
      <dgm:spPr/>
      <dgm:t>
        <a:bodyPr/>
        <a:lstStyle/>
        <a:p>
          <a:endParaRPr lang="en-US"/>
        </a:p>
      </dgm:t>
    </dgm:pt>
    <dgm:pt modelId="{CE3B2436-872E-429E-8132-54B07A75F11F}" type="sibTrans" cxnId="{918427BE-1D5A-4051-B2EA-9897AA486599}">
      <dgm:prSet/>
      <dgm:spPr/>
      <dgm:t>
        <a:bodyPr/>
        <a:lstStyle/>
        <a:p>
          <a:endParaRPr lang="en-US"/>
        </a:p>
      </dgm:t>
    </dgm:pt>
    <dgm:pt modelId="{A6685E83-BEEC-49B3-B40A-539E2C0D7A1A}">
      <dgm:prSet phldrT="[Text]" phldr="0" custT="0"/>
      <dgm:spPr/>
      <dgm:t>
        <a:bodyPr vert="horz" wrap="square"/>
        <a:lstStyle/>
        <a:p>
          <a:pPr>
            <a:lnSpc>
              <a:spcPct val="100000"/>
            </a:lnSpc>
            <a:spcBef>
              <a:spcPct val="0"/>
            </a:spcBef>
            <a:spcAft>
              <a:spcPct val="35000"/>
            </a:spcAft>
          </a:pPr>
          <a:r>
            <a:rPr lang="en-US"/>
            <a:t>ELT</a:t>
          </a:r>
        </a:p>
      </dgm:t>
    </dgm:pt>
    <dgm:pt modelId="{FECC43A3-D59E-4EE1-9557-8FBB90D5B362}" type="parTrans" cxnId="{BB10D8AF-B781-4A5A-88E2-EC173352E5A9}">
      <dgm:prSet/>
      <dgm:spPr/>
      <dgm:t>
        <a:bodyPr/>
        <a:lstStyle/>
        <a:p>
          <a:endParaRPr lang="en-US"/>
        </a:p>
      </dgm:t>
    </dgm:pt>
    <dgm:pt modelId="{68BB6C9A-B7F0-43A0-955B-FC8C4D4009BF}" type="sibTrans" cxnId="{BB10D8AF-B781-4A5A-88E2-EC173352E5A9}">
      <dgm:prSet/>
      <dgm:spPr/>
      <dgm:t>
        <a:bodyPr/>
        <a:lstStyle/>
        <a:p>
          <a:endParaRPr lang="en-US"/>
        </a:p>
      </dgm:t>
    </dgm:pt>
    <dgm:pt modelId="{CBA50553-63FA-4B5A-9888-EDDBA06CA593}">
      <dgm:prSet phldrT="[Text]" phldr="0" custT="0"/>
      <dgm:spPr/>
      <dgm:t>
        <a:bodyPr vert="horz" wrap="square"/>
        <a:lstStyle/>
        <a:p>
          <a:pPr>
            <a:lnSpc>
              <a:spcPct val="100000"/>
            </a:lnSpc>
            <a:spcBef>
              <a:spcPct val="0"/>
            </a:spcBef>
            <a:spcAft>
              <a:spcPct val="15000"/>
            </a:spcAft>
          </a:pPr>
          <a:r>
            <a:rPr lang="en-US"/>
            <a:t>CEO</a:t>
          </a:r>
        </a:p>
      </dgm:t>
    </dgm:pt>
    <dgm:pt modelId="{73E2772F-165D-4B56-ACC2-969CBF53B0A8}" type="parTrans" cxnId="{F4C9FEBF-4A83-4270-B181-8DF0CD850D6B}">
      <dgm:prSet/>
      <dgm:spPr/>
      <dgm:t>
        <a:bodyPr/>
        <a:lstStyle/>
        <a:p>
          <a:endParaRPr lang="en-US"/>
        </a:p>
      </dgm:t>
    </dgm:pt>
    <dgm:pt modelId="{7BFD1607-7356-4D3D-A829-75D002A3A4B0}" type="sibTrans" cxnId="{F4C9FEBF-4A83-4270-B181-8DF0CD850D6B}">
      <dgm:prSet/>
      <dgm:spPr/>
      <dgm:t>
        <a:bodyPr/>
        <a:lstStyle/>
        <a:p>
          <a:endParaRPr lang="en-US"/>
        </a:p>
      </dgm:t>
    </dgm:pt>
    <dgm:pt modelId="{9319624B-C843-4492-AE95-73B00DDAAD2D}">
      <dgm:prSet phldr="0" custT="0"/>
      <dgm:spPr/>
      <dgm:t>
        <a:bodyPr vert="horz" wrap="square"/>
        <a:lstStyle/>
        <a:p>
          <a:pPr>
            <a:lnSpc>
              <a:spcPct val="100000"/>
            </a:lnSpc>
            <a:spcBef>
              <a:spcPct val="0"/>
            </a:spcBef>
            <a:spcAft>
              <a:spcPct val="15000"/>
            </a:spcAft>
          </a:pPr>
          <a:r>
            <a:rPr lang="en-US"/>
            <a:t>CFO</a:t>
          </a:r>
        </a:p>
      </dgm:t>
    </dgm:pt>
    <dgm:pt modelId="{76D0C729-9C37-4F6A-9C6E-E62729525CE0}" type="parTrans" cxnId="{5854171D-D632-4422-8793-24AD487CEBC2}">
      <dgm:prSet/>
      <dgm:spPr/>
      <dgm:t>
        <a:bodyPr/>
        <a:lstStyle/>
        <a:p>
          <a:endParaRPr lang="en-US"/>
        </a:p>
      </dgm:t>
    </dgm:pt>
    <dgm:pt modelId="{3CA5C502-FD29-413B-A4DC-FE9123F76FD4}" type="sibTrans" cxnId="{5854171D-D632-4422-8793-24AD487CEBC2}">
      <dgm:prSet/>
      <dgm:spPr/>
      <dgm:t>
        <a:bodyPr/>
        <a:lstStyle/>
        <a:p>
          <a:endParaRPr lang="en-US"/>
        </a:p>
      </dgm:t>
    </dgm:pt>
    <dgm:pt modelId="{B42E1CEB-3347-486D-965B-8D0361CA56DB}">
      <dgm:prSet phldr="0" custT="0"/>
      <dgm:spPr/>
      <dgm:t>
        <a:bodyPr vert="horz" wrap="square"/>
        <a:lstStyle/>
        <a:p>
          <a:pPr>
            <a:lnSpc>
              <a:spcPct val="100000"/>
            </a:lnSpc>
            <a:spcBef>
              <a:spcPct val="0"/>
            </a:spcBef>
            <a:spcAft>
              <a:spcPct val="15000"/>
            </a:spcAft>
          </a:pPr>
          <a:r>
            <a:rPr lang="en-US"/>
            <a:t>Senior executives</a:t>
          </a:r>
        </a:p>
      </dgm:t>
    </dgm:pt>
    <dgm:pt modelId="{1E740C59-33C5-4A75-AC6A-4C309FF8F17C}" type="parTrans" cxnId="{E881B122-0209-4088-A6E3-F182D597699A}">
      <dgm:prSet/>
      <dgm:spPr/>
      <dgm:t>
        <a:bodyPr/>
        <a:lstStyle/>
        <a:p>
          <a:endParaRPr lang="en-US"/>
        </a:p>
      </dgm:t>
    </dgm:pt>
    <dgm:pt modelId="{6B2CDFAD-75FE-474D-989C-EFD432D9B9DD}" type="sibTrans" cxnId="{E881B122-0209-4088-A6E3-F182D597699A}">
      <dgm:prSet/>
      <dgm:spPr/>
      <dgm:t>
        <a:bodyPr/>
        <a:lstStyle/>
        <a:p>
          <a:endParaRPr lang="en-US"/>
        </a:p>
      </dgm:t>
    </dgm:pt>
    <dgm:pt modelId="{D5935282-3C7C-4F88-A1AE-C27DB8591514}" type="pres">
      <dgm:prSet presAssocID="{2E15931E-1654-4B73-89B2-8E333D9C42E0}" presName="Name0" presStyleCnt="0">
        <dgm:presLayoutVars>
          <dgm:dir/>
          <dgm:animLvl val="lvl"/>
          <dgm:resizeHandles val="exact"/>
        </dgm:presLayoutVars>
      </dgm:prSet>
      <dgm:spPr/>
    </dgm:pt>
    <dgm:pt modelId="{E61486FD-113E-4C87-8ADF-B1A8E2A84801}" type="pres">
      <dgm:prSet presAssocID="{90DDC401-903F-495B-A387-FFA8A45891F6}" presName="linNode" presStyleCnt="0"/>
      <dgm:spPr/>
    </dgm:pt>
    <dgm:pt modelId="{96BE2B31-D87C-43E1-BE64-4C27B13F4AA4}" type="pres">
      <dgm:prSet presAssocID="{90DDC401-903F-495B-A387-FFA8A45891F6}" presName="parentText" presStyleLbl="node1" presStyleIdx="0" presStyleCnt="2">
        <dgm:presLayoutVars>
          <dgm:chMax val="1"/>
          <dgm:bulletEnabled val="1"/>
        </dgm:presLayoutVars>
      </dgm:prSet>
      <dgm:spPr/>
    </dgm:pt>
    <dgm:pt modelId="{DD9406C3-FC80-4468-A55B-122D744D43F0}" type="pres">
      <dgm:prSet presAssocID="{90DDC401-903F-495B-A387-FFA8A45891F6}" presName="descendantText" presStyleLbl="alignAccFollowNode1" presStyleIdx="0" presStyleCnt="2">
        <dgm:presLayoutVars>
          <dgm:bulletEnabled val="1"/>
        </dgm:presLayoutVars>
      </dgm:prSet>
      <dgm:spPr/>
    </dgm:pt>
    <dgm:pt modelId="{F1941F29-E51C-4282-956D-50CFAFAEB9B8}" type="pres">
      <dgm:prSet presAssocID="{35E5E878-0907-4014-9CFA-56AEFE6C22E5}" presName="sp" presStyleCnt="0"/>
      <dgm:spPr/>
    </dgm:pt>
    <dgm:pt modelId="{B589D1EC-5156-4FB2-BB1C-8E1290A868B9}" type="pres">
      <dgm:prSet presAssocID="{A6685E83-BEEC-49B3-B40A-539E2C0D7A1A}" presName="linNode" presStyleCnt="0"/>
      <dgm:spPr/>
    </dgm:pt>
    <dgm:pt modelId="{EBD335B5-8308-49CB-9630-99D852747B1F}" type="pres">
      <dgm:prSet presAssocID="{A6685E83-BEEC-49B3-B40A-539E2C0D7A1A}" presName="parentText" presStyleLbl="node1" presStyleIdx="1" presStyleCnt="2">
        <dgm:presLayoutVars>
          <dgm:chMax val="1"/>
          <dgm:bulletEnabled val="1"/>
        </dgm:presLayoutVars>
      </dgm:prSet>
      <dgm:spPr/>
    </dgm:pt>
    <dgm:pt modelId="{6EB2A58E-CA03-4F76-94B6-D8FE50231963}" type="pres">
      <dgm:prSet presAssocID="{A6685E83-BEEC-49B3-B40A-539E2C0D7A1A}" presName="descendantText" presStyleLbl="alignAccFollowNode1" presStyleIdx="1" presStyleCnt="2">
        <dgm:presLayoutVars>
          <dgm:bulletEnabled val="1"/>
        </dgm:presLayoutVars>
      </dgm:prSet>
      <dgm:spPr/>
    </dgm:pt>
  </dgm:ptLst>
  <dgm:cxnLst>
    <dgm:cxn modelId="{8138B90F-C943-4E05-894A-C0851DF56D8A}" type="presOf" srcId="{E08CEB0C-E37F-4DCA-A8EA-4B2CD3AD7754}" destId="{DD9406C3-FC80-4468-A55B-122D744D43F0}" srcOrd="0" destOrd="0" presId="urn:microsoft.com/office/officeart/2005/8/layout/vList5"/>
    <dgm:cxn modelId="{5043B11C-7526-4878-8F16-4DE94FABBE36}" type="presOf" srcId="{2E15931E-1654-4B73-89B2-8E333D9C42E0}" destId="{D5935282-3C7C-4F88-A1AE-C27DB8591514}" srcOrd="0" destOrd="0" presId="urn:microsoft.com/office/officeart/2005/8/layout/vList5"/>
    <dgm:cxn modelId="{5854171D-D632-4422-8793-24AD487CEBC2}" srcId="{A6685E83-BEEC-49B3-B40A-539E2C0D7A1A}" destId="{9319624B-C843-4492-AE95-73B00DDAAD2D}" srcOrd="1" destOrd="0" parTransId="{76D0C729-9C37-4F6A-9C6E-E62729525CE0}" sibTransId="{3CA5C502-FD29-413B-A4DC-FE9123F76FD4}"/>
    <dgm:cxn modelId="{E881B122-0209-4088-A6E3-F182D597699A}" srcId="{A6685E83-BEEC-49B3-B40A-539E2C0D7A1A}" destId="{B42E1CEB-3347-486D-965B-8D0361CA56DB}" srcOrd="2" destOrd="0" parTransId="{1E740C59-33C5-4A75-AC6A-4C309FF8F17C}" sibTransId="{6B2CDFAD-75FE-474D-989C-EFD432D9B9DD}"/>
    <dgm:cxn modelId="{6E32D73D-0783-45EE-A89E-73C71C51CB69}" srcId="{90DDC401-903F-495B-A387-FFA8A45891F6}" destId="{E08CEB0C-E37F-4DCA-A8EA-4B2CD3AD7754}" srcOrd="0" destOrd="0" parTransId="{FB4BCC77-44E9-4065-8A2F-90CD32DE34E3}" sibTransId="{41FED480-3E2E-47A2-B997-02D527BC8082}"/>
    <dgm:cxn modelId="{3BA23C40-A065-4888-B4D8-908509D24E53}" type="presOf" srcId="{B42E1CEB-3347-486D-965B-8D0361CA56DB}" destId="{6EB2A58E-CA03-4F76-94B6-D8FE50231963}" srcOrd="0" destOrd="2" presId="urn:microsoft.com/office/officeart/2005/8/layout/vList5"/>
    <dgm:cxn modelId="{A0C81D82-BCC5-4A88-8E4B-F654FD1E819C}" type="presOf" srcId="{A6685E83-BEEC-49B3-B40A-539E2C0D7A1A}" destId="{EBD335B5-8308-49CB-9630-99D852747B1F}" srcOrd="0" destOrd="0" presId="urn:microsoft.com/office/officeart/2005/8/layout/vList5"/>
    <dgm:cxn modelId="{BF536C8D-7005-40CB-896B-6BABD9D5951E}" type="presOf" srcId="{90DDC401-903F-495B-A387-FFA8A45891F6}" destId="{96BE2B31-D87C-43E1-BE64-4C27B13F4AA4}" srcOrd="0" destOrd="0" presId="urn:microsoft.com/office/officeart/2005/8/layout/vList5"/>
    <dgm:cxn modelId="{37EDC88E-2E68-4479-BF59-021E004A5F14}" type="presOf" srcId="{A93CEB80-8459-48C7-B1B8-495DC07B7C9D}" destId="{DD9406C3-FC80-4468-A55B-122D744D43F0}" srcOrd="0" destOrd="2" presId="urn:microsoft.com/office/officeart/2005/8/layout/vList5"/>
    <dgm:cxn modelId="{F37BD096-E343-4AF5-9FB4-53F90F65EA2A}" type="presOf" srcId="{4A9A80CD-89AA-40D8-9C19-870FA80D1EE2}" destId="{DD9406C3-FC80-4468-A55B-122D744D43F0}" srcOrd="0" destOrd="1" presId="urn:microsoft.com/office/officeart/2005/8/layout/vList5"/>
    <dgm:cxn modelId="{BB10D8AF-B781-4A5A-88E2-EC173352E5A9}" srcId="{2E15931E-1654-4B73-89B2-8E333D9C42E0}" destId="{A6685E83-BEEC-49B3-B40A-539E2C0D7A1A}" srcOrd="1" destOrd="0" parTransId="{FECC43A3-D59E-4EE1-9557-8FBB90D5B362}" sibTransId="{68BB6C9A-B7F0-43A0-955B-FC8C4D4009BF}"/>
    <dgm:cxn modelId="{BD1BC5B2-AEB0-4DBA-A5DA-CB05E812D4B0}" srcId="{90DDC401-903F-495B-A387-FFA8A45891F6}" destId="{4A9A80CD-89AA-40D8-9C19-870FA80D1EE2}" srcOrd="1" destOrd="0" parTransId="{65173EF7-AA7D-407F-BEE6-623ED0B265E8}" sibTransId="{0AFA7CEE-5917-40DA-BBF6-8D796387A44A}"/>
    <dgm:cxn modelId="{918427BE-1D5A-4051-B2EA-9897AA486599}" srcId="{90DDC401-903F-495B-A387-FFA8A45891F6}" destId="{A93CEB80-8459-48C7-B1B8-495DC07B7C9D}" srcOrd="2" destOrd="0" parTransId="{5BA0FC81-6D19-46BA-B03C-AC5336749A1B}" sibTransId="{CE3B2436-872E-429E-8132-54B07A75F11F}"/>
    <dgm:cxn modelId="{F4C9FEBF-4A83-4270-B181-8DF0CD850D6B}" srcId="{A6685E83-BEEC-49B3-B40A-539E2C0D7A1A}" destId="{CBA50553-63FA-4B5A-9888-EDDBA06CA593}" srcOrd="0" destOrd="0" parTransId="{73E2772F-165D-4B56-ACC2-969CBF53B0A8}" sibTransId="{7BFD1607-7356-4D3D-A829-75D002A3A4B0}"/>
    <dgm:cxn modelId="{A53DCBDF-ED32-43DE-A566-78FF26176844}" type="presOf" srcId="{CBA50553-63FA-4B5A-9888-EDDBA06CA593}" destId="{6EB2A58E-CA03-4F76-94B6-D8FE50231963}" srcOrd="0" destOrd="0" presId="urn:microsoft.com/office/officeart/2005/8/layout/vList5"/>
    <dgm:cxn modelId="{F5B7ACEE-30D1-40EF-AAC5-F9E7AA66DD48}" srcId="{2E15931E-1654-4B73-89B2-8E333D9C42E0}" destId="{90DDC401-903F-495B-A387-FFA8A45891F6}" srcOrd="0" destOrd="0" parTransId="{C8BB0B8A-C63A-4F83-B8DD-3A7CE259E4EE}" sibTransId="{35E5E878-0907-4014-9CFA-56AEFE6C22E5}"/>
    <dgm:cxn modelId="{158281F0-CB22-4D23-A3FD-F6B834DEFFED}" type="presOf" srcId="{9319624B-C843-4492-AE95-73B00DDAAD2D}" destId="{6EB2A58E-CA03-4F76-94B6-D8FE50231963}" srcOrd="0" destOrd="1" presId="urn:microsoft.com/office/officeart/2005/8/layout/vList5"/>
    <dgm:cxn modelId="{AEEFBFAD-4ADE-4406-9516-36812575ADF7}" type="presParOf" srcId="{D5935282-3C7C-4F88-A1AE-C27DB8591514}" destId="{E61486FD-113E-4C87-8ADF-B1A8E2A84801}" srcOrd="0" destOrd="0" presId="urn:microsoft.com/office/officeart/2005/8/layout/vList5"/>
    <dgm:cxn modelId="{4F02DC02-AD6F-446A-BF2E-DB7922306C03}" type="presParOf" srcId="{E61486FD-113E-4C87-8ADF-B1A8E2A84801}" destId="{96BE2B31-D87C-43E1-BE64-4C27B13F4AA4}" srcOrd="0" destOrd="0" presId="urn:microsoft.com/office/officeart/2005/8/layout/vList5"/>
    <dgm:cxn modelId="{98B85D83-5A8F-4649-A63F-02D18AC0C2D8}" type="presParOf" srcId="{E61486FD-113E-4C87-8ADF-B1A8E2A84801}" destId="{DD9406C3-FC80-4468-A55B-122D744D43F0}" srcOrd="1" destOrd="0" presId="urn:microsoft.com/office/officeart/2005/8/layout/vList5"/>
    <dgm:cxn modelId="{57775F46-3353-453C-9CFE-C6C18C135EA9}" type="presParOf" srcId="{D5935282-3C7C-4F88-A1AE-C27DB8591514}" destId="{F1941F29-E51C-4282-956D-50CFAFAEB9B8}" srcOrd="1" destOrd="0" presId="urn:microsoft.com/office/officeart/2005/8/layout/vList5"/>
    <dgm:cxn modelId="{A750BF42-7E1A-4955-ACF0-A5538E54335D}" type="presParOf" srcId="{D5935282-3C7C-4F88-A1AE-C27DB8591514}" destId="{B589D1EC-5156-4FB2-BB1C-8E1290A868B9}" srcOrd="2" destOrd="0" presId="urn:microsoft.com/office/officeart/2005/8/layout/vList5"/>
    <dgm:cxn modelId="{49F6A450-FBB5-4B55-A7F7-9A94C28A1680}" type="presParOf" srcId="{B589D1EC-5156-4FB2-BB1C-8E1290A868B9}" destId="{EBD335B5-8308-49CB-9630-99D852747B1F}" srcOrd="0" destOrd="0" presId="urn:microsoft.com/office/officeart/2005/8/layout/vList5"/>
    <dgm:cxn modelId="{3D35B78E-BD83-46A3-826B-356BD7CB3EF1}" type="presParOf" srcId="{B589D1EC-5156-4FB2-BB1C-8E1290A868B9}" destId="{6EB2A58E-CA03-4F76-94B6-D8FE50231963}" srcOrd="1" destOrd="0" presId="urn:microsoft.com/office/officeart/2005/8/layout/vList5"/>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8DCCA84-845D-4AFA-B5C9-F6524C28B363}" type="doc">
      <dgm:prSet loTypeId="urn:microsoft.com/office/officeart/2005/8/layout/radial3" loCatId="cycle" qsTypeId="urn:microsoft.com/office/officeart/2005/8/quickstyle/simple3#1" qsCatId="simple" csTypeId="urn:microsoft.com/office/officeart/2005/8/colors/accent1_2#2" csCatId="accent1" phldr="0"/>
      <dgm:spPr/>
      <dgm:t>
        <a:bodyPr/>
        <a:lstStyle/>
        <a:p>
          <a:endParaRPr lang="en-US"/>
        </a:p>
      </dgm:t>
    </dgm:pt>
    <dgm:pt modelId="{3B7D232D-7CD3-4CE8-9F64-CD8AC0A8F086}">
      <dgm:prSet phldrT="[Text]" phldr="0" custT="0"/>
      <dgm:spPr/>
      <dgm:t>
        <a:bodyPr vert="horz" wrap="square"/>
        <a:lstStyle/>
        <a:p>
          <a:pPr>
            <a:lnSpc>
              <a:spcPct val="100000"/>
            </a:lnSpc>
            <a:spcBef>
              <a:spcPct val="0"/>
            </a:spcBef>
            <a:spcAft>
              <a:spcPct val="35000"/>
            </a:spcAft>
          </a:pPr>
          <a:r>
            <a:rPr lang="en-US"/>
            <a:t>Regional Level</a:t>
          </a:r>
        </a:p>
      </dgm:t>
    </dgm:pt>
    <dgm:pt modelId="{C7F2A52F-E9AF-4FE6-B5CD-C166BF0ADD11}" type="parTrans" cxnId="{16A0A019-A736-45F0-A2EA-462D62A5BAB1}">
      <dgm:prSet/>
      <dgm:spPr/>
      <dgm:t>
        <a:bodyPr/>
        <a:lstStyle/>
        <a:p>
          <a:endParaRPr lang="en-US"/>
        </a:p>
      </dgm:t>
    </dgm:pt>
    <dgm:pt modelId="{30BC1A13-A670-40BD-AA58-D31C951E8C01}" type="sibTrans" cxnId="{16A0A019-A736-45F0-A2EA-462D62A5BAB1}">
      <dgm:prSet/>
      <dgm:spPr/>
      <dgm:t>
        <a:bodyPr/>
        <a:lstStyle/>
        <a:p>
          <a:endParaRPr lang="en-US"/>
        </a:p>
      </dgm:t>
    </dgm:pt>
    <dgm:pt modelId="{C7B2594F-967C-49BB-B2B4-428D59DF0E5B}">
      <dgm:prSet phldrT="[Text]" phldr="0" custT="0"/>
      <dgm:spPr/>
      <dgm:t>
        <a:bodyPr vert="horz" wrap="square"/>
        <a:lstStyle/>
        <a:p>
          <a:pPr>
            <a:lnSpc>
              <a:spcPct val="100000"/>
            </a:lnSpc>
            <a:spcBef>
              <a:spcPct val="0"/>
            </a:spcBef>
            <a:spcAft>
              <a:spcPct val="35000"/>
            </a:spcAft>
          </a:pPr>
          <a:r>
            <a:rPr lang="en-US"/>
            <a:t>North America</a:t>
          </a:r>
        </a:p>
      </dgm:t>
    </dgm:pt>
    <dgm:pt modelId="{BDBB4B8B-EAF7-4324-AC79-B5938C48C343}" type="parTrans" cxnId="{93A46566-2C68-426A-A0FE-455BC5E5C1AA}">
      <dgm:prSet/>
      <dgm:spPr/>
      <dgm:t>
        <a:bodyPr/>
        <a:lstStyle/>
        <a:p>
          <a:endParaRPr lang="en-US"/>
        </a:p>
      </dgm:t>
    </dgm:pt>
    <dgm:pt modelId="{33450FBC-DB64-439A-8E3F-E2574AEFCA86}" type="sibTrans" cxnId="{93A46566-2C68-426A-A0FE-455BC5E5C1AA}">
      <dgm:prSet/>
      <dgm:spPr/>
      <dgm:t>
        <a:bodyPr/>
        <a:lstStyle/>
        <a:p>
          <a:endParaRPr lang="en-US"/>
        </a:p>
      </dgm:t>
    </dgm:pt>
    <dgm:pt modelId="{2754153E-2870-4A58-BD98-DAF85237F37A}">
      <dgm:prSet phldrT="[Text]" phldr="0" custT="0"/>
      <dgm:spPr/>
      <dgm:t>
        <a:bodyPr vert="horz" wrap="square"/>
        <a:lstStyle/>
        <a:p>
          <a:pPr>
            <a:lnSpc>
              <a:spcPct val="100000"/>
            </a:lnSpc>
            <a:spcBef>
              <a:spcPct val="0"/>
            </a:spcBef>
            <a:spcAft>
              <a:spcPct val="35000"/>
            </a:spcAft>
          </a:pPr>
          <a:r>
            <a:rPr lang="en-US"/>
            <a:t>Europe</a:t>
          </a:r>
        </a:p>
      </dgm:t>
    </dgm:pt>
    <dgm:pt modelId="{42C2D6D1-657F-4D95-8E73-20ABF221F4DE}" type="parTrans" cxnId="{89997151-644D-464D-A9FC-E27432A20BC0}">
      <dgm:prSet/>
      <dgm:spPr/>
      <dgm:t>
        <a:bodyPr/>
        <a:lstStyle/>
        <a:p>
          <a:endParaRPr lang="en-US"/>
        </a:p>
      </dgm:t>
    </dgm:pt>
    <dgm:pt modelId="{2EBAC0DD-319C-4E29-BF39-DF789C3A671B}" type="sibTrans" cxnId="{89997151-644D-464D-A9FC-E27432A20BC0}">
      <dgm:prSet/>
      <dgm:spPr/>
      <dgm:t>
        <a:bodyPr/>
        <a:lstStyle/>
        <a:p>
          <a:endParaRPr lang="en-US"/>
        </a:p>
      </dgm:t>
    </dgm:pt>
    <dgm:pt modelId="{958CABDF-7852-497F-8010-4C61E7F717F8}">
      <dgm:prSet phldrT="[Text]" phldr="0" custT="0"/>
      <dgm:spPr/>
      <dgm:t>
        <a:bodyPr vert="horz" wrap="square"/>
        <a:lstStyle/>
        <a:p>
          <a:pPr>
            <a:lnSpc>
              <a:spcPct val="100000"/>
            </a:lnSpc>
            <a:spcBef>
              <a:spcPct val="0"/>
            </a:spcBef>
            <a:spcAft>
              <a:spcPct val="35000"/>
            </a:spcAft>
          </a:pPr>
          <a:r>
            <a:rPr lang="en-US"/>
            <a:t>Asia</a:t>
          </a:r>
        </a:p>
      </dgm:t>
    </dgm:pt>
    <dgm:pt modelId="{2FC43F87-80F9-4689-A911-01FBE8108216}" type="parTrans" cxnId="{E9EEC5DE-8A41-4507-911B-FC109AD7AE65}">
      <dgm:prSet/>
      <dgm:spPr/>
      <dgm:t>
        <a:bodyPr/>
        <a:lstStyle/>
        <a:p>
          <a:endParaRPr lang="en-US"/>
        </a:p>
      </dgm:t>
    </dgm:pt>
    <dgm:pt modelId="{12DBAD54-938D-421B-8D70-FD589A3A24B7}" type="sibTrans" cxnId="{E9EEC5DE-8A41-4507-911B-FC109AD7AE65}">
      <dgm:prSet/>
      <dgm:spPr/>
      <dgm:t>
        <a:bodyPr/>
        <a:lstStyle/>
        <a:p>
          <a:endParaRPr lang="en-US"/>
        </a:p>
      </dgm:t>
    </dgm:pt>
    <dgm:pt modelId="{82717C1F-66C6-4A94-9A71-62F2105F77AB}">
      <dgm:prSet phldrT="[Text]" phldr="0" custT="0"/>
      <dgm:spPr/>
      <dgm:t>
        <a:bodyPr vert="horz" wrap="square"/>
        <a:lstStyle/>
        <a:p>
          <a:pPr>
            <a:lnSpc>
              <a:spcPct val="100000"/>
            </a:lnSpc>
            <a:spcBef>
              <a:spcPct val="0"/>
            </a:spcBef>
            <a:spcAft>
              <a:spcPct val="35000"/>
            </a:spcAft>
          </a:pPr>
          <a:r>
            <a:rPr lang="en-US"/>
            <a:t>Latin America</a:t>
          </a:r>
        </a:p>
      </dgm:t>
    </dgm:pt>
    <dgm:pt modelId="{76E20547-2B14-46FF-8876-56FF1C0E3AD3}" type="parTrans" cxnId="{94C3FF8A-1344-4A1D-A0B0-E46AB6A1BD9E}">
      <dgm:prSet/>
      <dgm:spPr/>
      <dgm:t>
        <a:bodyPr/>
        <a:lstStyle/>
        <a:p>
          <a:endParaRPr lang="en-US"/>
        </a:p>
      </dgm:t>
    </dgm:pt>
    <dgm:pt modelId="{5D0F8D1F-49D5-4EDC-83FB-B27D620915A5}" type="sibTrans" cxnId="{94C3FF8A-1344-4A1D-A0B0-E46AB6A1BD9E}">
      <dgm:prSet/>
      <dgm:spPr/>
      <dgm:t>
        <a:bodyPr/>
        <a:lstStyle/>
        <a:p>
          <a:endParaRPr lang="en-US"/>
        </a:p>
      </dgm:t>
    </dgm:pt>
    <dgm:pt modelId="{C397CB15-7790-4F1A-896D-7552F2F7F294}" type="pres">
      <dgm:prSet presAssocID="{08DCCA84-845D-4AFA-B5C9-F6524C28B363}" presName="composite" presStyleCnt="0">
        <dgm:presLayoutVars>
          <dgm:chMax val="1"/>
          <dgm:dir/>
          <dgm:resizeHandles val="exact"/>
        </dgm:presLayoutVars>
      </dgm:prSet>
      <dgm:spPr/>
    </dgm:pt>
    <dgm:pt modelId="{947B5A56-686A-4842-A85E-F213490D2A53}" type="pres">
      <dgm:prSet presAssocID="{08DCCA84-845D-4AFA-B5C9-F6524C28B363}" presName="radial" presStyleCnt="0">
        <dgm:presLayoutVars>
          <dgm:animLvl val="ctr"/>
        </dgm:presLayoutVars>
      </dgm:prSet>
      <dgm:spPr/>
    </dgm:pt>
    <dgm:pt modelId="{4D249092-DA8C-4681-AA9C-207F2DFD3154}" type="pres">
      <dgm:prSet presAssocID="{3B7D232D-7CD3-4CE8-9F64-CD8AC0A8F086}" presName="centerShape" presStyleLbl="vennNode1" presStyleIdx="0" presStyleCnt="5"/>
      <dgm:spPr/>
    </dgm:pt>
    <dgm:pt modelId="{0ABA4A14-2574-4777-939A-8A91AE25FBF5}" type="pres">
      <dgm:prSet presAssocID="{C7B2594F-967C-49BB-B2B4-428D59DF0E5B}" presName="node" presStyleLbl="vennNode1" presStyleIdx="1" presStyleCnt="5">
        <dgm:presLayoutVars>
          <dgm:bulletEnabled val="1"/>
        </dgm:presLayoutVars>
      </dgm:prSet>
      <dgm:spPr/>
    </dgm:pt>
    <dgm:pt modelId="{A9981A18-75F3-41F3-9957-B40659E402CE}" type="pres">
      <dgm:prSet presAssocID="{2754153E-2870-4A58-BD98-DAF85237F37A}" presName="node" presStyleLbl="vennNode1" presStyleIdx="2" presStyleCnt="5">
        <dgm:presLayoutVars>
          <dgm:bulletEnabled val="1"/>
        </dgm:presLayoutVars>
      </dgm:prSet>
      <dgm:spPr/>
    </dgm:pt>
    <dgm:pt modelId="{5EBE0206-6FD5-462B-AC34-DF1594CC1BEE}" type="pres">
      <dgm:prSet presAssocID="{958CABDF-7852-497F-8010-4C61E7F717F8}" presName="node" presStyleLbl="vennNode1" presStyleIdx="3" presStyleCnt="5">
        <dgm:presLayoutVars>
          <dgm:bulletEnabled val="1"/>
        </dgm:presLayoutVars>
      </dgm:prSet>
      <dgm:spPr/>
    </dgm:pt>
    <dgm:pt modelId="{5BB31F2C-9F6F-461E-B8AE-DAD63322F779}" type="pres">
      <dgm:prSet presAssocID="{82717C1F-66C6-4A94-9A71-62F2105F77AB}" presName="node" presStyleLbl="vennNode1" presStyleIdx="4" presStyleCnt="5">
        <dgm:presLayoutVars>
          <dgm:bulletEnabled val="1"/>
        </dgm:presLayoutVars>
      </dgm:prSet>
      <dgm:spPr/>
    </dgm:pt>
  </dgm:ptLst>
  <dgm:cxnLst>
    <dgm:cxn modelId="{092E1210-35E3-43BF-846F-E77E65A746FF}" type="presOf" srcId="{82717C1F-66C6-4A94-9A71-62F2105F77AB}" destId="{5BB31F2C-9F6F-461E-B8AE-DAD63322F779}" srcOrd="0" destOrd="0" presId="urn:microsoft.com/office/officeart/2005/8/layout/radial3"/>
    <dgm:cxn modelId="{16A0A019-A736-45F0-A2EA-462D62A5BAB1}" srcId="{08DCCA84-845D-4AFA-B5C9-F6524C28B363}" destId="{3B7D232D-7CD3-4CE8-9F64-CD8AC0A8F086}" srcOrd="0" destOrd="0" parTransId="{C7F2A52F-E9AF-4FE6-B5CD-C166BF0ADD11}" sibTransId="{30BC1A13-A670-40BD-AA58-D31C951E8C01}"/>
    <dgm:cxn modelId="{E3410529-6186-4C59-A934-BC64A8DDF7D1}" type="presOf" srcId="{C7B2594F-967C-49BB-B2B4-428D59DF0E5B}" destId="{0ABA4A14-2574-4777-939A-8A91AE25FBF5}" srcOrd="0" destOrd="0" presId="urn:microsoft.com/office/officeart/2005/8/layout/radial3"/>
    <dgm:cxn modelId="{875F1640-C09A-41F6-A24D-8D4DFEA41145}" type="presOf" srcId="{08DCCA84-845D-4AFA-B5C9-F6524C28B363}" destId="{C397CB15-7790-4F1A-896D-7552F2F7F294}" srcOrd="0" destOrd="0" presId="urn:microsoft.com/office/officeart/2005/8/layout/radial3"/>
    <dgm:cxn modelId="{93A46566-2C68-426A-A0FE-455BC5E5C1AA}" srcId="{3B7D232D-7CD3-4CE8-9F64-CD8AC0A8F086}" destId="{C7B2594F-967C-49BB-B2B4-428D59DF0E5B}" srcOrd="0" destOrd="0" parTransId="{BDBB4B8B-EAF7-4324-AC79-B5938C48C343}" sibTransId="{33450FBC-DB64-439A-8E3F-E2574AEFCA86}"/>
    <dgm:cxn modelId="{89997151-644D-464D-A9FC-E27432A20BC0}" srcId="{3B7D232D-7CD3-4CE8-9F64-CD8AC0A8F086}" destId="{2754153E-2870-4A58-BD98-DAF85237F37A}" srcOrd="1" destOrd="0" parTransId="{42C2D6D1-657F-4D95-8E73-20ABF221F4DE}" sibTransId="{2EBAC0DD-319C-4E29-BF39-DF789C3A671B}"/>
    <dgm:cxn modelId="{94C3FF8A-1344-4A1D-A0B0-E46AB6A1BD9E}" srcId="{3B7D232D-7CD3-4CE8-9F64-CD8AC0A8F086}" destId="{82717C1F-66C6-4A94-9A71-62F2105F77AB}" srcOrd="3" destOrd="0" parTransId="{76E20547-2B14-46FF-8876-56FF1C0E3AD3}" sibTransId="{5D0F8D1F-49D5-4EDC-83FB-B27D620915A5}"/>
    <dgm:cxn modelId="{676FE3A0-D62C-443C-916A-9D7E1C48888D}" type="presOf" srcId="{2754153E-2870-4A58-BD98-DAF85237F37A}" destId="{A9981A18-75F3-41F3-9957-B40659E402CE}" srcOrd="0" destOrd="0" presId="urn:microsoft.com/office/officeart/2005/8/layout/radial3"/>
    <dgm:cxn modelId="{E9EEC5DE-8A41-4507-911B-FC109AD7AE65}" srcId="{3B7D232D-7CD3-4CE8-9F64-CD8AC0A8F086}" destId="{958CABDF-7852-497F-8010-4C61E7F717F8}" srcOrd="2" destOrd="0" parTransId="{2FC43F87-80F9-4689-A911-01FBE8108216}" sibTransId="{12DBAD54-938D-421B-8D70-FD589A3A24B7}"/>
    <dgm:cxn modelId="{30C07DE1-55BF-4EF0-B6BB-D343E875164F}" type="presOf" srcId="{958CABDF-7852-497F-8010-4C61E7F717F8}" destId="{5EBE0206-6FD5-462B-AC34-DF1594CC1BEE}" srcOrd="0" destOrd="0" presId="urn:microsoft.com/office/officeart/2005/8/layout/radial3"/>
    <dgm:cxn modelId="{0856BDE1-0E6A-46FC-9175-CFC7ED65E14A}" type="presOf" srcId="{3B7D232D-7CD3-4CE8-9F64-CD8AC0A8F086}" destId="{4D249092-DA8C-4681-AA9C-207F2DFD3154}" srcOrd="0" destOrd="0" presId="urn:microsoft.com/office/officeart/2005/8/layout/radial3"/>
    <dgm:cxn modelId="{2CC3D58A-5DF6-4666-8EB6-379A68D9237C}" type="presParOf" srcId="{C397CB15-7790-4F1A-896D-7552F2F7F294}" destId="{947B5A56-686A-4842-A85E-F213490D2A53}" srcOrd="0" destOrd="0" presId="urn:microsoft.com/office/officeart/2005/8/layout/radial3"/>
    <dgm:cxn modelId="{EC3E0560-56FC-4A88-9FA9-609AE12326B8}" type="presParOf" srcId="{947B5A56-686A-4842-A85E-F213490D2A53}" destId="{4D249092-DA8C-4681-AA9C-207F2DFD3154}" srcOrd="0" destOrd="0" presId="urn:microsoft.com/office/officeart/2005/8/layout/radial3"/>
    <dgm:cxn modelId="{9BC8A90F-E699-44B6-8EE1-682486560DCF}" type="presParOf" srcId="{947B5A56-686A-4842-A85E-F213490D2A53}" destId="{0ABA4A14-2574-4777-939A-8A91AE25FBF5}" srcOrd="1" destOrd="0" presId="urn:microsoft.com/office/officeart/2005/8/layout/radial3"/>
    <dgm:cxn modelId="{F93FC6CA-9983-4627-911E-98F6BB83E251}" type="presParOf" srcId="{947B5A56-686A-4842-A85E-F213490D2A53}" destId="{A9981A18-75F3-41F3-9957-B40659E402CE}" srcOrd="2" destOrd="0" presId="urn:microsoft.com/office/officeart/2005/8/layout/radial3"/>
    <dgm:cxn modelId="{A31EB7A2-A378-4823-B8B3-E0DA85EE4D88}" type="presParOf" srcId="{947B5A56-686A-4842-A85E-F213490D2A53}" destId="{5EBE0206-6FD5-462B-AC34-DF1594CC1BEE}" srcOrd="3" destOrd="0" presId="urn:microsoft.com/office/officeart/2005/8/layout/radial3"/>
    <dgm:cxn modelId="{71A6FC31-6AD0-46AB-B8A4-3F80FF6CA3FE}" type="presParOf" srcId="{947B5A56-686A-4842-A85E-F213490D2A53}" destId="{5BB31F2C-9F6F-461E-B8AE-DAD63322F779}" srcOrd="4" destOrd="0" presId="urn:microsoft.com/office/officeart/2005/8/layout/radial3"/>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D9406C3-FC80-4468-A55B-122D744D43F0}">
      <dsp:nvSpPr>
        <dsp:cNvPr id="0" name=""/>
        <dsp:cNvSpPr/>
      </dsp:nvSpPr>
      <dsp:spPr>
        <a:xfrm rot="5400000">
          <a:off x="1884783" y="-510308"/>
          <a:ext cx="966415" cy="2228697"/>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7150" tIns="28575" rIns="57150" bIns="28575" numCol="1" spcCol="1270" anchor="ctr" anchorCtr="0">
          <a:noAutofit/>
        </a:bodyPr>
        <a:lstStyle/>
        <a:p>
          <a:pPr marL="114300" lvl="1" indent="-114300" algn="l" defTabSz="666750">
            <a:lnSpc>
              <a:spcPct val="100000"/>
            </a:lnSpc>
            <a:spcBef>
              <a:spcPct val="0"/>
            </a:spcBef>
            <a:spcAft>
              <a:spcPct val="15000"/>
            </a:spcAft>
            <a:buChar char="•"/>
          </a:pPr>
          <a:r>
            <a:rPr lang="en-US" sz="1500" kern="1200"/>
            <a:t>Executive</a:t>
          </a:r>
        </a:p>
        <a:p>
          <a:pPr marL="114300" lvl="1" indent="-114300" algn="l" defTabSz="666750">
            <a:lnSpc>
              <a:spcPct val="100000"/>
            </a:lnSpc>
            <a:spcBef>
              <a:spcPct val="0"/>
            </a:spcBef>
            <a:spcAft>
              <a:spcPct val="15000"/>
            </a:spcAft>
            <a:buChar char="•"/>
          </a:pPr>
          <a:r>
            <a:rPr lang="en-US" sz="1500" kern="1200"/>
            <a:t>Non Executive</a:t>
          </a:r>
        </a:p>
        <a:p>
          <a:pPr marL="114300" lvl="1" indent="-114300" algn="l" defTabSz="666750">
            <a:lnSpc>
              <a:spcPct val="100000"/>
            </a:lnSpc>
            <a:spcBef>
              <a:spcPct val="0"/>
            </a:spcBef>
            <a:spcAft>
              <a:spcPct val="15000"/>
            </a:spcAft>
            <a:buChar char="•"/>
          </a:pPr>
          <a:r>
            <a:rPr lang="en-US" sz="1500" kern="1200"/>
            <a:t>Chairman</a:t>
          </a:r>
        </a:p>
      </dsp:txBody>
      <dsp:txXfrm rot="-5400000">
        <a:off x="1253642" y="168009"/>
        <a:ext cx="2181521" cy="872063"/>
      </dsp:txXfrm>
    </dsp:sp>
    <dsp:sp modelId="{96BE2B31-D87C-43E1-BE64-4C27B13F4AA4}">
      <dsp:nvSpPr>
        <dsp:cNvPr id="0" name=""/>
        <dsp:cNvSpPr/>
      </dsp:nvSpPr>
      <dsp:spPr>
        <a:xfrm>
          <a:off x="0" y="30"/>
          <a:ext cx="1253642" cy="120801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0010" tIns="40005" rIns="80010" bIns="40005" numCol="1" spcCol="1270" anchor="ctr" anchorCtr="0">
          <a:noAutofit/>
        </a:bodyPr>
        <a:lstStyle/>
        <a:p>
          <a:pPr marL="0" lvl="0" indent="0" algn="ctr" defTabSz="933450">
            <a:lnSpc>
              <a:spcPct val="100000"/>
            </a:lnSpc>
            <a:spcBef>
              <a:spcPct val="0"/>
            </a:spcBef>
            <a:spcAft>
              <a:spcPct val="35000"/>
            </a:spcAft>
            <a:buNone/>
          </a:pPr>
          <a:r>
            <a:rPr lang="en-US" sz="2100" kern="1200"/>
            <a:t>Board of directors</a:t>
          </a:r>
        </a:p>
      </dsp:txBody>
      <dsp:txXfrm>
        <a:off x="58971" y="59001"/>
        <a:ext cx="1135700" cy="1090077"/>
      </dsp:txXfrm>
    </dsp:sp>
    <dsp:sp modelId="{6EB2A58E-CA03-4F76-94B6-D8FE50231963}">
      <dsp:nvSpPr>
        <dsp:cNvPr id="0" name=""/>
        <dsp:cNvSpPr/>
      </dsp:nvSpPr>
      <dsp:spPr>
        <a:xfrm rot="5400000">
          <a:off x="1884783" y="758111"/>
          <a:ext cx="966415" cy="2228697"/>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7150" tIns="28575" rIns="57150" bIns="28575" numCol="1" spcCol="1270" anchor="ctr" anchorCtr="0">
          <a:noAutofit/>
        </a:bodyPr>
        <a:lstStyle/>
        <a:p>
          <a:pPr marL="114300" lvl="1" indent="-114300" algn="l" defTabSz="666750">
            <a:lnSpc>
              <a:spcPct val="100000"/>
            </a:lnSpc>
            <a:spcBef>
              <a:spcPct val="0"/>
            </a:spcBef>
            <a:spcAft>
              <a:spcPct val="15000"/>
            </a:spcAft>
            <a:buChar char="•"/>
          </a:pPr>
          <a:r>
            <a:rPr lang="en-US" sz="1500" kern="1200"/>
            <a:t>CEO</a:t>
          </a:r>
        </a:p>
        <a:p>
          <a:pPr marL="114300" lvl="1" indent="-114300" algn="l" defTabSz="666750">
            <a:lnSpc>
              <a:spcPct val="100000"/>
            </a:lnSpc>
            <a:spcBef>
              <a:spcPct val="0"/>
            </a:spcBef>
            <a:spcAft>
              <a:spcPct val="15000"/>
            </a:spcAft>
            <a:buChar char="•"/>
          </a:pPr>
          <a:r>
            <a:rPr lang="en-US" sz="1500" kern="1200"/>
            <a:t>CFO</a:t>
          </a:r>
        </a:p>
        <a:p>
          <a:pPr marL="114300" lvl="1" indent="-114300" algn="l" defTabSz="666750">
            <a:lnSpc>
              <a:spcPct val="100000"/>
            </a:lnSpc>
            <a:spcBef>
              <a:spcPct val="0"/>
            </a:spcBef>
            <a:spcAft>
              <a:spcPct val="15000"/>
            </a:spcAft>
            <a:buChar char="•"/>
          </a:pPr>
          <a:r>
            <a:rPr lang="en-US" sz="1500" kern="1200"/>
            <a:t>Senior executives</a:t>
          </a:r>
        </a:p>
      </dsp:txBody>
      <dsp:txXfrm rot="-5400000">
        <a:off x="1253642" y="1436428"/>
        <a:ext cx="2181521" cy="872063"/>
      </dsp:txXfrm>
    </dsp:sp>
    <dsp:sp modelId="{EBD335B5-8308-49CB-9630-99D852747B1F}">
      <dsp:nvSpPr>
        <dsp:cNvPr id="0" name=""/>
        <dsp:cNvSpPr/>
      </dsp:nvSpPr>
      <dsp:spPr>
        <a:xfrm>
          <a:off x="0" y="1268450"/>
          <a:ext cx="1253642" cy="120801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0010" tIns="40005" rIns="80010" bIns="40005" numCol="1" spcCol="1270" anchor="ctr" anchorCtr="0">
          <a:noAutofit/>
        </a:bodyPr>
        <a:lstStyle/>
        <a:p>
          <a:pPr marL="0" lvl="0" indent="0" algn="ctr" defTabSz="933450">
            <a:lnSpc>
              <a:spcPct val="100000"/>
            </a:lnSpc>
            <a:spcBef>
              <a:spcPct val="0"/>
            </a:spcBef>
            <a:spcAft>
              <a:spcPct val="35000"/>
            </a:spcAft>
            <a:buNone/>
          </a:pPr>
          <a:r>
            <a:rPr lang="en-US" sz="2100" kern="1200"/>
            <a:t>ELT</a:t>
          </a:r>
        </a:p>
      </dsp:txBody>
      <dsp:txXfrm>
        <a:off x="58971" y="1327421"/>
        <a:ext cx="1135700" cy="109007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D249092-DA8C-4681-AA9C-207F2DFD3154}">
      <dsp:nvSpPr>
        <dsp:cNvPr id="0" name=""/>
        <dsp:cNvSpPr/>
      </dsp:nvSpPr>
      <dsp:spPr bwMode="white">
        <a:xfrm>
          <a:off x="1415345" y="688270"/>
          <a:ext cx="1714638" cy="1714638"/>
        </a:xfrm>
        <a:prstGeom prst="ellipse">
          <a:avLst/>
        </a:prstGeom>
        <a:gradFill rotWithShape="0">
          <a:gsLst>
            <a:gs pos="0">
              <a:schemeClr val="accent1">
                <a:alpha val="50000"/>
                <a:hueOff val="0"/>
                <a:satOff val="0"/>
                <a:lumOff val="0"/>
                <a:alphaOff val="0"/>
                <a:lumMod val="110000"/>
                <a:satMod val="105000"/>
                <a:tint val="67000"/>
              </a:schemeClr>
            </a:gs>
            <a:gs pos="50000">
              <a:schemeClr val="accent1">
                <a:alpha val="50000"/>
                <a:hueOff val="0"/>
                <a:satOff val="0"/>
                <a:lumOff val="0"/>
                <a:alphaOff val="0"/>
                <a:lumMod val="105000"/>
                <a:satMod val="103000"/>
                <a:tint val="73000"/>
              </a:schemeClr>
            </a:gs>
            <a:gs pos="100000">
              <a:schemeClr val="accent1">
                <a:alpha val="50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0">
          <a:scrgbClr r="0" g="0" b="0"/>
        </a:effectRef>
        <a:fontRef idx="minor">
          <a:schemeClr val="tx1"/>
        </a:fontRef>
      </dsp:style>
      <dsp:txBody>
        <a:bodyPr spcFirstLastPara="0" vert="horz" wrap="square" lIns="31750" tIns="31750" rIns="31750" bIns="31750" numCol="1" spcCol="1270" anchor="ctr" anchorCtr="0">
          <a:noAutofit/>
        </a:bodyPr>
        <a:lstStyle/>
        <a:p>
          <a:pPr marL="0" lvl="0" indent="0" algn="ctr" defTabSz="1111250">
            <a:lnSpc>
              <a:spcPct val="100000"/>
            </a:lnSpc>
            <a:spcBef>
              <a:spcPct val="0"/>
            </a:spcBef>
            <a:spcAft>
              <a:spcPct val="35000"/>
            </a:spcAft>
            <a:buNone/>
          </a:pPr>
          <a:r>
            <a:rPr lang="en-US" sz="2500" kern="1200"/>
            <a:t>Regional Level</a:t>
          </a:r>
        </a:p>
      </dsp:txBody>
      <dsp:txXfrm>
        <a:off x="1666448" y="939373"/>
        <a:ext cx="1212432" cy="1212432"/>
      </dsp:txXfrm>
    </dsp:sp>
    <dsp:sp modelId="{0ABA4A14-2574-4777-939A-8A91AE25FBF5}">
      <dsp:nvSpPr>
        <dsp:cNvPr id="0" name=""/>
        <dsp:cNvSpPr/>
      </dsp:nvSpPr>
      <dsp:spPr bwMode="white">
        <a:xfrm>
          <a:off x="1844005" y="306"/>
          <a:ext cx="857319" cy="857319"/>
        </a:xfrm>
        <a:prstGeom prst="ellipse">
          <a:avLst/>
        </a:prstGeom>
        <a:gradFill rotWithShape="0">
          <a:gsLst>
            <a:gs pos="0">
              <a:schemeClr val="accent1">
                <a:alpha val="50000"/>
                <a:hueOff val="0"/>
                <a:satOff val="0"/>
                <a:lumOff val="0"/>
                <a:alphaOff val="0"/>
                <a:lumMod val="110000"/>
                <a:satMod val="105000"/>
                <a:tint val="67000"/>
              </a:schemeClr>
            </a:gs>
            <a:gs pos="50000">
              <a:schemeClr val="accent1">
                <a:alpha val="50000"/>
                <a:hueOff val="0"/>
                <a:satOff val="0"/>
                <a:lumOff val="0"/>
                <a:alphaOff val="0"/>
                <a:lumMod val="105000"/>
                <a:satMod val="103000"/>
                <a:tint val="73000"/>
              </a:schemeClr>
            </a:gs>
            <a:gs pos="100000">
              <a:schemeClr val="accent1">
                <a:alpha val="50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0">
          <a:scrgbClr r="0" g="0" b="0"/>
        </a:effectRef>
        <a:fontRef idx="minor">
          <a:schemeClr val="tx1"/>
        </a:fontRef>
      </dsp:style>
      <dsp:txBody>
        <a:bodyPr spcFirstLastPara="0" vert="horz" wrap="square" lIns="16510" tIns="16510" rIns="16510" bIns="16510" numCol="1" spcCol="1270" anchor="ctr" anchorCtr="0">
          <a:noAutofit/>
        </a:bodyPr>
        <a:lstStyle/>
        <a:p>
          <a:pPr marL="0" lvl="0" indent="0" algn="ctr" defTabSz="577850">
            <a:lnSpc>
              <a:spcPct val="100000"/>
            </a:lnSpc>
            <a:spcBef>
              <a:spcPct val="0"/>
            </a:spcBef>
            <a:spcAft>
              <a:spcPct val="35000"/>
            </a:spcAft>
            <a:buNone/>
          </a:pPr>
          <a:r>
            <a:rPr lang="en-US" sz="1300" kern="1200"/>
            <a:t>North America</a:t>
          </a:r>
        </a:p>
      </dsp:txBody>
      <dsp:txXfrm>
        <a:off x="1969556" y="125857"/>
        <a:ext cx="606217" cy="606217"/>
      </dsp:txXfrm>
    </dsp:sp>
    <dsp:sp modelId="{A9981A18-75F3-41F3-9957-B40659E402CE}">
      <dsp:nvSpPr>
        <dsp:cNvPr id="0" name=""/>
        <dsp:cNvSpPr/>
      </dsp:nvSpPr>
      <dsp:spPr bwMode="white">
        <a:xfrm>
          <a:off x="2960629" y="1116930"/>
          <a:ext cx="857319" cy="857319"/>
        </a:xfrm>
        <a:prstGeom prst="ellipse">
          <a:avLst/>
        </a:prstGeom>
        <a:gradFill rotWithShape="0">
          <a:gsLst>
            <a:gs pos="0">
              <a:schemeClr val="accent1">
                <a:alpha val="50000"/>
                <a:hueOff val="0"/>
                <a:satOff val="0"/>
                <a:lumOff val="0"/>
                <a:alphaOff val="0"/>
                <a:lumMod val="110000"/>
                <a:satMod val="105000"/>
                <a:tint val="67000"/>
              </a:schemeClr>
            </a:gs>
            <a:gs pos="50000">
              <a:schemeClr val="accent1">
                <a:alpha val="50000"/>
                <a:hueOff val="0"/>
                <a:satOff val="0"/>
                <a:lumOff val="0"/>
                <a:alphaOff val="0"/>
                <a:lumMod val="105000"/>
                <a:satMod val="103000"/>
                <a:tint val="73000"/>
              </a:schemeClr>
            </a:gs>
            <a:gs pos="100000">
              <a:schemeClr val="accent1">
                <a:alpha val="50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0">
          <a:scrgbClr r="0" g="0" b="0"/>
        </a:effectRef>
        <a:fontRef idx="minor">
          <a:schemeClr val="tx1"/>
        </a:fontRef>
      </dsp:style>
      <dsp:txBody>
        <a:bodyPr spcFirstLastPara="0" vert="horz" wrap="square" lIns="16510" tIns="16510" rIns="16510" bIns="16510" numCol="1" spcCol="1270" anchor="ctr" anchorCtr="0">
          <a:noAutofit/>
        </a:bodyPr>
        <a:lstStyle/>
        <a:p>
          <a:pPr marL="0" lvl="0" indent="0" algn="ctr" defTabSz="577850">
            <a:lnSpc>
              <a:spcPct val="100000"/>
            </a:lnSpc>
            <a:spcBef>
              <a:spcPct val="0"/>
            </a:spcBef>
            <a:spcAft>
              <a:spcPct val="35000"/>
            </a:spcAft>
            <a:buNone/>
          </a:pPr>
          <a:r>
            <a:rPr lang="en-US" sz="1300" kern="1200"/>
            <a:t>Europe</a:t>
          </a:r>
        </a:p>
      </dsp:txBody>
      <dsp:txXfrm>
        <a:off x="3086180" y="1242481"/>
        <a:ext cx="606217" cy="606217"/>
      </dsp:txXfrm>
    </dsp:sp>
    <dsp:sp modelId="{5EBE0206-6FD5-462B-AC34-DF1594CC1BEE}">
      <dsp:nvSpPr>
        <dsp:cNvPr id="0" name=""/>
        <dsp:cNvSpPr/>
      </dsp:nvSpPr>
      <dsp:spPr bwMode="white">
        <a:xfrm>
          <a:off x="1844005" y="2233554"/>
          <a:ext cx="857319" cy="857319"/>
        </a:xfrm>
        <a:prstGeom prst="ellipse">
          <a:avLst/>
        </a:prstGeom>
        <a:gradFill rotWithShape="0">
          <a:gsLst>
            <a:gs pos="0">
              <a:schemeClr val="accent1">
                <a:alpha val="50000"/>
                <a:hueOff val="0"/>
                <a:satOff val="0"/>
                <a:lumOff val="0"/>
                <a:alphaOff val="0"/>
                <a:lumMod val="110000"/>
                <a:satMod val="105000"/>
                <a:tint val="67000"/>
              </a:schemeClr>
            </a:gs>
            <a:gs pos="50000">
              <a:schemeClr val="accent1">
                <a:alpha val="50000"/>
                <a:hueOff val="0"/>
                <a:satOff val="0"/>
                <a:lumOff val="0"/>
                <a:alphaOff val="0"/>
                <a:lumMod val="105000"/>
                <a:satMod val="103000"/>
                <a:tint val="73000"/>
              </a:schemeClr>
            </a:gs>
            <a:gs pos="100000">
              <a:schemeClr val="accent1">
                <a:alpha val="50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0">
          <a:scrgbClr r="0" g="0" b="0"/>
        </a:effectRef>
        <a:fontRef idx="minor">
          <a:schemeClr val="tx1"/>
        </a:fontRef>
      </dsp:style>
      <dsp:txBody>
        <a:bodyPr spcFirstLastPara="0" vert="horz" wrap="square" lIns="16510" tIns="16510" rIns="16510" bIns="16510" numCol="1" spcCol="1270" anchor="ctr" anchorCtr="0">
          <a:noAutofit/>
        </a:bodyPr>
        <a:lstStyle/>
        <a:p>
          <a:pPr marL="0" lvl="0" indent="0" algn="ctr" defTabSz="577850">
            <a:lnSpc>
              <a:spcPct val="100000"/>
            </a:lnSpc>
            <a:spcBef>
              <a:spcPct val="0"/>
            </a:spcBef>
            <a:spcAft>
              <a:spcPct val="35000"/>
            </a:spcAft>
            <a:buNone/>
          </a:pPr>
          <a:r>
            <a:rPr lang="en-US" sz="1300" kern="1200"/>
            <a:t>Asia</a:t>
          </a:r>
        </a:p>
      </dsp:txBody>
      <dsp:txXfrm>
        <a:off x="1969556" y="2359105"/>
        <a:ext cx="606217" cy="606217"/>
      </dsp:txXfrm>
    </dsp:sp>
    <dsp:sp modelId="{5BB31F2C-9F6F-461E-B8AE-DAD63322F779}">
      <dsp:nvSpPr>
        <dsp:cNvPr id="0" name=""/>
        <dsp:cNvSpPr/>
      </dsp:nvSpPr>
      <dsp:spPr bwMode="white">
        <a:xfrm>
          <a:off x="727381" y="1116930"/>
          <a:ext cx="857319" cy="857319"/>
        </a:xfrm>
        <a:prstGeom prst="ellipse">
          <a:avLst/>
        </a:prstGeom>
        <a:gradFill rotWithShape="0">
          <a:gsLst>
            <a:gs pos="0">
              <a:schemeClr val="accent1">
                <a:alpha val="50000"/>
                <a:hueOff val="0"/>
                <a:satOff val="0"/>
                <a:lumOff val="0"/>
                <a:alphaOff val="0"/>
                <a:lumMod val="110000"/>
                <a:satMod val="105000"/>
                <a:tint val="67000"/>
              </a:schemeClr>
            </a:gs>
            <a:gs pos="50000">
              <a:schemeClr val="accent1">
                <a:alpha val="50000"/>
                <a:hueOff val="0"/>
                <a:satOff val="0"/>
                <a:lumOff val="0"/>
                <a:alphaOff val="0"/>
                <a:lumMod val="105000"/>
                <a:satMod val="103000"/>
                <a:tint val="73000"/>
              </a:schemeClr>
            </a:gs>
            <a:gs pos="100000">
              <a:schemeClr val="accent1">
                <a:alpha val="50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0">
          <a:scrgbClr r="0" g="0" b="0"/>
        </a:effectRef>
        <a:fontRef idx="minor">
          <a:schemeClr val="tx1"/>
        </a:fontRef>
      </dsp:style>
      <dsp:txBody>
        <a:bodyPr spcFirstLastPara="0" vert="horz" wrap="square" lIns="16510" tIns="16510" rIns="16510" bIns="16510" numCol="1" spcCol="1270" anchor="ctr" anchorCtr="0">
          <a:noAutofit/>
        </a:bodyPr>
        <a:lstStyle/>
        <a:p>
          <a:pPr marL="0" lvl="0" indent="0" algn="ctr" defTabSz="577850">
            <a:lnSpc>
              <a:spcPct val="100000"/>
            </a:lnSpc>
            <a:spcBef>
              <a:spcPct val="0"/>
            </a:spcBef>
            <a:spcAft>
              <a:spcPct val="35000"/>
            </a:spcAft>
            <a:buNone/>
          </a:pPr>
          <a:r>
            <a:rPr lang="en-US" sz="1300" kern="1200"/>
            <a:t>Latin America</a:t>
          </a:r>
        </a:p>
      </dsp:txBody>
      <dsp:txXfrm>
        <a:off x="852932" y="1242481"/>
        <a:ext cx="606217" cy="606217"/>
      </dsp:txXfrm>
    </dsp:sp>
  </dsp:spTree>
</dsp:drawing>
</file>

<file path=word/diagrams/layout1.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1">
  <dgm:title val=""/>
  <dgm:desc val=""/>
  <dgm:catLst>
    <dgm:cat type="simple" pri="10100"/>
  </dgm:catLst>
  <dgm:scene3d>
    <a:camera prst="orthographicFront"/>
    <a:lightRig rig="threePt" dir="t"/>
  </dgm:scene3d>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1">
  <dgm:title val=""/>
  <dgm:desc val=""/>
  <dgm:catLst>
    <dgm:cat type="simple" pri="10300"/>
  </dgm:catLst>
  <dgm:scene3d>
    <a:camera prst="orthographicFront"/>
    <a:lightRig rig="threePt" dir="t"/>
  </dgm:scene3d>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2193</Words>
  <Characters>14624</Characters>
  <Application>Microsoft Office Word</Application>
  <DocSecurity>0</DocSecurity>
  <Lines>121</Lines>
  <Paragraphs>33</Paragraphs>
  <ScaleCrop>false</ScaleCrop>
  <Company/>
  <LinksUpToDate>false</LinksUpToDate>
  <CharactersWithSpaces>16784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square63</dc:creator>
  <cp:lastModifiedBy>Victoria Voicu</cp:lastModifiedBy>
  <cp:revision>2</cp:revision>
  <dcterms:created xsi:type="dcterms:W3CDTF">2023-04-24T12:29:00Z</dcterms:created>
  <dcterms:modified xsi:type="dcterms:W3CDTF">2023-04-24T12:29:00Z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1033-11.2.0.11486</vt:lpwstr>
  </property>
  <property fmtid="{D5CDD505-2E9C-101B-9397-08002B2CF9AE}" pid="3" name="ICV">
    <vt:lpwstr>8EB1EF456C18478186926A9458F82C68</vt:lpwstr>
  </property>
</Properties>
</file>