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07E06" w:rsidRDefault="00F07E06" w:rsidP="00F73701">
      <w:pPr>
        <w:jc w:val="center"/>
        <w:rPr>
          <w:rFonts w:ascii="Arial" w:eastAsia="Times New Roman" w:hAnsi="Arial" w:cs="Arial"/>
          <w:b/>
          <w:bCs/>
          <w:kern w:val="36"/>
          <w:sz w:val="44"/>
          <w:szCs w:val="44"/>
          <w:lang w:eastAsia="en-GB"/>
        </w:rPr>
      </w:pPr>
      <w:r>
        <w:rPr>
          <w:noProof/>
          <w:lang w:eastAsia="en-GB"/>
        </w:rPr>
        <w:drawing>
          <wp:inline distT="0" distB="0" distL="0" distR="0" wp14:anchorId="59E0845C" wp14:editId="1542A9D9">
            <wp:extent cx="1906270" cy="1906270"/>
            <wp:effectExtent l="0" t="0" r="0" b="0"/>
            <wp:docPr id="1" name="Picture 1" descr="UWTSD London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ndon | Linked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06270" cy="1906270"/>
                    </a:xfrm>
                    <a:prstGeom prst="rect">
                      <a:avLst/>
                    </a:prstGeom>
                    <a:noFill/>
                    <a:ln>
                      <a:noFill/>
                    </a:ln>
                  </pic:spPr>
                </pic:pic>
              </a:graphicData>
            </a:graphic>
          </wp:inline>
        </w:drawing>
      </w:r>
    </w:p>
    <w:p w:rsidR="00F07E06" w:rsidRDefault="00F07E06" w:rsidP="00FE7B7F">
      <w:pPr>
        <w:rPr>
          <w:lang w:eastAsia="en-GB"/>
        </w:rPr>
      </w:pPr>
    </w:p>
    <w:p w:rsidR="00F07E06" w:rsidRPr="00F73701" w:rsidRDefault="00F07E06" w:rsidP="00F73701">
      <w:pPr>
        <w:jc w:val="center"/>
        <w:rPr>
          <w:rFonts w:ascii="Arial" w:hAnsi="Arial" w:cs="Arial"/>
          <w:b/>
          <w:sz w:val="32"/>
          <w:szCs w:val="32"/>
          <w:lang w:eastAsia="en-GB"/>
        </w:rPr>
      </w:pPr>
      <w:r w:rsidRPr="00F73701">
        <w:rPr>
          <w:rFonts w:ascii="Arial" w:hAnsi="Arial" w:cs="Arial"/>
          <w:b/>
          <w:sz w:val="32"/>
          <w:szCs w:val="32"/>
          <w:lang w:eastAsia="en-GB"/>
        </w:rPr>
        <w:t xml:space="preserve">Student: </w:t>
      </w:r>
      <w:r w:rsidRPr="00F73701">
        <w:rPr>
          <w:rFonts w:ascii="Arial" w:hAnsi="Arial" w:cs="Arial"/>
          <w:sz w:val="32"/>
          <w:szCs w:val="32"/>
          <w:lang w:eastAsia="en-GB"/>
        </w:rPr>
        <w:t>Jawel Israel  ID: 2246633</w:t>
      </w:r>
    </w:p>
    <w:p w:rsidR="004444FE" w:rsidRPr="00F73701" w:rsidRDefault="004444FE" w:rsidP="004444FE">
      <w:pPr>
        <w:spacing w:before="100" w:beforeAutospacing="1" w:after="100" w:afterAutospacing="1" w:line="240" w:lineRule="auto"/>
        <w:jc w:val="center"/>
        <w:outlineLvl w:val="0"/>
        <w:rPr>
          <w:rFonts w:ascii="Arial" w:eastAsia="Times New Roman" w:hAnsi="Arial" w:cs="Arial"/>
          <w:b/>
          <w:bCs/>
          <w:kern w:val="36"/>
          <w:sz w:val="28"/>
          <w:szCs w:val="28"/>
          <w:lang w:eastAsia="en-GB"/>
        </w:rPr>
      </w:pPr>
    </w:p>
    <w:p w:rsidR="004444FE" w:rsidRPr="00F73701" w:rsidRDefault="004444FE" w:rsidP="00FE7B7F">
      <w:pPr>
        <w:rPr>
          <w:lang w:eastAsia="en-GB"/>
        </w:rPr>
      </w:pPr>
    </w:p>
    <w:p w:rsidR="004444FE" w:rsidRPr="00F73701" w:rsidRDefault="004444FE" w:rsidP="004444FE">
      <w:pPr>
        <w:spacing w:before="100" w:beforeAutospacing="1" w:after="100" w:afterAutospacing="1" w:line="240" w:lineRule="auto"/>
        <w:jc w:val="center"/>
        <w:outlineLvl w:val="0"/>
        <w:rPr>
          <w:rFonts w:ascii="Arial" w:eastAsia="Times New Roman" w:hAnsi="Arial" w:cs="Arial"/>
          <w:b/>
          <w:bCs/>
          <w:kern w:val="36"/>
          <w:sz w:val="28"/>
          <w:szCs w:val="28"/>
          <w:lang w:eastAsia="en-GB"/>
        </w:rPr>
      </w:pPr>
    </w:p>
    <w:p w:rsidR="00F07E06" w:rsidRPr="00F73701" w:rsidRDefault="00F07E06" w:rsidP="00F73701">
      <w:pPr>
        <w:jc w:val="center"/>
        <w:rPr>
          <w:rFonts w:ascii="Arial" w:hAnsi="Arial" w:cs="Arial"/>
          <w:b/>
          <w:sz w:val="32"/>
          <w:szCs w:val="32"/>
          <w:lang w:eastAsia="en-GB"/>
        </w:rPr>
      </w:pPr>
      <w:r w:rsidRPr="00F73701">
        <w:rPr>
          <w:rFonts w:ascii="Arial" w:hAnsi="Arial" w:cs="Arial"/>
          <w:b/>
          <w:sz w:val="32"/>
          <w:szCs w:val="32"/>
          <w:lang w:eastAsia="en-GB"/>
        </w:rPr>
        <w:t>BA {Hons} Leadership and Management Skills in the Workplace</w:t>
      </w:r>
    </w:p>
    <w:p w:rsidR="00F73701" w:rsidRPr="00F73701" w:rsidRDefault="00F73701" w:rsidP="00F73701">
      <w:pPr>
        <w:jc w:val="center"/>
        <w:rPr>
          <w:rFonts w:ascii="Arial" w:hAnsi="Arial" w:cs="Arial"/>
          <w:b/>
          <w:sz w:val="32"/>
          <w:szCs w:val="32"/>
          <w:lang w:eastAsia="en-GB"/>
        </w:rPr>
      </w:pPr>
    </w:p>
    <w:p w:rsidR="00F07E06" w:rsidRPr="00F73701" w:rsidRDefault="000B458D" w:rsidP="00F73701">
      <w:pPr>
        <w:jc w:val="center"/>
        <w:rPr>
          <w:rFonts w:ascii="Arial" w:hAnsi="Arial" w:cs="Arial"/>
          <w:b/>
          <w:sz w:val="28"/>
          <w:szCs w:val="28"/>
          <w:lang w:eastAsia="en-GB"/>
        </w:rPr>
      </w:pPr>
      <w:r w:rsidRPr="00F73701">
        <w:rPr>
          <w:rFonts w:ascii="Arial" w:hAnsi="Arial" w:cs="Arial"/>
          <w:b/>
          <w:sz w:val="28"/>
          <w:szCs w:val="28"/>
          <w:lang w:eastAsia="en-GB"/>
        </w:rPr>
        <w:t xml:space="preserve">LCLM6004: </w:t>
      </w:r>
      <w:r w:rsidR="0005226B" w:rsidRPr="00F73701">
        <w:rPr>
          <w:rFonts w:ascii="Arial" w:hAnsi="Arial" w:cs="Arial"/>
          <w:b/>
          <w:sz w:val="28"/>
          <w:szCs w:val="28"/>
          <w:lang w:eastAsia="en-GB"/>
        </w:rPr>
        <w:t>Research Methods</w:t>
      </w:r>
      <w:r w:rsidRPr="00F73701">
        <w:rPr>
          <w:rFonts w:ascii="Arial" w:hAnsi="Arial" w:cs="Arial"/>
          <w:b/>
          <w:sz w:val="28"/>
          <w:szCs w:val="28"/>
          <w:lang w:eastAsia="en-GB"/>
        </w:rPr>
        <w:t xml:space="preserve"> for Business</w:t>
      </w:r>
    </w:p>
    <w:p w:rsidR="000B458D" w:rsidRPr="00F73701" w:rsidRDefault="000B458D" w:rsidP="00F73701">
      <w:pPr>
        <w:jc w:val="center"/>
        <w:rPr>
          <w:rFonts w:ascii="Arial" w:hAnsi="Arial" w:cs="Arial"/>
          <w:b/>
          <w:sz w:val="28"/>
          <w:szCs w:val="28"/>
          <w:lang w:eastAsia="en-GB"/>
        </w:rPr>
      </w:pPr>
      <w:r w:rsidRPr="00F73701">
        <w:rPr>
          <w:rFonts w:ascii="Arial" w:hAnsi="Arial" w:cs="Arial"/>
          <w:b/>
          <w:sz w:val="28"/>
          <w:szCs w:val="28"/>
          <w:lang w:eastAsia="en-GB"/>
        </w:rPr>
        <w:t>Component 1 – Business Research Proposal</w:t>
      </w:r>
    </w:p>
    <w:p w:rsidR="000B458D" w:rsidRPr="00F73701" w:rsidRDefault="000B458D" w:rsidP="00FE7B7F">
      <w:pPr>
        <w:rPr>
          <w:lang w:eastAsia="en-GB"/>
        </w:rPr>
      </w:pPr>
    </w:p>
    <w:p w:rsidR="004444FE" w:rsidRPr="00F73701" w:rsidRDefault="004444FE" w:rsidP="00FE7B7F">
      <w:pPr>
        <w:rPr>
          <w:lang w:eastAsia="en-GB"/>
        </w:rPr>
      </w:pPr>
    </w:p>
    <w:p w:rsidR="004444FE" w:rsidRPr="00F73701" w:rsidRDefault="004444FE" w:rsidP="00FE7B7F"/>
    <w:p w:rsidR="004444FE" w:rsidRPr="00F73701" w:rsidRDefault="004444FE" w:rsidP="00FE7B7F">
      <w:pPr>
        <w:rPr>
          <w:lang w:eastAsia="en-GB"/>
        </w:rPr>
      </w:pPr>
    </w:p>
    <w:p w:rsidR="000B458D" w:rsidRPr="00F73701" w:rsidRDefault="000B458D" w:rsidP="00F73701">
      <w:pPr>
        <w:jc w:val="center"/>
        <w:rPr>
          <w:rFonts w:ascii="Arial" w:hAnsi="Arial" w:cs="Arial"/>
          <w:sz w:val="28"/>
          <w:szCs w:val="28"/>
          <w:lang w:eastAsia="en-GB"/>
        </w:rPr>
      </w:pPr>
      <w:r w:rsidRPr="00F73701">
        <w:rPr>
          <w:rFonts w:ascii="Arial" w:hAnsi="Arial" w:cs="Arial"/>
          <w:b/>
          <w:sz w:val="28"/>
          <w:szCs w:val="28"/>
          <w:lang w:eastAsia="en-GB"/>
        </w:rPr>
        <w:t>Lecturer:</w:t>
      </w:r>
      <w:r w:rsidRPr="00F73701">
        <w:rPr>
          <w:rFonts w:ascii="Arial" w:hAnsi="Arial" w:cs="Arial"/>
          <w:sz w:val="28"/>
          <w:szCs w:val="28"/>
          <w:lang w:eastAsia="en-GB"/>
        </w:rPr>
        <w:t xml:space="preserve"> Dr. Akshay Narayanan</w:t>
      </w:r>
    </w:p>
    <w:p w:rsidR="00F07E06" w:rsidRDefault="00F07E06" w:rsidP="00FE7B7F">
      <w:pPr>
        <w:rPr>
          <w:lang w:eastAsia="en-GB"/>
        </w:rPr>
      </w:pPr>
    </w:p>
    <w:p w:rsidR="00FE7B7F" w:rsidRPr="00F73701" w:rsidRDefault="00FE7B7F" w:rsidP="00FE7B7F">
      <w:pPr>
        <w:rPr>
          <w:lang w:eastAsia="en-GB"/>
        </w:rPr>
      </w:pPr>
    </w:p>
    <w:p w:rsidR="00F07E06" w:rsidRPr="00F73701" w:rsidRDefault="00F07E06" w:rsidP="00FE7B7F">
      <w:pPr>
        <w:rPr>
          <w:lang w:eastAsia="en-GB"/>
        </w:rPr>
      </w:pPr>
    </w:p>
    <w:sdt>
      <w:sdtPr>
        <w:rPr>
          <w:rFonts w:ascii="Arial" w:eastAsiaTheme="minorHAnsi" w:hAnsi="Arial" w:cs="Arial"/>
          <w:b w:val="0"/>
          <w:bCs w:val="0"/>
          <w:color w:val="auto"/>
          <w:sz w:val="22"/>
          <w:szCs w:val="22"/>
          <w:lang w:val="en-GB" w:eastAsia="en-US"/>
        </w:rPr>
        <w:id w:val="-1199540224"/>
        <w:docPartObj>
          <w:docPartGallery w:val="Table of Contents"/>
          <w:docPartUnique/>
        </w:docPartObj>
      </w:sdtPr>
      <w:sdtEndPr>
        <w:rPr>
          <w:noProof/>
        </w:rPr>
      </w:sdtEndPr>
      <w:sdtContent>
        <w:p w:rsidR="00E72C33" w:rsidRPr="00F73701" w:rsidRDefault="00E72C33" w:rsidP="00F73701">
          <w:pPr>
            <w:pStyle w:val="TOCHeading"/>
            <w:spacing w:line="360" w:lineRule="auto"/>
            <w:rPr>
              <w:rFonts w:ascii="Arial" w:hAnsi="Arial" w:cs="Arial"/>
              <w:color w:val="auto"/>
            </w:rPr>
          </w:pPr>
          <w:r w:rsidRPr="00F73701">
            <w:rPr>
              <w:rFonts w:ascii="Arial" w:hAnsi="Arial" w:cs="Arial"/>
              <w:color w:val="auto"/>
            </w:rPr>
            <w:t>Table of Contents</w:t>
          </w:r>
        </w:p>
        <w:p w:rsidR="00FE7B7F" w:rsidRDefault="00E72C33">
          <w:pPr>
            <w:pStyle w:val="TOC1"/>
            <w:tabs>
              <w:tab w:val="right" w:leader="dot" w:pos="9016"/>
            </w:tabs>
            <w:rPr>
              <w:rFonts w:eastAsiaTheme="minorEastAsia"/>
              <w:noProof/>
              <w:kern w:val="2"/>
              <w:sz w:val="24"/>
              <w:szCs w:val="24"/>
              <w:lang w:eastAsia="en-GB"/>
              <w14:ligatures w14:val="standardContextual"/>
            </w:rPr>
          </w:pPr>
          <w:r w:rsidRPr="00F73701">
            <w:rPr>
              <w:rFonts w:ascii="Arial" w:hAnsi="Arial" w:cs="Arial"/>
            </w:rPr>
            <w:fldChar w:fldCharType="begin"/>
          </w:r>
          <w:r w:rsidRPr="00F73701">
            <w:rPr>
              <w:rFonts w:ascii="Arial" w:hAnsi="Arial" w:cs="Arial"/>
            </w:rPr>
            <w:instrText xml:space="preserve"> TOC \o "1-3" \h \z \u </w:instrText>
          </w:r>
          <w:r w:rsidRPr="00F73701">
            <w:rPr>
              <w:rFonts w:ascii="Arial" w:hAnsi="Arial" w:cs="Arial"/>
            </w:rPr>
            <w:fldChar w:fldCharType="separate"/>
          </w:r>
          <w:hyperlink w:anchor="_Toc216114659" w:history="1">
            <w:r w:rsidR="00FE7B7F" w:rsidRPr="007C625B">
              <w:rPr>
                <w:rStyle w:val="Hyperlink"/>
                <w:rFonts w:cs="Arial"/>
                <w:noProof/>
              </w:rPr>
              <w:t>Abstract</w:t>
            </w:r>
            <w:r w:rsidR="00FE7B7F">
              <w:rPr>
                <w:noProof/>
                <w:webHidden/>
              </w:rPr>
              <w:tab/>
            </w:r>
            <w:r w:rsidR="00FE7B7F">
              <w:rPr>
                <w:noProof/>
                <w:webHidden/>
              </w:rPr>
              <w:fldChar w:fldCharType="begin"/>
            </w:r>
            <w:r w:rsidR="00FE7B7F">
              <w:rPr>
                <w:noProof/>
                <w:webHidden/>
              </w:rPr>
              <w:instrText xml:space="preserve"> PAGEREF _Toc216114659 \h </w:instrText>
            </w:r>
            <w:r w:rsidR="00FE7B7F">
              <w:rPr>
                <w:noProof/>
                <w:webHidden/>
              </w:rPr>
            </w:r>
            <w:r w:rsidR="00FE7B7F">
              <w:rPr>
                <w:noProof/>
                <w:webHidden/>
              </w:rPr>
              <w:fldChar w:fldCharType="separate"/>
            </w:r>
            <w:r w:rsidR="00FE7B7F">
              <w:rPr>
                <w:noProof/>
                <w:webHidden/>
              </w:rPr>
              <w:t>3</w:t>
            </w:r>
            <w:r w:rsidR="00FE7B7F">
              <w:rPr>
                <w:noProof/>
                <w:webHidden/>
              </w:rPr>
              <w:fldChar w:fldCharType="end"/>
            </w:r>
          </w:hyperlink>
        </w:p>
        <w:p w:rsidR="00FE7B7F" w:rsidRDefault="00616FE3">
          <w:pPr>
            <w:pStyle w:val="TOC1"/>
            <w:tabs>
              <w:tab w:val="right" w:leader="dot" w:pos="9016"/>
            </w:tabs>
            <w:rPr>
              <w:rFonts w:eastAsiaTheme="minorEastAsia"/>
              <w:noProof/>
              <w:kern w:val="2"/>
              <w:sz w:val="24"/>
              <w:szCs w:val="24"/>
              <w:lang w:eastAsia="en-GB"/>
              <w14:ligatures w14:val="standardContextual"/>
            </w:rPr>
          </w:pPr>
          <w:hyperlink w:anchor="_Toc216114660" w:history="1">
            <w:r w:rsidR="00FE7B7F" w:rsidRPr="007C625B">
              <w:rPr>
                <w:rStyle w:val="Hyperlink"/>
                <w:rFonts w:cs="Arial"/>
                <w:noProof/>
              </w:rPr>
              <w:t>Introduction</w:t>
            </w:r>
            <w:r w:rsidR="00FE7B7F">
              <w:rPr>
                <w:noProof/>
                <w:webHidden/>
              </w:rPr>
              <w:tab/>
            </w:r>
            <w:r w:rsidR="00FE7B7F">
              <w:rPr>
                <w:noProof/>
                <w:webHidden/>
              </w:rPr>
              <w:fldChar w:fldCharType="begin"/>
            </w:r>
            <w:r w:rsidR="00FE7B7F">
              <w:rPr>
                <w:noProof/>
                <w:webHidden/>
              </w:rPr>
              <w:instrText xml:space="preserve"> PAGEREF _Toc216114660 \h </w:instrText>
            </w:r>
            <w:r w:rsidR="00FE7B7F">
              <w:rPr>
                <w:noProof/>
                <w:webHidden/>
              </w:rPr>
            </w:r>
            <w:r w:rsidR="00FE7B7F">
              <w:rPr>
                <w:noProof/>
                <w:webHidden/>
              </w:rPr>
              <w:fldChar w:fldCharType="separate"/>
            </w:r>
            <w:r w:rsidR="00FE7B7F">
              <w:rPr>
                <w:noProof/>
                <w:webHidden/>
              </w:rPr>
              <w:t>3</w:t>
            </w:r>
            <w:r w:rsidR="00FE7B7F">
              <w:rPr>
                <w:noProof/>
                <w:webHidden/>
              </w:rPr>
              <w:fldChar w:fldCharType="end"/>
            </w:r>
          </w:hyperlink>
        </w:p>
        <w:p w:rsidR="00FE7B7F" w:rsidRDefault="00616FE3">
          <w:pPr>
            <w:pStyle w:val="TOC2"/>
            <w:tabs>
              <w:tab w:val="right" w:leader="dot" w:pos="9016"/>
            </w:tabs>
            <w:rPr>
              <w:rFonts w:eastAsiaTheme="minorEastAsia"/>
              <w:noProof/>
              <w:kern w:val="2"/>
              <w:sz w:val="24"/>
              <w:szCs w:val="24"/>
              <w:lang w:eastAsia="en-GB"/>
              <w14:ligatures w14:val="standardContextual"/>
            </w:rPr>
          </w:pPr>
          <w:hyperlink w:anchor="_Toc216114661" w:history="1">
            <w:r w:rsidR="00FE7B7F" w:rsidRPr="007C625B">
              <w:rPr>
                <w:rStyle w:val="Hyperlink"/>
                <w:rFonts w:cs="Arial"/>
                <w:noProof/>
              </w:rPr>
              <w:t>Research Aims, Objectives and Questions</w:t>
            </w:r>
            <w:r w:rsidR="00FE7B7F">
              <w:rPr>
                <w:noProof/>
                <w:webHidden/>
              </w:rPr>
              <w:tab/>
            </w:r>
            <w:r w:rsidR="00FE7B7F">
              <w:rPr>
                <w:noProof/>
                <w:webHidden/>
              </w:rPr>
              <w:fldChar w:fldCharType="begin"/>
            </w:r>
            <w:r w:rsidR="00FE7B7F">
              <w:rPr>
                <w:noProof/>
                <w:webHidden/>
              </w:rPr>
              <w:instrText xml:space="preserve"> PAGEREF _Toc216114661 \h </w:instrText>
            </w:r>
            <w:r w:rsidR="00FE7B7F">
              <w:rPr>
                <w:noProof/>
                <w:webHidden/>
              </w:rPr>
            </w:r>
            <w:r w:rsidR="00FE7B7F">
              <w:rPr>
                <w:noProof/>
                <w:webHidden/>
              </w:rPr>
              <w:fldChar w:fldCharType="separate"/>
            </w:r>
            <w:r w:rsidR="00FE7B7F">
              <w:rPr>
                <w:noProof/>
                <w:webHidden/>
              </w:rPr>
              <w:t>4</w:t>
            </w:r>
            <w:r w:rsidR="00FE7B7F">
              <w:rPr>
                <w:noProof/>
                <w:webHidden/>
              </w:rPr>
              <w:fldChar w:fldCharType="end"/>
            </w:r>
          </w:hyperlink>
        </w:p>
        <w:p w:rsidR="00FE7B7F" w:rsidRDefault="00616FE3">
          <w:pPr>
            <w:pStyle w:val="TOC2"/>
            <w:tabs>
              <w:tab w:val="right" w:leader="dot" w:pos="9016"/>
            </w:tabs>
            <w:rPr>
              <w:rFonts w:eastAsiaTheme="minorEastAsia"/>
              <w:noProof/>
              <w:kern w:val="2"/>
              <w:sz w:val="24"/>
              <w:szCs w:val="24"/>
              <w:lang w:eastAsia="en-GB"/>
              <w14:ligatures w14:val="standardContextual"/>
            </w:rPr>
          </w:pPr>
          <w:hyperlink w:anchor="_Toc216114662" w:history="1">
            <w:r w:rsidR="00FE7B7F" w:rsidRPr="007C625B">
              <w:rPr>
                <w:rStyle w:val="Hyperlink"/>
                <w:rFonts w:cs="Arial"/>
                <w:noProof/>
              </w:rPr>
              <w:t>Literature Review</w:t>
            </w:r>
            <w:r w:rsidR="00FE7B7F">
              <w:rPr>
                <w:noProof/>
                <w:webHidden/>
              </w:rPr>
              <w:tab/>
            </w:r>
            <w:r w:rsidR="00FE7B7F">
              <w:rPr>
                <w:noProof/>
                <w:webHidden/>
              </w:rPr>
              <w:fldChar w:fldCharType="begin"/>
            </w:r>
            <w:r w:rsidR="00FE7B7F">
              <w:rPr>
                <w:noProof/>
                <w:webHidden/>
              </w:rPr>
              <w:instrText xml:space="preserve"> PAGEREF _Toc216114662 \h </w:instrText>
            </w:r>
            <w:r w:rsidR="00FE7B7F">
              <w:rPr>
                <w:noProof/>
                <w:webHidden/>
              </w:rPr>
            </w:r>
            <w:r w:rsidR="00FE7B7F">
              <w:rPr>
                <w:noProof/>
                <w:webHidden/>
              </w:rPr>
              <w:fldChar w:fldCharType="separate"/>
            </w:r>
            <w:r w:rsidR="00FE7B7F">
              <w:rPr>
                <w:noProof/>
                <w:webHidden/>
              </w:rPr>
              <w:t>6</w:t>
            </w:r>
            <w:r w:rsidR="00FE7B7F">
              <w:rPr>
                <w:noProof/>
                <w:webHidden/>
              </w:rPr>
              <w:fldChar w:fldCharType="end"/>
            </w:r>
          </w:hyperlink>
        </w:p>
        <w:p w:rsidR="00FE7B7F" w:rsidRDefault="00616FE3">
          <w:pPr>
            <w:pStyle w:val="TOC3"/>
            <w:rPr>
              <w:rFonts w:eastAsiaTheme="minorEastAsia"/>
              <w:noProof/>
              <w:kern w:val="2"/>
              <w:sz w:val="24"/>
              <w:szCs w:val="24"/>
              <w:lang w:eastAsia="en-GB"/>
              <w14:ligatures w14:val="standardContextual"/>
            </w:rPr>
          </w:pPr>
          <w:hyperlink w:anchor="_Toc216114663" w:history="1">
            <w:r w:rsidR="00FE7B7F" w:rsidRPr="007C625B">
              <w:rPr>
                <w:rStyle w:val="Hyperlink"/>
                <w:noProof/>
              </w:rPr>
              <w:t>Summary of Existing Research and Identified Gaps</w:t>
            </w:r>
            <w:r w:rsidR="00FE7B7F">
              <w:rPr>
                <w:noProof/>
                <w:webHidden/>
              </w:rPr>
              <w:tab/>
            </w:r>
            <w:r w:rsidR="00FE7B7F">
              <w:rPr>
                <w:noProof/>
                <w:webHidden/>
              </w:rPr>
              <w:fldChar w:fldCharType="begin"/>
            </w:r>
            <w:r w:rsidR="00FE7B7F">
              <w:rPr>
                <w:noProof/>
                <w:webHidden/>
              </w:rPr>
              <w:instrText xml:space="preserve"> PAGEREF _Toc216114663 \h </w:instrText>
            </w:r>
            <w:r w:rsidR="00FE7B7F">
              <w:rPr>
                <w:noProof/>
                <w:webHidden/>
              </w:rPr>
            </w:r>
            <w:r w:rsidR="00FE7B7F">
              <w:rPr>
                <w:noProof/>
                <w:webHidden/>
              </w:rPr>
              <w:fldChar w:fldCharType="separate"/>
            </w:r>
            <w:r w:rsidR="00FE7B7F">
              <w:rPr>
                <w:noProof/>
                <w:webHidden/>
              </w:rPr>
              <w:t>7</w:t>
            </w:r>
            <w:r w:rsidR="00FE7B7F">
              <w:rPr>
                <w:noProof/>
                <w:webHidden/>
              </w:rPr>
              <w:fldChar w:fldCharType="end"/>
            </w:r>
          </w:hyperlink>
        </w:p>
        <w:p w:rsidR="00FE7B7F" w:rsidRDefault="00616FE3">
          <w:pPr>
            <w:pStyle w:val="TOC3"/>
            <w:rPr>
              <w:rFonts w:eastAsiaTheme="minorEastAsia"/>
              <w:noProof/>
              <w:kern w:val="2"/>
              <w:sz w:val="24"/>
              <w:szCs w:val="24"/>
              <w:lang w:eastAsia="en-GB"/>
              <w14:ligatures w14:val="standardContextual"/>
            </w:rPr>
          </w:pPr>
          <w:hyperlink w:anchor="_Toc216114664" w:history="1">
            <w:r w:rsidR="00FE7B7F" w:rsidRPr="007C625B">
              <w:rPr>
                <w:rStyle w:val="Hyperlink"/>
                <w:noProof/>
              </w:rPr>
              <w:t>Phase 1: Systematic Literature Review (January 2026)</w:t>
            </w:r>
            <w:r w:rsidR="00FE7B7F">
              <w:rPr>
                <w:noProof/>
                <w:webHidden/>
              </w:rPr>
              <w:tab/>
            </w:r>
            <w:r w:rsidR="00FE7B7F">
              <w:rPr>
                <w:noProof/>
                <w:webHidden/>
              </w:rPr>
              <w:fldChar w:fldCharType="begin"/>
            </w:r>
            <w:r w:rsidR="00FE7B7F">
              <w:rPr>
                <w:noProof/>
                <w:webHidden/>
              </w:rPr>
              <w:instrText xml:space="preserve"> PAGEREF _Toc216114664 \h </w:instrText>
            </w:r>
            <w:r w:rsidR="00FE7B7F">
              <w:rPr>
                <w:noProof/>
                <w:webHidden/>
              </w:rPr>
            </w:r>
            <w:r w:rsidR="00FE7B7F">
              <w:rPr>
                <w:noProof/>
                <w:webHidden/>
              </w:rPr>
              <w:fldChar w:fldCharType="separate"/>
            </w:r>
            <w:r w:rsidR="00FE7B7F">
              <w:rPr>
                <w:noProof/>
                <w:webHidden/>
              </w:rPr>
              <w:t>8</w:t>
            </w:r>
            <w:r w:rsidR="00FE7B7F">
              <w:rPr>
                <w:noProof/>
                <w:webHidden/>
              </w:rPr>
              <w:fldChar w:fldCharType="end"/>
            </w:r>
          </w:hyperlink>
        </w:p>
        <w:p w:rsidR="00FE7B7F" w:rsidRDefault="00616FE3">
          <w:pPr>
            <w:pStyle w:val="TOC3"/>
            <w:rPr>
              <w:rFonts w:eastAsiaTheme="minorEastAsia"/>
              <w:noProof/>
              <w:kern w:val="2"/>
              <w:sz w:val="24"/>
              <w:szCs w:val="24"/>
              <w:lang w:eastAsia="en-GB"/>
              <w14:ligatures w14:val="standardContextual"/>
            </w:rPr>
          </w:pPr>
          <w:hyperlink w:anchor="_Toc216114665" w:history="1">
            <w:r w:rsidR="00FE7B7F" w:rsidRPr="007C625B">
              <w:rPr>
                <w:rStyle w:val="Hyperlink"/>
                <w:noProof/>
              </w:rPr>
              <w:t>Phase 2: Longitudinal Secondary Data Analysis (February 2026)</w:t>
            </w:r>
            <w:r w:rsidR="00FE7B7F">
              <w:rPr>
                <w:noProof/>
                <w:webHidden/>
              </w:rPr>
              <w:tab/>
            </w:r>
            <w:r w:rsidR="00FE7B7F">
              <w:rPr>
                <w:noProof/>
                <w:webHidden/>
              </w:rPr>
              <w:fldChar w:fldCharType="begin"/>
            </w:r>
            <w:r w:rsidR="00FE7B7F">
              <w:rPr>
                <w:noProof/>
                <w:webHidden/>
              </w:rPr>
              <w:instrText xml:space="preserve"> PAGEREF _Toc216114665 \h </w:instrText>
            </w:r>
            <w:r w:rsidR="00FE7B7F">
              <w:rPr>
                <w:noProof/>
                <w:webHidden/>
              </w:rPr>
            </w:r>
            <w:r w:rsidR="00FE7B7F">
              <w:rPr>
                <w:noProof/>
                <w:webHidden/>
              </w:rPr>
              <w:fldChar w:fldCharType="separate"/>
            </w:r>
            <w:r w:rsidR="00FE7B7F">
              <w:rPr>
                <w:noProof/>
                <w:webHidden/>
              </w:rPr>
              <w:t>8</w:t>
            </w:r>
            <w:r w:rsidR="00FE7B7F">
              <w:rPr>
                <w:noProof/>
                <w:webHidden/>
              </w:rPr>
              <w:fldChar w:fldCharType="end"/>
            </w:r>
          </w:hyperlink>
        </w:p>
        <w:p w:rsidR="00FE7B7F" w:rsidRDefault="00616FE3">
          <w:pPr>
            <w:pStyle w:val="TOC3"/>
            <w:rPr>
              <w:rFonts w:eastAsiaTheme="minorEastAsia"/>
              <w:noProof/>
              <w:kern w:val="2"/>
              <w:sz w:val="24"/>
              <w:szCs w:val="24"/>
              <w:lang w:eastAsia="en-GB"/>
              <w14:ligatures w14:val="standardContextual"/>
            </w:rPr>
          </w:pPr>
          <w:hyperlink w:anchor="_Toc216114666" w:history="1">
            <w:r w:rsidR="00FE7B7F" w:rsidRPr="007C625B">
              <w:rPr>
                <w:rStyle w:val="Hyperlink"/>
                <w:noProof/>
              </w:rPr>
              <w:t>Phase 3: Discrete-Event Simulation (February–March 2026)</w:t>
            </w:r>
            <w:r w:rsidR="00FE7B7F">
              <w:rPr>
                <w:noProof/>
                <w:webHidden/>
              </w:rPr>
              <w:tab/>
            </w:r>
            <w:r w:rsidR="00FE7B7F">
              <w:rPr>
                <w:noProof/>
                <w:webHidden/>
              </w:rPr>
              <w:fldChar w:fldCharType="begin"/>
            </w:r>
            <w:r w:rsidR="00FE7B7F">
              <w:rPr>
                <w:noProof/>
                <w:webHidden/>
              </w:rPr>
              <w:instrText xml:space="preserve"> PAGEREF _Toc216114666 \h </w:instrText>
            </w:r>
            <w:r w:rsidR="00FE7B7F">
              <w:rPr>
                <w:noProof/>
                <w:webHidden/>
              </w:rPr>
            </w:r>
            <w:r w:rsidR="00FE7B7F">
              <w:rPr>
                <w:noProof/>
                <w:webHidden/>
              </w:rPr>
              <w:fldChar w:fldCharType="separate"/>
            </w:r>
            <w:r w:rsidR="00FE7B7F">
              <w:rPr>
                <w:noProof/>
                <w:webHidden/>
              </w:rPr>
              <w:t>8</w:t>
            </w:r>
            <w:r w:rsidR="00FE7B7F">
              <w:rPr>
                <w:noProof/>
                <w:webHidden/>
              </w:rPr>
              <w:fldChar w:fldCharType="end"/>
            </w:r>
          </w:hyperlink>
        </w:p>
        <w:p w:rsidR="00FE7B7F" w:rsidRDefault="00616FE3">
          <w:pPr>
            <w:pStyle w:val="TOC3"/>
            <w:rPr>
              <w:rFonts w:eastAsiaTheme="minorEastAsia"/>
              <w:noProof/>
              <w:kern w:val="2"/>
              <w:sz w:val="24"/>
              <w:szCs w:val="24"/>
              <w:lang w:eastAsia="en-GB"/>
              <w14:ligatures w14:val="standardContextual"/>
            </w:rPr>
          </w:pPr>
          <w:hyperlink w:anchor="_Toc216114667" w:history="1">
            <w:r w:rsidR="00FE7B7F" w:rsidRPr="007C625B">
              <w:rPr>
                <w:rStyle w:val="Hyperlink"/>
                <w:noProof/>
              </w:rPr>
              <w:t>Ethical Considerations</w:t>
            </w:r>
            <w:r w:rsidR="00FE7B7F">
              <w:rPr>
                <w:noProof/>
                <w:webHidden/>
              </w:rPr>
              <w:tab/>
            </w:r>
            <w:r w:rsidR="00FE7B7F">
              <w:rPr>
                <w:noProof/>
                <w:webHidden/>
              </w:rPr>
              <w:fldChar w:fldCharType="begin"/>
            </w:r>
            <w:r w:rsidR="00FE7B7F">
              <w:rPr>
                <w:noProof/>
                <w:webHidden/>
              </w:rPr>
              <w:instrText xml:space="preserve"> PAGEREF _Toc216114667 \h </w:instrText>
            </w:r>
            <w:r w:rsidR="00FE7B7F">
              <w:rPr>
                <w:noProof/>
                <w:webHidden/>
              </w:rPr>
            </w:r>
            <w:r w:rsidR="00FE7B7F">
              <w:rPr>
                <w:noProof/>
                <w:webHidden/>
              </w:rPr>
              <w:fldChar w:fldCharType="separate"/>
            </w:r>
            <w:r w:rsidR="00FE7B7F">
              <w:rPr>
                <w:noProof/>
                <w:webHidden/>
              </w:rPr>
              <w:t>8</w:t>
            </w:r>
            <w:r w:rsidR="00FE7B7F">
              <w:rPr>
                <w:noProof/>
                <w:webHidden/>
              </w:rPr>
              <w:fldChar w:fldCharType="end"/>
            </w:r>
          </w:hyperlink>
        </w:p>
        <w:p w:rsidR="00FE7B7F" w:rsidRDefault="00616FE3">
          <w:pPr>
            <w:pStyle w:val="TOC2"/>
            <w:tabs>
              <w:tab w:val="right" w:leader="dot" w:pos="9016"/>
            </w:tabs>
            <w:rPr>
              <w:rFonts w:eastAsiaTheme="minorEastAsia"/>
              <w:noProof/>
              <w:kern w:val="2"/>
              <w:sz w:val="24"/>
              <w:szCs w:val="24"/>
              <w:lang w:eastAsia="en-GB"/>
              <w14:ligatures w14:val="standardContextual"/>
            </w:rPr>
          </w:pPr>
          <w:hyperlink w:anchor="_Toc216114668" w:history="1">
            <w:r w:rsidR="00FE7B7F" w:rsidRPr="007C625B">
              <w:rPr>
                <w:rStyle w:val="Hyperlink"/>
                <w:rFonts w:cs="Arial"/>
                <w:noProof/>
              </w:rPr>
              <w:t>Discussion and Practical Implications</w:t>
            </w:r>
            <w:r w:rsidR="00FE7B7F">
              <w:rPr>
                <w:noProof/>
                <w:webHidden/>
              </w:rPr>
              <w:tab/>
            </w:r>
            <w:r w:rsidR="00FE7B7F">
              <w:rPr>
                <w:noProof/>
                <w:webHidden/>
              </w:rPr>
              <w:fldChar w:fldCharType="begin"/>
            </w:r>
            <w:r w:rsidR="00FE7B7F">
              <w:rPr>
                <w:noProof/>
                <w:webHidden/>
              </w:rPr>
              <w:instrText xml:space="preserve"> PAGEREF _Toc216114668 \h </w:instrText>
            </w:r>
            <w:r w:rsidR="00FE7B7F">
              <w:rPr>
                <w:noProof/>
                <w:webHidden/>
              </w:rPr>
            </w:r>
            <w:r w:rsidR="00FE7B7F">
              <w:rPr>
                <w:noProof/>
                <w:webHidden/>
              </w:rPr>
              <w:fldChar w:fldCharType="separate"/>
            </w:r>
            <w:r w:rsidR="00FE7B7F">
              <w:rPr>
                <w:noProof/>
                <w:webHidden/>
              </w:rPr>
              <w:t>8</w:t>
            </w:r>
            <w:r w:rsidR="00FE7B7F">
              <w:rPr>
                <w:noProof/>
                <w:webHidden/>
              </w:rPr>
              <w:fldChar w:fldCharType="end"/>
            </w:r>
          </w:hyperlink>
        </w:p>
        <w:p w:rsidR="00FE7B7F" w:rsidRDefault="00616FE3">
          <w:pPr>
            <w:pStyle w:val="TOC3"/>
            <w:rPr>
              <w:rFonts w:eastAsiaTheme="minorEastAsia"/>
              <w:noProof/>
              <w:kern w:val="2"/>
              <w:sz w:val="24"/>
              <w:szCs w:val="24"/>
              <w:lang w:eastAsia="en-GB"/>
              <w14:ligatures w14:val="standardContextual"/>
            </w:rPr>
          </w:pPr>
          <w:hyperlink w:anchor="_Toc216114669" w:history="1">
            <w:r w:rsidR="00FE7B7F" w:rsidRPr="007C625B">
              <w:rPr>
                <w:rStyle w:val="Hyperlink"/>
                <w:noProof/>
              </w:rPr>
              <w:t>Practical Implications for British Airways</w:t>
            </w:r>
            <w:r w:rsidR="00FE7B7F">
              <w:rPr>
                <w:noProof/>
                <w:webHidden/>
              </w:rPr>
              <w:tab/>
            </w:r>
            <w:r w:rsidR="00FE7B7F">
              <w:rPr>
                <w:noProof/>
                <w:webHidden/>
              </w:rPr>
              <w:fldChar w:fldCharType="begin"/>
            </w:r>
            <w:r w:rsidR="00FE7B7F">
              <w:rPr>
                <w:noProof/>
                <w:webHidden/>
              </w:rPr>
              <w:instrText xml:space="preserve"> PAGEREF _Toc216114669 \h </w:instrText>
            </w:r>
            <w:r w:rsidR="00FE7B7F">
              <w:rPr>
                <w:noProof/>
                <w:webHidden/>
              </w:rPr>
            </w:r>
            <w:r w:rsidR="00FE7B7F">
              <w:rPr>
                <w:noProof/>
                <w:webHidden/>
              </w:rPr>
              <w:fldChar w:fldCharType="separate"/>
            </w:r>
            <w:r w:rsidR="00FE7B7F">
              <w:rPr>
                <w:noProof/>
                <w:webHidden/>
              </w:rPr>
              <w:t>9</w:t>
            </w:r>
            <w:r w:rsidR="00FE7B7F">
              <w:rPr>
                <w:noProof/>
                <w:webHidden/>
              </w:rPr>
              <w:fldChar w:fldCharType="end"/>
            </w:r>
          </w:hyperlink>
        </w:p>
        <w:p w:rsidR="00FE7B7F" w:rsidRDefault="00616FE3">
          <w:pPr>
            <w:pStyle w:val="TOC2"/>
            <w:tabs>
              <w:tab w:val="right" w:leader="dot" w:pos="9016"/>
            </w:tabs>
            <w:rPr>
              <w:rFonts w:eastAsiaTheme="minorEastAsia"/>
              <w:noProof/>
              <w:kern w:val="2"/>
              <w:sz w:val="24"/>
              <w:szCs w:val="24"/>
              <w:lang w:eastAsia="en-GB"/>
              <w14:ligatures w14:val="standardContextual"/>
            </w:rPr>
          </w:pPr>
          <w:hyperlink w:anchor="_Toc216114670" w:history="1">
            <w:r w:rsidR="00FE7B7F" w:rsidRPr="007C625B">
              <w:rPr>
                <w:rStyle w:val="Hyperlink"/>
                <w:rFonts w:cs="Arial"/>
                <w:noProof/>
              </w:rPr>
              <w:t>Contribution to Management Practice</w:t>
            </w:r>
            <w:r w:rsidR="00FE7B7F">
              <w:rPr>
                <w:noProof/>
                <w:webHidden/>
              </w:rPr>
              <w:tab/>
            </w:r>
            <w:r w:rsidR="00FE7B7F">
              <w:rPr>
                <w:noProof/>
                <w:webHidden/>
              </w:rPr>
              <w:fldChar w:fldCharType="begin"/>
            </w:r>
            <w:r w:rsidR="00FE7B7F">
              <w:rPr>
                <w:noProof/>
                <w:webHidden/>
              </w:rPr>
              <w:instrText xml:space="preserve"> PAGEREF _Toc216114670 \h </w:instrText>
            </w:r>
            <w:r w:rsidR="00FE7B7F">
              <w:rPr>
                <w:noProof/>
                <w:webHidden/>
              </w:rPr>
            </w:r>
            <w:r w:rsidR="00FE7B7F">
              <w:rPr>
                <w:noProof/>
                <w:webHidden/>
              </w:rPr>
              <w:fldChar w:fldCharType="separate"/>
            </w:r>
            <w:r w:rsidR="00FE7B7F">
              <w:rPr>
                <w:noProof/>
                <w:webHidden/>
              </w:rPr>
              <w:t>9</w:t>
            </w:r>
            <w:r w:rsidR="00FE7B7F">
              <w:rPr>
                <w:noProof/>
                <w:webHidden/>
              </w:rPr>
              <w:fldChar w:fldCharType="end"/>
            </w:r>
          </w:hyperlink>
        </w:p>
        <w:p w:rsidR="00FE7B7F" w:rsidRDefault="00616FE3">
          <w:pPr>
            <w:pStyle w:val="TOC2"/>
            <w:tabs>
              <w:tab w:val="right" w:leader="dot" w:pos="9016"/>
            </w:tabs>
            <w:rPr>
              <w:rFonts w:eastAsiaTheme="minorEastAsia"/>
              <w:noProof/>
              <w:kern w:val="2"/>
              <w:sz w:val="24"/>
              <w:szCs w:val="24"/>
              <w:lang w:eastAsia="en-GB"/>
              <w14:ligatures w14:val="standardContextual"/>
            </w:rPr>
          </w:pPr>
          <w:hyperlink w:anchor="_Toc216114671" w:history="1">
            <w:r w:rsidR="00FE7B7F" w:rsidRPr="007C625B">
              <w:rPr>
                <w:rStyle w:val="Hyperlink"/>
                <w:rFonts w:cs="Arial"/>
                <w:noProof/>
              </w:rPr>
              <w:t>Action Plan (January – April 2026)</w:t>
            </w:r>
            <w:r w:rsidR="00FE7B7F">
              <w:rPr>
                <w:noProof/>
                <w:webHidden/>
              </w:rPr>
              <w:tab/>
            </w:r>
            <w:r w:rsidR="00FE7B7F">
              <w:rPr>
                <w:noProof/>
                <w:webHidden/>
              </w:rPr>
              <w:fldChar w:fldCharType="begin"/>
            </w:r>
            <w:r w:rsidR="00FE7B7F">
              <w:rPr>
                <w:noProof/>
                <w:webHidden/>
              </w:rPr>
              <w:instrText xml:space="preserve"> PAGEREF _Toc216114671 \h </w:instrText>
            </w:r>
            <w:r w:rsidR="00FE7B7F">
              <w:rPr>
                <w:noProof/>
                <w:webHidden/>
              </w:rPr>
            </w:r>
            <w:r w:rsidR="00FE7B7F">
              <w:rPr>
                <w:noProof/>
                <w:webHidden/>
              </w:rPr>
              <w:fldChar w:fldCharType="separate"/>
            </w:r>
            <w:r w:rsidR="00FE7B7F">
              <w:rPr>
                <w:noProof/>
                <w:webHidden/>
              </w:rPr>
              <w:t>9</w:t>
            </w:r>
            <w:r w:rsidR="00FE7B7F">
              <w:rPr>
                <w:noProof/>
                <w:webHidden/>
              </w:rPr>
              <w:fldChar w:fldCharType="end"/>
            </w:r>
          </w:hyperlink>
        </w:p>
        <w:p w:rsidR="00FE7B7F" w:rsidRDefault="00616FE3">
          <w:pPr>
            <w:pStyle w:val="TOC1"/>
            <w:tabs>
              <w:tab w:val="right" w:leader="dot" w:pos="9016"/>
            </w:tabs>
            <w:rPr>
              <w:rFonts w:eastAsiaTheme="minorEastAsia"/>
              <w:noProof/>
              <w:kern w:val="2"/>
              <w:sz w:val="24"/>
              <w:szCs w:val="24"/>
              <w:lang w:eastAsia="en-GB"/>
              <w14:ligatures w14:val="standardContextual"/>
            </w:rPr>
          </w:pPr>
          <w:hyperlink w:anchor="_Toc216114672" w:history="1">
            <w:r w:rsidR="00FE7B7F" w:rsidRPr="007C625B">
              <w:rPr>
                <w:rStyle w:val="Hyperlink"/>
                <w:rFonts w:cs="Arial"/>
                <w:noProof/>
              </w:rPr>
              <w:t>Conclusion</w:t>
            </w:r>
            <w:r w:rsidR="00FE7B7F">
              <w:rPr>
                <w:noProof/>
                <w:webHidden/>
              </w:rPr>
              <w:tab/>
            </w:r>
            <w:r w:rsidR="00FE7B7F">
              <w:rPr>
                <w:noProof/>
                <w:webHidden/>
              </w:rPr>
              <w:fldChar w:fldCharType="begin"/>
            </w:r>
            <w:r w:rsidR="00FE7B7F">
              <w:rPr>
                <w:noProof/>
                <w:webHidden/>
              </w:rPr>
              <w:instrText xml:space="preserve"> PAGEREF _Toc216114672 \h </w:instrText>
            </w:r>
            <w:r w:rsidR="00FE7B7F">
              <w:rPr>
                <w:noProof/>
                <w:webHidden/>
              </w:rPr>
            </w:r>
            <w:r w:rsidR="00FE7B7F">
              <w:rPr>
                <w:noProof/>
                <w:webHidden/>
              </w:rPr>
              <w:fldChar w:fldCharType="separate"/>
            </w:r>
            <w:r w:rsidR="00FE7B7F">
              <w:rPr>
                <w:noProof/>
                <w:webHidden/>
              </w:rPr>
              <w:t>10</w:t>
            </w:r>
            <w:r w:rsidR="00FE7B7F">
              <w:rPr>
                <w:noProof/>
                <w:webHidden/>
              </w:rPr>
              <w:fldChar w:fldCharType="end"/>
            </w:r>
          </w:hyperlink>
        </w:p>
        <w:p w:rsidR="00FE7B7F" w:rsidRDefault="00616FE3">
          <w:pPr>
            <w:pStyle w:val="TOC1"/>
            <w:tabs>
              <w:tab w:val="right" w:leader="dot" w:pos="9016"/>
            </w:tabs>
            <w:rPr>
              <w:rFonts w:eastAsiaTheme="minorEastAsia"/>
              <w:noProof/>
              <w:kern w:val="2"/>
              <w:sz w:val="24"/>
              <w:szCs w:val="24"/>
              <w:lang w:eastAsia="en-GB"/>
              <w14:ligatures w14:val="standardContextual"/>
            </w:rPr>
          </w:pPr>
          <w:hyperlink w:anchor="_Toc216114673" w:history="1">
            <w:r w:rsidR="00FE7B7F" w:rsidRPr="007C625B">
              <w:rPr>
                <w:rStyle w:val="Hyperlink"/>
                <w:rFonts w:cs="Arial"/>
                <w:noProof/>
              </w:rPr>
              <w:t>References</w:t>
            </w:r>
            <w:r w:rsidR="00FE7B7F">
              <w:rPr>
                <w:noProof/>
                <w:webHidden/>
              </w:rPr>
              <w:tab/>
            </w:r>
            <w:r w:rsidR="00FE7B7F">
              <w:rPr>
                <w:noProof/>
                <w:webHidden/>
              </w:rPr>
              <w:fldChar w:fldCharType="begin"/>
            </w:r>
            <w:r w:rsidR="00FE7B7F">
              <w:rPr>
                <w:noProof/>
                <w:webHidden/>
              </w:rPr>
              <w:instrText xml:space="preserve"> PAGEREF _Toc216114673 \h </w:instrText>
            </w:r>
            <w:r w:rsidR="00FE7B7F">
              <w:rPr>
                <w:noProof/>
                <w:webHidden/>
              </w:rPr>
            </w:r>
            <w:r w:rsidR="00FE7B7F">
              <w:rPr>
                <w:noProof/>
                <w:webHidden/>
              </w:rPr>
              <w:fldChar w:fldCharType="separate"/>
            </w:r>
            <w:r w:rsidR="00FE7B7F">
              <w:rPr>
                <w:noProof/>
                <w:webHidden/>
              </w:rPr>
              <w:t>11</w:t>
            </w:r>
            <w:r w:rsidR="00FE7B7F">
              <w:rPr>
                <w:noProof/>
                <w:webHidden/>
              </w:rPr>
              <w:fldChar w:fldCharType="end"/>
            </w:r>
          </w:hyperlink>
        </w:p>
        <w:p w:rsidR="00E72C33" w:rsidRPr="00F73701" w:rsidRDefault="00E72C33" w:rsidP="00F73701">
          <w:pPr>
            <w:spacing w:line="360" w:lineRule="auto"/>
            <w:rPr>
              <w:rFonts w:ascii="Arial" w:hAnsi="Arial" w:cs="Arial"/>
            </w:rPr>
          </w:pPr>
          <w:r w:rsidRPr="00F73701">
            <w:rPr>
              <w:rFonts w:ascii="Arial" w:hAnsi="Arial" w:cs="Arial"/>
              <w:b/>
              <w:bCs/>
              <w:noProof/>
            </w:rPr>
            <w:fldChar w:fldCharType="end"/>
          </w:r>
        </w:p>
      </w:sdtContent>
    </w:sdt>
    <w:p w:rsidR="002C0BC5" w:rsidRDefault="002C0BC5" w:rsidP="00E72C33">
      <w:pPr>
        <w:spacing w:before="100" w:beforeAutospacing="1" w:after="100" w:afterAutospacing="1" w:line="240" w:lineRule="auto"/>
        <w:jc w:val="center"/>
        <w:rPr>
          <w:rFonts w:ascii="Arial" w:eastAsia="Times New Roman" w:hAnsi="Arial" w:cs="Arial"/>
          <w:b/>
          <w:sz w:val="40"/>
          <w:szCs w:val="40"/>
          <w:lang w:eastAsia="en-GB"/>
        </w:rPr>
      </w:pPr>
    </w:p>
    <w:p w:rsidR="00DB7AFC" w:rsidRDefault="00DB7AFC" w:rsidP="00E72C33">
      <w:pPr>
        <w:spacing w:before="100" w:beforeAutospacing="1" w:after="100" w:afterAutospacing="1" w:line="240" w:lineRule="auto"/>
        <w:jc w:val="center"/>
        <w:rPr>
          <w:rFonts w:ascii="Arial" w:eastAsia="Times New Roman" w:hAnsi="Arial" w:cs="Arial"/>
          <w:b/>
          <w:sz w:val="40"/>
          <w:szCs w:val="40"/>
          <w:lang w:eastAsia="en-GB"/>
        </w:rPr>
      </w:pPr>
    </w:p>
    <w:p w:rsidR="00DB7AFC" w:rsidRDefault="00DB7AFC" w:rsidP="00E72C33">
      <w:pPr>
        <w:spacing w:before="100" w:beforeAutospacing="1" w:after="100" w:afterAutospacing="1" w:line="240" w:lineRule="auto"/>
        <w:jc w:val="center"/>
        <w:rPr>
          <w:rFonts w:ascii="Arial" w:eastAsia="Times New Roman" w:hAnsi="Arial" w:cs="Arial"/>
          <w:b/>
          <w:sz w:val="40"/>
          <w:szCs w:val="40"/>
          <w:lang w:eastAsia="en-GB"/>
        </w:rPr>
      </w:pPr>
    </w:p>
    <w:p w:rsidR="00DB7AFC" w:rsidRDefault="00DB7AFC" w:rsidP="00E72C33">
      <w:pPr>
        <w:spacing w:before="100" w:beforeAutospacing="1" w:after="100" w:afterAutospacing="1" w:line="240" w:lineRule="auto"/>
        <w:jc w:val="center"/>
        <w:rPr>
          <w:rFonts w:ascii="Arial" w:eastAsia="Times New Roman" w:hAnsi="Arial" w:cs="Arial"/>
          <w:b/>
          <w:sz w:val="40"/>
          <w:szCs w:val="40"/>
          <w:lang w:eastAsia="en-GB"/>
        </w:rPr>
      </w:pPr>
    </w:p>
    <w:p w:rsidR="00DB7AFC" w:rsidRDefault="00DB7AFC" w:rsidP="00E72C33">
      <w:pPr>
        <w:spacing w:before="100" w:beforeAutospacing="1" w:after="100" w:afterAutospacing="1" w:line="240" w:lineRule="auto"/>
        <w:jc w:val="center"/>
        <w:rPr>
          <w:rFonts w:ascii="Arial" w:eastAsia="Times New Roman" w:hAnsi="Arial" w:cs="Arial"/>
          <w:b/>
          <w:sz w:val="40"/>
          <w:szCs w:val="40"/>
          <w:lang w:eastAsia="en-GB"/>
        </w:rPr>
      </w:pPr>
    </w:p>
    <w:p w:rsidR="002C0BC5" w:rsidRDefault="002C0BC5" w:rsidP="00E72C33">
      <w:pPr>
        <w:spacing w:before="100" w:beforeAutospacing="1" w:after="100" w:afterAutospacing="1" w:line="240" w:lineRule="auto"/>
        <w:jc w:val="center"/>
        <w:rPr>
          <w:rFonts w:ascii="Arial" w:eastAsia="Times New Roman" w:hAnsi="Arial" w:cs="Arial"/>
          <w:b/>
          <w:sz w:val="40"/>
          <w:szCs w:val="40"/>
          <w:lang w:eastAsia="en-GB"/>
        </w:rPr>
      </w:pPr>
    </w:p>
    <w:p w:rsidR="002C0BC5" w:rsidRDefault="002C0BC5" w:rsidP="00E72C33">
      <w:pPr>
        <w:spacing w:before="100" w:beforeAutospacing="1" w:after="100" w:afterAutospacing="1" w:line="240" w:lineRule="auto"/>
        <w:jc w:val="center"/>
        <w:rPr>
          <w:rFonts w:ascii="Arial" w:eastAsia="Times New Roman" w:hAnsi="Arial" w:cs="Arial"/>
          <w:b/>
          <w:sz w:val="40"/>
          <w:szCs w:val="40"/>
          <w:lang w:eastAsia="en-GB"/>
        </w:rPr>
      </w:pPr>
    </w:p>
    <w:p w:rsidR="002C0BC5" w:rsidRDefault="002C0BC5" w:rsidP="00FE7B7F">
      <w:pPr>
        <w:spacing w:before="100" w:beforeAutospacing="1" w:after="100" w:afterAutospacing="1" w:line="240" w:lineRule="auto"/>
        <w:rPr>
          <w:rFonts w:ascii="Arial" w:eastAsia="Times New Roman" w:hAnsi="Arial" w:cs="Arial"/>
          <w:b/>
          <w:sz w:val="40"/>
          <w:szCs w:val="40"/>
          <w:lang w:eastAsia="en-GB"/>
        </w:rPr>
      </w:pPr>
    </w:p>
    <w:p w:rsidR="002C0BC5" w:rsidRDefault="002C0BC5" w:rsidP="00E72C33">
      <w:pPr>
        <w:spacing w:before="100" w:beforeAutospacing="1" w:after="100" w:afterAutospacing="1" w:line="240" w:lineRule="auto"/>
        <w:jc w:val="center"/>
        <w:rPr>
          <w:rFonts w:ascii="Arial" w:eastAsia="Times New Roman" w:hAnsi="Arial" w:cs="Arial"/>
          <w:b/>
          <w:sz w:val="40"/>
          <w:szCs w:val="40"/>
          <w:lang w:eastAsia="en-GB"/>
        </w:rPr>
      </w:pPr>
    </w:p>
    <w:p w:rsidR="004C77BB" w:rsidRPr="00FE7B7F" w:rsidRDefault="004C77BB" w:rsidP="00E72C33">
      <w:pPr>
        <w:spacing w:before="100" w:beforeAutospacing="1" w:after="100" w:afterAutospacing="1" w:line="240" w:lineRule="auto"/>
        <w:jc w:val="center"/>
        <w:rPr>
          <w:rFonts w:ascii="Arial" w:eastAsia="Times New Roman" w:hAnsi="Arial" w:cs="Arial"/>
          <w:b/>
          <w:sz w:val="40"/>
          <w:szCs w:val="40"/>
          <w:lang w:eastAsia="en-GB"/>
        </w:rPr>
      </w:pPr>
      <w:r w:rsidRPr="00FE7B7F">
        <w:rPr>
          <w:rFonts w:ascii="Arial" w:eastAsia="Times New Roman" w:hAnsi="Arial" w:cs="Arial"/>
          <w:b/>
          <w:sz w:val="40"/>
          <w:szCs w:val="40"/>
          <w:lang w:eastAsia="en-GB"/>
        </w:rPr>
        <w:lastRenderedPageBreak/>
        <w:t>Enhancing Operational Reliability Against Persistent Flight Delays and Cancellations at B</w:t>
      </w:r>
      <w:r w:rsidR="004444FE" w:rsidRPr="00FE7B7F">
        <w:rPr>
          <w:rFonts w:ascii="Arial" w:eastAsia="Times New Roman" w:hAnsi="Arial" w:cs="Arial"/>
          <w:b/>
          <w:sz w:val="40"/>
          <w:szCs w:val="40"/>
          <w:lang w:eastAsia="en-GB"/>
        </w:rPr>
        <w:t xml:space="preserve">ritish Airways: A Mixed-Methods </w:t>
      </w:r>
      <w:r w:rsidRPr="00FE7B7F">
        <w:rPr>
          <w:rFonts w:ascii="Arial" w:eastAsia="Times New Roman" w:hAnsi="Arial" w:cs="Arial"/>
          <w:b/>
          <w:sz w:val="40"/>
          <w:szCs w:val="40"/>
          <w:lang w:eastAsia="en-GB"/>
        </w:rPr>
        <w:t>Study Using Systematic Literature Review, Discrete-Event Simulation, and Longitudinal Secondary Data Analysis</w:t>
      </w:r>
    </w:p>
    <w:p w:rsidR="000B458D" w:rsidRPr="00FE7B7F" w:rsidRDefault="000B458D" w:rsidP="00FE7B7F">
      <w:pPr>
        <w:rPr>
          <w:lang w:eastAsia="en-GB"/>
        </w:rPr>
      </w:pPr>
    </w:p>
    <w:p w:rsidR="00F02B9A" w:rsidRPr="00FE7B7F" w:rsidRDefault="00F02B9A" w:rsidP="00F73701">
      <w:pPr>
        <w:pStyle w:val="Heading1"/>
        <w:spacing w:line="360" w:lineRule="auto"/>
        <w:rPr>
          <w:rFonts w:cs="Arial"/>
        </w:rPr>
      </w:pPr>
      <w:bookmarkStart w:id="0" w:name="_Toc216114659"/>
      <w:r w:rsidRPr="00FE7B7F">
        <w:rPr>
          <w:rFonts w:cs="Arial"/>
        </w:rPr>
        <w:t>Abstract</w:t>
      </w:r>
      <w:bookmarkEnd w:id="0"/>
    </w:p>
    <w:p w:rsidR="00C46FE8" w:rsidRPr="00FE7B7F" w:rsidRDefault="00C46FE8" w:rsidP="00F73701">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This research proposal examines British Airways' persistent operational crisis, characterised by a 69% on-time performance and 2.8% cancellation rate in 2024–2025—among the lowest in Europe (Travel and Tour World, 2025; Which?, 2025). Utilising a PRISMA-guided systematic literature review, discrete-event simulation of Heathrow operations, and longitudinal analysis of secondary data from 2021–2025, the study maps disruption propagation and tests resilience interventions. Grounded in Resilience Engineering and Network Theory, it identifies key factors like ATC restrictions and c</w:t>
      </w:r>
      <w:r w:rsidR="00043B5A" w:rsidRPr="00FE7B7F">
        <w:rPr>
          <w:rFonts w:ascii="Arial" w:eastAsia="Times New Roman" w:hAnsi="Arial" w:cs="Arial"/>
          <w:lang w:eastAsia="en-GB"/>
        </w:rPr>
        <w:t xml:space="preserve">rew shortages. Completed </w:t>
      </w:r>
      <w:r w:rsidR="004F0038" w:rsidRPr="00FE7B7F">
        <w:rPr>
          <w:rFonts w:ascii="Arial" w:eastAsia="Times New Roman" w:hAnsi="Arial" w:cs="Arial"/>
          <w:lang w:eastAsia="en-GB"/>
        </w:rPr>
        <w:t>February</w:t>
      </w:r>
      <w:r w:rsidR="00043B5A" w:rsidRPr="00FE7B7F">
        <w:rPr>
          <w:rFonts w:ascii="Arial" w:eastAsia="Times New Roman" w:hAnsi="Arial" w:cs="Arial"/>
          <w:lang w:eastAsia="en-GB"/>
        </w:rPr>
        <w:t>–April 2026</w:t>
      </w:r>
      <w:r w:rsidRPr="00FE7B7F">
        <w:rPr>
          <w:rFonts w:ascii="Arial" w:eastAsia="Times New Roman" w:hAnsi="Arial" w:cs="Arial"/>
          <w:lang w:eastAsia="en-GB"/>
        </w:rPr>
        <w:t xml:space="preserve"> with public data, outcomes include recommendations for 10–15 percentage point OTP gains and cancellations under 1.5%, enhancing reliability amid post-pandemic recovery.</w:t>
      </w:r>
    </w:p>
    <w:p w:rsidR="00F02B9A" w:rsidRPr="00FE7B7F" w:rsidRDefault="00276F03" w:rsidP="00F73701">
      <w:pPr>
        <w:pStyle w:val="Heading1"/>
        <w:spacing w:line="360" w:lineRule="auto"/>
        <w:rPr>
          <w:rFonts w:cs="Arial"/>
        </w:rPr>
      </w:pPr>
      <w:bookmarkStart w:id="1" w:name="_Toc216114660"/>
      <w:r w:rsidRPr="00FE7B7F">
        <w:rPr>
          <w:rFonts w:cs="Arial"/>
        </w:rPr>
        <w:t>Introduction</w:t>
      </w:r>
      <w:bookmarkEnd w:id="1"/>
      <w:r w:rsidRPr="00FE7B7F">
        <w:rPr>
          <w:rFonts w:cs="Arial"/>
        </w:rPr>
        <w:t xml:space="preserve"> </w:t>
      </w:r>
    </w:p>
    <w:p w:rsidR="00F02B9A" w:rsidRPr="00FE7B7F" w:rsidRDefault="00F02B9A" w:rsidP="00F73701">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British Airways continues to experience chronic flight delays and cancellations despite substantial post-pandemic recovery investment. Between October 2024 and September 2025, 31% of British Airways flights departed more than 15 minutes late and 2.8% were cancelled – performance markedly worse than European peers (Civil Aviation Authority, 2025; OAG, 2025). These disruptions generated approximately £95 million in passenger compensation and an estimated £300 million in lost revenue and reputational damage (International Airlines Group, 2025).</w:t>
      </w:r>
    </w:p>
    <w:p w:rsidR="0005226B" w:rsidRPr="00FE7B7F" w:rsidRDefault="00F02B9A" w:rsidP="00DB7AFC">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The problem is systemic: minor incidents rapidly cascade across British Airways’ highly connected hub-and-spoke network, amplified by Heathrow capacity constraints, crewing fragility, and reactive recovery processes. This pro</w:t>
      </w:r>
      <w:r w:rsidR="009D20C2" w:rsidRPr="00FE7B7F">
        <w:rPr>
          <w:rFonts w:ascii="Arial" w:eastAsia="Times New Roman" w:hAnsi="Arial" w:cs="Arial"/>
          <w:lang w:eastAsia="en-GB"/>
        </w:rPr>
        <w:t>posal presents a rigorous, six</w:t>
      </w:r>
      <w:r w:rsidRPr="00FE7B7F">
        <w:rPr>
          <w:rFonts w:ascii="Arial" w:eastAsia="Times New Roman" w:hAnsi="Arial" w:cs="Arial"/>
          <w:lang w:eastAsia="en-GB"/>
        </w:rPr>
        <w:t>-mo</w:t>
      </w:r>
      <w:r w:rsidR="004F0038" w:rsidRPr="00FE7B7F">
        <w:rPr>
          <w:rFonts w:ascii="Arial" w:eastAsia="Times New Roman" w:hAnsi="Arial" w:cs="Arial"/>
          <w:lang w:eastAsia="en-GB"/>
        </w:rPr>
        <w:t xml:space="preserve">nth </w:t>
      </w:r>
      <w:r w:rsidR="004F0038" w:rsidRPr="00FE7B7F">
        <w:rPr>
          <w:rFonts w:ascii="Arial" w:eastAsia="Times New Roman" w:hAnsi="Arial" w:cs="Arial"/>
          <w:lang w:eastAsia="en-GB"/>
        </w:rPr>
        <w:lastRenderedPageBreak/>
        <w:t>mixed-methods study (February–April</w:t>
      </w:r>
      <w:r w:rsidR="009D20C2" w:rsidRPr="00FE7B7F">
        <w:rPr>
          <w:rFonts w:ascii="Arial" w:eastAsia="Times New Roman" w:hAnsi="Arial" w:cs="Arial"/>
          <w:lang w:eastAsia="en-GB"/>
        </w:rPr>
        <w:t xml:space="preserve"> 2026</w:t>
      </w:r>
      <w:r w:rsidRPr="00FE7B7F">
        <w:rPr>
          <w:rFonts w:ascii="Arial" w:eastAsia="Times New Roman" w:hAnsi="Arial" w:cs="Arial"/>
          <w:lang w:eastAsia="en-GB"/>
        </w:rPr>
        <w:t>) that combines systematic review, discrete-event simulation, and longitudinal secondary data analysis to enhance British Airways’ operational resilience – an approach and timescale not previously attempted in aviation resilience research.</w:t>
      </w:r>
    </w:p>
    <w:p w:rsidR="00F02B9A" w:rsidRPr="00FE7B7F" w:rsidRDefault="00F02B9A" w:rsidP="00DB7AFC">
      <w:pPr>
        <w:pStyle w:val="Heading2"/>
        <w:rPr>
          <w:rFonts w:cs="Arial"/>
        </w:rPr>
      </w:pPr>
      <w:bookmarkStart w:id="2" w:name="_Toc216114661"/>
      <w:r w:rsidRPr="00FE7B7F">
        <w:rPr>
          <w:rFonts w:cs="Arial"/>
        </w:rPr>
        <w:t>Research Aims, Objectives and Questions</w:t>
      </w:r>
      <w:bookmarkEnd w:id="2"/>
    </w:p>
    <w:p w:rsidR="000D25DE" w:rsidRPr="00FE7B7F" w:rsidRDefault="000D25DE" w:rsidP="001D1A14">
      <w:pPr>
        <w:spacing w:before="100" w:beforeAutospacing="1" w:after="100" w:afterAutospacing="1" w:line="240" w:lineRule="auto"/>
        <w:jc w:val="both"/>
        <w:rPr>
          <w:rFonts w:ascii="Arial" w:eastAsia="Times New Roman" w:hAnsi="Arial" w:cs="Arial"/>
          <w:lang w:eastAsia="en-GB"/>
        </w:rPr>
      </w:pPr>
      <w:r w:rsidRPr="00FE7B7F">
        <w:rPr>
          <w:rFonts w:ascii="Arial" w:eastAsia="Times New Roman" w:hAnsi="Arial" w:cs="Arial"/>
          <w:b/>
          <w:bCs/>
          <w:lang w:eastAsia="en-GB"/>
        </w:rPr>
        <w:t>(Problem → Core Issues → Solution)</w:t>
      </w:r>
    </w:p>
    <w:p w:rsidR="000D25DE" w:rsidRPr="00FE7B7F" w:rsidRDefault="000D25DE" w:rsidP="00DB7AFC">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b/>
          <w:bCs/>
          <w:lang w:eastAsia="en-GB"/>
        </w:rPr>
        <w:t>The Problem</w:t>
      </w:r>
      <w:r w:rsidRPr="00FE7B7F">
        <w:rPr>
          <w:rFonts w:ascii="Arial" w:eastAsia="Times New Roman" w:hAnsi="Arial" w:cs="Arial"/>
          <w:lang w:eastAsia="en-GB"/>
        </w:rPr>
        <w:t xml:space="preserve"> British Airways has the worst reliability among major European flag-carriers: only 69–71 % of flights depart on time and 2.8 % are cancelled (2024–2025 average). This costs the airline more than £400 million per year in compensation, fuel waste, lost revenue, and reputational damage while eroding passenger and regulator trust (Which?, 2025; CAA, 2025).</w:t>
      </w:r>
    </w:p>
    <w:p w:rsidR="000D25DE" w:rsidRPr="00FE7B7F" w:rsidRDefault="000D25DE" w:rsidP="001D1A14">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b/>
          <w:bCs/>
          <w:lang w:eastAsia="en-GB"/>
        </w:rPr>
        <w:t>The Core Issues Driving the Problem</w:t>
      </w:r>
      <w:r w:rsidRPr="00FE7B7F">
        <w:rPr>
          <w:rFonts w:ascii="Arial" w:eastAsia="Times New Roman" w:hAnsi="Arial" w:cs="Arial"/>
          <w:lang w:eastAsia="en-GB"/>
        </w:rPr>
        <w:t xml:space="preserve"> (identified from 2021–2025 data)</w:t>
      </w:r>
    </w:p>
    <w:p w:rsidR="000D25DE" w:rsidRPr="00FE7B7F" w:rsidRDefault="000D25DE" w:rsidP="001D1A14">
      <w:pPr>
        <w:numPr>
          <w:ilvl w:val="0"/>
          <w:numId w:val="37"/>
        </w:num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Air Traffic Control restrictions and NATS staffing shortages</w:t>
      </w:r>
    </w:p>
    <w:p w:rsidR="000D25DE" w:rsidRPr="00FE7B7F" w:rsidRDefault="000D25DE" w:rsidP="001D1A14">
      <w:pPr>
        <w:numPr>
          <w:ilvl w:val="0"/>
          <w:numId w:val="37"/>
        </w:num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Crew shortages and post-strike fragility (industrial disputes + post-Brexit recruitment)</w:t>
      </w:r>
    </w:p>
    <w:p w:rsidR="000D25DE" w:rsidRPr="00FE7B7F" w:rsidRDefault="000D25DE" w:rsidP="001D1A14">
      <w:pPr>
        <w:numPr>
          <w:ilvl w:val="0"/>
          <w:numId w:val="37"/>
        </w:num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Technical faults in an ageing fleet</w:t>
      </w:r>
    </w:p>
    <w:p w:rsidR="000D25DE" w:rsidRPr="00FE7B7F" w:rsidRDefault="000D25DE" w:rsidP="001D1A14">
      <w:pPr>
        <w:numPr>
          <w:ilvl w:val="0"/>
          <w:numId w:val="37"/>
        </w:num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Extreme weather events (increasing frequency)</w:t>
      </w:r>
    </w:p>
    <w:p w:rsidR="000D25DE" w:rsidRPr="00FE7B7F" w:rsidRDefault="000D25DE" w:rsidP="001D1A14">
      <w:pPr>
        <w:numPr>
          <w:ilvl w:val="0"/>
          <w:numId w:val="37"/>
        </w:num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Chronic Heathrow slot and stand congestion</w:t>
      </w:r>
    </w:p>
    <w:p w:rsidR="000D25DE" w:rsidRPr="00FE7B7F" w:rsidRDefault="000D25DE" w:rsidP="001D1A14">
      <w:pPr>
        <w:numPr>
          <w:ilvl w:val="0"/>
          <w:numId w:val="37"/>
        </w:num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New 2025 threat: GNSS jamming / spoofing affecting GPS-dependent operations</w:t>
      </w:r>
    </w:p>
    <w:p w:rsidR="0005226B" w:rsidRPr="00FE7B7F" w:rsidRDefault="000D25DE" w:rsidP="001D1A14">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These six factors do not act in isolation — they interact and cascade: one delayed inbound aircraft routinely triggers 5–15 downstream delays or cancellations within hours because of Heathrow’s extreme hub density and tight recovery margins.</w:t>
      </w:r>
    </w:p>
    <w:p w:rsidR="000D25DE" w:rsidRPr="00FE7B7F" w:rsidRDefault="000D25DE" w:rsidP="001D1A14">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b/>
          <w:bCs/>
          <w:lang w:eastAsia="en-GB"/>
        </w:rPr>
        <w:t>The Solution</w:t>
      </w:r>
      <w:r w:rsidRPr="00FE7B7F">
        <w:rPr>
          <w:rFonts w:ascii="Arial" w:eastAsia="Times New Roman" w:hAnsi="Arial" w:cs="Arial"/>
          <w:lang w:eastAsia="en-GB"/>
        </w:rPr>
        <w:t xml:space="preserve"> Develop and deliver an evidence-based operational resilience framework that eliminates the biggest cascades and raises on-time performance to ≥82–85 % and cancellations to ≤1.5 % by 2028 — using only publicly available data and simulation modelling.</w:t>
      </w:r>
    </w:p>
    <w:p w:rsidR="001D1A14" w:rsidRPr="00FE7B7F" w:rsidRDefault="002B6DFE" w:rsidP="0005226B">
      <w:pPr>
        <w:spacing w:before="100" w:beforeAutospacing="1" w:after="100" w:afterAutospacing="1" w:line="360" w:lineRule="auto"/>
        <w:jc w:val="both"/>
        <w:rPr>
          <w:rFonts w:ascii="Arial" w:eastAsia="Times New Roman" w:hAnsi="Arial" w:cs="Arial"/>
          <w:b/>
          <w:bCs/>
          <w:sz w:val="28"/>
          <w:szCs w:val="28"/>
          <w:lang w:eastAsia="en-GB"/>
        </w:rPr>
      </w:pPr>
      <w:r w:rsidRPr="00FE7B7F">
        <w:rPr>
          <w:rFonts w:ascii="Arial" w:eastAsia="Times New Roman" w:hAnsi="Arial" w:cs="Arial"/>
          <w:b/>
          <w:bCs/>
          <w:sz w:val="28"/>
          <w:szCs w:val="28"/>
          <w:lang w:eastAsia="en-GB"/>
        </w:rPr>
        <w:t>Five Specific Objectives (SMART)</w:t>
      </w:r>
    </w:p>
    <w:p w:rsidR="00DF09E6" w:rsidRPr="00FE7B7F" w:rsidRDefault="00DF09E6" w:rsidP="001D1A14">
      <w:pPr>
        <w:spacing w:before="100" w:beforeAutospacing="1" w:after="100" w:afterAutospacing="1" w:line="360" w:lineRule="auto"/>
        <w:jc w:val="both"/>
        <w:rPr>
          <w:rFonts w:ascii="Arial" w:eastAsia="Times New Roman" w:hAnsi="Arial" w:cs="Arial"/>
          <w:b/>
          <w:bCs/>
          <w:i/>
          <w:lang w:eastAsia="en-GB"/>
        </w:rPr>
      </w:pPr>
      <w:r w:rsidRPr="00FE7B7F">
        <w:rPr>
          <w:rFonts w:ascii="Arial" w:eastAsia="Times New Roman" w:hAnsi="Arial" w:cs="Arial"/>
          <w:sz w:val="24"/>
          <w:szCs w:val="24"/>
          <w:lang w:eastAsia="en-GB"/>
        </w:rPr>
        <w:t xml:space="preserve"> </w:t>
      </w:r>
      <w:r w:rsidRPr="00FE7B7F">
        <w:rPr>
          <w:rFonts w:ascii="Arial" w:eastAsia="Times New Roman" w:hAnsi="Arial" w:cs="Arial"/>
          <w:lang w:eastAsia="en-GB"/>
        </w:rPr>
        <w:t>(</w:t>
      </w:r>
      <w:r w:rsidR="001D1A14" w:rsidRPr="00FE7B7F">
        <w:rPr>
          <w:rFonts w:ascii="Arial" w:eastAsia="Times New Roman" w:hAnsi="Arial" w:cs="Arial"/>
          <w:lang w:eastAsia="en-GB"/>
        </w:rPr>
        <w:t>Each</w:t>
      </w:r>
      <w:r w:rsidRPr="00FE7B7F">
        <w:rPr>
          <w:rFonts w:ascii="Arial" w:eastAsia="Times New Roman" w:hAnsi="Arial" w:cs="Arial"/>
          <w:lang w:eastAsia="en-GB"/>
        </w:rPr>
        <w:t xml:space="preserve"> directly attacks the problem)</w:t>
      </w:r>
    </w:p>
    <w:p w:rsidR="00DF09E6" w:rsidRPr="00FE7B7F" w:rsidRDefault="00DF09E6" w:rsidP="001D1A14">
      <w:pPr>
        <w:numPr>
          <w:ilvl w:val="0"/>
          <w:numId w:val="36"/>
        </w:num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Systematically review 80+ sources to confirm the six core issues above and extract proven resilience inter</w:t>
      </w:r>
      <w:r w:rsidR="000D25DE" w:rsidRPr="00FE7B7F">
        <w:rPr>
          <w:rFonts w:ascii="Arial" w:eastAsia="Times New Roman" w:hAnsi="Arial" w:cs="Arial"/>
          <w:lang w:eastAsia="en-GB"/>
        </w:rPr>
        <w:t>ventions (complete by 9</w:t>
      </w:r>
      <w:r w:rsidRPr="00FE7B7F">
        <w:rPr>
          <w:rFonts w:ascii="Arial" w:eastAsia="Times New Roman" w:hAnsi="Arial" w:cs="Arial"/>
          <w:lang w:eastAsia="en-GB"/>
        </w:rPr>
        <w:t xml:space="preserve"> April 2026).</w:t>
      </w:r>
    </w:p>
    <w:p w:rsidR="00DF09E6" w:rsidRPr="00FE7B7F" w:rsidRDefault="00DF09E6" w:rsidP="001D1A14">
      <w:pPr>
        <w:numPr>
          <w:ilvl w:val="0"/>
          <w:numId w:val="36"/>
        </w:num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lastRenderedPageBreak/>
        <w:t>Quantify the exact contribution and interaction of the six issues using five years of CAA, Eurocontrol, and OAG da</w:t>
      </w:r>
      <w:r w:rsidR="00870A54">
        <w:rPr>
          <w:rFonts w:ascii="Arial" w:eastAsia="Times New Roman" w:hAnsi="Arial" w:cs="Arial"/>
          <w:lang w:eastAsia="en-GB"/>
        </w:rPr>
        <w:t>ta (analysis finished 8 February 2026</w:t>
      </w:r>
      <w:bookmarkStart w:id="3" w:name="_GoBack"/>
      <w:bookmarkEnd w:id="3"/>
      <w:r w:rsidRPr="00FE7B7F">
        <w:rPr>
          <w:rFonts w:ascii="Arial" w:eastAsia="Times New Roman" w:hAnsi="Arial" w:cs="Arial"/>
          <w:lang w:eastAsia="en-GB"/>
        </w:rPr>
        <w:t>).</w:t>
      </w:r>
    </w:p>
    <w:p w:rsidR="00DF09E6" w:rsidRPr="00FE7B7F" w:rsidRDefault="00DF09E6" w:rsidP="001D1A14">
      <w:pPr>
        <w:numPr>
          <w:ilvl w:val="0"/>
          <w:numId w:val="36"/>
        </w:num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Build and validate a discrete-event simulation model of Heathrow Terminal 5 short-haul operations that replicates real 2025 disruption patterns to ≥95 % accuracy (model ready January 2026).</w:t>
      </w:r>
    </w:p>
    <w:p w:rsidR="00DF09E6" w:rsidRPr="00FE7B7F" w:rsidRDefault="00DF09E6" w:rsidP="001D1A14">
      <w:pPr>
        <w:numPr>
          <w:ilvl w:val="0"/>
          <w:numId w:val="36"/>
        </w:num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Test twelve targeted fixes in the model and rank them by OTP gain versu</w:t>
      </w:r>
      <w:r w:rsidR="00870A54">
        <w:rPr>
          <w:rFonts w:ascii="Arial" w:eastAsia="Times New Roman" w:hAnsi="Arial" w:cs="Arial"/>
          <w:lang w:eastAsia="en-GB"/>
        </w:rPr>
        <w:t>s cost (results ready 8 January 2026</w:t>
      </w:r>
      <w:r w:rsidRPr="00FE7B7F">
        <w:rPr>
          <w:rFonts w:ascii="Arial" w:eastAsia="Times New Roman" w:hAnsi="Arial" w:cs="Arial"/>
          <w:lang w:eastAsia="en-GB"/>
        </w:rPr>
        <w:t>).</w:t>
      </w:r>
    </w:p>
    <w:p w:rsidR="00DF09E6" w:rsidRPr="00FE7B7F" w:rsidRDefault="00DF09E6" w:rsidP="00DB7AFC">
      <w:pPr>
        <w:numPr>
          <w:ilvl w:val="0"/>
          <w:numId w:val="36"/>
        </w:num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Hand British Airways a prioritised, fully costed 24-month roadmap that solves the reliability crisis (final report and p</w:t>
      </w:r>
      <w:r w:rsidR="00870A54">
        <w:rPr>
          <w:rFonts w:ascii="Arial" w:eastAsia="Times New Roman" w:hAnsi="Arial" w:cs="Arial"/>
          <w:lang w:eastAsia="en-GB"/>
        </w:rPr>
        <w:t>resentation delivered April 2026</w:t>
      </w:r>
      <w:r w:rsidRPr="00FE7B7F">
        <w:rPr>
          <w:rFonts w:ascii="Arial" w:eastAsia="Times New Roman" w:hAnsi="Arial" w:cs="Arial"/>
          <w:lang w:eastAsia="en-GB"/>
        </w:rPr>
        <w:t>).</w:t>
      </w:r>
    </w:p>
    <w:p w:rsidR="001B1F58" w:rsidRPr="00FE7B7F" w:rsidRDefault="001B1F58" w:rsidP="001D1A14">
      <w:pPr>
        <w:spacing w:before="100" w:beforeAutospacing="1" w:after="100" w:afterAutospacing="1" w:line="360" w:lineRule="auto"/>
        <w:jc w:val="both"/>
        <w:rPr>
          <w:rFonts w:ascii="Arial" w:eastAsia="Times New Roman" w:hAnsi="Arial" w:cs="Arial"/>
          <w:b/>
          <w:bCs/>
          <w:sz w:val="28"/>
          <w:szCs w:val="28"/>
          <w:lang w:eastAsia="en-GB"/>
        </w:rPr>
      </w:pPr>
      <w:r w:rsidRPr="00FE7B7F">
        <w:rPr>
          <w:rFonts w:ascii="Arial" w:eastAsia="Times New Roman" w:hAnsi="Arial" w:cs="Arial"/>
          <w:b/>
          <w:bCs/>
          <w:sz w:val="28"/>
          <w:szCs w:val="28"/>
          <w:lang w:eastAsia="en-GB"/>
        </w:rPr>
        <w:t>Research Questions (Solution-Focused)</w:t>
      </w:r>
    </w:p>
    <w:p w:rsidR="00390E8C" w:rsidRPr="00FE7B7F" w:rsidRDefault="00390E8C" w:rsidP="00390E8C">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These questions are explicitly designed to solve the identified dilemma rather than merely describe it, building a logical progression from factor identification and analysis to targeted simulation and measurable outcomes.</w:t>
      </w:r>
    </w:p>
    <w:p w:rsidR="00390E8C" w:rsidRPr="00FE7B7F" w:rsidRDefault="00390E8C" w:rsidP="0005226B">
      <w:pPr>
        <w:numPr>
          <w:ilvl w:val="0"/>
          <w:numId w:val="40"/>
        </w:num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Which of the six identified disruption factors (ATC restrictions, crew shortages/disputes, technical faults, extreme weather, Heathrow slot/stand constraints, and GNSS jamming) currently contribute the largest share of delay minutes and cancellations at British Airways between 2021 and 2025, and which factor offers the highest leverage for rapid improvement?</w:t>
      </w:r>
    </w:p>
    <w:p w:rsidR="00390E8C" w:rsidRPr="00FE7B7F" w:rsidRDefault="00390E8C" w:rsidP="0005226B">
      <w:pPr>
        <w:numPr>
          <w:ilvl w:val="0"/>
          <w:numId w:val="40"/>
        </w:num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How have the relative contributions and interactions of these six factors evolved longitudinally from 2021 to 2025, and which emerging factor (particularly GNSS jamming and post-industrial-action crew fragility) has shown the fastest increase in impact? (Which?, 2025; Eurocontrol, 2025)</w:t>
      </w:r>
    </w:p>
    <w:p w:rsidR="00390E8C" w:rsidRPr="00FE7B7F" w:rsidRDefault="00390E8C" w:rsidP="0005226B">
      <w:pPr>
        <w:numPr>
          <w:ilvl w:val="0"/>
          <w:numId w:val="41"/>
        </w:num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 xml:space="preserve">In a validated discrete-event simulation of British Airways’ Heathrow </w:t>
      </w:r>
      <w:r w:rsidR="0005226B" w:rsidRPr="00FE7B7F">
        <w:rPr>
          <w:rFonts w:ascii="Arial" w:eastAsia="Times New Roman" w:hAnsi="Arial" w:cs="Arial"/>
          <w:lang w:eastAsia="en-GB"/>
        </w:rPr>
        <w:t xml:space="preserve">Terminal 5 short-haul operation </w:t>
      </w:r>
      <w:r w:rsidRPr="00FE7B7F">
        <w:rPr>
          <w:rFonts w:ascii="Arial" w:eastAsia="Times New Roman" w:hAnsi="Arial" w:cs="Arial"/>
          <w:lang w:eastAsia="en-GB"/>
        </w:rPr>
        <w:t xml:space="preserve">calibrated to the dominant factors and interactions </w:t>
      </w:r>
      <w:r w:rsidR="0005226B" w:rsidRPr="00FE7B7F">
        <w:rPr>
          <w:rFonts w:ascii="Arial" w:eastAsia="Times New Roman" w:hAnsi="Arial" w:cs="Arial"/>
          <w:lang w:eastAsia="en-GB"/>
        </w:rPr>
        <w:t xml:space="preserve">identified in Questions 1 and 2, </w:t>
      </w:r>
      <w:r w:rsidRPr="00FE7B7F">
        <w:rPr>
          <w:rFonts w:ascii="Arial" w:eastAsia="Times New Roman" w:hAnsi="Arial" w:cs="Arial"/>
          <w:lang w:eastAsia="en-GB"/>
        </w:rPr>
        <w:t>which combination of up to three realistic interventions (e.g., +12% crew reserve buffer, +10-minute average ground-time padding, predictive maintenance AI reducing technical delays by 25%, or pre-tactical slot swapping with NATS) delivers the greatest improvement in on-time performance and cancellation rate for an incremental cost of no more than £80 million per year? (Castro et al., 2022; Delgado et al., 2021)</w:t>
      </w:r>
    </w:p>
    <w:p w:rsidR="00390E8C" w:rsidRPr="00FE7B7F" w:rsidRDefault="00390E8C" w:rsidP="00A03ECC">
      <w:pPr>
        <w:numPr>
          <w:ilvl w:val="0"/>
          <w:numId w:val="48"/>
        </w:num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By implementing the top-ranked intervention package identified</w:t>
      </w:r>
      <w:r w:rsidR="00C05AE9" w:rsidRPr="00FE7B7F">
        <w:rPr>
          <w:rFonts w:ascii="Arial" w:eastAsia="Times New Roman" w:hAnsi="Arial" w:cs="Arial"/>
          <w:lang w:eastAsia="en-GB"/>
        </w:rPr>
        <w:t xml:space="preserve"> in Question 3 </w:t>
      </w:r>
      <w:r w:rsidRPr="00FE7B7F">
        <w:rPr>
          <w:rFonts w:ascii="Arial" w:eastAsia="Times New Roman" w:hAnsi="Arial" w:cs="Arial"/>
          <w:lang w:eastAsia="en-GB"/>
        </w:rPr>
        <w:t>directly targeting the highest-leverage factors and inte</w:t>
      </w:r>
      <w:r w:rsidR="00C05AE9" w:rsidRPr="00FE7B7F">
        <w:rPr>
          <w:rFonts w:ascii="Arial" w:eastAsia="Times New Roman" w:hAnsi="Arial" w:cs="Arial"/>
          <w:lang w:eastAsia="en-GB"/>
        </w:rPr>
        <w:t xml:space="preserve">ractions from Questions 1 and 2, </w:t>
      </w:r>
      <w:r w:rsidRPr="00FE7B7F">
        <w:rPr>
          <w:rFonts w:ascii="Arial" w:eastAsia="Times New Roman" w:hAnsi="Arial" w:cs="Arial"/>
          <w:lang w:eastAsia="en-GB"/>
        </w:rPr>
        <w:t xml:space="preserve">what specific, quantifiable improvements in on-time performance (percentage points) and </w:t>
      </w:r>
      <w:r w:rsidRPr="00FE7B7F">
        <w:rPr>
          <w:rFonts w:ascii="Arial" w:eastAsia="Times New Roman" w:hAnsi="Arial" w:cs="Arial"/>
          <w:lang w:eastAsia="en-GB"/>
        </w:rPr>
        <w:lastRenderedPageBreak/>
        <w:t>cancellation rate (absolute %) can British Airways realistically achieve by the end of 2027 and 2028 respectively, and what would be the estimated financial benefit (£) from reduced EU261 compensation, fuel savings, and restored passenger revenue? (CAA, 2025; IATA, 2025)</w:t>
      </w:r>
    </w:p>
    <w:p w:rsidR="00390E8C" w:rsidRPr="00FE7B7F" w:rsidRDefault="00390E8C" w:rsidP="00390E8C">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These SMART objectives and solution-oriented questions ensure the entire three-month project remains laser-focused on delivering an actionable, costed roadmap that directly resolves British Airways’ most pressing operational and financial dilemma in 2025–2028.</w:t>
      </w:r>
    </w:p>
    <w:p w:rsidR="0005226B" w:rsidRPr="00FE7B7F" w:rsidRDefault="0005226B" w:rsidP="00DB7AFC">
      <w:pPr>
        <w:pStyle w:val="Heading2"/>
        <w:rPr>
          <w:rFonts w:cs="Arial"/>
        </w:rPr>
      </w:pPr>
      <w:bookmarkStart w:id="4" w:name="_Toc216114662"/>
      <w:r w:rsidRPr="00FE7B7F">
        <w:rPr>
          <w:rFonts w:cs="Arial"/>
        </w:rPr>
        <w:t>Literature Review</w:t>
      </w:r>
      <w:bookmarkEnd w:id="4"/>
      <w:r w:rsidRPr="00FE7B7F">
        <w:rPr>
          <w:rFonts w:cs="Arial"/>
        </w:rPr>
        <w:t xml:space="preserve"> </w:t>
      </w:r>
    </w:p>
    <w:p w:rsidR="00F02B9A" w:rsidRPr="00FE7B7F" w:rsidRDefault="00F02B9A" w:rsidP="00F73701">
      <w:pPr>
        <w:spacing w:before="100" w:beforeAutospacing="1" w:after="100" w:afterAutospacing="1" w:line="360" w:lineRule="auto"/>
        <w:outlineLvl w:val="3"/>
        <w:rPr>
          <w:rFonts w:ascii="Arial" w:eastAsia="Times New Roman" w:hAnsi="Arial" w:cs="Arial"/>
          <w:b/>
          <w:bCs/>
          <w:lang w:eastAsia="en-GB"/>
        </w:rPr>
      </w:pPr>
      <w:r w:rsidRPr="00FE7B7F">
        <w:rPr>
          <w:rFonts w:ascii="Arial" w:eastAsia="Times New Roman" w:hAnsi="Arial" w:cs="Arial"/>
          <w:b/>
          <w:bCs/>
          <w:lang w:eastAsia="en-GB"/>
        </w:rPr>
        <w:t>Purpose and Scope</w:t>
      </w:r>
    </w:p>
    <w:p w:rsidR="00F02B9A" w:rsidRPr="00FE7B7F" w:rsidRDefault="00F02B9A" w:rsidP="00F73701">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The literature review will establish the theoretical foundation, identify best practice, and highlight gaps that justify this study’s novel methodology and compressed timescale.</w:t>
      </w:r>
    </w:p>
    <w:p w:rsidR="00F02B9A" w:rsidRPr="00FE7B7F" w:rsidRDefault="00F02B9A" w:rsidP="00F73701">
      <w:pPr>
        <w:spacing w:before="100" w:beforeAutospacing="1" w:after="100" w:afterAutospacing="1" w:line="360" w:lineRule="auto"/>
        <w:outlineLvl w:val="3"/>
        <w:rPr>
          <w:rFonts w:ascii="Arial" w:eastAsia="Times New Roman" w:hAnsi="Arial" w:cs="Arial"/>
          <w:b/>
          <w:bCs/>
          <w:sz w:val="24"/>
          <w:szCs w:val="24"/>
          <w:lang w:eastAsia="en-GB"/>
        </w:rPr>
      </w:pPr>
      <w:r w:rsidRPr="00FE7B7F">
        <w:rPr>
          <w:rFonts w:ascii="Arial" w:eastAsia="Times New Roman" w:hAnsi="Arial" w:cs="Arial"/>
          <w:b/>
          <w:bCs/>
          <w:sz w:val="24"/>
          <w:szCs w:val="24"/>
          <w:lang w:eastAsia="en-GB"/>
        </w:rPr>
        <w:t>K</w:t>
      </w:r>
      <w:r w:rsidR="00276F03" w:rsidRPr="00FE7B7F">
        <w:rPr>
          <w:rFonts w:ascii="Arial" w:eastAsia="Times New Roman" w:hAnsi="Arial" w:cs="Arial"/>
          <w:b/>
          <w:bCs/>
          <w:sz w:val="24"/>
          <w:szCs w:val="24"/>
          <w:lang w:eastAsia="en-GB"/>
        </w:rPr>
        <w:t xml:space="preserve">ey Theories </w:t>
      </w:r>
    </w:p>
    <w:p w:rsidR="00F02B9A" w:rsidRPr="00FE7B7F" w:rsidRDefault="00F02B9A" w:rsidP="00F73701">
      <w:pPr>
        <w:numPr>
          <w:ilvl w:val="0"/>
          <w:numId w:val="14"/>
        </w:num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b/>
          <w:bCs/>
          <w:lang w:eastAsia="en-GB"/>
        </w:rPr>
        <w:t>Resilience Engineering</w:t>
      </w:r>
      <w:r w:rsidRPr="00FE7B7F">
        <w:rPr>
          <w:rFonts w:ascii="Arial" w:eastAsia="Times New Roman" w:hAnsi="Arial" w:cs="Arial"/>
          <w:lang w:eastAsia="en-GB"/>
        </w:rPr>
        <w:t xml:space="preserve"> Developed by Erik Hollnagel, David Woods, and Sidney Dekker, Resilience Engineering represents a paradigm shift from traditional safety thinking (which focuses on preventing things from going wrong) to understanding how complex socio-technical systems succeed in continuing to function under varying conditions and unexpected challenges (Hollnagel, 2014; Woods, 2017). Rather than viewing resilience as mere robustness or rapid recovery, it is defined as the intrinsic ability of a system to adjust its functioning prior to, during, or following disturbances so that it can sustain required operations under both expected and unexpected conditions. The theory emphasises four core abilities:</w:t>
      </w:r>
    </w:p>
    <w:p w:rsidR="00F02B9A" w:rsidRPr="00FE7B7F" w:rsidRDefault="00F02B9A" w:rsidP="00F73701">
      <w:pPr>
        <w:numPr>
          <w:ilvl w:val="1"/>
          <w:numId w:val="14"/>
        </w:num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Knowing what to look for (monitoring and anticipation)</w:t>
      </w:r>
    </w:p>
    <w:p w:rsidR="00F02B9A" w:rsidRPr="00FE7B7F" w:rsidRDefault="00F02B9A" w:rsidP="00F73701">
      <w:pPr>
        <w:numPr>
          <w:ilvl w:val="1"/>
          <w:numId w:val="14"/>
        </w:num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Knowing what to expect (sense-making)</w:t>
      </w:r>
    </w:p>
    <w:p w:rsidR="00F02B9A" w:rsidRPr="00FE7B7F" w:rsidRDefault="00F02B9A" w:rsidP="00F73701">
      <w:pPr>
        <w:numPr>
          <w:ilvl w:val="1"/>
          <w:numId w:val="14"/>
        </w:num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Knowing what to do (response)</w:t>
      </w:r>
    </w:p>
    <w:p w:rsidR="00F02B9A" w:rsidRPr="00FE7B7F" w:rsidRDefault="00F02B9A" w:rsidP="00F73701">
      <w:pPr>
        <w:numPr>
          <w:ilvl w:val="1"/>
          <w:numId w:val="14"/>
        </w:numPr>
        <w:spacing w:before="100" w:beforeAutospacing="1" w:after="100" w:afterAutospacing="1" w:line="360" w:lineRule="auto"/>
        <w:jc w:val="both"/>
        <w:rPr>
          <w:rFonts w:ascii="Arial" w:eastAsia="Times New Roman" w:hAnsi="Arial" w:cs="Arial"/>
          <w:sz w:val="24"/>
          <w:szCs w:val="24"/>
          <w:lang w:eastAsia="en-GB"/>
        </w:rPr>
      </w:pPr>
      <w:r w:rsidRPr="00FE7B7F">
        <w:rPr>
          <w:rFonts w:ascii="Arial" w:eastAsia="Times New Roman" w:hAnsi="Arial" w:cs="Arial"/>
          <w:lang w:eastAsia="en-GB"/>
        </w:rPr>
        <w:t>Knowing what has happened (learning) These abilities are particularly relevant to airline operations control centres where personnel must constantly</w:t>
      </w:r>
      <w:r w:rsidRPr="00FE7B7F">
        <w:rPr>
          <w:rFonts w:ascii="Arial" w:eastAsia="Times New Roman" w:hAnsi="Arial" w:cs="Arial"/>
          <w:sz w:val="24"/>
          <w:szCs w:val="24"/>
          <w:lang w:eastAsia="en-GB"/>
        </w:rPr>
        <w:t xml:space="preserve"> </w:t>
      </w:r>
      <w:r w:rsidRPr="00FE7B7F">
        <w:rPr>
          <w:rFonts w:ascii="Arial" w:eastAsia="Times New Roman" w:hAnsi="Arial" w:cs="Arial"/>
          <w:lang w:eastAsia="en-GB"/>
        </w:rPr>
        <w:t>trade off between efficiency and thoroughness under severe time pressure.</w:t>
      </w:r>
    </w:p>
    <w:p w:rsidR="00F02B9A" w:rsidRPr="00FE7B7F" w:rsidRDefault="00F02B9A" w:rsidP="00F73701">
      <w:pPr>
        <w:numPr>
          <w:ilvl w:val="0"/>
          <w:numId w:val="14"/>
        </w:num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b/>
          <w:bCs/>
          <w:sz w:val="24"/>
          <w:szCs w:val="24"/>
          <w:lang w:eastAsia="en-GB"/>
        </w:rPr>
        <w:t>Network Theory applied to Airline Operations</w:t>
      </w:r>
      <w:r w:rsidR="000966B4" w:rsidRPr="00FE7B7F">
        <w:rPr>
          <w:rFonts w:ascii="Arial" w:eastAsia="Times New Roman" w:hAnsi="Arial" w:cs="Arial"/>
          <w:b/>
          <w:bCs/>
          <w:sz w:val="24"/>
          <w:szCs w:val="24"/>
          <w:lang w:eastAsia="en-GB"/>
        </w:rPr>
        <w:t>:</w:t>
      </w:r>
      <w:r w:rsidRPr="00FE7B7F">
        <w:rPr>
          <w:rFonts w:ascii="Arial" w:eastAsia="Times New Roman" w:hAnsi="Arial" w:cs="Arial"/>
          <w:sz w:val="24"/>
          <w:szCs w:val="24"/>
          <w:lang w:eastAsia="en-GB"/>
        </w:rPr>
        <w:t xml:space="preserve"> </w:t>
      </w:r>
      <w:r w:rsidRPr="00FE7B7F">
        <w:rPr>
          <w:rFonts w:ascii="Arial" w:eastAsia="Times New Roman" w:hAnsi="Arial" w:cs="Arial"/>
          <w:lang w:eastAsia="en-GB"/>
        </w:rPr>
        <w:t xml:space="preserve">Network Theory treats an airline schedule as a time-space network of aircraft rotations, crew pairings, and passenger connections (AhmadBeygi et al., 2008; Wu and Law, 2019). Small disturbances propagate because of tight coupling and limited slack in the system. Heathrow’s slot-constrained environment creates a classic “small-world” network with </w:t>
      </w:r>
      <w:r w:rsidRPr="00FE7B7F">
        <w:rPr>
          <w:rFonts w:ascii="Arial" w:eastAsia="Times New Roman" w:hAnsi="Arial" w:cs="Arial"/>
          <w:lang w:eastAsia="en-GB"/>
        </w:rPr>
        <w:lastRenderedPageBreak/>
        <w:t>high clustering and short path lengths – meaning a single delayed inbound aircraft can affect dozens of subsequent departures within hours. Unlike earlier linear models, contemporary network approaches incorporate stochastic delay multipliers and feedback loops, showing that recovery actions themselves can sometimes exacerbate downstream disruption.</w:t>
      </w:r>
    </w:p>
    <w:p w:rsidR="00F02B9A" w:rsidRPr="00FE7B7F" w:rsidRDefault="00F02B9A" w:rsidP="00F73701">
      <w:pPr>
        <w:numPr>
          <w:ilvl w:val="0"/>
          <w:numId w:val="14"/>
        </w:num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b/>
          <w:bCs/>
          <w:sz w:val="24"/>
          <w:szCs w:val="24"/>
          <w:lang w:eastAsia="en-GB"/>
        </w:rPr>
        <w:t>High Reliability Organisation Theory</w:t>
      </w:r>
      <w:r w:rsidR="000966B4" w:rsidRPr="00FE7B7F">
        <w:rPr>
          <w:rFonts w:ascii="Arial" w:eastAsia="Times New Roman" w:hAnsi="Arial" w:cs="Arial"/>
          <w:sz w:val="24"/>
          <w:szCs w:val="24"/>
          <w:lang w:eastAsia="en-GB"/>
        </w:rPr>
        <w:t>:</w:t>
      </w:r>
      <w:r w:rsidRPr="00FE7B7F">
        <w:rPr>
          <w:rFonts w:ascii="Arial" w:eastAsia="Times New Roman" w:hAnsi="Arial" w:cs="Arial"/>
          <w:sz w:val="24"/>
          <w:szCs w:val="24"/>
          <w:lang w:eastAsia="en-GB"/>
        </w:rPr>
        <w:t xml:space="preserve"> </w:t>
      </w:r>
      <w:r w:rsidRPr="00FE7B7F">
        <w:rPr>
          <w:rFonts w:ascii="Arial" w:eastAsia="Times New Roman" w:hAnsi="Arial" w:cs="Arial"/>
          <w:lang w:eastAsia="en-GB"/>
        </w:rPr>
        <w:t>Originating from studies of nuclear aircraft carriers and air traffic control (Weick and Sutcliffe, 2007), this theory identifies five characteristics of organisations that achieve near-error-free performance despite inherent risk: preoccupation with failure, reluctance to simplify, sensitivity to operations, commitment to resilience, and deference to expertise. While widely applied to flight safety, it has rarely been extended to revenue-focused commercial operations.</w:t>
      </w:r>
    </w:p>
    <w:p w:rsidR="00F02B9A" w:rsidRPr="00FE7B7F" w:rsidRDefault="00F02B9A" w:rsidP="00DB7AFC">
      <w:pPr>
        <w:pStyle w:val="Heading3"/>
      </w:pPr>
      <w:bookmarkStart w:id="5" w:name="_Toc216114663"/>
      <w:r w:rsidRPr="00FE7B7F">
        <w:t>Summary of Existing Research and Identified Gaps</w:t>
      </w:r>
      <w:bookmarkEnd w:id="5"/>
    </w:p>
    <w:p w:rsidR="00406FA2" w:rsidRPr="00FE7B7F" w:rsidRDefault="00F02B9A" w:rsidP="00406FA2">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Empirical studies confirm that reaction dominates airline recovery practice (Fleurquin et al., 2013; Delgado et al., 2021). Simulation work exists but remains limited to small sub-fleets or hypothetical scenarios (Castro et al., 2022). No published research has integrated these three theoretical streams at the scale of a major European flag carrier using only secondary data</w:t>
      </w:r>
      <w:r w:rsidR="00E72C33" w:rsidRPr="00FE7B7F">
        <w:rPr>
          <w:rFonts w:ascii="Arial" w:eastAsia="Times New Roman" w:hAnsi="Arial" w:cs="Arial"/>
          <w:lang w:eastAsia="en-GB"/>
        </w:rPr>
        <w:t xml:space="preserve"> within a three-month timeframe.</w:t>
      </w:r>
      <w:r w:rsidR="00406FA2" w:rsidRPr="00FE7B7F">
        <w:rPr>
          <w:rFonts w:ascii="Arial" w:eastAsia="Times New Roman" w:hAnsi="Arial" w:cs="Arial"/>
          <w:lang w:eastAsia="en-GB"/>
        </w:rPr>
        <w:t xml:space="preserve"> </w:t>
      </w:r>
    </w:p>
    <w:p w:rsidR="0005226B" w:rsidRPr="00FE7B7F" w:rsidRDefault="00406FA2" w:rsidP="001E4A88">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Literature shows reactionary delays dominate (Fleurquin et al., 2013; Delgado et al., 2021), with factors like ATC (25–30% of delays) and crew (15–20%) key in Europe (Eurocontrol, 2025). Simulation studies exist but are small-scale (Castro et al., 2022). Longitudinal gaps: Few post-2023 studies track factor evolution amid new threats like GNSS jamming (Travel and Tour World, 2025) or solar flares (AirHelp, 2025), with no BA-specific analysis integrating these. This study fills the gap by longitudinally examining 2021–2025 trends, revealing how factors like crew disputes (post-2022) and jamming (2025) have intensified, absent in generalized pre-2023 research.</w:t>
      </w:r>
    </w:p>
    <w:p w:rsidR="001E4A88" w:rsidRPr="00FE7B7F" w:rsidRDefault="00F02B9A" w:rsidP="001E4A88">
      <w:pPr>
        <w:spacing w:before="100" w:beforeAutospacing="1" w:after="100" w:afterAutospacing="1" w:line="360" w:lineRule="auto"/>
        <w:jc w:val="both"/>
        <w:rPr>
          <w:rFonts w:ascii="Arial" w:hAnsi="Arial" w:cs="Arial"/>
          <w:b/>
          <w:sz w:val="32"/>
          <w:szCs w:val="32"/>
        </w:rPr>
      </w:pPr>
      <w:r w:rsidRPr="00FE7B7F">
        <w:rPr>
          <w:rFonts w:ascii="Arial" w:hAnsi="Arial" w:cs="Arial"/>
          <w:b/>
          <w:sz w:val="32"/>
          <w:szCs w:val="32"/>
        </w:rPr>
        <w:t xml:space="preserve">Methodology </w:t>
      </w:r>
    </w:p>
    <w:p w:rsidR="0005226B" w:rsidRPr="00FE7B7F" w:rsidRDefault="002C1938" w:rsidP="001E4A88">
      <w:pPr>
        <w:spacing w:before="100" w:beforeAutospacing="1" w:after="100" w:afterAutospacing="1" w:line="360" w:lineRule="auto"/>
        <w:jc w:val="both"/>
        <w:rPr>
          <w:rFonts w:ascii="Arial" w:hAnsi="Arial" w:cs="Arial"/>
          <w:bCs/>
        </w:rPr>
      </w:pPr>
      <w:r w:rsidRPr="00FE7B7F">
        <w:rPr>
          <w:rFonts w:ascii="Arial" w:hAnsi="Arial" w:cs="Arial"/>
          <w:bCs/>
        </w:rPr>
        <w:t xml:space="preserve">This mixed-methods study uses systematic literature review (SLR), discrete-event simulation (DES), and longitudinal secondary data analysis—chosen for their complementary strengths: SLR provides theoretical synthesis (reliable for gap identification), DES enables scenario testing without real-world disruption (cost-effective for complex systems), and longitudinal </w:t>
      </w:r>
      <w:r w:rsidRPr="00FE7B7F">
        <w:rPr>
          <w:rFonts w:ascii="Arial" w:hAnsi="Arial" w:cs="Arial"/>
          <w:bCs/>
        </w:rPr>
        <w:lastRenderedPageBreak/>
        <w:t>analysis reveals trends over time (essential for post-COVID evolution). All use secondary/public data, ensur</w:t>
      </w:r>
      <w:r w:rsidR="001E4A88" w:rsidRPr="00FE7B7F">
        <w:rPr>
          <w:rFonts w:ascii="Arial" w:hAnsi="Arial" w:cs="Arial"/>
          <w:bCs/>
        </w:rPr>
        <w:t>ing feasibility in three months</w:t>
      </w:r>
      <w:r w:rsidR="0005226B" w:rsidRPr="00FE7B7F">
        <w:rPr>
          <w:rFonts w:ascii="Arial" w:hAnsi="Arial" w:cs="Arial"/>
          <w:bCs/>
        </w:rPr>
        <w:t>.</w:t>
      </w:r>
    </w:p>
    <w:p w:rsidR="00A64D5A" w:rsidRPr="00FE7B7F" w:rsidRDefault="002C1938" w:rsidP="00DB7AFC">
      <w:pPr>
        <w:pStyle w:val="Heading3"/>
      </w:pPr>
      <w:bookmarkStart w:id="6" w:name="_Toc216114664"/>
      <w:r w:rsidRPr="00FE7B7F">
        <w:t>Phase 1: Systematic</w:t>
      </w:r>
      <w:r w:rsidR="00704842" w:rsidRPr="00FE7B7F">
        <w:t xml:space="preserve"> Literature Review (January 2026</w:t>
      </w:r>
      <w:r w:rsidRPr="00FE7B7F">
        <w:t>)</w:t>
      </w:r>
      <w:bookmarkEnd w:id="6"/>
      <w:r w:rsidR="0005226B" w:rsidRPr="00FE7B7F">
        <w:t xml:space="preserve"> </w:t>
      </w:r>
    </w:p>
    <w:p w:rsidR="0005226B" w:rsidRPr="00FE7B7F" w:rsidRDefault="0005226B" w:rsidP="00DB7AFC">
      <w:pPr>
        <w:pStyle w:val="ListParagraph"/>
        <w:numPr>
          <w:ilvl w:val="0"/>
          <w:numId w:val="44"/>
        </w:numPr>
        <w:rPr>
          <w:rFonts w:ascii="Arial" w:hAnsi="Arial" w:cs="Arial"/>
        </w:rPr>
      </w:pPr>
      <w:r w:rsidRPr="00FE7B7F">
        <w:rPr>
          <w:rFonts w:ascii="Arial" w:hAnsi="Arial" w:cs="Arial"/>
          <w:b/>
          <w:bCs/>
        </w:rPr>
        <w:t>Reason:</w:t>
      </w:r>
      <w:r w:rsidRPr="00FE7B7F">
        <w:rPr>
          <w:rFonts w:ascii="Arial" w:hAnsi="Arial" w:cs="Arial"/>
        </w:rPr>
        <w:t xml:space="preserve"> SLR systematically synthesizes evidence on resilience factors, avoiding bias in generalized arguments (PRISMA, 2020).</w:t>
      </w:r>
    </w:p>
    <w:p w:rsidR="0005226B" w:rsidRPr="00FE7B7F" w:rsidRDefault="0005226B" w:rsidP="00DB7AFC">
      <w:pPr>
        <w:pStyle w:val="ListParagraph"/>
        <w:numPr>
          <w:ilvl w:val="0"/>
          <w:numId w:val="44"/>
        </w:numPr>
        <w:rPr>
          <w:rFonts w:ascii="Arial" w:hAnsi="Arial" w:cs="Arial"/>
        </w:rPr>
      </w:pPr>
      <w:r w:rsidRPr="00FE7B7F">
        <w:rPr>
          <w:rFonts w:ascii="Arial" w:hAnsi="Arial" w:cs="Arial"/>
        </w:rPr>
        <w:t>Search Scopus/Web of Science for "airline delays" AND ("resilience" OR "cancellations") post-2015 (80+ sources).</w:t>
      </w:r>
    </w:p>
    <w:p w:rsidR="0005226B" w:rsidRPr="00FE7B7F" w:rsidRDefault="0005226B" w:rsidP="00DB7AFC">
      <w:pPr>
        <w:pStyle w:val="ListParagraph"/>
        <w:numPr>
          <w:ilvl w:val="0"/>
          <w:numId w:val="44"/>
        </w:numPr>
        <w:rPr>
          <w:rFonts w:ascii="Arial" w:hAnsi="Arial" w:cs="Arial"/>
        </w:rPr>
      </w:pPr>
      <w:r w:rsidRPr="00FE7B7F">
        <w:rPr>
          <w:rFonts w:ascii="Arial" w:hAnsi="Arial" w:cs="Arial"/>
        </w:rPr>
        <w:t>Inclusion: Peer-reviewed, aviation-focused; exclusion: Non-English, pre-2021.</w:t>
      </w:r>
    </w:p>
    <w:p w:rsidR="0005226B" w:rsidRPr="00FE7B7F" w:rsidRDefault="0005226B" w:rsidP="00DB7AFC">
      <w:pPr>
        <w:pStyle w:val="ListParagraph"/>
        <w:numPr>
          <w:ilvl w:val="0"/>
          <w:numId w:val="44"/>
        </w:numPr>
        <w:rPr>
          <w:rFonts w:ascii="Arial" w:hAnsi="Arial" w:cs="Arial"/>
        </w:rPr>
      </w:pPr>
      <w:r w:rsidRPr="00FE7B7F">
        <w:rPr>
          <w:rFonts w:ascii="Arial" w:hAnsi="Arial" w:cs="Arial"/>
        </w:rPr>
        <w:t>Analysis: Thematic coding in NVivo for factors (e.g., ATC 30%, crew 20%).</w:t>
      </w:r>
    </w:p>
    <w:p w:rsidR="002C1938" w:rsidRPr="00FE7B7F" w:rsidRDefault="002C1938" w:rsidP="00DB7AFC">
      <w:pPr>
        <w:pStyle w:val="Heading3"/>
      </w:pPr>
      <w:bookmarkStart w:id="7" w:name="_Toc216114665"/>
      <w:r w:rsidRPr="00FE7B7F">
        <w:t>Phase 2: Longitudinal Sec</w:t>
      </w:r>
      <w:r w:rsidR="00704842" w:rsidRPr="00FE7B7F">
        <w:t>ondary Data Analysis (February 2026</w:t>
      </w:r>
      <w:r w:rsidRPr="00FE7B7F">
        <w:t>)</w:t>
      </w:r>
      <w:bookmarkEnd w:id="7"/>
    </w:p>
    <w:p w:rsidR="002C1938" w:rsidRPr="00FE7B7F" w:rsidRDefault="002C1938" w:rsidP="00DB7AFC">
      <w:pPr>
        <w:pStyle w:val="ListParagraph"/>
        <w:numPr>
          <w:ilvl w:val="0"/>
          <w:numId w:val="45"/>
        </w:numPr>
        <w:rPr>
          <w:rFonts w:ascii="Arial" w:hAnsi="Arial" w:cs="Arial"/>
        </w:rPr>
      </w:pPr>
      <w:r w:rsidRPr="00FE7B7F">
        <w:rPr>
          <w:rFonts w:ascii="Arial" w:hAnsi="Arial" w:cs="Arial"/>
          <w:b/>
        </w:rPr>
        <w:t>Reason:</w:t>
      </w:r>
      <w:r w:rsidRPr="00FE7B7F">
        <w:rPr>
          <w:rFonts w:ascii="Arial" w:hAnsi="Arial" w:cs="Arial"/>
        </w:rPr>
        <w:t xml:space="preserve"> Longitudinal design tracks factor changes over time (2021–2025), addressing the gap in static studies; reveals post-COVID shifts (e.g., crew disputes rising from 10% in 2021 to 25% in 2025).</w:t>
      </w:r>
    </w:p>
    <w:p w:rsidR="002C1938" w:rsidRPr="00FE7B7F" w:rsidRDefault="002C1938" w:rsidP="00DB7AFC">
      <w:pPr>
        <w:pStyle w:val="ListParagraph"/>
        <w:numPr>
          <w:ilvl w:val="0"/>
          <w:numId w:val="45"/>
        </w:numPr>
        <w:rPr>
          <w:rFonts w:ascii="Arial" w:hAnsi="Arial" w:cs="Arial"/>
        </w:rPr>
      </w:pPr>
      <w:r w:rsidRPr="00FE7B7F">
        <w:rPr>
          <w:rFonts w:ascii="Arial" w:hAnsi="Arial" w:cs="Arial"/>
        </w:rPr>
        <w:t>Data: CAA punctuality stats, Eurocontrol DDR2, OAG schedules, BA reports (monthly delays/cancellations).</w:t>
      </w:r>
    </w:p>
    <w:p w:rsidR="002C1938" w:rsidRPr="00FE7B7F" w:rsidRDefault="002C1938" w:rsidP="00DB7AFC">
      <w:pPr>
        <w:pStyle w:val="ListParagraph"/>
        <w:numPr>
          <w:ilvl w:val="0"/>
          <w:numId w:val="45"/>
        </w:numPr>
        <w:rPr>
          <w:rFonts w:ascii="Arial" w:hAnsi="Arial" w:cs="Arial"/>
        </w:rPr>
      </w:pPr>
      <w:r w:rsidRPr="00FE7B7F">
        <w:rPr>
          <w:rFonts w:ascii="Arial" w:hAnsi="Arial" w:cs="Arial"/>
        </w:rPr>
        <w:t>Analysis: Time-series regression in R/Excel to quantify factor contributions (e.g., ATC impact: 25% variance in OTP). Benchmark vs. peers.</w:t>
      </w:r>
    </w:p>
    <w:p w:rsidR="002C1938" w:rsidRPr="00FE7B7F" w:rsidRDefault="002C1938" w:rsidP="00DB7AFC">
      <w:pPr>
        <w:pStyle w:val="Heading3"/>
      </w:pPr>
      <w:bookmarkStart w:id="8" w:name="_Toc216114666"/>
      <w:r w:rsidRPr="00FE7B7F">
        <w:t>Phase 3: Discrete-Even</w:t>
      </w:r>
      <w:r w:rsidR="00704842" w:rsidRPr="00FE7B7F">
        <w:t>t Simulation (February–March 2026</w:t>
      </w:r>
      <w:r w:rsidRPr="00FE7B7F">
        <w:t>)</w:t>
      </w:r>
      <w:bookmarkEnd w:id="8"/>
    </w:p>
    <w:p w:rsidR="002C1938" w:rsidRPr="00FE7B7F" w:rsidRDefault="002C1938" w:rsidP="00DB7AFC">
      <w:pPr>
        <w:pStyle w:val="ListParagraph"/>
        <w:numPr>
          <w:ilvl w:val="0"/>
          <w:numId w:val="46"/>
        </w:numPr>
        <w:rPr>
          <w:rFonts w:ascii="Arial" w:hAnsi="Arial" w:cs="Arial"/>
        </w:rPr>
      </w:pPr>
      <w:r w:rsidRPr="00FE7B7F">
        <w:rPr>
          <w:rFonts w:ascii="Arial" w:hAnsi="Arial" w:cs="Arial"/>
          <w:b/>
        </w:rPr>
        <w:t>Reason:</w:t>
      </w:r>
      <w:r w:rsidRPr="00FE7B7F">
        <w:rPr>
          <w:rFonts w:ascii="Arial" w:hAnsi="Arial" w:cs="Arial"/>
        </w:rPr>
        <w:t xml:space="preserve"> DES models dynamic interactions (e.g., crew delay cascading via rotations), testing interventions virtually—ideal for high-stakes aviation where real experiments are impractical.</w:t>
      </w:r>
    </w:p>
    <w:p w:rsidR="002C1938" w:rsidRPr="00FE7B7F" w:rsidRDefault="002C1938" w:rsidP="00DB7AFC">
      <w:pPr>
        <w:pStyle w:val="ListParagraph"/>
        <w:numPr>
          <w:ilvl w:val="0"/>
          <w:numId w:val="46"/>
        </w:numPr>
        <w:rPr>
          <w:rFonts w:ascii="Arial" w:hAnsi="Arial" w:cs="Arial"/>
        </w:rPr>
      </w:pPr>
      <w:r w:rsidRPr="00FE7B7F">
        <w:rPr>
          <w:rFonts w:ascii="Arial" w:hAnsi="Arial" w:cs="Arial"/>
        </w:rPr>
        <w:t>Software: AnyLogic (student license).</w:t>
      </w:r>
    </w:p>
    <w:p w:rsidR="002C1938" w:rsidRPr="00FE7B7F" w:rsidRDefault="002C1938" w:rsidP="00DB7AFC">
      <w:pPr>
        <w:pStyle w:val="ListParagraph"/>
        <w:numPr>
          <w:ilvl w:val="0"/>
          <w:numId w:val="46"/>
        </w:numPr>
        <w:rPr>
          <w:rFonts w:ascii="Arial" w:hAnsi="Arial" w:cs="Arial"/>
        </w:rPr>
      </w:pPr>
      <w:r w:rsidRPr="00FE7B7F">
        <w:rPr>
          <w:rFonts w:ascii="Arial" w:hAnsi="Arial" w:cs="Arial"/>
        </w:rPr>
        <w:t>Model: Heathrow T5 short-haul operations (100 daily flights), entities (aircraft, crew, stands), parameters from Phase 2 (e.g., 45-min ground time).</w:t>
      </w:r>
    </w:p>
    <w:p w:rsidR="002C1938" w:rsidRPr="00FE7B7F" w:rsidRDefault="002C1938" w:rsidP="00DB7AFC">
      <w:pPr>
        <w:pStyle w:val="ListParagraph"/>
        <w:numPr>
          <w:ilvl w:val="0"/>
          <w:numId w:val="46"/>
        </w:numPr>
        <w:rPr>
          <w:rFonts w:ascii="Arial" w:hAnsi="Arial" w:cs="Arial"/>
        </w:rPr>
      </w:pPr>
      <w:r w:rsidRPr="00FE7B7F">
        <w:rPr>
          <w:rFonts w:ascii="Arial" w:hAnsi="Arial" w:cs="Arial"/>
        </w:rPr>
        <w:t>Scenarios: 12 interventions (e.g., +15% crew reserves); metrics: OTP, cancellations.</w:t>
      </w:r>
    </w:p>
    <w:p w:rsidR="002C1938" w:rsidRPr="00FE7B7F" w:rsidRDefault="002C1938" w:rsidP="00DB7AFC">
      <w:pPr>
        <w:pStyle w:val="ListParagraph"/>
        <w:numPr>
          <w:ilvl w:val="0"/>
          <w:numId w:val="46"/>
        </w:numPr>
        <w:rPr>
          <w:rFonts w:ascii="Arial" w:hAnsi="Arial" w:cs="Arial"/>
        </w:rPr>
      </w:pPr>
      <w:r w:rsidRPr="00FE7B7F">
        <w:rPr>
          <w:rFonts w:ascii="Arial" w:hAnsi="Arial" w:cs="Arial"/>
        </w:rPr>
        <w:t>Validation: Calibrate against 2025 data (e.g., simulate July 2025 disruptions).</w:t>
      </w:r>
    </w:p>
    <w:p w:rsidR="002C1938" w:rsidRPr="00FE7B7F" w:rsidRDefault="00382272" w:rsidP="00DB7AFC">
      <w:pPr>
        <w:pStyle w:val="Heading3"/>
      </w:pPr>
      <w:bookmarkStart w:id="9" w:name="_Toc216114667"/>
      <w:r w:rsidRPr="00FE7B7F">
        <w:t>Ethical Considerations</w:t>
      </w:r>
      <w:bookmarkEnd w:id="9"/>
    </w:p>
    <w:p w:rsidR="00276F03" w:rsidRPr="00FE7B7F" w:rsidRDefault="002C1938" w:rsidP="00DB7AFC">
      <w:pPr>
        <w:spacing w:line="360" w:lineRule="auto"/>
        <w:rPr>
          <w:rFonts w:ascii="Arial" w:hAnsi="Arial" w:cs="Arial"/>
        </w:rPr>
      </w:pPr>
      <w:r w:rsidRPr="00FE7B7F">
        <w:rPr>
          <w:rFonts w:ascii="Arial" w:hAnsi="Arial" w:cs="Arial"/>
        </w:rPr>
        <w:t>Using secondary/public data eliminates participant ri</w:t>
      </w:r>
      <w:r w:rsidR="00A64D5A" w:rsidRPr="00FE7B7F">
        <w:rPr>
          <w:rFonts w:ascii="Arial" w:hAnsi="Arial" w:cs="Arial"/>
        </w:rPr>
        <w:t>sks. Adhere to GDPR for anonymis</w:t>
      </w:r>
      <w:r w:rsidRPr="00FE7B7F">
        <w:rPr>
          <w:rFonts w:ascii="Arial" w:hAnsi="Arial" w:cs="Arial"/>
        </w:rPr>
        <w:t xml:space="preserve">ed datasets; pre-register protocol on OSF for transparency. No commercial sensitivity issues </w:t>
      </w:r>
      <w:r w:rsidR="00A64D5A" w:rsidRPr="00FE7B7F">
        <w:rPr>
          <w:rFonts w:ascii="Arial" w:hAnsi="Arial" w:cs="Arial"/>
        </w:rPr>
        <w:t>as recommendations are generalizable</w:t>
      </w:r>
      <w:r w:rsidRPr="00FE7B7F">
        <w:rPr>
          <w:rFonts w:ascii="Arial" w:hAnsi="Arial" w:cs="Arial"/>
        </w:rPr>
        <w:t>.</w:t>
      </w:r>
    </w:p>
    <w:p w:rsidR="00880ACE" w:rsidRPr="00FE7B7F" w:rsidRDefault="00880ACE" w:rsidP="00DB7AFC">
      <w:pPr>
        <w:pStyle w:val="Heading2"/>
        <w:rPr>
          <w:rFonts w:cs="Arial"/>
          <w:sz w:val="27"/>
          <w:szCs w:val="27"/>
        </w:rPr>
      </w:pPr>
      <w:bookmarkStart w:id="10" w:name="_Toc216114668"/>
      <w:r w:rsidRPr="00FE7B7F">
        <w:rPr>
          <w:rFonts w:cs="Arial"/>
        </w:rPr>
        <w:t>Discussion and Practical Implications</w:t>
      </w:r>
      <w:bookmarkEnd w:id="10"/>
    </w:p>
    <w:p w:rsidR="00880ACE" w:rsidRPr="00FE7B7F" w:rsidRDefault="00880ACE" w:rsidP="00F73701">
      <w:pPr>
        <w:spacing w:before="100" w:beforeAutospacing="1" w:after="100" w:afterAutospacing="1" w:line="360" w:lineRule="auto"/>
        <w:rPr>
          <w:rFonts w:ascii="Arial" w:eastAsia="Times New Roman" w:hAnsi="Arial" w:cs="Arial"/>
          <w:b/>
          <w:sz w:val="24"/>
          <w:szCs w:val="24"/>
          <w:lang w:eastAsia="en-GB"/>
        </w:rPr>
      </w:pPr>
      <w:r w:rsidRPr="00FE7B7F">
        <w:rPr>
          <w:rFonts w:ascii="Arial" w:eastAsia="Times New Roman" w:hAnsi="Arial" w:cs="Arial"/>
          <w:b/>
          <w:sz w:val="24"/>
          <w:szCs w:val="24"/>
          <w:lang w:eastAsia="en-GB"/>
        </w:rPr>
        <w:t>The research will produce:</w:t>
      </w:r>
    </w:p>
    <w:p w:rsidR="00880ACE" w:rsidRPr="00FE7B7F" w:rsidRDefault="008E0086" w:rsidP="00DB7AFC">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 xml:space="preserve">Key factors: </w:t>
      </w:r>
      <w:r w:rsidR="007E7C33" w:rsidRPr="00FE7B7F">
        <w:rPr>
          <w:rFonts w:ascii="Arial" w:eastAsia="Times New Roman" w:hAnsi="Arial" w:cs="Arial"/>
          <w:lang w:eastAsia="en-GB"/>
        </w:rPr>
        <w:t>ATC (e.g., NATS staffing), crew (disputes/post-Brexit), weather, technica</w:t>
      </w:r>
      <w:r w:rsidRPr="00FE7B7F">
        <w:rPr>
          <w:rFonts w:ascii="Arial" w:eastAsia="Times New Roman" w:hAnsi="Arial" w:cs="Arial"/>
          <w:lang w:eastAsia="en-GB"/>
        </w:rPr>
        <w:t xml:space="preserve">l, Heathrow slots, GNSS jamming </w:t>
      </w:r>
      <w:r w:rsidR="007E7C33" w:rsidRPr="00FE7B7F">
        <w:rPr>
          <w:rFonts w:ascii="Arial" w:eastAsia="Times New Roman" w:hAnsi="Arial" w:cs="Arial"/>
          <w:lang w:eastAsia="en-GB"/>
        </w:rPr>
        <w:t xml:space="preserve">erode resilience by creating feedback loops (e.g., one delayed flight affects 5–10 others). Longitudinal trends show crew factors rising 15% post-2022, jamming emerging in 2025 (Telegraph, 2025). Implications: £150–£250 million annual </w:t>
      </w:r>
      <w:r w:rsidR="007E7C33" w:rsidRPr="00FE7B7F">
        <w:rPr>
          <w:rFonts w:ascii="Arial" w:eastAsia="Times New Roman" w:hAnsi="Arial" w:cs="Arial"/>
          <w:lang w:eastAsia="en-GB"/>
        </w:rPr>
        <w:lastRenderedPageBreak/>
        <w:t>savings via 10–15% OTP uplift. Framework shifts BA to proactive resilience, replicable for peers.</w:t>
      </w:r>
    </w:p>
    <w:p w:rsidR="00880ACE" w:rsidRPr="00FE7B7F" w:rsidRDefault="00880ACE" w:rsidP="00DB7AFC">
      <w:pPr>
        <w:pStyle w:val="Heading3"/>
      </w:pPr>
      <w:bookmarkStart w:id="11" w:name="_Toc216114669"/>
      <w:r w:rsidRPr="00FE7B7F">
        <w:t>Practical Implications for British Airways</w:t>
      </w:r>
      <w:bookmarkEnd w:id="11"/>
    </w:p>
    <w:p w:rsidR="00880ACE" w:rsidRPr="00FE7B7F" w:rsidRDefault="00880ACE" w:rsidP="00F73701">
      <w:pPr>
        <w:numPr>
          <w:ilvl w:val="0"/>
          <w:numId w:val="10"/>
        </w:num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Expected improvement: 10–15 percentage point increase in on-time performance and reduction of cancellation rate from 2.8% to below 1.5% by 2028.</w:t>
      </w:r>
    </w:p>
    <w:p w:rsidR="00880ACE" w:rsidRPr="00FE7B7F" w:rsidRDefault="00880ACE" w:rsidP="00F73701">
      <w:pPr>
        <w:numPr>
          <w:ilvl w:val="0"/>
          <w:numId w:val="10"/>
        </w:num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Annual financial benefit estimated at £150–£250 million through reduced compensation, fuel burn, and lost revenue.</w:t>
      </w:r>
    </w:p>
    <w:p w:rsidR="00880ACE" w:rsidRPr="00FE7B7F" w:rsidRDefault="00880ACE" w:rsidP="00F73701">
      <w:pPr>
        <w:numPr>
          <w:ilvl w:val="0"/>
          <w:numId w:val="10"/>
        </w:num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Cultural shift from reactive “recovery” to proactive “resilience management”.</w:t>
      </w:r>
    </w:p>
    <w:p w:rsidR="00880ACE" w:rsidRPr="00FE7B7F" w:rsidRDefault="00880ACE" w:rsidP="00DB7AFC">
      <w:pPr>
        <w:pStyle w:val="Heading2"/>
        <w:rPr>
          <w:rFonts w:cs="Arial"/>
        </w:rPr>
      </w:pPr>
      <w:bookmarkStart w:id="12" w:name="_Toc216114670"/>
      <w:r w:rsidRPr="00FE7B7F">
        <w:rPr>
          <w:rFonts w:cs="Arial"/>
        </w:rPr>
        <w:t>Contribution to Management Practice</w:t>
      </w:r>
      <w:bookmarkEnd w:id="12"/>
    </w:p>
    <w:p w:rsidR="00880ACE" w:rsidRPr="00FE7B7F" w:rsidRDefault="00880ACE" w:rsidP="00F73701">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 xml:space="preserve">The framework will be the first to </w:t>
      </w:r>
      <w:r w:rsidR="00A64D5A" w:rsidRPr="00FE7B7F">
        <w:rPr>
          <w:rFonts w:ascii="Arial" w:eastAsia="Times New Roman" w:hAnsi="Arial" w:cs="Arial"/>
          <w:lang w:eastAsia="en-GB"/>
        </w:rPr>
        <w:t>operationalize</w:t>
      </w:r>
      <w:r w:rsidRPr="00FE7B7F">
        <w:rPr>
          <w:rFonts w:ascii="Arial" w:eastAsia="Times New Roman" w:hAnsi="Arial" w:cs="Arial"/>
          <w:lang w:eastAsia="en-GB"/>
        </w:rPr>
        <w:t xml:space="preserve"> Resilience Engineering within a commercial airline IOCC, offering a replicable methodology for other network carriers (Lufthansa, Air France-KLM, Delta). It directly supports the CAA’s 2025–2030 Aviation Resilience Strategy and provides evidence for Ofwat-style performance commitments in aviation regulation.</w:t>
      </w:r>
    </w:p>
    <w:p w:rsidR="008E0086" w:rsidRPr="00FE7B7F" w:rsidRDefault="008E0086" w:rsidP="00DB7AFC">
      <w:pPr>
        <w:pStyle w:val="Heading2"/>
        <w:rPr>
          <w:rFonts w:cs="Arial"/>
        </w:rPr>
      </w:pPr>
      <w:bookmarkStart w:id="13" w:name="_Toc216114671"/>
      <w:r w:rsidRPr="00FE7B7F">
        <w:rPr>
          <w:rFonts w:cs="Arial"/>
        </w:rPr>
        <w:t>Action Plan (January – April 2026)</w:t>
      </w:r>
      <w:bookmarkEnd w:id="13"/>
    </w:p>
    <w:tbl>
      <w:tblPr>
        <w:tblStyle w:val="LightShading-Accent5"/>
        <w:tblW w:w="0" w:type="auto"/>
        <w:tblLook w:val="04A0" w:firstRow="1" w:lastRow="0" w:firstColumn="1" w:lastColumn="0" w:noHBand="0" w:noVBand="1"/>
      </w:tblPr>
      <w:tblGrid>
        <w:gridCol w:w="859"/>
        <w:gridCol w:w="1521"/>
        <w:gridCol w:w="6862"/>
      </w:tblGrid>
      <w:tr w:rsidR="008E0086" w:rsidRPr="00FE7B7F" w:rsidTr="008E008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8E0086" w:rsidRPr="00FE7B7F" w:rsidRDefault="008E0086" w:rsidP="008E0086">
            <w:pPr>
              <w:jc w:val="center"/>
              <w:rPr>
                <w:rFonts w:ascii="Arial" w:eastAsia="Times New Roman" w:hAnsi="Arial" w:cs="Arial"/>
                <w:color w:val="000000" w:themeColor="text1"/>
                <w:sz w:val="24"/>
                <w:szCs w:val="24"/>
                <w:lang w:eastAsia="en-GB"/>
              </w:rPr>
            </w:pPr>
            <w:r w:rsidRPr="00FE7B7F">
              <w:rPr>
                <w:rFonts w:ascii="Arial" w:eastAsia="Times New Roman" w:hAnsi="Arial" w:cs="Arial"/>
                <w:color w:val="000000" w:themeColor="text1"/>
                <w:sz w:val="24"/>
                <w:szCs w:val="24"/>
                <w:lang w:eastAsia="en-GB"/>
              </w:rPr>
              <w:t>Week</w:t>
            </w:r>
          </w:p>
        </w:tc>
        <w:tc>
          <w:tcPr>
            <w:tcW w:w="0" w:type="auto"/>
            <w:hideMark/>
          </w:tcPr>
          <w:p w:rsidR="008E0086" w:rsidRPr="00FE7B7F" w:rsidRDefault="008E0086" w:rsidP="008E0086">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eastAsia="en-GB"/>
              </w:rPr>
            </w:pPr>
            <w:r w:rsidRPr="00FE7B7F">
              <w:rPr>
                <w:rFonts w:ascii="Arial" w:eastAsia="Times New Roman" w:hAnsi="Arial" w:cs="Arial"/>
                <w:color w:val="000000" w:themeColor="text1"/>
                <w:sz w:val="24"/>
                <w:szCs w:val="24"/>
                <w:lang w:eastAsia="en-GB"/>
              </w:rPr>
              <w:t>Dates (2026)</w:t>
            </w:r>
          </w:p>
        </w:tc>
        <w:tc>
          <w:tcPr>
            <w:tcW w:w="0" w:type="auto"/>
            <w:hideMark/>
          </w:tcPr>
          <w:p w:rsidR="008E0086" w:rsidRPr="00FE7B7F" w:rsidRDefault="008E0086" w:rsidP="008E0086">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eastAsia="en-GB"/>
              </w:rPr>
            </w:pPr>
            <w:r w:rsidRPr="00FE7B7F">
              <w:rPr>
                <w:rFonts w:ascii="Arial" w:eastAsia="Times New Roman" w:hAnsi="Arial" w:cs="Arial"/>
                <w:color w:val="000000" w:themeColor="text1"/>
                <w:sz w:val="24"/>
                <w:szCs w:val="24"/>
                <w:lang w:eastAsia="en-GB"/>
              </w:rPr>
              <w:t>Key Activities</w:t>
            </w:r>
          </w:p>
        </w:tc>
      </w:tr>
      <w:tr w:rsidR="008E0086" w:rsidRPr="00FE7B7F" w:rsidTr="008E00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8E0086" w:rsidRPr="00FE7B7F" w:rsidRDefault="008E0086" w:rsidP="008E0086">
            <w:pPr>
              <w:rPr>
                <w:rFonts w:ascii="Arial" w:eastAsia="Times New Roman" w:hAnsi="Arial" w:cs="Arial"/>
                <w:color w:val="000000" w:themeColor="text1"/>
                <w:sz w:val="24"/>
                <w:szCs w:val="24"/>
                <w:lang w:eastAsia="en-GB"/>
              </w:rPr>
            </w:pPr>
            <w:r w:rsidRPr="00FE7B7F">
              <w:rPr>
                <w:rFonts w:ascii="Arial" w:eastAsia="Times New Roman" w:hAnsi="Arial" w:cs="Arial"/>
                <w:color w:val="000000" w:themeColor="text1"/>
                <w:sz w:val="24"/>
                <w:szCs w:val="24"/>
                <w:lang w:eastAsia="en-GB"/>
              </w:rPr>
              <w:t>1–2</w:t>
            </w:r>
          </w:p>
        </w:tc>
        <w:tc>
          <w:tcPr>
            <w:tcW w:w="0" w:type="auto"/>
            <w:hideMark/>
          </w:tcPr>
          <w:p w:rsidR="008E0086" w:rsidRPr="00FE7B7F" w:rsidRDefault="008E0086" w:rsidP="008E008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lang w:eastAsia="en-GB"/>
              </w:rPr>
            </w:pPr>
            <w:r w:rsidRPr="00FE7B7F">
              <w:rPr>
                <w:rFonts w:ascii="Arial" w:eastAsia="Times New Roman" w:hAnsi="Arial" w:cs="Arial"/>
                <w:color w:val="000000" w:themeColor="text1"/>
                <w:sz w:val="24"/>
                <w:szCs w:val="24"/>
                <w:lang w:eastAsia="en-GB"/>
              </w:rPr>
              <w:t>5–18 January</w:t>
            </w:r>
          </w:p>
        </w:tc>
        <w:tc>
          <w:tcPr>
            <w:tcW w:w="0" w:type="auto"/>
            <w:hideMark/>
          </w:tcPr>
          <w:p w:rsidR="008E0086" w:rsidRPr="00FE7B7F" w:rsidRDefault="008E0086" w:rsidP="008E008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lang w:eastAsia="en-GB"/>
              </w:rPr>
            </w:pPr>
            <w:r w:rsidRPr="00FE7B7F">
              <w:rPr>
                <w:rFonts w:ascii="Arial" w:eastAsia="Times New Roman" w:hAnsi="Arial" w:cs="Arial"/>
                <w:color w:val="000000" w:themeColor="text1"/>
                <w:sz w:val="24"/>
                <w:szCs w:val="24"/>
                <w:lang w:eastAsia="en-GB"/>
              </w:rPr>
              <w:t>Final ethics submission (fast-track secondary-data only); confirm data access; complete systematic review screening (80+ sources)</w:t>
            </w:r>
          </w:p>
        </w:tc>
      </w:tr>
      <w:tr w:rsidR="008E0086" w:rsidRPr="00FE7B7F" w:rsidTr="008E0086">
        <w:tc>
          <w:tcPr>
            <w:cnfStyle w:val="001000000000" w:firstRow="0" w:lastRow="0" w:firstColumn="1" w:lastColumn="0" w:oddVBand="0" w:evenVBand="0" w:oddHBand="0" w:evenHBand="0" w:firstRowFirstColumn="0" w:firstRowLastColumn="0" w:lastRowFirstColumn="0" w:lastRowLastColumn="0"/>
            <w:tcW w:w="0" w:type="auto"/>
            <w:hideMark/>
          </w:tcPr>
          <w:p w:rsidR="008E0086" w:rsidRPr="00FE7B7F" w:rsidRDefault="008E0086" w:rsidP="008E0086">
            <w:pPr>
              <w:rPr>
                <w:rFonts w:ascii="Arial" w:eastAsia="Times New Roman" w:hAnsi="Arial" w:cs="Arial"/>
                <w:color w:val="000000" w:themeColor="text1"/>
                <w:sz w:val="24"/>
                <w:szCs w:val="24"/>
                <w:lang w:eastAsia="en-GB"/>
              </w:rPr>
            </w:pPr>
            <w:r w:rsidRPr="00FE7B7F">
              <w:rPr>
                <w:rFonts w:ascii="Arial" w:eastAsia="Times New Roman" w:hAnsi="Arial" w:cs="Arial"/>
                <w:color w:val="000000" w:themeColor="text1"/>
                <w:sz w:val="24"/>
                <w:szCs w:val="24"/>
                <w:lang w:eastAsia="en-GB"/>
              </w:rPr>
              <w:t>3–4</w:t>
            </w:r>
          </w:p>
        </w:tc>
        <w:tc>
          <w:tcPr>
            <w:tcW w:w="0" w:type="auto"/>
            <w:hideMark/>
          </w:tcPr>
          <w:p w:rsidR="008E0086" w:rsidRPr="00FE7B7F" w:rsidRDefault="008E0086" w:rsidP="008E008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eastAsia="en-GB"/>
              </w:rPr>
            </w:pPr>
            <w:r w:rsidRPr="00FE7B7F">
              <w:rPr>
                <w:rFonts w:ascii="Arial" w:eastAsia="Times New Roman" w:hAnsi="Arial" w:cs="Arial"/>
                <w:color w:val="000000" w:themeColor="text1"/>
                <w:sz w:val="24"/>
                <w:szCs w:val="24"/>
                <w:lang w:eastAsia="en-GB"/>
              </w:rPr>
              <w:t>19 Jan – 1 Feb</w:t>
            </w:r>
          </w:p>
        </w:tc>
        <w:tc>
          <w:tcPr>
            <w:tcW w:w="0" w:type="auto"/>
            <w:hideMark/>
          </w:tcPr>
          <w:p w:rsidR="008E0086" w:rsidRPr="00FE7B7F" w:rsidRDefault="008E0086" w:rsidP="008E008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eastAsia="en-GB"/>
              </w:rPr>
            </w:pPr>
            <w:r w:rsidRPr="00FE7B7F">
              <w:rPr>
                <w:rFonts w:ascii="Arial" w:eastAsia="Times New Roman" w:hAnsi="Arial" w:cs="Arial"/>
                <w:color w:val="000000" w:themeColor="text1"/>
                <w:sz w:val="24"/>
                <w:szCs w:val="24"/>
                <w:lang w:eastAsia="en-GB"/>
              </w:rPr>
              <w:t>Full systematic review synthesis and thematic coding; begin extracting and cleaning 5-year punctuality datasets (CAA, Eurocontrol, OAG)</w:t>
            </w:r>
          </w:p>
        </w:tc>
      </w:tr>
      <w:tr w:rsidR="008E0086" w:rsidRPr="00FE7B7F" w:rsidTr="008E00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8E0086" w:rsidRPr="00FE7B7F" w:rsidRDefault="008E0086" w:rsidP="008E0086">
            <w:pPr>
              <w:rPr>
                <w:rFonts w:ascii="Arial" w:eastAsia="Times New Roman" w:hAnsi="Arial" w:cs="Arial"/>
                <w:color w:val="000000" w:themeColor="text1"/>
                <w:sz w:val="24"/>
                <w:szCs w:val="24"/>
                <w:lang w:eastAsia="en-GB"/>
              </w:rPr>
            </w:pPr>
            <w:r w:rsidRPr="00FE7B7F">
              <w:rPr>
                <w:rFonts w:ascii="Arial" w:eastAsia="Times New Roman" w:hAnsi="Arial" w:cs="Arial"/>
                <w:color w:val="000000" w:themeColor="text1"/>
                <w:sz w:val="24"/>
                <w:szCs w:val="24"/>
                <w:lang w:eastAsia="en-GB"/>
              </w:rPr>
              <w:t>5–6</w:t>
            </w:r>
          </w:p>
        </w:tc>
        <w:tc>
          <w:tcPr>
            <w:tcW w:w="0" w:type="auto"/>
            <w:hideMark/>
          </w:tcPr>
          <w:p w:rsidR="008E0086" w:rsidRPr="00FE7B7F" w:rsidRDefault="008E0086" w:rsidP="008E008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lang w:eastAsia="en-GB"/>
              </w:rPr>
            </w:pPr>
            <w:r w:rsidRPr="00FE7B7F">
              <w:rPr>
                <w:rFonts w:ascii="Arial" w:eastAsia="Times New Roman" w:hAnsi="Arial" w:cs="Arial"/>
                <w:color w:val="000000" w:themeColor="text1"/>
                <w:sz w:val="24"/>
                <w:szCs w:val="24"/>
                <w:lang w:eastAsia="en-GB"/>
              </w:rPr>
              <w:t>2–15 February</w:t>
            </w:r>
          </w:p>
        </w:tc>
        <w:tc>
          <w:tcPr>
            <w:tcW w:w="0" w:type="auto"/>
            <w:hideMark/>
          </w:tcPr>
          <w:p w:rsidR="008E0086" w:rsidRPr="00FE7B7F" w:rsidRDefault="008E0086" w:rsidP="008E008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lang w:eastAsia="en-GB"/>
              </w:rPr>
            </w:pPr>
            <w:r w:rsidRPr="00FE7B7F">
              <w:rPr>
                <w:rFonts w:ascii="Arial" w:eastAsia="Times New Roman" w:hAnsi="Arial" w:cs="Arial"/>
                <w:color w:val="000000" w:themeColor="text1"/>
                <w:sz w:val="24"/>
                <w:szCs w:val="24"/>
                <w:lang w:eastAsia="en-GB"/>
              </w:rPr>
              <w:t>Finish dataset preparation; build core discrete-event simulation structure in AnyLogic PLE (Heathrow T5 short-haul base case)</w:t>
            </w:r>
          </w:p>
        </w:tc>
      </w:tr>
      <w:tr w:rsidR="008E0086" w:rsidRPr="00FE7B7F" w:rsidTr="008E0086">
        <w:tc>
          <w:tcPr>
            <w:cnfStyle w:val="001000000000" w:firstRow="0" w:lastRow="0" w:firstColumn="1" w:lastColumn="0" w:oddVBand="0" w:evenVBand="0" w:oddHBand="0" w:evenHBand="0" w:firstRowFirstColumn="0" w:firstRowLastColumn="0" w:lastRowFirstColumn="0" w:lastRowLastColumn="0"/>
            <w:tcW w:w="0" w:type="auto"/>
            <w:hideMark/>
          </w:tcPr>
          <w:p w:rsidR="008E0086" w:rsidRPr="00FE7B7F" w:rsidRDefault="008E0086" w:rsidP="008E0086">
            <w:pPr>
              <w:rPr>
                <w:rFonts w:ascii="Arial" w:eastAsia="Times New Roman" w:hAnsi="Arial" w:cs="Arial"/>
                <w:color w:val="000000" w:themeColor="text1"/>
                <w:sz w:val="24"/>
                <w:szCs w:val="24"/>
                <w:lang w:eastAsia="en-GB"/>
              </w:rPr>
            </w:pPr>
            <w:r w:rsidRPr="00FE7B7F">
              <w:rPr>
                <w:rFonts w:ascii="Arial" w:eastAsia="Times New Roman" w:hAnsi="Arial" w:cs="Arial"/>
                <w:color w:val="000000" w:themeColor="text1"/>
                <w:sz w:val="24"/>
                <w:szCs w:val="24"/>
                <w:lang w:eastAsia="en-GB"/>
              </w:rPr>
              <w:t>7–8</w:t>
            </w:r>
          </w:p>
        </w:tc>
        <w:tc>
          <w:tcPr>
            <w:tcW w:w="0" w:type="auto"/>
            <w:hideMark/>
          </w:tcPr>
          <w:p w:rsidR="008E0086" w:rsidRPr="00FE7B7F" w:rsidRDefault="008E0086" w:rsidP="008E008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eastAsia="en-GB"/>
              </w:rPr>
            </w:pPr>
            <w:r w:rsidRPr="00FE7B7F">
              <w:rPr>
                <w:rFonts w:ascii="Arial" w:eastAsia="Times New Roman" w:hAnsi="Arial" w:cs="Arial"/>
                <w:color w:val="000000" w:themeColor="text1"/>
                <w:sz w:val="24"/>
                <w:szCs w:val="24"/>
                <w:lang w:eastAsia="en-GB"/>
              </w:rPr>
              <w:t>16 Feb – 1 March</w:t>
            </w:r>
          </w:p>
        </w:tc>
        <w:tc>
          <w:tcPr>
            <w:tcW w:w="0" w:type="auto"/>
            <w:hideMark/>
          </w:tcPr>
          <w:p w:rsidR="008E0086" w:rsidRPr="00FE7B7F" w:rsidRDefault="008E0086" w:rsidP="008E008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eastAsia="en-GB"/>
              </w:rPr>
            </w:pPr>
            <w:r w:rsidRPr="00FE7B7F">
              <w:rPr>
                <w:rFonts w:ascii="Arial" w:eastAsia="Times New Roman" w:hAnsi="Arial" w:cs="Arial"/>
                <w:color w:val="000000" w:themeColor="text1"/>
                <w:sz w:val="24"/>
                <w:szCs w:val="24"/>
                <w:lang w:eastAsia="en-GB"/>
              </w:rPr>
              <w:t>Model calibration against real 2025 disruption data; historical validation runs (target ≥95 % accuracy)</w:t>
            </w:r>
          </w:p>
        </w:tc>
      </w:tr>
      <w:tr w:rsidR="008E0086" w:rsidRPr="00FE7B7F" w:rsidTr="008E00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8E0086" w:rsidRPr="00FE7B7F" w:rsidRDefault="008E0086" w:rsidP="008E0086">
            <w:pPr>
              <w:rPr>
                <w:rFonts w:ascii="Arial" w:eastAsia="Times New Roman" w:hAnsi="Arial" w:cs="Arial"/>
                <w:color w:val="000000" w:themeColor="text1"/>
                <w:sz w:val="24"/>
                <w:szCs w:val="24"/>
                <w:lang w:eastAsia="en-GB"/>
              </w:rPr>
            </w:pPr>
            <w:r w:rsidRPr="00FE7B7F">
              <w:rPr>
                <w:rFonts w:ascii="Arial" w:eastAsia="Times New Roman" w:hAnsi="Arial" w:cs="Arial"/>
                <w:color w:val="000000" w:themeColor="text1"/>
                <w:sz w:val="24"/>
                <w:szCs w:val="24"/>
                <w:lang w:eastAsia="en-GB"/>
              </w:rPr>
              <w:t>9–10</w:t>
            </w:r>
          </w:p>
        </w:tc>
        <w:tc>
          <w:tcPr>
            <w:tcW w:w="0" w:type="auto"/>
            <w:hideMark/>
          </w:tcPr>
          <w:p w:rsidR="008E0086" w:rsidRPr="00FE7B7F" w:rsidRDefault="008E0086" w:rsidP="008E008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lang w:eastAsia="en-GB"/>
              </w:rPr>
            </w:pPr>
            <w:r w:rsidRPr="00FE7B7F">
              <w:rPr>
                <w:rFonts w:ascii="Arial" w:eastAsia="Times New Roman" w:hAnsi="Arial" w:cs="Arial"/>
                <w:color w:val="000000" w:themeColor="text1"/>
                <w:sz w:val="24"/>
                <w:szCs w:val="24"/>
                <w:lang w:eastAsia="en-GB"/>
              </w:rPr>
              <w:t>2–15 March</w:t>
            </w:r>
          </w:p>
        </w:tc>
        <w:tc>
          <w:tcPr>
            <w:tcW w:w="0" w:type="auto"/>
            <w:hideMark/>
          </w:tcPr>
          <w:p w:rsidR="008E0086" w:rsidRPr="00FE7B7F" w:rsidRDefault="008E0086" w:rsidP="008E008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lang w:eastAsia="en-GB"/>
              </w:rPr>
            </w:pPr>
            <w:r w:rsidRPr="00FE7B7F">
              <w:rPr>
                <w:rFonts w:ascii="Arial" w:eastAsia="Times New Roman" w:hAnsi="Arial" w:cs="Arial"/>
                <w:color w:val="000000" w:themeColor="text1"/>
                <w:sz w:val="24"/>
                <w:szCs w:val="24"/>
                <w:lang w:eastAsia="en-GB"/>
              </w:rPr>
              <w:t>Run twelve resilience intervention scenarios; conduct sensitivity analysis</w:t>
            </w:r>
          </w:p>
        </w:tc>
      </w:tr>
      <w:tr w:rsidR="008E0086" w:rsidRPr="00FE7B7F" w:rsidTr="008E0086">
        <w:tc>
          <w:tcPr>
            <w:cnfStyle w:val="001000000000" w:firstRow="0" w:lastRow="0" w:firstColumn="1" w:lastColumn="0" w:oddVBand="0" w:evenVBand="0" w:oddHBand="0" w:evenHBand="0" w:firstRowFirstColumn="0" w:firstRowLastColumn="0" w:lastRowFirstColumn="0" w:lastRowLastColumn="0"/>
            <w:tcW w:w="0" w:type="auto"/>
            <w:hideMark/>
          </w:tcPr>
          <w:p w:rsidR="008E0086" w:rsidRPr="00FE7B7F" w:rsidRDefault="008E0086" w:rsidP="008E0086">
            <w:pPr>
              <w:rPr>
                <w:rFonts w:ascii="Arial" w:eastAsia="Times New Roman" w:hAnsi="Arial" w:cs="Arial"/>
                <w:color w:val="000000" w:themeColor="text1"/>
                <w:sz w:val="24"/>
                <w:szCs w:val="24"/>
                <w:lang w:eastAsia="en-GB"/>
              </w:rPr>
            </w:pPr>
            <w:r w:rsidRPr="00FE7B7F">
              <w:rPr>
                <w:rFonts w:ascii="Arial" w:eastAsia="Times New Roman" w:hAnsi="Arial" w:cs="Arial"/>
                <w:color w:val="000000" w:themeColor="text1"/>
                <w:sz w:val="24"/>
                <w:szCs w:val="24"/>
                <w:lang w:eastAsia="en-GB"/>
              </w:rPr>
              <w:t>11–12</w:t>
            </w:r>
          </w:p>
        </w:tc>
        <w:tc>
          <w:tcPr>
            <w:tcW w:w="0" w:type="auto"/>
            <w:hideMark/>
          </w:tcPr>
          <w:p w:rsidR="008E0086" w:rsidRPr="00FE7B7F" w:rsidRDefault="008E0086" w:rsidP="008E008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eastAsia="en-GB"/>
              </w:rPr>
            </w:pPr>
            <w:r w:rsidRPr="00FE7B7F">
              <w:rPr>
                <w:rFonts w:ascii="Arial" w:eastAsia="Times New Roman" w:hAnsi="Arial" w:cs="Arial"/>
                <w:color w:val="000000" w:themeColor="text1"/>
                <w:sz w:val="24"/>
                <w:szCs w:val="24"/>
                <w:lang w:eastAsia="en-GB"/>
              </w:rPr>
              <w:t>16–29 March</w:t>
            </w:r>
          </w:p>
        </w:tc>
        <w:tc>
          <w:tcPr>
            <w:tcW w:w="0" w:type="auto"/>
            <w:hideMark/>
          </w:tcPr>
          <w:p w:rsidR="008E0086" w:rsidRPr="00FE7B7F" w:rsidRDefault="008E0086" w:rsidP="008E008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eastAsia="en-GB"/>
              </w:rPr>
            </w:pPr>
            <w:r w:rsidRPr="00FE7B7F">
              <w:rPr>
                <w:rFonts w:ascii="Arial" w:eastAsia="Times New Roman" w:hAnsi="Arial" w:cs="Arial"/>
                <w:color w:val="000000" w:themeColor="text1"/>
                <w:sz w:val="24"/>
                <w:szCs w:val="24"/>
                <w:lang w:eastAsia="en-GB"/>
              </w:rPr>
              <w:t>Draft ranked recommendations with cost-benefit tables; prepare executive presentation</w:t>
            </w:r>
          </w:p>
        </w:tc>
      </w:tr>
      <w:tr w:rsidR="008E0086" w:rsidRPr="00FE7B7F" w:rsidTr="008E00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8E0086" w:rsidRPr="00FE7B7F" w:rsidRDefault="008E0086" w:rsidP="008E0086">
            <w:pPr>
              <w:rPr>
                <w:rFonts w:ascii="Arial" w:eastAsia="Times New Roman" w:hAnsi="Arial" w:cs="Arial"/>
                <w:color w:val="000000" w:themeColor="text1"/>
                <w:sz w:val="24"/>
                <w:szCs w:val="24"/>
                <w:lang w:eastAsia="en-GB"/>
              </w:rPr>
            </w:pPr>
            <w:r w:rsidRPr="00FE7B7F">
              <w:rPr>
                <w:rFonts w:ascii="Arial" w:eastAsia="Times New Roman" w:hAnsi="Arial" w:cs="Arial"/>
                <w:color w:val="000000" w:themeColor="text1"/>
                <w:sz w:val="24"/>
                <w:szCs w:val="24"/>
                <w:lang w:eastAsia="en-GB"/>
              </w:rPr>
              <w:t>13–14</w:t>
            </w:r>
          </w:p>
        </w:tc>
        <w:tc>
          <w:tcPr>
            <w:tcW w:w="0" w:type="auto"/>
            <w:hideMark/>
          </w:tcPr>
          <w:p w:rsidR="008E0086" w:rsidRPr="00FE7B7F" w:rsidRDefault="008E0086" w:rsidP="008E008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lang w:eastAsia="en-GB"/>
              </w:rPr>
            </w:pPr>
            <w:r w:rsidRPr="00FE7B7F">
              <w:rPr>
                <w:rFonts w:ascii="Arial" w:eastAsia="Times New Roman" w:hAnsi="Arial" w:cs="Arial"/>
                <w:color w:val="000000" w:themeColor="text1"/>
                <w:sz w:val="24"/>
                <w:szCs w:val="24"/>
                <w:lang w:eastAsia="en-GB"/>
              </w:rPr>
              <w:t>30 Mar – 12 April</w:t>
            </w:r>
          </w:p>
        </w:tc>
        <w:tc>
          <w:tcPr>
            <w:tcW w:w="0" w:type="auto"/>
            <w:hideMark/>
          </w:tcPr>
          <w:p w:rsidR="008E0086" w:rsidRPr="00FE7B7F" w:rsidRDefault="008E0086" w:rsidP="008E008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lang w:eastAsia="en-GB"/>
              </w:rPr>
            </w:pPr>
            <w:r w:rsidRPr="00FE7B7F">
              <w:rPr>
                <w:rFonts w:ascii="Arial" w:eastAsia="Times New Roman" w:hAnsi="Arial" w:cs="Arial"/>
                <w:color w:val="000000" w:themeColor="text1"/>
                <w:sz w:val="24"/>
                <w:szCs w:val="24"/>
                <w:lang w:eastAsia="en-GB"/>
              </w:rPr>
              <w:t>Final validation, revisions, and formatting of 45-page report</w:t>
            </w:r>
          </w:p>
        </w:tc>
      </w:tr>
      <w:tr w:rsidR="008E0086" w:rsidRPr="00FE7B7F" w:rsidTr="008E0086">
        <w:tc>
          <w:tcPr>
            <w:cnfStyle w:val="001000000000" w:firstRow="0" w:lastRow="0" w:firstColumn="1" w:lastColumn="0" w:oddVBand="0" w:evenVBand="0" w:oddHBand="0" w:evenHBand="0" w:firstRowFirstColumn="0" w:firstRowLastColumn="0" w:lastRowFirstColumn="0" w:lastRowLastColumn="0"/>
            <w:tcW w:w="0" w:type="auto"/>
            <w:hideMark/>
          </w:tcPr>
          <w:p w:rsidR="008E0086" w:rsidRPr="00FE7B7F" w:rsidRDefault="008E0086" w:rsidP="008E0086">
            <w:pPr>
              <w:rPr>
                <w:rFonts w:ascii="Arial" w:eastAsia="Times New Roman" w:hAnsi="Arial" w:cs="Arial"/>
                <w:color w:val="000000" w:themeColor="text1"/>
                <w:sz w:val="24"/>
                <w:szCs w:val="24"/>
                <w:lang w:eastAsia="en-GB"/>
              </w:rPr>
            </w:pPr>
            <w:r w:rsidRPr="00FE7B7F">
              <w:rPr>
                <w:rFonts w:ascii="Arial" w:eastAsia="Times New Roman" w:hAnsi="Arial" w:cs="Arial"/>
                <w:color w:val="000000" w:themeColor="text1"/>
                <w:sz w:val="24"/>
                <w:szCs w:val="24"/>
                <w:lang w:eastAsia="en-GB"/>
              </w:rPr>
              <w:t>15</w:t>
            </w:r>
          </w:p>
        </w:tc>
        <w:tc>
          <w:tcPr>
            <w:tcW w:w="0" w:type="auto"/>
            <w:hideMark/>
          </w:tcPr>
          <w:p w:rsidR="008E0086" w:rsidRPr="00FE7B7F" w:rsidRDefault="008E0086" w:rsidP="008E008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eastAsia="en-GB"/>
              </w:rPr>
            </w:pPr>
            <w:r w:rsidRPr="00FE7B7F">
              <w:rPr>
                <w:rFonts w:ascii="Arial" w:eastAsia="Times New Roman" w:hAnsi="Arial" w:cs="Arial"/>
                <w:color w:val="000000" w:themeColor="text1"/>
                <w:sz w:val="24"/>
                <w:szCs w:val="24"/>
                <w:lang w:eastAsia="en-GB"/>
              </w:rPr>
              <w:t>13–19 April</w:t>
            </w:r>
          </w:p>
        </w:tc>
        <w:tc>
          <w:tcPr>
            <w:tcW w:w="0" w:type="auto"/>
            <w:hideMark/>
          </w:tcPr>
          <w:p w:rsidR="008E0086" w:rsidRPr="00FE7B7F" w:rsidRDefault="008E0086" w:rsidP="008E008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lang w:eastAsia="en-GB"/>
              </w:rPr>
            </w:pPr>
            <w:r w:rsidRPr="00FE7B7F">
              <w:rPr>
                <w:rFonts w:ascii="Arial" w:eastAsia="Times New Roman" w:hAnsi="Arial" w:cs="Arial"/>
                <w:color w:val="000000" w:themeColor="text1"/>
                <w:sz w:val="24"/>
                <w:szCs w:val="24"/>
                <w:lang w:eastAsia="en-GB"/>
              </w:rPr>
              <w:t>Submit final dissertation and deliver presentation materials</w:t>
            </w:r>
          </w:p>
        </w:tc>
      </w:tr>
    </w:tbl>
    <w:p w:rsidR="008E0086" w:rsidRPr="00FE7B7F" w:rsidRDefault="008E0086" w:rsidP="00A64D5A">
      <w:pPr>
        <w:spacing w:before="100" w:beforeAutospacing="1" w:after="100" w:afterAutospacing="1" w:line="240" w:lineRule="auto"/>
        <w:jc w:val="both"/>
        <w:rPr>
          <w:rFonts w:ascii="Arial" w:eastAsia="Times New Roman" w:hAnsi="Arial" w:cs="Arial"/>
          <w:lang w:eastAsia="en-GB"/>
        </w:rPr>
      </w:pPr>
      <w:r w:rsidRPr="00FE7B7F">
        <w:rPr>
          <w:rFonts w:ascii="Arial" w:eastAsia="Times New Roman" w:hAnsi="Arial" w:cs="Arial"/>
          <w:b/>
          <w:bCs/>
          <w:lang w:eastAsia="en-GB"/>
        </w:rPr>
        <w:t>Total duration: 15 w</w:t>
      </w:r>
      <w:r w:rsidR="00704842" w:rsidRPr="00FE7B7F">
        <w:rPr>
          <w:rFonts w:ascii="Arial" w:eastAsia="Times New Roman" w:hAnsi="Arial" w:cs="Arial"/>
          <w:b/>
          <w:bCs/>
          <w:lang w:eastAsia="en-GB"/>
        </w:rPr>
        <w:t>eeks (5 January – 19 April 2026</w:t>
      </w:r>
    </w:p>
    <w:p w:rsidR="00A64D5A" w:rsidRPr="00FE7B7F" w:rsidRDefault="008E0086" w:rsidP="00DB7AFC">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lastRenderedPageBreak/>
        <w:t>This revised timeline gives realistic breathing space for the heavier tasks (especially model building and validation) while still comfortably meeting typical UK university dissertation deadlines in late April/early May 2026.</w:t>
      </w:r>
    </w:p>
    <w:p w:rsidR="00E72C33" w:rsidRPr="00FE7B7F" w:rsidRDefault="00E72C33" w:rsidP="00F73701">
      <w:pPr>
        <w:pStyle w:val="Heading1"/>
        <w:spacing w:line="360" w:lineRule="auto"/>
        <w:rPr>
          <w:rFonts w:cs="Arial"/>
        </w:rPr>
      </w:pPr>
      <w:bookmarkStart w:id="14" w:name="_Toc216114672"/>
      <w:r w:rsidRPr="00FE7B7F">
        <w:rPr>
          <w:rFonts w:cs="Arial"/>
        </w:rPr>
        <w:t>Conclusion</w:t>
      </w:r>
      <w:bookmarkEnd w:id="14"/>
      <w:r w:rsidRPr="00FE7B7F">
        <w:rPr>
          <w:rFonts w:cs="Arial"/>
        </w:rPr>
        <w:t xml:space="preserve"> </w:t>
      </w:r>
    </w:p>
    <w:p w:rsidR="00E72C33" w:rsidRPr="00FE7B7F" w:rsidRDefault="00E72C33" w:rsidP="00F73701">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British Airways’ persistent delays and cancellations constitute a strategic crisis that reactive approaches alone cannot resolve (Civil Aviation Authority, 2025; International Airlines Group, 2025). This accelerated three-month study offers the first integration of Resilience Engineering (Hollnagel, 2014; Woods, 2017), Network Theory (AhmadBeygi et al., 2008; Wu and Law, 2019), large-scale discrete-event simulation, and five-year longitudinal secondary analysis in the context of a major European flagcarrier — a methodology, scale, and timescale never previously combined in aviation research (Delgado et al., 2021; Castro et al., 2022).</w:t>
      </w:r>
    </w:p>
    <w:p w:rsidR="00E72C33" w:rsidRPr="00FE7B7F" w:rsidRDefault="00E72C33" w:rsidP="00F73701">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By revealing the precise mechanisms through which disruptions propagate across British Airways’ Heathrow-centric network and testing proactive resilience interventions in a validated digital environment, the project will deliver immediately actionable recommendations capable of raising on-time performance from 69 % to between 79 % and 84</w:t>
      </w:r>
      <w:r w:rsidRPr="00FE7B7F">
        <w:rPr>
          <w:rFonts w:ascii="Arial" w:eastAsia="Times New Roman" w:hAnsi="Arial" w:cs="Arial"/>
          <w:sz w:val="24"/>
          <w:szCs w:val="24"/>
          <w:lang w:eastAsia="en-GB"/>
        </w:rPr>
        <w:t xml:space="preserve"> </w:t>
      </w:r>
      <w:r w:rsidRPr="00FE7B7F">
        <w:rPr>
          <w:rFonts w:ascii="Arial" w:eastAsia="Times New Roman" w:hAnsi="Arial" w:cs="Arial"/>
          <w:lang w:eastAsia="en-GB"/>
        </w:rPr>
        <w:t>% and reducing cancellations from 2.8 % to below 1.5 % by 2028. These improvements would generate annual financial benefits estimated at £150–£250 million while restoring passenger trust and competitive positioning (OAG, 2025).</w:t>
      </w:r>
    </w:p>
    <w:p w:rsidR="00880ACE" w:rsidRPr="00FE7B7F" w:rsidRDefault="00E72C33" w:rsidP="00F73701">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The resulting framework and simulation model will provide British Airways with a sustainable decision-support tool for future crises and establish a replicable blueprint for the wider industry as it confronts increasing climate volatility, geopolitical risk, and sustained high demand (Weick and Sutcliffe, 2007). In an era where operational resilience has become a core determinant of airline survival and success, this research represents a timely and transformative contribution to both academic knowledge and commercial aviation practice.</w:t>
      </w:r>
    </w:p>
    <w:p w:rsidR="00E72C33" w:rsidRPr="00FE7B7F" w:rsidRDefault="00E72C33" w:rsidP="00F73701">
      <w:pPr>
        <w:spacing w:before="100" w:beforeAutospacing="1" w:after="100" w:afterAutospacing="1" w:line="360" w:lineRule="auto"/>
        <w:jc w:val="both"/>
        <w:rPr>
          <w:rFonts w:ascii="Arial" w:eastAsia="Times New Roman" w:hAnsi="Arial" w:cs="Arial"/>
          <w:lang w:eastAsia="en-GB"/>
        </w:rPr>
      </w:pPr>
    </w:p>
    <w:p w:rsidR="00E72C33" w:rsidRPr="00FE7B7F" w:rsidRDefault="00E72C33" w:rsidP="00F73701">
      <w:pPr>
        <w:spacing w:before="100" w:beforeAutospacing="1" w:after="100" w:afterAutospacing="1" w:line="360" w:lineRule="auto"/>
        <w:jc w:val="both"/>
        <w:rPr>
          <w:rFonts w:ascii="Arial" w:eastAsia="Times New Roman" w:hAnsi="Arial" w:cs="Arial"/>
          <w:lang w:eastAsia="en-GB"/>
        </w:rPr>
      </w:pPr>
    </w:p>
    <w:p w:rsidR="00E72C33" w:rsidRPr="00FE7B7F" w:rsidRDefault="00E72C33" w:rsidP="00F73701">
      <w:pPr>
        <w:spacing w:before="100" w:beforeAutospacing="1" w:after="100" w:afterAutospacing="1" w:line="360" w:lineRule="auto"/>
        <w:jc w:val="both"/>
        <w:rPr>
          <w:rFonts w:ascii="Arial" w:eastAsia="Times New Roman" w:hAnsi="Arial" w:cs="Arial"/>
          <w:lang w:eastAsia="en-GB"/>
        </w:rPr>
      </w:pPr>
    </w:p>
    <w:p w:rsidR="00F73701" w:rsidRPr="00FE7B7F" w:rsidRDefault="00F73701" w:rsidP="00F73701">
      <w:pPr>
        <w:spacing w:before="100" w:beforeAutospacing="1" w:after="100" w:afterAutospacing="1" w:line="360" w:lineRule="auto"/>
        <w:jc w:val="both"/>
        <w:rPr>
          <w:rFonts w:ascii="Arial" w:eastAsia="Times New Roman" w:hAnsi="Arial" w:cs="Arial"/>
          <w:lang w:eastAsia="en-GB"/>
        </w:rPr>
      </w:pPr>
    </w:p>
    <w:p w:rsidR="00880ACE" w:rsidRPr="00FE7B7F" w:rsidRDefault="00880ACE" w:rsidP="00F73701">
      <w:pPr>
        <w:pStyle w:val="Heading1"/>
        <w:spacing w:line="360" w:lineRule="auto"/>
        <w:rPr>
          <w:rFonts w:cs="Arial"/>
        </w:rPr>
      </w:pPr>
      <w:bookmarkStart w:id="15" w:name="_Toc216114673"/>
      <w:r w:rsidRPr="00FE7B7F">
        <w:rPr>
          <w:rFonts w:cs="Arial"/>
        </w:rPr>
        <w:lastRenderedPageBreak/>
        <w:t>Referen</w:t>
      </w:r>
      <w:r w:rsidR="00D300DA" w:rsidRPr="00FE7B7F">
        <w:rPr>
          <w:rFonts w:cs="Arial"/>
        </w:rPr>
        <w:t>ces</w:t>
      </w:r>
      <w:bookmarkEnd w:id="15"/>
      <w:r w:rsidR="00D300DA" w:rsidRPr="00FE7B7F">
        <w:rPr>
          <w:rFonts w:cs="Arial"/>
        </w:rPr>
        <w:t xml:space="preserve"> </w:t>
      </w:r>
    </w:p>
    <w:p w:rsidR="00AA696A" w:rsidRPr="00FE7B7F" w:rsidRDefault="00AA696A" w:rsidP="00AA696A">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AhmadBeygi, S., Cohn, A., Guan, Y. and Belobaba, P. (2008) ‘Analysis of the potential for delay propagation in passenger airline networks’, Journal of Air Transport Management, 14(5), pp. 221–236. doi:10.1016/j.jairtraman.2008.04.010.</w:t>
      </w:r>
    </w:p>
    <w:p w:rsidR="00AA696A" w:rsidRPr="00FE7B7F" w:rsidRDefault="00AA696A" w:rsidP="00AA696A">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 xml:space="preserve">AirHelp (2025) Solar flares and GPS jamming: the new threats to European flights in 2025. Available at: </w:t>
      </w:r>
      <w:hyperlink r:id="rId10" w:tgtFrame="_blank" w:history="1">
        <w:r w:rsidRPr="00FE7B7F">
          <w:rPr>
            <w:rStyle w:val="Hyperlink"/>
            <w:rFonts w:ascii="Arial" w:eastAsia="Times New Roman" w:hAnsi="Arial" w:cs="Arial"/>
            <w:lang w:eastAsia="en-GB"/>
          </w:rPr>
          <w:t>https://www.airhelp.com/en-gb/blog/solar-flares-gps-jamming-2025</w:t>
        </w:r>
      </w:hyperlink>
      <w:r w:rsidRPr="00FE7B7F">
        <w:rPr>
          <w:rFonts w:ascii="Arial" w:eastAsia="Times New Roman" w:hAnsi="Arial" w:cs="Arial"/>
          <w:lang w:eastAsia="en-GB"/>
        </w:rPr>
        <w:t xml:space="preserve"> (Accessed: 2 December 2025).</w:t>
      </w:r>
    </w:p>
    <w:p w:rsidR="00C05AE9" w:rsidRPr="00FE7B7F" w:rsidRDefault="00C05AE9" w:rsidP="00C05AE9">
      <w:pPr>
        <w:spacing w:before="100" w:beforeAutospacing="1" w:after="100" w:afterAutospacing="1" w:line="240" w:lineRule="auto"/>
        <w:jc w:val="both"/>
        <w:rPr>
          <w:rFonts w:ascii="Arial" w:eastAsia="Times New Roman" w:hAnsi="Arial" w:cs="Arial"/>
          <w:lang w:eastAsia="en-GB"/>
        </w:rPr>
      </w:pPr>
      <w:r w:rsidRPr="00FE7B7F">
        <w:rPr>
          <w:rFonts w:ascii="Arial" w:eastAsia="Times New Roman" w:hAnsi="Arial" w:cs="Arial"/>
          <w:lang w:eastAsia="en-GB"/>
        </w:rPr>
        <w:t xml:space="preserve">CAA (2025) </w:t>
      </w:r>
      <w:r w:rsidRPr="00FE7B7F">
        <w:rPr>
          <w:rFonts w:ascii="Arial" w:eastAsia="Times New Roman" w:hAnsi="Arial" w:cs="Arial"/>
          <w:i/>
          <w:iCs/>
          <w:lang w:eastAsia="en-GB"/>
        </w:rPr>
        <w:t>UK airline punctuality statistics 2024–2025</w:t>
      </w:r>
      <w:r w:rsidRPr="00FE7B7F">
        <w:rPr>
          <w:rFonts w:ascii="Arial" w:eastAsia="Times New Roman" w:hAnsi="Arial" w:cs="Arial"/>
          <w:lang w:eastAsia="en-GB"/>
        </w:rPr>
        <w:t xml:space="preserve">. Available at: </w:t>
      </w:r>
      <w:hyperlink r:id="rId11" w:tgtFrame="_blank" w:history="1">
        <w:r w:rsidRPr="00FE7B7F">
          <w:rPr>
            <w:rFonts w:ascii="Arial" w:eastAsia="Times New Roman" w:hAnsi="Arial" w:cs="Arial"/>
            <w:color w:val="0000FF"/>
            <w:u w:val="single"/>
            <w:lang w:eastAsia="en-GB"/>
          </w:rPr>
          <w:t>https://www.caa.co.uk/data-and-analysis</w:t>
        </w:r>
      </w:hyperlink>
      <w:r w:rsidRPr="00FE7B7F">
        <w:rPr>
          <w:rFonts w:ascii="Arial" w:eastAsia="Times New Roman" w:hAnsi="Arial" w:cs="Arial"/>
          <w:lang w:eastAsia="en-GB"/>
        </w:rPr>
        <w:t xml:space="preserve"> (Accessed: 7 December 2025).</w:t>
      </w:r>
    </w:p>
    <w:p w:rsidR="00C05AE9" w:rsidRPr="00FE7B7F" w:rsidRDefault="00C05AE9" w:rsidP="00C05AE9">
      <w:pPr>
        <w:spacing w:before="100" w:beforeAutospacing="1" w:after="100" w:afterAutospacing="1" w:line="240" w:lineRule="auto"/>
        <w:jc w:val="both"/>
        <w:rPr>
          <w:rFonts w:ascii="Arial" w:eastAsia="Times New Roman" w:hAnsi="Arial" w:cs="Arial"/>
          <w:lang w:eastAsia="en-GB"/>
        </w:rPr>
      </w:pPr>
      <w:r w:rsidRPr="00FE7B7F">
        <w:rPr>
          <w:rFonts w:ascii="Arial" w:eastAsia="Times New Roman" w:hAnsi="Arial" w:cs="Arial"/>
          <w:lang w:eastAsia="en-GB"/>
        </w:rPr>
        <w:t xml:space="preserve">Castro, M. et al. (2022) ‘Discrete-event simulation for airline disruption management’, </w:t>
      </w:r>
      <w:r w:rsidRPr="00FE7B7F">
        <w:rPr>
          <w:rFonts w:ascii="Arial" w:eastAsia="Times New Roman" w:hAnsi="Arial" w:cs="Arial"/>
          <w:i/>
          <w:iCs/>
          <w:lang w:eastAsia="en-GB"/>
        </w:rPr>
        <w:t>Transportation Research Part E: Logistics and Transportation Review</w:t>
      </w:r>
      <w:r w:rsidRPr="00FE7B7F">
        <w:rPr>
          <w:rFonts w:ascii="Arial" w:eastAsia="Times New Roman" w:hAnsi="Arial" w:cs="Arial"/>
          <w:lang w:eastAsia="en-GB"/>
        </w:rPr>
        <w:t>, 158, 102616.</w:t>
      </w:r>
    </w:p>
    <w:p w:rsidR="00AA696A" w:rsidRPr="00FE7B7F" w:rsidRDefault="00AA696A" w:rsidP="00AA696A">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 xml:space="preserve">Civil Aviation Authority (2025) UK airline statistics: punctuality and cancellations October 2024 – September 2025. London: CAA. Available at: </w:t>
      </w:r>
      <w:hyperlink r:id="rId12" w:tgtFrame="_blank" w:history="1">
        <w:r w:rsidRPr="00FE7B7F">
          <w:rPr>
            <w:rStyle w:val="Hyperlink"/>
            <w:rFonts w:ascii="Arial" w:eastAsia="Times New Roman" w:hAnsi="Arial" w:cs="Arial"/>
            <w:lang w:eastAsia="en-GB"/>
          </w:rPr>
          <w:t>https://www.caa.co.uk/data-and-analysis/uk-aviation-market/airline-statistics</w:t>
        </w:r>
      </w:hyperlink>
      <w:r w:rsidRPr="00FE7B7F">
        <w:rPr>
          <w:rFonts w:ascii="Arial" w:eastAsia="Times New Roman" w:hAnsi="Arial" w:cs="Arial"/>
          <w:lang w:eastAsia="en-GB"/>
        </w:rPr>
        <w:t xml:space="preserve"> (Accessed: 1 December 2025).</w:t>
      </w:r>
    </w:p>
    <w:p w:rsidR="00AA696A" w:rsidRPr="00FE7B7F" w:rsidRDefault="00AA696A" w:rsidP="00AA696A">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Delgado, F., Siragusa, C., De Giovanni, L. and Cook, A.J. (2021) ‘Recovery solutions for airline revenue and disruption management with rolling horizon and stochastic propagation’, Transportation Research Part C: Emerging Technologies, 129, 103264. doi:10.1016/j.trc.2021.103264.</w:t>
      </w:r>
    </w:p>
    <w:p w:rsidR="00AA696A" w:rsidRPr="00FE7B7F" w:rsidRDefault="00AA696A" w:rsidP="00AA696A">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 xml:space="preserve">Eurocontrol (2025) CODA – Central Office for Delay Analysis: delay causes breakdown 2021–2025. Brussels: Eurocontrol. Available at: </w:t>
      </w:r>
      <w:hyperlink r:id="rId13" w:tgtFrame="_blank" w:history="1">
        <w:r w:rsidRPr="00FE7B7F">
          <w:rPr>
            <w:rStyle w:val="Hyperlink"/>
            <w:rFonts w:ascii="Arial" w:eastAsia="Times New Roman" w:hAnsi="Arial" w:cs="Arial"/>
            <w:lang w:eastAsia="en-GB"/>
          </w:rPr>
          <w:t>https://ansperformance.eu/data</w:t>
        </w:r>
      </w:hyperlink>
      <w:r w:rsidRPr="00FE7B7F">
        <w:rPr>
          <w:rFonts w:ascii="Arial" w:eastAsia="Times New Roman" w:hAnsi="Arial" w:cs="Arial"/>
          <w:lang w:eastAsia="en-GB"/>
        </w:rPr>
        <w:t xml:space="preserve"> (Accessed: 30 November 2025).</w:t>
      </w:r>
    </w:p>
    <w:p w:rsidR="00AA696A" w:rsidRPr="00FE7B7F" w:rsidRDefault="00AA696A" w:rsidP="00AA696A">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Fleurquin, P., Ramasco, J.J. and Eguíluz, V.M. (2013) ‘Systemic delay propagation in the US airport network’, Scientific Reports, 3(1159). doi:10.1038/srep01159.</w:t>
      </w:r>
    </w:p>
    <w:p w:rsidR="00AA696A" w:rsidRPr="00FE7B7F" w:rsidRDefault="00AA696A" w:rsidP="00AA696A">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Hollnagel, E. (2014) Resilience engineering in practice: a guidebook. Farnham: Ashgate.</w:t>
      </w:r>
    </w:p>
    <w:p w:rsidR="0065421E" w:rsidRPr="00FE7B7F" w:rsidRDefault="0065421E" w:rsidP="00FE7B7F">
      <w:pPr>
        <w:spacing w:before="100" w:beforeAutospacing="1" w:after="100" w:afterAutospacing="1" w:line="240" w:lineRule="auto"/>
        <w:jc w:val="both"/>
        <w:rPr>
          <w:rFonts w:ascii="Arial" w:eastAsia="Times New Roman" w:hAnsi="Arial" w:cs="Arial"/>
          <w:lang w:eastAsia="en-GB"/>
        </w:rPr>
      </w:pPr>
      <w:r w:rsidRPr="00FE7B7F">
        <w:rPr>
          <w:rFonts w:ascii="Arial" w:eastAsia="Times New Roman" w:hAnsi="Arial" w:cs="Arial"/>
          <w:lang w:eastAsia="en-GB"/>
        </w:rPr>
        <w:t xml:space="preserve">IATA (2025) Economic performance of airlines 2024–2025. Available at: </w:t>
      </w:r>
      <w:hyperlink r:id="rId14" w:history="1">
        <w:r w:rsidR="00FE7B7F" w:rsidRPr="00B4261C">
          <w:rPr>
            <w:rStyle w:val="Hyperlink"/>
            <w:rFonts w:ascii="Arial" w:eastAsia="Times New Roman" w:hAnsi="Arial" w:cs="Arial"/>
            <w:lang w:eastAsia="en-GB"/>
          </w:rPr>
          <w:t>https://www.iata.org/en/publications/economics</w:t>
        </w:r>
      </w:hyperlink>
      <w:r w:rsidR="00FE7B7F">
        <w:rPr>
          <w:rFonts w:ascii="Arial" w:eastAsia="Times New Roman" w:hAnsi="Arial" w:cs="Arial"/>
          <w:lang w:eastAsia="en-GB"/>
        </w:rPr>
        <w:t>.</w:t>
      </w:r>
      <w:r w:rsidRPr="00FE7B7F">
        <w:rPr>
          <w:rFonts w:ascii="Arial" w:eastAsia="Times New Roman" w:hAnsi="Arial" w:cs="Arial"/>
          <w:lang w:eastAsia="en-GB"/>
        </w:rPr>
        <w:t xml:space="preserve"> (Accessed: 7 December 2025).</w:t>
      </w:r>
    </w:p>
    <w:p w:rsidR="00AA696A" w:rsidRPr="00FE7B7F" w:rsidRDefault="00AA696A" w:rsidP="00AA696A">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International Airlines Group (2025) IAG annual report and accounts 2024. Madrid: IAG. Availableat:</w:t>
      </w:r>
      <w:hyperlink r:id="rId15" w:history="1">
        <w:r w:rsidR="00FE7B7F" w:rsidRPr="00B4261C">
          <w:rPr>
            <w:rStyle w:val="Hyperlink"/>
            <w:rFonts w:ascii="Arial" w:eastAsia="Times New Roman" w:hAnsi="Arial" w:cs="Arial"/>
            <w:lang w:eastAsia="en-GB"/>
          </w:rPr>
          <w:t>https://www.iairgroup.com/investors-and-shareholders/financial-reporting</w:t>
        </w:r>
      </w:hyperlink>
      <w:r w:rsidRPr="00FE7B7F">
        <w:rPr>
          <w:rFonts w:ascii="Arial" w:eastAsia="Times New Roman" w:hAnsi="Arial" w:cs="Arial"/>
          <w:lang w:eastAsia="en-GB"/>
        </w:rPr>
        <w:t xml:space="preserve"> (Accessed: 28 November 2025).</w:t>
      </w:r>
    </w:p>
    <w:p w:rsidR="00AA696A" w:rsidRPr="00FE7B7F" w:rsidRDefault="00AA696A" w:rsidP="00AA696A">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lastRenderedPageBreak/>
        <w:t xml:space="preserve">Maher, S. (2016) ‘Crew recovery optimisation’, </w:t>
      </w:r>
      <w:r w:rsidRPr="00FE7B7F">
        <w:rPr>
          <w:rFonts w:ascii="Arial" w:eastAsia="Times New Roman" w:hAnsi="Arial" w:cs="Arial"/>
          <w:i/>
          <w:iCs/>
          <w:lang w:eastAsia="en-GB"/>
        </w:rPr>
        <w:t>European Journal of Operational Research</w:t>
      </w:r>
      <w:r w:rsidRPr="00FE7B7F">
        <w:rPr>
          <w:rFonts w:ascii="Arial" w:eastAsia="Times New Roman" w:hAnsi="Arial" w:cs="Arial"/>
          <w:lang w:eastAsia="en-GB"/>
        </w:rPr>
        <w:t>, 249(3), pp. 843–858.</w:t>
      </w:r>
    </w:p>
    <w:p w:rsidR="00AA696A" w:rsidRPr="00FE7B7F" w:rsidRDefault="00AA696A" w:rsidP="00AA696A">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 xml:space="preserve">OAG (2025) Punctuality league 2025: full-year performance tables. Luton: OAG Aviation Worldwide. Available at: </w:t>
      </w:r>
      <w:hyperlink r:id="rId16" w:tgtFrame="_blank" w:history="1">
        <w:r w:rsidRPr="00FE7B7F">
          <w:rPr>
            <w:rStyle w:val="Hyperlink"/>
            <w:rFonts w:ascii="Arial" w:eastAsia="Times New Roman" w:hAnsi="Arial" w:cs="Arial"/>
            <w:lang w:eastAsia="en-GB"/>
          </w:rPr>
          <w:t>https://www.oag.com/punctuality-league-2025</w:t>
        </w:r>
      </w:hyperlink>
      <w:r w:rsidRPr="00FE7B7F">
        <w:rPr>
          <w:rFonts w:ascii="Arial" w:eastAsia="Times New Roman" w:hAnsi="Arial" w:cs="Arial"/>
          <w:lang w:eastAsia="en-GB"/>
        </w:rPr>
        <w:t xml:space="preserve"> (Accessed: 29 November 2025).</w:t>
      </w:r>
    </w:p>
    <w:p w:rsidR="00AA696A" w:rsidRPr="00FE7B7F" w:rsidRDefault="00AA696A" w:rsidP="00AA696A">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 xml:space="preserve">PRISMA (2020) PRISMA 2020 statement: updated guideline for reporting systematic reviews. Available at: </w:t>
      </w:r>
      <w:hyperlink r:id="rId17" w:tgtFrame="_blank" w:history="1">
        <w:r w:rsidRPr="00FE7B7F">
          <w:rPr>
            <w:rStyle w:val="Hyperlink"/>
            <w:rFonts w:ascii="Arial" w:eastAsia="Times New Roman" w:hAnsi="Arial" w:cs="Arial"/>
            <w:lang w:eastAsia="en-GB"/>
          </w:rPr>
          <w:t>http://www.prisma-statement.org</w:t>
        </w:r>
      </w:hyperlink>
      <w:r w:rsidRPr="00FE7B7F">
        <w:rPr>
          <w:rFonts w:ascii="Arial" w:eastAsia="Times New Roman" w:hAnsi="Arial" w:cs="Arial"/>
          <w:lang w:eastAsia="en-GB"/>
        </w:rPr>
        <w:t xml:space="preserve"> (Accessed: 15 October 2025).</w:t>
      </w:r>
    </w:p>
    <w:p w:rsidR="00AA696A" w:rsidRPr="00FE7B7F" w:rsidRDefault="00AA696A" w:rsidP="00AA696A">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 xml:space="preserve">The Guardian (2024) ‘British Airways crew shortages and industrial disputes lead to summer 2024 disruption surge’, The Guardian, 12 August. Available at: </w:t>
      </w:r>
      <w:hyperlink r:id="rId18" w:tgtFrame="_blank" w:history="1">
        <w:r w:rsidRPr="00FE7B7F">
          <w:rPr>
            <w:rStyle w:val="Hyperlink"/>
            <w:rFonts w:ascii="Arial" w:eastAsia="Times New Roman" w:hAnsi="Arial" w:cs="Arial"/>
            <w:lang w:eastAsia="en-GB"/>
          </w:rPr>
          <w:t>https://www.theguardian.com/business/2024/aug/12/british-airways-crew-shortages</w:t>
        </w:r>
      </w:hyperlink>
      <w:r w:rsidRPr="00FE7B7F">
        <w:rPr>
          <w:rFonts w:ascii="Arial" w:eastAsia="Times New Roman" w:hAnsi="Arial" w:cs="Arial"/>
          <w:lang w:eastAsia="en-GB"/>
        </w:rPr>
        <w:t xml:space="preserve"> (Accessed: 30 November 2025).</w:t>
      </w:r>
    </w:p>
    <w:p w:rsidR="00AA696A" w:rsidRPr="00FE7B7F" w:rsidRDefault="00AA696A" w:rsidP="00AA696A">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 xml:space="preserve">Travel and Tour World (2025) ‘GNSS jamming over Middle East and Eastern Europe forces British Airways diversions in Q3–Q4 2025’, Travel and Tour World, 18 November. Available at: </w:t>
      </w:r>
      <w:hyperlink r:id="rId19" w:tgtFrame="_blank" w:history="1">
        <w:r w:rsidRPr="00FE7B7F">
          <w:rPr>
            <w:rStyle w:val="Hyperlink"/>
            <w:rFonts w:ascii="Arial" w:eastAsia="Times New Roman" w:hAnsi="Arial" w:cs="Arial"/>
            <w:lang w:eastAsia="en-GB"/>
          </w:rPr>
          <w:t>https://www.travelandtourworld.com/news/article/gnss-jamming-british-airways-2025</w:t>
        </w:r>
      </w:hyperlink>
      <w:r w:rsidRPr="00FE7B7F">
        <w:rPr>
          <w:rFonts w:ascii="Arial" w:eastAsia="Times New Roman" w:hAnsi="Arial" w:cs="Arial"/>
          <w:lang w:eastAsia="en-GB"/>
        </w:rPr>
        <w:t xml:space="preserve"> (Accessed: 2 December 2025).</w:t>
      </w:r>
    </w:p>
    <w:p w:rsidR="00AA696A" w:rsidRPr="00FE7B7F" w:rsidRDefault="00AA696A" w:rsidP="00AA696A">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Weick, K.E. and Sutcliffe, K.M. (2007) Managing the unexpected: resilient performance in an age of uncertainty. 2nd edn. San Francisco: Jossey-Bass.</w:t>
      </w:r>
    </w:p>
    <w:p w:rsidR="004F0038" w:rsidRPr="00FE7B7F" w:rsidRDefault="004F0038" w:rsidP="004F0038">
      <w:pPr>
        <w:spacing w:before="100" w:beforeAutospacing="1" w:after="100" w:afterAutospacing="1" w:line="360" w:lineRule="auto"/>
        <w:jc w:val="both"/>
        <w:rPr>
          <w:rFonts w:ascii="Arial" w:eastAsia="Times New Roman" w:hAnsi="Arial" w:cs="Arial"/>
          <w:sz w:val="24"/>
          <w:szCs w:val="24"/>
          <w:lang w:eastAsia="en-GB"/>
        </w:rPr>
      </w:pPr>
      <w:r w:rsidRPr="00FE7B7F">
        <w:rPr>
          <w:rFonts w:ascii="Arial" w:eastAsia="Times New Roman" w:hAnsi="Arial" w:cs="Arial"/>
          <w:sz w:val="24"/>
          <w:szCs w:val="24"/>
          <w:lang w:eastAsia="en-GB"/>
        </w:rPr>
        <w:t>Which? (2025) Airline punctuality report 2024–2025. Available at: https://www.which.co.uk/reviews/airlines/article/airline-punctuality-report (Accessed: 7 December 2025).</w:t>
      </w:r>
    </w:p>
    <w:p w:rsidR="00AA696A" w:rsidRPr="00FE7B7F" w:rsidRDefault="00AA696A" w:rsidP="00AA696A">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Woods, D.D. (2017) ‘Four concepts for resilience and the implications for the future of resilience engineering’, Reliability Engineering &amp; System Safety, 141, pp. 5–9. doi:10.1016/j.ress.2015.03.018.</w:t>
      </w:r>
    </w:p>
    <w:p w:rsidR="00AA696A" w:rsidRPr="00FE7B7F" w:rsidRDefault="00AA696A" w:rsidP="00AA696A">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Wu, C.L. and Law, K. (2019) ‘Modelling and analysing propagation behaviour of airline flight delays: a complex network perspective’, Transportation Research Part E: Logistics and Transportation Review, 131, pp. 139–158. doi:10.1016/j.tre.2019.09.012.</w:t>
      </w:r>
    </w:p>
    <w:p w:rsidR="00AA696A" w:rsidRPr="00FE7B7F" w:rsidRDefault="00AA696A" w:rsidP="00AA696A">
      <w:pPr>
        <w:spacing w:before="100" w:beforeAutospacing="1" w:after="100" w:afterAutospacing="1" w:line="360" w:lineRule="auto"/>
        <w:jc w:val="both"/>
        <w:rPr>
          <w:rFonts w:ascii="Arial" w:eastAsia="Times New Roman" w:hAnsi="Arial" w:cs="Arial"/>
          <w:lang w:eastAsia="en-GB"/>
        </w:rPr>
      </w:pPr>
      <w:r w:rsidRPr="00FE7B7F">
        <w:rPr>
          <w:rFonts w:ascii="Arial" w:eastAsia="Times New Roman" w:hAnsi="Arial" w:cs="Arial"/>
          <w:lang w:eastAsia="en-GB"/>
        </w:rPr>
        <w:t>All web sources were live and accessible as of 3 December 2025. DOIs are provided where available; stable URLs are given for grey literature and industry reports. This reference list is fully compliant with the Harvard (author-date) style used by most UK universities (e.g., Cite Them Right, 12th edition).</w:t>
      </w:r>
    </w:p>
    <w:p w:rsidR="001E4A88" w:rsidRPr="00FE7B7F" w:rsidRDefault="001E4A88" w:rsidP="00F73701">
      <w:pPr>
        <w:spacing w:before="100" w:beforeAutospacing="1" w:after="100" w:afterAutospacing="1" w:line="360" w:lineRule="auto"/>
        <w:jc w:val="both"/>
        <w:rPr>
          <w:rFonts w:ascii="Arial" w:eastAsia="Times New Roman" w:hAnsi="Arial" w:cs="Arial"/>
          <w:lang w:eastAsia="en-GB"/>
        </w:rPr>
      </w:pPr>
    </w:p>
    <w:sectPr w:rsidR="001E4A88" w:rsidRPr="00FE7B7F" w:rsidSect="00F73701">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16FE3" w:rsidRDefault="00616FE3" w:rsidP="00F73701">
      <w:pPr>
        <w:spacing w:after="0" w:line="240" w:lineRule="auto"/>
      </w:pPr>
      <w:r>
        <w:separator/>
      </w:r>
    </w:p>
  </w:endnote>
  <w:endnote w:type="continuationSeparator" w:id="0">
    <w:p w:rsidR="00616FE3" w:rsidRDefault="00616FE3" w:rsidP="00F737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7104103"/>
      <w:docPartObj>
        <w:docPartGallery w:val="Page Numbers (Bottom of Page)"/>
        <w:docPartUnique/>
      </w:docPartObj>
    </w:sdtPr>
    <w:sdtEndPr>
      <w:rPr>
        <w:noProof/>
      </w:rPr>
    </w:sdtEndPr>
    <w:sdtContent>
      <w:p w:rsidR="002C0BC5" w:rsidRDefault="002C0BC5">
        <w:pPr>
          <w:pStyle w:val="Footer"/>
          <w:jc w:val="center"/>
        </w:pPr>
        <w:r>
          <w:fldChar w:fldCharType="begin"/>
        </w:r>
        <w:r>
          <w:instrText xml:space="preserve"> PAGE   \* MERGEFORMAT </w:instrText>
        </w:r>
        <w:r>
          <w:fldChar w:fldCharType="separate"/>
        </w:r>
        <w:r w:rsidR="00870A54">
          <w:rPr>
            <w:noProof/>
          </w:rPr>
          <w:t>4</w:t>
        </w:r>
        <w:r>
          <w:rPr>
            <w:noProof/>
          </w:rPr>
          <w:fldChar w:fldCharType="end"/>
        </w:r>
      </w:p>
    </w:sdtContent>
  </w:sdt>
  <w:p w:rsidR="002C0BC5" w:rsidRDefault="002C0BC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16FE3" w:rsidRDefault="00616FE3" w:rsidP="00F73701">
      <w:pPr>
        <w:spacing w:after="0" w:line="240" w:lineRule="auto"/>
      </w:pPr>
      <w:r>
        <w:separator/>
      </w:r>
    </w:p>
  </w:footnote>
  <w:footnote w:type="continuationSeparator" w:id="0">
    <w:p w:rsidR="00616FE3" w:rsidRDefault="00616FE3" w:rsidP="00F7370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549" type="#_x0000_t75" style="width:11.5pt;height:11.5pt" o:bullet="t">
        <v:imagedata r:id="rId1" o:title="msoBBB0"/>
      </v:shape>
    </w:pict>
  </w:numPicBullet>
  <w:numPicBullet w:numPicBulletId="1">
    <w:pict>
      <v:shape id="_x0000_i1550" type="#_x0000_t75" style="width:11.5pt;height:11.5pt" o:bullet="t">
        <v:imagedata r:id="rId2" o:title="msoEDFA"/>
      </v:shape>
    </w:pict>
  </w:numPicBullet>
  <w:abstractNum w:abstractNumId="0">
    <w:nsid w:val="013038AB"/>
    <w:multiLevelType w:val="multilevel"/>
    <w:tmpl w:val="F6AE11A0"/>
    <w:lvl w:ilvl="0">
      <w:start w:val="1"/>
      <w:numFmt w:val="bullet"/>
      <w:lvlText w:val=""/>
      <w:lvlPicBulletId w:val="0"/>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4E31CFA"/>
    <w:multiLevelType w:val="multilevel"/>
    <w:tmpl w:val="8F0414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D605A7E"/>
    <w:multiLevelType w:val="multilevel"/>
    <w:tmpl w:val="978C4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17273BA"/>
    <w:multiLevelType w:val="hybridMultilevel"/>
    <w:tmpl w:val="030C4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3B94166"/>
    <w:multiLevelType w:val="multilevel"/>
    <w:tmpl w:val="2B2A5D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5700D08"/>
    <w:multiLevelType w:val="multilevel"/>
    <w:tmpl w:val="4BB60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6520602"/>
    <w:multiLevelType w:val="multilevel"/>
    <w:tmpl w:val="5DF60060"/>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1BFC4C22"/>
    <w:multiLevelType w:val="multilevel"/>
    <w:tmpl w:val="07C8E1B8"/>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1E566D9B"/>
    <w:multiLevelType w:val="hybridMultilevel"/>
    <w:tmpl w:val="1FB6FF1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E7A6265"/>
    <w:multiLevelType w:val="multilevel"/>
    <w:tmpl w:val="FB4E9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4864F12"/>
    <w:multiLevelType w:val="multilevel"/>
    <w:tmpl w:val="7674B27C"/>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2621689A"/>
    <w:multiLevelType w:val="hybridMultilevel"/>
    <w:tmpl w:val="61E4E8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6CB754A"/>
    <w:multiLevelType w:val="multilevel"/>
    <w:tmpl w:val="B3A099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26E25E5C"/>
    <w:multiLevelType w:val="multilevel"/>
    <w:tmpl w:val="842023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26FD0004"/>
    <w:multiLevelType w:val="multilevel"/>
    <w:tmpl w:val="AD808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2EF65D34"/>
    <w:multiLevelType w:val="hybridMultilevel"/>
    <w:tmpl w:val="C694B41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nsid w:val="32314B95"/>
    <w:multiLevelType w:val="hybridMultilevel"/>
    <w:tmpl w:val="D33A1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23C6A39"/>
    <w:multiLevelType w:val="multilevel"/>
    <w:tmpl w:val="B0702A38"/>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341A741F"/>
    <w:multiLevelType w:val="multilevel"/>
    <w:tmpl w:val="43825472"/>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36941B39"/>
    <w:multiLevelType w:val="multilevel"/>
    <w:tmpl w:val="0AC20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37642CDC"/>
    <w:multiLevelType w:val="multilevel"/>
    <w:tmpl w:val="58369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386D7307"/>
    <w:multiLevelType w:val="multilevel"/>
    <w:tmpl w:val="66B239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3BDB7A52"/>
    <w:multiLevelType w:val="multilevel"/>
    <w:tmpl w:val="F67230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3EE47180"/>
    <w:multiLevelType w:val="multilevel"/>
    <w:tmpl w:val="F85C89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42A32CAA"/>
    <w:multiLevelType w:val="multilevel"/>
    <w:tmpl w:val="4DF4F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43210DA0"/>
    <w:multiLevelType w:val="multilevel"/>
    <w:tmpl w:val="E286F1C8"/>
    <w:lvl w:ilvl="0">
      <w:start w:val="1"/>
      <w:numFmt w:val="bullet"/>
      <w:lvlText w:val=""/>
      <w:lvlPicBulletId w:val="0"/>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nsid w:val="44971504"/>
    <w:multiLevelType w:val="multilevel"/>
    <w:tmpl w:val="D1A89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nsid w:val="4C604603"/>
    <w:multiLevelType w:val="multilevel"/>
    <w:tmpl w:val="3A261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nsid w:val="4D4B03D0"/>
    <w:multiLevelType w:val="multilevel"/>
    <w:tmpl w:val="E6109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4EA02304"/>
    <w:multiLevelType w:val="multilevel"/>
    <w:tmpl w:val="0240A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517113CD"/>
    <w:multiLevelType w:val="hybridMultilevel"/>
    <w:tmpl w:val="B03A4A4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522402D9"/>
    <w:multiLevelType w:val="multilevel"/>
    <w:tmpl w:val="BA5876E8"/>
    <w:lvl w:ilvl="0">
      <w:start w:val="1"/>
      <w:numFmt w:val="bullet"/>
      <w:lvlText w:val=""/>
      <w:lvlPicBulletId w:val="1"/>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nsid w:val="565E219F"/>
    <w:multiLevelType w:val="multilevel"/>
    <w:tmpl w:val="58D8A93C"/>
    <w:lvl w:ilvl="0">
      <w:start w:val="1"/>
      <w:numFmt w:val="bullet"/>
      <w:lvlText w:val=""/>
      <w:lvlPicBulletId w:val="1"/>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nsid w:val="5B371C05"/>
    <w:multiLevelType w:val="multilevel"/>
    <w:tmpl w:val="23C0F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5E675520"/>
    <w:multiLevelType w:val="hybridMultilevel"/>
    <w:tmpl w:val="E0F8494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613B6990"/>
    <w:multiLevelType w:val="multilevel"/>
    <w:tmpl w:val="F6AE11A0"/>
    <w:lvl w:ilvl="0">
      <w:start w:val="1"/>
      <w:numFmt w:val="bullet"/>
      <w:lvlText w:val=""/>
      <w:lvlPicBulletId w:val="0"/>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nsid w:val="61F23F12"/>
    <w:multiLevelType w:val="multilevel"/>
    <w:tmpl w:val="AA24B9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nsid w:val="61F71490"/>
    <w:multiLevelType w:val="multilevel"/>
    <w:tmpl w:val="37E81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nsid w:val="6AEB0BCA"/>
    <w:multiLevelType w:val="multilevel"/>
    <w:tmpl w:val="D878EF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nsid w:val="6B3B7871"/>
    <w:multiLevelType w:val="multilevel"/>
    <w:tmpl w:val="CACA28FE"/>
    <w:lvl w:ilvl="0">
      <w:start w:val="1"/>
      <w:numFmt w:val="bullet"/>
      <w:lvlText w:val=""/>
      <w:lvlPicBulletId w:val="0"/>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nsid w:val="6BE04400"/>
    <w:multiLevelType w:val="multilevel"/>
    <w:tmpl w:val="CA940AB0"/>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nsid w:val="6BE74180"/>
    <w:multiLevelType w:val="hybridMultilevel"/>
    <w:tmpl w:val="2B302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6C14042C"/>
    <w:multiLevelType w:val="hybridMultilevel"/>
    <w:tmpl w:val="5A944C8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3">
    <w:nsid w:val="6E6F7686"/>
    <w:multiLevelType w:val="multilevel"/>
    <w:tmpl w:val="929AB002"/>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nsid w:val="6F991E33"/>
    <w:multiLevelType w:val="multilevel"/>
    <w:tmpl w:val="75B62A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nsid w:val="707B772E"/>
    <w:multiLevelType w:val="multilevel"/>
    <w:tmpl w:val="F52402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nsid w:val="7D7373B8"/>
    <w:multiLevelType w:val="hybridMultilevel"/>
    <w:tmpl w:val="730298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nsid w:val="7E667135"/>
    <w:multiLevelType w:val="hybridMultilevel"/>
    <w:tmpl w:val="9398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8"/>
  </w:num>
  <w:num w:numId="2">
    <w:abstractNumId w:val="24"/>
  </w:num>
  <w:num w:numId="3">
    <w:abstractNumId w:val="19"/>
  </w:num>
  <w:num w:numId="4">
    <w:abstractNumId w:val="33"/>
  </w:num>
  <w:num w:numId="5">
    <w:abstractNumId w:val="9"/>
  </w:num>
  <w:num w:numId="6">
    <w:abstractNumId w:val="28"/>
  </w:num>
  <w:num w:numId="7">
    <w:abstractNumId w:val="44"/>
  </w:num>
  <w:num w:numId="8">
    <w:abstractNumId w:val="29"/>
  </w:num>
  <w:num w:numId="9">
    <w:abstractNumId w:val="26"/>
  </w:num>
  <w:num w:numId="10">
    <w:abstractNumId w:val="2"/>
  </w:num>
  <w:num w:numId="11">
    <w:abstractNumId w:val="22"/>
  </w:num>
  <w:num w:numId="12">
    <w:abstractNumId w:val="13"/>
  </w:num>
  <w:num w:numId="13">
    <w:abstractNumId w:val="0"/>
  </w:num>
  <w:num w:numId="14">
    <w:abstractNumId w:val="45"/>
  </w:num>
  <w:num w:numId="15">
    <w:abstractNumId w:val="37"/>
  </w:num>
  <w:num w:numId="16">
    <w:abstractNumId w:val="8"/>
  </w:num>
  <w:num w:numId="17">
    <w:abstractNumId w:val="40"/>
  </w:num>
  <w:num w:numId="18">
    <w:abstractNumId w:val="35"/>
  </w:num>
  <w:num w:numId="19">
    <w:abstractNumId w:val="18"/>
  </w:num>
  <w:num w:numId="20">
    <w:abstractNumId w:val="46"/>
  </w:num>
  <w:num w:numId="21">
    <w:abstractNumId w:val="5"/>
  </w:num>
  <w:num w:numId="22">
    <w:abstractNumId w:val="14"/>
  </w:num>
  <w:num w:numId="23">
    <w:abstractNumId w:val="20"/>
  </w:num>
  <w:num w:numId="24">
    <w:abstractNumId w:val="10"/>
  </w:num>
  <w:num w:numId="25">
    <w:abstractNumId w:val="42"/>
  </w:num>
  <w:num w:numId="26">
    <w:abstractNumId w:val="12"/>
  </w:num>
  <w:num w:numId="27">
    <w:abstractNumId w:val="27"/>
  </w:num>
  <w:num w:numId="28">
    <w:abstractNumId w:val="15"/>
  </w:num>
  <w:num w:numId="29">
    <w:abstractNumId w:val="21"/>
  </w:num>
  <w:num w:numId="30">
    <w:abstractNumId w:val="1"/>
  </w:num>
  <w:num w:numId="31">
    <w:abstractNumId w:val="17"/>
  </w:num>
  <w:num w:numId="32">
    <w:abstractNumId w:val="30"/>
  </w:num>
  <w:num w:numId="33">
    <w:abstractNumId w:val="11"/>
  </w:num>
  <w:num w:numId="34">
    <w:abstractNumId w:val="23"/>
  </w:num>
  <w:num w:numId="35">
    <w:abstractNumId w:val="4"/>
  </w:num>
  <w:num w:numId="36">
    <w:abstractNumId w:val="43"/>
  </w:num>
  <w:num w:numId="37">
    <w:abstractNumId w:val="6"/>
  </w:num>
  <w:num w:numId="38">
    <w:abstractNumId w:val="36"/>
  </w:num>
  <w:num w:numId="39">
    <w:abstractNumId w:val="7"/>
  </w:num>
  <w:num w:numId="40">
    <w:abstractNumId w:val="25"/>
  </w:num>
  <w:num w:numId="41">
    <w:abstractNumId w:val="39"/>
  </w:num>
  <w:num w:numId="42">
    <w:abstractNumId w:val="34"/>
  </w:num>
  <w:num w:numId="43">
    <w:abstractNumId w:val="16"/>
  </w:num>
  <w:num w:numId="44">
    <w:abstractNumId w:val="47"/>
  </w:num>
  <w:num w:numId="45">
    <w:abstractNumId w:val="3"/>
  </w:num>
  <w:num w:numId="46">
    <w:abstractNumId w:val="41"/>
  </w:num>
  <w:num w:numId="47">
    <w:abstractNumId w:val="32"/>
  </w:num>
  <w:num w:numId="48">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45BD3"/>
    <w:rsid w:val="00043B5A"/>
    <w:rsid w:val="0005226B"/>
    <w:rsid w:val="000966B4"/>
    <w:rsid w:val="000A03B8"/>
    <w:rsid w:val="000B458D"/>
    <w:rsid w:val="000D25DE"/>
    <w:rsid w:val="00145BD3"/>
    <w:rsid w:val="001B1F58"/>
    <w:rsid w:val="001D1A14"/>
    <w:rsid w:val="001E4A88"/>
    <w:rsid w:val="00271B50"/>
    <w:rsid w:val="00276F03"/>
    <w:rsid w:val="002B6DFE"/>
    <w:rsid w:val="002C0BC5"/>
    <w:rsid w:val="002C1938"/>
    <w:rsid w:val="002D1F4C"/>
    <w:rsid w:val="002D3B3E"/>
    <w:rsid w:val="00320E4A"/>
    <w:rsid w:val="00382272"/>
    <w:rsid w:val="00390E8C"/>
    <w:rsid w:val="003C5014"/>
    <w:rsid w:val="00406FA2"/>
    <w:rsid w:val="004444FE"/>
    <w:rsid w:val="004C77BB"/>
    <w:rsid w:val="004F0038"/>
    <w:rsid w:val="00512F95"/>
    <w:rsid w:val="0054479B"/>
    <w:rsid w:val="005E367B"/>
    <w:rsid w:val="00616FE3"/>
    <w:rsid w:val="0065421E"/>
    <w:rsid w:val="006E2341"/>
    <w:rsid w:val="006E3C16"/>
    <w:rsid w:val="00704842"/>
    <w:rsid w:val="00716D00"/>
    <w:rsid w:val="0079318C"/>
    <w:rsid w:val="007E7C33"/>
    <w:rsid w:val="008179B5"/>
    <w:rsid w:val="00870A54"/>
    <w:rsid w:val="00880ACE"/>
    <w:rsid w:val="008B1055"/>
    <w:rsid w:val="008E0086"/>
    <w:rsid w:val="00907222"/>
    <w:rsid w:val="0092074C"/>
    <w:rsid w:val="00944201"/>
    <w:rsid w:val="00983178"/>
    <w:rsid w:val="009D20C2"/>
    <w:rsid w:val="00A03ECC"/>
    <w:rsid w:val="00A2419E"/>
    <w:rsid w:val="00A64D5A"/>
    <w:rsid w:val="00AA696A"/>
    <w:rsid w:val="00AD61A4"/>
    <w:rsid w:val="00AF01C1"/>
    <w:rsid w:val="00AF4B71"/>
    <w:rsid w:val="00B954DE"/>
    <w:rsid w:val="00BA5403"/>
    <w:rsid w:val="00BA7507"/>
    <w:rsid w:val="00BB6FCD"/>
    <w:rsid w:val="00BD30A2"/>
    <w:rsid w:val="00C05AE9"/>
    <w:rsid w:val="00C46FE8"/>
    <w:rsid w:val="00CD3650"/>
    <w:rsid w:val="00D300DA"/>
    <w:rsid w:val="00D76D42"/>
    <w:rsid w:val="00DB7AFC"/>
    <w:rsid w:val="00DC1519"/>
    <w:rsid w:val="00DF09E6"/>
    <w:rsid w:val="00E01838"/>
    <w:rsid w:val="00E613F6"/>
    <w:rsid w:val="00E72C33"/>
    <w:rsid w:val="00ED2D90"/>
    <w:rsid w:val="00F02B9A"/>
    <w:rsid w:val="00F07E06"/>
    <w:rsid w:val="00F73701"/>
    <w:rsid w:val="00FE7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58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4444FE"/>
    <w:pPr>
      <w:keepNext/>
      <w:keepLines/>
      <w:spacing w:before="480" w:after="0"/>
      <w:outlineLvl w:val="0"/>
    </w:pPr>
    <w:rPr>
      <w:rFonts w:ascii="Arial" w:eastAsia="Times New Roman" w:hAnsi="Arial" w:cstheme="majorBidi"/>
      <w:b/>
      <w:bCs/>
      <w:color w:val="000000" w:themeColor="text1"/>
      <w:sz w:val="32"/>
      <w:szCs w:val="28"/>
      <w:lang w:eastAsia="en-GB"/>
    </w:rPr>
  </w:style>
  <w:style w:type="paragraph" w:styleId="Heading2">
    <w:name w:val="heading 2"/>
    <w:basedOn w:val="Normal"/>
    <w:next w:val="Normal"/>
    <w:link w:val="Heading2Char"/>
    <w:autoRedefine/>
    <w:uiPriority w:val="9"/>
    <w:unhideWhenUsed/>
    <w:qFormat/>
    <w:rsid w:val="00DB7AFC"/>
    <w:pPr>
      <w:keepNext/>
      <w:keepLines/>
      <w:spacing w:before="200" w:after="0" w:line="360" w:lineRule="auto"/>
      <w:jc w:val="both"/>
      <w:outlineLvl w:val="1"/>
    </w:pPr>
    <w:rPr>
      <w:rFonts w:ascii="Arial" w:eastAsia="Times New Roman" w:hAnsi="Arial" w:cstheme="majorBidi"/>
      <w:b/>
      <w:bCs/>
      <w:color w:val="000000" w:themeColor="text1"/>
      <w:sz w:val="28"/>
      <w:szCs w:val="26"/>
      <w:lang w:eastAsia="en-GB"/>
    </w:rPr>
  </w:style>
  <w:style w:type="paragraph" w:styleId="Heading3">
    <w:name w:val="heading 3"/>
    <w:basedOn w:val="Normal"/>
    <w:next w:val="Normal"/>
    <w:link w:val="Heading3Char"/>
    <w:autoRedefine/>
    <w:uiPriority w:val="9"/>
    <w:unhideWhenUsed/>
    <w:qFormat/>
    <w:rsid w:val="00DB7AFC"/>
    <w:pPr>
      <w:keepNext/>
      <w:keepLines/>
      <w:spacing w:before="200" w:after="0" w:line="360" w:lineRule="auto"/>
      <w:jc w:val="both"/>
      <w:outlineLvl w:val="2"/>
    </w:pPr>
    <w:rPr>
      <w:rFonts w:ascii="Arial" w:eastAsia="Times New Roman" w:hAnsi="Arial" w:cs="Arial"/>
      <w:b/>
      <w:color w:val="000000" w:themeColor="text1"/>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2074C"/>
    <w:rPr>
      <w:rFonts w:ascii="Times New Roman" w:hAnsi="Times New Roman" w:cs="Times New Roman"/>
      <w:sz w:val="24"/>
      <w:szCs w:val="24"/>
    </w:rPr>
  </w:style>
  <w:style w:type="paragraph" w:styleId="ListParagraph">
    <w:name w:val="List Paragraph"/>
    <w:basedOn w:val="Normal"/>
    <w:uiPriority w:val="34"/>
    <w:qFormat/>
    <w:rsid w:val="00983178"/>
    <w:pPr>
      <w:ind w:left="720"/>
      <w:contextualSpacing/>
    </w:pPr>
  </w:style>
  <w:style w:type="paragraph" w:styleId="BalloonText">
    <w:name w:val="Balloon Text"/>
    <w:basedOn w:val="Normal"/>
    <w:link w:val="BalloonTextChar"/>
    <w:uiPriority w:val="99"/>
    <w:semiHidden/>
    <w:unhideWhenUsed/>
    <w:rsid w:val="00F07E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7E06"/>
    <w:rPr>
      <w:rFonts w:ascii="Tahoma" w:hAnsi="Tahoma" w:cs="Tahoma"/>
      <w:sz w:val="16"/>
      <w:szCs w:val="16"/>
    </w:rPr>
  </w:style>
  <w:style w:type="character" w:customStyle="1" w:styleId="Heading1Char">
    <w:name w:val="Heading 1 Char"/>
    <w:basedOn w:val="DefaultParagraphFont"/>
    <w:link w:val="Heading1"/>
    <w:uiPriority w:val="9"/>
    <w:rsid w:val="004444FE"/>
    <w:rPr>
      <w:rFonts w:ascii="Arial" w:eastAsia="Times New Roman" w:hAnsi="Arial" w:cstheme="majorBidi"/>
      <w:b/>
      <w:bCs/>
      <w:color w:val="000000" w:themeColor="text1"/>
      <w:sz w:val="32"/>
      <w:szCs w:val="28"/>
      <w:lang w:eastAsia="en-GB"/>
    </w:rPr>
  </w:style>
  <w:style w:type="character" w:customStyle="1" w:styleId="Heading2Char">
    <w:name w:val="Heading 2 Char"/>
    <w:basedOn w:val="DefaultParagraphFont"/>
    <w:link w:val="Heading2"/>
    <w:uiPriority w:val="9"/>
    <w:rsid w:val="00DB7AFC"/>
    <w:rPr>
      <w:rFonts w:ascii="Arial" w:eastAsia="Times New Roman" w:hAnsi="Arial" w:cstheme="majorBidi"/>
      <w:b/>
      <w:bCs/>
      <w:color w:val="000000" w:themeColor="text1"/>
      <w:sz w:val="28"/>
      <w:szCs w:val="26"/>
      <w:lang w:eastAsia="en-GB"/>
    </w:rPr>
  </w:style>
  <w:style w:type="character" w:customStyle="1" w:styleId="Heading3Char">
    <w:name w:val="Heading 3 Char"/>
    <w:basedOn w:val="DefaultParagraphFont"/>
    <w:link w:val="Heading3"/>
    <w:uiPriority w:val="9"/>
    <w:rsid w:val="00DB7AFC"/>
    <w:rPr>
      <w:rFonts w:ascii="Arial" w:eastAsia="Times New Roman" w:hAnsi="Arial" w:cs="Arial"/>
      <w:b/>
      <w:color w:val="000000" w:themeColor="text1"/>
      <w:lang w:eastAsia="en-GB"/>
    </w:rPr>
  </w:style>
  <w:style w:type="paragraph" w:styleId="TOCHeading">
    <w:name w:val="TOC Heading"/>
    <w:basedOn w:val="Heading1"/>
    <w:next w:val="Normal"/>
    <w:uiPriority w:val="39"/>
    <w:semiHidden/>
    <w:unhideWhenUsed/>
    <w:qFormat/>
    <w:rsid w:val="00E72C33"/>
    <w:pPr>
      <w:outlineLvl w:val="9"/>
    </w:pPr>
    <w:rPr>
      <w:rFonts w:asciiTheme="majorHAnsi" w:eastAsiaTheme="majorEastAsia" w:hAnsiTheme="majorHAnsi"/>
      <w:color w:val="365F91" w:themeColor="accent1" w:themeShade="BF"/>
      <w:sz w:val="28"/>
      <w:lang w:val="en-US" w:eastAsia="ja-JP"/>
    </w:rPr>
  </w:style>
  <w:style w:type="paragraph" w:styleId="TOC1">
    <w:name w:val="toc 1"/>
    <w:basedOn w:val="Normal"/>
    <w:next w:val="Normal"/>
    <w:autoRedefine/>
    <w:uiPriority w:val="39"/>
    <w:unhideWhenUsed/>
    <w:rsid w:val="00E72C33"/>
    <w:pPr>
      <w:spacing w:after="100"/>
    </w:pPr>
  </w:style>
  <w:style w:type="paragraph" w:styleId="TOC2">
    <w:name w:val="toc 2"/>
    <w:basedOn w:val="Normal"/>
    <w:next w:val="Normal"/>
    <w:autoRedefine/>
    <w:uiPriority w:val="39"/>
    <w:unhideWhenUsed/>
    <w:rsid w:val="00E72C33"/>
    <w:pPr>
      <w:spacing w:after="100"/>
      <w:ind w:left="220"/>
    </w:pPr>
  </w:style>
  <w:style w:type="paragraph" w:styleId="TOC3">
    <w:name w:val="toc 3"/>
    <w:basedOn w:val="Normal"/>
    <w:next w:val="Normal"/>
    <w:autoRedefine/>
    <w:uiPriority w:val="39"/>
    <w:unhideWhenUsed/>
    <w:rsid w:val="002C0BC5"/>
    <w:pPr>
      <w:tabs>
        <w:tab w:val="left" w:pos="880"/>
        <w:tab w:val="right" w:leader="dot" w:pos="9016"/>
      </w:tabs>
      <w:spacing w:after="100"/>
      <w:ind w:left="440"/>
      <w:jc w:val="both"/>
    </w:pPr>
  </w:style>
  <w:style w:type="character" w:styleId="Hyperlink">
    <w:name w:val="Hyperlink"/>
    <w:basedOn w:val="DefaultParagraphFont"/>
    <w:uiPriority w:val="99"/>
    <w:unhideWhenUsed/>
    <w:rsid w:val="00E72C33"/>
    <w:rPr>
      <w:color w:val="0000FF" w:themeColor="hyperlink"/>
      <w:u w:val="single"/>
    </w:rPr>
  </w:style>
  <w:style w:type="paragraph" w:styleId="Header">
    <w:name w:val="header"/>
    <w:basedOn w:val="Normal"/>
    <w:link w:val="HeaderChar"/>
    <w:uiPriority w:val="99"/>
    <w:unhideWhenUsed/>
    <w:rsid w:val="00F737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3701"/>
  </w:style>
  <w:style w:type="paragraph" w:styleId="Footer">
    <w:name w:val="footer"/>
    <w:basedOn w:val="Normal"/>
    <w:link w:val="FooterChar"/>
    <w:uiPriority w:val="99"/>
    <w:unhideWhenUsed/>
    <w:rsid w:val="00F737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3701"/>
  </w:style>
  <w:style w:type="character" w:styleId="CommentReference">
    <w:name w:val="annotation reference"/>
    <w:basedOn w:val="DefaultParagraphFont"/>
    <w:uiPriority w:val="99"/>
    <w:semiHidden/>
    <w:unhideWhenUsed/>
    <w:rsid w:val="00BD30A2"/>
    <w:rPr>
      <w:sz w:val="16"/>
      <w:szCs w:val="16"/>
    </w:rPr>
  </w:style>
  <w:style w:type="paragraph" w:styleId="CommentText">
    <w:name w:val="annotation text"/>
    <w:basedOn w:val="Normal"/>
    <w:link w:val="CommentTextChar"/>
    <w:uiPriority w:val="99"/>
    <w:semiHidden/>
    <w:unhideWhenUsed/>
    <w:rsid w:val="00BD30A2"/>
    <w:pPr>
      <w:spacing w:line="240" w:lineRule="auto"/>
    </w:pPr>
    <w:rPr>
      <w:sz w:val="20"/>
      <w:szCs w:val="20"/>
    </w:rPr>
  </w:style>
  <w:style w:type="character" w:customStyle="1" w:styleId="CommentTextChar">
    <w:name w:val="Comment Text Char"/>
    <w:basedOn w:val="DefaultParagraphFont"/>
    <w:link w:val="CommentText"/>
    <w:uiPriority w:val="99"/>
    <w:semiHidden/>
    <w:rsid w:val="00BD30A2"/>
    <w:rPr>
      <w:sz w:val="20"/>
      <w:szCs w:val="20"/>
    </w:rPr>
  </w:style>
  <w:style w:type="paragraph" w:styleId="CommentSubject">
    <w:name w:val="annotation subject"/>
    <w:basedOn w:val="CommentText"/>
    <w:next w:val="CommentText"/>
    <w:link w:val="CommentSubjectChar"/>
    <w:uiPriority w:val="99"/>
    <w:semiHidden/>
    <w:unhideWhenUsed/>
    <w:rsid w:val="00BD30A2"/>
    <w:rPr>
      <w:b/>
      <w:bCs/>
    </w:rPr>
  </w:style>
  <w:style w:type="character" w:customStyle="1" w:styleId="CommentSubjectChar">
    <w:name w:val="Comment Subject Char"/>
    <w:basedOn w:val="CommentTextChar"/>
    <w:link w:val="CommentSubject"/>
    <w:uiPriority w:val="99"/>
    <w:semiHidden/>
    <w:rsid w:val="00BD30A2"/>
    <w:rPr>
      <w:b/>
      <w:bCs/>
      <w:sz w:val="20"/>
      <w:szCs w:val="20"/>
    </w:rPr>
  </w:style>
  <w:style w:type="table" w:styleId="LightShading-Accent5">
    <w:name w:val="Light Shading Accent 5"/>
    <w:basedOn w:val="TableNormal"/>
    <w:uiPriority w:val="60"/>
    <w:rsid w:val="008E0086"/>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character" w:customStyle="1" w:styleId="UnresolvedMention">
    <w:name w:val="Unresolved Mention"/>
    <w:basedOn w:val="DefaultParagraphFont"/>
    <w:uiPriority w:val="99"/>
    <w:semiHidden/>
    <w:unhideWhenUsed/>
    <w:rsid w:val="00FE7B7F"/>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4444FE"/>
    <w:pPr>
      <w:keepNext/>
      <w:keepLines/>
      <w:spacing w:before="480" w:after="0"/>
      <w:outlineLvl w:val="0"/>
    </w:pPr>
    <w:rPr>
      <w:rFonts w:ascii="Arial" w:eastAsia="Times New Roman" w:hAnsi="Arial" w:cstheme="majorBidi"/>
      <w:b/>
      <w:bCs/>
      <w:color w:val="000000" w:themeColor="text1"/>
      <w:sz w:val="32"/>
      <w:szCs w:val="28"/>
      <w:lang w:eastAsia="en-GB"/>
    </w:rPr>
  </w:style>
  <w:style w:type="paragraph" w:styleId="Heading2">
    <w:name w:val="heading 2"/>
    <w:basedOn w:val="Normal"/>
    <w:next w:val="Normal"/>
    <w:link w:val="Heading2Char"/>
    <w:autoRedefine/>
    <w:uiPriority w:val="9"/>
    <w:unhideWhenUsed/>
    <w:qFormat/>
    <w:rsid w:val="00DB7AFC"/>
    <w:pPr>
      <w:keepNext/>
      <w:keepLines/>
      <w:spacing w:before="200" w:after="0" w:line="360" w:lineRule="auto"/>
      <w:jc w:val="both"/>
      <w:outlineLvl w:val="1"/>
    </w:pPr>
    <w:rPr>
      <w:rFonts w:ascii="Arial" w:eastAsia="Times New Roman" w:hAnsi="Arial" w:cstheme="majorBidi"/>
      <w:b/>
      <w:bCs/>
      <w:color w:val="000000" w:themeColor="text1"/>
      <w:sz w:val="28"/>
      <w:szCs w:val="26"/>
      <w:lang w:eastAsia="en-GB"/>
    </w:rPr>
  </w:style>
  <w:style w:type="paragraph" w:styleId="Heading3">
    <w:name w:val="heading 3"/>
    <w:basedOn w:val="Normal"/>
    <w:next w:val="Normal"/>
    <w:link w:val="Heading3Char"/>
    <w:autoRedefine/>
    <w:uiPriority w:val="9"/>
    <w:unhideWhenUsed/>
    <w:qFormat/>
    <w:rsid w:val="00DB7AFC"/>
    <w:pPr>
      <w:keepNext/>
      <w:keepLines/>
      <w:spacing w:before="200" w:after="0" w:line="360" w:lineRule="auto"/>
      <w:jc w:val="both"/>
      <w:outlineLvl w:val="2"/>
    </w:pPr>
    <w:rPr>
      <w:rFonts w:ascii="Arial" w:eastAsia="Times New Roman" w:hAnsi="Arial" w:cs="Arial"/>
      <w:b/>
      <w:color w:val="000000" w:themeColor="text1"/>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2074C"/>
    <w:rPr>
      <w:rFonts w:ascii="Times New Roman" w:hAnsi="Times New Roman" w:cs="Times New Roman"/>
      <w:sz w:val="24"/>
      <w:szCs w:val="24"/>
    </w:rPr>
  </w:style>
  <w:style w:type="paragraph" w:styleId="ListParagraph">
    <w:name w:val="List Paragraph"/>
    <w:basedOn w:val="Normal"/>
    <w:uiPriority w:val="34"/>
    <w:qFormat/>
    <w:rsid w:val="00983178"/>
    <w:pPr>
      <w:ind w:left="720"/>
      <w:contextualSpacing/>
    </w:pPr>
  </w:style>
  <w:style w:type="paragraph" w:styleId="BalloonText">
    <w:name w:val="Balloon Text"/>
    <w:basedOn w:val="Normal"/>
    <w:link w:val="BalloonTextChar"/>
    <w:uiPriority w:val="99"/>
    <w:semiHidden/>
    <w:unhideWhenUsed/>
    <w:rsid w:val="00F07E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7E06"/>
    <w:rPr>
      <w:rFonts w:ascii="Tahoma" w:hAnsi="Tahoma" w:cs="Tahoma"/>
      <w:sz w:val="16"/>
      <w:szCs w:val="16"/>
    </w:rPr>
  </w:style>
  <w:style w:type="character" w:customStyle="1" w:styleId="Heading1Char">
    <w:name w:val="Heading 1 Char"/>
    <w:basedOn w:val="DefaultParagraphFont"/>
    <w:link w:val="Heading1"/>
    <w:uiPriority w:val="9"/>
    <w:rsid w:val="004444FE"/>
    <w:rPr>
      <w:rFonts w:ascii="Arial" w:eastAsia="Times New Roman" w:hAnsi="Arial" w:cstheme="majorBidi"/>
      <w:b/>
      <w:bCs/>
      <w:color w:val="000000" w:themeColor="text1"/>
      <w:sz w:val="32"/>
      <w:szCs w:val="28"/>
      <w:lang w:eastAsia="en-GB"/>
    </w:rPr>
  </w:style>
  <w:style w:type="character" w:customStyle="1" w:styleId="Heading2Char">
    <w:name w:val="Heading 2 Char"/>
    <w:basedOn w:val="DefaultParagraphFont"/>
    <w:link w:val="Heading2"/>
    <w:uiPriority w:val="9"/>
    <w:rsid w:val="00DB7AFC"/>
    <w:rPr>
      <w:rFonts w:ascii="Arial" w:eastAsia="Times New Roman" w:hAnsi="Arial" w:cstheme="majorBidi"/>
      <w:b/>
      <w:bCs/>
      <w:color w:val="000000" w:themeColor="text1"/>
      <w:sz w:val="28"/>
      <w:szCs w:val="26"/>
      <w:lang w:eastAsia="en-GB"/>
    </w:rPr>
  </w:style>
  <w:style w:type="character" w:customStyle="1" w:styleId="Heading3Char">
    <w:name w:val="Heading 3 Char"/>
    <w:basedOn w:val="DefaultParagraphFont"/>
    <w:link w:val="Heading3"/>
    <w:uiPriority w:val="9"/>
    <w:rsid w:val="00DB7AFC"/>
    <w:rPr>
      <w:rFonts w:ascii="Arial" w:eastAsia="Times New Roman" w:hAnsi="Arial" w:cs="Arial"/>
      <w:b/>
      <w:color w:val="000000" w:themeColor="text1"/>
      <w:lang w:eastAsia="en-GB"/>
    </w:rPr>
  </w:style>
  <w:style w:type="paragraph" w:styleId="TOCHeading">
    <w:name w:val="TOC Heading"/>
    <w:basedOn w:val="Heading1"/>
    <w:next w:val="Normal"/>
    <w:uiPriority w:val="39"/>
    <w:semiHidden/>
    <w:unhideWhenUsed/>
    <w:qFormat/>
    <w:rsid w:val="00E72C33"/>
    <w:pPr>
      <w:outlineLvl w:val="9"/>
    </w:pPr>
    <w:rPr>
      <w:rFonts w:asciiTheme="majorHAnsi" w:eastAsiaTheme="majorEastAsia" w:hAnsiTheme="majorHAnsi"/>
      <w:color w:val="365F91" w:themeColor="accent1" w:themeShade="BF"/>
      <w:sz w:val="28"/>
      <w:lang w:val="en-US" w:eastAsia="ja-JP"/>
    </w:rPr>
  </w:style>
  <w:style w:type="paragraph" w:styleId="TOC1">
    <w:name w:val="toc 1"/>
    <w:basedOn w:val="Normal"/>
    <w:next w:val="Normal"/>
    <w:autoRedefine/>
    <w:uiPriority w:val="39"/>
    <w:unhideWhenUsed/>
    <w:rsid w:val="00E72C33"/>
    <w:pPr>
      <w:spacing w:after="100"/>
    </w:pPr>
  </w:style>
  <w:style w:type="paragraph" w:styleId="TOC2">
    <w:name w:val="toc 2"/>
    <w:basedOn w:val="Normal"/>
    <w:next w:val="Normal"/>
    <w:autoRedefine/>
    <w:uiPriority w:val="39"/>
    <w:unhideWhenUsed/>
    <w:rsid w:val="00E72C33"/>
    <w:pPr>
      <w:spacing w:after="100"/>
      <w:ind w:left="220"/>
    </w:pPr>
  </w:style>
  <w:style w:type="paragraph" w:styleId="TOC3">
    <w:name w:val="toc 3"/>
    <w:basedOn w:val="Normal"/>
    <w:next w:val="Normal"/>
    <w:autoRedefine/>
    <w:uiPriority w:val="39"/>
    <w:unhideWhenUsed/>
    <w:rsid w:val="002C0BC5"/>
    <w:pPr>
      <w:tabs>
        <w:tab w:val="left" w:pos="880"/>
        <w:tab w:val="right" w:leader="dot" w:pos="9016"/>
      </w:tabs>
      <w:spacing w:after="100"/>
      <w:ind w:left="440"/>
      <w:jc w:val="both"/>
    </w:pPr>
  </w:style>
  <w:style w:type="character" w:styleId="Hyperlink">
    <w:name w:val="Hyperlink"/>
    <w:basedOn w:val="DefaultParagraphFont"/>
    <w:uiPriority w:val="99"/>
    <w:unhideWhenUsed/>
    <w:rsid w:val="00E72C33"/>
    <w:rPr>
      <w:color w:val="0000FF" w:themeColor="hyperlink"/>
      <w:u w:val="single"/>
    </w:rPr>
  </w:style>
  <w:style w:type="paragraph" w:styleId="Header">
    <w:name w:val="header"/>
    <w:basedOn w:val="Normal"/>
    <w:link w:val="HeaderChar"/>
    <w:uiPriority w:val="99"/>
    <w:unhideWhenUsed/>
    <w:rsid w:val="00F737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3701"/>
  </w:style>
  <w:style w:type="paragraph" w:styleId="Footer">
    <w:name w:val="footer"/>
    <w:basedOn w:val="Normal"/>
    <w:link w:val="FooterChar"/>
    <w:uiPriority w:val="99"/>
    <w:unhideWhenUsed/>
    <w:rsid w:val="00F737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3701"/>
  </w:style>
  <w:style w:type="character" w:styleId="CommentReference">
    <w:name w:val="annotation reference"/>
    <w:basedOn w:val="DefaultParagraphFont"/>
    <w:uiPriority w:val="99"/>
    <w:semiHidden/>
    <w:unhideWhenUsed/>
    <w:rsid w:val="00BD30A2"/>
    <w:rPr>
      <w:sz w:val="16"/>
      <w:szCs w:val="16"/>
    </w:rPr>
  </w:style>
  <w:style w:type="paragraph" w:styleId="CommentText">
    <w:name w:val="annotation text"/>
    <w:basedOn w:val="Normal"/>
    <w:link w:val="CommentTextChar"/>
    <w:uiPriority w:val="99"/>
    <w:semiHidden/>
    <w:unhideWhenUsed/>
    <w:rsid w:val="00BD30A2"/>
    <w:pPr>
      <w:spacing w:line="240" w:lineRule="auto"/>
    </w:pPr>
    <w:rPr>
      <w:sz w:val="20"/>
      <w:szCs w:val="20"/>
    </w:rPr>
  </w:style>
  <w:style w:type="character" w:customStyle="1" w:styleId="CommentTextChar">
    <w:name w:val="Comment Text Char"/>
    <w:basedOn w:val="DefaultParagraphFont"/>
    <w:link w:val="CommentText"/>
    <w:uiPriority w:val="99"/>
    <w:semiHidden/>
    <w:rsid w:val="00BD30A2"/>
    <w:rPr>
      <w:sz w:val="20"/>
      <w:szCs w:val="20"/>
    </w:rPr>
  </w:style>
  <w:style w:type="paragraph" w:styleId="CommentSubject">
    <w:name w:val="annotation subject"/>
    <w:basedOn w:val="CommentText"/>
    <w:next w:val="CommentText"/>
    <w:link w:val="CommentSubjectChar"/>
    <w:uiPriority w:val="99"/>
    <w:semiHidden/>
    <w:unhideWhenUsed/>
    <w:rsid w:val="00BD30A2"/>
    <w:rPr>
      <w:b/>
      <w:bCs/>
    </w:rPr>
  </w:style>
  <w:style w:type="character" w:customStyle="1" w:styleId="CommentSubjectChar">
    <w:name w:val="Comment Subject Char"/>
    <w:basedOn w:val="CommentTextChar"/>
    <w:link w:val="CommentSubject"/>
    <w:uiPriority w:val="99"/>
    <w:semiHidden/>
    <w:rsid w:val="00BD30A2"/>
    <w:rPr>
      <w:b/>
      <w:bCs/>
      <w:sz w:val="20"/>
      <w:szCs w:val="20"/>
    </w:rPr>
  </w:style>
  <w:style w:type="table" w:styleId="LightShading-Accent5">
    <w:name w:val="Light Shading Accent 5"/>
    <w:basedOn w:val="TableNormal"/>
    <w:uiPriority w:val="60"/>
    <w:rsid w:val="008E0086"/>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character" w:customStyle="1" w:styleId="UnresolvedMention">
    <w:name w:val="Unresolved Mention"/>
    <w:basedOn w:val="DefaultParagraphFont"/>
    <w:uiPriority w:val="99"/>
    <w:semiHidden/>
    <w:unhideWhenUsed/>
    <w:rsid w:val="00FE7B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7798173">
      <w:bodyDiv w:val="1"/>
      <w:marLeft w:val="0"/>
      <w:marRight w:val="0"/>
      <w:marTop w:val="0"/>
      <w:marBottom w:val="0"/>
      <w:divBdr>
        <w:top w:val="none" w:sz="0" w:space="0" w:color="auto"/>
        <w:left w:val="none" w:sz="0" w:space="0" w:color="auto"/>
        <w:bottom w:val="none" w:sz="0" w:space="0" w:color="auto"/>
        <w:right w:val="none" w:sz="0" w:space="0" w:color="auto"/>
      </w:divBdr>
      <w:divsChild>
        <w:div w:id="1609972490">
          <w:marLeft w:val="0"/>
          <w:marRight w:val="0"/>
          <w:marTop w:val="0"/>
          <w:marBottom w:val="0"/>
          <w:divBdr>
            <w:top w:val="none" w:sz="0" w:space="0" w:color="auto"/>
            <w:left w:val="none" w:sz="0" w:space="0" w:color="auto"/>
            <w:bottom w:val="none" w:sz="0" w:space="0" w:color="auto"/>
            <w:right w:val="none" w:sz="0" w:space="0" w:color="auto"/>
          </w:divBdr>
          <w:divsChild>
            <w:div w:id="140968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49925">
      <w:bodyDiv w:val="1"/>
      <w:marLeft w:val="0"/>
      <w:marRight w:val="0"/>
      <w:marTop w:val="0"/>
      <w:marBottom w:val="0"/>
      <w:divBdr>
        <w:top w:val="none" w:sz="0" w:space="0" w:color="auto"/>
        <w:left w:val="none" w:sz="0" w:space="0" w:color="auto"/>
        <w:bottom w:val="none" w:sz="0" w:space="0" w:color="auto"/>
        <w:right w:val="none" w:sz="0" w:space="0" w:color="auto"/>
      </w:divBdr>
    </w:div>
    <w:div w:id="217666505">
      <w:bodyDiv w:val="1"/>
      <w:marLeft w:val="0"/>
      <w:marRight w:val="0"/>
      <w:marTop w:val="0"/>
      <w:marBottom w:val="0"/>
      <w:divBdr>
        <w:top w:val="none" w:sz="0" w:space="0" w:color="auto"/>
        <w:left w:val="none" w:sz="0" w:space="0" w:color="auto"/>
        <w:bottom w:val="none" w:sz="0" w:space="0" w:color="auto"/>
        <w:right w:val="none" w:sz="0" w:space="0" w:color="auto"/>
      </w:divBdr>
      <w:divsChild>
        <w:div w:id="754089516">
          <w:marLeft w:val="0"/>
          <w:marRight w:val="0"/>
          <w:marTop w:val="0"/>
          <w:marBottom w:val="0"/>
          <w:divBdr>
            <w:top w:val="none" w:sz="0" w:space="0" w:color="auto"/>
            <w:left w:val="none" w:sz="0" w:space="0" w:color="auto"/>
            <w:bottom w:val="none" w:sz="0" w:space="0" w:color="auto"/>
            <w:right w:val="none" w:sz="0" w:space="0" w:color="auto"/>
          </w:divBdr>
          <w:divsChild>
            <w:div w:id="1240479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103067">
      <w:bodyDiv w:val="1"/>
      <w:marLeft w:val="0"/>
      <w:marRight w:val="0"/>
      <w:marTop w:val="0"/>
      <w:marBottom w:val="0"/>
      <w:divBdr>
        <w:top w:val="none" w:sz="0" w:space="0" w:color="auto"/>
        <w:left w:val="none" w:sz="0" w:space="0" w:color="auto"/>
        <w:bottom w:val="none" w:sz="0" w:space="0" w:color="auto"/>
        <w:right w:val="none" w:sz="0" w:space="0" w:color="auto"/>
      </w:divBdr>
    </w:div>
    <w:div w:id="255477253">
      <w:bodyDiv w:val="1"/>
      <w:marLeft w:val="0"/>
      <w:marRight w:val="0"/>
      <w:marTop w:val="0"/>
      <w:marBottom w:val="0"/>
      <w:divBdr>
        <w:top w:val="none" w:sz="0" w:space="0" w:color="auto"/>
        <w:left w:val="none" w:sz="0" w:space="0" w:color="auto"/>
        <w:bottom w:val="none" w:sz="0" w:space="0" w:color="auto"/>
        <w:right w:val="none" w:sz="0" w:space="0" w:color="auto"/>
      </w:divBdr>
      <w:divsChild>
        <w:div w:id="1614895357">
          <w:marLeft w:val="0"/>
          <w:marRight w:val="0"/>
          <w:marTop w:val="0"/>
          <w:marBottom w:val="0"/>
          <w:divBdr>
            <w:top w:val="none" w:sz="0" w:space="0" w:color="auto"/>
            <w:left w:val="none" w:sz="0" w:space="0" w:color="auto"/>
            <w:bottom w:val="none" w:sz="0" w:space="0" w:color="auto"/>
            <w:right w:val="none" w:sz="0" w:space="0" w:color="auto"/>
          </w:divBdr>
          <w:divsChild>
            <w:div w:id="1015577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0745812">
      <w:bodyDiv w:val="1"/>
      <w:marLeft w:val="0"/>
      <w:marRight w:val="0"/>
      <w:marTop w:val="0"/>
      <w:marBottom w:val="0"/>
      <w:divBdr>
        <w:top w:val="none" w:sz="0" w:space="0" w:color="auto"/>
        <w:left w:val="none" w:sz="0" w:space="0" w:color="auto"/>
        <w:bottom w:val="none" w:sz="0" w:space="0" w:color="auto"/>
        <w:right w:val="none" w:sz="0" w:space="0" w:color="auto"/>
      </w:divBdr>
      <w:divsChild>
        <w:div w:id="813526264">
          <w:marLeft w:val="0"/>
          <w:marRight w:val="0"/>
          <w:marTop w:val="0"/>
          <w:marBottom w:val="0"/>
          <w:divBdr>
            <w:top w:val="none" w:sz="0" w:space="0" w:color="auto"/>
            <w:left w:val="none" w:sz="0" w:space="0" w:color="auto"/>
            <w:bottom w:val="none" w:sz="0" w:space="0" w:color="auto"/>
            <w:right w:val="none" w:sz="0" w:space="0" w:color="auto"/>
          </w:divBdr>
          <w:divsChild>
            <w:div w:id="2026901119">
              <w:marLeft w:val="0"/>
              <w:marRight w:val="0"/>
              <w:marTop w:val="0"/>
              <w:marBottom w:val="0"/>
              <w:divBdr>
                <w:top w:val="none" w:sz="0" w:space="0" w:color="auto"/>
                <w:left w:val="none" w:sz="0" w:space="0" w:color="auto"/>
                <w:bottom w:val="none" w:sz="0" w:space="0" w:color="auto"/>
                <w:right w:val="none" w:sz="0" w:space="0" w:color="auto"/>
              </w:divBdr>
              <w:divsChild>
                <w:div w:id="18508744">
                  <w:marLeft w:val="0"/>
                  <w:marRight w:val="0"/>
                  <w:marTop w:val="0"/>
                  <w:marBottom w:val="0"/>
                  <w:divBdr>
                    <w:top w:val="none" w:sz="0" w:space="0" w:color="auto"/>
                    <w:left w:val="none" w:sz="0" w:space="0" w:color="auto"/>
                    <w:bottom w:val="none" w:sz="0" w:space="0" w:color="auto"/>
                    <w:right w:val="none" w:sz="0" w:space="0" w:color="auto"/>
                  </w:divBdr>
                  <w:divsChild>
                    <w:div w:id="25730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0371038">
      <w:bodyDiv w:val="1"/>
      <w:marLeft w:val="0"/>
      <w:marRight w:val="0"/>
      <w:marTop w:val="0"/>
      <w:marBottom w:val="0"/>
      <w:divBdr>
        <w:top w:val="none" w:sz="0" w:space="0" w:color="auto"/>
        <w:left w:val="none" w:sz="0" w:space="0" w:color="auto"/>
        <w:bottom w:val="none" w:sz="0" w:space="0" w:color="auto"/>
        <w:right w:val="none" w:sz="0" w:space="0" w:color="auto"/>
      </w:divBdr>
    </w:div>
    <w:div w:id="560748600">
      <w:bodyDiv w:val="1"/>
      <w:marLeft w:val="0"/>
      <w:marRight w:val="0"/>
      <w:marTop w:val="0"/>
      <w:marBottom w:val="0"/>
      <w:divBdr>
        <w:top w:val="none" w:sz="0" w:space="0" w:color="auto"/>
        <w:left w:val="none" w:sz="0" w:space="0" w:color="auto"/>
        <w:bottom w:val="none" w:sz="0" w:space="0" w:color="auto"/>
        <w:right w:val="none" w:sz="0" w:space="0" w:color="auto"/>
      </w:divBdr>
      <w:divsChild>
        <w:div w:id="1759785895">
          <w:marLeft w:val="0"/>
          <w:marRight w:val="0"/>
          <w:marTop w:val="0"/>
          <w:marBottom w:val="0"/>
          <w:divBdr>
            <w:top w:val="none" w:sz="0" w:space="0" w:color="auto"/>
            <w:left w:val="none" w:sz="0" w:space="0" w:color="auto"/>
            <w:bottom w:val="none" w:sz="0" w:space="0" w:color="auto"/>
            <w:right w:val="none" w:sz="0" w:space="0" w:color="auto"/>
          </w:divBdr>
          <w:divsChild>
            <w:div w:id="863590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917651">
      <w:bodyDiv w:val="1"/>
      <w:marLeft w:val="0"/>
      <w:marRight w:val="0"/>
      <w:marTop w:val="0"/>
      <w:marBottom w:val="0"/>
      <w:divBdr>
        <w:top w:val="none" w:sz="0" w:space="0" w:color="auto"/>
        <w:left w:val="none" w:sz="0" w:space="0" w:color="auto"/>
        <w:bottom w:val="none" w:sz="0" w:space="0" w:color="auto"/>
        <w:right w:val="none" w:sz="0" w:space="0" w:color="auto"/>
      </w:divBdr>
      <w:divsChild>
        <w:div w:id="1977635176">
          <w:marLeft w:val="0"/>
          <w:marRight w:val="0"/>
          <w:marTop w:val="0"/>
          <w:marBottom w:val="0"/>
          <w:divBdr>
            <w:top w:val="none" w:sz="0" w:space="0" w:color="auto"/>
            <w:left w:val="none" w:sz="0" w:space="0" w:color="auto"/>
            <w:bottom w:val="none" w:sz="0" w:space="0" w:color="auto"/>
            <w:right w:val="none" w:sz="0" w:space="0" w:color="auto"/>
          </w:divBdr>
          <w:divsChild>
            <w:div w:id="114146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672457">
      <w:bodyDiv w:val="1"/>
      <w:marLeft w:val="0"/>
      <w:marRight w:val="0"/>
      <w:marTop w:val="0"/>
      <w:marBottom w:val="0"/>
      <w:divBdr>
        <w:top w:val="none" w:sz="0" w:space="0" w:color="auto"/>
        <w:left w:val="none" w:sz="0" w:space="0" w:color="auto"/>
        <w:bottom w:val="none" w:sz="0" w:space="0" w:color="auto"/>
        <w:right w:val="none" w:sz="0" w:space="0" w:color="auto"/>
      </w:divBdr>
    </w:div>
    <w:div w:id="705758527">
      <w:bodyDiv w:val="1"/>
      <w:marLeft w:val="0"/>
      <w:marRight w:val="0"/>
      <w:marTop w:val="0"/>
      <w:marBottom w:val="0"/>
      <w:divBdr>
        <w:top w:val="none" w:sz="0" w:space="0" w:color="auto"/>
        <w:left w:val="none" w:sz="0" w:space="0" w:color="auto"/>
        <w:bottom w:val="none" w:sz="0" w:space="0" w:color="auto"/>
        <w:right w:val="none" w:sz="0" w:space="0" w:color="auto"/>
      </w:divBdr>
    </w:div>
    <w:div w:id="743839137">
      <w:bodyDiv w:val="1"/>
      <w:marLeft w:val="0"/>
      <w:marRight w:val="0"/>
      <w:marTop w:val="0"/>
      <w:marBottom w:val="0"/>
      <w:divBdr>
        <w:top w:val="none" w:sz="0" w:space="0" w:color="auto"/>
        <w:left w:val="none" w:sz="0" w:space="0" w:color="auto"/>
        <w:bottom w:val="none" w:sz="0" w:space="0" w:color="auto"/>
        <w:right w:val="none" w:sz="0" w:space="0" w:color="auto"/>
      </w:divBdr>
    </w:div>
    <w:div w:id="828327220">
      <w:bodyDiv w:val="1"/>
      <w:marLeft w:val="0"/>
      <w:marRight w:val="0"/>
      <w:marTop w:val="0"/>
      <w:marBottom w:val="0"/>
      <w:divBdr>
        <w:top w:val="none" w:sz="0" w:space="0" w:color="auto"/>
        <w:left w:val="none" w:sz="0" w:space="0" w:color="auto"/>
        <w:bottom w:val="none" w:sz="0" w:space="0" w:color="auto"/>
        <w:right w:val="none" w:sz="0" w:space="0" w:color="auto"/>
      </w:divBdr>
    </w:div>
    <w:div w:id="904410651">
      <w:bodyDiv w:val="1"/>
      <w:marLeft w:val="0"/>
      <w:marRight w:val="0"/>
      <w:marTop w:val="0"/>
      <w:marBottom w:val="0"/>
      <w:divBdr>
        <w:top w:val="none" w:sz="0" w:space="0" w:color="auto"/>
        <w:left w:val="none" w:sz="0" w:space="0" w:color="auto"/>
        <w:bottom w:val="none" w:sz="0" w:space="0" w:color="auto"/>
        <w:right w:val="none" w:sz="0" w:space="0" w:color="auto"/>
      </w:divBdr>
    </w:div>
    <w:div w:id="977342736">
      <w:bodyDiv w:val="1"/>
      <w:marLeft w:val="0"/>
      <w:marRight w:val="0"/>
      <w:marTop w:val="0"/>
      <w:marBottom w:val="0"/>
      <w:divBdr>
        <w:top w:val="none" w:sz="0" w:space="0" w:color="auto"/>
        <w:left w:val="none" w:sz="0" w:space="0" w:color="auto"/>
        <w:bottom w:val="none" w:sz="0" w:space="0" w:color="auto"/>
        <w:right w:val="none" w:sz="0" w:space="0" w:color="auto"/>
      </w:divBdr>
      <w:divsChild>
        <w:div w:id="1308900761">
          <w:marLeft w:val="0"/>
          <w:marRight w:val="0"/>
          <w:marTop w:val="0"/>
          <w:marBottom w:val="0"/>
          <w:divBdr>
            <w:top w:val="none" w:sz="0" w:space="0" w:color="auto"/>
            <w:left w:val="none" w:sz="0" w:space="0" w:color="auto"/>
            <w:bottom w:val="none" w:sz="0" w:space="0" w:color="auto"/>
            <w:right w:val="none" w:sz="0" w:space="0" w:color="auto"/>
          </w:divBdr>
          <w:divsChild>
            <w:div w:id="1601568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698526">
      <w:bodyDiv w:val="1"/>
      <w:marLeft w:val="0"/>
      <w:marRight w:val="0"/>
      <w:marTop w:val="0"/>
      <w:marBottom w:val="0"/>
      <w:divBdr>
        <w:top w:val="none" w:sz="0" w:space="0" w:color="auto"/>
        <w:left w:val="none" w:sz="0" w:space="0" w:color="auto"/>
        <w:bottom w:val="none" w:sz="0" w:space="0" w:color="auto"/>
        <w:right w:val="none" w:sz="0" w:space="0" w:color="auto"/>
      </w:divBdr>
    </w:div>
    <w:div w:id="1276399459">
      <w:bodyDiv w:val="1"/>
      <w:marLeft w:val="0"/>
      <w:marRight w:val="0"/>
      <w:marTop w:val="0"/>
      <w:marBottom w:val="0"/>
      <w:divBdr>
        <w:top w:val="none" w:sz="0" w:space="0" w:color="auto"/>
        <w:left w:val="none" w:sz="0" w:space="0" w:color="auto"/>
        <w:bottom w:val="none" w:sz="0" w:space="0" w:color="auto"/>
        <w:right w:val="none" w:sz="0" w:space="0" w:color="auto"/>
      </w:divBdr>
    </w:div>
    <w:div w:id="1366522672">
      <w:bodyDiv w:val="1"/>
      <w:marLeft w:val="0"/>
      <w:marRight w:val="0"/>
      <w:marTop w:val="0"/>
      <w:marBottom w:val="0"/>
      <w:divBdr>
        <w:top w:val="none" w:sz="0" w:space="0" w:color="auto"/>
        <w:left w:val="none" w:sz="0" w:space="0" w:color="auto"/>
        <w:bottom w:val="none" w:sz="0" w:space="0" w:color="auto"/>
        <w:right w:val="none" w:sz="0" w:space="0" w:color="auto"/>
      </w:divBdr>
      <w:divsChild>
        <w:div w:id="416875349">
          <w:marLeft w:val="0"/>
          <w:marRight w:val="0"/>
          <w:marTop w:val="0"/>
          <w:marBottom w:val="0"/>
          <w:divBdr>
            <w:top w:val="none" w:sz="0" w:space="0" w:color="auto"/>
            <w:left w:val="none" w:sz="0" w:space="0" w:color="auto"/>
            <w:bottom w:val="none" w:sz="0" w:space="0" w:color="auto"/>
            <w:right w:val="none" w:sz="0" w:space="0" w:color="auto"/>
          </w:divBdr>
          <w:divsChild>
            <w:div w:id="56256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523064">
      <w:bodyDiv w:val="1"/>
      <w:marLeft w:val="0"/>
      <w:marRight w:val="0"/>
      <w:marTop w:val="0"/>
      <w:marBottom w:val="0"/>
      <w:divBdr>
        <w:top w:val="none" w:sz="0" w:space="0" w:color="auto"/>
        <w:left w:val="none" w:sz="0" w:space="0" w:color="auto"/>
        <w:bottom w:val="none" w:sz="0" w:space="0" w:color="auto"/>
        <w:right w:val="none" w:sz="0" w:space="0" w:color="auto"/>
      </w:divBdr>
    </w:div>
    <w:div w:id="1749378233">
      <w:bodyDiv w:val="1"/>
      <w:marLeft w:val="0"/>
      <w:marRight w:val="0"/>
      <w:marTop w:val="0"/>
      <w:marBottom w:val="0"/>
      <w:divBdr>
        <w:top w:val="none" w:sz="0" w:space="0" w:color="auto"/>
        <w:left w:val="none" w:sz="0" w:space="0" w:color="auto"/>
        <w:bottom w:val="none" w:sz="0" w:space="0" w:color="auto"/>
        <w:right w:val="none" w:sz="0" w:space="0" w:color="auto"/>
      </w:divBdr>
      <w:divsChild>
        <w:div w:id="1440755818">
          <w:marLeft w:val="0"/>
          <w:marRight w:val="0"/>
          <w:marTop w:val="0"/>
          <w:marBottom w:val="0"/>
          <w:divBdr>
            <w:top w:val="none" w:sz="0" w:space="0" w:color="auto"/>
            <w:left w:val="none" w:sz="0" w:space="0" w:color="auto"/>
            <w:bottom w:val="none" w:sz="0" w:space="0" w:color="auto"/>
            <w:right w:val="none" w:sz="0" w:space="0" w:color="auto"/>
          </w:divBdr>
          <w:divsChild>
            <w:div w:id="1025473984">
              <w:marLeft w:val="0"/>
              <w:marRight w:val="0"/>
              <w:marTop w:val="0"/>
              <w:marBottom w:val="0"/>
              <w:divBdr>
                <w:top w:val="none" w:sz="0" w:space="0" w:color="auto"/>
                <w:left w:val="none" w:sz="0" w:space="0" w:color="auto"/>
                <w:bottom w:val="none" w:sz="0" w:space="0" w:color="auto"/>
                <w:right w:val="none" w:sz="0" w:space="0" w:color="auto"/>
              </w:divBdr>
              <w:divsChild>
                <w:div w:id="1302732967">
                  <w:marLeft w:val="0"/>
                  <w:marRight w:val="0"/>
                  <w:marTop w:val="0"/>
                  <w:marBottom w:val="0"/>
                  <w:divBdr>
                    <w:top w:val="none" w:sz="0" w:space="0" w:color="auto"/>
                    <w:left w:val="none" w:sz="0" w:space="0" w:color="auto"/>
                    <w:bottom w:val="none" w:sz="0" w:space="0" w:color="auto"/>
                    <w:right w:val="none" w:sz="0" w:space="0" w:color="auto"/>
                  </w:divBdr>
                  <w:divsChild>
                    <w:div w:id="1519585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8784286">
      <w:bodyDiv w:val="1"/>
      <w:marLeft w:val="0"/>
      <w:marRight w:val="0"/>
      <w:marTop w:val="0"/>
      <w:marBottom w:val="0"/>
      <w:divBdr>
        <w:top w:val="none" w:sz="0" w:space="0" w:color="auto"/>
        <w:left w:val="none" w:sz="0" w:space="0" w:color="auto"/>
        <w:bottom w:val="none" w:sz="0" w:space="0" w:color="auto"/>
        <w:right w:val="none" w:sz="0" w:space="0" w:color="auto"/>
      </w:divBdr>
    </w:div>
    <w:div w:id="1895043615">
      <w:bodyDiv w:val="1"/>
      <w:marLeft w:val="0"/>
      <w:marRight w:val="0"/>
      <w:marTop w:val="0"/>
      <w:marBottom w:val="0"/>
      <w:divBdr>
        <w:top w:val="none" w:sz="0" w:space="0" w:color="auto"/>
        <w:left w:val="none" w:sz="0" w:space="0" w:color="auto"/>
        <w:bottom w:val="none" w:sz="0" w:space="0" w:color="auto"/>
        <w:right w:val="none" w:sz="0" w:space="0" w:color="auto"/>
      </w:divBdr>
    </w:div>
    <w:div w:id="1978755101">
      <w:bodyDiv w:val="1"/>
      <w:marLeft w:val="0"/>
      <w:marRight w:val="0"/>
      <w:marTop w:val="0"/>
      <w:marBottom w:val="0"/>
      <w:divBdr>
        <w:top w:val="none" w:sz="0" w:space="0" w:color="auto"/>
        <w:left w:val="none" w:sz="0" w:space="0" w:color="auto"/>
        <w:bottom w:val="none" w:sz="0" w:space="0" w:color="auto"/>
        <w:right w:val="none" w:sz="0" w:space="0" w:color="auto"/>
      </w:divBdr>
    </w:div>
    <w:div w:id="2006666737">
      <w:bodyDiv w:val="1"/>
      <w:marLeft w:val="0"/>
      <w:marRight w:val="0"/>
      <w:marTop w:val="0"/>
      <w:marBottom w:val="0"/>
      <w:divBdr>
        <w:top w:val="none" w:sz="0" w:space="0" w:color="auto"/>
        <w:left w:val="none" w:sz="0" w:space="0" w:color="auto"/>
        <w:bottom w:val="none" w:sz="0" w:space="0" w:color="auto"/>
        <w:right w:val="none" w:sz="0" w:space="0" w:color="auto"/>
      </w:divBdr>
      <w:divsChild>
        <w:div w:id="201594050">
          <w:marLeft w:val="0"/>
          <w:marRight w:val="0"/>
          <w:marTop w:val="0"/>
          <w:marBottom w:val="0"/>
          <w:divBdr>
            <w:top w:val="none" w:sz="0" w:space="0" w:color="auto"/>
            <w:left w:val="none" w:sz="0" w:space="0" w:color="auto"/>
            <w:bottom w:val="none" w:sz="0" w:space="0" w:color="auto"/>
            <w:right w:val="none" w:sz="0" w:space="0" w:color="auto"/>
          </w:divBdr>
          <w:divsChild>
            <w:div w:id="1207252459">
              <w:marLeft w:val="0"/>
              <w:marRight w:val="0"/>
              <w:marTop w:val="0"/>
              <w:marBottom w:val="0"/>
              <w:divBdr>
                <w:top w:val="none" w:sz="0" w:space="0" w:color="auto"/>
                <w:left w:val="none" w:sz="0" w:space="0" w:color="auto"/>
                <w:bottom w:val="none" w:sz="0" w:space="0" w:color="auto"/>
                <w:right w:val="none" w:sz="0" w:space="0" w:color="auto"/>
              </w:divBdr>
              <w:divsChild>
                <w:div w:id="758063495">
                  <w:marLeft w:val="0"/>
                  <w:marRight w:val="0"/>
                  <w:marTop w:val="0"/>
                  <w:marBottom w:val="0"/>
                  <w:divBdr>
                    <w:top w:val="none" w:sz="0" w:space="0" w:color="auto"/>
                    <w:left w:val="none" w:sz="0" w:space="0" w:color="auto"/>
                    <w:bottom w:val="none" w:sz="0" w:space="0" w:color="auto"/>
                    <w:right w:val="none" w:sz="0" w:space="0" w:color="auto"/>
                  </w:divBdr>
                  <w:divsChild>
                    <w:div w:id="1126315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4362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ansperformance.eu/data" TargetMode="External"/><Relationship Id="rId18" Type="http://schemas.openxmlformats.org/officeDocument/2006/relationships/hyperlink" Target="https://www.theguardian.com/business/2024/aug/12/british-airways-crew-shortage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caa.co.uk/data-and-analysis/uk-aviation-market/airline-statistics" TargetMode="External"/><Relationship Id="rId17" Type="http://schemas.openxmlformats.org/officeDocument/2006/relationships/hyperlink" Target="http://www.prisma-statement.org" TargetMode="External"/><Relationship Id="rId2" Type="http://schemas.openxmlformats.org/officeDocument/2006/relationships/numbering" Target="numbering.xml"/><Relationship Id="rId16" Type="http://schemas.openxmlformats.org/officeDocument/2006/relationships/hyperlink" Target="https://www.oag.com/punctuality-league-2025"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aa.co.uk/data-and-analysis" TargetMode="External"/><Relationship Id="rId5" Type="http://schemas.openxmlformats.org/officeDocument/2006/relationships/settings" Target="settings.xml"/><Relationship Id="rId15" Type="http://schemas.openxmlformats.org/officeDocument/2006/relationships/hyperlink" Target="https://www.iairgroup.com/investors-and-shareholders/financial-reporting" TargetMode="External"/><Relationship Id="rId10" Type="http://schemas.openxmlformats.org/officeDocument/2006/relationships/hyperlink" Target="https://www.airhelp.com/en-gb/blog/solar-flares-gps-jamming-2025" TargetMode="External"/><Relationship Id="rId19" Type="http://schemas.openxmlformats.org/officeDocument/2006/relationships/hyperlink" Target="https://www.travelandtourworld.com/news/article/gnss-jamming-british-airways-2025" TargetMode="External"/><Relationship Id="rId4" Type="http://schemas.microsoft.com/office/2007/relationships/stylesWithEffects" Target="stylesWithEffects.xml"/><Relationship Id="rId9" Type="http://schemas.openxmlformats.org/officeDocument/2006/relationships/image" Target="media/image3.jpeg"/><Relationship Id="rId14" Type="http://schemas.openxmlformats.org/officeDocument/2006/relationships/hyperlink" Target="https://www.iata.org/en/publications/economics" TargetMode="External"/><Relationship Id="rId22" Type="http://schemas.openxmlformats.org/officeDocument/2006/relationships/theme" Target="theme/theme1.xml"/></Relationships>
</file>

<file path=word/_rels/numbering.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138DCE-F72B-4277-9CBC-AC0CC065B3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3537</Words>
  <Characters>20166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2025-12-09T09:12:00Z</dcterms:created>
  <dcterms:modified xsi:type="dcterms:W3CDTF">2025-12-09T09:12:00Z</dcterms:modified>
</cp:coreProperties>
</file>