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704C97" w:rsidR="00FE3197" w:rsidP="44BCA031" w:rsidRDefault="2AF81280" w14:paraId="66474982" w14:textId="215ED11B">
      <w:pPr>
        <w:jc w:val="center"/>
        <w:rPr>
          <w:rFonts w:ascii="Calibri" w:hAnsi="Calibri" w:eastAsia="Calibri" w:cs="Calibri"/>
          <w:color w:val="000000" w:themeColor="text1"/>
          <w:sz w:val="20"/>
          <w:szCs w:val="20"/>
        </w:rPr>
      </w:pPr>
      <w:r w:rsidRPr="630A493F">
        <w:rPr>
          <w:rFonts w:ascii="Calibri" w:hAnsi="Calibri" w:eastAsia="Calibri" w:cs="Calibri"/>
          <w:b/>
          <w:bCs/>
          <w:color w:val="000000" w:themeColor="text1"/>
          <w:sz w:val="20"/>
          <w:szCs w:val="20"/>
        </w:rPr>
        <w:t>Learner</w:t>
      </w:r>
      <w:r w:rsidRPr="630A493F">
        <w:rPr>
          <w:rFonts w:ascii="Calibri" w:hAnsi="Calibri" w:eastAsia="Calibri" w:cs="Calibri"/>
          <w:color w:val="000000" w:themeColor="text1"/>
          <w:sz w:val="20"/>
          <w:szCs w:val="20"/>
        </w:rPr>
        <w:t xml:space="preserve"> – Mrs</w:t>
      </w:r>
      <w:r w:rsidRPr="630A493F" w:rsidR="7D3A1B29">
        <w:rPr>
          <w:rFonts w:ascii="Calibri" w:hAnsi="Calibri" w:eastAsia="Calibri" w:cs="Calibri"/>
          <w:color w:val="000000" w:themeColor="text1"/>
          <w:sz w:val="20"/>
          <w:szCs w:val="20"/>
        </w:rPr>
        <w:t>.</w:t>
      </w:r>
      <w:r w:rsidRPr="630A493F">
        <w:rPr>
          <w:rFonts w:ascii="Calibri" w:hAnsi="Calibri" w:eastAsia="Calibri" w:cs="Calibri"/>
          <w:color w:val="000000" w:themeColor="text1"/>
          <w:sz w:val="20"/>
          <w:szCs w:val="20"/>
        </w:rPr>
        <w:t xml:space="preserve"> Alison Victoria Evans</w:t>
      </w:r>
      <w:r w:rsidRPr="630A493F" w:rsidR="57B449D5">
        <w:rPr>
          <w:rFonts w:ascii="Calibri" w:hAnsi="Calibri" w:eastAsia="Calibri" w:cs="Calibri"/>
          <w:color w:val="000000" w:themeColor="text1"/>
          <w:sz w:val="20"/>
          <w:szCs w:val="20"/>
        </w:rPr>
        <w:t xml:space="preserve"> - 2230696</w:t>
      </w:r>
    </w:p>
    <w:p w:rsidRPr="00704C97" w:rsidR="00FE3197" w:rsidP="44BCA031" w:rsidRDefault="2AF81280" w14:paraId="156094B1" w14:textId="206E2584">
      <w:pPr>
        <w:jc w:val="center"/>
        <w:rPr>
          <w:rFonts w:ascii="Calibri" w:hAnsi="Calibri" w:eastAsia="Calibri" w:cs="Calibri"/>
          <w:color w:val="000000" w:themeColor="text1"/>
          <w:sz w:val="20"/>
          <w:szCs w:val="20"/>
        </w:rPr>
      </w:pPr>
      <w:r w:rsidRPr="630A493F">
        <w:rPr>
          <w:rFonts w:ascii="Calibri" w:hAnsi="Calibri" w:eastAsia="Calibri" w:cs="Calibri"/>
          <w:b/>
          <w:bCs/>
          <w:color w:val="000000" w:themeColor="text1"/>
          <w:sz w:val="20"/>
          <w:szCs w:val="20"/>
        </w:rPr>
        <w:t>Unit</w:t>
      </w:r>
      <w:r w:rsidRPr="630A493F">
        <w:rPr>
          <w:rFonts w:ascii="Calibri" w:hAnsi="Calibri" w:eastAsia="Calibri" w:cs="Calibri"/>
          <w:color w:val="000000" w:themeColor="text1"/>
          <w:sz w:val="20"/>
          <w:szCs w:val="20"/>
        </w:rPr>
        <w:t>: 5HR01</w:t>
      </w:r>
    </w:p>
    <w:p w:rsidRPr="00704C97" w:rsidR="00FE3197" w:rsidP="44BCA031" w:rsidRDefault="2AF81280" w14:paraId="4D7DBE17" w14:textId="7F9B11CA">
      <w:pPr>
        <w:jc w:val="center"/>
        <w:rPr>
          <w:rFonts w:ascii="Calibri" w:hAnsi="Calibri" w:eastAsia="Calibri" w:cs="Calibri"/>
          <w:color w:val="000000" w:themeColor="text1"/>
          <w:sz w:val="20"/>
          <w:szCs w:val="20"/>
        </w:rPr>
      </w:pPr>
      <w:r w:rsidRPr="630A493F">
        <w:rPr>
          <w:rFonts w:ascii="Calibri" w:hAnsi="Calibri" w:eastAsia="Calibri" w:cs="Calibri"/>
          <w:b/>
          <w:bCs/>
          <w:color w:val="000000" w:themeColor="text1"/>
          <w:sz w:val="20"/>
          <w:szCs w:val="20"/>
        </w:rPr>
        <w:t>Unit Title</w:t>
      </w:r>
      <w:r w:rsidRPr="630A493F">
        <w:rPr>
          <w:rFonts w:ascii="Calibri" w:hAnsi="Calibri" w:eastAsia="Calibri" w:cs="Calibri"/>
          <w:color w:val="000000" w:themeColor="text1"/>
          <w:sz w:val="20"/>
          <w:szCs w:val="20"/>
        </w:rPr>
        <w:t xml:space="preserve">: Employment Relationship Management </w:t>
      </w:r>
    </w:p>
    <w:p w:rsidRPr="00704C97" w:rsidR="00FE3197" w:rsidP="44BCA031" w:rsidRDefault="2AF81280" w14:paraId="7951C727" w14:textId="1358BD3E">
      <w:pPr>
        <w:jc w:val="center"/>
        <w:rPr>
          <w:rFonts w:ascii="Calibri" w:hAnsi="Calibri" w:eastAsia="Calibri" w:cs="Calibri"/>
          <w:color w:val="000000" w:themeColor="text1"/>
          <w:sz w:val="20"/>
          <w:szCs w:val="20"/>
        </w:rPr>
      </w:pPr>
      <w:bookmarkStart w:name="_Int_h5t7XO0Y" w:id="0"/>
      <w:r w:rsidRPr="630A493F">
        <w:rPr>
          <w:b/>
          <w:bCs/>
          <w:color w:val="000000" w:themeColor="text1"/>
          <w:sz w:val="20"/>
          <w:szCs w:val="20"/>
        </w:rPr>
        <w:t>Assessment ID</w:t>
      </w:r>
      <w:r w:rsidRPr="630A493F">
        <w:rPr>
          <w:color w:val="000000" w:themeColor="text1"/>
          <w:sz w:val="20"/>
          <w:szCs w:val="20"/>
        </w:rPr>
        <w:t>: CIPD_5HR01_22_01</w:t>
      </w:r>
      <w:bookmarkEnd w:id="0"/>
    </w:p>
    <w:p w:rsidRPr="00704C97" w:rsidR="00FE3197" w:rsidP="2E7E2B62" w:rsidRDefault="2AF81280" w14:paraId="11DE6E30" w14:textId="37BF2A5B">
      <w:pPr>
        <w:jc w:val="center"/>
        <w:rPr>
          <w:rFonts w:ascii="Calibri" w:hAnsi="Calibri" w:eastAsia="Calibri" w:cs="Calibri"/>
          <w:color w:val="000000" w:themeColor="text1"/>
          <w:sz w:val="20"/>
          <w:szCs w:val="20"/>
        </w:rPr>
      </w:pPr>
      <w:r w:rsidRPr="630A493F">
        <w:rPr>
          <w:b/>
          <w:bCs/>
          <w:color w:val="000000" w:themeColor="text1"/>
          <w:sz w:val="20"/>
          <w:szCs w:val="20"/>
        </w:rPr>
        <w:t xml:space="preserve">Word Count </w:t>
      </w:r>
      <w:r w:rsidRPr="630A493F" w:rsidR="7D968AA8">
        <w:rPr>
          <w:b/>
          <w:bCs/>
          <w:color w:val="000000" w:themeColor="text1"/>
          <w:sz w:val="20"/>
          <w:szCs w:val="20"/>
        </w:rPr>
        <w:t xml:space="preserve">- </w:t>
      </w:r>
      <w:r w:rsidRPr="630A493F" w:rsidR="59740303">
        <w:rPr>
          <w:rFonts w:ascii="Calibri" w:hAnsi="Calibri" w:eastAsia="Calibri" w:cs="Calibri"/>
          <w:color w:val="000000" w:themeColor="text1"/>
          <w:sz w:val="20"/>
          <w:szCs w:val="20"/>
        </w:rPr>
        <w:t xml:space="preserve">Section 1 </w:t>
      </w:r>
      <w:r w:rsidRPr="630A493F" w:rsidR="003F316A">
        <w:rPr>
          <w:rFonts w:ascii="Calibri" w:hAnsi="Calibri" w:eastAsia="Calibri" w:cs="Calibri"/>
          <w:color w:val="000000" w:themeColor="text1"/>
          <w:sz w:val="20"/>
          <w:szCs w:val="20"/>
        </w:rPr>
        <w:t>–</w:t>
      </w:r>
      <w:r w:rsidRPr="630A493F" w:rsidR="59740303">
        <w:rPr>
          <w:rFonts w:ascii="Calibri" w:hAnsi="Calibri" w:eastAsia="Calibri" w:cs="Calibri"/>
          <w:color w:val="000000" w:themeColor="text1"/>
          <w:sz w:val="20"/>
          <w:szCs w:val="20"/>
        </w:rPr>
        <w:t xml:space="preserve"> </w:t>
      </w:r>
      <w:r w:rsidRPr="630A493F" w:rsidR="5BEB0374">
        <w:rPr>
          <w:rFonts w:ascii="Calibri" w:hAnsi="Calibri" w:eastAsia="Calibri" w:cs="Calibri"/>
          <w:color w:val="FF0000"/>
          <w:sz w:val="20"/>
          <w:szCs w:val="20"/>
        </w:rPr>
        <w:t>16</w:t>
      </w:r>
      <w:r w:rsidR="00C51F56">
        <w:rPr>
          <w:rFonts w:ascii="Calibri" w:hAnsi="Calibri" w:eastAsia="Calibri" w:cs="Calibri"/>
          <w:color w:val="FF0000"/>
          <w:sz w:val="20"/>
          <w:szCs w:val="20"/>
        </w:rPr>
        <w:t>50</w:t>
      </w:r>
      <w:r w:rsidRPr="630A493F" w:rsidR="5BEB0374">
        <w:rPr>
          <w:rFonts w:ascii="Calibri" w:hAnsi="Calibri" w:eastAsia="Calibri" w:cs="Calibri"/>
          <w:color w:val="FF0000"/>
          <w:sz w:val="20"/>
          <w:szCs w:val="20"/>
        </w:rPr>
        <w:t xml:space="preserve"> </w:t>
      </w:r>
      <w:r w:rsidRPr="630A493F" w:rsidR="1CB08A5B">
        <w:rPr>
          <w:rFonts w:ascii="Calibri" w:hAnsi="Calibri" w:eastAsia="Calibri" w:cs="Calibri"/>
          <w:color w:val="000000" w:themeColor="text1"/>
          <w:sz w:val="20"/>
          <w:szCs w:val="20"/>
        </w:rPr>
        <w:t>A</w:t>
      </w:r>
      <w:r w:rsidRPr="630A493F" w:rsidR="59740303">
        <w:rPr>
          <w:rFonts w:ascii="Calibri" w:hAnsi="Calibri" w:eastAsia="Calibri" w:cs="Calibri"/>
          <w:color w:val="000000" w:themeColor="text1"/>
          <w:sz w:val="20"/>
          <w:szCs w:val="20"/>
        </w:rPr>
        <w:t>ctual Words not including questions and reference pages, (Allowance 1500 + 10%</w:t>
      </w:r>
      <w:r w:rsidRPr="630A493F" w:rsidR="798F547D">
        <w:rPr>
          <w:rFonts w:ascii="Calibri" w:hAnsi="Calibri" w:eastAsia="Calibri" w:cs="Calibri"/>
          <w:color w:val="000000" w:themeColor="text1"/>
          <w:sz w:val="20"/>
          <w:szCs w:val="20"/>
        </w:rPr>
        <w:t xml:space="preserve"> = 1650</w:t>
      </w:r>
      <w:r w:rsidRPr="630A493F" w:rsidR="59740303">
        <w:rPr>
          <w:rFonts w:ascii="Calibri" w:hAnsi="Calibri" w:eastAsia="Calibri" w:cs="Calibri"/>
          <w:color w:val="000000" w:themeColor="text1"/>
          <w:sz w:val="20"/>
          <w:szCs w:val="20"/>
        </w:rPr>
        <w:t>)</w:t>
      </w:r>
    </w:p>
    <w:p w:rsidRPr="0079177B" w:rsidR="00FE3197" w:rsidP="630A493F" w:rsidRDefault="0D488982" w14:paraId="4CF78D14" w14:textId="73F84C7D">
      <w:pPr>
        <w:jc w:val="center"/>
        <w:rPr>
          <w:rFonts w:ascii="Calibri" w:hAnsi="Calibri" w:eastAsia="Calibri" w:cs="Calibri"/>
          <w:color w:val="000000" w:themeColor="text1"/>
          <w:sz w:val="20"/>
          <w:szCs w:val="20"/>
        </w:rPr>
      </w:pPr>
      <w:r w:rsidRPr="630A493F">
        <w:rPr>
          <w:rFonts w:ascii="Calibri" w:hAnsi="Calibri" w:eastAsia="Calibri" w:cs="Calibri"/>
          <w:b/>
          <w:bCs/>
          <w:color w:val="000000" w:themeColor="text1"/>
          <w:sz w:val="20"/>
          <w:szCs w:val="20"/>
        </w:rPr>
        <w:t xml:space="preserve">Word Count </w:t>
      </w:r>
      <w:r w:rsidRPr="630A493F">
        <w:rPr>
          <w:rFonts w:ascii="Calibri" w:hAnsi="Calibri" w:eastAsia="Calibri" w:cs="Calibri"/>
          <w:color w:val="000000" w:themeColor="text1"/>
          <w:sz w:val="20"/>
          <w:szCs w:val="20"/>
        </w:rPr>
        <w:t xml:space="preserve">Section 2 </w:t>
      </w:r>
      <w:r w:rsidRPr="630A493F" w:rsidR="003F316A">
        <w:rPr>
          <w:rFonts w:ascii="Calibri" w:hAnsi="Calibri" w:eastAsia="Calibri" w:cs="Calibri"/>
          <w:color w:val="000000" w:themeColor="text1"/>
          <w:sz w:val="20"/>
          <w:szCs w:val="20"/>
        </w:rPr>
        <w:t>–</w:t>
      </w:r>
      <w:r w:rsidRPr="630A493F" w:rsidR="38C6759C">
        <w:rPr>
          <w:rFonts w:ascii="Calibri" w:hAnsi="Calibri" w:eastAsia="Calibri" w:cs="Calibri"/>
          <w:color w:val="000000" w:themeColor="text1"/>
          <w:sz w:val="20"/>
          <w:szCs w:val="20"/>
        </w:rPr>
        <w:t xml:space="preserve"> </w:t>
      </w:r>
      <w:r w:rsidRPr="630A493F" w:rsidR="1DBBBA61">
        <w:rPr>
          <w:rFonts w:ascii="Calibri" w:hAnsi="Calibri" w:eastAsia="Calibri" w:cs="Calibri"/>
          <w:color w:val="FF0000"/>
          <w:sz w:val="20"/>
          <w:szCs w:val="20"/>
        </w:rPr>
        <w:t>263</w:t>
      </w:r>
      <w:r w:rsidRPr="630A493F" w:rsidR="53A62BE4">
        <w:rPr>
          <w:rFonts w:ascii="Calibri" w:hAnsi="Calibri" w:eastAsia="Calibri" w:cs="Calibri"/>
          <w:color w:val="FF0000"/>
          <w:sz w:val="20"/>
          <w:szCs w:val="20"/>
        </w:rPr>
        <w:t>0</w:t>
      </w:r>
      <w:r w:rsidRPr="630A493F">
        <w:rPr>
          <w:rFonts w:ascii="Calibri" w:hAnsi="Calibri" w:eastAsia="Calibri" w:cs="Calibri"/>
          <w:color w:val="000000" w:themeColor="text1"/>
          <w:sz w:val="20"/>
          <w:szCs w:val="20"/>
        </w:rPr>
        <w:t xml:space="preserve"> Actual Words not including questions and reference pages, (Allowance 2400 + 10%</w:t>
      </w:r>
      <w:r w:rsidRPr="630A493F" w:rsidR="4F3D82F3">
        <w:rPr>
          <w:rFonts w:ascii="Calibri" w:hAnsi="Calibri" w:eastAsia="Calibri" w:cs="Calibri"/>
          <w:color w:val="000000" w:themeColor="text1"/>
          <w:sz w:val="20"/>
          <w:szCs w:val="20"/>
        </w:rPr>
        <w:t xml:space="preserve"> = 2640</w:t>
      </w:r>
      <w:r w:rsidRPr="630A493F">
        <w:rPr>
          <w:rFonts w:ascii="Calibri" w:hAnsi="Calibri" w:eastAsia="Calibri" w:cs="Calibri"/>
          <w:color w:val="000000" w:themeColor="text1"/>
          <w:sz w:val="20"/>
          <w:szCs w:val="20"/>
        </w:rPr>
        <w:t>)</w:t>
      </w:r>
    </w:p>
    <w:p w:rsidRPr="0079177B" w:rsidR="00FE3197" w:rsidP="54EBC961" w:rsidRDefault="2AF81280" w14:paraId="5EB46B02" w14:textId="11EA4484">
      <w:pPr>
        <w:rPr>
          <w:rFonts w:eastAsiaTheme="minorEastAsia"/>
          <w:color w:val="000000" w:themeColor="text1"/>
          <w:sz w:val="20"/>
          <w:szCs w:val="20"/>
        </w:rPr>
      </w:pPr>
      <w:bookmarkStart w:name="_Int_0Ibn1MQH" w:id="1"/>
      <w:r w:rsidRPr="630A493F">
        <w:rPr>
          <w:rFonts w:eastAsiaTheme="minorEastAsia"/>
          <w:b/>
          <w:bCs/>
          <w:color w:val="000000" w:themeColor="text1"/>
          <w:sz w:val="20"/>
          <w:szCs w:val="20"/>
          <w:u w:val="single"/>
        </w:rPr>
        <w:t>AC</w:t>
      </w:r>
      <w:bookmarkEnd w:id="1"/>
      <w:r w:rsidRPr="630A493F">
        <w:rPr>
          <w:rFonts w:eastAsiaTheme="minorEastAsia"/>
          <w:b/>
          <w:bCs/>
          <w:color w:val="000000" w:themeColor="text1"/>
          <w:sz w:val="20"/>
          <w:szCs w:val="20"/>
          <w:u w:val="single"/>
        </w:rPr>
        <w:t xml:space="preserve"> 1.1 </w:t>
      </w:r>
      <w:r w:rsidRPr="630A493F">
        <w:rPr>
          <w:rFonts w:eastAsiaTheme="minorEastAsia"/>
          <w:color w:val="000000" w:themeColor="text1"/>
          <w:sz w:val="20"/>
          <w:szCs w:val="20"/>
          <w:u w:val="single"/>
        </w:rPr>
        <w:t>Review emerging developments to inform approaches to employee voice and engagement.</w:t>
      </w:r>
      <w:r w:rsidRPr="630A493F">
        <w:rPr>
          <w:rFonts w:eastAsiaTheme="minorEastAsia"/>
          <w:color w:val="000000" w:themeColor="text1"/>
          <w:sz w:val="20"/>
          <w:szCs w:val="20"/>
        </w:rPr>
        <w:t xml:space="preserve"> </w:t>
      </w:r>
      <w:r w:rsidRPr="630A493F" w:rsidR="4FED583A">
        <w:rPr>
          <w:rFonts w:eastAsiaTheme="minorEastAsia"/>
          <w:color w:val="000000" w:themeColor="text1"/>
          <w:sz w:val="20"/>
          <w:szCs w:val="20"/>
        </w:rPr>
        <w:t>27</w:t>
      </w:r>
      <w:r w:rsidRPr="630A493F" w:rsidR="00C960FE">
        <w:rPr>
          <w:rFonts w:eastAsiaTheme="minorEastAsia"/>
          <w:color w:val="000000" w:themeColor="text1"/>
          <w:sz w:val="20"/>
          <w:szCs w:val="20"/>
        </w:rPr>
        <w:t>2</w:t>
      </w:r>
    </w:p>
    <w:p w:rsidRPr="0079177B" w:rsidR="00FE3197" w:rsidP="630A493F" w:rsidRDefault="1FB3ED75" w14:paraId="0CB11996" w14:textId="48C9BCB4">
      <w:pPr>
        <w:rPr>
          <w:rFonts w:eastAsiaTheme="minorEastAsia"/>
          <w:color w:val="000000" w:themeColor="text1"/>
          <w:sz w:val="20"/>
          <w:szCs w:val="20"/>
        </w:rPr>
      </w:pPr>
      <w:r w:rsidRPr="630A493F">
        <w:rPr>
          <w:rFonts w:eastAsiaTheme="minorEastAsia"/>
          <w:color w:val="000000" w:themeColor="text1"/>
          <w:sz w:val="20"/>
          <w:szCs w:val="20"/>
        </w:rPr>
        <w:t xml:space="preserve">Since the trade unions' fall after reaching their height in 1979, management has taken a significant role in </w:t>
      </w:r>
      <w:r w:rsidRPr="630A493F" w:rsidR="54E78344">
        <w:rPr>
          <w:rFonts w:eastAsiaTheme="minorEastAsia"/>
          <w:color w:val="000000" w:themeColor="text1"/>
          <w:sz w:val="20"/>
          <w:szCs w:val="20"/>
        </w:rPr>
        <w:t>deciding</w:t>
      </w:r>
      <w:r w:rsidRPr="630A493F">
        <w:rPr>
          <w:rFonts w:eastAsiaTheme="minorEastAsia"/>
          <w:color w:val="000000" w:themeColor="text1"/>
          <w:sz w:val="20"/>
          <w:szCs w:val="20"/>
        </w:rPr>
        <w:t xml:space="preserve"> the day-to-day status of the employment relationship and has </w:t>
      </w:r>
      <w:bookmarkStart w:name="_Int_5QkR1YXM" w:id="2"/>
      <w:r w:rsidRPr="630A493F">
        <w:rPr>
          <w:rFonts w:eastAsiaTheme="minorEastAsia"/>
          <w:color w:val="000000" w:themeColor="text1"/>
          <w:sz w:val="20"/>
          <w:szCs w:val="20"/>
        </w:rPr>
        <w:t>emerged</w:t>
      </w:r>
      <w:bookmarkEnd w:id="2"/>
      <w:r w:rsidRPr="630A493F">
        <w:rPr>
          <w:rFonts w:eastAsiaTheme="minorEastAsia"/>
          <w:color w:val="000000" w:themeColor="text1"/>
          <w:sz w:val="20"/>
          <w:szCs w:val="20"/>
        </w:rPr>
        <w:t xml:space="preserve"> as the dominant party in ERM </w:t>
      </w:r>
      <w:r w:rsidRPr="630A493F" w:rsidR="01C884BB">
        <w:rPr>
          <w:rFonts w:eastAsiaTheme="minorEastAsia"/>
          <w:b/>
          <w:bCs/>
          <w:color w:val="000000" w:themeColor="text1"/>
          <w:sz w:val="20"/>
          <w:szCs w:val="20"/>
        </w:rPr>
        <w:t>(Taylor, S. 2022).</w:t>
      </w:r>
      <w:r w:rsidRPr="630A493F" w:rsidR="01C884BB">
        <w:rPr>
          <w:rFonts w:eastAsiaTheme="minorEastAsia"/>
          <w:color w:val="000000" w:themeColor="text1"/>
          <w:sz w:val="20"/>
          <w:szCs w:val="20"/>
        </w:rPr>
        <w:t xml:space="preserve"> </w:t>
      </w:r>
      <w:r w:rsidRPr="630A493F" w:rsidR="39E5A879">
        <w:rPr>
          <w:rFonts w:eastAsiaTheme="minorEastAsia"/>
          <w:color w:val="000000" w:themeColor="text1"/>
          <w:sz w:val="20"/>
          <w:szCs w:val="20"/>
        </w:rPr>
        <w:t xml:space="preserve">Employee voice is the process through which individuals communicate their views to their employers and </w:t>
      </w:r>
      <w:r w:rsidRPr="630A493F" w:rsidR="0D1FD8B0">
        <w:rPr>
          <w:rFonts w:eastAsiaTheme="minorEastAsia"/>
          <w:color w:val="000000" w:themeColor="text1"/>
          <w:sz w:val="20"/>
          <w:szCs w:val="20"/>
        </w:rPr>
        <w:t>take part</w:t>
      </w:r>
      <w:r w:rsidRPr="630A493F" w:rsidR="39E5A879">
        <w:rPr>
          <w:rFonts w:eastAsiaTheme="minorEastAsia"/>
          <w:color w:val="000000" w:themeColor="text1"/>
          <w:sz w:val="20"/>
          <w:szCs w:val="20"/>
        </w:rPr>
        <w:t xml:space="preserve"> in decisions that affect them at work</w:t>
      </w:r>
      <w:r w:rsidRPr="630A493F" w:rsidR="0D8D41FB">
        <w:rPr>
          <w:rFonts w:eastAsiaTheme="minorEastAsia"/>
          <w:color w:val="000000" w:themeColor="text1"/>
          <w:sz w:val="20"/>
          <w:szCs w:val="20"/>
        </w:rPr>
        <w:t xml:space="preserve">. </w:t>
      </w:r>
      <w:r w:rsidRPr="630A493F" w:rsidR="39E5A879">
        <w:rPr>
          <w:rFonts w:eastAsiaTheme="minorEastAsia"/>
          <w:color w:val="000000" w:themeColor="text1"/>
          <w:sz w:val="20"/>
          <w:szCs w:val="20"/>
        </w:rPr>
        <w:t xml:space="preserve">A key </w:t>
      </w:r>
      <w:r w:rsidRPr="630A493F" w:rsidR="360E5E68">
        <w:rPr>
          <w:rFonts w:eastAsiaTheme="minorEastAsia"/>
          <w:color w:val="000000" w:themeColor="text1"/>
          <w:sz w:val="20"/>
          <w:szCs w:val="20"/>
        </w:rPr>
        <w:t>part</w:t>
      </w:r>
      <w:r w:rsidRPr="630A493F" w:rsidR="39E5A879">
        <w:rPr>
          <w:rFonts w:eastAsiaTheme="minorEastAsia"/>
          <w:color w:val="000000" w:themeColor="text1"/>
          <w:sz w:val="20"/>
          <w:szCs w:val="20"/>
        </w:rPr>
        <w:t xml:space="preserve"> of creating inclusive workplaces is employee voice. Giving employees more say over how they perform their jobs and asking for their input when making decisions would </w:t>
      </w:r>
      <w:bookmarkStart w:name="_Int_qmN9Xr1h" w:id="3"/>
      <w:r w:rsidRPr="630A493F" w:rsidR="39E5A879">
        <w:rPr>
          <w:rFonts w:eastAsiaTheme="minorEastAsia"/>
          <w:color w:val="000000" w:themeColor="text1"/>
          <w:sz w:val="20"/>
          <w:szCs w:val="20"/>
        </w:rPr>
        <w:t>benefit</w:t>
      </w:r>
      <w:bookmarkEnd w:id="3"/>
      <w:r w:rsidRPr="630A493F" w:rsidR="39E5A879">
        <w:rPr>
          <w:rFonts w:eastAsiaTheme="minorEastAsia"/>
          <w:color w:val="000000" w:themeColor="text1"/>
          <w:sz w:val="20"/>
          <w:szCs w:val="20"/>
        </w:rPr>
        <w:t xml:space="preserve"> both workers and </w:t>
      </w:r>
      <w:r w:rsidRPr="630A493F" w:rsidR="458861E6">
        <w:rPr>
          <w:rFonts w:eastAsiaTheme="minorEastAsia"/>
          <w:color w:val="000000" w:themeColor="text1"/>
          <w:sz w:val="20"/>
          <w:szCs w:val="20"/>
        </w:rPr>
        <w:t xml:space="preserve">the </w:t>
      </w:r>
      <w:r w:rsidRPr="630A493F" w:rsidR="39E5A879">
        <w:rPr>
          <w:rFonts w:eastAsiaTheme="minorEastAsia"/>
          <w:color w:val="000000" w:themeColor="text1"/>
          <w:sz w:val="20"/>
          <w:szCs w:val="20"/>
        </w:rPr>
        <w:t>compan</w:t>
      </w:r>
      <w:r w:rsidRPr="630A493F" w:rsidR="73031C15">
        <w:rPr>
          <w:rFonts w:eastAsiaTheme="minorEastAsia"/>
          <w:color w:val="000000" w:themeColor="text1"/>
          <w:sz w:val="20"/>
          <w:szCs w:val="20"/>
        </w:rPr>
        <w:t>y.</w:t>
      </w:r>
      <w:r w:rsidRPr="630A493F" w:rsidR="394D4EE7">
        <w:rPr>
          <w:rFonts w:eastAsiaTheme="minorEastAsia"/>
          <w:color w:val="000000" w:themeColor="text1"/>
          <w:sz w:val="20"/>
          <w:szCs w:val="20"/>
        </w:rPr>
        <w:t xml:space="preserve"> </w:t>
      </w:r>
    </w:p>
    <w:p w:rsidRPr="0079177B" w:rsidR="00FE3197" w:rsidP="630A493F" w:rsidRDefault="11F6F7B2" w14:paraId="2A705A9D" w14:textId="4E0C4F84">
      <w:pPr>
        <w:rPr>
          <w:rFonts w:eastAsiaTheme="minorEastAsia"/>
          <w:color w:val="000000" w:themeColor="text1"/>
          <w:sz w:val="20"/>
          <w:szCs w:val="20"/>
        </w:rPr>
      </w:pPr>
      <w:r w:rsidRPr="630A493F">
        <w:rPr>
          <w:rFonts w:eastAsiaTheme="minorEastAsia"/>
          <w:color w:val="000000" w:themeColor="text1"/>
          <w:sz w:val="20"/>
          <w:szCs w:val="20"/>
        </w:rPr>
        <w:t xml:space="preserve">According to research, effective worker voice can </w:t>
      </w:r>
      <w:bookmarkStart w:name="_Int_ln00SOnU" w:id="4"/>
      <w:r w:rsidRPr="630A493F">
        <w:rPr>
          <w:rFonts w:eastAsiaTheme="minorEastAsia"/>
          <w:color w:val="000000" w:themeColor="text1"/>
          <w:sz w:val="20"/>
          <w:szCs w:val="20"/>
        </w:rPr>
        <w:t>provide</w:t>
      </w:r>
      <w:bookmarkEnd w:id="4"/>
      <w:r w:rsidRPr="630A493F">
        <w:rPr>
          <w:rFonts w:eastAsiaTheme="minorEastAsia"/>
          <w:color w:val="000000" w:themeColor="text1"/>
          <w:sz w:val="20"/>
          <w:szCs w:val="20"/>
        </w:rPr>
        <w:t xml:space="preserve"> favourable results for both individuals and companies. People's health and motivation depend on their ability to </w:t>
      </w:r>
      <w:r w:rsidRPr="630A493F" w:rsidR="6158916E">
        <w:rPr>
          <w:rFonts w:eastAsiaTheme="minorEastAsia"/>
          <w:color w:val="000000" w:themeColor="text1"/>
          <w:sz w:val="20"/>
          <w:szCs w:val="20"/>
        </w:rPr>
        <w:t>take part</w:t>
      </w:r>
      <w:r w:rsidRPr="630A493F">
        <w:rPr>
          <w:rFonts w:eastAsiaTheme="minorEastAsia"/>
          <w:color w:val="000000" w:themeColor="text1"/>
          <w:sz w:val="20"/>
          <w:szCs w:val="20"/>
        </w:rPr>
        <w:t xml:space="preserve"> in decision-making because it increases the quality of their work experience and job overall. </w:t>
      </w:r>
      <w:r w:rsidRPr="630A493F" w:rsidR="554C8123">
        <w:rPr>
          <w:rFonts w:eastAsiaTheme="minorEastAsia"/>
          <w:color w:val="000000" w:themeColor="text1"/>
          <w:sz w:val="20"/>
          <w:szCs w:val="20"/>
        </w:rPr>
        <w:t>Go Quest</w:t>
      </w:r>
      <w:r w:rsidRPr="630A493F">
        <w:rPr>
          <w:rFonts w:eastAsiaTheme="minorEastAsia"/>
          <w:color w:val="000000" w:themeColor="text1"/>
          <w:sz w:val="20"/>
          <w:szCs w:val="20"/>
        </w:rPr>
        <w:t xml:space="preserve"> can gain from increased creativity and production as well as less conflict and absenteeism at work</w:t>
      </w:r>
      <w:r w:rsidRPr="630A493F" w:rsidR="4CB57231">
        <w:rPr>
          <w:rFonts w:eastAsiaTheme="minorEastAsia"/>
          <w:color w:val="000000" w:themeColor="text1"/>
          <w:sz w:val="20"/>
          <w:szCs w:val="20"/>
        </w:rPr>
        <w:t>.</w:t>
      </w:r>
      <w:r w:rsidRPr="630A493F" w:rsidR="2465A399">
        <w:rPr>
          <w:rFonts w:eastAsiaTheme="minorEastAsia"/>
          <w:color w:val="000000" w:themeColor="text1"/>
          <w:sz w:val="20"/>
          <w:szCs w:val="20"/>
        </w:rPr>
        <w:t xml:space="preserve"> </w:t>
      </w:r>
      <w:r w:rsidRPr="630A493F" w:rsidR="34D81FCE">
        <w:rPr>
          <w:rFonts w:eastAsiaTheme="minorEastAsia"/>
          <w:color w:val="000000" w:themeColor="text1"/>
          <w:sz w:val="20"/>
          <w:szCs w:val="20"/>
        </w:rPr>
        <w:t>(</w:t>
      </w:r>
      <w:r w:rsidRPr="630A493F" w:rsidR="5D7A23C1">
        <w:rPr>
          <w:rFonts w:eastAsiaTheme="minorEastAsia"/>
          <w:b/>
          <w:bCs/>
          <w:color w:val="000000" w:themeColor="text1"/>
          <w:sz w:val="20"/>
          <w:szCs w:val="20"/>
        </w:rPr>
        <w:t>Peters, R. 2022)</w:t>
      </w:r>
    </w:p>
    <w:p w:rsidRPr="0079177B" w:rsidR="00FE3197" w:rsidP="630A493F" w:rsidRDefault="4B4518B7" w14:paraId="740225A4" w14:textId="2CD00659">
      <w:pPr>
        <w:rPr>
          <w:rFonts w:eastAsiaTheme="minorEastAsia"/>
          <w:b/>
          <w:bCs/>
          <w:color w:val="000000" w:themeColor="text1"/>
          <w:sz w:val="20"/>
          <w:szCs w:val="20"/>
        </w:rPr>
      </w:pPr>
      <w:r w:rsidRPr="630A493F">
        <w:rPr>
          <w:rFonts w:eastAsiaTheme="minorEastAsia"/>
          <w:color w:val="000000" w:themeColor="text1"/>
          <w:sz w:val="20"/>
          <w:szCs w:val="20"/>
        </w:rPr>
        <w:t xml:space="preserve">The Taylor Review of Modern </w:t>
      </w:r>
      <w:r w:rsidRPr="630A493F" w:rsidR="375628E7">
        <w:rPr>
          <w:rFonts w:eastAsiaTheme="minorEastAsia"/>
          <w:color w:val="000000" w:themeColor="text1"/>
          <w:sz w:val="20"/>
          <w:szCs w:val="20"/>
        </w:rPr>
        <w:t>Working</w:t>
      </w:r>
      <w:r w:rsidRPr="630A493F">
        <w:rPr>
          <w:rFonts w:eastAsiaTheme="minorEastAsia"/>
          <w:color w:val="000000" w:themeColor="text1"/>
          <w:sz w:val="20"/>
          <w:szCs w:val="20"/>
        </w:rPr>
        <w:t xml:space="preserve"> </w:t>
      </w:r>
      <w:r w:rsidRPr="630A493F" w:rsidR="4E593CD5">
        <w:rPr>
          <w:rFonts w:eastAsiaTheme="minorEastAsia"/>
          <w:color w:val="000000" w:themeColor="text1"/>
          <w:sz w:val="20"/>
          <w:szCs w:val="20"/>
        </w:rPr>
        <w:t>Practices</w:t>
      </w:r>
      <w:r w:rsidRPr="630A493F">
        <w:rPr>
          <w:rFonts w:eastAsiaTheme="minorEastAsia"/>
          <w:color w:val="000000" w:themeColor="text1"/>
          <w:sz w:val="20"/>
          <w:szCs w:val="20"/>
        </w:rPr>
        <w:t xml:space="preserve"> says </w:t>
      </w:r>
      <w:r w:rsidRPr="630A493F" w:rsidR="73701B1A">
        <w:rPr>
          <w:rFonts w:eastAsiaTheme="minorEastAsia"/>
          <w:color w:val="000000" w:themeColor="text1"/>
          <w:sz w:val="20"/>
          <w:szCs w:val="20"/>
        </w:rPr>
        <w:t xml:space="preserve">that people may feel more positive about their work if they have a bigger say in organisational decisions that have an impact on their job. Additionally, it can contribute to a more collaborative atmosphere between management and employees, enhancing satisfaction and raising productivity. The Review learned that people's wellbeing suffered when they had no control over how they worked. </w:t>
      </w:r>
      <w:r w:rsidRPr="630A493F" w:rsidR="6ADD3AC2">
        <w:rPr>
          <w:rFonts w:eastAsiaTheme="minorEastAsia"/>
          <w:color w:val="000000" w:themeColor="text1"/>
          <w:sz w:val="20"/>
          <w:szCs w:val="20"/>
        </w:rPr>
        <w:t>(</w:t>
      </w:r>
      <w:r w:rsidRPr="630A493F" w:rsidR="64833331">
        <w:rPr>
          <w:rFonts w:eastAsiaTheme="minorEastAsia"/>
          <w:b/>
          <w:bCs/>
          <w:color w:val="000000" w:themeColor="text1"/>
          <w:sz w:val="20"/>
          <w:szCs w:val="20"/>
        </w:rPr>
        <w:t>Taylor, M 2017)</w:t>
      </w:r>
    </w:p>
    <w:p w:rsidRPr="0079177B" w:rsidR="00FE3197" w:rsidP="630A493F" w:rsidRDefault="173A0996" w14:paraId="48BB4614" w14:textId="55FCBE4A">
      <w:pPr>
        <w:rPr>
          <w:rFonts w:eastAsiaTheme="minorEastAsia"/>
          <w:color w:val="000000" w:themeColor="text1"/>
          <w:sz w:val="20"/>
          <w:szCs w:val="20"/>
        </w:rPr>
      </w:pPr>
      <w:r w:rsidRPr="630A493F">
        <w:rPr>
          <w:rFonts w:eastAsiaTheme="minorEastAsia"/>
          <w:color w:val="000000" w:themeColor="text1"/>
          <w:sz w:val="20"/>
          <w:szCs w:val="20"/>
        </w:rPr>
        <w:t xml:space="preserve">Employee trust in senior management and the relationship between the employee and line manager serve as mediators in the direct association between </w:t>
      </w:r>
      <w:r w:rsidRPr="630A493F" w:rsidR="013B12C4">
        <w:rPr>
          <w:rFonts w:eastAsiaTheme="minorEastAsia"/>
          <w:color w:val="000000" w:themeColor="text1"/>
          <w:sz w:val="20"/>
          <w:szCs w:val="20"/>
        </w:rPr>
        <w:t>feelings</w:t>
      </w:r>
      <w:r w:rsidRPr="630A493F">
        <w:rPr>
          <w:rFonts w:eastAsiaTheme="minorEastAsia"/>
          <w:color w:val="000000" w:themeColor="text1"/>
          <w:sz w:val="20"/>
          <w:szCs w:val="20"/>
        </w:rPr>
        <w:t xml:space="preserve"> of voice behaviour and engagement, according to analysis of data from two organisations</w:t>
      </w:r>
      <w:r w:rsidRPr="630A493F">
        <w:rPr>
          <w:rFonts w:eastAsiaTheme="minorEastAsia"/>
          <w:b/>
          <w:bCs/>
          <w:color w:val="000000" w:themeColor="text1"/>
          <w:sz w:val="20"/>
          <w:szCs w:val="20"/>
        </w:rPr>
        <w:t>. (</w:t>
      </w:r>
      <w:r w:rsidRPr="630A493F" w:rsidR="5E658A72">
        <w:rPr>
          <w:rFonts w:eastAsiaTheme="minorEastAsia"/>
          <w:b/>
          <w:bCs/>
          <w:color w:val="000000" w:themeColor="text1"/>
          <w:sz w:val="20"/>
          <w:szCs w:val="20"/>
        </w:rPr>
        <w:t>Rees, C, Alfes</w:t>
      </w:r>
      <w:r w:rsidRPr="630A493F" w:rsidR="21E4A46C">
        <w:rPr>
          <w:rFonts w:eastAsiaTheme="minorEastAsia"/>
          <w:b/>
          <w:bCs/>
          <w:color w:val="000000" w:themeColor="text1"/>
          <w:sz w:val="20"/>
          <w:szCs w:val="20"/>
        </w:rPr>
        <w:t>,</w:t>
      </w:r>
      <w:r w:rsidRPr="630A493F" w:rsidR="5E658A72">
        <w:rPr>
          <w:rFonts w:eastAsiaTheme="minorEastAsia"/>
          <w:b/>
          <w:bCs/>
          <w:color w:val="000000" w:themeColor="text1"/>
          <w:sz w:val="20"/>
          <w:szCs w:val="20"/>
        </w:rPr>
        <w:t xml:space="preserve"> K, and Gatenby, M 2013)</w:t>
      </w:r>
    </w:p>
    <w:p w:rsidRPr="0079177B" w:rsidR="0079177B" w:rsidP="630A493F" w:rsidRDefault="0079525F" w14:paraId="3D2A30A5" w14:textId="269BAF14">
      <w:pPr>
        <w:rPr>
          <w:rFonts w:eastAsiaTheme="minorEastAsia"/>
          <w:b/>
          <w:bCs/>
          <w:color w:val="000000" w:themeColor="text1"/>
          <w:sz w:val="20"/>
          <w:szCs w:val="20"/>
        </w:rPr>
      </w:pPr>
      <w:r>
        <w:br/>
      </w:r>
      <w:r w:rsidRPr="630A493F" w:rsidR="2AF81280">
        <w:rPr>
          <w:rFonts w:eastAsiaTheme="minorEastAsia"/>
          <w:b/>
          <w:bCs/>
          <w:color w:val="000000" w:themeColor="text1"/>
          <w:sz w:val="20"/>
          <w:szCs w:val="20"/>
          <w:u w:val="single"/>
        </w:rPr>
        <w:t xml:space="preserve">AC 1.2 </w:t>
      </w:r>
      <w:r w:rsidRPr="630A493F" w:rsidR="2AF81280">
        <w:rPr>
          <w:rFonts w:eastAsiaTheme="minorEastAsia"/>
          <w:color w:val="000000" w:themeColor="text1"/>
          <w:sz w:val="20"/>
          <w:szCs w:val="20"/>
          <w:u w:val="single"/>
        </w:rPr>
        <w:t>Differentiate between employee involvement and employee participation and how it builds</w:t>
      </w:r>
      <w:r w:rsidRPr="630A493F" w:rsidR="2AF81280">
        <w:rPr>
          <w:rFonts w:eastAsiaTheme="minorEastAsia"/>
          <w:b/>
          <w:bCs/>
          <w:color w:val="000000" w:themeColor="text1"/>
          <w:sz w:val="20"/>
          <w:szCs w:val="20"/>
          <w:u w:val="single"/>
        </w:rPr>
        <w:t xml:space="preserve"> </w:t>
      </w:r>
      <w:r w:rsidRPr="630A493F" w:rsidR="2AF81280">
        <w:rPr>
          <w:rFonts w:eastAsiaTheme="minorEastAsia"/>
          <w:color w:val="000000" w:themeColor="text1"/>
          <w:sz w:val="20"/>
          <w:szCs w:val="20"/>
          <w:u w:val="single"/>
        </w:rPr>
        <w:t>relationships.</w:t>
      </w:r>
      <w:r w:rsidRPr="630A493F" w:rsidR="2AF81280">
        <w:rPr>
          <w:rFonts w:eastAsiaTheme="minorEastAsia"/>
          <w:b/>
          <w:bCs/>
          <w:color w:val="000000" w:themeColor="text1"/>
          <w:sz w:val="20"/>
          <w:szCs w:val="20"/>
        </w:rPr>
        <w:t xml:space="preserve"> </w:t>
      </w:r>
      <w:r w:rsidRPr="630A493F" w:rsidR="1B5F6A34">
        <w:rPr>
          <w:rFonts w:eastAsiaTheme="minorEastAsia"/>
          <w:b/>
          <w:bCs/>
          <w:color w:val="000000" w:themeColor="text1"/>
          <w:sz w:val="20"/>
          <w:szCs w:val="20"/>
        </w:rPr>
        <w:t>3</w:t>
      </w:r>
      <w:r w:rsidRPr="630A493F" w:rsidR="002B6535">
        <w:rPr>
          <w:rFonts w:eastAsiaTheme="minorEastAsia"/>
          <w:b/>
          <w:bCs/>
          <w:color w:val="000000" w:themeColor="text1"/>
          <w:sz w:val="20"/>
          <w:szCs w:val="20"/>
        </w:rPr>
        <w:t>6</w:t>
      </w:r>
      <w:r w:rsidRPr="630A493F" w:rsidR="00221D79">
        <w:rPr>
          <w:rFonts w:eastAsiaTheme="minorEastAsia"/>
          <w:b/>
          <w:bCs/>
          <w:color w:val="000000" w:themeColor="text1"/>
          <w:sz w:val="20"/>
          <w:szCs w:val="20"/>
        </w:rPr>
        <w:t>2</w:t>
      </w:r>
      <w:r w:rsidRPr="630A493F" w:rsidR="00B74D4F">
        <w:rPr>
          <w:rFonts w:eastAsiaTheme="minorEastAsia"/>
          <w:b/>
          <w:bCs/>
          <w:color w:val="000000" w:themeColor="text1"/>
          <w:sz w:val="20"/>
          <w:szCs w:val="20"/>
        </w:rPr>
        <w:t xml:space="preserve"> </w:t>
      </w:r>
    </w:p>
    <w:p w:rsidR="06CB4A79" w:rsidP="630A493F" w:rsidRDefault="002B6535" w14:paraId="3F9DCE5C" w14:textId="08E2D2E6">
      <w:pPr>
        <w:rPr>
          <w:rFonts w:eastAsiaTheme="minorEastAsia"/>
          <w:b/>
          <w:bCs/>
          <w:color w:val="000000" w:themeColor="text1"/>
          <w:sz w:val="20"/>
          <w:szCs w:val="20"/>
        </w:rPr>
      </w:pPr>
      <w:r w:rsidRPr="630A493F">
        <w:rPr>
          <w:rFonts w:eastAsiaTheme="minorEastAsia"/>
          <w:color w:val="000000" w:themeColor="text1"/>
          <w:sz w:val="20"/>
          <w:szCs w:val="20"/>
        </w:rPr>
        <w:t xml:space="preserve">Employee participation refers to the employees taking part in business activities. </w:t>
      </w:r>
      <w:r w:rsidRPr="630A493F" w:rsidR="06CB4A79">
        <w:rPr>
          <w:rFonts w:eastAsiaTheme="minorEastAsia"/>
          <w:color w:val="000000" w:themeColor="text1"/>
          <w:sz w:val="20"/>
          <w:szCs w:val="20"/>
        </w:rPr>
        <w:t xml:space="preserve">It is seen to make business sense to involve employees, as a committed workforce is likely to understand better what the organisation is trying to do and be more prepared to contribute to its efficient operation. </w:t>
      </w:r>
      <w:r w:rsidRPr="630A493F" w:rsidR="51FC3743">
        <w:rPr>
          <w:rFonts w:eastAsiaTheme="minorEastAsia"/>
          <w:color w:val="000000" w:themeColor="text1"/>
          <w:sz w:val="20"/>
          <w:szCs w:val="20"/>
        </w:rPr>
        <w:t>But management decides whether employees are to be involved and how they will be involved.</w:t>
      </w:r>
      <w:r w:rsidRPr="630A493F" w:rsidR="06CB4A79">
        <w:rPr>
          <w:rFonts w:eastAsiaTheme="minorEastAsia"/>
          <w:color w:val="000000" w:themeColor="text1"/>
          <w:sz w:val="20"/>
          <w:szCs w:val="20"/>
        </w:rPr>
        <w:t xml:space="preserve"> EIP in its most limited forms could be characterised as a move away from ‘you will do this’ to ‘this is why you will do this</w:t>
      </w:r>
      <w:r w:rsidRPr="630A493F" w:rsidR="755FFA47">
        <w:rPr>
          <w:rFonts w:eastAsiaTheme="minorEastAsia"/>
          <w:color w:val="000000" w:themeColor="text1"/>
          <w:sz w:val="20"/>
          <w:szCs w:val="20"/>
        </w:rPr>
        <w:t>.’</w:t>
      </w:r>
      <w:r w:rsidRPr="630A493F" w:rsidR="06CB4A79">
        <w:rPr>
          <w:rFonts w:eastAsiaTheme="minorEastAsia"/>
          <w:color w:val="000000" w:themeColor="text1"/>
          <w:sz w:val="20"/>
          <w:szCs w:val="20"/>
        </w:rPr>
        <w:t xml:space="preserve"> From the 1980s we </w:t>
      </w:r>
      <w:bookmarkStart w:name="_Int_Rez3HRRn" w:id="5"/>
      <w:r w:rsidRPr="630A493F" w:rsidR="06CB4A79">
        <w:rPr>
          <w:rFonts w:eastAsiaTheme="minorEastAsia"/>
          <w:color w:val="000000" w:themeColor="text1"/>
          <w:sz w:val="20"/>
          <w:szCs w:val="20"/>
        </w:rPr>
        <w:t>witnessed</w:t>
      </w:r>
      <w:bookmarkEnd w:id="5"/>
      <w:r w:rsidRPr="630A493F" w:rsidR="06CB4A79">
        <w:rPr>
          <w:rFonts w:eastAsiaTheme="minorEastAsia"/>
          <w:color w:val="000000" w:themeColor="text1"/>
          <w:sz w:val="20"/>
          <w:szCs w:val="20"/>
        </w:rPr>
        <w:t xml:space="preserve"> a sizeable growth in direct EIP and communications as managers stepped up their communication with all employees.</w:t>
      </w:r>
      <w:r w:rsidRPr="630A493F" w:rsidR="2DA7CE13">
        <w:rPr>
          <w:rFonts w:eastAsiaTheme="minorEastAsia"/>
          <w:color w:val="000000" w:themeColor="text1"/>
          <w:sz w:val="20"/>
          <w:szCs w:val="20"/>
        </w:rPr>
        <w:t xml:space="preserve"> </w:t>
      </w:r>
      <w:r w:rsidRPr="630A493F" w:rsidR="6072F2B1">
        <w:rPr>
          <w:rFonts w:eastAsiaTheme="minorEastAsia"/>
          <w:color w:val="000000" w:themeColor="text1"/>
          <w:sz w:val="20"/>
          <w:szCs w:val="20"/>
        </w:rPr>
        <w:t>(</w:t>
      </w:r>
      <w:r w:rsidRPr="630A493F" w:rsidR="2DA7CE13">
        <w:rPr>
          <w:rFonts w:eastAsiaTheme="minorEastAsia"/>
          <w:b/>
          <w:bCs/>
          <w:color w:val="000000" w:themeColor="text1"/>
          <w:sz w:val="20"/>
          <w:szCs w:val="20"/>
        </w:rPr>
        <w:t>Marchington et al 2021)</w:t>
      </w:r>
    </w:p>
    <w:p w:rsidR="7FDF151D" w:rsidP="630A493F" w:rsidRDefault="49A9FEBE" w14:paraId="491EBF63" w14:textId="43905448">
      <w:pPr>
        <w:rPr>
          <w:rFonts w:eastAsiaTheme="minorEastAsia"/>
          <w:color w:val="000000" w:themeColor="text1"/>
          <w:sz w:val="20"/>
          <w:szCs w:val="20"/>
          <w:lang w:val="en-US"/>
        </w:rPr>
      </w:pPr>
      <w:r w:rsidRPr="630A493F">
        <w:rPr>
          <w:rFonts w:eastAsiaTheme="minorEastAsia"/>
          <w:color w:val="000000" w:themeColor="text1"/>
          <w:sz w:val="20"/>
          <w:szCs w:val="20"/>
        </w:rPr>
        <w:t xml:space="preserve">Employee engagement has been shown to be linked to positive outcomes, </w:t>
      </w:r>
      <w:r w:rsidRPr="630A493F" w:rsidR="3A64EB07">
        <w:rPr>
          <w:rFonts w:eastAsiaTheme="minorEastAsia"/>
          <w:color w:val="000000" w:themeColor="text1"/>
          <w:sz w:val="20"/>
          <w:szCs w:val="20"/>
        </w:rPr>
        <w:t>from absence and retention</w:t>
      </w:r>
      <w:r w:rsidRPr="630A493F">
        <w:rPr>
          <w:rFonts w:eastAsiaTheme="minorEastAsia"/>
          <w:color w:val="000000" w:themeColor="text1"/>
          <w:sz w:val="20"/>
          <w:szCs w:val="20"/>
        </w:rPr>
        <w:t xml:space="preserve"> to customer satisfaction and productivity </w:t>
      </w:r>
      <w:r w:rsidRPr="630A493F">
        <w:rPr>
          <w:rFonts w:eastAsiaTheme="minorEastAsia"/>
          <w:b/>
          <w:bCs/>
          <w:color w:val="000000" w:themeColor="text1"/>
          <w:sz w:val="20"/>
          <w:szCs w:val="20"/>
        </w:rPr>
        <w:t>(Rayton et al, 2012).</w:t>
      </w:r>
      <w:r w:rsidRPr="630A493F" w:rsidR="6DDEEF5B">
        <w:rPr>
          <w:rFonts w:eastAsiaTheme="minorEastAsia"/>
          <w:b/>
          <w:bCs/>
          <w:color w:val="000000" w:themeColor="text1"/>
          <w:sz w:val="20"/>
          <w:szCs w:val="20"/>
        </w:rPr>
        <w:t xml:space="preserve"> </w:t>
      </w:r>
      <w:r w:rsidRPr="630A493F" w:rsidR="7FDF151D">
        <w:rPr>
          <w:rFonts w:eastAsiaTheme="minorEastAsia"/>
          <w:color w:val="000000" w:themeColor="text1"/>
          <w:sz w:val="20"/>
          <w:szCs w:val="20"/>
        </w:rPr>
        <w:t xml:space="preserve">There seems to be substantial unmet demand for employee voice; just 43 per cent of employees are satisfied/very satisfied with their involvement in decision-making at work. There is evidence that consultation makes a difference here; employees at organisations where the employer had consulted or negotiated over the most important change in the workplace were 3 per cent more </w:t>
      </w:r>
      <w:r w:rsidRPr="630A493F" w:rsidR="7FDF151D">
        <w:rPr>
          <w:rFonts w:eastAsiaTheme="minorEastAsia"/>
          <w:color w:val="000000" w:themeColor="text1"/>
          <w:sz w:val="20"/>
          <w:szCs w:val="20"/>
        </w:rPr>
        <w:lastRenderedPageBreak/>
        <w:t xml:space="preserve">likely to say they were satisfied with involvement in decision-making compared to when managers had just given information to employees, and 4 per cent more satisfied than when managers had not involved staff at all </w:t>
      </w:r>
      <w:r w:rsidRPr="630A493F" w:rsidR="7FDF151D">
        <w:rPr>
          <w:rFonts w:eastAsiaTheme="minorEastAsia"/>
          <w:b/>
          <w:bCs/>
          <w:color w:val="000000" w:themeColor="text1"/>
          <w:sz w:val="20"/>
          <w:szCs w:val="20"/>
        </w:rPr>
        <w:t>(Van Wanrooy et al., 2013)</w:t>
      </w:r>
      <w:r w:rsidRPr="630A493F" w:rsidR="7FDF151D">
        <w:rPr>
          <w:rFonts w:eastAsiaTheme="minorEastAsia"/>
          <w:color w:val="000000" w:themeColor="text1"/>
          <w:sz w:val="20"/>
          <w:szCs w:val="20"/>
        </w:rPr>
        <w:t>.</w:t>
      </w:r>
    </w:p>
    <w:p w:rsidRPr="007B0905" w:rsidR="008C6C41" w:rsidP="630A493F" w:rsidRDefault="00F51A9F" w14:paraId="204700D5" w14:textId="1E1D61E8">
      <w:pPr>
        <w:rPr>
          <w:rFonts w:eastAsiaTheme="minorEastAsia"/>
          <w:color w:val="FF0000"/>
          <w:sz w:val="20"/>
          <w:szCs w:val="20"/>
          <w:lang w:val="en-US"/>
        </w:rPr>
      </w:pPr>
      <w:r w:rsidRPr="630A493F">
        <w:rPr>
          <w:rFonts w:eastAsiaTheme="minorEastAsia"/>
          <w:color w:val="FF0000"/>
          <w:sz w:val="20"/>
          <w:szCs w:val="20"/>
        </w:rPr>
        <w:t xml:space="preserve">The two </w:t>
      </w:r>
      <w:r w:rsidRPr="630A493F" w:rsidR="00D61895">
        <w:rPr>
          <w:rFonts w:eastAsiaTheme="minorEastAsia"/>
          <w:color w:val="FF0000"/>
          <w:sz w:val="20"/>
          <w:szCs w:val="20"/>
        </w:rPr>
        <w:t>main</w:t>
      </w:r>
      <w:r w:rsidRPr="630A493F">
        <w:rPr>
          <w:rFonts w:eastAsiaTheme="minorEastAsia"/>
          <w:color w:val="FF0000"/>
          <w:sz w:val="20"/>
          <w:szCs w:val="20"/>
        </w:rPr>
        <w:t xml:space="preserve"> perspectives that managers have on the employment relationship are unitarist and pluralist. It is assumed that those who hold a unitarist perspective of the employee-employer relationship may see the company and its employees as one cohesive team that works under the manager's authority to achieve the company's objectives.</w:t>
      </w:r>
      <w:r w:rsidRPr="630A493F" w:rsidR="00F61F44">
        <w:rPr>
          <w:rFonts w:eastAsiaTheme="minorEastAsia"/>
          <w:color w:val="FF0000"/>
          <w:sz w:val="20"/>
          <w:szCs w:val="20"/>
        </w:rPr>
        <w:t xml:space="preserve"> </w:t>
      </w:r>
      <w:r w:rsidRPr="630A493F" w:rsidR="00DB3DEF">
        <w:rPr>
          <w:rFonts w:eastAsiaTheme="minorEastAsia"/>
          <w:color w:val="FF0000"/>
          <w:sz w:val="20"/>
          <w:szCs w:val="20"/>
        </w:rPr>
        <w:t>A pluralist relationship implies that employers and employees have both similar and dissimilar interests in the partnership. For instance, it may be argued that while businesses try to maximise profits, employees prefer to advance their careers and increase their income</w:t>
      </w:r>
      <w:r w:rsidRPr="630A493F" w:rsidR="007B0905">
        <w:rPr>
          <w:rFonts w:eastAsiaTheme="minorEastAsia"/>
          <w:color w:val="FF0000"/>
          <w:sz w:val="20"/>
          <w:szCs w:val="20"/>
        </w:rPr>
        <w:t xml:space="preserve"> </w:t>
      </w:r>
      <w:r w:rsidRPr="630A493F" w:rsidR="007B0905">
        <w:rPr>
          <w:rFonts w:eastAsiaTheme="minorEastAsia"/>
          <w:b/>
          <w:bCs/>
          <w:color w:val="FF0000"/>
          <w:sz w:val="20"/>
          <w:szCs w:val="20"/>
        </w:rPr>
        <w:t>(Taylor, S 2022)</w:t>
      </w:r>
    </w:p>
    <w:p w:rsidR="0DAB699B" w:rsidP="630A493F" w:rsidRDefault="7D6E47E6" w14:paraId="0F4372DD" w14:textId="5EBEB817">
      <w:pPr>
        <w:rPr>
          <w:rFonts w:eastAsiaTheme="minorEastAsia"/>
          <w:b/>
          <w:bCs/>
          <w:color w:val="000000" w:themeColor="text1"/>
          <w:sz w:val="20"/>
          <w:szCs w:val="20"/>
        </w:rPr>
      </w:pPr>
      <w:r w:rsidRPr="630A493F">
        <w:rPr>
          <w:rFonts w:eastAsiaTheme="minorEastAsia"/>
          <w:color w:val="000000" w:themeColor="text1"/>
          <w:sz w:val="20"/>
          <w:szCs w:val="20"/>
        </w:rPr>
        <w:t xml:space="preserve">Trade unions </w:t>
      </w:r>
      <w:r w:rsidRPr="630A493F" w:rsidR="5327BFF9">
        <w:rPr>
          <w:rFonts w:eastAsiaTheme="minorEastAsia"/>
          <w:color w:val="000000" w:themeColor="text1"/>
          <w:sz w:val="20"/>
          <w:szCs w:val="20"/>
        </w:rPr>
        <w:t xml:space="preserve">at Go Quest </w:t>
      </w:r>
      <w:r w:rsidRPr="630A493F" w:rsidR="00182899">
        <w:rPr>
          <w:rFonts w:eastAsiaTheme="minorEastAsia"/>
          <w:color w:val="000000" w:themeColor="text1"/>
          <w:sz w:val="20"/>
          <w:szCs w:val="20"/>
        </w:rPr>
        <w:t>sh</w:t>
      </w:r>
      <w:r w:rsidRPr="630A493F">
        <w:rPr>
          <w:rFonts w:eastAsiaTheme="minorEastAsia"/>
          <w:color w:val="000000" w:themeColor="text1"/>
          <w:sz w:val="20"/>
          <w:szCs w:val="20"/>
        </w:rPr>
        <w:t xml:space="preserve">ould promote awareness among their officers, and through them to the </w:t>
      </w:r>
      <w:r w:rsidRPr="630A493F" w:rsidR="14F8D3D0">
        <w:rPr>
          <w:rFonts w:eastAsiaTheme="minorEastAsia"/>
          <w:color w:val="000000" w:themeColor="text1"/>
          <w:sz w:val="20"/>
          <w:szCs w:val="20"/>
        </w:rPr>
        <w:t>workforce, so</w:t>
      </w:r>
      <w:r w:rsidRPr="630A493F">
        <w:rPr>
          <w:rFonts w:eastAsiaTheme="minorEastAsia"/>
          <w:color w:val="000000" w:themeColor="text1"/>
          <w:sz w:val="20"/>
          <w:szCs w:val="20"/>
        </w:rPr>
        <w:t xml:space="preserve"> that employees are aware of the opportunities offered by the regulations. </w:t>
      </w:r>
      <w:r w:rsidRPr="630A493F">
        <w:rPr>
          <w:rFonts w:eastAsiaTheme="minorEastAsia"/>
          <w:b/>
          <w:bCs/>
          <w:color w:val="000000" w:themeColor="text1"/>
          <w:sz w:val="20"/>
          <w:szCs w:val="20"/>
        </w:rPr>
        <w:t>(Dromey, J 2015)</w:t>
      </w:r>
    </w:p>
    <w:p w:rsidR="00DB50D4" w:rsidP="630A493F" w:rsidRDefault="00DB50D4" w14:paraId="598EFB8E" w14:textId="77777777">
      <w:pPr>
        <w:rPr>
          <w:rFonts w:eastAsiaTheme="minorEastAsia"/>
          <w:b/>
          <w:bCs/>
          <w:color w:val="000000" w:themeColor="text1"/>
          <w:sz w:val="20"/>
          <w:szCs w:val="20"/>
        </w:rPr>
      </w:pPr>
    </w:p>
    <w:p w:rsidRPr="0079177B" w:rsidR="001D1B96" w:rsidP="1F4C59DA" w:rsidRDefault="2AF81280" w14:paraId="77B95CAB" w14:textId="64091FE7">
      <w:pPr>
        <w:rPr>
          <w:rFonts w:eastAsia="" w:eastAsiaTheme="minorEastAsia"/>
          <w:b w:val="1"/>
          <w:bCs w:val="1"/>
          <w:color w:val="000000" w:themeColor="text1"/>
          <w:sz w:val="20"/>
          <w:szCs w:val="20"/>
        </w:rPr>
      </w:pPr>
      <w:r w:rsidRPr="1F4C59DA" w:rsidR="2AF81280">
        <w:rPr>
          <w:rFonts w:eastAsia="" w:eastAsiaTheme="minorEastAsia"/>
          <w:b w:val="1"/>
          <w:bCs w:val="1"/>
          <w:color w:val="000000" w:themeColor="text1" w:themeTint="FF" w:themeShade="FF"/>
          <w:sz w:val="20"/>
          <w:szCs w:val="20"/>
          <w:u w:val="single"/>
        </w:rPr>
        <w:t xml:space="preserve">AC 1.3 </w:t>
      </w:r>
      <w:r w:rsidRPr="1F4C59DA" w:rsidR="2AF81280">
        <w:rPr>
          <w:rFonts w:eastAsia="" w:eastAsiaTheme="minorEastAsia"/>
          <w:color w:val="000000" w:themeColor="text1" w:themeTint="FF" w:themeShade="FF"/>
          <w:sz w:val="20"/>
          <w:szCs w:val="20"/>
          <w:u w:val="single"/>
        </w:rPr>
        <w:t>Assess three employee voice tools and two approaches that might be used to drive employee engagement.</w:t>
      </w:r>
      <w:r w:rsidRPr="1F4C59DA" w:rsidR="2AF81280">
        <w:rPr>
          <w:rFonts w:eastAsia="" w:eastAsiaTheme="minorEastAsia"/>
          <w:b w:val="1"/>
          <w:bCs w:val="1"/>
          <w:color w:val="000000" w:themeColor="text1" w:themeTint="FF" w:themeShade="FF"/>
          <w:sz w:val="20"/>
          <w:szCs w:val="20"/>
        </w:rPr>
        <w:t xml:space="preserve"> </w:t>
      </w:r>
      <w:r w:rsidRPr="1F4C59DA" w:rsidR="00E54350">
        <w:rPr>
          <w:rFonts w:eastAsia="" w:eastAsiaTheme="minorEastAsia"/>
          <w:b w:val="1"/>
          <w:bCs w:val="1"/>
          <w:color w:val="000000" w:themeColor="text1" w:themeTint="FF" w:themeShade="FF"/>
          <w:sz w:val="20"/>
          <w:szCs w:val="20"/>
        </w:rPr>
        <w:t>3</w:t>
      </w:r>
      <w:r w:rsidRPr="1F4C59DA" w:rsidR="58D2F992">
        <w:rPr>
          <w:rFonts w:eastAsia="" w:eastAsiaTheme="minorEastAsia"/>
          <w:b w:val="1"/>
          <w:bCs w:val="1"/>
          <w:color w:val="000000" w:themeColor="text1" w:themeTint="FF" w:themeShade="FF"/>
          <w:sz w:val="20"/>
          <w:szCs w:val="20"/>
        </w:rPr>
        <w:t>8</w:t>
      </w:r>
      <w:r w:rsidRPr="1F4C59DA" w:rsidR="0204759F">
        <w:rPr>
          <w:rFonts w:eastAsia="" w:eastAsiaTheme="minorEastAsia"/>
          <w:b w:val="1"/>
          <w:bCs w:val="1"/>
          <w:color w:val="000000" w:themeColor="text1" w:themeTint="FF" w:themeShade="FF"/>
          <w:sz w:val="20"/>
          <w:szCs w:val="20"/>
        </w:rPr>
        <w:t>8</w:t>
      </w:r>
    </w:p>
    <w:p w:rsidRPr="006B3B06" w:rsidR="48FAF616" w:rsidP="1F4C59DA" w:rsidRDefault="48FAF616" w14:paraId="7A5C89D1" w14:textId="53A8116A">
      <w:pPr>
        <w:rPr>
          <w:rFonts w:eastAsia="" w:eastAsiaTheme="minorEastAsia"/>
          <w:b w:val="1"/>
          <w:bCs w:val="1"/>
          <w:color w:val="FF0000"/>
          <w:sz w:val="20"/>
          <w:szCs w:val="20"/>
          <w:lang w:val="en-US"/>
        </w:rPr>
      </w:pPr>
      <w:r w:rsidRPr="1F4C59DA" w:rsidR="48FAF616">
        <w:rPr>
          <w:rFonts w:eastAsia="" w:eastAsiaTheme="minorEastAsia"/>
          <w:color w:val="FF0000"/>
          <w:sz w:val="20"/>
          <w:szCs w:val="20"/>
          <w:u w:val="single"/>
        </w:rPr>
        <w:t xml:space="preserve">Collective </w:t>
      </w:r>
      <w:r w:rsidRPr="1F4C59DA" w:rsidR="1C7A7126">
        <w:rPr>
          <w:rFonts w:eastAsia="" w:eastAsiaTheme="minorEastAsia"/>
          <w:color w:val="FF0000"/>
          <w:sz w:val="20"/>
          <w:szCs w:val="20"/>
          <w:u w:val="single"/>
        </w:rPr>
        <w:t>Bargaining:</w:t>
      </w:r>
      <w:r w:rsidRPr="1F4C59DA" w:rsidR="48FAF616">
        <w:rPr>
          <w:rFonts w:eastAsia="" w:eastAsiaTheme="minorEastAsia"/>
          <w:color w:val="FF0000"/>
          <w:sz w:val="20"/>
          <w:szCs w:val="20"/>
        </w:rPr>
        <w:t xml:space="preserve"> </w:t>
      </w:r>
      <w:r w:rsidRPr="1F4C59DA" w:rsidR="38232CF7">
        <w:rPr>
          <w:rFonts w:eastAsia="" w:eastAsiaTheme="minorEastAsia"/>
          <w:color w:val="FF0000"/>
          <w:sz w:val="20"/>
          <w:szCs w:val="20"/>
        </w:rPr>
        <w:t xml:space="preserve">The </w:t>
      </w:r>
      <w:r w:rsidRPr="1F4C59DA" w:rsidR="006B3B06">
        <w:rPr>
          <w:color w:val="FF0000"/>
          <w:sz w:val="20"/>
          <w:szCs w:val="20"/>
          <w:shd w:val="clear" w:color="auto" w:fill="FFFFFF"/>
        </w:rPr>
        <w:t>Trade Union and Labour Relations (Consolidation) Act 1992</w:t>
      </w:r>
      <w:r w:rsidRPr="1F4C59DA" w:rsidR="38232CF7">
        <w:rPr>
          <w:rFonts w:eastAsia="" w:eastAsiaTheme="minorEastAsia"/>
          <w:color w:val="FF0000"/>
          <w:sz w:val="20"/>
          <w:szCs w:val="20"/>
        </w:rPr>
        <w:t xml:space="preserve"> </w:t>
      </w:r>
      <w:r w:rsidRPr="1F4C59DA" w:rsidR="6A7F1782">
        <w:rPr>
          <w:rFonts w:eastAsia="" w:eastAsiaTheme="minorEastAsia"/>
          <w:color w:val="FF0000"/>
          <w:sz w:val="20"/>
          <w:szCs w:val="20"/>
        </w:rPr>
        <w:t>provides a framework for a union to engage in collective bargaining for better workplace or business standards with employers</w:t>
      </w:r>
      <w:r w:rsidRPr="1F4C59DA" w:rsidR="15A0298E">
        <w:rPr>
          <w:rFonts w:eastAsia="" w:eastAsiaTheme="minorEastAsia"/>
          <w:color w:val="FF0000"/>
          <w:sz w:val="20"/>
          <w:szCs w:val="20"/>
        </w:rPr>
        <w:t xml:space="preserve"> </w:t>
      </w:r>
      <w:r w:rsidRPr="1F4C59DA" w:rsidR="15A0298E">
        <w:rPr>
          <w:rFonts w:eastAsia="" w:eastAsiaTheme="minorEastAsia"/>
          <w:b w:val="1"/>
          <w:bCs w:val="1"/>
          <w:color w:val="FF0000"/>
          <w:sz w:val="20"/>
          <w:szCs w:val="20"/>
        </w:rPr>
        <w:t xml:space="preserve">(TULRCA 1992). </w:t>
      </w:r>
      <w:r w:rsidRPr="1F4C59DA" w:rsidR="7AEDBE24">
        <w:rPr>
          <w:rFonts w:eastAsia="" w:eastAsiaTheme="minorEastAsia"/>
          <w:b w:val="0"/>
          <w:bCs w:val="0"/>
          <w:color w:val="FF0000"/>
          <w:sz w:val="20"/>
          <w:szCs w:val="20"/>
        </w:rPr>
        <w:t xml:space="preserve">When dealing with management, they </w:t>
      </w:r>
      <w:r w:rsidRPr="1F4C59DA" w:rsidR="7AEDBE24">
        <w:rPr>
          <w:rFonts w:eastAsia="" w:eastAsiaTheme="minorEastAsia"/>
          <w:b w:val="0"/>
          <w:bCs w:val="0"/>
          <w:color w:val="FF0000"/>
          <w:sz w:val="20"/>
          <w:szCs w:val="20"/>
        </w:rPr>
        <w:t>represent</w:t>
      </w:r>
      <w:r w:rsidRPr="1F4C59DA" w:rsidR="7AEDBE24">
        <w:rPr>
          <w:rFonts w:eastAsia="" w:eastAsiaTheme="minorEastAsia"/>
          <w:b w:val="0"/>
          <w:bCs w:val="0"/>
          <w:color w:val="FF0000"/>
          <w:sz w:val="20"/>
          <w:szCs w:val="20"/>
        </w:rPr>
        <w:t xml:space="preserve"> the </w:t>
      </w:r>
      <w:r w:rsidRPr="1F4C59DA" w:rsidR="0D4F15CC">
        <w:rPr>
          <w:rFonts w:eastAsia="" w:eastAsiaTheme="minorEastAsia"/>
          <w:b w:val="0"/>
          <w:bCs w:val="0"/>
          <w:color w:val="FF0000"/>
          <w:sz w:val="20"/>
          <w:szCs w:val="20"/>
        </w:rPr>
        <w:t>employees'</w:t>
      </w:r>
      <w:r w:rsidRPr="1F4C59DA" w:rsidR="7AEDBE24">
        <w:rPr>
          <w:rFonts w:eastAsia="" w:eastAsiaTheme="minorEastAsia"/>
          <w:b w:val="0"/>
          <w:bCs w:val="0"/>
          <w:color w:val="FF0000"/>
          <w:sz w:val="20"/>
          <w:szCs w:val="20"/>
        </w:rPr>
        <w:t xml:space="preserve"> interests, yet the workforce can effectively fight for its own </w:t>
      </w:r>
      <w:r w:rsidRPr="1F4C59DA" w:rsidR="7AEDBE24">
        <w:rPr>
          <w:rFonts w:eastAsia="" w:eastAsiaTheme="minorEastAsia"/>
          <w:b w:val="0"/>
          <w:bCs w:val="0"/>
          <w:color w:val="FF0000"/>
          <w:sz w:val="20"/>
          <w:szCs w:val="20"/>
        </w:rPr>
        <w:t>objectives</w:t>
      </w:r>
      <w:r w:rsidRPr="1F4C59DA" w:rsidR="7AEDBE24">
        <w:rPr>
          <w:rFonts w:eastAsia="" w:eastAsiaTheme="minorEastAsia"/>
          <w:b w:val="0"/>
          <w:bCs w:val="0"/>
          <w:color w:val="FF0000"/>
          <w:sz w:val="20"/>
          <w:szCs w:val="20"/>
        </w:rPr>
        <w:t>. Confrontations between management and employees may arise, reducing employee engagement and productivity by making them less sensitive to management's directions. Workers may grow impatient if the union and management take longer than expected to reach an agreement.</w:t>
      </w:r>
      <w:r w:rsidRPr="1F4C59DA" w:rsidR="6E92B70F">
        <w:rPr>
          <w:rFonts w:eastAsia="" w:eastAsiaTheme="minorEastAsia"/>
          <w:color w:val="FF0000"/>
          <w:sz w:val="20"/>
          <w:szCs w:val="20"/>
        </w:rPr>
        <w:t xml:space="preserve"> </w:t>
      </w:r>
      <w:r w:rsidRPr="1F4C59DA" w:rsidR="6E92B70F">
        <w:rPr>
          <w:rFonts w:eastAsia="" w:eastAsiaTheme="minorEastAsia"/>
          <w:b w:val="1"/>
          <w:bCs w:val="1"/>
          <w:color w:val="FF0000"/>
          <w:sz w:val="20"/>
          <w:szCs w:val="20"/>
        </w:rPr>
        <w:t>(CIPD 2022)</w:t>
      </w:r>
    </w:p>
    <w:p w:rsidR="68802A95" w:rsidP="1F4C59DA" w:rsidRDefault="013944E4" w14:paraId="42BEA87C" w14:textId="2AD64699">
      <w:pPr>
        <w:rPr>
          <w:rFonts w:eastAsia="" w:eastAsiaTheme="minorEastAsia"/>
          <w:color w:val="FF0000" w:themeColor="text1"/>
          <w:sz w:val="20"/>
          <w:szCs w:val="20"/>
        </w:rPr>
      </w:pPr>
      <w:r w:rsidRPr="1F4C59DA" w:rsidR="013944E4">
        <w:rPr>
          <w:rFonts w:eastAsia="" w:eastAsiaTheme="minorEastAsia"/>
          <w:color w:val="FF0000"/>
          <w:sz w:val="20"/>
          <w:szCs w:val="20"/>
          <w:u w:val="single"/>
        </w:rPr>
        <w:t xml:space="preserve">Suggestion </w:t>
      </w:r>
      <w:r w:rsidRPr="1F4C59DA" w:rsidR="59825430">
        <w:rPr>
          <w:rFonts w:eastAsia="" w:eastAsiaTheme="minorEastAsia"/>
          <w:color w:val="FF0000"/>
          <w:sz w:val="20"/>
          <w:szCs w:val="20"/>
          <w:u w:val="single"/>
        </w:rPr>
        <w:t>schemes</w:t>
      </w:r>
      <w:r w:rsidRPr="1F4C59DA" w:rsidR="00B43506">
        <w:rPr>
          <w:rFonts w:eastAsia="" w:eastAsiaTheme="minorEastAsia"/>
          <w:color w:val="FF0000"/>
          <w:sz w:val="20"/>
          <w:szCs w:val="20"/>
          <w:u w:val="single"/>
        </w:rPr>
        <w:t>:</w:t>
      </w:r>
      <w:r w:rsidRPr="1F4C59DA" w:rsidR="00B43506">
        <w:rPr>
          <w:rFonts w:eastAsia="" w:eastAsiaTheme="minorEastAsia"/>
          <w:color w:val="FF0000"/>
          <w:sz w:val="20"/>
          <w:szCs w:val="20"/>
        </w:rPr>
        <w:t xml:space="preserve"> </w:t>
      </w:r>
      <w:r w:rsidRPr="1F4C59DA" w:rsidR="769BB2CA">
        <w:rPr>
          <w:rFonts w:eastAsia="" w:eastAsiaTheme="minorEastAsia"/>
          <w:color w:val="FF0000"/>
          <w:sz w:val="20"/>
          <w:szCs w:val="20"/>
        </w:rPr>
        <w:t xml:space="preserve">Employees are encouraged to offer anonymous suggestions for changes, which is </w:t>
      </w:r>
      <w:r w:rsidRPr="1F4C59DA" w:rsidR="769BB2CA">
        <w:rPr>
          <w:rFonts w:eastAsia="" w:eastAsiaTheme="minorEastAsia"/>
          <w:color w:val="FF0000"/>
          <w:sz w:val="20"/>
          <w:szCs w:val="20"/>
        </w:rPr>
        <w:t>a simple process</w:t>
      </w:r>
      <w:r w:rsidRPr="1F4C59DA" w:rsidR="769BB2CA">
        <w:rPr>
          <w:rFonts w:eastAsia="" w:eastAsiaTheme="minorEastAsia"/>
          <w:color w:val="FF0000"/>
          <w:sz w:val="20"/>
          <w:szCs w:val="20"/>
        </w:rPr>
        <w:t xml:space="preserve">. It depends on how </w:t>
      </w:r>
      <w:r w:rsidRPr="1F4C59DA" w:rsidR="769BB2CA">
        <w:rPr>
          <w:rFonts w:eastAsia="" w:eastAsiaTheme="minorEastAsia"/>
          <w:color w:val="FF0000"/>
          <w:sz w:val="20"/>
          <w:szCs w:val="20"/>
        </w:rPr>
        <w:t>frequently</w:t>
      </w:r>
      <w:r w:rsidRPr="1F4C59DA" w:rsidR="769BB2CA">
        <w:rPr>
          <w:rFonts w:eastAsia="" w:eastAsiaTheme="minorEastAsia"/>
          <w:color w:val="FF0000"/>
          <w:sz w:val="20"/>
          <w:szCs w:val="20"/>
        </w:rPr>
        <w:t xml:space="preserve"> and promptly the company evaluates such recommendations, and if employees disagree with them, the acceptance rate may be low. According to research, simply giving a platform for employees to share their thoughts and grievances does not guarantee that they will use it, even while employing an electronic suggestion box to collect and assess employee input </w:t>
      </w:r>
      <w:r w:rsidRPr="1F4C59DA" w:rsidR="769BB2CA">
        <w:rPr>
          <w:rFonts w:eastAsia="" w:eastAsiaTheme="minorEastAsia"/>
          <w:color w:val="FF0000"/>
          <w:sz w:val="20"/>
          <w:szCs w:val="20"/>
        </w:rPr>
        <w:t>provides</w:t>
      </w:r>
      <w:r w:rsidRPr="1F4C59DA" w:rsidR="769BB2CA">
        <w:rPr>
          <w:rFonts w:eastAsia="" w:eastAsiaTheme="minorEastAsia"/>
          <w:color w:val="FF0000"/>
          <w:sz w:val="20"/>
          <w:szCs w:val="20"/>
        </w:rPr>
        <w:t xml:space="preserve"> speedier access to a broader audience</w:t>
      </w:r>
      <w:r w:rsidRPr="1F4C59DA" w:rsidR="3898F78A">
        <w:rPr>
          <w:rFonts w:eastAsia="" w:eastAsiaTheme="minorEastAsia"/>
          <w:color w:val="FF0000"/>
          <w:sz w:val="20"/>
          <w:szCs w:val="20"/>
        </w:rPr>
        <w:t>.</w:t>
      </w:r>
      <w:r w:rsidRPr="1F4C59DA" w:rsidR="1A71C874">
        <w:rPr>
          <w:rFonts w:eastAsia="" w:eastAsiaTheme="minorEastAsia"/>
          <w:color w:val="FF0000"/>
          <w:sz w:val="20"/>
          <w:szCs w:val="20"/>
        </w:rPr>
        <w:t xml:space="preserve"> </w:t>
      </w:r>
      <w:r w:rsidRPr="1F4C59DA" w:rsidR="1A71C874">
        <w:rPr>
          <w:rFonts w:eastAsia="" w:eastAsiaTheme="minorEastAsia"/>
          <w:b w:val="1"/>
          <w:bCs w:val="1"/>
          <w:color w:val="FF0000"/>
          <w:sz w:val="20"/>
          <w:szCs w:val="20"/>
        </w:rPr>
        <w:t>(Burris, E, 2016)</w:t>
      </w:r>
    </w:p>
    <w:p w:rsidR="2CF5D396" w:rsidP="1F4C59DA" w:rsidRDefault="2CF5D396" w14:paraId="4CB011ED" w14:textId="1C4FA4A8">
      <w:pPr>
        <w:rPr>
          <w:rFonts w:eastAsia="" w:eastAsiaTheme="minorEastAsia"/>
          <w:color w:val="FF0000"/>
          <w:sz w:val="20"/>
          <w:szCs w:val="20"/>
        </w:rPr>
      </w:pPr>
      <w:r w:rsidRPr="1F4C59DA" w:rsidR="7D6ECFA1">
        <w:rPr>
          <w:rFonts w:eastAsia="" w:eastAsiaTheme="minorEastAsia"/>
          <w:color w:val="FF0000"/>
          <w:sz w:val="20"/>
          <w:szCs w:val="20"/>
          <w:u w:val="single"/>
        </w:rPr>
        <w:t>Employee Forums:</w:t>
      </w:r>
      <w:r w:rsidRPr="1F4C59DA" w:rsidR="7D6ECFA1">
        <w:rPr>
          <w:rFonts w:eastAsia="" w:eastAsiaTheme="minorEastAsia"/>
          <w:color w:val="FF0000"/>
          <w:sz w:val="20"/>
          <w:szCs w:val="20"/>
        </w:rPr>
        <w:t xml:space="preserve"> </w:t>
      </w:r>
      <w:r w:rsidRPr="1F4C59DA" w:rsidR="00FD7B65">
        <w:rPr>
          <w:rFonts w:eastAsia="" w:eastAsiaTheme="minorEastAsia"/>
          <w:color w:val="FF0000"/>
          <w:sz w:val="20"/>
          <w:szCs w:val="20"/>
        </w:rPr>
        <w:t xml:space="preserve">A workplace forum is an excellent way to discuss issues and work towards a solution. It allows employees or representatives to contact management with questions or complaints. Businesses profit when their staff express their concerns and offer their suggestions. Employees can learn about and debate topics that are relevant to them. It is </w:t>
      </w:r>
      <w:r w:rsidRPr="1F4C59DA" w:rsidR="00FD7B65">
        <w:rPr>
          <w:rFonts w:eastAsia="" w:eastAsiaTheme="minorEastAsia"/>
          <w:color w:val="FF0000"/>
          <w:sz w:val="20"/>
          <w:szCs w:val="20"/>
        </w:rPr>
        <w:t>advantageous</w:t>
      </w:r>
      <w:r w:rsidRPr="1F4C59DA" w:rsidR="00FD7B65">
        <w:rPr>
          <w:rFonts w:eastAsia="" w:eastAsiaTheme="minorEastAsia"/>
          <w:color w:val="FF0000"/>
          <w:sz w:val="20"/>
          <w:szCs w:val="20"/>
        </w:rPr>
        <w:t xml:space="preserve"> to make decisions at work quickly, with everyone's input, and in a way that reduces the likelihood of future arguments over them. It boosts both employers' and employees' confidence and trust. </w:t>
      </w:r>
      <w:r w:rsidRPr="1F4C59DA" w:rsidR="26BB3A00">
        <w:rPr>
          <w:rFonts w:eastAsia="" w:eastAsiaTheme="minorEastAsia"/>
          <w:b w:val="1"/>
          <w:bCs w:val="1"/>
          <w:color w:val="FF0000"/>
          <w:sz w:val="20"/>
          <w:szCs w:val="20"/>
        </w:rPr>
        <w:t>(ACAS 2022).</w:t>
      </w:r>
      <w:r w:rsidRPr="1F4C59DA" w:rsidR="26BB3A00">
        <w:rPr>
          <w:rFonts w:eastAsia="" w:eastAsiaTheme="minorEastAsia"/>
          <w:color w:val="FF0000"/>
          <w:sz w:val="20"/>
          <w:szCs w:val="20"/>
        </w:rPr>
        <w:t xml:space="preserve"> </w:t>
      </w:r>
    </w:p>
    <w:p w:rsidR="2CF5D396" w:rsidP="1F4C59DA" w:rsidRDefault="2CF5D396" w14:paraId="0199C2F8" w14:textId="04EEB274">
      <w:pPr>
        <w:rPr>
          <w:rFonts w:eastAsia="" w:eastAsiaTheme="minorEastAsia"/>
          <w:color w:val="FF0000"/>
          <w:sz w:val="20"/>
          <w:szCs w:val="20"/>
        </w:rPr>
      </w:pPr>
      <w:r w:rsidRPr="1F4C59DA" w:rsidR="71AD251E">
        <w:rPr>
          <w:rFonts w:eastAsia="" w:eastAsiaTheme="minorEastAsia"/>
          <w:color w:val="FF0000"/>
          <w:sz w:val="20"/>
          <w:szCs w:val="20"/>
        </w:rPr>
        <w:t xml:space="preserve">Go Quest could look at the following two approaches to increase </w:t>
      </w:r>
      <w:r w:rsidRPr="1F4C59DA" w:rsidR="2CF5D396">
        <w:rPr>
          <w:rFonts w:eastAsia="" w:eastAsiaTheme="minorEastAsia"/>
          <w:color w:val="FF0000"/>
          <w:sz w:val="20"/>
          <w:szCs w:val="20"/>
        </w:rPr>
        <w:t>Employee engagement</w:t>
      </w:r>
      <w:r w:rsidRPr="1F4C59DA" w:rsidR="6F7CAD35">
        <w:rPr>
          <w:rFonts w:eastAsia="" w:eastAsiaTheme="minorEastAsia"/>
          <w:color w:val="FF0000"/>
          <w:sz w:val="20"/>
          <w:szCs w:val="20"/>
        </w:rPr>
        <w:t xml:space="preserve">. </w:t>
      </w:r>
    </w:p>
    <w:p w:rsidR="2CF5D396" w:rsidP="1F4C59DA" w:rsidRDefault="2CF5D396" w14:paraId="6DA0340B" w14:textId="19C3BED7">
      <w:pPr>
        <w:pStyle w:val="Normal"/>
        <w:spacing w:before="0" w:beforeAutospacing="off" w:after="0" w:afterAutospacing="off"/>
        <w:rPr>
          <w:rFonts w:ascii="Calibri" w:hAnsi="Calibri" w:eastAsia="Calibri" w:cs="Calibri" w:asciiTheme="minorAscii" w:hAnsiTheme="minorAscii" w:eastAsiaTheme="minorAscii" w:cstheme="minorAscii"/>
          <w:b w:val="1"/>
          <w:bCs w:val="1"/>
          <w:color w:val="FF0000"/>
          <w:sz w:val="20"/>
          <w:szCs w:val="20"/>
          <w:lang w:val="en-US"/>
        </w:rPr>
      </w:pPr>
      <w:r w:rsidRPr="1F4C59DA" w:rsidR="70DF0444">
        <w:rPr>
          <w:rFonts w:ascii="Calibri" w:hAnsi="Calibri" w:eastAsia="Calibri" w:cs="Calibri" w:asciiTheme="minorAscii" w:hAnsiTheme="minorAscii" w:eastAsiaTheme="minorAscii" w:cstheme="minorAscii"/>
          <w:b w:val="0"/>
          <w:bCs w:val="0"/>
          <w:color w:val="FF0000"/>
          <w:sz w:val="20"/>
          <w:szCs w:val="20"/>
        </w:rPr>
        <w:t xml:space="preserve">Reward and recognition </w:t>
      </w:r>
      <w:r w:rsidRPr="1F4C59DA" w:rsidR="70DF0444">
        <w:rPr>
          <w:rFonts w:ascii="Calibri" w:hAnsi="Calibri" w:eastAsia="Calibri" w:cs="Calibri" w:asciiTheme="minorAscii" w:hAnsiTheme="minorAscii" w:eastAsiaTheme="minorAscii" w:cstheme="minorAscii"/>
          <w:b w:val="0"/>
          <w:bCs w:val="0"/>
          <w:color w:val="FF0000"/>
          <w:sz w:val="20"/>
          <w:szCs w:val="20"/>
        </w:rPr>
        <w:t>is</w:t>
      </w:r>
      <w:r w:rsidRPr="1F4C59DA" w:rsidR="70DF0444">
        <w:rPr>
          <w:rFonts w:ascii="Calibri" w:hAnsi="Calibri" w:eastAsia="Calibri" w:cs="Calibri" w:asciiTheme="minorAscii" w:hAnsiTheme="minorAscii" w:eastAsiaTheme="minorAscii" w:cstheme="minorAscii"/>
          <w:b w:val="0"/>
          <w:bCs w:val="0"/>
          <w:color w:val="FF0000"/>
          <w:sz w:val="20"/>
          <w:szCs w:val="20"/>
        </w:rPr>
        <w:t xml:space="preserve"> an effective way to increase engagement. The Maslow Hierarchy of Needs and the seven criteria of effective work are linked because employees must have their basic needs met to help the organisation. We know that merely satisfying a person's basic and complex needs can result in job </w:t>
      </w:r>
      <w:r w:rsidRPr="1F4C59DA" w:rsidR="3BBC3611">
        <w:rPr>
          <w:rFonts w:ascii="Calibri" w:hAnsi="Calibri" w:eastAsia="Calibri" w:cs="Calibri" w:asciiTheme="minorAscii" w:hAnsiTheme="minorAscii" w:eastAsiaTheme="minorAscii" w:cstheme="minorAscii"/>
          <w:b w:val="0"/>
          <w:bCs w:val="0"/>
          <w:color w:val="FF0000"/>
          <w:sz w:val="20"/>
          <w:szCs w:val="20"/>
        </w:rPr>
        <w:t>sati</w:t>
      </w:r>
      <w:r w:rsidRPr="1F4C59DA" w:rsidR="70DF0444">
        <w:rPr>
          <w:rFonts w:ascii="Calibri" w:hAnsi="Calibri" w:eastAsia="Calibri" w:cs="Calibri" w:asciiTheme="minorAscii" w:hAnsiTheme="minorAscii" w:eastAsiaTheme="minorAscii" w:cstheme="minorAscii"/>
          <w:b w:val="0"/>
          <w:bCs w:val="0"/>
          <w:color w:val="FF0000"/>
          <w:sz w:val="20"/>
          <w:szCs w:val="20"/>
        </w:rPr>
        <w:t>s</w:t>
      </w:r>
      <w:r w:rsidRPr="1F4C59DA" w:rsidR="00A736AF">
        <w:rPr>
          <w:rFonts w:ascii="Calibri" w:hAnsi="Calibri" w:eastAsia="Calibri" w:cs="Calibri" w:asciiTheme="minorAscii" w:hAnsiTheme="minorAscii" w:eastAsiaTheme="minorAscii" w:cstheme="minorAscii"/>
          <w:b w:val="0"/>
          <w:bCs w:val="0"/>
          <w:color w:val="FF0000"/>
          <w:sz w:val="20"/>
          <w:szCs w:val="20"/>
        </w:rPr>
        <w:t>faction</w:t>
      </w:r>
      <w:r w:rsidRPr="1F4C59DA" w:rsidR="70DF0444">
        <w:rPr>
          <w:rFonts w:ascii="Calibri" w:hAnsi="Calibri" w:eastAsia="Calibri" w:cs="Calibri" w:asciiTheme="minorAscii" w:hAnsiTheme="minorAscii" w:eastAsiaTheme="minorAscii" w:cstheme="minorAscii"/>
          <w:b w:val="0"/>
          <w:bCs w:val="0"/>
          <w:color w:val="FF0000"/>
          <w:sz w:val="20"/>
          <w:szCs w:val="20"/>
        </w:rPr>
        <w:t>, employee engagement, and motivation by recognising and praising their achievements. A highly engaged staff raises the likelihood of a high-performing organisation.</w:t>
      </w:r>
      <w:r w:rsidRPr="1F4C59DA" w:rsidR="70DF0444">
        <w:rPr>
          <w:rFonts w:ascii="Calibri" w:hAnsi="Calibri" w:eastAsia="Calibri" w:cs="Calibri" w:asciiTheme="minorAscii" w:hAnsiTheme="minorAscii" w:eastAsiaTheme="minorAscii" w:cstheme="minorAscii"/>
          <w:b w:val="1"/>
          <w:bCs w:val="1"/>
          <w:color w:val="FF0000"/>
          <w:sz w:val="20"/>
          <w:szCs w:val="20"/>
        </w:rPr>
        <w:t xml:space="preserve">  </w:t>
      </w:r>
      <w:r w:rsidRPr="1F4C59DA" w:rsidR="29DC6753">
        <w:rPr>
          <w:rFonts w:ascii="Calibri" w:hAnsi="Calibri" w:eastAsia="Calibri" w:cs="Calibri" w:asciiTheme="minorAscii" w:hAnsiTheme="minorAscii" w:eastAsiaTheme="minorAscii" w:cstheme="minorAscii"/>
          <w:b w:val="1"/>
          <w:bCs w:val="1"/>
          <w:color w:val="FF0000"/>
          <w:sz w:val="20"/>
          <w:szCs w:val="20"/>
        </w:rPr>
        <w:t xml:space="preserve">(Pichère, P et al 2015) </w:t>
      </w:r>
    </w:p>
    <w:p w:rsidR="2CF5D396" w:rsidP="1F4C59DA" w:rsidRDefault="2CF5D396" w14:paraId="78E05636" w14:textId="61080158">
      <w:pPr>
        <w:rPr>
          <w:rFonts w:eastAsia="" w:eastAsiaTheme="minorEastAsia"/>
          <w:color w:val="FF0000"/>
          <w:sz w:val="20"/>
          <w:szCs w:val="20"/>
        </w:rPr>
      </w:pPr>
      <w:r w:rsidRPr="1F4C59DA" w:rsidR="2CF5D396">
        <w:rPr>
          <w:rFonts w:eastAsia="" w:eastAsiaTheme="minorEastAsia"/>
          <w:color w:val="FF0000"/>
          <w:sz w:val="20"/>
          <w:szCs w:val="20"/>
        </w:rPr>
        <w:t xml:space="preserve">Another </w:t>
      </w:r>
      <w:r w:rsidRPr="1F4C59DA" w:rsidR="6DAF8934">
        <w:rPr>
          <w:rFonts w:eastAsia="" w:eastAsiaTheme="minorEastAsia"/>
          <w:color w:val="FF0000"/>
          <w:sz w:val="20"/>
          <w:szCs w:val="20"/>
        </w:rPr>
        <w:t>approach</w:t>
      </w:r>
      <w:r w:rsidRPr="1F4C59DA" w:rsidR="2CF5D396">
        <w:rPr>
          <w:rFonts w:eastAsia="" w:eastAsiaTheme="minorEastAsia"/>
          <w:color w:val="FF0000"/>
          <w:sz w:val="20"/>
          <w:szCs w:val="20"/>
        </w:rPr>
        <w:t xml:space="preserve"> that might be employed is effective communication, which is re</w:t>
      </w:r>
      <w:r w:rsidRPr="1F4C59DA" w:rsidR="2CF5D396">
        <w:rPr>
          <w:rFonts w:eastAsia="" w:eastAsiaTheme="minorEastAsia"/>
          <w:color w:val="FF0000"/>
          <w:sz w:val="20"/>
          <w:szCs w:val="20"/>
        </w:rPr>
        <w:t xml:space="preserve">adily </w:t>
      </w:r>
      <w:r w:rsidRPr="1F4C59DA" w:rsidR="2CF5D396">
        <w:rPr>
          <w:rFonts w:eastAsia="" w:eastAsiaTheme="minorEastAsia"/>
          <w:color w:val="FF0000"/>
          <w:sz w:val="20"/>
          <w:szCs w:val="20"/>
        </w:rPr>
        <w:t>accomplished</w:t>
      </w:r>
      <w:r w:rsidRPr="1F4C59DA" w:rsidR="2CF5D396">
        <w:rPr>
          <w:rFonts w:eastAsia="" w:eastAsiaTheme="minorEastAsia"/>
          <w:color w:val="FF0000"/>
          <w:sz w:val="20"/>
          <w:szCs w:val="20"/>
        </w:rPr>
        <w:t xml:space="preserve"> by promoting feedback, active listening, and delivering regular updates on the </w:t>
      </w:r>
      <w:r w:rsidRPr="1F4C59DA" w:rsidR="4E6BC71B">
        <w:rPr>
          <w:rFonts w:eastAsia="" w:eastAsiaTheme="minorEastAsia"/>
          <w:color w:val="FF0000"/>
          <w:sz w:val="20"/>
          <w:szCs w:val="20"/>
        </w:rPr>
        <w:t xml:space="preserve">Go Quests </w:t>
      </w:r>
      <w:r w:rsidRPr="1F4C59DA" w:rsidR="2CF5D396">
        <w:rPr>
          <w:rFonts w:eastAsia="" w:eastAsiaTheme="minorEastAsia"/>
          <w:color w:val="FF0000"/>
          <w:sz w:val="20"/>
          <w:szCs w:val="20"/>
        </w:rPr>
        <w:t>achievements, goals, and any forthcoming changes/contracts.</w:t>
      </w:r>
    </w:p>
    <w:p w:rsidR="1F4C59DA" w:rsidP="1F4C59DA" w:rsidRDefault="1F4C59DA" w14:noSpellErr="1" w14:paraId="32472616" w14:textId="6B978E48">
      <w:pPr>
        <w:pStyle w:val="Normal"/>
        <w:rPr>
          <w:rFonts w:eastAsia="" w:eastAsiaTheme="minorEastAsia"/>
          <w:b w:val="1"/>
          <w:bCs w:val="1"/>
          <w:color w:val="000000" w:themeColor="text1" w:themeTint="FF" w:themeShade="FF"/>
          <w:sz w:val="20"/>
          <w:szCs w:val="20"/>
        </w:rPr>
      </w:pPr>
    </w:p>
    <w:p w:rsidR="1F4C59DA" w:rsidP="1F4C59DA" w:rsidRDefault="1F4C59DA" w14:paraId="059CA6BF" w14:textId="48BFE8B4">
      <w:pPr>
        <w:pStyle w:val="Normal"/>
        <w:rPr>
          <w:rFonts w:eastAsia="" w:eastAsiaTheme="minorEastAsia"/>
          <w:b w:val="1"/>
          <w:bCs w:val="1"/>
          <w:color w:val="000000" w:themeColor="text1" w:themeTint="FF" w:themeShade="FF"/>
          <w:sz w:val="20"/>
          <w:szCs w:val="20"/>
        </w:rPr>
      </w:pPr>
    </w:p>
    <w:p w:rsidR="1F4C59DA" w:rsidP="1F4C59DA" w:rsidRDefault="1F4C59DA" w14:paraId="77B908C2" w14:textId="26453B11">
      <w:pPr>
        <w:pStyle w:val="Normal"/>
        <w:rPr>
          <w:rFonts w:eastAsia="" w:eastAsiaTheme="minorEastAsia"/>
          <w:b w:val="1"/>
          <w:bCs w:val="1"/>
          <w:color w:val="000000" w:themeColor="text1" w:themeTint="FF" w:themeShade="FF"/>
          <w:sz w:val="20"/>
          <w:szCs w:val="20"/>
        </w:rPr>
      </w:pPr>
    </w:p>
    <w:p w:rsidRPr="0079177B" w:rsidR="00FE3197" w:rsidP="630A493F" w:rsidRDefault="2AF81280" w14:paraId="7DBBF13B" w14:textId="565BB7ED">
      <w:pPr>
        <w:rPr>
          <w:rFonts w:eastAsiaTheme="minorEastAsia"/>
          <w:color w:val="000000" w:themeColor="text1"/>
          <w:sz w:val="20"/>
          <w:szCs w:val="20"/>
          <w:u w:val="single"/>
        </w:rPr>
      </w:pPr>
      <w:r w:rsidRPr="630A493F">
        <w:rPr>
          <w:rFonts w:eastAsiaTheme="minorEastAsia"/>
          <w:b/>
          <w:bCs/>
          <w:color w:val="000000" w:themeColor="text1"/>
          <w:sz w:val="20"/>
          <w:szCs w:val="20"/>
          <w:u w:val="single"/>
        </w:rPr>
        <w:lastRenderedPageBreak/>
        <w:t xml:space="preserve">AC 1.4 </w:t>
      </w:r>
      <w:r w:rsidRPr="630A493F">
        <w:rPr>
          <w:rFonts w:eastAsiaTheme="minorEastAsia"/>
          <w:color w:val="000000" w:themeColor="text1"/>
          <w:sz w:val="20"/>
          <w:szCs w:val="20"/>
          <w:u w:val="single"/>
        </w:rPr>
        <w:t xml:space="preserve">Critically </w:t>
      </w:r>
      <w:bookmarkStart w:name="_Int_MWfxz7ZF" w:id="6"/>
      <w:r w:rsidRPr="630A493F">
        <w:rPr>
          <w:rFonts w:eastAsiaTheme="minorEastAsia"/>
          <w:color w:val="000000" w:themeColor="text1"/>
          <w:sz w:val="20"/>
          <w:szCs w:val="20"/>
          <w:u w:val="single"/>
        </w:rPr>
        <w:t>evaluate</w:t>
      </w:r>
      <w:bookmarkEnd w:id="6"/>
      <w:r w:rsidRPr="630A493F">
        <w:rPr>
          <w:rFonts w:eastAsiaTheme="minorEastAsia"/>
          <w:color w:val="000000" w:themeColor="text1"/>
          <w:sz w:val="20"/>
          <w:szCs w:val="20"/>
          <w:u w:val="single"/>
        </w:rPr>
        <w:t xml:space="preserve"> the interrelationships between employee voice and organisational performance</w:t>
      </w:r>
      <w:r w:rsidRPr="630A493F" w:rsidR="48C3B5AA">
        <w:rPr>
          <w:rFonts w:eastAsiaTheme="minorEastAsia"/>
          <w:color w:val="000000" w:themeColor="text1"/>
          <w:sz w:val="20"/>
          <w:szCs w:val="20"/>
          <w:u w:val="single"/>
        </w:rPr>
        <w:t xml:space="preserve"> </w:t>
      </w:r>
      <w:r w:rsidRPr="630A493F" w:rsidR="008C502E">
        <w:rPr>
          <w:rFonts w:eastAsiaTheme="minorEastAsia"/>
          <w:color w:val="000000" w:themeColor="text1"/>
          <w:sz w:val="20"/>
          <w:szCs w:val="20"/>
          <w:u w:val="single"/>
        </w:rPr>
        <w:t>30</w:t>
      </w:r>
      <w:r w:rsidRPr="630A493F" w:rsidR="00D271F2">
        <w:rPr>
          <w:rFonts w:eastAsiaTheme="minorEastAsia"/>
          <w:color w:val="000000" w:themeColor="text1"/>
          <w:sz w:val="20"/>
          <w:szCs w:val="20"/>
          <w:u w:val="single"/>
        </w:rPr>
        <w:t>4</w:t>
      </w:r>
      <w:r w:rsidRPr="630A493F">
        <w:rPr>
          <w:rFonts w:eastAsiaTheme="minorEastAsia"/>
          <w:color w:val="000000" w:themeColor="text1"/>
          <w:sz w:val="20"/>
          <w:szCs w:val="20"/>
          <w:u w:val="single"/>
        </w:rPr>
        <w:t>.</w:t>
      </w:r>
      <w:r w:rsidRPr="630A493F" w:rsidR="0079177B">
        <w:rPr>
          <w:rFonts w:eastAsiaTheme="minorEastAsia"/>
          <w:color w:val="000000" w:themeColor="text1"/>
          <w:sz w:val="20"/>
          <w:szCs w:val="20"/>
        </w:rPr>
        <w:t xml:space="preserve"> </w:t>
      </w:r>
    </w:p>
    <w:p w:rsidRPr="0079177B" w:rsidR="00FE3197" w:rsidP="630A493F" w:rsidRDefault="56FA7B8B" w14:paraId="039BF11A" w14:textId="2169E208">
      <w:pPr>
        <w:rPr>
          <w:rFonts w:eastAsiaTheme="minorEastAsia"/>
          <w:b/>
          <w:bCs/>
          <w:color w:val="000000" w:themeColor="text1"/>
          <w:sz w:val="20"/>
          <w:szCs w:val="20"/>
          <w:lang w:val="en-US"/>
        </w:rPr>
      </w:pPr>
      <w:r w:rsidRPr="630A493F">
        <w:rPr>
          <w:rFonts w:eastAsiaTheme="minorEastAsia"/>
          <w:color w:val="000000" w:themeColor="text1"/>
          <w:sz w:val="20"/>
          <w:szCs w:val="20"/>
        </w:rPr>
        <w:t xml:space="preserve">Because of the growing value of engagement, academics, consultants, and businesses have </w:t>
      </w:r>
      <w:r w:rsidRPr="630A493F" w:rsidR="00882471">
        <w:rPr>
          <w:rFonts w:eastAsiaTheme="minorEastAsia"/>
          <w:color w:val="000000" w:themeColor="text1"/>
          <w:sz w:val="20"/>
          <w:szCs w:val="20"/>
        </w:rPr>
        <w:t>conducted</w:t>
      </w:r>
      <w:r w:rsidRPr="630A493F">
        <w:rPr>
          <w:rFonts w:eastAsiaTheme="minorEastAsia"/>
          <w:color w:val="000000" w:themeColor="text1"/>
          <w:sz w:val="20"/>
          <w:szCs w:val="20"/>
        </w:rPr>
        <w:t xml:space="preserve"> studies that look at the impact of </w:t>
      </w:r>
      <w:r w:rsidRPr="630A493F" w:rsidR="5CBA8502">
        <w:rPr>
          <w:rFonts w:eastAsiaTheme="minorEastAsia"/>
          <w:color w:val="000000" w:themeColor="text1"/>
          <w:sz w:val="20"/>
          <w:szCs w:val="20"/>
        </w:rPr>
        <w:t>elevated levels</w:t>
      </w:r>
      <w:r w:rsidRPr="630A493F">
        <w:rPr>
          <w:rFonts w:eastAsiaTheme="minorEastAsia"/>
          <w:color w:val="000000" w:themeColor="text1"/>
          <w:sz w:val="20"/>
          <w:szCs w:val="20"/>
        </w:rPr>
        <w:t xml:space="preserve"> of engagement on organisational or corporate outcomes. According to this study, there is a compelling narrative to be told about the link between employee engagement and positive results. It is backed up by science and anecdotal evidence from businesses. </w:t>
      </w:r>
      <w:r w:rsidRPr="630A493F" w:rsidR="00882471">
        <w:rPr>
          <w:rFonts w:eastAsiaTheme="minorEastAsia"/>
          <w:color w:val="000000" w:themeColor="text1"/>
          <w:sz w:val="20"/>
          <w:szCs w:val="20"/>
        </w:rPr>
        <w:t>S</w:t>
      </w:r>
      <w:r w:rsidRPr="630A493F">
        <w:rPr>
          <w:rFonts w:eastAsiaTheme="minorEastAsia"/>
          <w:color w:val="000000" w:themeColor="text1"/>
          <w:sz w:val="20"/>
          <w:szCs w:val="20"/>
        </w:rPr>
        <w:t xml:space="preserve">tudies </w:t>
      </w:r>
      <w:r w:rsidRPr="630A493F" w:rsidR="3003E2BF">
        <w:rPr>
          <w:rFonts w:eastAsiaTheme="minorEastAsia"/>
          <w:color w:val="000000" w:themeColor="text1"/>
          <w:sz w:val="20"/>
          <w:szCs w:val="20"/>
        </w:rPr>
        <w:t>prove</w:t>
      </w:r>
      <w:r w:rsidRPr="630A493F">
        <w:rPr>
          <w:rFonts w:eastAsiaTheme="minorEastAsia"/>
          <w:color w:val="000000" w:themeColor="text1"/>
          <w:sz w:val="20"/>
          <w:szCs w:val="20"/>
        </w:rPr>
        <w:t xml:space="preserve"> that higher levels of employee engagement </w:t>
      </w:r>
      <w:r w:rsidRPr="630A493F" w:rsidR="04D1BDAE">
        <w:rPr>
          <w:rFonts w:eastAsiaTheme="minorEastAsia"/>
          <w:color w:val="000000" w:themeColor="text1"/>
          <w:sz w:val="20"/>
          <w:szCs w:val="20"/>
        </w:rPr>
        <w:t>led</w:t>
      </w:r>
      <w:r w:rsidRPr="630A493F">
        <w:rPr>
          <w:rFonts w:eastAsiaTheme="minorEastAsia"/>
          <w:color w:val="000000" w:themeColor="text1"/>
          <w:sz w:val="20"/>
          <w:szCs w:val="20"/>
        </w:rPr>
        <w:t xml:space="preserve"> to better financial performance for private sector businesses, while higher levels of engagement are associated with higher productivity in the public sector.</w:t>
      </w:r>
      <w:r w:rsidRPr="630A493F" w:rsidR="77D32124">
        <w:rPr>
          <w:rFonts w:eastAsiaTheme="minorEastAsia"/>
          <w:color w:val="000000" w:themeColor="text1"/>
          <w:sz w:val="20"/>
          <w:szCs w:val="20"/>
        </w:rPr>
        <w:t xml:space="preserve"> </w:t>
      </w:r>
      <w:r w:rsidRPr="2E7E2B62" w:rsidR="00173F39">
        <w:rPr>
          <w:rFonts w:eastAsiaTheme="minorEastAsia"/>
          <w:b/>
          <w:bCs/>
          <w:color w:val="000000" w:themeColor="text1"/>
          <w:sz w:val="20"/>
          <w:szCs w:val="20"/>
        </w:rPr>
        <w:t>(Macleod &amp; Clarke 2021)</w:t>
      </w:r>
    </w:p>
    <w:p w:rsidRPr="0079177B" w:rsidR="00FE3197" w:rsidP="630A493F" w:rsidRDefault="00D17812" w14:paraId="1B466C27" w14:textId="496168C5">
      <w:pPr>
        <w:rPr>
          <w:rFonts w:eastAsiaTheme="minorEastAsia"/>
          <w:b/>
          <w:bCs/>
          <w:color w:val="000000" w:themeColor="text1"/>
          <w:sz w:val="20"/>
          <w:szCs w:val="20"/>
          <w:lang w:val="en-US"/>
        </w:rPr>
      </w:pPr>
      <w:r w:rsidRPr="630A493F">
        <w:rPr>
          <w:rFonts w:eastAsiaTheme="minorEastAsia"/>
          <w:color w:val="000000" w:themeColor="text1"/>
          <w:sz w:val="20"/>
          <w:szCs w:val="20"/>
        </w:rPr>
        <w:t>Studies</w:t>
      </w:r>
      <w:r w:rsidRPr="630A493F" w:rsidR="07DB4E2F">
        <w:rPr>
          <w:rFonts w:eastAsiaTheme="minorEastAsia"/>
          <w:color w:val="000000" w:themeColor="text1"/>
          <w:sz w:val="20"/>
          <w:szCs w:val="20"/>
        </w:rPr>
        <w:t xml:space="preserve"> published in the Harvard Business Review</w:t>
      </w:r>
      <w:r w:rsidRPr="630A493F">
        <w:rPr>
          <w:rFonts w:eastAsiaTheme="minorEastAsia"/>
          <w:color w:val="000000" w:themeColor="text1"/>
          <w:sz w:val="20"/>
          <w:szCs w:val="20"/>
        </w:rPr>
        <w:t xml:space="preserve"> report</w:t>
      </w:r>
      <w:r w:rsidRPr="630A493F" w:rsidR="07DB4E2F">
        <w:rPr>
          <w:rFonts w:eastAsiaTheme="minorEastAsia"/>
          <w:color w:val="000000" w:themeColor="text1"/>
          <w:sz w:val="20"/>
          <w:szCs w:val="20"/>
        </w:rPr>
        <w:t xml:space="preserve"> local customer and staff engagement can accelerate improvement and growth of overall financial performance. A performance analysis of 1,979 business units across ten companies, those with employee and customer engagement scores above the median outperformed those in the bottom half of both measures in terms of total sales and revenue performance to target and year over year growth in sales and revenue by an average of 3.4 times.</w:t>
      </w:r>
      <w:r w:rsidRPr="630A493F" w:rsidR="12C665D9">
        <w:rPr>
          <w:rFonts w:eastAsiaTheme="minorEastAsia"/>
          <w:color w:val="000000" w:themeColor="text1"/>
          <w:sz w:val="20"/>
          <w:szCs w:val="20"/>
        </w:rPr>
        <w:t xml:space="preserve"> </w:t>
      </w:r>
      <w:r w:rsidRPr="630A493F" w:rsidR="12C665D9">
        <w:rPr>
          <w:rFonts w:eastAsiaTheme="minorEastAsia"/>
          <w:b/>
          <w:bCs/>
          <w:color w:val="000000" w:themeColor="text1"/>
          <w:sz w:val="20"/>
          <w:szCs w:val="20"/>
        </w:rPr>
        <w:t>(Harter et al. 2005)</w:t>
      </w:r>
    </w:p>
    <w:p w:rsidRPr="004C1315" w:rsidR="00FE3197" w:rsidP="630A493F" w:rsidRDefault="00063347" w14:paraId="2003140C" w14:textId="51C6D694">
      <w:pPr>
        <w:rPr>
          <w:rFonts w:eastAsiaTheme="minorEastAsia"/>
          <w:b/>
          <w:bCs/>
          <w:color w:val="FF0000"/>
          <w:sz w:val="20"/>
          <w:szCs w:val="20"/>
        </w:rPr>
      </w:pPr>
      <w:r w:rsidRPr="630A493F">
        <w:rPr>
          <w:rFonts w:eastAsiaTheme="minorEastAsia"/>
          <w:color w:val="FF0000"/>
          <w:sz w:val="20"/>
          <w:szCs w:val="20"/>
        </w:rPr>
        <w:t>Gallup emphasises the negative consequences of disengagement. In comparison to 17% of engaged people, 54% of actively disengaged people indicate that work stress has resulted in poor social</w:t>
      </w:r>
      <w:r w:rsidRPr="630A493F" w:rsidR="004C1315">
        <w:rPr>
          <w:rFonts w:eastAsiaTheme="minorEastAsia"/>
          <w:color w:val="FF0000"/>
          <w:sz w:val="20"/>
          <w:szCs w:val="20"/>
        </w:rPr>
        <w:t xml:space="preserve"> behaviour</w:t>
      </w:r>
      <w:r w:rsidRPr="630A493F">
        <w:rPr>
          <w:rFonts w:eastAsiaTheme="minorEastAsia"/>
          <w:color w:val="FF0000"/>
          <w:sz w:val="20"/>
          <w:szCs w:val="20"/>
        </w:rPr>
        <w:t xml:space="preserve">. Worryingly, 54% of those who are actively disengaged report that their work life is </w:t>
      </w:r>
      <w:r w:rsidRPr="630A493F" w:rsidR="00F360FB">
        <w:rPr>
          <w:rFonts w:eastAsiaTheme="minorEastAsia"/>
          <w:color w:val="FF0000"/>
          <w:sz w:val="20"/>
          <w:szCs w:val="20"/>
        </w:rPr>
        <w:t>severely affecting</w:t>
      </w:r>
      <w:r w:rsidRPr="630A493F">
        <w:rPr>
          <w:rFonts w:eastAsiaTheme="minorEastAsia"/>
          <w:color w:val="FF0000"/>
          <w:sz w:val="20"/>
          <w:szCs w:val="20"/>
        </w:rPr>
        <w:t xml:space="preserve"> their physical health, compared to 12% of those who are engaged</w:t>
      </w:r>
      <w:r w:rsidRPr="630A493F" w:rsidR="43D77EAD">
        <w:rPr>
          <w:rFonts w:eastAsiaTheme="minorEastAsia"/>
          <w:color w:val="FF0000"/>
          <w:sz w:val="20"/>
          <w:szCs w:val="20"/>
        </w:rPr>
        <w:t>. (</w:t>
      </w:r>
      <w:r w:rsidRPr="630A493F" w:rsidR="028710A2">
        <w:rPr>
          <w:rFonts w:eastAsiaTheme="minorEastAsia"/>
          <w:b/>
          <w:bCs/>
          <w:color w:val="FF0000"/>
          <w:sz w:val="20"/>
          <w:szCs w:val="20"/>
        </w:rPr>
        <w:t>Crabtree S. 2005)</w:t>
      </w:r>
    </w:p>
    <w:p w:rsidRPr="00CD4276" w:rsidR="003E2B23" w:rsidP="2E7E2B62" w:rsidRDefault="003E2B23" w14:paraId="438B667F" w14:textId="127CB21D">
      <w:pPr>
        <w:rPr>
          <w:b/>
          <w:bCs/>
          <w:color w:val="FF0000"/>
          <w:sz w:val="20"/>
          <w:szCs w:val="20"/>
        </w:rPr>
      </w:pPr>
      <w:r w:rsidRPr="630A493F">
        <w:rPr>
          <w:color w:val="FF0000"/>
          <w:sz w:val="20"/>
          <w:szCs w:val="20"/>
        </w:rPr>
        <w:t xml:space="preserve">According to a CIPD survey, there are significant gaps in individuals' abilities to speak up at work, on both personal and organisational problems. According to the data, </w:t>
      </w:r>
      <w:r w:rsidRPr="630A493F" w:rsidR="78F7CB3B">
        <w:rPr>
          <w:color w:val="FF0000"/>
          <w:sz w:val="20"/>
          <w:szCs w:val="20"/>
        </w:rPr>
        <w:t>a significant majority</w:t>
      </w:r>
      <w:r w:rsidRPr="630A493F">
        <w:rPr>
          <w:color w:val="FF0000"/>
          <w:sz w:val="20"/>
          <w:szCs w:val="20"/>
        </w:rPr>
        <w:t xml:space="preserve"> of employees are hesitant to communicate critical concerns. To provide all employees a better chance of contributing meaningfully to workplace concerns, Go Quest must explore how organisational processes, as well as values and behaviours, might be improved. </w:t>
      </w:r>
      <w:r w:rsidRPr="630A493F">
        <w:rPr>
          <w:b/>
          <w:bCs/>
          <w:color w:val="FF0000"/>
          <w:sz w:val="20"/>
          <w:szCs w:val="20"/>
        </w:rPr>
        <w:t>(CIPD 2019)</w:t>
      </w:r>
    </w:p>
    <w:p w:rsidR="2AF81280" w:rsidP="630A493F" w:rsidRDefault="2AF81280" w14:paraId="50C30C79" w14:textId="7E128E6F">
      <w:pPr>
        <w:rPr>
          <w:rFonts w:eastAsiaTheme="minorEastAsia"/>
          <w:color w:val="000000" w:themeColor="text1"/>
          <w:sz w:val="20"/>
          <w:szCs w:val="20"/>
          <w:u w:val="single"/>
        </w:rPr>
      </w:pPr>
      <w:r w:rsidRPr="630A493F">
        <w:rPr>
          <w:rFonts w:eastAsiaTheme="minorEastAsia"/>
          <w:b/>
          <w:bCs/>
          <w:color w:val="000000" w:themeColor="text1"/>
          <w:sz w:val="20"/>
          <w:szCs w:val="20"/>
          <w:u w:val="single"/>
        </w:rPr>
        <w:t xml:space="preserve">AC 1.5 </w:t>
      </w:r>
      <w:r w:rsidRPr="630A493F">
        <w:rPr>
          <w:rFonts w:eastAsiaTheme="minorEastAsia"/>
          <w:color w:val="000000" w:themeColor="text1"/>
          <w:sz w:val="20"/>
          <w:szCs w:val="20"/>
          <w:u w:val="single"/>
        </w:rPr>
        <w:t>Explain the concept of better working lives and how this can be designed.</w:t>
      </w:r>
      <w:r w:rsidRPr="630A493F" w:rsidR="0079177B">
        <w:rPr>
          <w:rFonts w:eastAsiaTheme="minorEastAsia"/>
          <w:color w:val="000000" w:themeColor="text1"/>
          <w:sz w:val="20"/>
          <w:szCs w:val="20"/>
        </w:rPr>
        <w:t xml:space="preserve"> </w:t>
      </w:r>
      <w:r w:rsidRPr="630A493F" w:rsidR="00D20F12">
        <w:rPr>
          <w:rFonts w:eastAsiaTheme="minorEastAsia"/>
          <w:color w:val="000000" w:themeColor="text1"/>
          <w:sz w:val="20"/>
          <w:szCs w:val="20"/>
          <w:u w:val="single"/>
        </w:rPr>
        <w:t>3</w:t>
      </w:r>
      <w:r w:rsidR="00173F39">
        <w:rPr>
          <w:rFonts w:eastAsiaTheme="minorEastAsia"/>
          <w:color w:val="000000" w:themeColor="text1"/>
          <w:sz w:val="20"/>
          <w:szCs w:val="20"/>
          <w:u w:val="single"/>
        </w:rPr>
        <w:t>30</w:t>
      </w:r>
    </w:p>
    <w:p w:rsidRPr="00EA7692" w:rsidR="41BD9E4B" w:rsidP="54EBC961" w:rsidRDefault="00430A2C" w14:paraId="2CEA34FC" w14:textId="08B15204">
      <w:pPr>
        <w:rPr>
          <w:rFonts w:eastAsiaTheme="minorEastAsia"/>
          <w:b/>
          <w:bCs/>
          <w:color w:val="FF0000"/>
          <w:sz w:val="20"/>
          <w:szCs w:val="20"/>
        </w:rPr>
      </w:pPr>
      <w:r w:rsidRPr="630A493F">
        <w:rPr>
          <w:rFonts w:eastAsiaTheme="minorEastAsia"/>
          <w:color w:val="FF0000"/>
          <w:sz w:val="20"/>
          <w:szCs w:val="20"/>
        </w:rPr>
        <w:t xml:space="preserve">Employees want to enjoy their jobs and feel acknowledged for a job well done. Effective time management is </w:t>
      </w:r>
      <w:r w:rsidRPr="630A493F" w:rsidR="3ECB1856">
        <w:rPr>
          <w:rFonts w:eastAsiaTheme="minorEastAsia"/>
          <w:color w:val="FF0000"/>
          <w:sz w:val="20"/>
          <w:szCs w:val="20"/>
        </w:rPr>
        <w:t>a key component</w:t>
      </w:r>
      <w:r w:rsidRPr="630A493F">
        <w:rPr>
          <w:rFonts w:eastAsiaTheme="minorEastAsia"/>
          <w:color w:val="FF0000"/>
          <w:sz w:val="20"/>
          <w:szCs w:val="20"/>
        </w:rPr>
        <w:t xml:space="preserve"> of productive work that promotes both physical and mental wellness. The value of job satisfaction, personal development, great working relationships, and a sense of role fulfilment extends beyond compensation. Employee well-being will improve as working conditions improve, assisting Go Quest's success</w:t>
      </w:r>
      <w:r w:rsidRPr="00EA7692">
        <w:rPr>
          <w:rFonts w:eastAsiaTheme="minorEastAsia"/>
          <w:b/>
          <w:bCs/>
          <w:color w:val="FF0000"/>
          <w:sz w:val="20"/>
          <w:szCs w:val="20"/>
        </w:rPr>
        <w:t>.</w:t>
      </w:r>
      <w:r w:rsidRPr="00EA7692" w:rsidR="29B4C624">
        <w:rPr>
          <w:rFonts w:eastAsiaTheme="minorEastAsia"/>
          <w:b/>
          <w:bCs/>
          <w:color w:val="FF0000"/>
          <w:sz w:val="20"/>
          <w:szCs w:val="20"/>
        </w:rPr>
        <w:t xml:space="preserve"> </w:t>
      </w:r>
      <w:r w:rsidRPr="00EA7692" w:rsidR="009B5419">
        <w:rPr>
          <w:rFonts w:eastAsiaTheme="minorEastAsia"/>
          <w:b/>
          <w:bCs/>
          <w:color w:val="FF0000"/>
          <w:sz w:val="20"/>
          <w:szCs w:val="20"/>
        </w:rPr>
        <w:t>(Morgan</w:t>
      </w:r>
      <w:r w:rsidRPr="00EA7692" w:rsidR="00EA7692">
        <w:rPr>
          <w:rFonts w:eastAsiaTheme="minorEastAsia"/>
          <w:b/>
          <w:bCs/>
          <w:color w:val="FF0000"/>
          <w:sz w:val="20"/>
          <w:szCs w:val="20"/>
        </w:rPr>
        <w:t>, K, 2021)</w:t>
      </w:r>
    </w:p>
    <w:p w:rsidR="03C863FB" w:rsidP="630A493F" w:rsidRDefault="03C863FB" w14:paraId="4D4898F1" w14:textId="255EC323">
      <w:pPr>
        <w:rPr>
          <w:rFonts w:eastAsiaTheme="minorEastAsia"/>
          <w:color w:val="000000" w:themeColor="text1"/>
          <w:sz w:val="20"/>
          <w:szCs w:val="20"/>
        </w:rPr>
      </w:pPr>
      <w:r w:rsidRPr="630A493F">
        <w:rPr>
          <w:rFonts w:eastAsiaTheme="minorEastAsia"/>
          <w:color w:val="000000" w:themeColor="text1"/>
          <w:sz w:val="20"/>
          <w:szCs w:val="20"/>
        </w:rPr>
        <w:t xml:space="preserve">Making work enjoyable requires seven </w:t>
      </w:r>
      <w:r w:rsidRPr="630A493F" w:rsidR="78D7EABA">
        <w:rPr>
          <w:rFonts w:eastAsiaTheme="minorEastAsia"/>
          <w:color w:val="000000" w:themeColor="text1"/>
          <w:sz w:val="20"/>
          <w:szCs w:val="20"/>
        </w:rPr>
        <w:t>dimensions</w:t>
      </w:r>
      <w:r w:rsidRPr="630A493F">
        <w:rPr>
          <w:rFonts w:eastAsiaTheme="minorEastAsia"/>
          <w:color w:val="000000" w:themeColor="text1"/>
          <w:sz w:val="20"/>
          <w:szCs w:val="20"/>
        </w:rPr>
        <w:t>, according to the CIPD</w:t>
      </w:r>
      <w:r w:rsidRPr="630A493F" w:rsidR="72495996">
        <w:rPr>
          <w:rFonts w:eastAsiaTheme="minorEastAsia"/>
          <w:color w:val="000000" w:themeColor="text1"/>
          <w:sz w:val="20"/>
          <w:szCs w:val="20"/>
        </w:rPr>
        <w:t xml:space="preserve"> </w:t>
      </w:r>
      <w:r w:rsidRPr="630A493F" w:rsidR="72495996">
        <w:rPr>
          <w:rFonts w:eastAsiaTheme="minorEastAsia"/>
          <w:b/>
          <w:bCs/>
          <w:color w:val="000000" w:themeColor="text1"/>
          <w:sz w:val="20"/>
          <w:szCs w:val="20"/>
        </w:rPr>
        <w:t>(Wheatley, D. 2022),</w:t>
      </w:r>
      <w:r w:rsidRPr="630A493F" w:rsidR="72495996">
        <w:rPr>
          <w:rFonts w:eastAsiaTheme="minorEastAsia"/>
          <w:color w:val="000000" w:themeColor="text1"/>
          <w:sz w:val="20"/>
          <w:szCs w:val="20"/>
        </w:rPr>
        <w:t xml:space="preserve"> </w:t>
      </w:r>
      <w:r w:rsidRPr="630A493F">
        <w:rPr>
          <w:rFonts w:eastAsiaTheme="minorEastAsia"/>
          <w:color w:val="000000" w:themeColor="text1"/>
          <w:sz w:val="20"/>
          <w:szCs w:val="20"/>
        </w:rPr>
        <w:t xml:space="preserve">Employees should be paid a fair wage and get benefits like health insurance and pension plans. They should be given a contract that guarantees them a job and </w:t>
      </w:r>
      <w:r w:rsidRPr="630A493F" w:rsidR="357DE8F6">
        <w:rPr>
          <w:rFonts w:eastAsiaTheme="minorEastAsia"/>
          <w:color w:val="000000" w:themeColor="text1"/>
          <w:sz w:val="20"/>
          <w:szCs w:val="20"/>
        </w:rPr>
        <w:t>has</w:t>
      </w:r>
      <w:r w:rsidRPr="630A493F">
        <w:rPr>
          <w:rFonts w:eastAsiaTheme="minorEastAsia"/>
          <w:color w:val="000000" w:themeColor="text1"/>
          <w:sz w:val="20"/>
          <w:szCs w:val="20"/>
        </w:rPr>
        <w:t xml:space="preserve"> a clause between the company and the employee. A healthy work-life balance is important for employees' performance and productivity. </w:t>
      </w:r>
      <w:r w:rsidRPr="630A493F" w:rsidR="70D13539">
        <w:rPr>
          <w:rFonts w:eastAsiaTheme="minorEastAsia"/>
          <w:color w:val="000000" w:themeColor="text1"/>
          <w:sz w:val="20"/>
          <w:szCs w:val="20"/>
        </w:rPr>
        <w:t>To</w:t>
      </w:r>
      <w:r w:rsidRPr="630A493F">
        <w:rPr>
          <w:rFonts w:eastAsiaTheme="minorEastAsia"/>
          <w:color w:val="000000" w:themeColor="text1"/>
          <w:sz w:val="20"/>
          <w:szCs w:val="20"/>
        </w:rPr>
        <w:t xml:space="preserve"> ensure that employee skills are matched to the </w:t>
      </w:r>
      <w:r w:rsidRPr="630A493F" w:rsidR="5BA4D476">
        <w:rPr>
          <w:rFonts w:eastAsiaTheme="minorEastAsia"/>
          <w:color w:val="000000" w:themeColor="text1"/>
          <w:sz w:val="20"/>
          <w:szCs w:val="20"/>
        </w:rPr>
        <w:t>right duties</w:t>
      </w:r>
      <w:r w:rsidRPr="630A493F">
        <w:rPr>
          <w:rFonts w:eastAsiaTheme="minorEastAsia"/>
          <w:color w:val="000000" w:themeColor="text1"/>
          <w:sz w:val="20"/>
          <w:szCs w:val="20"/>
        </w:rPr>
        <w:t>, which improves job quality and boosts productivity, tasks should be divided fairly and evenly across employees.</w:t>
      </w:r>
    </w:p>
    <w:p w:rsidR="03C863FB" w:rsidP="54EBC961" w:rsidRDefault="004C330F" w14:paraId="62EF5F61" w14:textId="0C8E8FC9">
      <w:pPr>
        <w:rPr>
          <w:rFonts w:eastAsiaTheme="minorEastAsia"/>
          <w:b/>
          <w:bCs/>
          <w:color w:val="000000" w:themeColor="text1"/>
          <w:sz w:val="20"/>
          <w:szCs w:val="20"/>
          <w:lang w:val="en-US"/>
        </w:rPr>
      </w:pPr>
      <w:r w:rsidRPr="630A493F">
        <w:rPr>
          <w:rFonts w:eastAsiaTheme="minorEastAsia"/>
          <w:color w:val="FF0000"/>
          <w:sz w:val="20"/>
          <w:szCs w:val="20"/>
        </w:rPr>
        <w:t xml:space="preserve">Managers who can share their ideas and concerns with their employees will feel more supported. The CIPD believes that </w:t>
      </w:r>
      <w:bookmarkStart w:name="_Int_GCP7nbXh" w:id="7"/>
      <w:r w:rsidRPr="630A493F">
        <w:rPr>
          <w:rFonts w:eastAsiaTheme="minorEastAsia"/>
          <w:color w:val="FF0000"/>
          <w:sz w:val="20"/>
          <w:szCs w:val="20"/>
        </w:rPr>
        <w:t>good work</w:t>
      </w:r>
      <w:bookmarkEnd w:id="7"/>
      <w:r w:rsidRPr="630A493F">
        <w:rPr>
          <w:rFonts w:eastAsiaTheme="minorEastAsia"/>
          <w:color w:val="FF0000"/>
          <w:sz w:val="20"/>
          <w:szCs w:val="20"/>
        </w:rPr>
        <w:t xml:space="preserve"> should be </w:t>
      </w:r>
      <w:r w:rsidRPr="630A493F" w:rsidR="00F26844">
        <w:rPr>
          <w:rFonts w:eastAsiaTheme="minorEastAsia"/>
          <w:color w:val="FF0000"/>
          <w:sz w:val="20"/>
          <w:szCs w:val="20"/>
        </w:rPr>
        <w:t>rewarded,</w:t>
      </w:r>
      <w:r w:rsidRPr="630A493F">
        <w:rPr>
          <w:rFonts w:eastAsiaTheme="minorEastAsia"/>
          <w:color w:val="FF0000"/>
          <w:sz w:val="20"/>
          <w:szCs w:val="20"/>
        </w:rPr>
        <w:t xml:space="preserve"> and that people should be able to make a living. It encourages work-life balance and, ideally, a sense of completion. It also provides a welcoming environment with constructive connections, as well as the voice and choice that people require to design their working life. They also assert that completing </w:t>
      </w:r>
      <w:bookmarkStart w:name="_Int_DnUqXUj5" w:id="8"/>
      <w:r w:rsidRPr="630A493F">
        <w:rPr>
          <w:rFonts w:eastAsiaTheme="minorEastAsia"/>
          <w:color w:val="FF0000"/>
          <w:sz w:val="20"/>
          <w:szCs w:val="20"/>
        </w:rPr>
        <w:t>a good job</w:t>
      </w:r>
      <w:bookmarkEnd w:id="8"/>
      <w:r w:rsidRPr="630A493F">
        <w:rPr>
          <w:rFonts w:eastAsiaTheme="minorEastAsia"/>
          <w:color w:val="FF0000"/>
          <w:sz w:val="20"/>
          <w:szCs w:val="20"/>
        </w:rPr>
        <w:t xml:space="preserve"> is both physically and mentally healthy, which aids in success</w:t>
      </w:r>
      <w:r w:rsidRPr="630A493F" w:rsidR="506933E1">
        <w:rPr>
          <w:rFonts w:eastAsiaTheme="minorEastAsia"/>
          <w:color w:val="FF0000"/>
          <w:sz w:val="20"/>
          <w:szCs w:val="20"/>
        </w:rPr>
        <w:t xml:space="preserve">. </w:t>
      </w:r>
      <w:r w:rsidRPr="007C495D" w:rsidR="506933E1">
        <w:rPr>
          <w:rFonts w:eastAsiaTheme="minorEastAsia"/>
          <w:b/>
          <w:bCs/>
          <w:color w:val="FF0000"/>
          <w:sz w:val="20"/>
          <w:szCs w:val="20"/>
        </w:rPr>
        <w:t>(CIPD 2022)</w:t>
      </w:r>
    </w:p>
    <w:p w:rsidRPr="00BF5279" w:rsidR="2E7E2B62" w:rsidP="630A493F" w:rsidRDefault="03C863FB" w14:paraId="679A89E9" w14:textId="6BCA5611">
      <w:pPr>
        <w:rPr>
          <w:rFonts w:eastAsiaTheme="minorEastAsia"/>
          <w:b/>
          <w:bCs/>
          <w:color w:val="000000" w:themeColor="text1"/>
          <w:sz w:val="20"/>
          <w:szCs w:val="20"/>
          <w:lang w:val="en-US"/>
        </w:rPr>
      </w:pPr>
      <w:r w:rsidRPr="630A493F">
        <w:rPr>
          <w:rFonts w:eastAsiaTheme="minorEastAsia"/>
          <w:color w:val="000000" w:themeColor="text1"/>
          <w:sz w:val="20"/>
          <w:szCs w:val="20"/>
        </w:rPr>
        <w:t xml:space="preserve">The Maslow Hierarchy of </w:t>
      </w:r>
      <w:r w:rsidRPr="630A493F" w:rsidR="005049D6">
        <w:rPr>
          <w:rFonts w:eastAsiaTheme="minorEastAsia"/>
          <w:color w:val="000000" w:themeColor="text1"/>
          <w:sz w:val="20"/>
          <w:szCs w:val="20"/>
        </w:rPr>
        <w:t>need</w:t>
      </w:r>
      <w:r w:rsidRPr="630A493F">
        <w:rPr>
          <w:rFonts w:eastAsiaTheme="minorEastAsia"/>
          <w:color w:val="000000" w:themeColor="text1"/>
          <w:sz w:val="20"/>
          <w:szCs w:val="20"/>
        </w:rPr>
        <w:t xml:space="preserve">s and the seven characteristics of successful work are related because </w:t>
      </w:r>
      <w:r w:rsidRPr="630A493F" w:rsidR="1D747174">
        <w:rPr>
          <w:rFonts w:eastAsiaTheme="minorEastAsia"/>
          <w:color w:val="000000" w:themeColor="text1"/>
          <w:sz w:val="20"/>
          <w:szCs w:val="20"/>
        </w:rPr>
        <w:t>for</w:t>
      </w:r>
      <w:r w:rsidRPr="630A493F">
        <w:rPr>
          <w:rFonts w:eastAsiaTheme="minorEastAsia"/>
          <w:color w:val="000000" w:themeColor="text1"/>
          <w:sz w:val="20"/>
          <w:szCs w:val="20"/>
        </w:rPr>
        <w:t xml:space="preserve"> employees to support the organisation, their basic wants must be met</w:t>
      </w:r>
      <w:r w:rsidRPr="630A493F" w:rsidR="152A1DE1">
        <w:rPr>
          <w:rFonts w:eastAsiaTheme="minorEastAsia"/>
          <w:color w:val="000000" w:themeColor="text1"/>
          <w:sz w:val="20"/>
          <w:szCs w:val="20"/>
        </w:rPr>
        <w:t xml:space="preserve">. </w:t>
      </w:r>
      <w:r w:rsidRPr="630A493F" w:rsidR="7F50E3FB">
        <w:rPr>
          <w:rFonts w:eastAsiaTheme="minorEastAsia"/>
          <w:b/>
          <w:bCs/>
          <w:color w:val="000000" w:themeColor="text1"/>
          <w:sz w:val="20"/>
          <w:szCs w:val="20"/>
        </w:rPr>
        <w:t>(</w:t>
      </w:r>
      <w:r w:rsidRPr="630A493F" w:rsidR="4436206C">
        <w:rPr>
          <w:rFonts w:eastAsiaTheme="minorEastAsia"/>
          <w:b/>
          <w:bCs/>
          <w:color w:val="000000" w:themeColor="text1"/>
          <w:sz w:val="20"/>
          <w:szCs w:val="20"/>
        </w:rPr>
        <w:t>Pichère, P</w:t>
      </w:r>
      <w:r w:rsidRPr="630A493F" w:rsidR="3A1462DF">
        <w:rPr>
          <w:rFonts w:eastAsiaTheme="minorEastAsia"/>
          <w:b/>
          <w:bCs/>
          <w:color w:val="000000" w:themeColor="text1"/>
          <w:sz w:val="20"/>
          <w:szCs w:val="20"/>
        </w:rPr>
        <w:t xml:space="preserve"> et al 2015)</w:t>
      </w:r>
      <w:r w:rsidRPr="630A493F" w:rsidR="4436206C">
        <w:rPr>
          <w:rFonts w:eastAsiaTheme="minorEastAsia"/>
          <w:b/>
          <w:bCs/>
          <w:color w:val="000000" w:themeColor="text1"/>
          <w:sz w:val="20"/>
          <w:szCs w:val="20"/>
        </w:rPr>
        <w:t xml:space="preserve"> </w:t>
      </w:r>
    </w:p>
    <w:p w:rsidRPr="00D20F12" w:rsidR="002B7DA3" w:rsidP="2E7E2B62" w:rsidRDefault="00412A21" w14:paraId="7DE506E0" w14:textId="15B377D2">
      <w:pPr>
        <w:rPr>
          <w:b/>
          <w:bCs/>
          <w:color w:val="FF0000"/>
        </w:rPr>
      </w:pPr>
      <w:r w:rsidRPr="630A493F">
        <w:rPr>
          <w:color w:val="FF0000"/>
          <w:sz w:val="20"/>
          <w:szCs w:val="20"/>
        </w:rPr>
        <w:t xml:space="preserve">The most widely used and widely recognised metric in scientific literature is the Utrecht Work Engagement Scale (UWES). Unlike other metrics, it predicts performance due to its widespread application in longitudinal research. It is also simple to use; the developers recently released an 'ultra-short' version (UWES-3) that </w:t>
      </w:r>
      <w:r w:rsidRPr="630A493F" w:rsidR="00F26844">
        <w:rPr>
          <w:color w:val="FF0000"/>
          <w:sz w:val="20"/>
          <w:szCs w:val="20"/>
        </w:rPr>
        <w:t>is</w:t>
      </w:r>
      <w:r w:rsidRPr="630A493F">
        <w:rPr>
          <w:color w:val="FF0000"/>
          <w:sz w:val="20"/>
          <w:szCs w:val="20"/>
        </w:rPr>
        <w:t xml:space="preserve"> as stable and valid as the original</w:t>
      </w:r>
      <w:r w:rsidRPr="630A493F" w:rsidR="00D20F12">
        <w:rPr>
          <w:b/>
          <w:bCs/>
          <w:color w:val="FF0000"/>
          <w:sz w:val="20"/>
          <w:szCs w:val="20"/>
        </w:rPr>
        <w:t>. (CIPD 2021)</w:t>
      </w:r>
    </w:p>
    <w:p w:rsidR="002B7DA3" w:rsidP="630A493F" w:rsidRDefault="002B7DA3" w14:paraId="12F23FD5" w14:textId="77777777">
      <w:pPr>
        <w:rPr>
          <w:rFonts w:eastAsiaTheme="minorEastAsia"/>
          <w:color w:val="000000" w:themeColor="text1"/>
          <w:sz w:val="20"/>
          <w:szCs w:val="20"/>
        </w:rPr>
      </w:pPr>
    </w:p>
    <w:p w:rsidR="44BCA031" w:rsidP="1F4C59DA" w:rsidRDefault="648F76D5" w14:paraId="608C1CF4" w14:textId="43F53CBA">
      <w:pPr>
        <w:ind w:right="-144"/>
        <w:jc w:val="center"/>
        <w:rPr>
          <w:rFonts w:eastAsia="" w:eastAsiaTheme="minorEastAsia"/>
          <w:color w:val="000000" w:themeColor="text1"/>
          <w:sz w:val="20"/>
          <w:szCs w:val="20"/>
          <w:u w:val="single"/>
          <w:lang w:val="en-US"/>
        </w:rPr>
      </w:pPr>
      <w:r w:rsidRPr="1F4C59DA" w:rsidR="648F76D5">
        <w:rPr>
          <w:rFonts w:eastAsia="" w:eastAsiaTheme="minorEastAsia"/>
          <w:b w:val="1"/>
          <w:bCs w:val="1"/>
          <w:color w:val="000000" w:themeColor="text1" w:themeTint="FF" w:themeShade="FF"/>
          <w:sz w:val="20"/>
          <w:szCs w:val="20"/>
          <w:u w:val="single"/>
        </w:rPr>
        <w:t xml:space="preserve">AC 2.1 </w:t>
      </w:r>
      <w:r w:rsidRPr="1F4C59DA" w:rsidR="648F76D5">
        <w:rPr>
          <w:rFonts w:eastAsia="" w:eastAsiaTheme="minorEastAsia"/>
          <w:color w:val="000000" w:themeColor="text1" w:themeTint="FF" w:themeShade="FF"/>
          <w:sz w:val="20"/>
          <w:szCs w:val="20"/>
          <w:u w:val="single"/>
        </w:rPr>
        <w:t>Distinguish between organisational conflict and misbehaviour, and between informal and formal conflict. 2</w:t>
      </w:r>
      <w:r w:rsidRPr="1F4C59DA" w:rsidR="0F8F95B4">
        <w:rPr>
          <w:rFonts w:eastAsia="" w:eastAsiaTheme="minorEastAsia"/>
          <w:color w:val="000000" w:themeColor="text1" w:themeTint="FF" w:themeShade="FF"/>
          <w:sz w:val="20"/>
          <w:szCs w:val="20"/>
          <w:u w:val="single"/>
        </w:rPr>
        <w:t>2</w:t>
      </w:r>
      <w:r w:rsidRPr="1F4C59DA" w:rsidR="65FC8881">
        <w:rPr>
          <w:rFonts w:eastAsia="" w:eastAsiaTheme="minorEastAsia"/>
          <w:color w:val="000000" w:themeColor="text1" w:themeTint="FF" w:themeShade="FF"/>
          <w:sz w:val="20"/>
          <w:szCs w:val="20"/>
          <w:u w:val="single"/>
        </w:rPr>
        <w:t>7</w:t>
      </w:r>
    </w:p>
    <w:p w:rsidRPr="0008416E" w:rsidR="0008416E" w:rsidP="1F4C59DA" w:rsidRDefault="00CE4D20" w14:paraId="48FD67A1" w14:textId="093D23E8">
      <w:pPr>
        <w:rPr>
          <w:color w:val="FF0000"/>
          <w:sz w:val="20"/>
          <w:szCs w:val="20"/>
        </w:rPr>
      </w:pPr>
      <w:r w:rsidRPr="1F4C59DA" w:rsidR="65FC8881">
        <w:rPr>
          <w:rFonts w:eastAsia="Open Sans"/>
          <w:color w:val="FF0000"/>
          <w:sz w:val="20"/>
          <w:szCs w:val="20"/>
        </w:rPr>
        <w:t>Go Quest must be proactive in discovering and addressing workplace misbehaviour.</w:t>
      </w:r>
      <w:r w:rsidRPr="1F4C59DA" w:rsidR="65FC8881">
        <w:rPr>
          <w:rFonts w:eastAsia="Open Sans"/>
          <w:color w:val="FF0000"/>
          <w:sz w:val="20"/>
          <w:szCs w:val="20"/>
        </w:rPr>
        <w:t xml:space="preserve"> </w:t>
      </w:r>
    </w:p>
    <w:p w:rsidRPr="0008416E" w:rsidR="0008416E" w:rsidP="1F4C59DA" w:rsidRDefault="00CE4D20" w14:paraId="1DA1254B" w14:textId="0D0F6E52">
      <w:pPr>
        <w:rPr>
          <w:rFonts w:eastAsia="" w:eastAsiaTheme="minorEastAsia"/>
          <w:b w:val="1"/>
          <w:bCs w:val="1"/>
          <w:color w:val="000000" w:themeColor="text1" w:themeTint="FF" w:themeShade="FF"/>
          <w:sz w:val="20"/>
          <w:szCs w:val="20"/>
        </w:rPr>
      </w:pPr>
      <w:r w:rsidRPr="1F4C59DA" w:rsidR="418E460F">
        <w:rPr>
          <w:rFonts w:eastAsia="Open Sans"/>
          <w:color w:val="FF0000"/>
          <w:sz w:val="20"/>
          <w:szCs w:val="20"/>
        </w:rPr>
        <w:t xml:space="preserve">Anything you do at work that is against company policy is considered organisational misbehaviour. This action is unacceptable to the organisation's management since it interferes with normal company operations. Individual and "unorganised conflict," such as illness absence, bullying or harassment, and employee turnover, can be just as costly and destructive to a firm as a coordinated strike action. </w:t>
      </w:r>
      <w:r w:rsidRPr="1F4C59DA" w:rsidR="418E460F">
        <w:rPr>
          <w:rFonts w:eastAsia="Open Sans"/>
          <w:b w:val="1"/>
          <w:bCs w:val="1"/>
          <w:color w:val="FF0000"/>
          <w:sz w:val="20"/>
          <w:szCs w:val="20"/>
        </w:rPr>
        <w:t>(R. Suff, CIPD 2022)</w:t>
      </w:r>
      <w:r w:rsidRPr="1F4C59DA" w:rsidR="418E460F">
        <w:rPr>
          <w:rFonts w:eastAsia="Open Sans"/>
          <w:color w:val="FF0000"/>
          <w:sz w:val="20"/>
          <w:szCs w:val="20"/>
        </w:rPr>
        <w:t xml:space="preserve">. </w:t>
      </w:r>
    </w:p>
    <w:p w:rsidRPr="0008416E" w:rsidR="0008416E" w:rsidP="1F4C59DA" w:rsidRDefault="00CE4D20" w14:paraId="0DB8B78C" w14:textId="38073A89">
      <w:pPr>
        <w:rPr>
          <w:rFonts w:eastAsia="" w:eastAsiaTheme="minorEastAsia"/>
          <w:b w:val="1"/>
          <w:bCs w:val="1"/>
          <w:color w:val="000000" w:themeColor="text1"/>
          <w:sz w:val="20"/>
          <w:szCs w:val="20"/>
        </w:rPr>
      </w:pPr>
      <w:r w:rsidRPr="1F4C59DA" w:rsidR="00CE4D20">
        <w:rPr>
          <w:rFonts w:eastAsia="" w:eastAsiaTheme="minorEastAsia"/>
          <w:color w:val="FF0000"/>
          <w:sz w:val="20"/>
          <w:szCs w:val="20"/>
        </w:rPr>
        <w:t xml:space="preserve">Conflicts can arise at work in both </w:t>
      </w:r>
      <w:r w:rsidRPr="1F4C59DA" w:rsidR="0A51D756">
        <w:rPr>
          <w:rFonts w:eastAsia="" w:eastAsiaTheme="minorEastAsia"/>
          <w:color w:val="FF0000"/>
          <w:sz w:val="20"/>
          <w:szCs w:val="20"/>
        </w:rPr>
        <w:t>informa</w:t>
      </w:r>
      <w:r w:rsidRPr="1F4C59DA" w:rsidR="00CE4D20">
        <w:rPr>
          <w:rFonts w:eastAsia="" w:eastAsiaTheme="minorEastAsia"/>
          <w:color w:val="FF0000"/>
          <w:sz w:val="20"/>
          <w:szCs w:val="20"/>
        </w:rPr>
        <w:t xml:space="preserve">l and formal settings. Informally escalating conflict can start with a small disagreement between two people. An employment tribunal claim brought against the company can qualify as a formal dispute. Conflict at work can result from a variety of issues, including poor management, inadequate training, and poor communication. It is best to resolve conflicts as soon as they arise. It may result in grievance and disciplinary proceedings as well as employment tribunals if left unattended to. By </w:t>
      </w:r>
      <w:r w:rsidRPr="1F4C59DA" w:rsidR="00CE4D20">
        <w:rPr>
          <w:rFonts w:eastAsia="" w:eastAsiaTheme="minorEastAsia"/>
          <w:color w:val="FF0000"/>
          <w:sz w:val="20"/>
          <w:szCs w:val="20"/>
        </w:rPr>
        <w:t>assisting</w:t>
      </w:r>
      <w:r w:rsidRPr="1F4C59DA" w:rsidR="00CE4D20">
        <w:rPr>
          <w:rFonts w:eastAsia="" w:eastAsiaTheme="minorEastAsia"/>
          <w:color w:val="FF0000"/>
          <w:sz w:val="20"/>
          <w:szCs w:val="20"/>
        </w:rPr>
        <w:t xml:space="preserve"> parties in arriving at amicable solutions, mediation avoids these more formal and expensive paths.</w:t>
      </w:r>
      <w:r w:rsidRPr="1F4C59DA" w:rsidR="648F76D5">
        <w:rPr>
          <w:rFonts w:eastAsia="" w:eastAsiaTheme="minorEastAsia"/>
          <w:b w:val="1"/>
          <w:bCs w:val="1"/>
          <w:color w:val="FF0000"/>
          <w:sz w:val="20"/>
          <w:szCs w:val="20"/>
        </w:rPr>
        <w:t xml:space="preserve"> (Young, J. CIPD 2022)</w:t>
      </w:r>
    </w:p>
    <w:p w:rsidR="44BCA031" w:rsidP="630A493F" w:rsidRDefault="0D1CBD15" w14:paraId="0AB17E63" w14:textId="1C0AE808">
      <w:pPr>
        <w:rPr>
          <w:rFonts w:eastAsiaTheme="minorEastAsia"/>
          <w:color w:val="FF0000"/>
          <w:sz w:val="20"/>
          <w:szCs w:val="20"/>
        </w:rPr>
      </w:pPr>
      <w:r w:rsidRPr="630A493F">
        <w:rPr>
          <w:rFonts w:eastAsia="Open Sans"/>
          <w:color w:val="FF0000"/>
          <w:sz w:val="20"/>
          <w:szCs w:val="20"/>
        </w:rPr>
        <w:t>Conflict differs from misbehaviour in that it occurs naturally in all companie</w:t>
      </w:r>
      <w:r w:rsidRPr="630A493F" w:rsidR="23E16622">
        <w:rPr>
          <w:rFonts w:eastAsia="Open Sans"/>
          <w:color w:val="FF0000"/>
          <w:sz w:val="20"/>
          <w:szCs w:val="20"/>
        </w:rPr>
        <w:t>s</w:t>
      </w:r>
      <w:r w:rsidRPr="630A493F">
        <w:rPr>
          <w:rFonts w:eastAsia="Open Sans"/>
          <w:color w:val="FF0000"/>
          <w:sz w:val="20"/>
          <w:szCs w:val="20"/>
        </w:rPr>
        <w:t xml:space="preserve"> and groups where people of diverse backgrounds interact. Conflict arises more frequently when expectations are not realised or when the parties involved are forced to work together for an extended </w:t>
      </w:r>
      <w:r w:rsidRPr="630A493F" w:rsidR="0FA8548C">
        <w:rPr>
          <w:rFonts w:eastAsia="Open Sans"/>
          <w:color w:val="FF0000"/>
          <w:sz w:val="20"/>
          <w:szCs w:val="20"/>
        </w:rPr>
        <w:t>period</w:t>
      </w:r>
      <w:r w:rsidRPr="630A493F">
        <w:rPr>
          <w:rFonts w:eastAsia="Open Sans"/>
          <w:color w:val="FF0000"/>
          <w:sz w:val="20"/>
          <w:szCs w:val="20"/>
        </w:rPr>
        <w:t xml:space="preserve"> </w:t>
      </w:r>
      <w:r w:rsidRPr="630A493F" w:rsidR="3321FE60">
        <w:rPr>
          <w:rFonts w:eastAsia="Open Sans"/>
          <w:color w:val="FF0000"/>
          <w:sz w:val="20"/>
          <w:szCs w:val="20"/>
        </w:rPr>
        <w:t>to</w:t>
      </w:r>
      <w:r w:rsidRPr="630A493F">
        <w:rPr>
          <w:rFonts w:eastAsia="Open Sans"/>
          <w:color w:val="FF0000"/>
          <w:sz w:val="20"/>
          <w:szCs w:val="20"/>
        </w:rPr>
        <w:t xml:space="preserve"> achieve personal or corporate goals. </w:t>
      </w:r>
      <w:r w:rsidRPr="630A493F" w:rsidR="3719CED6">
        <w:rPr>
          <w:rFonts w:eastAsiaTheme="minorEastAsia"/>
          <w:b/>
          <w:bCs/>
          <w:color w:val="FF0000"/>
          <w:sz w:val="20"/>
          <w:szCs w:val="20"/>
        </w:rPr>
        <w:t>(CIPD 2020)</w:t>
      </w:r>
    </w:p>
    <w:p w:rsidR="44BCA031" w:rsidP="630A493F" w:rsidRDefault="648F76D5" w14:paraId="1D1CF80F" w14:textId="099A0410">
      <w:pPr>
        <w:rPr>
          <w:rFonts w:eastAsiaTheme="minorEastAsia"/>
          <w:color w:val="000000" w:themeColor="text1"/>
          <w:sz w:val="20"/>
          <w:szCs w:val="20"/>
        </w:rPr>
      </w:pPr>
      <w:r w:rsidRPr="630A493F">
        <w:rPr>
          <w:rFonts w:eastAsiaTheme="minorEastAsia"/>
          <w:b/>
          <w:bCs/>
          <w:color w:val="000000" w:themeColor="text1"/>
          <w:sz w:val="20"/>
          <w:szCs w:val="20"/>
          <w:u w:val="single"/>
        </w:rPr>
        <w:t xml:space="preserve">AC 2.2 </w:t>
      </w:r>
      <w:r w:rsidRPr="630A493F">
        <w:rPr>
          <w:rFonts w:eastAsiaTheme="minorEastAsia"/>
          <w:color w:val="000000" w:themeColor="text1"/>
          <w:sz w:val="20"/>
          <w:szCs w:val="20"/>
          <w:u w:val="single"/>
        </w:rPr>
        <w:t>Distinguish between official and unofficial employee action. 240</w:t>
      </w:r>
    </w:p>
    <w:p w:rsidR="44BCA031" w:rsidP="630A493F" w:rsidRDefault="648F76D5" w14:paraId="010B5440" w14:textId="07AE24DD">
      <w:pPr>
        <w:rPr>
          <w:rFonts w:eastAsiaTheme="minorEastAsia"/>
          <w:color w:val="000000" w:themeColor="text1"/>
          <w:sz w:val="20"/>
          <w:szCs w:val="20"/>
        </w:rPr>
      </w:pPr>
      <w:r w:rsidRPr="630A493F">
        <w:rPr>
          <w:rFonts w:eastAsiaTheme="minorEastAsia"/>
          <w:color w:val="000000" w:themeColor="text1"/>
          <w:sz w:val="20"/>
          <w:szCs w:val="20"/>
        </w:rPr>
        <w:t xml:space="preserve">Official action is where a trade union will be involved to help resolve the conflict in the workplace. Strikes involve working to rule, in which employees refuse to take on any new responsibilities, work more slowly, and refusal of overtime that is outside of their contracted hours. Industrial action shall be protected if it is authorised, coordinated, and falls under the legislation of the Trade Union and Labour Relations (Consolidation) Act 1992 section 226 to 235 </w:t>
      </w:r>
      <w:r w:rsidRPr="630A493F">
        <w:rPr>
          <w:rFonts w:eastAsiaTheme="minorEastAsia"/>
          <w:b/>
          <w:bCs/>
          <w:color w:val="202122"/>
          <w:sz w:val="20"/>
          <w:szCs w:val="20"/>
        </w:rPr>
        <w:t>(TULRCA 1992).</w:t>
      </w:r>
      <w:r w:rsidRPr="630A493F">
        <w:rPr>
          <w:rFonts w:eastAsiaTheme="minorEastAsia"/>
          <w:color w:val="000000" w:themeColor="text1"/>
          <w:sz w:val="20"/>
          <w:szCs w:val="20"/>
        </w:rPr>
        <w:t xml:space="preserve"> Balloting, for example, if voting by mail is a possibility it must include the name of the independent scrutineer, return address, and the deadline must all be clearly mentioned on the voting paper. Voters must be able to express their intention to join in strike action with a clear "yes" or "no" response. </w:t>
      </w:r>
      <w:r w:rsidRPr="630A493F">
        <w:rPr>
          <w:rFonts w:eastAsiaTheme="minorEastAsia"/>
          <w:b/>
          <w:bCs/>
          <w:color w:val="000000" w:themeColor="text1"/>
          <w:sz w:val="20"/>
          <w:szCs w:val="20"/>
        </w:rPr>
        <w:t>(Daniels, K. 2022).</w:t>
      </w:r>
    </w:p>
    <w:p w:rsidR="44BCA031" w:rsidP="630A493F" w:rsidRDefault="648F76D5" w14:paraId="023B35BE" w14:textId="674E7147">
      <w:pPr>
        <w:rPr>
          <w:rFonts w:eastAsiaTheme="minorEastAsia"/>
          <w:b/>
          <w:bCs/>
          <w:color w:val="000000" w:themeColor="text1"/>
          <w:sz w:val="20"/>
          <w:szCs w:val="20"/>
        </w:rPr>
      </w:pPr>
      <w:r w:rsidRPr="630A493F">
        <w:rPr>
          <w:rFonts w:eastAsiaTheme="minorEastAsia"/>
          <w:color w:val="000000" w:themeColor="text1"/>
          <w:sz w:val="20"/>
          <w:szCs w:val="20"/>
        </w:rPr>
        <w:t xml:space="preserve">Unofficial action is industrial action that has not been organised by the union and does not adhere to the law, hence providing participants with no legal protection. If taken, the employer may get an injunction to halt further action. It is typical for an employer to begin by trying to get an interim injunction given the urgency of the situation </w:t>
      </w:r>
      <w:r w:rsidRPr="630A493F">
        <w:rPr>
          <w:rFonts w:eastAsiaTheme="minorEastAsia"/>
          <w:b/>
          <w:bCs/>
          <w:sz w:val="20"/>
          <w:szCs w:val="20"/>
          <w:highlight w:val="yellow"/>
        </w:rPr>
        <w:t>(UK 2010).</w:t>
      </w:r>
      <w:r w:rsidRPr="630A493F">
        <w:rPr>
          <w:rFonts w:eastAsiaTheme="minorEastAsia"/>
          <w:sz w:val="20"/>
          <w:szCs w:val="20"/>
        </w:rPr>
        <w:t xml:space="preserve"> </w:t>
      </w:r>
      <w:r w:rsidRPr="630A493F">
        <w:rPr>
          <w:rFonts w:eastAsiaTheme="minorEastAsia"/>
          <w:color w:val="000000" w:themeColor="text1"/>
          <w:sz w:val="20"/>
          <w:szCs w:val="20"/>
        </w:rPr>
        <w:t xml:space="preserve">This issues a directive for the illegal activity to stop up to a specific date where it is intended that the case will have been thoroughly heard, the application will have been rejected, or a permanent injunction will have been approved. </w:t>
      </w:r>
      <w:r w:rsidRPr="630A493F">
        <w:rPr>
          <w:rFonts w:eastAsiaTheme="minorEastAsia"/>
          <w:b/>
          <w:bCs/>
          <w:color w:val="000000" w:themeColor="text1"/>
          <w:sz w:val="20"/>
          <w:szCs w:val="20"/>
        </w:rPr>
        <w:t>(Daniels, K. 2022)</w:t>
      </w:r>
    </w:p>
    <w:p w:rsidR="630A493F" w:rsidP="630A493F" w:rsidRDefault="630A493F" w14:paraId="785275AE" w14:textId="227E5A63">
      <w:pPr>
        <w:rPr>
          <w:rFonts w:eastAsiaTheme="minorEastAsia"/>
          <w:color w:val="000000" w:themeColor="text1"/>
          <w:sz w:val="20"/>
          <w:szCs w:val="20"/>
        </w:rPr>
      </w:pPr>
    </w:p>
    <w:p w:rsidR="44BCA031" w:rsidP="630A493F" w:rsidRDefault="648F76D5" w14:paraId="266AB06D" w14:textId="4A1FCC4E">
      <w:pPr>
        <w:rPr>
          <w:rFonts w:eastAsiaTheme="minorEastAsia"/>
          <w:color w:val="000000" w:themeColor="text1"/>
          <w:sz w:val="20"/>
          <w:szCs w:val="20"/>
          <w:u w:val="single"/>
        </w:rPr>
      </w:pPr>
      <w:r w:rsidRPr="630A493F">
        <w:rPr>
          <w:rFonts w:eastAsiaTheme="minorEastAsia"/>
          <w:b/>
          <w:bCs/>
          <w:color w:val="000000" w:themeColor="text1"/>
          <w:sz w:val="20"/>
          <w:szCs w:val="20"/>
          <w:u w:val="single"/>
        </w:rPr>
        <w:t xml:space="preserve">AC 2.3 </w:t>
      </w:r>
      <w:r w:rsidRPr="630A493F">
        <w:rPr>
          <w:rFonts w:eastAsiaTheme="minorEastAsia"/>
          <w:color w:val="000000" w:themeColor="text1"/>
          <w:sz w:val="20"/>
          <w:szCs w:val="20"/>
          <w:u w:val="single"/>
        </w:rPr>
        <w:t>Assess emerging trends in the types of conflict and industrial sanctions. 2</w:t>
      </w:r>
      <w:r w:rsidRPr="630A493F" w:rsidR="00BF6F46">
        <w:rPr>
          <w:rFonts w:eastAsiaTheme="minorEastAsia"/>
          <w:color w:val="000000" w:themeColor="text1"/>
          <w:sz w:val="20"/>
          <w:szCs w:val="20"/>
          <w:u w:val="single"/>
        </w:rPr>
        <w:t>19</w:t>
      </w:r>
    </w:p>
    <w:p w:rsidR="44BCA031" w:rsidP="630A493F" w:rsidRDefault="648F76D5" w14:paraId="4231FA1D" w14:textId="09BEA5F5">
      <w:pPr>
        <w:rPr>
          <w:rFonts w:eastAsiaTheme="minorEastAsia"/>
          <w:color w:val="000000" w:themeColor="text1"/>
          <w:sz w:val="20"/>
          <w:szCs w:val="20"/>
        </w:rPr>
      </w:pPr>
      <w:r w:rsidRPr="630A493F">
        <w:rPr>
          <w:rFonts w:eastAsiaTheme="minorEastAsia"/>
          <w:color w:val="000000" w:themeColor="text1"/>
          <w:sz w:val="20"/>
          <w:szCs w:val="20"/>
        </w:rPr>
        <w:t>ONS reports that more strikes occurred in a variety of industries between June 2022 and February 2023.</w:t>
      </w:r>
      <w:r w:rsidRPr="630A493F">
        <w:rPr>
          <w:rFonts w:eastAsiaTheme="minorEastAsia"/>
          <w:b/>
          <w:bCs/>
          <w:color w:val="000000" w:themeColor="text1"/>
          <w:sz w:val="20"/>
          <w:szCs w:val="20"/>
        </w:rPr>
        <w:t xml:space="preserve"> </w:t>
      </w:r>
      <w:r w:rsidRPr="630A493F">
        <w:rPr>
          <w:rFonts w:eastAsiaTheme="minorEastAsia"/>
          <w:color w:val="000000" w:themeColor="text1"/>
          <w:sz w:val="20"/>
          <w:szCs w:val="20"/>
        </w:rPr>
        <w:t xml:space="preserve">Since the summer of 2022, there have been more working days lost because of labour disputes. The number of days lost increased from 93,000 in June 2022 to 843,000 in December 2022. Since November 2011, December 2022’s monthly total was the highest ever </w:t>
      </w:r>
      <w:r w:rsidRPr="630A493F">
        <w:rPr>
          <w:rFonts w:eastAsiaTheme="minorEastAsia"/>
          <w:b/>
          <w:bCs/>
          <w:color w:val="000000" w:themeColor="text1"/>
          <w:sz w:val="20"/>
          <w:szCs w:val="20"/>
        </w:rPr>
        <w:t>(UK 2023).</w:t>
      </w:r>
      <w:r w:rsidRPr="630A493F">
        <w:rPr>
          <w:rFonts w:eastAsiaTheme="minorEastAsia"/>
          <w:color w:val="000000" w:themeColor="text1"/>
          <w:sz w:val="20"/>
          <w:szCs w:val="20"/>
        </w:rPr>
        <w:t xml:space="preserve"> There were 29.4 million lost working days at the height of the strike activity in 1979. However, these days, conflict is more often conveyed through individual channels, such as complaints made to employment tribunals, absences, and grievances. </w:t>
      </w:r>
      <w:r w:rsidRPr="630A493F">
        <w:rPr>
          <w:rFonts w:eastAsiaTheme="minorEastAsia"/>
          <w:b/>
          <w:bCs/>
          <w:color w:val="000000" w:themeColor="text1"/>
          <w:sz w:val="20"/>
          <w:szCs w:val="20"/>
        </w:rPr>
        <w:t>(Taylor, S 2022)</w:t>
      </w:r>
    </w:p>
    <w:p w:rsidR="44BCA031" w:rsidP="630A493F" w:rsidRDefault="30F25D16" w14:paraId="6965A471" w14:textId="1359AA1F">
      <w:pPr>
        <w:spacing w:after="378"/>
        <w:rPr>
          <w:rFonts w:eastAsiaTheme="minorEastAsia"/>
          <w:b/>
          <w:bCs/>
          <w:color w:val="000000" w:themeColor="text1"/>
          <w:sz w:val="20"/>
          <w:szCs w:val="20"/>
        </w:rPr>
      </w:pPr>
      <w:r w:rsidRPr="630A493F">
        <w:rPr>
          <w:rFonts w:eastAsiaTheme="minorEastAsia"/>
          <w:color w:val="000000" w:themeColor="text1"/>
          <w:sz w:val="20"/>
          <w:szCs w:val="20"/>
        </w:rPr>
        <w:t xml:space="preserve">By organising a strike (or other forms of industrial action), a trade union may be guilty of the tort of creating a breach of contract. However, the trade union will be protected from legal action if it </w:t>
      </w:r>
      <w:r w:rsidRPr="630A493F" w:rsidR="1BDAD054">
        <w:rPr>
          <w:rFonts w:eastAsiaTheme="minorEastAsia"/>
          <w:color w:val="000000" w:themeColor="text1"/>
          <w:sz w:val="20"/>
          <w:szCs w:val="20"/>
        </w:rPr>
        <w:t>follows</w:t>
      </w:r>
      <w:r w:rsidRPr="630A493F">
        <w:rPr>
          <w:rFonts w:eastAsiaTheme="minorEastAsia"/>
          <w:color w:val="000000" w:themeColor="text1"/>
          <w:sz w:val="20"/>
          <w:szCs w:val="20"/>
        </w:rPr>
        <w:t xml:space="preserve"> the statutory standards for immunity. If the procedures are not followed, the employer may be entitled to seek an injunction, </w:t>
      </w:r>
      <w:r w:rsidRPr="630A493F">
        <w:rPr>
          <w:rFonts w:eastAsiaTheme="minorEastAsia"/>
          <w:color w:val="000000" w:themeColor="text1"/>
          <w:sz w:val="20"/>
          <w:szCs w:val="20"/>
        </w:rPr>
        <w:lastRenderedPageBreak/>
        <w:t xml:space="preserve">however this may just delay the process </w:t>
      </w:r>
      <w:r w:rsidRPr="630A493F" w:rsidR="648F76D5">
        <w:rPr>
          <w:rFonts w:eastAsiaTheme="minorEastAsia"/>
          <w:b/>
          <w:bCs/>
          <w:color w:val="000000" w:themeColor="text1"/>
          <w:sz w:val="20"/>
          <w:szCs w:val="20"/>
        </w:rPr>
        <w:t xml:space="preserve">(Marsden, T 2022). </w:t>
      </w:r>
      <w:r w:rsidRPr="630A493F" w:rsidR="7BE03CED">
        <w:rPr>
          <w:rFonts w:eastAsiaTheme="minorEastAsia"/>
          <w:color w:val="000000" w:themeColor="text1"/>
          <w:sz w:val="20"/>
          <w:szCs w:val="20"/>
        </w:rPr>
        <w:t xml:space="preserve">According to research by Personnel Today, it is becoming more frequent to use High Court injunctions to stop unions from going on strike. Before taking harmful industrial action, an employer might consider obtaining an injunction if they can </w:t>
      </w:r>
      <w:r w:rsidRPr="630A493F" w:rsidR="711D7C1F">
        <w:rPr>
          <w:rFonts w:eastAsiaTheme="minorEastAsia"/>
          <w:color w:val="000000" w:themeColor="text1"/>
          <w:sz w:val="20"/>
          <w:szCs w:val="20"/>
        </w:rPr>
        <w:t>prove</w:t>
      </w:r>
      <w:r w:rsidRPr="630A493F" w:rsidR="7BE03CED">
        <w:rPr>
          <w:rFonts w:eastAsiaTheme="minorEastAsia"/>
          <w:color w:val="000000" w:themeColor="text1"/>
          <w:sz w:val="20"/>
          <w:szCs w:val="20"/>
        </w:rPr>
        <w:t xml:space="preserve"> that a trade union's ballot was unlawful. </w:t>
      </w:r>
      <w:r w:rsidRPr="630A493F" w:rsidR="648F76D5">
        <w:rPr>
          <w:rFonts w:eastAsiaTheme="minorEastAsia"/>
          <w:b/>
          <w:bCs/>
          <w:color w:val="000000" w:themeColor="text1"/>
          <w:sz w:val="20"/>
          <w:szCs w:val="20"/>
        </w:rPr>
        <w:t>(Baker, K. 2010).</w:t>
      </w:r>
    </w:p>
    <w:p w:rsidR="44BCA031" w:rsidP="630A493F" w:rsidRDefault="648F76D5" w14:paraId="3AC78987" w14:textId="26245692">
      <w:pPr>
        <w:rPr>
          <w:rFonts w:eastAsiaTheme="minorEastAsia"/>
          <w:color w:val="000000" w:themeColor="text1"/>
          <w:sz w:val="20"/>
          <w:szCs w:val="20"/>
        </w:rPr>
      </w:pPr>
      <w:r w:rsidRPr="630A493F">
        <w:rPr>
          <w:rFonts w:eastAsiaTheme="minorEastAsia"/>
          <w:b/>
          <w:bCs/>
          <w:color w:val="000000" w:themeColor="text1"/>
          <w:sz w:val="20"/>
          <w:szCs w:val="20"/>
          <w:u w:val="single"/>
        </w:rPr>
        <w:t xml:space="preserve">AC 2.4 </w:t>
      </w:r>
      <w:r w:rsidRPr="630A493F">
        <w:rPr>
          <w:rFonts w:eastAsiaTheme="minorEastAsia"/>
          <w:color w:val="000000" w:themeColor="text1"/>
          <w:sz w:val="20"/>
          <w:szCs w:val="20"/>
          <w:u w:val="single"/>
        </w:rPr>
        <w:t>Distinguish between third-party conciliation, mediation, and arbitration.22</w:t>
      </w:r>
      <w:r w:rsidRPr="630A493F" w:rsidR="71A43571">
        <w:rPr>
          <w:rFonts w:eastAsiaTheme="minorEastAsia"/>
          <w:color w:val="000000" w:themeColor="text1"/>
          <w:sz w:val="20"/>
          <w:szCs w:val="20"/>
          <w:u w:val="single"/>
        </w:rPr>
        <w:t>5</w:t>
      </w:r>
      <w:r w:rsidRPr="630A493F">
        <w:rPr>
          <w:rFonts w:eastAsiaTheme="minorEastAsia"/>
          <w:color w:val="000000" w:themeColor="text1"/>
          <w:sz w:val="20"/>
          <w:szCs w:val="20"/>
          <w:u w:val="single"/>
        </w:rPr>
        <w:t xml:space="preserve"> </w:t>
      </w:r>
      <w:r w:rsidRPr="630A493F" w:rsidR="2439D41A">
        <w:rPr>
          <w:rFonts w:eastAsiaTheme="minorEastAsia"/>
          <w:color w:val="000000" w:themeColor="text1"/>
          <w:sz w:val="20"/>
          <w:szCs w:val="20"/>
          <w:u w:val="single"/>
        </w:rPr>
        <w:t>+ 17</w:t>
      </w:r>
      <w:r w:rsidRPr="630A493F" w:rsidR="004360FE">
        <w:rPr>
          <w:rFonts w:eastAsiaTheme="minorEastAsia"/>
          <w:color w:val="000000" w:themeColor="text1"/>
          <w:sz w:val="20"/>
          <w:szCs w:val="20"/>
          <w:u w:val="single"/>
        </w:rPr>
        <w:t>8</w:t>
      </w:r>
    </w:p>
    <w:p w:rsidR="44BCA031" w:rsidP="630A493F" w:rsidRDefault="648F76D5" w14:paraId="42CDF739" w14:textId="1CC7E51C">
      <w:pPr>
        <w:rPr>
          <w:rFonts w:eastAsiaTheme="minorEastAsia"/>
          <w:color w:val="000000" w:themeColor="text1"/>
          <w:sz w:val="20"/>
          <w:szCs w:val="20"/>
        </w:rPr>
      </w:pPr>
      <w:r w:rsidRPr="630A493F">
        <w:rPr>
          <w:rFonts w:eastAsiaTheme="minorEastAsia"/>
          <w:color w:val="000000" w:themeColor="text1"/>
          <w:sz w:val="20"/>
          <w:szCs w:val="20"/>
        </w:rPr>
        <w:t>A third party is a third person or organisation less directly involved in matter</w:t>
      </w:r>
      <w:r w:rsidRPr="630A493F" w:rsidR="06868A32">
        <w:rPr>
          <w:rFonts w:eastAsiaTheme="minorEastAsia"/>
          <w:color w:val="000000" w:themeColor="text1"/>
          <w:sz w:val="20"/>
          <w:szCs w:val="20"/>
        </w:rPr>
        <w:t>s</w:t>
      </w:r>
      <w:r w:rsidRPr="630A493F">
        <w:rPr>
          <w:rFonts w:eastAsiaTheme="minorEastAsia"/>
          <w:color w:val="000000" w:themeColor="text1"/>
          <w:sz w:val="20"/>
          <w:szCs w:val="20"/>
        </w:rPr>
        <w:t xml:space="preserve"> than the main people or organisations that are involved.</w:t>
      </w:r>
    </w:p>
    <w:p w:rsidR="44BCA031" w:rsidP="630A493F" w:rsidRDefault="648F76D5" w14:paraId="7F0215CD" w14:textId="638E9E63">
      <w:pPr>
        <w:rPr>
          <w:rFonts w:eastAsiaTheme="minorEastAsia"/>
          <w:color w:val="000000" w:themeColor="text1"/>
          <w:sz w:val="20"/>
          <w:szCs w:val="20"/>
        </w:rPr>
      </w:pPr>
      <w:r w:rsidRPr="630A493F">
        <w:rPr>
          <w:rFonts w:eastAsiaTheme="minorEastAsia"/>
          <w:color w:val="000000" w:themeColor="text1"/>
          <w:sz w:val="20"/>
          <w:szCs w:val="20"/>
        </w:rPr>
        <w:t xml:space="preserve">Mediation is a form of ADR (Alternative Dispute Resolution) and is a way to solve problems between employers and employees. Independent and neutral, mediators do not pass judgement on situations and instead focus on how parties might cooperate going forward. </w:t>
      </w:r>
      <w:r w:rsidRPr="630A493F">
        <w:rPr>
          <w:rFonts w:eastAsiaTheme="minorEastAsia"/>
          <w:b/>
          <w:bCs/>
          <w:color w:val="000000" w:themeColor="text1"/>
          <w:sz w:val="20"/>
          <w:szCs w:val="20"/>
        </w:rPr>
        <w:t xml:space="preserve">(Podro, S. et al CIPD 2013). </w:t>
      </w:r>
      <w:r w:rsidRPr="630A493F">
        <w:rPr>
          <w:rFonts w:eastAsiaTheme="minorEastAsia"/>
          <w:color w:val="000000" w:themeColor="text1"/>
          <w:sz w:val="20"/>
          <w:szCs w:val="20"/>
        </w:rPr>
        <w:t xml:space="preserve">Mediation can help resolve relationship breakdowns between employees and can be used during the first stages of grievances and disciplinaries to encourage solutions. It is a confidential process that allows people to reach a suitable solution supported by both parties </w:t>
      </w:r>
      <w:r w:rsidRPr="630A493F">
        <w:rPr>
          <w:rFonts w:eastAsiaTheme="minorEastAsia"/>
          <w:b/>
          <w:bCs/>
          <w:color w:val="000000" w:themeColor="text1"/>
          <w:sz w:val="20"/>
          <w:szCs w:val="20"/>
        </w:rPr>
        <w:t>(Young, J. CIPD 2022).</w:t>
      </w:r>
    </w:p>
    <w:p w:rsidR="44BCA031" w:rsidP="630A493F" w:rsidRDefault="648F76D5" w14:paraId="28D86842" w14:textId="56BBB116">
      <w:pPr>
        <w:rPr>
          <w:rFonts w:eastAsiaTheme="minorEastAsia"/>
          <w:color w:val="000000" w:themeColor="text1"/>
          <w:sz w:val="20"/>
          <w:szCs w:val="20"/>
        </w:rPr>
      </w:pPr>
      <w:r w:rsidRPr="630A493F">
        <w:rPr>
          <w:rFonts w:eastAsiaTheme="minorEastAsia"/>
          <w:color w:val="000000" w:themeColor="text1"/>
          <w:sz w:val="20"/>
          <w:szCs w:val="20"/>
        </w:rPr>
        <w:t xml:space="preserve">Arbitration is an out-of-court hearing used to resolve disputes between an employer and employees and is used instead of going to an industrial tribunal or fair employment tribunal. The arbitrator's ruling is legally binding on both parties. Individual conflicts or issues brought forth by a group of employees can both be resolved </w:t>
      </w:r>
      <w:r w:rsidRPr="630A493F">
        <w:rPr>
          <w:rFonts w:eastAsiaTheme="minorEastAsia"/>
          <w:b/>
          <w:bCs/>
          <w:color w:val="000000" w:themeColor="text1"/>
          <w:sz w:val="20"/>
          <w:szCs w:val="20"/>
        </w:rPr>
        <w:t>(ACAS 2022).</w:t>
      </w:r>
    </w:p>
    <w:p w:rsidR="44BCA031" w:rsidP="630A493F" w:rsidRDefault="648F76D5" w14:paraId="4E9A8115" w14:textId="7EA0C82E">
      <w:pPr>
        <w:rPr>
          <w:rFonts w:eastAsiaTheme="minorEastAsia"/>
          <w:color w:val="000000" w:themeColor="text1"/>
          <w:sz w:val="20"/>
          <w:szCs w:val="20"/>
        </w:rPr>
      </w:pPr>
      <w:r w:rsidRPr="630A493F">
        <w:rPr>
          <w:rFonts w:eastAsiaTheme="minorEastAsia"/>
          <w:color w:val="000000" w:themeColor="text1"/>
          <w:sz w:val="20"/>
          <w:szCs w:val="20"/>
        </w:rPr>
        <w:t xml:space="preserve">The procedure of conciliation is the same as that of </w:t>
      </w:r>
      <w:r w:rsidRPr="00715A34">
        <w:rPr>
          <w:rFonts w:eastAsiaTheme="minorEastAsia"/>
          <w:color w:val="000000" w:themeColor="text1"/>
          <w:sz w:val="20"/>
          <w:szCs w:val="20"/>
        </w:rPr>
        <w:t xml:space="preserve">mediation and arbitration because a conciliator </w:t>
      </w:r>
      <w:r w:rsidRPr="00715A34">
        <w:rPr>
          <w:rFonts w:eastAsiaTheme="minorEastAsia"/>
          <w:b/>
          <w:bCs/>
          <w:color w:val="000000" w:themeColor="text1"/>
          <w:sz w:val="20"/>
          <w:szCs w:val="20"/>
        </w:rPr>
        <w:t>will be a neutral third party</w:t>
      </w:r>
      <w:r w:rsidRPr="00715A34">
        <w:rPr>
          <w:rFonts w:eastAsiaTheme="minorEastAsia"/>
          <w:color w:val="000000" w:themeColor="text1"/>
          <w:sz w:val="20"/>
          <w:szCs w:val="20"/>
        </w:rPr>
        <w:t xml:space="preserve"> who hears all sides of the argument before agreeing to a definitive settlement.</w:t>
      </w:r>
      <w:r w:rsidRPr="630A493F">
        <w:rPr>
          <w:rFonts w:eastAsiaTheme="minorEastAsia"/>
          <w:color w:val="000000" w:themeColor="text1"/>
          <w:sz w:val="20"/>
          <w:szCs w:val="20"/>
        </w:rPr>
        <w:t xml:space="preserve"> Employment tribunal claims are successfully resolved by conciliation, which also manages conflict situations to reach a legally and morally acceptable compromise </w:t>
      </w:r>
      <w:r w:rsidRPr="630A493F">
        <w:rPr>
          <w:rFonts w:eastAsiaTheme="minorEastAsia"/>
          <w:b/>
          <w:bCs/>
          <w:color w:val="000000" w:themeColor="text1"/>
          <w:sz w:val="20"/>
          <w:szCs w:val="20"/>
        </w:rPr>
        <w:t>(CIPD 2022).</w:t>
      </w:r>
    </w:p>
    <w:p w:rsidRPr="00F1435E" w:rsidR="44BCA031" w:rsidP="630A493F" w:rsidRDefault="648F76D5" w14:paraId="3874C396" w14:textId="69D66194">
      <w:pPr>
        <w:rPr>
          <w:rFonts w:eastAsiaTheme="minorEastAsia"/>
          <w:b/>
          <w:bCs/>
          <w:color w:val="4472C4" w:themeColor="accent1"/>
          <w:sz w:val="16"/>
          <w:szCs w:val="16"/>
        </w:rPr>
      </w:pPr>
      <w:r w:rsidRPr="630A493F">
        <w:rPr>
          <w:rFonts w:eastAsiaTheme="minorEastAsia"/>
          <w:b/>
          <w:bCs/>
          <w:sz w:val="16"/>
          <w:szCs w:val="16"/>
        </w:rPr>
        <w:t xml:space="preserve">Table for Go Quest Managers: </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1290"/>
        <w:gridCol w:w="3938"/>
        <w:gridCol w:w="4125"/>
      </w:tblGrid>
      <w:tr w:rsidR="388BF078" w:rsidTr="630A493F" w14:paraId="0DC1EC12" w14:textId="77777777">
        <w:trPr>
          <w:trHeight w:val="285"/>
        </w:trPr>
        <w:tc>
          <w:tcPr>
            <w:tcW w:w="1290"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5874AD1F" w14:textId="71F682DB">
            <w:pPr>
              <w:spacing w:line="259" w:lineRule="auto"/>
              <w:rPr>
                <w:rFonts w:ascii="Calibri" w:hAnsi="Calibri" w:eastAsia="Calibri" w:cs="Calibri"/>
                <w:sz w:val="12"/>
                <w:szCs w:val="12"/>
              </w:rPr>
            </w:pPr>
          </w:p>
        </w:tc>
        <w:tc>
          <w:tcPr>
            <w:tcW w:w="3938"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58DA8320" w14:textId="66277361">
            <w:pPr>
              <w:spacing w:line="259" w:lineRule="auto"/>
              <w:jc w:val="center"/>
              <w:rPr>
                <w:rFonts w:ascii="Calibri" w:hAnsi="Calibri" w:eastAsia="Calibri" w:cs="Calibri"/>
                <w:sz w:val="12"/>
                <w:szCs w:val="12"/>
              </w:rPr>
            </w:pPr>
            <w:r w:rsidRPr="630A493F">
              <w:rPr>
                <w:rFonts w:ascii="Calibri" w:hAnsi="Calibri" w:eastAsia="Calibri" w:cs="Calibri"/>
                <w:b/>
                <w:bCs/>
                <w:sz w:val="12"/>
                <w:szCs w:val="12"/>
              </w:rPr>
              <w:t>Advantages</w:t>
            </w:r>
          </w:p>
        </w:tc>
        <w:tc>
          <w:tcPr>
            <w:tcW w:w="4125"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31EC0ADF" w14:textId="317A6B10">
            <w:pPr>
              <w:spacing w:line="259" w:lineRule="auto"/>
              <w:jc w:val="center"/>
              <w:rPr>
                <w:rFonts w:ascii="Calibri" w:hAnsi="Calibri" w:eastAsia="Calibri" w:cs="Calibri"/>
                <w:sz w:val="12"/>
                <w:szCs w:val="12"/>
              </w:rPr>
            </w:pPr>
            <w:r w:rsidRPr="630A493F">
              <w:rPr>
                <w:rFonts w:ascii="Calibri" w:hAnsi="Calibri" w:eastAsia="Calibri" w:cs="Calibri"/>
                <w:b/>
                <w:bCs/>
                <w:sz w:val="12"/>
                <w:szCs w:val="12"/>
              </w:rPr>
              <w:t>Disadvantages</w:t>
            </w:r>
          </w:p>
        </w:tc>
      </w:tr>
      <w:tr w:rsidR="388BF078" w:rsidTr="630A493F" w14:paraId="16114FFC" w14:textId="77777777">
        <w:trPr>
          <w:trHeight w:val="960"/>
        </w:trPr>
        <w:tc>
          <w:tcPr>
            <w:tcW w:w="1290"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3B95E9FA" w14:textId="26D3C741">
            <w:pPr>
              <w:spacing w:line="259" w:lineRule="auto"/>
              <w:rPr>
                <w:rFonts w:ascii="Calibri" w:hAnsi="Calibri" w:eastAsia="Calibri" w:cs="Calibri"/>
                <w:sz w:val="12"/>
                <w:szCs w:val="12"/>
              </w:rPr>
            </w:pPr>
            <w:r w:rsidRPr="630A493F">
              <w:rPr>
                <w:rFonts w:ascii="Calibri" w:hAnsi="Calibri" w:eastAsia="Calibri" w:cs="Calibri"/>
                <w:b/>
                <w:bCs/>
                <w:sz w:val="12"/>
                <w:szCs w:val="12"/>
              </w:rPr>
              <w:t>Mediation</w:t>
            </w:r>
          </w:p>
        </w:tc>
        <w:tc>
          <w:tcPr>
            <w:tcW w:w="3938"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2B08CF75" w14:textId="2D42158C">
            <w:pPr>
              <w:pStyle w:val="ListParagraph"/>
              <w:numPr>
                <w:ilvl w:val="0"/>
                <w:numId w:val="32"/>
              </w:numPr>
              <w:spacing w:line="259" w:lineRule="auto"/>
              <w:rPr>
                <w:rFonts w:ascii="Calibri" w:hAnsi="Calibri" w:eastAsia="Calibri" w:cs="Calibri"/>
                <w:sz w:val="12"/>
                <w:szCs w:val="12"/>
              </w:rPr>
            </w:pPr>
            <w:r w:rsidRPr="630A493F">
              <w:rPr>
                <w:rFonts w:ascii="Calibri" w:hAnsi="Calibri" w:eastAsia="Calibri" w:cs="Calibri"/>
                <w:sz w:val="12"/>
                <w:szCs w:val="12"/>
              </w:rPr>
              <w:t>Reduces stress for all parties involved</w:t>
            </w:r>
          </w:p>
          <w:p w:rsidRPr="00F1435E" w:rsidR="388BF078" w:rsidP="2E7E2B62" w:rsidRDefault="388BF078" w14:paraId="3DB50FDE" w14:textId="39858C14">
            <w:pPr>
              <w:pStyle w:val="ListParagraph"/>
              <w:numPr>
                <w:ilvl w:val="0"/>
                <w:numId w:val="32"/>
              </w:numPr>
              <w:spacing w:line="259" w:lineRule="auto"/>
              <w:rPr>
                <w:rFonts w:ascii="Calibri" w:hAnsi="Calibri" w:eastAsia="Calibri" w:cs="Calibri"/>
                <w:sz w:val="12"/>
                <w:szCs w:val="12"/>
              </w:rPr>
            </w:pPr>
            <w:r w:rsidRPr="630A493F">
              <w:rPr>
                <w:rFonts w:ascii="Calibri" w:hAnsi="Calibri" w:eastAsia="Calibri" w:cs="Calibri"/>
                <w:sz w:val="12"/>
                <w:szCs w:val="12"/>
              </w:rPr>
              <w:t>Avoids formal processes like grievances or disciplinary procedures</w:t>
            </w:r>
          </w:p>
          <w:p w:rsidRPr="00F1435E" w:rsidR="388BF078" w:rsidP="2E7E2B62" w:rsidRDefault="388BF078" w14:paraId="6994AFDC" w14:textId="4FA0EF69">
            <w:pPr>
              <w:pStyle w:val="ListParagraph"/>
              <w:numPr>
                <w:ilvl w:val="0"/>
                <w:numId w:val="32"/>
              </w:numPr>
              <w:spacing w:line="259" w:lineRule="auto"/>
              <w:rPr>
                <w:rFonts w:ascii="Calibri" w:hAnsi="Calibri" w:eastAsia="Calibri" w:cs="Calibri"/>
                <w:sz w:val="12"/>
                <w:szCs w:val="12"/>
              </w:rPr>
            </w:pPr>
            <w:r w:rsidRPr="630A493F">
              <w:rPr>
                <w:rFonts w:ascii="Calibri" w:hAnsi="Calibri" w:eastAsia="Calibri" w:cs="Calibri"/>
                <w:sz w:val="12"/>
                <w:szCs w:val="12"/>
              </w:rPr>
              <w:t>Avoids costs of tribunal claims</w:t>
            </w:r>
          </w:p>
          <w:p w:rsidRPr="00F1435E" w:rsidR="388BF078" w:rsidP="2E7E2B62" w:rsidRDefault="388BF078" w14:paraId="7E7024F7" w14:textId="58B87030">
            <w:pPr>
              <w:pStyle w:val="ListParagraph"/>
              <w:numPr>
                <w:ilvl w:val="0"/>
                <w:numId w:val="32"/>
              </w:numPr>
              <w:spacing w:line="259" w:lineRule="auto"/>
              <w:rPr>
                <w:rFonts w:ascii="Calibri" w:hAnsi="Calibri" w:eastAsia="Calibri" w:cs="Calibri"/>
                <w:sz w:val="12"/>
                <w:szCs w:val="12"/>
              </w:rPr>
            </w:pPr>
            <w:r w:rsidRPr="630A493F">
              <w:rPr>
                <w:rFonts w:ascii="Calibri" w:hAnsi="Calibri" w:eastAsia="Calibri" w:cs="Calibri"/>
                <w:sz w:val="12"/>
                <w:szCs w:val="12"/>
              </w:rPr>
              <w:t>Quicker than more formal processes</w:t>
            </w:r>
          </w:p>
        </w:tc>
        <w:tc>
          <w:tcPr>
            <w:tcW w:w="4125"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6164FD87" w14:textId="544AD648">
            <w:pPr>
              <w:pStyle w:val="ListParagraph"/>
              <w:numPr>
                <w:ilvl w:val="0"/>
                <w:numId w:val="32"/>
              </w:numPr>
              <w:spacing w:line="259" w:lineRule="auto"/>
              <w:rPr>
                <w:rFonts w:ascii="Calibri" w:hAnsi="Calibri" w:eastAsia="Calibri" w:cs="Calibri"/>
                <w:sz w:val="12"/>
                <w:szCs w:val="12"/>
              </w:rPr>
            </w:pPr>
            <w:r w:rsidRPr="630A493F">
              <w:rPr>
                <w:rFonts w:ascii="Calibri" w:hAnsi="Calibri" w:eastAsia="Calibri" w:cs="Calibri"/>
                <w:sz w:val="12"/>
                <w:szCs w:val="12"/>
              </w:rPr>
              <w:t>Does not always result in an agreement</w:t>
            </w:r>
          </w:p>
          <w:p w:rsidRPr="00F1435E" w:rsidR="388BF078" w:rsidP="2E7E2B62" w:rsidRDefault="388BF078" w14:paraId="23876238" w14:textId="21750693">
            <w:pPr>
              <w:pStyle w:val="ListParagraph"/>
              <w:numPr>
                <w:ilvl w:val="0"/>
                <w:numId w:val="32"/>
              </w:numPr>
              <w:spacing w:line="259" w:lineRule="auto"/>
              <w:rPr>
                <w:rFonts w:ascii="Calibri" w:hAnsi="Calibri" w:eastAsia="Calibri" w:cs="Calibri"/>
                <w:sz w:val="12"/>
                <w:szCs w:val="12"/>
              </w:rPr>
            </w:pPr>
            <w:r w:rsidRPr="630A493F">
              <w:rPr>
                <w:rFonts w:ascii="Calibri" w:hAnsi="Calibri" w:eastAsia="Calibri" w:cs="Calibri"/>
                <w:sz w:val="12"/>
                <w:szCs w:val="12"/>
              </w:rPr>
              <w:t>Decisions cannot be legally binding</w:t>
            </w:r>
          </w:p>
          <w:p w:rsidRPr="00F1435E" w:rsidR="388BF078" w:rsidP="2E7E2B62" w:rsidRDefault="388BF078" w14:paraId="546BA9C8" w14:textId="4EAF346C">
            <w:pPr>
              <w:pStyle w:val="ListParagraph"/>
              <w:numPr>
                <w:ilvl w:val="0"/>
                <w:numId w:val="32"/>
              </w:numPr>
              <w:spacing w:line="259" w:lineRule="auto"/>
              <w:rPr>
                <w:rFonts w:ascii="Calibri" w:hAnsi="Calibri" w:eastAsia="Calibri" w:cs="Calibri"/>
                <w:sz w:val="12"/>
                <w:szCs w:val="12"/>
              </w:rPr>
            </w:pPr>
            <w:r w:rsidRPr="630A493F">
              <w:rPr>
                <w:rFonts w:ascii="Calibri" w:hAnsi="Calibri" w:eastAsia="Calibri" w:cs="Calibri"/>
                <w:sz w:val="12"/>
                <w:szCs w:val="12"/>
              </w:rPr>
              <w:t>Either party can withdraw from the process at anytime</w:t>
            </w:r>
          </w:p>
          <w:p w:rsidRPr="00F1435E" w:rsidR="388BF078" w:rsidP="2E7E2B62" w:rsidRDefault="388BF078" w14:paraId="6AC1CC94" w14:textId="2321A621">
            <w:pPr>
              <w:pStyle w:val="ListParagraph"/>
              <w:numPr>
                <w:ilvl w:val="0"/>
                <w:numId w:val="32"/>
              </w:numPr>
              <w:spacing w:line="259" w:lineRule="auto"/>
              <w:rPr>
                <w:rFonts w:ascii="Calibri" w:hAnsi="Calibri" w:eastAsia="Calibri" w:cs="Calibri"/>
                <w:sz w:val="12"/>
                <w:szCs w:val="12"/>
              </w:rPr>
            </w:pPr>
            <w:r w:rsidRPr="630A493F">
              <w:rPr>
                <w:rFonts w:ascii="Calibri" w:hAnsi="Calibri" w:eastAsia="Calibri" w:cs="Calibri"/>
                <w:sz w:val="12"/>
                <w:szCs w:val="12"/>
              </w:rPr>
              <w:t>Not compulsory</w:t>
            </w:r>
          </w:p>
          <w:p w:rsidRPr="00F1435E" w:rsidR="388BF078" w:rsidP="2E7E2B62" w:rsidRDefault="388BF078" w14:paraId="0BEB9610" w14:textId="59835B48">
            <w:pPr>
              <w:pStyle w:val="ListParagraph"/>
              <w:numPr>
                <w:ilvl w:val="0"/>
                <w:numId w:val="32"/>
              </w:numPr>
              <w:spacing w:line="259" w:lineRule="auto"/>
              <w:rPr>
                <w:rFonts w:ascii="Calibri" w:hAnsi="Calibri" w:eastAsia="Calibri" w:cs="Calibri"/>
                <w:sz w:val="12"/>
                <w:szCs w:val="12"/>
              </w:rPr>
            </w:pPr>
            <w:r w:rsidRPr="630A493F">
              <w:rPr>
                <w:rFonts w:ascii="Calibri" w:hAnsi="Calibri" w:eastAsia="Calibri" w:cs="Calibri"/>
                <w:sz w:val="12"/>
                <w:szCs w:val="12"/>
              </w:rPr>
              <w:t>If one party is unwilling to cooperate the process is a waste of time</w:t>
            </w:r>
          </w:p>
        </w:tc>
      </w:tr>
      <w:tr w:rsidR="388BF078" w:rsidTr="630A493F" w14:paraId="3679835B" w14:textId="77777777">
        <w:trPr>
          <w:trHeight w:val="1260"/>
        </w:trPr>
        <w:tc>
          <w:tcPr>
            <w:tcW w:w="1290"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52F9254D" w14:textId="30F059AC">
            <w:pPr>
              <w:spacing w:line="259" w:lineRule="auto"/>
              <w:rPr>
                <w:rFonts w:ascii="Calibri" w:hAnsi="Calibri" w:eastAsia="Calibri" w:cs="Calibri"/>
                <w:sz w:val="12"/>
                <w:szCs w:val="12"/>
              </w:rPr>
            </w:pPr>
            <w:r w:rsidRPr="630A493F">
              <w:rPr>
                <w:rFonts w:ascii="Calibri" w:hAnsi="Calibri" w:eastAsia="Calibri" w:cs="Calibri"/>
                <w:b/>
                <w:bCs/>
                <w:sz w:val="12"/>
                <w:szCs w:val="12"/>
              </w:rPr>
              <w:t>Arbitration</w:t>
            </w:r>
          </w:p>
        </w:tc>
        <w:tc>
          <w:tcPr>
            <w:tcW w:w="3938"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6A30B803" w14:textId="623AF811">
            <w:pPr>
              <w:pStyle w:val="ListParagraph"/>
              <w:numPr>
                <w:ilvl w:val="0"/>
                <w:numId w:val="23"/>
              </w:numPr>
              <w:spacing w:line="259" w:lineRule="auto"/>
              <w:rPr>
                <w:rFonts w:ascii="Calibri" w:hAnsi="Calibri" w:eastAsia="Calibri" w:cs="Calibri"/>
                <w:sz w:val="12"/>
                <w:szCs w:val="12"/>
              </w:rPr>
            </w:pPr>
            <w:r w:rsidRPr="630A493F">
              <w:rPr>
                <w:rFonts w:ascii="Calibri" w:hAnsi="Calibri" w:eastAsia="Calibri" w:cs="Calibri"/>
                <w:sz w:val="12"/>
                <w:szCs w:val="12"/>
              </w:rPr>
              <w:t>Free</w:t>
            </w:r>
          </w:p>
          <w:p w:rsidRPr="00F1435E" w:rsidR="388BF078" w:rsidP="2E7E2B62" w:rsidRDefault="388BF078" w14:paraId="7D2CD303" w14:textId="09CD5AC4">
            <w:pPr>
              <w:pStyle w:val="ListParagraph"/>
              <w:numPr>
                <w:ilvl w:val="0"/>
                <w:numId w:val="23"/>
              </w:numPr>
              <w:spacing w:line="259" w:lineRule="auto"/>
              <w:rPr>
                <w:rFonts w:ascii="Calibri" w:hAnsi="Calibri" w:eastAsia="Calibri" w:cs="Calibri"/>
                <w:sz w:val="12"/>
                <w:szCs w:val="12"/>
              </w:rPr>
            </w:pPr>
            <w:r w:rsidRPr="630A493F">
              <w:rPr>
                <w:rFonts w:ascii="Calibri" w:hAnsi="Calibri" w:eastAsia="Calibri" w:cs="Calibri"/>
                <w:sz w:val="12"/>
                <w:szCs w:val="12"/>
              </w:rPr>
              <w:t>Informal</w:t>
            </w:r>
          </w:p>
          <w:p w:rsidRPr="00F1435E" w:rsidR="388BF078" w:rsidP="2E7E2B62" w:rsidRDefault="388BF078" w14:paraId="12A88D45" w14:textId="25FF2580">
            <w:pPr>
              <w:pStyle w:val="ListParagraph"/>
              <w:numPr>
                <w:ilvl w:val="0"/>
                <w:numId w:val="23"/>
              </w:numPr>
              <w:spacing w:line="259" w:lineRule="auto"/>
              <w:rPr>
                <w:rFonts w:ascii="Calibri" w:hAnsi="Calibri" w:eastAsia="Calibri" w:cs="Calibri"/>
                <w:sz w:val="12"/>
                <w:szCs w:val="12"/>
              </w:rPr>
            </w:pPr>
            <w:r w:rsidRPr="630A493F">
              <w:rPr>
                <w:rFonts w:ascii="Calibri" w:hAnsi="Calibri" w:eastAsia="Calibri" w:cs="Calibri"/>
                <w:sz w:val="12"/>
                <w:szCs w:val="12"/>
              </w:rPr>
              <w:t>Confidential</w:t>
            </w:r>
          </w:p>
          <w:p w:rsidRPr="00F1435E" w:rsidR="388BF078" w:rsidP="2E7E2B62" w:rsidRDefault="388BF078" w14:paraId="5C6F9FB2" w14:textId="1A2A24C1">
            <w:pPr>
              <w:pStyle w:val="ListParagraph"/>
              <w:numPr>
                <w:ilvl w:val="0"/>
                <w:numId w:val="23"/>
              </w:numPr>
              <w:spacing w:line="259" w:lineRule="auto"/>
              <w:rPr>
                <w:rFonts w:ascii="Calibri" w:hAnsi="Calibri" w:eastAsia="Calibri" w:cs="Calibri"/>
                <w:sz w:val="12"/>
                <w:szCs w:val="12"/>
              </w:rPr>
            </w:pPr>
            <w:r w:rsidRPr="630A493F">
              <w:rPr>
                <w:rFonts w:ascii="Calibri" w:hAnsi="Calibri" w:eastAsia="Calibri" w:cs="Calibri"/>
                <w:sz w:val="12"/>
                <w:szCs w:val="12"/>
              </w:rPr>
              <w:t xml:space="preserve">Parties have greater control through arbitration than any other ADR </w:t>
            </w:r>
          </w:p>
          <w:p w:rsidRPr="00F1435E" w:rsidR="388BF078" w:rsidP="2E7E2B62" w:rsidRDefault="388BF078" w14:paraId="4BAD4911" w14:textId="7FB6AA98">
            <w:pPr>
              <w:pStyle w:val="ListParagraph"/>
              <w:numPr>
                <w:ilvl w:val="0"/>
                <w:numId w:val="23"/>
              </w:numPr>
              <w:spacing w:line="259" w:lineRule="auto"/>
              <w:rPr>
                <w:rFonts w:ascii="Calibri" w:hAnsi="Calibri" w:eastAsia="Calibri" w:cs="Calibri"/>
                <w:sz w:val="12"/>
                <w:szCs w:val="12"/>
              </w:rPr>
            </w:pPr>
            <w:r w:rsidRPr="630A493F">
              <w:rPr>
                <w:rFonts w:ascii="Calibri" w:hAnsi="Calibri" w:eastAsia="Calibri" w:cs="Calibri"/>
                <w:sz w:val="12"/>
                <w:szCs w:val="12"/>
              </w:rPr>
              <w:t xml:space="preserve">Neither party wins nor loses, they come to an agreed decision </w:t>
            </w:r>
          </w:p>
        </w:tc>
        <w:tc>
          <w:tcPr>
            <w:tcW w:w="4125"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1C62AFAC" w14:textId="57229F22">
            <w:pPr>
              <w:pStyle w:val="ListParagraph"/>
              <w:numPr>
                <w:ilvl w:val="0"/>
                <w:numId w:val="23"/>
              </w:numPr>
              <w:spacing w:line="259" w:lineRule="auto"/>
              <w:rPr>
                <w:rFonts w:ascii="Calibri" w:hAnsi="Calibri" w:eastAsia="Calibri" w:cs="Calibri"/>
                <w:sz w:val="12"/>
                <w:szCs w:val="12"/>
              </w:rPr>
            </w:pPr>
            <w:r w:rsidRPr="630A493F">
              <w:rPr>
                <w:rFonts w:ascii="Calibri" w:hAnsi="Calibri" w:eastAsia="Calibri" w:cs="Calibri"/>
                <w:sz w:val="12"/>
                <w:szCs w:val="12"/>
              </w:rPr>
              <w:t>Unable to appeal the decision</w:t>
            </w:r>
          </w:p>
          <w:p w:rsidRPr="00F1435E" w:rsidR="388BF078" w:rsidP="2E7E2B62" w:rsidRDefault="388BF078" w14:paraId="7F331BE7" w14:textId="457A9F1E">
            <w:pPr>
              <w:pStyle w:val="ListParagraph"/>
              <w:numPr>
                <w:ilvl w:val="0"/>
                <w:numId w:val="23"/>
              </w:numPr>
              <w:spacing w:line="259" w:lineRule="auto"/>
              <w:rPr>
                <w:rFonts w:ascii="Calibri" w:hAnsi="Calibri" w:eastAsia="Calibri" w:cs="Calibri"/>
                <w:sz w:val="12"/>
                <w:szCs w:val="12"/>
              </w:rPr>
            </w:pPr>
            <w:r w:rsidRPr="630A493F">
              <w:rPr>
                <w:rFonts w:ascii="Calibri" w:hAnsi="Calibri" w:eastAsia="Calibri" w:cs="Calibri"/>
                <w:sz w:val="12"/>
                <w:szCs w:val="12"/>
              </w:rPr>
              <w:t>Can be expensive if a quality arbitrator demands a fee</w:t>
            </w:r>
          </w:p>
          <w:p w:rsidRPr="00F1435E" w:rsidR="388BF078" w:rsidP="2E7E2B62" w:rsidRDefault="388BF078" w14:paraId="15B47E9F" w14:textId="1E958287">
            <w:pPr>
              <w:pStyle w:val="ListParagraph"/>
              <w:numPr>
                <w:ilvl w:val="0"/>
                <w:numId w:val="23"/>
              </w:numPr>
              <w:spacing w:line="259" w:lineRule="auto"/>
              <w:rPr>
                <w:rFonts w:ascii="Calibri" w:hAnsi="Calibri" w:eastAsia="Calibri" w:cs="Calibri"/>
                <w:sz w:val="12"/>
                <w:szCs w:val="12"/>
              </w:rPr>
            </w:pPr>
            <w:r w:rsidRPr="630A493F">
              <w:rPr>
                <w:rFonts w:ascii="Calibri" w:hAnsi="Calibri" w:eastAsia="Calibri" w:cs="Calibri"/>
                <w:sz w:val="12"/>
                <w:szCs w:val="12"/>
              </w:rPr>
              <w:t>Unpredictable</w:t>
            </w:r>
          </w:p>
          <w:p w:rsidRPr="00F1435E" w:rsidR="388BF078" w:rsidP="2E7E2B62" w:rsidRDefault="388BF078" w14:paraId="1DA1E9FD" w14:textId="08A6DC14">
            <w:pPr>
              <w:pStyle w:val="ListParagraph"/>
              <w:numPr>
                <w:ilvl w:val="0"/>
                <w:numId w:val="23"/>
              </w:numPr>
              <w:spacing w:line="259" w:lineRule="auto"/>
              <w:rPr>
                <w:rFonts w:ascii="Calibri" w:hAnsi="Calibri" w:eastAsia="Calibri" w:cs="Calibri"/>
                <w:sz w:val="12"/>
                <w:szCs w:val="12"/>
              </w:rPr>
            </w:pPr>
            <w:r w:rsidRPr="630A493F">
              <w:rPr>
                <w:rFonts w:ascii="Calibri" w:hAnsi="Calibri" w:eastAsia="Calibri" w:cs="Calibri"/>
                <w:sz w:val="12"/>
                <w:szCs w:val="12"/>
              </w:rPr>
              <w:t>The arbitrator has limited powers</w:t>
            </w:r>
          </w:p>
          <w:p w:rsidRPr="00F1435E" w:rsidR="388BF078" w:rsidP="2E7E2B62" w:rsidRDefault="388BF078" w14:paraId="1192BADE" w14:textId="29D04FEA">
            <w:pPr>
              <w:pStyle w:val="ListParagraph"/>
              <w:numPr>
                <w:ilvl w:val="0"/>
                <w:numId w:val="23"/>
              </w:numPr>
              <w:spacing w:line="259" w:lineRule="auto"/>
              <w:rPr>
                <w:rFonts w:ascii="Calibri" w:hAnsi="Calibri" w:eastAsia="Calibri" w:cs="Calibri"/>
                <w:sz w:val="12"/>
                <w:szCs w:val="12"/>
              </w:rPr>
            </w:pPr>
            <w:r w:rsidRPr="630A493F">
              <w:rPr>
                <w:rFonts w:ascii="Calibri" w:hAnsi="Calibri" w:eastAsia="Calibri" w:cs="Calibri"/>
                <w:sz w:val="12"/>
                <w:szCs w:val="12"/>
              </w:rPr>
              <w:t>Lack of transparency</w:t>
            </w:r>
          </w:p>
        </w:tc>
      </w:tr>
      <w:tr w:rsidR="388BF078" w:rsidTr="630A493F" w14:paraId="2BCB0217" w14:textId="77777777">
        <w:trPr>
          <w:trHeight w:val="1110"/>
        </w:trPr>
        <w:tc>
          <w:tcPr>
            <w:tcW w:w="1290"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1A3F5E07" w14:textId="1657D7BF">
            <w:pPr>
              <w:spacing w:line="259" w:lineRule="auto"/>
              <w:rPr>
                <w:rFonts w:ascii="Calibri" w:hAnsi="Calibri" w:eastAsia="Calibri" w:cs="Calibri"/>
                <w:sz w:val="12"/>
                <w:szCs w:val="12"/>
              </w:rPr>
            </w:pPr>
            <w:r w:rsidRPr="630A493F">
              <w:rPr>
                <w:rFonts w:ascii="Calibri" w:hAnsi="Calibri" w:eastAsia="Calibri" w:cs="Calibri"/>
                <w:b/>
                <w:bCs/>
                <w:sz w:val="12"/>
                <w:szCs w:val="12"/>
              </w:rPr>
              <w:t xml:space="preserve">Conciliation </w:t>
            </w:r>
          </w:p>
        </w:tc>
        <w:tc>
          <w:tcPr>
            <w:tcW w:w="3938"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28F55705" w14:paraId="071A7E07" w14:textId="3C3EB334">
            <w:pPr>
              <w:pStyle w:val="ListParagraph"/>
              <w:numPr>
                <w:ilvl w:val="0"/>
                <w:numId w:val="13"/>
              </w:numPr>
              <w:spacing w:line="259" w:lineRule="auto"/>
              <w:rPr>
                <w:rFonts w:ascii="Calibri" w:hAnsi="Calibri" w:eastAsia="Calibri" w:cs="Calibri"/>
                <w:sz w:val="12"/>
                <w:szCs w:val="12"/>
              </w:rPr>
            </w:pPr>
            <w:bookmarkStart w:name="_Int_Gc6mxUVX" w:id="9"/>
            <w:r w:rsidRPr="630A493F">
              <w:rPr>
                <w:rFonts w:ascii="Calibri" w:hAnsi="Calibri" w:eastAsia="Calibri" w:cs="Calibri"/>
                <w:sz w:val="12"/>
                <w:szCs w:val="12"/>
              </w:rPr>
              <w:t>The conciliator is a legal expert in the disputed field</w:t>
            </w:r>
            <w:bookmarkEnd w:id="9"/>
          </w:p>
          <w:p w:rsidRPr="00F1435E" w:rsidR="388BF078" w:rsidP="2E7E2B62" w:rsidRDefault="388BF078" w14:paraId="1AC84100" w14:textId="1996EC03">
            <w:pPr>
              <w:pStyle w:val="ListParagraph"/>
              <w:numPr>
                <w:ilvl w:val="0"/>
                <w:numId w:val="13"/>
              </w:numPr>
              <w:spacing w:line="259" w:lineRule="auto"/>
              <w:rPr>
                <w:rFonts w:ascii="Calibri" w:hAnsi="Calibri" w:eastAsia="Calibri" w:cs="Calibri"/>
                <w:sz w:val="12"/>
                <w:szCs w:val="12"/>
              </w:rPr>
            </w:pPr>
            <w:r w:rsidRPr="630A493F">
              <w:rPr>
                <w:rFonts w:ascii="Calibri" w:hAnsi="Calibri" w:eastAsia="Calibri" w:cs="Calibri"/>
                <w:sz w:val="12"/>
                <w:szCs w:val="12"/>
              </w:rPr>
              <w:t>Private process</w:t>
            </w:r>
          </w:p>
          <w:p w:rsidRPr="00F1435E" w:rsidR="388BF078" w:rsidP="2E7E2B62" w:rsidRDefault="388BF078" w14:paraId="30969CEF" w14:textId="6871B058">
            <w:pPr>
              <w:pStyle w:val="ListParagraph"/>
              <w:numPr>
                <w:ilvl w:val="0"/>
                <w:numId w:val="13"/>
              </w:numPr>
              <w:spacing w:line="259" w:lineRule="auto"/>
              <w:rPr>
                <w:rFonts w:ascii="Calibri" w:hAnsi="Calibri" w:eastAsia="Calibri" w:cs="Calibri"/>
                <w:sz w:val="12"/>
                <w:szCs w:val="12"/>
              </w:rPr>
            </w:pPr>
            <w:r w:rsidRPr="630A493F">
              <w:rPr>
                <w:rFonts w:ascii="Calibri" w:hAnsi="Calibri" w:eastAsia="Calibri" w:cs="Calibri"/>
                <w:sz w:val="12"/>
                <w:szCs w:val="12"/>
              </w:rPr>
              <w:t>Flexible with a date and time to suit both parties</w:t>
            </w:r>
          </w:p>
          <w:p w:rsidRPr="00F1435E" w:rsidR="388BF078" w:rsidP="2E7E2B62" w:rsidRDefault="388BF078" w14:paraId="30C4B817" w14:textId="1297CD00">
            <w:pPr>
              <w:pStyle w:val="ListParagraph"/>
              <w:numPr>
                <w:ilvl w:val="0"/>
                <w:numId w:val="13"/>
              </w:numPr>
              <w:spacing w:line="259" w:lineRule="auto"/>
              <w:rPr>
                <w:rFonts w:ascii="Calibri" w:hAnsi="Calibri" w:eastAsia="Calibri" w:cs="Calibri"/>
                <w:sz w:val="12"/>
                <w:szCs w:val="12"/>
              </w:rPr>
            </w:pPr>
            <w:r w:rsidRPr="630A493F">
              <w:rPr>
                <w:rFonts w:ascii="Calibri" w:hAnsi="Calibri" w:eastAsia="Calibri" w:cs="Calibri"/>
                <w:sz w:val="12"/>
                <w:szCs w:val="12"/>
              </w:rPr>
              <w:t>Cheaper than taking the dispute to court</w:t>
            </w:r>
          </w:p>
          <w:p w:rsidRPr="00F1435E" w:rsidR="388BF078" w:rsidP="2E7E2B62" w:rsidRDefault="388BF078" w14:paraId="49C6B457" w14:textId="2A2EFA08">
            <w:pPr>
              <w:pStyle w:val="ListParagraph"/>
              <w:numPr>
                <w:ilvl w:val="0"/>
                <w:numId w:val="13"/>
              </w:numPr>
              <w:spacing w:line="259" w:lineRule="auto"/>
              <w:rPr>
                <w:rFonts w:ascii="Calibri" w:hAnsi="Calibri" w:eastAsia="Calibri" w:cs="Calibri"/>
                <w:sz w:val="12"/>
                <w:szCs w:val="12"/>
              </w:rPr>
            </w:pPr>
            <w:r w:rsidRPr="630A493F">
              <w:rPr>
                <w:rFonts w:ascii="Calibri" w:hAnsi="Calibri" w:eastAsia="Calibri" w:cs="Calibri"/>
                <w:sz w:val="12"/>
                <w:szCs w:val="12"/>
              </w:rPr>
              <w:t xml:space="preserve">Informal </w:t>
            </w:r>
          </w:p>
        </w:tc>
        <w:tc>
          <w:tcPr>
            <w:tcW w:w="4125" w:type="dxa"/>
            <w:tcBorders>
              <w:top w:val="single" w:color="auto" w:sz="6" w:space="0"/>
              <w:left w:val="single" w:color="auto" w:sz="6" w:space="0"/>
              <w:bottom w:val="single" w:color="auto" w:sz="6" w:space="0"/>
              <w:right w:val="single" w:color="auto" w:sz="6" w:space="0"/>
            </w:tcBorders>
            <w:tcMar>
              <w:left w:w="105" w:type="dxa"/>
              <w:right w:w="105" w:type="dxa"/>
            </w:tcMar>
          </w:tcPr>
          <w:p w:rsidRPr="00F1435E" w:rsidR="388BF078" w:rsidP="2E7E2B62" w:rsidRDefault="388BF078" w14:paraId="22166857" w14:textId="69DDAE3C">
            <w:pPr>
              <w:pStyle w:val="ListParagraph"/>
              <w:numPr>
                <w:ilvl w:val="0"/>
                <w:numId w:val="13"/>
              </w:numPr>
              <w:spacing w:line="259" w:lineRule="auto"/>
              <w:rPr>
                <w:rFonts w:ascii="Calibri" w:hAnsi="Calibri" w:eastAsia="Calibri" w:cs="Calibri"/>
                <w:sz w:val="12"/>
                <w:szCs w:val="12"/>
              </w:rPr>
            </w:pPr>
            <w:r w:rsidRPr="630A493F">
              <w:rPr>
                <w:rFonts w:ascii="Calibri" w:hAnsi="Calibri" w:eastAsia="Calibri" w:cs="Calibri"/>
                <w:sz w:val="12"/>
                <w:szCs w:val="12"/>
              </w:rPr>
              <w:t>Not legally binding</w:t>
            </w:r>
          </w:p>
          <w:p w:rsidRPr="00F1435E" w:rsidR="388BF078" w:rsidP="2E7E2B62" w:rsidRDefault="388BF078" w14:paraId="6C9F73A7" w14:textId="6CC81DCE">
            <w:pPr>
              <w:pStyle w:val="ListParagraph"/>
              <w:numPr>
                <w:ilvl w:val="0"/>
                <w:numId w:val="13"/>
              </w:numPr>
              <w:spacing w:line="259" w:lineRule="auto"/>
              <w:rPr>
                <w:rFonts w:ascii="Calibri" w:hAnsi="Calibri" w:eastAsia="Calibri" w:cs="Calibri"/>
                <w:sz w:val="12"/>
                <w:szCs w:val="12"/>
              </w:rPr>
            </w:pPr>
            <w:r w:rsidRPr="630A493F">
              <w:rPr>
                <w:rFonts w:ascii="Calibri" w:hAnsi="Calibri" w:eastAsia="Calibri" w:cs="Calibri"/>
                <w:sz w:val="12"/>
                <w:szCs w:val="12"/>
              </w:rPr>
              <w:t>No decision is guaranteed at the end</w:t>
            </w:r>
          </w:p>
          <w:p w:rsidRPr="00F1435E" w:rsidR="388BF078" w:rsidP="2E7E2B62" w:rsidRDefault="388BF078" w14:paraId="1ED939CF" w14:textId="2ADECB13">
            <w:pPr>
              <w:pStyle w:val="ListParagraph"/>
              <w:numPr>
                <w:ilvl w:val="0"/>
                <w:numId w:val="13"/>
              </w:numPr>
              <w:spacing w:line="259" w:lineRule="auto"/>
              <w:rPr>
                <w:rFonts w:ascii="Calibri" w:hAnsi="Calibri" w:eastAsia="Calibri" w:cs="Calibri"/>
                <w:sz w:val="12"/>
                <w:szCs w:val="12"/>
              </w:rPr>
            </w:pPr>
            <w:r w:rsidRPr="630A493F">
              <w:rPr>
                <w:rFonts w:ascii="Calibri" w:hAnsi="Calibri" w:eastAsia="Calibri" w:cs="Calibri"/>
                <w:sz w:val="12"/>
                <w:szCs w:val="12"/>
              </w:rPr>
              <w:t>Process could be seen as informal so parties may not take it seriously</w:t>
            </w:r>
          </w:p>
          <w:p w:rsidRPr="00F1435E" w:rsidR="388BF078" w:rsidP="2E7E2B62" w:rsidRDefault="388BF078" w14:paraId="6BB72A1A" w14:textId="0BD1DD9A">
            <w:pPr>
              <w:pStyle w:val="ListParagraph"/>
              <w:numPr>
                <w:ilvl w:val="0"/>
                <w:numId w:val="13"/>
              </w:numPr>
              <w:spacing w:line="259" w:lineRule="auto"/>
              <w:rPr>
                <w:rFonts w:ascii="Calibri" w:hAnsi="Calibri" w:eastAsia="Calibri" w:cs="Calibri"/>
                <w:sz w:val="12"/>
                <w:szCs w:val="12"/>
              </w:rPr>
            </w:pPr>
            <w:r w:rsidRPr="630A493F">
              <w:rPr>
                <w:rFonts w:ascii="Calibri" w:hAnsi="Calibri" w:eastAsia="Calibri" w:cs="Calibri"/>
                <w:sz w:val="12"/>
                <w:szCs w:val="12"/>
              </w:rPr>
              <w:t xml:space="preserve">Unable to appeal </w:t>
            </w:r>
          </w:p>
          <w:p w:rsidRPr="00F1435E" w:rsidR="388BF078" w:rsidP="2E7E2B62" w:rsidRDefault="388BF078" w14:paraId="607BC4B7" w14:textId="3B97760B">
            <w:pPr>
              <w:pStyle w:val="ListParagraph"/>
              <w:numPr>
                <w:ilvl w:val="0"/>
                <w:numId w:val="13"/>
              </w:numPr>
              <w:spacing w:line="259" w:lineRule="auto"/>
              <w:rPr>
                <w:rFonts w:ascii="Calibri" w:hAnsi="Calibri" w:eastAsia="Calibri" w:cs="Calibri"/>
                <w:sz w:val="12"/>
                <w:szCs w:val="12"/>
              </w:rPr>
            </w:pPr>
            <w:r w:rsidRPr="630A493F">
              <w:rPr>
                <w:rFonts w:ascii="Calibri" w:hAnsi="Calibri" w:eastAsia="Calibri" w:cs="Calibri"/>
                <w:sz w:val="12"/>
                <w:szCs w:val="12"/>
              </w:rPr>
              <w:t>No legal aid</w:t>
            </w:r>
          </w:p>
        </w:tc>
      </w:tr>
    </w:tbl>
    <w:p w:rsidR="44BCA031" w:rsidP="65357DB9" w:rsidRDefault="44BCA031" w14:paraId="187EC27C" w14:textId="1D2EB3C1">
      <w:pPr>
        <w:rPr>
          <w:rFonts w:ascii="Calibri" w:hAnsi="Calibri" w:eastAsia="Calibri" w:cs="Calibri"/>
          <w:b/>
          <w:bCs/>
          <w:color w:val="000000" w:themeColor="text1"/>
          <w:sz w:val="20"/>
          <w:szCs w:val="20"/>
          <w:u w:val="single"/>
        </w:rPr>
      </w:pPr>
    </w:p>
    <w:p w:rsidR="44BCA031" w:rsidP="630A493F" w:rsidRDefault="648F76D5" w14:paraId="2AF703C4" w14:textId="2D1138AD">
      <w:pPr>
        <w:rPr>
          <w:rFonts w:ascii="Calibri" w:hAnsi="Calibri" w:eastAsia="Calibri" w:cs="Calibri"/>
          <w:color w:val="000000" w:themeColor="text1"/>
          <w:sz w:val="20"/>
          <w:szCs w:val="20"/>
        </w:rPr>
      </w:pPr>
      <w:r w:rsidRPr="630A493F">
        <w:rPr>
          <w:rFonts w:ascii="Calibri" w:hAnsi="Calibri" w:eastAsia="Calibri" w:cs="Calibri"/>
          <w:b/>
          <w:bCs/>
          <w:color w:val="000000" w:themeColor="text1"/>
          <w:sz w:val="20"/>
          <w:szCs w:val="20"/>
          <w:u w:val="single"/>
        </w:rPr>
        <w:t xml:space="preserve">AC 3.1 </w:t>
      </w:r>
      <w:r w:rsidRPr="630A493F">
        <w:rPr>
          <w:rFonts w:ascii="Calibri" w:hAnsi="Calibri" w:eastAsia="Calibri" w:cs="Calibri"/>
          <w:color w:val="000000" w:themeColor="text1"/>
          <w:sz w:val="20"/>
          <w:szCs w:val="20"/>
          <w:u w:val="single"/>
        </w:rPr>
        <w:t>Explain the principles of legislation relating to unfair dismissal in respect of capability and misconduct issues.2</w:t>
      </w:r>
      <w:r w:rsidRPr="630A493F" w:rsidR="349229C6">
        <w:rPr>
          <w:rFonts w:ascii="Calibri" w:hAnsi="Calibri" w:eastAsia="Calibri" w:cs="Calibri"/>
          <w:color w:val="000000" w:themeColor="text1"/>
          <w:sz w:val="20"/>
          <w:szCs w:val="20"/>
          <w:u w:val="single"/>
        </w:rPr>
        <w:t>24</w:t>
      </w:r>
    </w:p>
    <w:p w:rsidR="44BCA031" w:rsidP="2E7E2B62" w:rsidRDefault="648F76D5" w14:paraId="28606C55" w14:textId="518B1A81">
      <w:pPr>
        <w:rPr>
          <w:rFonts w:ascii="Calibri" w:hAnsi="Calibri" w:eastAsia="Calibri" w:cs="Calibri"/>
          <w:color w:val="000000" w:themeColor="text1"/>
          <w:sz w:val="20"/>
          <w:szCs w:val="20"/>
        </w:rPr>
      </w:pPr>
      <w:r w:rsidRPr="630A493F">
        <w:rPr>
          <w:rFonts w:ascii="Calibri" w:hAnsi="Calibri" w:eastAsia="Calibri" w:cs="Calibri"/>
          <w:color w:val="000000" w:themeColor="text1"/>
          <w:sz w:val="20"/>
          <w:szCs w:val="20"/>
        </w:rPr>
        <w:t xml:space="preserve">Statutory protections against unfair dismissal apply to employees. The Employment Rights Act of 1996 governs unfair dismissal </w:t>
      </w:r>
      <w:r w:rsidRPr="630A493F">
        <w:rPr>
          <w:rFonts w:ascii="Calibri" w:hAnsi="Calibri" w:eastAsia="Calibri" w:cs="Calibri"/>
          <w:color w:val="FF0000"/>
          <w:sz w:val="20"/>
          <w:szCs w:val="20"/>
        </w:rPr>
        <w:t xml:space="preserve">in </w:t>
      </w:r>
      <w:r w:rsidRPr="630A493F" w:rsidR="00444403">
        <w:rPr>
          <w:rFonts w:ascii="Calibri" w:hAnsi="Calibri" w:eastAsia="Calibri" w:cs="Calibri"/>
          <w:color w:val="FF0000"/>
          <w:sz w:val="20"/>
          <w:szCs w:val="20"/>
        </w:rPr>
        <w:t>England, Scotland &amp; Wales</w:t>
      </w:r>
      <w:r w:rsidRPr="630A493F">
        <w:rPr>
          <w:rFonts w:ascii="Calibri" w:hAnsi="Calibri" w:eastAsia="Calibri" w:cs="Calibri"/>
          <w:color w:val="FF0000"/>
          <w:sz w:val="20"/>
          <w:szCs w:val="20"/>
        </w:rPr>
        <w:t xml:space="preserve"> </w:t>
      </w:r>
      <w:r w:rsidRPr="630A493F">
        <w:rPr>
          <w:rFonts w:ascii="Calibri" w:hAnsi="Calibri" w:eastAsia="Calibri" w:cs="Calibri"/>
          <w:color w:val="000000" w:themeColor="text1"/>
          <w:sz w:val="20"/>
          <w:szCs w:val="20"/>
        </w:rPr>
        <w:t xml:space="preserve">(UK 1996). To effectively defend an unfair dismissal claim, the employer must show that the dismissal was fair and </w:t>
      </w:r>
      <w:r w:rsidRPr="630A493F" w:rsidR="00DB4911">
        <w:rPr>
          <w:rFonts w:ascii="Calibri" w:hAnsi="Calibri" w:eastAsia="Calibri" w:cs="Calibri"/>
          <w:color w:val="000000" w:themeColor="text1"/>
          <w:sz w:val="20"/>
          <w:szCs w:val="20"/>
        </w:rPr>
        <w:t>managed</w:t>
      </w:r>
      <w:r w:rsidRPr="630A493F">
        <w:rPr>
          <w:rFonts w:ascii="Calibri" w:hAnsi="Calibri" w:eastAsia="Calibri" w:cs="Calibri"/>
          <w:color w:val="000000" w:themeColor="text1"/>
          <w:sz w:val="20"/>
          <w:szCs w:val="20"/>
        </w:rPr>
        <w:t xml:space="preserve"> correctly. </w:t>
      </w:r>
      <w:r w:rsidRPr="630A493F">
        <w:rPr>
          <w:rFonts w:ascii="Calibri" w:hAnsi="Calibri" w:eastAsia="Calibri" w:cs="Calibri"/>
          <w:b/>
          <w:bCs/>
          <w:color w:val="000000" w:themeColor="text1"/>
          <w:sz w:val="20"/>
          <w:szCs w:val="20"/>
        </w:rPr>
        <w:t>(Suff, R. 2022)</w:t>
      </w:r>
    </w:p>
    <w:p w:rsidR="44BCA031" w:rsidP="2E7E2B62" w:rsidRDefault="648F76D5" w14:paraId="29ED6808" w14:textId="32F10143">
      <w:pPr>
        <w:rPr>
          <w:rFonts w:ascii="Calibri" w:hAnsi="Calibri" w:eastAsia="Calibri" w:cs="Calibri"/>
          <w:b/>
          <w:bCs/>
          <w:color w:val="000000" w:themeColor="text1"/>
          <w:sz w:val="20"/>
          <w:szCs w:val="20"/>
        </w:rPr>
      </w:pPr>
      <w:r w:rsidRPr="630A493F">
        <w:rPr>
          <w:rFonts w:ascii="Calibri" w:hAnsi="Calibri" w:eastAsia="Calibri" w:cs="Calibri"/>
          <w:color w:val="000000" w:themeColor="text1"/>
          <w:sz w:val="20"/>
          <w:szCs w:val="20"/>
        </w:rPr>
        <w:lastRenderedPageBreak/>
        <w:t xml:space="preserve">If an employee cannot perform their work anymore, they may be dismissed based on capability. Capability difficulties, which arise when a person is unable to perform their job due to illness or a disability and adaptations or </w:t>
      </w:r>
      <w:r w:rsidRPr="630A493F" w:rsidR="519B961A">
        <w:rPr>
          <w:rFonts w:ascii="Calibri" w:hAnsi="Calibri" w:eastAsia="Calibri" w:cs="Calibri"/>
          <w:color w:val="000000" w:themeColor="text1"/>
          <w:sz w:val="20"/>
          <w:szCs w:val="20"/>
        </w:rPr>
        <w:t>help</w:t>
      </w:r>
      <w:r w:rsidRPr="630A493F">
        <w:rPr>
          <w:rFonts w:ascii="Calibri" w:hAnsi="Calibri" w:eastAsia="Calibri" w:cs="Calibri"/>
          <w:color w:val="000000" w:themeColor="text1"/>
          <w:sz w:val="20"/>
          <w:szCs w:val="20"/>
        </w:rPr>
        <w:t xml:space="preserve"> have not been successful, are beyond the control of the individual. </w:t>
      </w:r>
      <w:r w:rsidRPr="630A493F">
        <w:rPr>
          <w:rFonts w:ascii="Calibri" w:hAnsi="Calibri" w:eastAsia="Calibri" w:cs="Calibri"/>
          <w:b/>
          <w:bCs/>
          <w:color w:val="000000" w:themeColor="text1"/>
          <w:sz w:val="20"/>
          <w:szCs w:val="20"/>
        </w:rPr>
        <w:t>(ACAS 2022)</w:t>
      </w:r>
    </w:p>
    <w:p w:rsidRPr="00300EF0" w:rsidR="00F90325" w:rsidP="2E7E2B62" w:rsidRDefault="00126CE6" w14:paraId="059DB746" w14:textId="39740744">
      <w:pPr>
        <w:rPr>
          <w:rFonts w:ascii="Calibri" w:hAnsi="Calibri" w:eastAsia="Calibri" w:cs="Calibri"/>
          <w:color w:val="FF0000"/>
          <w:sz w:val="20"/>
          <w:szCs w:val="20"/>
        </w:rPr>
      </w:pPr>
      <w:r w:rsidRPr="630A493F">
        <w:rPr>
          <w:rFonts w:ascii="Calibri" w:hAnsi="Calibri" w:eastAsia="Calibri" w:cs="Calibri"/>
          <w:color w:val="FF0000"/>
          <w:sz w:val="20"/>
          <w:szCs w:val="20"/>
        </w:rPr>
        <w:t xml:space="preserve">Conduct is classified into two categories: gross misconduct and misbehaviour, both of which might result in dismissal. It </w:t>
      </w:r>
      <w:r w:rsidRPr="630A493F" w:rsidR="00F9560B">
        <w:rPr>
          <w:rFonts w:ascii="Calibri" w:hAnsi="Calibri" w:eastAsia="Calibri" w:cs="Calibri"/>
          <w:color w:val="FF0000"/>
          <w:sz w:val="20"/>
          <w:szCs w:val="20"/>
        </w:rPr>
        <w:t>must</w:t>
      </w:r>
      <w:r w:rsidRPr="630A493F">
        <w:rPr>
          <w:rFonts w:ascii="Calibri" w:hAnsi="Calibri" w:eastAsia="Calibri" w:cs="Calibri"/>
          <w:color w:val="FF0000"/>
          <w:sz w:val="20"/>
          <w:szCs w:val="20"/>
        </w:rPr>
        <w:t xml:space="preserve"> be thoroughly investigated, with a reasonable belief that the act was committed and a course of action taken.</w:t>
      </w:r>
      <w:r w:rsidRPr="630A493F" w:rsidR="003E66D1">
        <w:rPr>
          <w:rFonts w:ascii="Calibri" w:hAnsi="Calibri" w:eastAsia="Calibri" w:cs="Calibri"/>
          <w:color w:val="FF0000"/>
          <w:sz w:val="20"/>
          <w:szCs w:val="20"/>
        </w:rPr>
        <w:t xml:space="preserve"> This is referred to as</w:t>
      </w:r>
      <w:r w:rsidRPr="630A493F" w:rsidR="00DB5DA8">
        <w:rPr>
          <w:rFonts w:ascii="Calibri" w:hAnsi="Calibri" w:eastAsia="Calibri" w:cs="Calibri"/>
          <w:color w:val="FF0000"/>
          <w:sz w:val="20"/>
          <w:szCs w:val="20"/>
        </w:rPr>
        <w:t xml:space="preserve"> acting within the ‘range of reasonable </w:t>
      </w:r>
      <w:r w:rsidRPr="630A493F" w:rsidR="0052507F">
        <w:rPr>
          <w:rFonts w:ascii="Calibri" w:hAnsi="Calibri" w:eastAsia="Calibri" w:cs="Calibri"/>
          <w:color w:val="FF0000"/>
          <w:sz w:val="20"/>
          <w:szCs w:val="20"/>
        </w:rPr>
        <w:t>responses</w:t>
      </w:r>
      <w:r w:rsidRPr="630A493F" w:rsidR="00300EF0">
        <w:rPr>
          <w:rFonts w:ascii="Calibri" w:hAnsi="Calibri" w:eastAsia="Calibri" w:cs="Calibri"/>
          <w:color w:val="FF0000"/>
          <w:sz w:val="20"/>
          <w:szCs w:val="20"/>
        </w:rPr>
        <w:t>.</w:t>
      </w:r>
      <w:r w:rsidRPr="630A493F" w:rsidR="00300EF0">
        <w:rPr>
          <w:rFonts w:ascii="Calibri" w:hAnsi="Calibri" w:eastAsia="Calibri" w:cs="Calibri"/>
          <w:b/>
          <w:bCs/>
          <w:color w:val="FF0000"/>
          <w:sz w:val="20"/>
          <w:szCs w:val="20"/>
        </w:rPr>
        <w:t xml:space="preserve"> (</w:t>
      </w:r>
      <w:r w:rsidRPr="630A493F">
        <w:rPr>
          <w:rFonts w:ascii="Calibri" w:hAnsi="Calibri" w:eastAsia="Calibri" w:cs="Calibri"/>
          <w:b/>
          <w:bCs/>
          <w:color w:val="FF0000"/>
          <w:sz w:val="20"/>
          <w:szCs w:val="20"/>
        </w:rPr>
        <w:t>Daniels, K</w:t>
      </w:r>
      <w:r w:rsidRPr="630A493F" w:rsidR="00300EF0">
        <w:rPr>
          <w:rFonts w:ascii="Calibri" w:hAnsi="Calibri" w:eastAsia="Calibri" w:cs="Calibri"/>
          <w:b/>
          <w:bCs/>
          <w:color w:val="FF0000"/>
          <w:sz w:val="20"/>
          <w:szCs w:val="20"/>
        </w:rPr>
        <w:t xml:space="preserve"> 2022</w:t>
      </w:r>
      <w:r w:rsidRPr="630A493F">
        <w:rPr>
          <w:rFonts w:ascii="Calibri" w:hAnsi="Calibri" w:eastAsia="Calibri" w:cs="Calibri"/>
          <w:b/>
          <w:bCs/>
          <w:color w:val="FF0000"/>
          <w:sz w:val="20"/>
          <w:szCs w:val="20"/>
        </w:rPr>
        <w:t>)</w:t>
      </w:r>
    </w:p>
    <w:p w:rsidRPr="003156F3" w:rsidR="00450D62" w:rsidP="003156F3" w:rsidRDefault="648F76D5" w14:paraId="567CBD88" w14:textId="2C2487F1">
      <w:pPr>
        <w:spacing w:after="375"/>
        <w:rPr>
          <w:rFonts w:ascii="Calibri" w:hAnsi="Calibri" w:eastAsia="Calibri" w:cs="Calibri"/>
          <w:b/>
          <w:bCs/>
          <w:color w:val="000000" w:themeColor="text1"/>
          <w:sz w:val="20"/>
          <w:szCs w:val="20"/>
        </w:rPr>
      </w:pPr>
      <w:r w:rsidRPr="630A493F">
        <w:rPr>
          <w:rFonts w:ascii="Calibri" w:hAnsi="Calibri" w:eastAsia="Calibri" w:cs="Calibri"/>
          <w:color w:val="000000" w:themeColor="text1"/>
          <w:sz w:val="20"/>
          <w:szCs w:val="20"/>
        </w:rPr>
        <w:t xml:space="preserve">The Acas Code of Practice on disciplinary and grievance procedures is the minimal standard that Go Quest must adhere to, to conduct a comprehensive and fair procedure for any discipline or grievance case </w:t>
      </w:r>
      <w:r w:rsidRPr="630A493F">
        <w:rPr>
          <w:rFonts w:ascii="Calibri" w:hAnsi="Calibri" w:eastAsia="Calibri" w:cs="Calibri"/>
          <w:b/>
          <w:bCs/>
          <w:color w:val="000000" w:themeColor="text1"/>
          <w:sz w:val="20"/>
          <w:szCs w:val="20"/>
        </w:rPr>
        <w:t xml:space="preserve">(ACAS 2015). </w:t>
      </w:r>
      <w:r w:rsidRPr="630A493F">
        <w:rPr>
          <w:rFonts w:ascii="Calibri" w:hAnsi="Calibri" w:eastAsia="Calibri" w:cs="Calibri"/>
          <w:color w:val="000000" w:themeColor="text1"/>
          <w:sz w:val="20"/>
          <w:szCs w:val="20"/>
        </w:rPr>
        <w:t xml:space="preserve">If the case goes before an employment tribunal, the steps the employer takes, and the behaviour of the employee will be taken into consideration. Anyone lawfully classified as an employee is subject to the Acas Code of Practice </w:t>
      </w:r>
      <w:r w:rsidRPr="630A493F">
        <w:rPr>
          <w:rFonts w:ascii="Calibri" w:hAnsi="Calibri" w:eastAsia="Calibri" w:cs="Calibri"/>
          <w:b/>
          <w:bCs/>
          <w:color w:val="000000" w:themeColor="text1"/>
          <w:sz w:val="20"/>
          <w:szCs w:val="20"/>
        </w:rPr>
        <w:t>(ACAS 2020).</w:t>
      </w:r>
    </w:p>
    <w:p w:rsidR="44BCA031" w:rsidP="2E7E2B62" w:rsidRDefault="648F76D5" w14:paraId="1CB3A8D9" w14:textId="1CE92A41">
      <w:pPr>
        <w:rPr>
          <w:rFonts w:ascii="Calibri" w:hAnsi="Calibri" w:eastAsia="Calibri" w:cs="Calibri"/>
          <w:color w:val="000000" w:themeColor="text1"/>
          <w:sz w:val="20"/>
          <w:szCs w:val="20"/>
          <w:u w:val="single"/>
        </w:rPr>
      </w:pPr>
      <w:r w:rsidRPr="630A493F">
        <w:rPr>
          <w:rFonts w:ascii="Calibri" w:hAnsi="Calibri" w:eastAsia="Calibri" w:cs="Calibri"/>
          <w:b/>
          <w:bCs/>
          <w:color w:val="000000" w:themeColor="text1"/>
          <w:sz w:val="20"/>
          <w:szCs w:val="20"/>
          <w:u w:val="single"/>
        </w:rPr>
        <w:t xml:space="preserve">AC 3.2 </w:t>
      </w:r>
      <w:r w:rsidRPr="630A493F">
        <w:rPr>
          <w:rFonts w:ascii="Calibri" w:hAnsi="Calibri" w:eastAsia="Calibri" w:cs="Calibri"/>
          <w:color w:val="000000" w:themeColor="text1"/>
          <w:sz w:val="20"/>
          <w:szCs w:val="20"/>
          <w:u w:val="single"/>
        </w:rPr>
        <w:t>Analyse key causes of employee grievances.</w:t>
      </w:r>
      <w:r w:rsidRPr="630A493F" w:rsidR="00455F68">
        <w:rPr>
          <w:rFonts w:ascii="Calibri" w:hAnsi="Calibri" w:eastAsia="Calibri" w:cs="Calibri"/>
          <w:color w:val="000000" w:themeColor="text1"/>
          <w:sz w:val="20"/>
          <w:szCs w:val="20"/>
          <w:u w:val="single"/>
        </w:rPr>
        <w:t>237</w:t>
      </w:r>
    </w:p>
    <w:p w:rsidRPr="00455F68" w:rsidR="44BCA031" w:rsidP="2E7E2B62" w:rsidRDefault="648F76D5" w14:paraId="52FB232A" w14:textId="1FA224E3">
      <w:pPr>
        <w:spacing w:before="300" w:after="300"/>
        <w:rPr>
          <w:rFonts w:ascii="Calibri" w:hAnsi="Calibri" w:eastAsia="Calibri" w:cs="Calibri"/>
          <w:b/>
          <w:bCs/>
          <w:color w:val="FF0000"/>
          <w:sz w:val="20"/>
          <w:szCs w:val="20"/>
          <w:lang w:val="en-US"/>
        </w:rPr>
      </w:pPr>
      <w:r w:rsidRPr="630A493F">
        <w:rPr>
          <w:rFonts w:ascii="Calibri" w:hAnsi="Calibri" w:eastAsia="Calibri" w:cs="Calibri"/>
          <w:color w:val="000000" w:themeColor="text1"/>
          <w:sz w:val="20"/>
          <w:szCs w:val="20"/>
        </w:rPr>
        <w:t>A grievance is a complaint made by an employee to their employer, which requires the employer to take further action.</w:t>
      </w:r>
      <w:r w:rsidRPr="630A493F" w:rsidR="4B05CEEB">
        <w:rPr>
          <w:rFonts w:ascii="Calibri" w:hAnsi="Calibri" w:eastAsia="Calibri" w:cs="Calibri"/>
          <w:color w:val="000000" w:themeColor="text1"/>
          <w:sz w:val="20"/>
          <w:szCs w:val="20"/>
        </w:rPr>
        <w:t xml:space="preserve"> It is a disagreement at work that a person has brought up with their employer, and if possible, informal solutions should be </w:t>
      </w:r>
      <w:r w:rsidRPr="630A493F" w:rsidR="09AAB41D">
        <w:rPr>
          <w:rFonts w:ascii="Calibri" w:hAnsi="Calibri" w:eastAsia="Calibri" w:cs="Calibri"/>
          <w:color w:val="000000" w:themeColor="text1"/>
          <w:sz w:val="20"/>
          <w:szCs w:val="20"/>
        </w:rPr>
        <w:t>looked for</w:t>
      </w:r>
      <w:r w:rsidRPr="630A493F" w:rsidR="4B05CEEB">
        <w:rPr>
          <w:rFonts w:ascii="Calibri" w:hAnsi="Calibri" w:eastAsia="Calibri" w:cs="Calibri"/>
          <w:color w:val="000000" w:themeColor="text1"/>
          <w:sz w:val="20"/>
          <w:szCs w:val="20"/>
        </w:rPr>
        <w:t xml:space="preserve"> before formal ones</w:t>
      </w:r>
      <w:r w:rsidRPr="630A493F">
        <w:rPr>
          <w:rFonts w:ascii="Calibri" w:hAnsi="Calibri" w:eastAsia="Calibri" w:cs="Calibri"/>
          <w:color w:val="000000" w:themeColor="text1"/>
          <w:sz w:val="20"/>
          <w:szCs w:val="20"/>
        </w:rPr>
        <w:t>. Grievances typically cover pay and working conditions, terms of employment and workplace rules, disagreements with co-workers, allegations of unfair treatment at work.</w:t>
      </w:r>
      <w:r w:rsidRPr="630A493F">
        <w:rPr>
          <w:rFonts w:ascii="Calibri" w:hAnsi="Calibri" w:eastAsia="Calibri" w:cs="Calibri"/>
          <w:b/>
          <w:bCs/>
          <w:color w:val="000000" w:themeColor="text1"/>
          <w:sz w:val="20"/>
          <w:szCs w:val="20"/>
        </w:rPr>
        <w:t xml:space="preserve"> (UNISON</w:t>
      </w:r>
      <w:r w:rsidRPr="630A493F" w:rsidR="007B0905">
        <w:rPr>
          <w:rFonts w:ascii="Calibri" w:hAnsi="Calibri" w:eastAsia="Calibri" w:cs="Calibri"/>
          <w:b/>
          <w:bCs/>
          <w:color w:val="000000" w:themeColor="text1"/>
          <w:sz w:val="20"/>
          <w:szCs w:val="20"/>
        </w:rPr>
        <w:t xml:space="preserve"> </w:t>
      </w:r>
      <w:r w:rsidRPr="630A493F" w:rsidR="008A7BB8">
        <w:rPr>
          <w:rFonts w:ascii="Calibri" w:hAnsi="Calibri" w:eastAsia="Calibri" w:cs="Calibri"/>
          <w:b/>
          <w:bCs/>
          <w:color w:val="FF0000"/>
          <w:sz w:val="20"/>
          <w:szCs w:val="20"/>
        </w:rPr>
        <w:t>Nd</w:t>
      </w:r>
      <w:r w:rsidRPr="630A493F">
        <w:rPr>
          <w:rFonts w:ascii="Calibri" w:hAnsi="Calibri" w:eastAsia="Calibri" w:cs="Calibri"/>
          <w:b/>
          <w:bCs/>
          <w:color w:val="000000" w:themeColor="text1"/>
          <w:sz w:val="20"/>
          <w:szCs w:val="20"/>
        </w:rPr>
        <w:t>)</w:t>
      </w:r>
      <w:r w:rsidRPr="630A493F" w:rsidR="00B06EBE">
        <w:rPr>
          <w:rFonts w:ascii="Calibri" w:hAnsi="Calibri" w:eastAsia="Calibri" w:cs="Calibri"/>
          <w:b/>
          <w:bCs/>
          <w:color w:val="000000" w:themeColor="text1"/>
          <w:sz w:val="20"/>
          <w:szCs w:val="20"/>
        </w:rPr>
        <w:t xml:space="preserve">. </w:t>
      </w:r>
      <w:r w:rsidRPr="630A493F" w:rsidR="00F23346">
        <w:rPr>
          <w:rFonts w:ascii="Calibri" w:hAnsi="Calibri" w:eastAsia="Calibri" w:cs="Calibri"/>
          <w:color w:val="FF0000"/>
          <w:sz w:val="20"/>
          <w:szCs w:val="20"/>
        </w:rPr>
        <w:t xml:space="preserve">A collective grievance occurs when several persons have the same problem at the same time. If a dispute involves more than one person, it should be resolved in accordance with the organisation's collective grievance </w:t>
      </w:r>
      <w:r w:rsidRPr="630A493F" w:rsidR="00455F68">
        <w:rPr>
          <w:rFonts w:ascii="Calibri" w:hAnsi="Calibri" w:eastAsia="Calibri" w:cs="Calibri"/>
          <w:color w:val="FF0000"/>
          <w:sz w:val="20"/>
          <w:szCs w:val="20"/>
        </w:rPr>
        <w:t>procedure if</w:t>
      </w:r>
      <w:r w:rsidRPr="630A493F" w:rsidR="00F23346">
        <w:rPr>
          <w:rFonts w:ascii="Calibri" w:hAnsi="Calibri" w:eastAsia="Calibri" w:cs="Calibri"/>
          <w:color w:val="FF0000"/>
          <w:sz w:val="20"/>
          <w:szCs w:val="20"/>
        </w:rPr>
        <w:t xml:space="preserve"> one exists</w:t>
      </w:r>
      <w:r w:rsidRPr="630A493F" w:rsidR="00F23346">
        <w:rPr>
          <w:rFonts w:ascii="Calibri" w:hAnsi="Calibri" w:eastAsia="Calibri" w:cs="Calibri"/>
          <w:color w:val="000000" w:themeColor="text1"/>
          <w:sz w:val="20"/>
          <w:szCs w:val="20"/>
        </w:rPr>
        <w:t>.</w:t>
      </w:r>
      <w:r w:rsidRPr="630A493F" w:rsidR="004429F6">
        <w:rPr>
          <w:rFonts w:ascii="Calibri" w:hAnsi="Calibri" w:eastAsia="Calibri" w:cs="Calibri"/>
          <w:color w:val="000000" w:themeColor="text1"/>
          <w:sz w:val="20"/>
          <w:szCs w:val="20"/>
        </w:rPr>
        <w:t xml:space="preserve"> </w:t>
      </w:r>
      <w:r w:rsidRPr="630A493F" w:rsidR="004429F6">
        <w:rPr>
          <w:rFonts w:ascii="Calibri" w:hAnsi="Calibri" w:eastAsia="Calibri" w:cs="Calibri"/>
          <w:b/>
          <w:bCs/>
          <w:color w:val="FF0000"/>
          <w:sz w:val="20"/>
          <w:szCs w:val="20"/>
        </w:rPr>
        <w:t>(ACAS 202</w:t>
      </w:r>
      <w:r w:rsidRPr="630A493F" w:rsidR="00455F68">
        <w:rPr>
          <w:rFonts w:ascii="Calibri" w:hAnsi="Calibri" w:eastAsia="Calibri" w:cs="Calibri"/>
          <w:b/>
          <w:bCs/>
          <w:color w:val="FF0000"/>
          <w:sz w:val="20"/>
          <w:szCs w:val="20"/>
        </w:rPr>
        <w:t>0</w:t>
      </w:r>
      <w:r w:rsidRPr="630A493F" w:rsidR="004429F6">
        <w:rPr>
          <w:rFonts w:ascii="Calibri" w:hAnsi="Calibri" w:eastAsia="Calibri" w:cs="Calibri"/>
          <w:b/>
          <w:bCs/>
          <w:color w:val="FF0000"/>
          <w:sz w:val="20"/>
          <w:szCs w:val="20"/>
        </w:rPr>
        <w:t>)</w:t>
      </w:r>
    </w:p>
    <w:p w:rsidR="44BCA031" w:rsidP="2E7E2B62" w:rsidRDefault="648F76D5" w14:paraId="35738906" w14:textId="0C69E65D">
      <w:pPr>
        <w:spacing w:after="255"/>
        <w:rPr>
          <w:rFonts w:ascii="Calibri" w:hAnsi="Calibri" w:eastAsia="Calibri" w:cs="Calibri"/>
          <w:color w:val="000000" w:themeColor="text1"/>
          <w:sz w:val="20"/>
          <w:szCs w:val="20"/>
          <w:lang w:val="en-US"/>
        </w:rPr>
      </w:pPr>
      <w:r w:rsidRPr="630A493F">
        <w:rPr>
          <w:rFonts w:ascii="Calibri" w:hAnsi="Calibri" w:eastAsia="Calibri" w:cs="Calibri"/>
          <w:color w:val="000000" w:themeColor="text1"/>
          <w:sz w:val="20"/>
          <w:szCs w:val="20"/>
        </w:rPr>
        <w:t>Employee complaints have increased for employers over the past two years, according to a report by Personnel Today, with relationships with managers or co</w:t>
      </w:r>
      <w:r w:rsidRPr="630A493F" w:rsidR="005049D6">
        <w:rPr>
          <w:rFonts w:ascii="Calibri" w:hAnsi="Calibri" w:eastAsia="Calibri" w:cs="Calibri"/>
          <w:color w:val="000000" w:themeColor="text1"/>
          <w:sz w:val="20"/>
          <w:szCs w:val="20"/>
        </w:rPr>
        <w:t>lleagues</w:t>
      </w:r>
      <w:r w:rsidRPr="630A493F">
        <w:rPr>
          <w:rFonts w:ascii="Calibri" w:hAnsi="Calibri" w:eastAsia="Calibri" w:cs="Calibri"/>
          <w:color w:val="000000" w:themeColor="text1"/>
          <w:sz w:val="20"/>
          <w:szCs w:val="20"/>
        </w:rPr>
        <w:t xml:space="preserve"> and payment being the most prominent causes. The top three causes of employee complaints are bullying or harassment (67%), relationships with managers (54%), and relationships with coworkers (49%). The main cause of complaints, according to 37% of respondents, was payment and grading. Others claimed a lack of training had left managers unprepared to </w:t>
      </w:r>
      <w:r w:rsidRPr="630A493F" w:rsidR="002328F3">
        <w:rPr>
          <w:rFonts w:ascii="Calibri" w:hAnsi="Calibri" w:eastAsia="Calibri" w:cs="Calibri"/>
          <w:color w:val="000000" w:themeColor="text1"/>
          <w:sz w:val="20"/>
          <w:szCs w:val="20"/>
        </w:rPr>
        <w:t>manage</w:t>
      </w:r>
      <w:r w:rsidRPr="630A493F">
        <w:rPr>
          <w:rFonts w:ascii="Calibri" w:hAnsi="Calibri" w:eastAsia="Calibri" w:cs="Calibri"/>
          <w:color w:val="000000" w:themeColor="text1"/>
          <w:sz w:val="20"/>
          <w:szCs w:val="20"/>
        </w:rPr>
        <w:t xml:space="preserve"> complaints, while some claimed supervisors did not want to be perceived as the "bad guy."</w:t>
      </w:r>
      <w:r w:rsidRPr="630A493F">
        <w:rPr>
          <w:rFonts w:ascii="Calibri" w:hAnsi="Calibri" w:eastAsia="Calibri" w:cs="Calibri"/>
          <w:b/>
          <w:bCs/>
          <w:color w:val="000000" w:themeColor="text1"/>
          <w:sz w:val="20"/>
          <w:szCs w:val="20"/>
        </w:rPr>
        <w:t xml:space="preserve"> (Webber, A. 2023)</w:t>
      </w:r>
    </w:p>
    <w:p w:rsidR="44BCA031" w:rsidP="2E7E2B62" w:rsidRDefault="648F76D5" w14:paraId="1914622B" w14:textId="29C3FDBF">
      <w:pPr>
        <w:spacing w:after="255"/>
        <w:rPr>
          <w:rFonts w:ascii="Calibri" w:hAnsi="Calibri" w:eastAsia="Calibri" w:cs="Calibri"/>
          <w:b/>
          <w:bCs/>
          <w:color w:val="000000" w:themeColor="text1"/>
          <w:sz w:val="20"/>
          <w:szCs w:val="20"/>
        </w:rPr>
      </w:pPr>
      <w:r w:rsidRPr="630A493F">
        <w:rPr>
          <w:rFonts w:ascii="Calibri" w:hAnsi="Calibri" w:eastAsia="Calibri" w:cs="Calibri"/>
          <w:color w:val="000000" w:themeColor="text1"/>
          <w:sz w:val="20"/>
          <w:szCs w:val="20"/>
        </w:rPr>
        <w:t>Go Quest must ensure management are aware of the grievance system and treat all employee complaints fairly. When handling complaints of harassment</w:t>
      </w:r>
      <w:r w:rsidRPr="630A493F" w:rsidR="002328F3">
        <w:rPr>
          <w:rFonts w:ascii="Calibri" w:hAnsi="Calibri" w:eastAsia="Calibri" w:cs="Calibri"/>
          <w:color w:val="000000" w:themeColor="text1"/>
          <w:sz w:val="20"/>
          <w:szCs w:val="20"/>
        </w:rPr>
        <w:t xml:space="preserve"> </w:t>
      </w:r>
      <w:r w:rsidRPr="630A493F">
        <w:rPr>
          <w:rFonts w:ascii="Calibri" w:hAnsi="Calibri" w:eastAsia="Calibri" w:cs="Calibri"/>
          <w:color w:val="000000" w:themeColor="text1"/>
          <w:sz w:val="20"/>
          <w:szCs w:val="20"/>
        </w:rPr>
        <w:t>extra considerations come into play</w:t>
      </w:r>
      <w:r w:rsidRPr="630A493F">
        <w:rPr>
          <w:rFonts w:ascii="Calibri" w:hAnsi="Calibri" w:eastAsia="Calibri" w:cs="Calibri"/>
          <w:b/>
          <w:bCs/>
          <w:color w:val="000000" w:themeColor="text1"/>
          <w:sz w:val="20"/>
          <w:szCs w:val="20"/>
        </w:rPr>
        <w:t>. (Suff, R. 2022)</w:t>
      </w:r>
    </w:p>
    <w:p w:rsidR="44BCA031" w:rsidP="2E7E2B62" w:rsidRDefault="648F76D5" w14:paraId="5253BB2B" w14:textId="5C37BB44">
      <w:pPr>
        <w:rPr>
          <w:rFonts w:ascii="Calibri" w:hAnsi="Calibri" w:eastAsia="Calibri" w:cs="Calibri"/>
          <w:color w:val="000000" w:themeColor="text1"/>
          <w:sz w:val="20"/>
          <w:szCs w:val="20"/>
          <w:highlight w:val="yellow"/>
        </w:rPr>
      </w:pPr>
      <w:r w:rsidRPr="630A493F">
        <w:rPr>
          <w:rFonts w:ascii="Calibri" w:hAnsi="Calibri" w:eastAsia="Calibri" w:cs="Calibri"/>
          <w:b/>
          <w:bCs/>
          <w:color w:val="000000" w:themeColor="text1"/>
          <w:sz w:val="20"/>
          <w:szCs w:val="20"/>
          <w:u w:val="single"/>
        </w:rPr>
        <w:t xml:space="preserve">AC 3.3 </w:t>
      </w:r>
      <w:r w:rsidRPr="630A493F">
        <w:rPr>
          <w:rFonts w:ascii="Calibri" w:hAnsi="Calibri" w:eastAsia="Calibri" w:cs="Calibri"/>
          <w:color w:val="000000" w:themeColor="text1"/>
          <w:sz w:val="20"/>
          <w:szCs w:val="20"/>
          <w:u w:val="single"/>
        </w:rPr>
        <w:t>Explain the skills required for effective grievance and discipline-handling procedures.164</w:t>
      </w:r>
      <w:r w:rsidRPr="630A493F">
        <w:rPr>
          <w:rFonts w:ascii="Calibri" w:hAnsi="Calibri" w:eastAsia="Calibri" w:cs="Calibri"/>
          <w:color w:val="000000" w:themeColor="text1"/>
          <w:sz w:val="20"/>
          <w:szCs w:val="20"/>
        </w:rPr>
        <w:t xml:space="preserve"> </w:t>
      </w:r>
    </w:p>
    <w:p w:rsidR="44BCA031" w:rsidP="2E7E2B62" w:rsidRDefault="648F76D5" w14:paraId="3598A61F" w14:textId="09FF1C93">
      <w:pPr>
        <w:rPr>
          <w:rFonts w:ascii="Calibri" w:hAnsi="Calibri" w:eastAsia="Calibri" w:cs="Calibri"/>
          <w:color w:val="000000" w:themeColor="text1"/>
          <w:sz w:val="20"/>
          <w:szCs w:val="20"/>
          <w:lang w:val="en-US"/>
        </w:rPr>
      </w:pPr>
      <w:r w:rsidRPr="630A493F">
        <w:rPr>
          <w:rFonts w:ascii="Calibri" w:hAnsi="Calibri" w:eastAsia="Calibri" w:cs="Calibri"/>
          <w:color w:val="000000" w:themeColor="text1"/>
          <w:sz w:val="20"/>
          <w:szCs w:val="20"/>
        </w:rPr>
        <w:t xml:space="preserve">The ACAS Code of Practice on disciplinary and grievance procedures, as outlined in 3.1, should be adhered to by Go Quest to manage the process effectively. Managers must </w:t>
      </w:r>
      <w:r w:rsidRPr="630A493F" w:rsidR="4FFF950B">
        <w:rPr>
          <w:rFonts w:ascii="Calibri" w:hAnsi="Calibri" w:eastAsia="Calibri" w:cs="Calibri"/>
          <w:color w:val="000000" w:themeColor="text1"/>
          <w:sz w:val="20"/>
          <w:szCs w:val="20"/>
        </w:rPr>
        <w:t>keep</w:t>
      </w:r>
      <w:r w:rsidRPr="630A493F">
        <w:rPr>
          <w:rFonts w:ascii="Calibri" w:hAnsi="Calibri" w:eastAsia="Calibri" w:cs="Calibri"/>
          <w:color w:val="000000" w:themeColor="text1"/>
          <w:sz w:val="20"/>
          <w:szCs w:val="20"/>
        </w:rPr>
        <w:t xml:space="preserve"> objectivity, even if they disagree with the employee. Also, to gather data and present the findings objectively, you must be able to communicate verbally with each party. </w:t>
      </w:r>
      <w:r w:rsidRPr="630A493F">
        <w:rPr>
          <w:rFonts w:ascii="Calibri" w:hAnsi="Calibri" w:eastAsia="Calibri" w:cs="Calibri"/>
          <w:b/>
          <w:bCs/>
          <w:color w:val="000000" w:themeColor="text1"/>
          <w:sz w:val="20"/>
          <w:szCs w:val="20"/>
        </w:rPr>
        <w:t xml:space="preserve">(ACAS 2020). </w:t>
      </w:r>
      <w:r w:rsidRPr="630A493F">
        <w:rPr>
          <w:rFonts w:ascii="Calibri" w:hAnsi="Calibri" w:eastAsia="Calibri" w:cs="Calibri"/>
          <w:color w:val="000000" w:themeColor="text1"/>
          <w:sz w:val="20"/>
          <w:szCs w:val="20"/>
        </w:rPr>
        <w:t xml:space="preserve">In disciplinary or grievance processes, taking thorough notes is crucial since they will be the only record of the talks that took place in the meeting and will be referred to in the case of an employment tribunal. Managers conducting the investigation must be allowed to pose open-ended inquiries to get more information about the case. An investigative manager must be able to uphold objectivity to manage a disciplinary or grievance effectively. The management must be able to balance the needs of the business with the complaints of the employees; they may do this by being impartial and preventing unconscious bias from arising. </w:t>
      </w:r>
      <w:r w:rsidRPr="630A493F">
        <w:rPr>
          <w:rFonts w:ascii="Calibri" w:hAnsi="Calibri" w:eastAsia="Calibri" w:cs="Calibri"/>
          <w:b/>
          <w:bCs/>
          <w:color w:val="000000" w:themeColor="text1"/>
          <w:sz w:val="20"/>
          <w:szCs w:val="20"/>
        </w:rPr>
        <w:t>(Suff, R 2022).</w:t>
      </w:r>
    </w:p>
    <w:p w:rsidR="44BCA031" w:rsidP="2E7E2B62" w:rsidRDefault="648F76D5" w14:paraId="7B3FA1A4" w14:textId="4EF84BC9">
      <w:pPr>
        <w:rPr>
          <w:rFonts w:ascii="Calibri" w:hAnsi="Calibri" w:eastAsia="Calibri" w:cs="Calibri"/>
          <w:color w:val="000000" w:themeColor="text1"/>
          <w:sz w:val="20"/>
          <w:szCs w:val="20"/>
          <w:u w:val="single"/>
        </w:rPr>
      </w:pPr>
      <w:r w:rsidRPr="630A493F">
        <w:rPr>
          <w:rFonts w:ascii="Calibri" w:hAnsi="Calibri" w:eastAsia="Calibri" w:cs="Calibri"/>
          <w:b/>
          <w:bCs/>
          <w:color w:val="000000" w:themeColor="text1"/>
          <w:sz w:val="20"/>
          <w:szCs w:val="20"/>
          <w:u w:val="single"/>
        </w:rPr>
        <w:t xml:space="preserve">AC 3.4 </w:t>
      </w:r>
      <w:r w:rsidRPr="630A493F">
        <w:rPr>
          <w:rFonts w:ascii="Calibri" w:hAnsi="Calibri" w:eastAsia="Calibri" w:cs="Calibri"/>
          <w:color w:val="000000" w:themeColor="text1"/>
          <w:sz w:val="20"/>
          <w:szCs w:val="20"/>
          <w:u w:val="single"/>
        </w:rPr>
        <w:t>Advise on the importance of handling grievances effectively.</w:t>
      </w:r>
      <w:r w:rsidRPr="630A493F" w:rsidR="005214D7">
        <w:rPr>
          <w:rFonts w:ascii="Calibri" w:hAnsi="Calibri" w:eastAsia="Calibri" w:cs="Calibri"/>
          <w:color w:val="000000" w:themeColor="text1"/>
          <w:sz w:val="20"/>
          <w:szCs w:val="20"/>
          <w:u w:val="single"/>
        </w:rPr>
        <w:t>191</w:t>
      </w:r>
      <w:r w:rsidRPr="630A493F">
        <w:rPr>
          <w:rFonts w:ascii="Calibri" w:hAnsi="Calibri" w:eastAsia="Calibri" w:cs="Calibri"/>
          <w:color w:val="000000" w:themeColor="text1"/>
          <w:sz w:val="20"/>
          <w:szCs w:val="20"/>
          <w:u w:val="single"/>
        </w:rPr>
        <w:t xml:space="preserve"> </w:t>
      </w:r>
    </w:p>
    <w:p w:rsidRPr="00330542" w:rsidR="7B1AD764" w:rsidP="630A493F" w:rsidRDefault="005214D7" w14:paraId="6D825A65" w14:textId="004E6536">
      <w:pPr>
        <w:spacing w:after="255"/>
        <w:rPr>
          <w:rFonts w:eastAsiaTheme="minorEastAsia"/>
          <w:color w:val="FF0000"/>
          <w:sz w:val="20"/>
          <w:szCs w:val="20"/>
          <w:lang w:val="en-US"/>
        </w:rPr>
      </w:pPr>
      <w:r w:rsidRPr="630A493F">
        <w:rPr>
          <w:rFonts w:eastAsiaTheme="minorEastAsia"/>
          <w:color w:val="FF0000"/>
          <w:sz w:val="20"/>
          <w:szCs w:val="20"/>
        </w:rPr>
        <w:t xml:space="preserve">Go Quest must exercise caution while </w:t>
      </w:r>
      <w:r w:rsidRPr="630A493F" w:rsidR="00963D7B">
        <w:rPr>
          <w:rFonts w:eastAsiaTheme="minorEastAsia"/>
          <w:color w:val="FF0000"/>
          <w:sz w:val="20"/>
          <w:szCs w:val="20"/>
        </w:rPr>
        <w:t>managing</w:t>
      </w:r>
      <w:r w:rsidRPr="630A493F">
        <w:rPr>
          <w:rFonts w:eastAsiaTheme="minorEastAsia"/>
          <w:color w:val="FF0000"/>
          <w:sz w:val="20"/>
          <w:szCs w:val="20"/>
        </w:rPr>
        <w:t xml:space="preserve"> concerns. Following the Acas code of practise on disciplinary and grievance procedures is critical. If the employee prevails in their claim, it may enhance the amount of any award by </w:t>
      </w:r>
      <w:r w:rsidRPr="630A493F">
        <w:rPr>
          <w:rFonts w:eastAsiaTheme="minorEastAsia"/>
          <w:color w:val="FF0000"/>
          <w:sz w:val="20"/>
          <w:szCs w:val="20"/>
        </w:rPr>
        <w:lastRenderedPageBreak/>
        <w:t>up to 25%, so be sure your grievance procedure conforms. Go Quest must be able to demonstrate that the policy was followed and that any infractions were minor enough to not risk the duty of mutual trust and confidence. If problems arise and are resolved through an employment tribunal, there may be reputational harm</w:t>
      </w:r>
      <w:r w:rsidRPr="630A493F" w:rsidR="00174939">
        <w:rPr>
          <w:rFonts w:eastAsiaTheme="minorEastAsia"/>
          <w:color w:val="FF0000"/>
          <w:sz w:val="20"/>
          <w:szCs w:val="20"/>
        </w:rPr>
        <w:t>.</w:t>
      </w:r>
      <w:r w:rsidRPr="630A493F" w:rsidR="28CF35D1">
        <w:rPr>
          <w:rFonts w:eastAsiaTheme="minorEastAsia"/>
          <w:color w:val="FF0000"/>
          <w:sz w:val="20"/>
          <w:szCs w:val="20"/>
        </w:rPr>
        <w:t xml:space="preserve"> </w:t>
      </w:r>
      <w:r w:rsidRPr="630A493F" w:rsidR="28CF35D1">
        <w:rPr>
          <w:rFonts w:eastAsiaTheme="minorEastAsia"/>
          <w:b/>
          <w:bCs/>
          <w:color w:val="FF0000"/>
          <w:sz w:val="20"/>
          <w:szCs w:val="20"/>
        </w:rPr>
        <w:t>(McConnell, A 2014).</w:t>
      </w:r>
    </w:p>
    <w:p w:rsidRPr="00E239E0" w:rsidR="005A06F0" w:rsidP="005A06F0" w:rsidRDefault="00B36011" w14:paraId="7800F19C" w14:textId="2EFCB673">
      <w:pPr>
        <w:spacing w:before="270" w:after="270"/>
        <w:rPr>
          <w:rFonts w:ascii="Calibri" w:hAnsi="Calibri" w:eastAsia="Calibri" w:cs="Calibri"/>
          <w:b/>
          <w:bCs/>
          <w:color w:val="FF0000"/>
          <w:sz w:val="20"/>
          <w:szCs w:val="20"/>
        </w:rPr>
      </w:pPr>
      <w:r w:rsidRPr="630A493F">
        <w:rPr>
          <w:rFonts w:ascii="Calibri" w:hAnsi="Calibri" w:eastAsia="Calibri" w:cs="Calibri"/>
          <w:color w:val="FF0000"/>
          <w:sz w:val="20"/>
          <w:szCs w:val="20"/>
        </w:rPr>
        <w:t xml:space="preserve">Employee disagreements or complaints about coworkers can have a detrimental impact on morale and lead to absenteeism and resignations in the workplace. You must ensure that such concerns are addressed sensitively and compassionately, and you should urge future team members to build ties and collaborate. Employees may be reluctant to testify if an inquiry is underway because they are concerned about how their coworkers, you, or their employer will see them in the future. The goal of disciplinary and grievance procedures is to ensure that all </w:t>
      </w:r>
      <w:r w:rsidRPr="630A493F" w:rsidR="00E239E0">
        <w:rPr>
          <w:rFonts w:ascii="Calibri" w:hAnsi="Calibri" w:eastAsia="Calibri" w:cs="Calibri"/>
          <w:color w:val="FF0000"/>
          <w:sz w:val="20"/>
          <w:szCs w:val="20"/>
        </w:rPr>
        <w:t>employees understand their obligations to coworkers, clients, and customers</w:t>
      </w:r>
      <w:r w:rsidRPr="630A493F" w:rsidR="00E239E0">
        <w:rPr>
          <w:rFonts w:ascii="Calibri" w:hAnsi="Calibri" w:eastAsia="Calibri" w:cs="Calibri"/>
          <w:b/>
          <w:bCs/>
          <w:color w:val="FF0000"/>
          <w:sz w:val="20"/>
          <w:szCs w:val="20"/>
        </w:rPr>
        <w:t>. (CIPD 2023)</w:t>
      </w:r>
    </w:p>
    <w:p w:rsidR="44BCA031" w:rsidP="005A06F0" w:rsidRDefault="44BCA031" w14:paraId="0E1F3CB3" w14:textId="736EAD72">
      <w:pPr>
        <w:spacing w:before="270" w:after="270"/>
        <w:rPr>
          <w:rFonts w:ascii="Calibri" w:hAnsi="Calibri" w:eastAsia="Calibri" w:cs="Calibri"/>
          <w:color w:val="000000" w:themeColor="text1"/>
          <w:sz w:val="20"/>
          <w:szCs w:val="20"/>
        </w:rPr>
      </w:pPr>
      <w:r>
        <w:br/>
      </w:r>
      <w:r w:rsidRPr="630A493F" w:rsidR="648F76D5">
        <w:rPr>
          <w:rFonts w:ascii="Calibri" w:hAnsi="Calibri" w:eastAsia="Calibri" w:cs="Calibri"/>
          <w:b/>
          <w:bCs/>
          <w:color w:val="000000" w:themeColor="text1"/>
          <w:sz w:val="20"/>
          <w:szCs w:val="20"/>
          <w:u w:val="single"/>
        </w:rPr>
        <w:t xml:space="preserve">AC 4.1 </w:t>
      </w:r>
      <w:r w:rsidRPr="630A493F" w:rsidR="648F76D5">
        <w:rPr>
          <w:rFonts w:ascii="Calibri" w:hAnsi="Calibri" w:eastAsia="Calibri" w:cs="Calibri"/>
          <w:color w:val="000000" w:themeColor="text1"/>
          <w:sz w:val="20"/>
          <w:szCs w:val="20"/>
          <w:u w:val="single"/>
        </w:rPr>
        <w:t>Explain the main provisions of collective employment law.</w:t>
      </w:r>
      <w:r w:rsidRPr="630A493F" w:rsidR="55B83747">
        <w:rPr>
          <w:rFonts w:ascii="Calibri" w:hAnsi="Calibri" w:eastAsia="Calibri" w:cs="Calibri"/>
          <w:color w:val="000000" w:themeColor="text1"/>
          <w:sz w:val="20"/>
          <w:szCs w:val="20"/>
          <w:u w:val="single"/>
        </w:rPr>
        <w:t>2</w:t>
      </w:r>
      <w:r w:rsidRPr="630A493F" w:rsidR="00C61911">
        <w:rPr>
          <w:rFonts w:ascii="Calibri" w:hAnsi="Calibri" w:eastAsia="Calibri" w:cs="Calibri"/>
          <w:color w:val="000000" w:themeColor="text1"/>
          <w:sz w:val="20"/>
          <w:szCs w:val="20"/>
          <w:u w:val="single"/>
        </w:rPr>
        <w:t>90</w:t>
      </w:r>
      <w:r w:rsidRPr="630A493F" w:rsidR="648F76D5">
        <w:rPr>
          <w:rFonts w:ascii="Calibri" w:hAnsi="Calibri" w:eastAsia="Calibri" w:cs="Calibri"/>
          <w:b/>
          <w:bCs/>
          <w:color w:val="000000" w:themeColor="text1"/>
          <w:sz w:val="20"/>
          <w:szCs w:val="20"/>
          <w:u w:val="single"/>
        </w:rPr>
        <w:t xml:space="preserve"> </w:t>
      </w:r>
    </w:p>
    <w:p w:rsidR="44BCA031" w:rsidP="2E7E2B62" w:rsidRDefault="648F76D5" w14:paraId="35080EEA" w14:textId="5024D17B">
      <w:pPr>
        <w:rPr>
          <w:rFonts w:ascii="Calibri" w:hAnsi="Calibri" w:eastAsia="Calibri" w:cs="Calibri"/>
          <w:color w:val="000000" w:themeColor="text1"/>
          <w:sz w:val="20"/>
          <w:szCs w:val="20"/>
        </w:rPr>
      </w:pPr>
      <w:r w:rsidRPr="630A493F">
        <w:rPr>
          <w:rFonts w:ascii="Calibri" w:hAnsi="Calibri" w:eastAsia="Calibri" w:cs="Calibri"/>
          <w:color w:val="000000" w:themeColor="text1"/>
          <w:sz w:val="20"/>
          <w:szCs w:val="20"/>
        </w:rPr>
        <w:t xml:space="preserve">Trade unions were first made legal in the United Kingdom in 1871 when the Trade Union Act went into effect. The statute was later amended in 1974 to include guidelines for trade union operations. The Trade Union and Labour Relation (Consolidation) Act of 1992 supplied a framework for collective bargaining, established trade union rights and obligations, and safeguarded workers who were on strike </w:t>
      </w:r>
      <w:r w:rsidRPr="630A493F">
        <w:rPr>
          <w:rFonts w:ascii="Calibri" w:hAnsi="Calibri" w:eastAsia="Calibri" w:cs="Calibri"/>
          <w:b/>
          <w:bCs/>
          <w:color w:val="000000" w:themeColor="text1"/>
          <w:sz w:val="20"/>
          <w:szCs w:val="20"/>
        </w:rPr>
        <w:t>(Meek, F).</w:t>
      </w:r>
      <w:r w:rsidRPr="630A493F">
        <w:rPr>
          <w:rFonts w:ascii="Calibri" w:hAnsi="Calibri" w:eastAsia="Calibri" w:cs="Calibri"/>
          <w:color w:val="000000" w:themeColor="text1"/>
          <w:sz w:val="20"/>
          <w:szCs w:val="20"/>
        </w:rPr>
        <w:t xml:space="preserve"> The 1992 act is still in effect today. </w:t>
      </w:r>
    </w:p>
    <w:p w:rsidR="44BCA031" w:rsidP="2E7E2B62" w:rsidRDefault="648F76D5" w14:paraId="770C9B21" w14:textId="29F61BC4">
      <w:pPr>
        <w:rPr>
          <w:rFonts w:ascii="Calibri" w:hAnsi="Calibri" w:eastAsia="Calibri" w:cs="Calibri"/>
          <w:color w:val="000000" w:themeColor="text1"/>
          <w:sz w:val="20"/>
          <w:szCs w:val="20"/>
          <w:lang w:val="en-US"/>
        </w:rPr>
      </w:pPr>
      <w:r w:rsidRPr="630A493F">
        <w:rPr>
          <w:rFonts w:ascii="Calibri" w:hAnsi="Calibri" w:eastAsia="Calibri" w:cs="Calibri"/>
          <w:color w:val="000000" w:themeColor="text1"/>
          <w:sz w:val="20"/>
          <w:szCs w:val="20"/>
        </w:rPr>
        <w:t xml:space="preserve">Collective employment law focuses on regulating the behaviours and activities of employers’ associations, trade unions and work councils. Picketing is one collective employment law. Picketing is a type of strike that takes place in public close to a workplace. Picketing is a tactic that can be used to consider or advance a trade dispute, as well as to peacefully gather or share information or encourage someone to forgo working. The number of pickets that can gather at a workplace is not regulated by law, but they must do so peacefully to be protected by it. In 2016, the Trade Union Act made picket supervisors mandatory whenever there is picketing </w:t>
      </w:r>
      <w:r w:rsidRPr="630A493F">
        <w:rPr>
          <w:rFonts w:ascii="Calibri" w:hAnsi="Calibri" w:eastAsia="Calibri" w:cs="Calibri"/>
          <w:b/>
          <w:bCs/>
          <w:color w:val="000000" w:themeColor="text1"/>
          <w:sz w:val="20"/>
          <w:szCs w:val="20"/>
        </w:rPr>
        <w:t>(CIPD 2022)</w:t>
      </w:r>
      <w:r w:rsidRPr="630A493F">
        <w:rPr>
          <w:rFonts w:ascii="Calibri" w:hAnsi="Calibri" w:eastAsia="Calibri" w:cs="Calibri"/>
          <w:color w:val="000000" w:themeColor="text1"/>
          <w:sz w:val="20"/>
          <w:szCs w:val="20"/>
        </w:rPr>
        <w:t xml:space="preserve">. </w:t>
      </w:r>
    </w:p>
    <w:p w:rsidR="00254256" w:rsidP="630A493F" w:rsidRDefault="648F76D5" w14:paraId="55AB7219" w14:textId="3FBBD9C4">
      <w:pPr>
        <w:rPr>
          <w:rFonts w:ascii="Calibri" w:hAnsi="Calibri" w:eastAsia="Calibri" w:cs="Calibri"/>
          <w:b/>
          <w:bCs/>
          <w:color w:val="FF0000"/>
          <w:sz w:val="20"/>
          <w:szCs w:val="20"/>
        </w:rPr>
      </w:pPr>
      <w:r w:rsidRPr="630A493F">
        <w:rPr>
          <w:rFonts w:ascii="Calibri" w:hAnsi="Calibri" w:eastAsia="Calibri" w:cs="Calibri"/>
          <w:color w:val="000000" w:themeColor="text1"/>
          <w:sz w:val="20"/>
          <w:szCs w:val="20"/>
        </w:rPr>
        <w:t xml:space="preserve">Collective agreements are not legally enforceable unless they are included in a worker's employment contract. It is recommended to decide if the employees at Go Quest will be bound by future revisions at the beginning of the collective agreement because doing so could be unclear </w:t>
      </w:r>
      <w:r w:rsidRPr="630A493F">
        <w:rPr>
          <w:rFonts w:ascii="Calibri" w:hAnsi="Calibri" w:eastAsia="Calibri" w:cs="Calibri"/>
          <w:b/>
          <w:bCs/>
          <w:color w:val="000000" w:themeColor="text1"/>
          <w:sz w:val="20"/>
          <w:szCs w:val="20"/>
        </w:rPr>
        <w:t>(Daniels, K</w:t>
      </w:r>
      <w:r w:rsidRPr="630A493F" w:rsidR="74CBF1FD">
        <w:rPr>
          <w:rFonts w:ascii="Calibri" w:hAnsi="Calibri" w:eastAsia="Calibri" w:cs="Calibri"/>
          <w:b/>
          <w:bCs/>
          <w:color w:val="000000" w:themeColor="text1"/>
          <w:sz w:val="20"/>
          <w:szCs w:val="20"/>
        </w:rPr>
        <w:t>, 2022</w:t>
      </w:r>
      <w:r w:rsidRPr="630A493F">
        <w:rPr>
          <w:rFonts w:ascii="Calibri" w:hAnsi="Calibri" w:eastAsia="Calibri" w:cs="Calibri"/>
          <w:b/>
          <w:bCs/>
          <w:color w:val="000000" w:themeColor="text1"/>
          <w:sz w:val="20"/>
          <w:szCs w:val="20"/>
        </w:rPr>
        <w:t>)</w:t>
      </w:r>
      <w:r w:rsidRPr="630A493F">
        <w:rPr>
          <w:rFonts w:ascii="Calibri" w:hAnsi="Calibri" w:eastAsia="Calibri" w:cs="Calibri"/>
          <w:color w:val="000000" w:themeColor="text1"/>
          <w:sz w:val="20"/>
          <w:szCs w:val="20"/>
        </w:rPr>
        <w:t xml:space="preserve">. </w:t>
      </w:r>
    </w:p>
    <w:p w:rsidR="00254256" w:rsidP="2E7E2B62" w:rsidRDefault="00C61911" w14:paraId="20248EEB" w14:textId="19FC6D6D">
      <w:pPr>
        <w:rPr>
          <w:rFonts w:ascii="Calibri" w:hAnsi="Calibri" w:eastAsia="Calibri" w:cs="Calibri"/>
          <w:b/>
          <w:bCs/>
          <w:color w:val="FF0000"/>
          <w:sz w:val="20"/>
          <w:szCs w:val="20"/>
        </w:rPr>
      </w:pPr>
      <w:r w:rsidRPr="630A493F">
        <w:rPr>
          <w:color w:val="FF0000"/>
          <w:sz w:val="20"/>
          <w:szCs w:val="20"/>
        </w:rPr>
        <w:t xml:space="preserve">Statutory recognition procedures are the legal steps a trade union can take to force an employer to recognise it for collective bargaining purposes. A formal request is made, which is followed by a period of discussion, a ballot, and an agreement period. The Central Arbitration Committee (CAC) oversees managing the procedure and issuing contested verdicts. </w:t>
      </w:r>
      <w:r w:rsidRPr="630A493F">
        <w:rPr>
          <w:rFonts w:ascii="Calibri" w:hAnsi="Calibri" w:eastAsia="Calibri" w:cs="Calibri"/>
          <w:b/>
          <w:bCs/>
          <w:color w:val="FF0000"/>
          <w:sz w:val="20"/>
          <w:szCs w:val="20"/>
        </w:rPr>
        <w:t>(Daniels, K, 2022)</w:t>
      </w:r>
    </w:p>
    <w:p w:rsidRPr="00C61911" w:rsidR="44BCA031" w:rsidP="630A493F" w:rsidRDefault="44BCA031" w14:paraId="42669884" w14:textId="73B37EA0"/>
    <w:p w:rsidR="44BCA031" w:rsidP="2AB31906" w:rsidRDefault="648F76D5" w14:paraId="0C24B3E6" w14:textId="76D9607B">
      <w:pPr>
        <w:rPr>
          <w:rFonts w:ascii="Calibri" w:hAnsi="Calibri" w:eastAsia="Calibri" w:cs="Calibri"/>
          <w:color w:val="000000" w:themeColor="text1"/>
          <w:sz w:val="20"/>
          <w:szCs w:val="20"/>
          <w:u w:val="single"/>
        </w:rPr>
      </w:pPr>
      <w:r w:rsidRPr="630A493F">
        <w:rPr>
          <w:rFonts w:ascii="Calibri" w:hAnsi="Calibri" w:eastAsia="Calibri" w:cs="Calibri"/>
          <w:b/>
          <w:bCs/>
          <w:color w:val="000000" w:themeColor="text1"/>
          <w:sz w:val="20"/>
          <w:szCs w:val="20"/>
          <w:u w:val="single"/>
        </w:rPr>
        <w:t xml:space="preserve">AC 4.2 </w:t>
      </w:r>
      <w:r w:rsidRPr="630A493F">
        <w:rPr>
          <w:rFonts w:ascii="Calibri" w:hAnsi="Calibri" w:eastAsia="Calibri" w:cs="Calibri"/>
          <w:color w:val="000000" w:themeColor="text1"/>
          <w:sz w:val="20"/>
          <w:szCs w:val="20"/>
          <w:u w:val="single"/>
        </w:rPr>
        <w:t xml:space="preserve">Compare the types of employee bodies, union, and non-union forms of employee representation. </w:t>
      </w:r>
      <w:r w:rsidRPr="630A493F" w:rsidR="2F9FA086">
        <w:rPr>
          <w:rFonts w:ascii="Calibri" w:hAnsi="Calibri" w:eastAsia="Calibri" w:cs="Calibri"/>
          <w:color w:val="000000" w:themeColor="text1"/>
          <w:sz w:val="20"/>
          <w:szCs w:val="20"/>
          <w:u w:val="single"/>
        </w:rPr>
        <w:t>199</w:t>
      </w:r>
    </w:p>
    <w:p w:rsidR="580BC656" w:rsidP="2E7E2B62" w:rsidRDefault="5A72C20C" w14:paraId="74381748" w14:textId="2B2110E6">
      <w:pPr>
        <w:rPr>
          <w:rFonts w:ascii="Calibri" w:hAnsi="Calibri" w:eastAsia="Calibri" w:cs="Calibri"/>
          <w:sz w:val="20"/>
          <w:szCs w:val="20"/>
        </w:rPr>
      </w:pPr>
      <w:r w:rsidRPr="630A493F">
        <w:rPr>
          <w:rFonts w:ascii="Calibri" w:hAnsi="Calibri" w:eastAsia="Calibri" w:cs="Calibri"/>
          <w:sz w:val="20"/>
          <w:szCs w:val="20"/>
        </w:rPr>
        <w:t xml:space="preserve">There are nine distinct categories of workplace union representatives, with unique responsibilities and needs for leave, resources, and training. These include union representatives for managing individual grievances and disciplinary issues as well as representatives for collective bargaining, training, the environment, equality, health, and safety. TUPE, collective redundancy, pensions, and other time-limited consultation and negotiation are </w:t>
      </w:r>
      <w:r w:rsidRPr="630A493F" w:rsidR="009067D4">
        <w:rPr>
          <w:rFonts w:ascii="Calibri" w:hAnsi="Calibri" w:eastAsia="Calibri" w:cs="Calibri"/>
          <w:sz w:val="20"/>
          <w:szCs w:val="20"/>
        </w:rPr>
        <w:t>managed</w:t>
      </w:r>
      <w:r w:rsidRPr="630A493F">
        <w:rPr>
          <w:rFonts w:ascii="Calibri" w:hAnsi="Calibri" w:eastAsia="Calibri" w:cs="Calibri"/>
          <w:sz w:val="20"/>
          <w:szCs w:val="20"/>
        </w:rPr>
        <w:t xml:space="preserve"> by union representatives, as are representatives with multiple responsibilities.</w:t>
      </w:r>
      <w:r w:rsidRPr="630A493F" w:rsidR="15797F65">
        <w:rPr>
          <w:rFonts w:ascii="Calibri" w:hAnsi="Calibri" w:eastAsia="Calibri" w:cs="Calibri"/>
          <w:sz w:val="20"/>
          <w:szCs w:val="20"/>
        </w:rPr>
        <w:t xml:space="preserve"> </w:t>
      </w:r>
      <w:r w:rsidRPr="630A493F" w:rsidR="15797F65">
        <w:rPr>
          <w:rFonts w:ascii="Calibri" w:hAnsi="Calibri" w:eastAsia="Calibri" w:cs="Calibri"/>
          <w:b/>
          <w:bCs/>
          <w:sz w:val="20"/>
          <w:szCs w:val="20"/>
        </w:rPr>
        <w:t>(ACAS</w:t>
      </w:r>
      <w:r w:rsidRPr="630A493F" w:rsidR="3F325632">
        <w:rPr>
          <w:rFonts w:ascii="Calibri" w:hAnsi="Calibri" w:eastAsia="Calibri" w:cs="Calibri"/>
          <w:b/>
          <w:bCs/>
          <w:sz w:val="20"/>
          <w:szCs w:val="20"/>
        </w:rPr>
        <w:t xml:space="preserve"> 2014</w:t>
      </w:r>
      <w:r w:rsidRPr="630A493F" w:rsidR="15797F65">
        <w:rPr>
          <w:rFonts w:ascii="Calibri" w:hAnsi="Calibri" w:eastAsia="Calibri" w:cs="Calibri"/>
          <w:b/>
          <w:bCs/>
          <w:sz w:val="20"/>
          <w:szCs w:val="20"/>
        </w:rPr>
        <w:t>)</w:t>
      </w:r>
      <w:r w:rsidRPr="630A493F" w:rsidR="580BC656">
        <w:rPr>
          <w:rFonts w:ascii="Calibri" w:hAnsi="Calibri" w:eastAsia="Calibri" w:cs="Calibri"/>
          <w:b/>
          <w:bCs/>
          <w:sz w:val="20"/>
          <w:szCs w:val="20"/>
        </w:rPr>
        <w:t>.</w:t>
      </w:r>
    </w:p>
    <w:p w:rsidR="7CAF753A" w:rsidP="2E7E2B62" w:rsidRDefault="16CF0E9E" w14:paraId="3FACCF8B" w14:textId="2BAD687C">
      <w:pPr>
        <w:rPr>
          <w:rFonts w:ascii="Calibri" w:hAnsi="Calibri" w:eastAsia="Calibri" w:cs="Calibri"/>
          <w:sz w:val="20"/>
          <w:szCs w:val="20"/>
        </w:rPr>
      </w:pPr>
      <w:r w:rsidRPr="630A493F">
        <w:rPr>
          <w:rFonts w:ascii="Calibri" w:hAnsi="Calibri" w:eastAsia="Calibri" w:cs="Calibri"/>
          <w:color w:val="FF0000"/>
          <w:sz w:val="20"/>
          <w:szCs w:val="20"/>
        </w:rPr>
        <w:t xml:space="preserve">Non-union representatives have the right to paid time off to complete their tasks and, in some situations, to obtain training and facilities. Representatives are protected against termination or harm in certain circumstances when carrying out their duties or running for election. Employee forum representatives have no legal right to take time off to accomplish their obligations, train, or use facilities. Employers voluntarily develop these forums. However, providing these is helpful to employers because it would make it </w:t>
      </w:r>
      <w:r w:rsidRPr="630A493F" w:rsidR="5F641FC4">
        <w:rPr>
          <w:rFonts w:ascii="Calibri" w:hAnsi="Calibri" w:eastAsia="Calibri" w:cs="Calibri"/>
          <w:color w:val="FF0000"/>
          <w:sz w:val="20"/>
          <w:szCs w:val="20"/>
        </w:rPr>
        <w:t>more</w:t>
      </w:r>
      <w:r w:rsidRPr="630A493F">
        <w:rPr>
          <w:rFonts w:ascii="Calibri" w:hAnsi="Calibri" w:eastAsia="Calibri" w:cs="Calibri"/>
          <w:color w:val="FF0000"/>
          <w:sz w:val="20"/>
          <w:szCs w:val="20"/>
        </w:rPr>
        <w:t xml:space="preserve"> difficult for representatives to adequately </w:t>
      </w:r>
      <w:r w:rsidRPr="630A493F">
        <w:rPr>
          <w:rFonts w:ascii="Calibri" w:hAnsi="Calibri" w:eastAsia="Calibri" w:cs="Calibri"/>
          <w:color w:val="FF0000"/>
          <w:sz w:val="20"/>
          <w:szCs w:val="20"/>
        </w:rPr>
        <w:lastRenderedPageBreak/>
        <w:t>represent the workforce and participate</w:t>
      </w:r>
      <w:r w:rsidRPr="630A493F" w:rsidR="00DA01FD">
        <w:rPr>
          <w:rFonts w:ascii="Calibri" w:hAnsi="Calibri" w:eastAsia="Calibri" w:cs="Calibri"/>
          <w:color w:val="FF0000"/>
          <w:sz w:val="20"/>
          <w:szCs w:val="20"/>
        </w:rPr>
        <w:t>.</w:t>
      </w:r>
      <w:r w:rsidRPr="630A493F" w:rsidR="004B17B0">
        <w:rPr>
          <w:color w:val="FF0000"/>
        </w:rPr>
        <w:t xml:space="preserve"> </w:t>
      </w:r>
      <w:r w:rsidRPr="630A493F" w:rsidR="00EC306E">
        <w:rPr>
          <w:color w:val="FF0000"/>
          <w:sz w:val="20"/>
          <w:szCs w:val="20"/>
        </w:rPr>
        <w:t>In practise, a non-union representative can fill four major responsibilities. These are representatives engaged in continuing consultation (ICE and EWC), dealing with problem specific consultation (TUPE, collective redundancy, and pensions), of employee safety, and representatives dealing with individual grievances and disciplinary proceedings</w:t>
      </w:r>
      <w:r w:rsidRPr="00715A34" w:rsidR="00EC306E">
        <w:rPr>
          <w:color w:val="FF0000"/>
          <w:sz w:val="20"/>
          <w:szCs w:val="20"/>
        </w:rPr>
        <w:t xml:space="preserve">. </w:t>
      </w:r>
      <w:r w:rsidRPr="00715A34" w:rsidR="3F222E0F">
        <w:rPr>
          <w:rFonts w:ascii="Calibri" w:hAnsi="Calibri" w:eastAsia="Calibri" w:cs="Calibri"/>
          <w:b/>
          <w:bCs/>
          <w:color w:val="FF0000"/>
          <w:sz w:val="20"/>
          <w:szCs w:val="20"/>
        </w:rPr>
        <w:t>(ACAS 2014)</w:t>
      </w:r>
    </w:p>
    <w:p w:rsidR="00A56321" w:rsidP="2AB31906" w:rsidRDefault="00A56321" w14:paraId="1D46F817" w14:textId="77777777">
      <w:pPr>
        <w:rPr>
          <w:rFonts w:ascii="Calibri" w:hAnsi="Calibri" w:eastAsia="Calibri" w:cs="Calibri"/>
          <w:b/>
          <w:bCs/>
          <w:color w:val="000000" w:themeColor="text1"/>
          <w:sz w:val="20"/>
          <w:szCs w:val="20"/>
          <w:u w:val="single"/>
        </w:rPr>
      </w:pPr>
    </w:p>
    <w:p w:rsidR="44BCA031" w:rsidP="630A493F" w:rsidRDefault="648F76D5" w14:paraId="3B21F477" w14:textId="5A573880">
      <w:pPr>
        <w:rPr>
          <w:rFonts w:ascii="Calibri" w:hAnsi="Calibri" w:eastAsia="Calibri" w:cs="Calibri"/>
          <w:color w:val="000000" w:themeColor="text1"/>
          <w:sz w:val="20"/>
          <w:szCs w:val="20"/>
          <w:u w:val="single"/>
          <w:lang w:val="en-US"/>
        </w:rPr>
      </w:pPr>
      <w:r w:rsidRPr="630A493F">
        <w:rPr>
          <w:rFonts w:ascii="Calibri" w:hAnsi="Calibri" w:eastAsia="Calibri" w:cs="Calibri"/>
          <w:b/>
          <w:bCs/>
          <w:color w:val="000000" w:themeColor="text1"/>
          <w:sz w:val="20"/>
          <w:szCs w:val="20"/>
          <w:u w:val="single"/>
        </w:rPr>
        <w:t xml:space="preserve">AC 4.3 </w:t>
      </w:r>
      <w:r w:rsidRPr="630A493F">
        <w:rPr>
          <w:rFonts w:ascii="Calibri" w:hAnsi="Calibri" w:eastAsia="Calibri" w:cs="Calibri"/>
          <w:color w:val="000000" w:themeColor="text1"/>
          <w:sz w:val="20"/>
          <w:szCs w:val="20"/>
          <w:u w:val="single"/>
        </w:rPr>
        <w:t>Evaluate the purpose of collective bargaining and how it works.</w:t>
      </w:r>
      <w:r w:rsidRPr="630A493F" w:rsidR="52901BAB">
        <w:rPr>
          <w:rFonts w:ascii="Calibri" w:hAnsi="Calibri" w:eastAsia="Calibri" w:cs="Calibri"/>
          <w:color w:val="000000" w:themeColor="text1"/>
          <w:sz w:val="20"/>
          <w:szCs w:val="20"/>
          <w:u w:val="single"/>
        </w:rPr>
        <w:t>2</w:t>
      </w:r>
      <w:r w:rsidRPr="630A493F" w:rsidR="00F1435E">
        <w:rPr>
          <w:rFonts w:ascii="Calibri" w:hAnsi="Calibri" w:eastAsia="Calibri" w:cs="Calibri"/>
          <w:color w:val="000000" w:themeColor="text1"/>
          <w:sz w:val="20"/>
          <w:szCs w:val="20"/>
          <w:u w:val="single"/>
        </w:rPr>
        <w:t>3</w:t>
      </w:r>
      <w:r w:rsidRPr="630A493F" w:rsidR="3A9CA610">
        <w:rPr>
          <w:rFonts w:ascii="Calibri" w:hAnsi="Calibri" w:eastAsia="Calibri" w:cs="Calibri"/>
          <w:color w:val="000000" w:themeColor="text1"/>
          <w:sz w:val="20"/>
          <w:szCs w:val="20"/>
          <w:u w:val="single"/>
        </w:rPr>
        <w:t>7</w:t>
      </w:r>
    </w:p>
    <w:p w:rsidR="44BCA031" w:rsidP="630A493F" w:rsidRDefault="48354E1F" w14:paraId="1B2AB783" w14:textId="0E4A40B3">
      <w:pPr>
        <w:rPr>
          <w:rFonts w:eastAsiaTheme="minorEastAsia"/>
          <w:color w:val="000000" w:themeColor="text1"/>
          <w:sz w:val="20"/>
          <w:szCs w:val="20"/>
        </w:rPr>
      </w:pPr>
      <w:r w:rsidRPr="630A493F">
        <w:rPr>
          <w:rFonts w:eastAsiaTheme="minorEastAsia"/>
          <w:sz w:val="20"/>
          <w:szCs w:val="20"/>
        </w:rPr>
        <w:t xml:space="preserve">The process of collective bargaining occurs when representatives and their employer gather to negotiate, </w:t>
      </w:r>
      <w:r w:rsidRPr="630A493F" w:rsidR="1FFD5118">
        <w:rPr>
          <w:rFonts w:eastAsiaTheme="minorEastAsia"/>
          <w:sz w:val="20"/>
          <w:szCs w:val="20"/>
        </w:rPr>
        <w:t>often</w:t>
      </w:r>
      <w:r w:rsidRPr="630A493F">
        <w:rPr>
          <w:rFonts w:eastAsiaTheme="minorEastAsia"/>
          <w:sz w:val="20"/>
          <w:szCs w:val="20"/>
        </w:rPr>
        <w:t xml:space="preserve"> to improve salary and working conditions. Reaching a compromise between employers and employees is the goal of collective bargaining </w:t>
      </w:r>
      <w:r w:rsidRPr="630A493F" w:rsidR="600C5FB6">
        <w:rPr>
          <w:rFonts w:eastAsiaTheme="minorEastAsia"/>
          <w:b/>
          <w:bCs/>
          <w:sz w:val="20"/>
          <w:szCs w:val="20"/>
        </w:rPr>
        <w:t>(UNISON</w:t>
      </w:r>
      <w:r w:rsidRPr="630A493F" w:rsidR="007B0905">
        <w:rPr>
          <w:rFonts w:eastAsiaTheme="minorEastAsia"/>
          <w:b/>
          <w:bCs/>
          <w:sz w:val="20"/>
          <w:szCs w:val="20"/>
        </w:rPr>
        <w:t xml:space="preserve"> </w:t>
      </w:r>
      <w:r w:rsidRPr="00715A34" w:rsidR="00715A34">
        <w:rPr>
          <w:rFonts w:eastAsiaTheme="minorEastAsia"/>
          <w:b/>
          <w:bCs/>
          <w:color w:val="FF0000"/>
          <w:sz w:val="20"/>
          <w:szCs w:val="20"/>
        </w:rPr>
        <w:t>N</w:t>
      </w:r>
      <w:r w:rsidRPr="00715A34" w:rsidR="007B0905">
        <w:rPr>
          <w:rFonts w:eastAsiaTheme="minorEastAsia"/>
          <w:b/>
          <w:bCs/>
          <w:color w:val="FF0000"/>
          <w:sz w:val="20"/>
          <w:szCs w:val="20"/>
        </w:rPr>
        <w:t>d</w:t>
      </w:r>
      <w:r w:rsidRPr="630A493F" w:rsidR="600C5FB6">
        <w:rPr>
          <w:rFonts w:eastAsiaTheme="minorEastAsia"/>
          <w:b/>
          <w:bCs/>
          <w:sz w:val="20"/>
          <w:szCs w:val="20"/>
        </w:rPr>
        <w:t>)</w:t>
      </w:r>
      <w:r w:rsidRPr="630A493F" w:rsidR="241DB022">
        <w:rPr>
          <w:rFonts w:eastAsiaTheme="minorEastAsia"/>
          <w:b/>
          <w:bCs/>
          <w:sz w:val="20"/>
          <w:szCs w:val="20"/>
        </w:rPr>
        <w:t>.</w:t>
      </w:r>
    </w:p>
    <w:p w:rsidR="44BCA031" w:rsidP="65357DB9" w:rsidRDefault="28EC939A" w14:paraId="0C4ED84C" w14:textId="2D80E9AC">
      <w:pPr>
        <w:spacing w:before="270" w:after="270"/>
        <w:rPr>
          <w:rFonts w:ascii="Calibri" w:hAnsi="Calibri" w:eastAsia="Calibri" w:cs="Calibri"/>
          <w:b/>
          <w:bCs/>
          <w:color w:val="000000" w:themeColor="text1"/>
          <w:sz w:val="20"/>
          <w:szCs w:val="20"/>
        </w:rPr>
      </w:pPr>
      <w:r w:rsidRPr="630A493F">
        <w:rPr>
          <w:rFonts w:ascii="Calibri" w:hAnsi="Calibri" w:eastAsia="Calibri" w:cs="Calibri"/>
          <w:sz w:val="20"/>
          <w:szCs w:val="20"/>
        </w:rPr>
        <w:t xml:space="preserve">Where </w:t>
      </w:r>
      <w:r w:rsidRPr="630A493F" w:rsidR="120E0B8E">
        <w:rPr>
          <w:rFonts w:ascii="Calibri" w:hAnsi="Calibri" w:eastAsia="Calibri" w:cs="Calibri"/>
          <w:sz w:val="20"/>
          <w:szCs w:val="20"/>
        </w:rPr>
        <w:t>formal consultative arrangements with trade union representatives</w:t>
      </w:r>
      <w:r w:rsidRPr="630A493F">
        <w:rPr>
          <w:rFonts w:ascii="Calibri" w:hAnsi="Calibri" w:eastAsia="Calibri" w:cs="Calibri"/>
          <w:sz w:val="20"/>
          <w:szCs w:val="20"/>
        </w:rPr>
        <w:t xml:space="preserve"> are present, it is crucial to make them effective. For instance, having a clear understanding of what matters can and cannot be discussed and how they are to be </w:t>
      </w:r>
      <w:r w:rsidRPr="630A493F" w:rsidR="005049D6">
        <w:rPr>
          <w:rFonts w:ascii="Calibri" w:hAnsi="Calibri" w:eastAsia="Calibri" w:cs="Calibri"/>
          <w:sz w:val="20"/>
          <w:szCs w:val="20"/>
        </w:rPr>
        <w:t>managed</w:t>
      </w:r>
      <w:r w:rsidRPr="630A493F">
        <w:rPr>
          <w:rFonts w:ascii="Calibri" w:hAnsi="Calibri" w:eastAsia="Calibri" w:cs="Calibri"/>
          <w:sz w:val="20"/>
          <w:szCs w:val="20"/>
        </w:rPr>
        <w:t xml:space="preserve">, following through on agreed-upon actions, and being honest in the relationship </w:t>
      </w:r>
      <w:r w:rsidRPr="630A493F" w:rsidR="0F0FA9D4">
        <w:rPr>
          <w:rFonts w:ascii="Calibri" w:hAnsi="Calibri" w:eastAsia="Calibri" w:cs="Calibri"/>
          <w:b/>
          <w:bCs/>
          <w:sz w:val="20"/>
          <w:szCs w:val="20"/>
        </w:rPr>
        <w:t>(CIPD 2023)</w:t>
      </w:r>
      <w:r w:rsidRPr="630A493F" w:rsidR="2998DB04">
        <w:rPr>
          <w:rFonts w:ascii="Calibri" w:hAnsi="Calibri" w:eastAsia="Calibri" w:cs="Calibri"/>
          <w:b/>
          <w:bCs/>
          <w:sz w:val="20"/>
          <w:szCs w:val="20"/>
        </w:rPr>
        <w:t>.</w:t>
      </w:r>
    </w:p>
    <w:p w:rsidR="00254256" w:rsidP="630A493F" w:rsidRDefault="16E34EB5" w14:paraId="53D1E5FA" w14:textId="058BDE70">
      <w:pPr>
        <w:spacing w:after="0"/>
        <w:rPr>
          <w:rFonts w:eastAsiaTheme="minorEastAsia"/>
          <w:i/>
          <w:iCs/>
          <w:color w:val="000000" w:themeColor="text1"/>
          <w:sz w:val="20"/>
          <w:szCs w:val="20"/>
        </w:rPr>
      </w:pPr>
      <w:r w:rsidRPr="630A493F">
        <w:rPr>
          <w:rFonts w:ascii="Calibri" w:hAnsi="Calibri" w:eastAsia="Calibri" w:cs="Calibri"/>
          <w:sz w:val="20"/>
          <w:szCs w:val="20"/>
        </w:rPr>
        <w:t>The negotiation process needs to be carefully thought out and explored, especially while gathering the viewpoints of all parties. A proposal from one side will be made, to which the opposing side will respond. Adjournments might be required if additional data or a review of novel theories is required. Both parties will participate in negotiations to reach a mutually beneficial arrangement. Analysing every option and choosing a course of action could take time. The final proposal is agreed upon by all parties and recorded for use in the future.</w:t>
      </w:r>
      <w:r w:rsidRPr="630A493F" w:rsidR="59936EC8">
        <w:rPr>
          <w:rFonts w:ascii="Calibri" w:hAnsi="Calibri" w:eastAsia="Calibri" w:cs="Calibri"/>
          <w:sz w:val="20"/>
          <w:szCs w:val="20"/>
        </w:rPr>
        <w:t xml:space="preserve"> </w:t>
      </w:r>
      <w:r w:rsidRPr="630A493F" w:rsidR="1A51CCDE">
        <w:rPr>
          <w:rFonts w:ascii="Calibri" w:hAnsi="Calibri" w:eastAsia="Calibri" w:cs="Calibri"/>
          <w:sz w:val="20"/>
          <w:szCs w:val="20"/>
        </w:rPr>
        <w:t xml:space="preserve">Once </w:t>
      </w:r>
      <w:r w:rsidRPr="630A493F" w:rsidR="00063F72">
        <w:rPr>
          <w:rFonts w:ascii="Calibri" w:hAnsi="Calibri" w:eastAsia="Calibri" w:cs="Calibri"/>
          <w:sz w:val="20"/>
          <w:szCs w:val="20"/>
        </w:rPr>
        <w:t>both parties have made an agreement</w:t>
      </w:r>
      <w:r w:rsidRPr="630A493F" w:rsidR="1A51CCDE">
        <w:rPr>
          <w:rFonts w:ascii="Calibri" w:hAnsi="Calibri" w:eastAsia="Calibri" w:cs="Calibri"/>
          <w:sz w:val="20"/>
          <w:szCs w:val="20"/>
        </w:rPr>
        <w:t xml:space="preserve">, it is signed and held in force until it expires or is replaced. </w:t>
      </w:r>
      <w:r w:rsidRPr="630A493F" w:rsidR="5B7607A4">
        <w:rPr>
          <w:rFonts w:ascii="Calibri" w:hAnsi="Calibri" w:eastAsia="Calibri" w:cs="Calibri"/>
          <w:sz w:val="20"/>
          <w:szCs w:val="20"/>
        </w:rPr>
        <w:t>For</w:t>
      </w:r>
      <w:r w:rsidRPr="630A493F" w:rsidR="1A51CCDE">
        <w:rPr>
          <w:rFonts w:ascii="Calibri" w:hAnsi="Calibri" w:eastAsia="Calibri" w:cs="Calibri"/>
          <w:sz w:val="20"/>
          <w:szCs w:val="20"/>
        </w:rPr>
        <w:t xml:space="preserve"> negotiations to succeed and prevent the need for industrial action, all parties must be receptive to fresh suggestions and willing to accept adaptations. </w:t>
      </w:r>
      <w:bookmarkStart w:name="_Int_Qao3sDwj" w:id="10"/>
      <w:r w:rsidRPr="630A493F" w:rsidR="60D577A6">
        <w:rPr>
          <w:rFonts w:eastAsiaTheme="minorEastAsia"/>
          <w:color w:val="000000" w:themeColor="text1"/>
          <w:sz w:val="20"/>
          <w:szCs w:val="20"/>
        </w:rPr>
        <w:t>“</w:t>
      </w:r>
      <w:r w:rsidRPr="630A493F" w:rsidR="60D577A6">
        <w:rPr>
          <w:rFonts w:eastAsiaTheme="minorEastAsia"/>
          <w:i/>
          <w:iCs/>
          <w:color w:val="000000" w:themeColor="text1"/>
          <w:sz w:val="20"/>
          <w:szCs w:val="20"/>
        </w:rPr>
        <w:t>Ultimately, the essence of collective bargaining is communication between relevant stakeholders, not outsiders (</w:t>
      </w:r>
      <w:r w:rsidRPr="630A493F" w:rsidR="60D577A6">
        <w:rPr>
          <w:rFonts w:eastAsiaTheme="minorEastAsia"/>
          <w:b/>
          <w:bCs/>
          <w:sz w:val="20"/>
          <w:szCs w:val="20"/>
        </w:rPr>
        <w:t>Sarvaiya et al., 2018)</w:t>
      </w:r>
      <w:r w:rsidRPr="630A493F" w:rsidR="60D577A6">
        <w:rPr>
          <w:rFonts w:eastAsiaTheme="minorEastAsia"/>
          <w:i/>
          <w:iCs/>
          <w:color w:val="000000" w:themeColor="text1"/>
          <w:sz w:val="20"/>
          <w:szCs w:val="20"/>
        </w:rPr>
        <w:t>.”</w:t>
      </w:r>
      <w:bookmarkEnd w:id="10"/>
    </w:p>
    <w:p w:rsidR="00254256" w:rsidP="00254256" w:rsidRDefault="00254256" w14:paraId="193013C5" w14:textId="77777777">
      <w:pPr>
        <w:spacing w:after="0"/>
        <w:rPr>
          <w:color w:val="000000" w:themeColor="text1"/>
          <w:sz w:val="20"/>
          <w:szCs w:val="20"/>
          <w:u w:val="single"/>
        </w:rPr>
      </w:pPr>
    </w:p>
    <w:p w:rsidR="00505C9B" w:rsidP="00254256" w:rsidRDefault="00505C9B" w14:paraId="3B209EB4" w14:textId="77777777">
      <w:pPr>
        <w:spacing w:after="0"/>
        <w:rPr>
          <w:color w:val="000000" w:themeColor="text1"/>
          <w:sz w:val="20"/>
          <w:szCs w:val="20"/>
          <w:u w:val="single"/>
        </w:rPr>
      </w:pPr>
    </w:p>
    <w:p w:rsidR="005D00EC" w:rsidP="00254256" w:rsidRDefault="005D00EC" w14:paraId="795D6625" w14:textId="77777777">
      <w:pPr>
        <w:spacing w:after="0"/>
        <w:rPr>
          <w:color w:val="000000" w:themeColor="text1"/>
          <w:sz w:val="20"/>
          <w:szCs w:val="20"/>
          <w:u w:val="single"/>
        </w:rPr>
      </w:pPr>
    </w:p>
    <w:p w:rsidR="005D00EC" w:rsidP="00254256" w:rsidRDefault="005D00EC" w14:paraId="097EF84B" w14:textId="77777777">
      <w:pPr>
        <w:spacing w:after="0"/>
        <w:rPr>
          <w:color w:val="000000" w:themeColor="text1"/>
          <w:sz w:val="20"/>
          <w:szCs w:val="20"/>
          <w:u w:val="single"/>
        </w:rPr>
      </w:pPr>
    </w:p>
    <w:p w:rsidR="005D00EC" w:rsidP="00254256" w:rsidRDefault="005D00EC" w14:paraId="3D656ECC" w14:textId="77777777">
      <w:pPr>
        <w:spacing w:after="0"/>
        <w:rPr>
          <w:color w:val="000000" w:themeColor="text1"/>
          <w:sz w:val="20"/>
          <w:szCs w:val="20"/>
          <w:u w:val="single"/>
        </w:rPr>
      </w:pPr>
    </w:p>
    <w:p w:rsidR="630A493F" w:rsidP="630A493F" w:rsidRDefault="630A493F" w14:paraId="10C24479" w14:textId="7B938B50">
      <w:pPr>
        <w:spacing w:after="0"/>
        <w:rPr>
          <w:color w:val="000000" w:themeColor="text1"/>
          <w:sz w:val="20"/>
          <w:szCs w:val="20"/>
          <w:u w:val="single"/>
        </w:rPr>
      </w:pPr>
    </w:p>
    <w:p w:rsidR="00715A34" w:rsidP="630A493F" w:rsidRDefault="00715A34" w14:paraId="1FE654CC" w14:textId="77777777">
      <w:pPr>
        <w:spacing w:after="0"/>
        <w:rPr>
          <w:color w:val="000000" w:themeColor="text1"/>
          <w:sz w:val="20"/>
          <w:szCs w:val="20"/>
          <w:u w:val="single"/>
        </w:rPr>
      </w:pPr>
    </w:p>
    <w:p w:rsidR="00715A34" w:rsidP="630A493F" w:rsidRDefault="00715A34" w14:paraId="2B2043B7" w14:textId="77777777">
      <w:pPr>
        <w:spacing w:after="0"/>
        <w:rPr>
          <w:color w:val="000000" w:themeColor="text1"/>
          <w:sz w:val="20"/>
          <w:szCs w:val="20"/>
          <w:u w:val="single"/>
        </w:rPr>
      </w:pPr>
    </w:p>
    <w:p w:rsidR="00715A34" w:rsidP="630A493F" w:rsidRDefault="00715A34" w14:paraId="1CDBF09F" w14:textId="77777777">
      <w:pPr>
        <w:spacing w:after="0"/>
        <w:rPr>
          <w:color w:val="000000" w:themeColor="text1"/>
          <w:sz w:val="20"/>
          <w:szCs w:val="20"/>
          <w:u w:val="single"/>
        </w:rPr>
      </w:pPr>
    </w:p>
    <w:p w:rsidR="00715A34" w:rsidP="630A493F" w:rsidRDefault="00715A34" w14:paraId="7CC2EB23" w14:textId="77777777">
      <w:pPr>
        <w:spacing w:after="0"/>
        <w:rPr>
          <w:color w:val="000000" w:themeColor="text1"/>
          <w:sz w:val="20"/>
          <w:szCs w:val="20"/>
          <w:u w:val="single"/>
        </w:rPr>
      </w:pPr>
    </w:p>
    <w:p w:rsidR="00715A34" w:rsidP="630A493F" w:rsidRDefault="00715A34" w14:paraId="590F40C9" w14:textId="77777777">
      <w:pPr>
        <w:spacing w:after="0"/>
        <w:rPr>
          <w:color w:val="000000" w:themeColor="text1"/>
          <w:sz w:val="20"/>
          <w:szCs w:val="20"/>
          <w:u w:val="single"/>
        </w:rPr>
      </w:pPr>
    </w:p>
    <w:p w:rsidR="00715A34" w:rsidP="630A493F" w:rsidRDefault="00715A34" w14:paraId="4E484E40" w14:textId="77777777">
      <w:pPr>
        <w:spacing w:after="0"/>
        <w:rPr>
          <w:color w:val="000000" w:themeColor="text1"/>
          <w:sz w:val="20"/>
          <w:szCs w:val="20"/>
          <w:u w:val="single"/>
        </w:rPr>
      </w:pPr>
    </w:p>
    <w:p w:rsidR="00715A34" w:rsidP="630A493F" w:rsidRDefault="00715A34" w14:paraId="534F9865" w14:textId="77777777">
      <w:pPr>
        <w:spacing w:after="0"/>
        <w:rPr>
          <w:color w:val="000000" w:themeColor="text1"/>
          <w:sz w:val="20"/>
          <w:szCs w:val="20"/>
          <w:u w:val="single"/>
        </w:rPr>
      </w:pPr>
    </w:p>
    <w:p w:rsidR="00715A34" w:rsidP="630A493F" w:rsidRDefault="00715A34" w14:paraId="3180EA89" w14:textId="77777777">
      <w:pPr>
        <w:spacing w:after="0"/>
        <w:rPr>
          <w:color w:val="000000" w:themeColor="text1"/>
          <w:sz w:val="20"/>
          <w:szCs w:val="20"/>
          <w:u w:val="single"/>
        </w:rPr>
      </w:pPr>
    </w:p>
    <w:p w:rsidR="00715A34" w:rsidP="630A493F" w:rsidRDefault="00715A34" w14:paraId="0928E5EE" w14:textId="77777777">
      <w:pPr>
        <w:spacing w:after="0"/>
        <w:rPr>
          <w:color w:val="000000" w:themeColor="text1"/>
          <w:sz w:val="20"/>
          <w:szCs w:val="20"/>
          <w:u w:val="single"/>
        </w:rPr>
      </w:pPr>
    </w:p>
    <w:p w:rsidR="00715A34" w:rsidP="630A493F" w:rsidRDefault="00715A34" w14:paraId="652DD0D5" w14:textId="77777777">
      <w:pPr>
        <w:spacing w:after="0"/>
        <w:rPr>
          <w:color w:val="000000" w:themeColor="text1"/>
          <w:sz w:val="20"/>
          <w:szCs w:val="20"/>
          <w:u w:val="single"/>
        </w:rPr>
      </w:pPr>
    </w:p>
    <w:p w:rsidR="00715A34" w:rsidP="630A493F" w:rsidRDefault="00715A34" w14:paraId="18690592" w14:textId="77777777">
      <w:pPr>
        <w:spacing w:after="0"/>
        <w:rPr>
          <w:color w:val="000000" w:themeColor="text1"/>
          <w:sz w:val="20"/>
          <w:szCs w:val="20"/>
          <w:u w:val="single"/>
        </w:rPr>
      </w:pPr>
    </w:p>
    <w:p w:rsidR="00715A34" w:rsidP="630A493F" w:rsidRDefault="00715A34" w14:paraId="07DC7E79" w14:textId="77777777">
      <w:pPr>
        <w:spacing w:after="0"/>
        <w:rPr>
          <w:color w:val="000000" w:themeColor="text1"/>
          <w:sz w:val="20"/>
          <w:szCs w:val="20"/>
          <w:u w:val="single"/>
        </w:rPr>
      </w:pPr>
    </w:p>
    <w:p w:rsidR="00715A34" w:rsidP="630A493F" w:rsidRDefault="00715A34" w14:paraId="7F72CA3C" w14:textId="77777777">
      <w:pPr>
        <w:spacing w:after="0"/>
        <w:rPr>
          <w:color w:val="000000" w:themeColor="text1"/>
          <w:sz w:val="20"/>
          <w:szCs w:val="20"/>
          <w:u w:val="single"/>
        </w:rPr>
      </w:pPr>
    </w:p>
    <w:p w:rsidR="00715A34" w:rsidP="630A493F" w:rsidRDefault="00715A34" w14:paraId="3C06717D" w14:textId="77777777">
      <w:pPr>
        <w:spacing w:after="0"/>
        <w:rPr>
          <w:color w:val="000000" w:themeColor="text1"/>
          <w:sz w:val="20"/>
          <w:szCs w:val="20"/>
          <w:u w:val="single"/>
        </w:rPr>
      </w:pPr>
    </w:p>
    <w:p w:rsidR="00715A34" w:rsidP="630A493F" w:rsidRDefault="00715A34" w14:paraId="56EA05C4" w14:textId="77777777">
      <w:pPr>
        <w:spacing w:after="0"/>
        <w:rPr>
          <w:color w:val="000000" w:themeColor="text1"/>
          <w:sz w:val="20"/>
          <w:szCs w:val="20"/>
          <w:u w:val="single"/>
        </w:rPr>
      </w:pPr>
    </w:p>
    <w:p w:rsidR="00715A34" w:rsidP="630A493F" w:rsidRDefault="00715A34" w14:paraId="7E4F8263" w14:textId="77777777">
      <w:pPr>
        <w:spacing w:after="0"/>
        <w:rPr>
          <w:color w:val="000000" w:themeColor="text1"/>
          <w:sz w:val="20"/>
          <w:szCs w:val="20"/>
          <w:u w:val="single"/>
        </w:rPr>
      </w:pPr>
    </w:p>
    <w:p w:rsidR="00715A34" w:rsidP="630A493F" w:rsidRDefault="00715A34" w14:paraId="71612A20" w14:textId="77777777">
      <w:pPr>
        <w:spacing w:after="0"/>
        <w:rPr>
          <w:color w:val="000000" w:themeColor="text1"/>
          <w:sz w:val="20"/>
          <w:szCs w:val="20"/>
          <w:u w:val="single"/>
        </w:rPr>
      </w:pPr>
    </w:p>
    <w:p w:rsidR="00715A34" w:rsidP="630A493F" w:rsidRDefault="00715A34" w14:paraId="2C816ACC" w14:textId="77777777">
      <w:pPr>
        <w:spacing w:after="0"/>
        <w:rPr>
          <w:color w:val="000000" w:themeColor="text1"/>
          <w:sz w:val="20"/>
          <w:szCs w:val="20"/>
          <w:u w:val="single"/>
        </w:rPr>
      </w:pPr>
    </w:p>
    <w:p w:rsidRPr="00254256" w:rsidR="009C7F5D" w:rsidP="630A493F" w:rsidRDefault="009C7F5D" w14:paraId="501EEC26" w14:textId="16BA9CFC">
      <w:pPr>
        <w:spacing w:after="0"/>
        <w:rPr>
          <w:rFonts w:eastAsiaTheme="minorEastAsia"/>
          <w:i/>
          <w:iCs/>
          <w:color w:val="000000" w:themeColor="text1"/>
          <w:sz w:val="20"/>
          <w:szCs w:val="20"/>
        </w:rPr>
      </w:pPr>
      <w:r w:rsidRPr="630A493F">
        <w:rPr>
          <w:color w:val="000000" w:themeColor="text1"/>
          <w:sz w:val="20"/>
          <w:szCs w:val="20"/>
          <w:u w:val="single"/>
        </w:rPr>
        <w:lastRenderedPageBreak/>
        <w:t>Reference list A-Z</w:t>
      </w:r>
    </w:p>
    <w:tbl>
      <w:tblPr>
        <w:tblW w:w="9026" w:type="dxa"/>
        <w:tblLook w:val="04A0" w:firstRow="1" w:lastRow="0" w:firstColumn="1" w:lastColumn="0" w:noHBand="0" w:noVBand="1"/>
      </w:tblPr>
      <w:tblGrid>
        <w:gridCol w:w="9360"/>
      </w:tblGrid>
      <w:tr w:rsidRPr="009C7F5D" w:rsidR="009C7F5D" w:rsidTr="630A493F" w14:paraId="120DD9A6"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50BD87C1"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ACAS (2014) Non-Union Representation in the Workplace. Available at: https://www.acas.org.uk/sites/default/files/2021-03/non-union-representation-in-the-workplace.pdf (Accessed: 18 June 2023)</w:t>
            </w:r>
          </w:p>
        </w:tc>
      </w:tr>
      <w:tr w:rsidRPr="009C7F5D" w:rsidR="009C7F5D" w:rsidTr="630A493F" w14:paraId="57E5BBC5"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38636350"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ACAS (2014) Union Representation in the Workplace. Available at: https://www.acas.org.uk/sites/default/files/2021-03/trade-union-representation-in-the-workplace.pdf (Accessed: 18 June 2023)</w:t>
            </w:r>
          </w:p>
        </w:tc>
      </w:tr>
      <w:tr w:rsidRPr="009C7F5D" w:rsidR="009C7F5D" w:rsidTr="630A493F" w14:paraId="660FA8B4"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236147E4"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ACAS (2015). Acas Code of Practice on disciplinary and grievance procedures. Available at:</w:t>
            </w:r>
            <w:r>
              <w:br/>
            </w:r>
            <w:r w:rsidRPr="630A493F">
              <w:rPr>
                <w:rFonts w:ascii="Calibri" w:hAnsi="Calibri" w:eastAsia="Times New Roman" w:cs="Calibri"/>
                <w:sz w:val="16"/>
                <w:szCs w:val="16"/>
              </w:rPr>
              <w:t xml:space="preserve"> https://www.acas.org.uk/acas-code-of-practice-on-disciplinary-and-grievance-procedures (Accessed: 13 June 2023)</w:t>
            </w:r>
          </w:p>
        </w:tc>
      </w:tr>
      <w:tr w:rsidRPr="009C7F5D" w:rsidR="009C7F5D" w:rsidTr="630A493F" w14:paraId="6D1DC1FD"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01C7E80C"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ACAS (2020). Acas Code of Practice on disciplinary and grievance procedures. Available at:</w:t>
            </w:r>
            <w:r>
              <w:br/>
            </w:r>
            <w:r w:rsidRPr="630A493F">
              <w:rPr>
                <w:rFonts w:ascii="Calibri" w:hAnsi="Calibri" w:eastAsia="Times New Roman" w:cs="Calibri"/>
                <w:sz w:val="16"/>
                <w:szCs w:val="16"/>
              </w:rPr>
              <w:t>https://www.acas.org.uk/acas-code-of-practice-for-disciplinary-and-grievance-procedures/html (Accessed: 13 June 2023)</w:t>
            </w:r>
          </w:p>
        </w:tc>
      </w:tr>
      <w:tr w:rsidRPr="009C7F5D" w:rsidR="009C7F5D" w:rsidTr="630A493F" w14:paraId="2BF54581"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29A7F881"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ACAS (2020). Acas Code of Practice on disciplinary and grievance procedures. Available at:</w:t>
            </w:r>
            <w:r>
              <w:br/>
            </w:r>
            <w:r w:rsidRPr="630A493F">
              <w:rPr>
                <w:rFonts w:ascii="Calibri" w:hAnsi="Calibri" w:eastAsia="Times New Roman" w:cs="Calibri"/>
                <w:sz w:val="16"/>
                <w:szCs w:val="16"/>
              </w:rPr>
              <w:t>https://www.acas.org.uk/acas-code-of-practice-for-disciplinary-and-grievance-procedures/html (Accessed: 14 June 2023)</w:t>
            </w:r>
          </w:p>
        </w:tc>
      </w:tr>
      <w:tr w:rsidRPr="009C7F5D" w:rsidR="009C7F5D" w:rsidTr="630A493F" w14:paraId="4E8155F3" w14:textId="77777777">
        <w:trPr>
          <w:trHeight w:val="300"/>
        </w:trPr>
        <w:tc>
          <w:tcPr>
            <w:tcW w:w="9026" w:type="dxa"/>
            <w:tcBorders>
              <w:top w:val="nil"/>
              <w:left w:val="nil"/>
              <w:bottom w:val="nil"/>
              <w:right w:val="nil"/>
            </w:tcBorders>
            <w:shd w:val="clear" w:color="auto" w:fill="auto"/>
            <w:vAlign w:val="bottom"/>
            <w:hideMark/>
          </w:tcPr>
          <w:p w:rsidRPr="009C7F5D" w:rsidR="009C7F5D" w:rsidP="009C7F5D" w:rsidRDefault="009C7F5D" w14:paraId="7B783B21"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ACAS (2022) Available at: https://www.acas.org.uk/using-workplace-forums (Accessed: 8 June 2023).</w:t>
            </w:r>
          </w:p>
        </w:tc>
      </w:tr>
      <w:tr w:rsidRPr="009C7F5D" w:rsidR="009C7F5D" w:rsidTr="630A493F" w14:paraId="597ADD9E" w14:textId="77777777">
        <w:trPr>
          <w:trHeight w:val="300"/>
        </w:trPr>
        <w:tc>
          <w:tcPr>
            <w:tcW w:w="9026" w:type="dxa"/>
            <w:tcBorders>
              <w:top w:val="nil"/>
              <w:left w:val="nil"/>
              <w:bottom w:val="nil"/>
              <w:right w:val="nil"/>
            </w:tcBorders>
            <w:shd w:val="clear" w:color="auto" w:fill="auto"/>
            <w:vAlign w:val="bottom"/>
            <w:hideMark/>
          </w:tcPr>
          <w:p w:rsidRPr="009C7F5D" w:rsidR="009C7F5D" w:rsidP="009C7F5D" w:rsidRDefault="009C7F5D" w14:paraId="52CB39F2"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ACAS (2022). Arbitration. Available at: https://www.acas.org.uk/arbitration (Accessed: 10 June 2023)</w:t>
            </w:r>
          </w:p>
        </w:tc>
      </w:tr>
      <w:tr w:rsidRPr="009C7F5D" w:rsidR="009C7F5D" w:rsidTr="630A493F" w14:paraId="3DBD7D8E" w14:textId="77777777">
        <w:trPr>
          <w:trHeight w:val="465"/>
        </w:trPr>
        <w:tc>
          <w:tcPr>
            <w:tcW w:w="9026" w:type="dxa"/>
            <w:tcBorders>
              <w:top w:val="nil"/>
              <w:left w:val="nil"/>
              <w:bottom w:val="nil"/>
              <w:right w:val="nil"/>
            </w:tcBorders>
            <w:shd w:val="clear" w:color="auto" w:fill="auto"/>
            <w:vAlign w:val="bottom"/>
            <w:hideMark/>
          </w:tcPr>
          <w:p w:rsidRPr="009C7F5D" w:rsidR="009B46DC" w:rsidP="009C7F5D" w:rsidRDefault="009C7F5D" w14:paraId="5994D508" w14:textId="0D1D4310">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ACAS (2022). Conduct and capability procedures when managing performance Available at: https://www.acas.org.uk/capability-procedures (Accessed: 13 June 2023)</w:t>
            </w:r>
          </w:p>
        </w:tc>
      </w:tr>
      <w:tr w:rsidRPr="009C7F5D" w:rsidR="009C7F5D" w:rsidTr="630A493F" w14:paraId="2A2001C5"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29868EC6"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 xml:space="preserve">Baker, K (2010). Strike injunctions: what employers need to know </w:t>
            </w:r>
            <w:r>
              <w:br/>
            </w:r>
            <w:r w:rsidRPr="630A493F">
              <w:rPr>
                <w:rFonts w:ascii="Calibri" w:hAnsi="Calibri" w:eastAsia="Times New Roman" w:cs="Calibri"/>
                <w:sz w:val="16"/>
                <w:szCs w:val="16"/>
              </w:rPr>
              <w:t>Available at: https://www.personneltoday.com/hr/strike-injuctions-what-employers-need-to-know/. Accessed: 12 June 2023</w:t>
            </w:r>
          </w:p>
        </w:tc>
      </w:tr>
      <w:tr w:rsidRPr="009C7F5D" w:rsidR="009C7F5D" w:rsidTr="630A493F" w14:paraId="3514437E" w14:textId="77777777">
        <w:trPr>
          <w:trHeight w:val="465"/>
        </w:trPr>
        <w:tc>
          <w:tcPr>
            <w:tcW w:w="9026" w:type="dxa"/>
            <w:tcBorders>
              <w:top w:val="nil"/>
              <w:left w:val="nil"/>
              <w:bottom w:val="nil"/>
              <w:right w:val="nil"/>
            </w:tcBorders>
            <w:shd w:val="clear" w:color="auto" w:fill="auto"/>
            <w:vAlign w:val="bottom"/>
            <w:hideMark/>
          </w:tcPr>
          <w:p w:rsidR="009C7F5D" w:rsidP="009C7F5D" w:rsidRDefault="009C7F5D" w14:paraId="4F7F9356" w14:textId="77777777">
            <w:pPr>
              <w:spacing w:after="0" w:line="240" w:lineRule="auto"/>
              <w:rPr>
                <w:rFonts w:ascii="Calibri" w:hAnsi="Calibri" w:eastAsia="Times New Roman" w:cs="Calibri"/>
                <w:sz w:val="16"/>
                <w:szCs w:val="16"/>
                <w:lang w:eastAsia="en-GB"/>
              </w:rPr>
            </w:pPr>
            <w:bookmarkStart w:name="_Int_mlxHDy11" w:id="11"/>
            <w:r w:rsidRPr="630A493F">
              <w:rPr>
                <w:rFonts w:ascii="Calibri" w:hAnsi="Calibri" w:eastAsia="Times New Roman" w:cs="Calibri"/>
                <w:sz w:val="16"/>
                <w:szCs w:val="16"/>
              </w:rPr>
              <w:t xml:space="preserve">Burris, E. (2016) Employee Suggestion Schemes </w:t>
            </w:r>
            <w:bookmarkStart w:name="_Int_RRz81sFs" w:id="12"/>
            <w:r w:rsidRPr="630A493F">
              <w:rPr>
                <w:rFonts w:ascii="Calibri" w:hAnsi="Calibri" w:eastAsia="Times New Roman" w:cs="Calibri"/>
                <w:sz w:val="16"/>
                <w:szCs w:val="16"/>
              </w:rPr>
              <w:t>Don’t</w:t>
            </w:r>
            <w:bookmarkEnd w:id="12"/>
            <w:r w:rsidRPr="630A493F">
              <w:rPr>
                <w:rFonts w:ascii="Calibri" w:hAnsi="Calibri" w:eastAsia="Times New Roman" w:cs="Calibri"/>
                <w:sz w:val="16"/>
                <w:szCs w:val="16"/>
              </w:rPr>
              <w:t xml:space="preserve"> Have to Be Exercises in Futility.</w:t>
            </w:r>
            <w:bookmarkEnd w:id="11"/>
            <w:r w:rsidRPr="630A493F">
              <w:rPr>
                <w:rFonts w:ascii="Calibri" w:hAnsi="Calibri" w:eastAsia="Times New Roman" w:cs="Calibri"/>
                <w:sz w:val="16"/>
                <w:szCs w:val="16"/>
              </w:rPr>
              <w:t xml:space="preserve"> Available at: https://hbr.org/2016/01/employee-suggestion-schemes-dont-have-to-be-exercises-in-futility (Accessed: 8 June 2023).</w:t>
            </w:r>
          </w:p>
          <w:p w:rsidR="00275F53" w:rsidP="009C7F5D" w:rsidRDefault="00275F53" w14:paraId="0EB2D996" w14:textId="77777777">
            <w:pPr>
              <w:spacing w:after="0" w:line="240" w:lineRule="auto"/>
              <w:rPr>
                <w:rFonts w:ascii="Calibri" w:hAnsi="Calibri" w:eastAsia="Times New Roman" w:cs="Calibri"/>
                <w:sz w:val="16"/>
                <w:szCs w:val="16"/>
                <w:lang w:eastAsia="en-GB"/>
              </w:rPr>
            </w:pPr>
          </w:p>
          <w:p w:rsidRPr="00275F53" w:rsidR="00275F53" w:rsidP="009C7F5D" w:rsidRDefault="00275F53" w14:paraId="28F0B31E" w14:textId="7E7CDF7A">
            <w:pPr>
              <w:spacing w:after="0" w:line="240" w:lineRule="auto"/>
              <w:rPr>
                <w:rFonts w:ascii="Calibri" w:hAnsi="Calibri" w:eastAsia="Times New Roman" w:cs="Calibri"/>
                <w:sz w:val="16"/>
                <w:szCs w:val="16"/>
                <w:lang w:eastAsia="en-GB"/>
              </w:rPr>
            </w:pPr>
            <w:r w:rsidRPr="630A493F">
              <w:rPr>
                <w:color w:val="FF0000"/>
                <w:sz w:val="16"/>
                <w:szCs w:val="16"/>
              </w:rPr>
              <w:t>CIPD (2019)</w:t>
            </w:r>
            <w:r w:rsidRPr="630A493F" w:rsidR="00741A98">
              <w:rPr>
                <w:color w:val="FF0000"/>
                <w:sz w:val="16"/>
                <w:szCs w:val="16"/>
              </w:rPr>
              <w:t xml:space="preserve"> </w:t>
            </w:r>
            <w:r w:rsidRPr="630A493F" w:rsidR="00DC6150">
              <w:rPr>
                <w:color w:val="FF0000"/>
                <w:sz w:val="16"/>
                <w:szCs w:val="16"/>
              </w:rPr>
              <w:t>Talking about voice: employees’ experiences.</w:t>
            </w:r>
            <w:r w:rsidRPr="630A493F" w:rsidR="00DC6150">
              <w:rPr>
                <w:color w:val="FF0000"/>
              </w:rPr>
              <w:t xml:space="preserve"> </w:t>
            </w:r>
            <w:r w:rsidRPr="630A493F" w:rsidR="00741A98">
              <w:rPr>
                <w:color w:val="FF0000"/>
                <w:sz w:val="16"/>
                <w:szCs w:val="16"/>
              </w:rPr>
              <w:t xml:space="preserve">Available at: </w:t>
            </w:r>
            <w:r w:rsidRPr="630A493F">
              <w:rPr>
                <w:color w:val="FF0000"/>
                <w:sz w:val="16"/>
                <w:szCs w:val="16"/>
              </w:rPr>
              <w:t>talking-about-voice_employees-experiences-summary_tcm18-54481.pdf (cipd.org)</w:t>
            </w:r>
            <w:r w:rsidRPr="630A493F" w:rsidR="00DC6150">
              <w:rPr>
                <w:color w:val="FF0000"/>
                <w:sz w:val="16"/>
                <w:szCs w:val="16"/>
              </w:rPr>
              <w:t xml:space="preserve"> (Accessed </w:t>
            </w:r>
            <w:r w:rsidRPr="630A493F" w:rsidR="00EC0B9B">
              <w:rPr>
                <w:color w:val="FF0000"/>
                <w:sz w:val="16"/>
                <w:szCs w:val="16"/>
              </w:rPr>
              <w:t>24.08.2023)</w:t>
            </w:r>
          </w:p>
        </w:tc>
      </w:tr>
      <w:tr w:rsidRPr="009C7F5D" w:rsidR="009C7F5D" w:rsidTr="630A493F" w14:paraId="46D3507D" w14:textId="77777777">
        <w:trPr>
          <w:trHeight w:val="465"/>
        </w:trPr>
        <w:tc>
          <w:tcPr>
            <w:tcW w:w="9026" w:type="dxa"/>
            <w:tcBorders>
              <w:top w:val="nil"/>
              <w:left w:val="nil"/>
              <w:bottom w:val="nil"/>
              <w:right w:val="nil"/>
            </w:tcBorders>
            <w:shd w:val="clear" w:color="auto" w:fill="auto"/>
            <w:vAlign w:val="bottom"/>
            <w:hideMark/>
          </w:tcPr>
          <w:p w:rsidR="009C7F5D" w:rsidP="009C7F5D" w:rsidRDefault="009C7F5D" w14:paraId="485729CC"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CIPD (2020). Managing Conflict in the workplace. Available at: https://www.cipd.org/globalassets/media/knowledge/knowledge-hub/reports/managing-conflict-in-the-workplace-2_tcm18-70655.pdf (Accessed: 9 June 2023).</w:t>
            </w:r>
          </w:p>
          <w:p w:rsidR="0058373E" w:rsidP="009C7C04" w:rsidRDefault="002C59D7" w14:paraId="777B7A0A" w14:textId="77777777">
            <w:pPr>
              <w:rPr>
                <w:rFonts w:ascii="Calibri" w:hAnsi="Calibri" w:eastAsia="Times New Roman" w:cs="Calibri"/>
                <w:sz w:val="16"/>
                <w:szCs w:val="16"/>
                <w:lang w:eastAsia="en-GB"/>
              </w:rPr>
            </w:pPr>
            <w:r w:rsidRPr="630A493F">
              <w:rPr>
                <w:rFonts w:ascii="Calibri" w:hAnsi="Calibri" w:eastAsia="Times New Roman" w:cs="Calibri"/>
                <w:sz w:val="16"/>
                <w:szCs w:val="16"/>
              </w:rPr>
              <w:t xml:space="preserve"> </w:t>
            </w:r>
          </w:p>
          <w:p w:rsidRPr="009C7F5D" w:rsidR="002C59D7" w:rsidP="009C7C04" w:rsidRDefault="00900A5D" w14:paraId="656DF816" w14:textId="0F597758">
            <w:pPr>
              <w:rPr>
                <w:rFonts w:ascii="Calibri" w:hAnsi="Calibri" w:eastAsia="Times New Roman" w:cs="Calibri"/>
                <w:sz w:val="16"/>
                <w:szCs w:val="16"/>
                <w:lang w:eastAsia="en-GB"/>
              </w:rPr>
            </w:pPr>
            <w:r w:rsidRPr="630A493F">
              <w:rPr>
                <w:rFonts w:ascii="Calibri" w:hAnsi="Calibri" w:eastAsia="Times New Roman" w:cs="Calibri"/>
                <w:color w:val="FF0000"/>
                <w:sz w:val="16"/>
                <w:szCs w:val="16"/>
              </w:rPr>
              <w:t xml:space="preserve">CIPD (2021) </w:t>
            </w:r>
            <w:r w:rsidRPr="630A493F" w:rsidR="000A406B">
              <w:rPr>
                <w:color w:val="FF0000"/>
                <w:sz w:val="16"/>
                <w:szCs w:val="16"/>
              </w:rPr>
              <w:t xml:space="preserve">Employee engagement: definitions, </w:t>
            </w:r>
            <w:r w:rsidRPr="630A493F" w:rsidR="00577F7F">
              <w:rPr>
                <w:color w:val="FF0000"/>
                <w:sz w:val="16"/>
                <w:szCs w:val="16"/>
              </w:rPr>
              <w:t>measures,</w:t>
            </w:r>
            <w:r w:rsidRPr="630A493F" w:rsidR="000A406B">
              <w:rPr>
                <w:color w:val="FF0000"/>
                <w:sz w:val="16"/>
                <w:szCs w:val="16"/>
              </w:rPr>
              <w:t xml:space="preserve"> and outcomes</w:t>
            </w:r>
            <w:r w:rsidRPr="630A493F" w:rsidR="000A406B">
              <w:rPr>
                <w:color w:val="FF0000"/>
              </w:rPr>
              <w:t xml:space="preserve"> </w:t>
            </w:r>
            <w:r w:rsidRPr="630A493F" w:rsidR="000A406B">
              <w:rPr>
                <w:rFonts w:ascii="Calibri" w:hAnsi="Calibri" w:eastAsia="Times New Roman" w:cs="Calibri"/>
                <w:color w:val="FF0000"/>
                <w:sz w:val="16"/>
                <w:szCs w:val="16"/>
              </w:rPr>
              <w:t>Available at: https://www.cipd.org/globalassets/media/knowledge/knowledge-hub/evidence-reviews/employee-engagement-discussion-report_tcm18-89598.pdf (Accessed</w:t>
            </w:r>
            <w:r w:rsidRPr="630A493F" w:rsidR="0058373E">
              <w:rPr>
                <w:rFonts w:ascii="Calibri" w:hAnsi="Calibri" w:eastAsia="Times New Roman" w:cs="Calibri"/>
                <w:color w:val="FF0000"/>
                <w:sz w:val="16"/>
                <w:szCs w:val="16"/>
              </w:rPr>
              <w:t>: 24 August 2023)</w:t>
            </w:r>
          </w:p>
        </w:tc>
      </w:tr>
      <w:tr w:rsidRPr="009C7F5D" w:rsidR="009C7F5D" w:rsidTr="630A493F" w14:paraId="73BE58E2" w14:textId="77777777">
        <w:trPr>
          <w:trHeight w:val="300"/>
        </w:trPr>
        <w:tc>
          <w:tcPr>
            <w:tcW w:w="9026" w:type="dxa"/>
            <w:tcBorders>
              <w:top w:val="nil"/>
              <w:left w:val="nil"/>
              <w:bottom w:val="nil"/>
              <w:right w:val="nil"/>
            </w:tcBorders>
            <w:shd w:val="clear" w:color="auto" w:fill="auto"/>
            <w:vAlign w:val="bottom"/>
            <w:hideMark/>
          </w:tcPr>
          <w:p w:rsidRPr="009C7F5D" w:rsidR="009C7F5D" w:rsidP="009C7F5D" w:rsidRDefault="009C7F5D" w14:paraId="33C3A5DA"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CIPD (2021) Available at: https://www.cipd.org/uk/knowledge/guides/employee-voice-guide/#meetings (Accessed: 25 May 2023).</w:t>
            </w:r>
          </w:p>
        </w:tc>
      </w:tr>
      <w:tr w:rsidRPr="009C7F5D" w:rsidR="009C7F5D" w:rsidTr="630A493F" w14:paraId="003BF78D" w14:textId="77777777">
        <w:trPr>
          <w:trHeight w:val="300"/>
        </w:trPr>
        <w:tc>
          <w:tcPr>
            <w:tcW w:w="9026" w:type="dxa"/>
            <w:tcBorders>
              <w:top w:val="nil"/>
              <w:left w:val="nil"/>
              <w:bottom w:val="nil"/>
              <w:right w:val="nil"/>
            </w:tcBorders>
            <w:shd w:val="clear" w:color="auto" w:fill="auto"/>
            <w:vAlign w:val="bottom"/>
            <w:hideMark/>
          </w:tcPr>
          <w:p w:rsidRPr="009C7F5D" w:rsidR="009C7F5D" w:rsidP="009C7F5D" w:rsidRDefault="009C7F5D" w14:paraId="6864DB3F"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CIPD (2022) Available at: https://www.cipd.org/uk/knowledge/reports/collective-employee-voice/(Accessed: 25 May 2023).</w:t>
            </w:r>
          </w:p>
        </w:tc>
      </w:tr>
      <w:tr w:rsidRPr="009C7F5D" w:rsidR="009C7F5D" w:rsidTr="630A493F" w14:paraId="39CF7266"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179492C6"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CIPD (2022), CIPD Good Work Index 2022 Available at: https://www.cipd.org/uk/knowledge/reports/goodwork/#How (Accessed: 25 May 2023).</w:t>
            </w:r>
          </w:p>
        </w:tc>
      </w:tr>
      <w:tr w:rsidRPr="009C7F5D" w:rsidR="009C7F5D" w:rsidTr="630A493F" w14:paraId="3A40E9A1"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66648B4D"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 xml:space="preserve">CIPD (2022). Trade union recognition and industrial action: UK employment law. Available at: </w:t>
            </w:r>
            <w:r>
              <w:br/>
            </w:r>
            <w:r w:rsidRPr="630A493F">
              <w:rPr>
                <w:rFonts w:ascii="Calibri" w:hAnsi="Calibri" w:eastAsia="Times New Roman" w:cs="Calibri"/>
                <w:sz w:val="16"/>
                <w:szCs w:val="16"/>
              </w:rPr>
              <w:t>https://www.cipd.org/uk/knowledge/employment-law/employee-relations/ (Accessed: 16 June 2023)</w:t>
            </w:r>
          </w:p>
        </w:tc>
      </w:tr>
      <w:tr w:rsidRPr="009C7F5D" w:rsidR="009C7F5D" w:rsidTr="630A493F" w14:paraId="7671D63C"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674FAB77"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CIPD (2022). Tribunal claims: UK employment law. Available at:</w:t>
            </w:r>
            <w:r>
              <w:br/>
            </w:r>
            <w:r w:rsidRPr="630A493F">
              <w:rPr>
                <w:rFonts w:ascii="Calibri" w:hAnsi="Calibri" w:eastAsia="Times New Roman" w:cs="Calibri"/>
                <w:sz w:val="16"/>
                <w:szCs w:val="16"/>
              </w:rPr>
              <w:t xml:space="preserve"> https://www.cipd.org/uk/knowledge/employment-law/tribunals/#key-legal-principles (Accessed: 10 June 2023)</w:t>
            </w:r>
          </w:p>
        </w:tc>
      </w:tr>
      <w:tr w:rsidRPr="009C7F5D" w:rsidR="009C7F5D" w:rsidTr="630A493F" w14:paraId="67BBB929" w14:textId="77777777">
        <w:trPr>
          <w:trHeight w:val="690"/>
        </w:trPr>
        <w:tc>
          <w:tcPr>
            <w:tcW w:w="9026" w:type="dxa"/>
            <w:tcBorders>
              <w:top w:val="nil"/>
              <w:left w:val="nil"/>
              <w:bottom w:val="nil"/>
              <w:right w:val="nil"/>
            </w:tcBorders>
            <w:shd w:val="clear" w:color="auto" w:fill="auto"/>
            <w:vAlign w:val="bottom"/>
            <w:hideMark/>
          </w:tcPr>
          <w:p w:rsidRPr="009C7F5D" w:rsidR="009C7F5D" w:rsidP="2AB31906" w:rsidRDefault="009C7F5D" w14:paraId="104E9959" w14:textId="58E79AF4">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CIPD (2023). Disciplinary and grievance procedures: Guidance for managers. Available at: https://www.cipd.org/uk/knowledge/guides/disciplinary-and-grievance-procedures-guidance-for-managers/ (Accessed: 18 June 2023)</w:t>
            </w:r>
          </w:p>
          <w:p w:rsidRPr="009C7F5D" w:rsidR="009C7F5D" w:rsidP="2AB31906" w:rsidRDefault="009C7F5D" w14:paraId="292436D9" w14:textId="46598925">
            <w:pPr>
              <w:spacing w:after="0" w:line="240" w:lineRule="auto"/>
              <w:rPr>
                <w:rFonts w:ascii="Calibri" w:hAnsi="Calibri" w:eastAsia="Times New Roman" w:cs="Calibri"/>
                <w:sz w:val="16"/>
                <w:szCs w:val="16"/>
                <w:lang w:eastAsia="en-GB"/>
              </w:rPr>
            </w:pPr>
          </w:p>
          <w:p w:rsidRPr="009C7F5D" w:rsidR="009C7F5D" w:rsidP="2AB31906" w:rsidRDefault="12797E4F" w14:paraId="0834AC1E" w14:textId="6B0D9F23">
            <w:pPr>
              <w:spacing w:after="0" w:line="240" w:lineRule="auto"/>
              <w:rPr>
                <w:rFonts w:ascii="Calibri" w:hAnsi="Calibri" w:eastAsia="Calibri" w:cs="Calibri"/>
                <w:color w:val="000000" w:themeColor="text1"/>
                <w:sz w:val="16"/>
                <w:szCs w:val="16"/>
                <w:lang w:val="en-US"/>
              </w:rPr>
            </w:pPr>
            <w:r w:rsidRPr="630A493F">
              <w:rPr>
                <w:rFonts w:ascii="Calibri" w:hAnsi="Calibri" w:eastAsia="Calibri" w:cs="Calibri"/>
                <w:sz w:val="16"/>
                <w:szCs w:val="16"/>
              </w:rPr>
              <w:t xml:space="preserve">CIPD (2023). </w:t>
            </w:r>
            <w:r w:rsidRPr="630A493F">
              <w:rPr>
                <w:rFonts w:ascii="Calibri" w:hAnsi="Calibri" w:eastAsia="Calibri" w:cs="Calibri"/>
                <w:i/>
                <w:iCs/>
                <w:sz w:val="16"/>
                <w:szCs w:val="16"/>
              </w:rPr>
              <w:t>Working with Trade Unions. Available at:</w:t>
            </w:r>
            <w:r w:rsidRPr="630A493F">
              <w:rPr>
                <w:rFonts w:ascii="Calibri" w:hAnsi="Calibri" w:eastAsia="Calibri" w:cs="Calibri"/>
                <w:sz w:val="16"/>
                <w:szCs w:val="16"/>
              </w:rPr>
              <w:t xml:space="preserve"> </w:t>
            </w:r>
            <w:r w:rsidRPr="630A493F" w:rsidR="2D214CA4">
              <w:rPr>
                <w:rFonts w:ascii="Calibri" w:hAnsi="Calibri" w:eastAsia="Calibri" w:cs="Calibri"/>
                <w:sz w:val="16"/>
                <w:szCs w:val="16"/>
              </w:rPr>
              <w:t>https://www.cipd.org/uk/knowledge/guides/working-trade-unions/ (</w:t>
            </w:r>
            <w:r w:rsidRPr="630A493F">
              <w:rPr>
                <w:rFonts w:ascii="Calibri" w:hAnsi="Calibri" w:eastAsia="Calibri" w:cs="Calibri"/>
                <w:sz w:val="16"/>
                <w:szCs w:val="16"/>
              </w:rPr>
              <w:t>Accessed 19 June 2023)</w:t>
            </w:r>
          </w:p>
        </w:tc>
      </w:tr>
      <w:tr w:rsidRPr="009C7F5D" w:rsidR="009C7F5D" w:rsidTr="630A493F" w14:paraId="5928E681" w14:textId="77777777">
        <w:trPr>
          <w:trHeight w:val="690"/>
        </w:trPr>
        <w:tc>
          <w:tcPr>
            <w:tcW w:w="9026" w:type="dxa"/>
            <w:tcBorders>
              <w:top w:val="nil"/>
              <w:left w:val="nil"/>
              <w:bottom w:val="nil"/>
              <w:right w:val="nil"/>
            </w:tcBorders>
            <w:shd w:val="clear" w:color="auto" w:fill="auto"/>
            <w:vAlign w:val="bottom"/>
            <w:hideMark/>
          </w:tcPr>
          <w:p w:rsidRPr="009C7F5D" w:rsidR="009C7F5D" w:rsidP="009C7F5D" w:rsidRDefault="12797E4F" w14:paraId="27BB57ED" w14:textId="13ECF206">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C</w:t>
            </w:r>
            <w:r w:rsidRPr="630A493F" w:rsidR="009C7F5D">
              <w:rPr>
                <w:rFonts w:ascii="Calibri" w:hAnsi="Calibri" w:eastAsia="Times New Roman" w:cs="Calibri"/>
                <w:sz w:val="16"/>
                <w:szCs w:val="16"/>
              </w:rPr>
              <w:t xml:space="preserve">rabtree S. (2005), ‘Engagement Keeps the Doctor Away’, </w:t>
            </w:r>
            <w:hyperlink r:id="rId5">
              <w:r w:rsidRPr="630A493F" w:rsidR="009C7F5D">
                <w:rPr>
                  <w:rStyle w:val="Hyperlink"/>
                  <w:rFonts w:ascii="Calibri" w:hAnsi="Calibri" w:eastAsia="Times New Roman" w:cs="Calibri"/>
                  <w:color w:val="auto"/>
                  <w:sz w:val="16"/>
                  <w:szCs w:val="16"/>
                </w:rPr>
                <w:t>https://news.gallup.com/businessjournal/14500/engagement-keeps-doctor-away.aspx</w:t>
              </w:r>
            </w:hyperlink>
            <w:r w:rsidRPr="630A493F" w:rsidR="009C7F5D">
              <w:rPr>
                <w:rFonts w:ascii="Calibri" w:hAnsi="Calibri" w:eastAsia="Times New Roman" w:cs="Calibri"/>
                <w:sz w:val="16"/>
                <w:szCs w:val="16"/>
              </w:rPr>
              <w:t xml:space="preserve"> (Accessed: 26 May 2023)</w:t>
            </w:r>
          </w:p>
        </w:tc>
      </w:tr>
      <w:tr w:rsidRPr="009C7F5D" w:rsidR="009C7F5D" w:rsidTr="630A493F" w14:paraId="0A2F7036" w14:textId="77777777">
        <w:trPr>
          <w:trHeight w:val="300"/>
        </w:trPr>
        <w:tc>
          <w:tcPr>
            <w:tcW w:w="9026" w:type="dxa"/>
            <w:tcBorders>
              <w:top w:val="nil"/>
              <w:left w:val="nil"/>
              <w:bottom w:val="nil"/>
              <w:right w:val="nil"/>
            </w:tcBorders>
            <w:shd w:val="clear" w:color="auto" w:fill="auto"/>
            <w:vAlign w:val="bottom"/>
            <w:hideMark/>
          </w:tcPr>
          <w:p w:rsidRPr="009C7F5D" w:rsidR="009C7F5D" w:rsidP="009C7F5D" w:rsidRDefault="009C7F5D" w14:paraId="111FC0AD"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Daniels, K. (2022) Introduction to Employment Law. 6th Edition. London: Kogan Page. Section 10.4. Collective Bargaining.</w:t>
            </w:r>
          </w:p>
        </w:tc>
      </w:tr>
      <w:tr w:rsidRPr="009C7F5D" w:rsidR="009C7F5D" w:rsidTr="630A493F" w14:paraId="1E6125DD" w14:textId="77777777">
        <w:trPr>
          <w:trHeight w:val="300"/>
        </w:trPr>
        <w:tc>
          <w:tcPr>
            <w:tcW w:w="9026" w:type="dxa"/>
            <w:tcBorders>
              <w:top w:val="nil"/>
              <w:left w:val="nil"/>
              <w:bottom w:val="nil"/>
              <w:right w:val="nil"/>
            </w:tcBorders>
            <w:shd w:val="clear" w:color="auto" w:fill="auto"/>
            <w:vAlign w:val="bottom"/>
            <w:hideMark/>
          </w:tcPr>
          <w:p w:rsidRPr="009C7F5D" w:rsidR="009C7F5D" w:rsidP="009C7F5D" w:rsidRDefault="009C7F5D" w14:paraId="58F08668"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 xml:space="preserve">Daniels, K. (2022) Introduction to Employment Law. 6th Edition. London: Kogan Page. Section 10.5.4. Lawful Industrial Action. </w:t>
            </w:r>
          </w:p>
        </w:tc>
      </w:tr>
      <w:tr w:rsidRPr="009C7F5D" w:rsidR="009C7F5D" w:rsidTr="630A493F" w14:paraId="79D5B1AF" w14:textId="77777777">
        <w:trPr>
          <w:trHeight w:val="300"/>
        </w:trPr>
        <w:tc>
          <w:tcPr>
            <w:tcW w:w="9026" w:type="dxa"/>
            <w:tcBorders>
              <w:top w:val="nil"/>
              <w:left w:val="nil"/>
              <w:bottom w:val="nil"/>
              <w:right w:val="nil"/>
            </w:tcBorders>
            <w:shd w:val="clear" w:color="auto" w:fill="auto"/>
            <w:vAlign w:val="bottom"/>
            <w:hideMark/>
          </w:tcPr>
          <w:p w:rsidRPr="009C7F5D" w:rsidR="009C7F5D" w:rsidP="009C7F5D" w:rsidRDefault="009C7F5D" w14:paraId="0FF66036"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Daniels, K. (2022) Introduction to Employment Law. 6th Edition. London: Kogan Page. Section 10.5.5. Unlawful Industrial Action</w:t>
            </w:r>
          </w:p>
        </w:tc>
      </w:tr>
      <w:tr w:rsidRPr="009C7F5D" w:rsidR="009C7F5D" w:rsidTr="630A493F" w14:paraId="4505013F"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160E7E03"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Dismissing Staff: Unfair Dismissals. Available at:</w:t>
            </w:r>
            <w:r>
              <w:br/>
            </w:r>
            <w:r w:rsidRPr="630A493F">
              <w:rPr>
                <w:rFonts w:ascii="Calibri" w:hAnsi="Calibri" w:eastAsia="Times New Roman" w:cs="Calibri"/>
                <w:sz w:val="16"/>
                <w:szCs w:val="16"/>
              </w:rPr>
              <w:t>https://www.gov.uk/dismiss-staff/unfair-dismissals (Accessed: 13 June 2023)</w:t>
            </w:r>
          </w:p>
        </w:tc>
      </w:tr>
      <w:tr w:rsidRPr="009C7F5D" w:rsidR="009C7F5D" w:rsidTr="630A493F" w14:paraId="6272818B"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6C0DA4A7"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Dromey, J (2015) ICE and voice ten years on: An idea without a constituency, IPA https://www.ipa-involve.com/Handlers/Download.ashx?IDMF=d9ca5fed-5b63-4834-b25f-ffd92ea27716 (Accessed: 24 May 2023)</w:t>
            </w:r>
          </w:p>
        </w:tc>
      </w:tr>
      <w:tr w:rsidRPr="009C7F5D" w:rsidR="009C7F5D" w:rsidTr="630A493F" w14:paraId="0C92D9CB" w14:textId="77777777">
        <w:trPr>
          <w:trHeight w:val="465"/>
        </w:trPr>
        <w:tc>
          <w:tcPr>
            <w:tcW w:w="9026" w:type="dxa"/>
            <w:tcBorders>
              <w:top w:val="nil"/>
              <w:left w:val="nil"/>
              <w:bottom w:val="nil"/>
              <w:right w:val="nil"/>
            </w:tcBorders>
            <w:shd w:val="clear" w:color="auto" w:fill="auto"/>
            <w:vAlign w:val="bottom"/>
            <w:hideMark/>
          </w:tcPr>
          <w:p w:rsidRPr="00224690" w:rsidR="009C7F5D" w:rsidP="009C7F5D" w:rsidRDefault="009C7F5D" w14:paraId="5DE09A78" w14:textId="77777777">
            <w:pPr>
              <w:spacing w:after="0" w:line="240" w:lineRule="auto"/>
              <w:rPr>
                <w:rFonts w:ascii="Calibri" w:hAnsi="Calibri" w:eastAsia="Times New Roman" w:cs="Calibri"/>
                <w:strike/>
                <w:sz w:val="16"/>
                <w:szCs w:val="16"/>
                <w:lang w:eastAsia="en-GB"/>
              </w:rPr>
            </w:pPr>
            <w:r w:rsidRPr="630A493F">
              <w:rPr>
                <w:rFonts w:ascii="Calibri" w:hAnsi="Calibri" w:eastAsia="Times New Roman" w:cs="Calibri"/>
                <w:strike/>
                <w:sz w:val="16"/>
                <w:szCs w:val="16"/>
              </w:rPr>
              <w:t>Employee Participation: The Definition and Benefits, https://www.toolshero.com/tag/employee-participation/. (Accessed: 24 May 2023)</w:t>
            </w:r>
          </w:p>
        </w:tc>
      </w:tr>
      <w:tr w:rsidRPr="009C7F5D" w:rsidR="009C7F5D" w:rsidTr="630A493F" w14:paraId="12846D3E" w14:textId="77777777">
        <w:trPr>
          <w:trHeight w:val="300"/>
        </w:trPr>
        <w:tc>
          <w:tcPr>
            <w:tcW w:w="9026" w:type="dxa"/>
            <w:tcBorders>
              <w:top w:val="nil"/>
              <w:left w:val="nil"/>
              <w:bottom w:val="nil"/>
              <w:right w:val="nil"/>
            </w:tcBorders>
            <w:shd w:val="clear" w:color="auto" w:fill="auto"/>
            <w:vAlign w:val="bottom"/>
            <w:hideMark/>
          </w:tcPr>
          <w:p w:rsidRPr="009C7F5D" w:rsidR="009C7F5D" w:rsidP="009C7F5D" w:rsidRDefault="009C7F5D" w14:paraId="78B9FF4F"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Employment rights act (1996). Available at: https://www.legislation.gov.uk/ukpga/1996/18/contents (Accessed: 13 June 2023)</w:t>
            </w:r>
          </w:p>
        </w:tc>
      </w:tr>
      <w:tr w:rsidRPr="009C7F5D" w:rsidR="009C7F5D" w:rsidTr="630A493F" w14:paraId="57BAA677"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7D5F9A98"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lastRenderedPageBreak/>
              <w:t>Fleming J, Coffman C, and Harter J (2005) ‘Manage Your Human Sigma’, Harvard Business Review Fleming J, Coffman C, and Harter J (2005) ‘Manage Your Human Sigma’, Harvard Business Review</w:t>
            </w:r>
          </w:p>
        </w:tc>
      </w:tr>
      <w:tr w:rsidRPr="009C7F5D" w:rsidR="009C7F5D" w:rsidTr="630A493F" w14:paraId="0A57F814" w14:textId="77777777">
        <w:trPr>
          <w:trHeight w:val="690"/>
        </w:trPr>
        <w:tc>
          <w:tcPr>
            <w:tcW w:w="9026" w:type="dxa"/>
            <w:tcBorders>
              <w:top w:val="nil"/>
              <w:left w:val="nil"/>
              <w:bottom w:val="nil"/>
              <w:right w:val="nil"/>
            </w:tcBorders>
            <w:shd w:val="clear" w:color="auto" w:fill="auto"/>
            <w:vAlign w:val="bottom"/>
            <w:hideMark/>
          </w:tcPr>
          <w:p w:rsidRPr="007A446E" w:rsidR="009C7F5D" w:rsidP="009C7F5D" w:rsidRDefault="009C7F5D" w14:paraId="2E90F6C7" w14:textId="5A8B5B6B">
            <w:pPr>
              <w:spacing w:after="0" w:line="240" w:lineRule="auto"/>
              <w:rPr>
                <w:rFonts w:ascii="Calibri" w:hAnsi="Calibri" w:eastAsia="Times New Roman" w:cs="Calibri"/>
                <w:sz w:val="16"/>
                <w:szCs w:val="16"/>
                <w:highlight w:val="yellow"/>
                <w:lang w:eastAsia="en-GB"/>
              </w:rPr>
            </w:pPr>
            <w:r w:rsidRPr="630A493F">
              <w:rPr>
                <w:rFonts w:ascii="Calibri" w:hAnsi="Calibri" w:eastAsia="Times New Roman" w:cs="Calibri"/>
                <w:sz w:val="16"/>
                <w:szCs w:val="16"/>
                <w:highlight w:val="yellow"/>
              </w:rPr>
              <w:t>Industrial action and the law – guidance (2010). Available at: https://assets.publishing.service.gov.uk/government/uploads/system/uploads/attachment_data/file/249807/10-923-industrial-action-and-the-law.pdf (Accessed: 10 June 2023)</w:t>
            </w:r>
            <w:r w:rsidRPr="630A493F" w:rsidR="00C06E3C">
              <w:rPr>
                <w:rFonts w:ascii="Calibri" w:hAnsi="Calibri" w:eastAsia="Times New Roman" w:cs="Calibri"/>
                <w:sz w:val="16"/>
                <w:szCs w:val="16"/>
                <w:highlight w:val="yellow"/>
              </w:rPr>
              <w:t xml:space="preserve"> – REFERS TO 2.2</w:t>
            </w:r>
          </w:p>
        </w:tc>
      </w:tr>
      <w:tr w:rsidRPr="009C7F5D" w:rsidR="009C7F5D" w:rsidTr="630A493F" w14:paraId="5D83EBEB"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6BD4CB30"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Macleod, D, &amp; Clarke, N (2021) Engaging for success: enhancing performance through employee engagement https://engageforsuccess.org/wp-content/uploads/2021/02/Engaging-for-Success.pdf pp 38</w:t>
            </w:r>
          </w:p>
        </w:tc>
      </w:tr>
      <w:tr w:rsidRPr="009C7F5D" w:rsidR="009C7F5D" w:rsidTr="630A493F" w14:paraId="461D8287"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28FE7D66" w14:textId="77777777">
            <w:pPr>
              <w:spacing w:after="0" w:line="240" w:lineRule="auto"/>
              <w:rPr>
                <w:rFonts w:ascii="Calibri" w:hAnsi="Calibri" w:eastAsia="Times New Roman" w:cs="Calibri"/>
                <w:sz w:val="16"/>
                <w:szCs w:val="16"/>
                <w:lang w:eastAsia="en-GB"/>
              </w:rPr>
            </w:pPr>
            <w:bookmarkStart w:name="_Int_fL8EWUlD" w:id="13"/>
            <w:r w:rsidRPr="630A493F">
              <w:rPr>
                <w:rFonts w:ascii="Calibri" w:hAnsi="Calibri" w:eastAsia="Times New Roman" w:cs="Calibri"/>
                <w:sz w:val="16"/>
                <w:szCs w:val="16"/>
              </w:rPr>
              <w:t>Marchington, M. et al. (2021) Human resource management at work: the definitive guide.</w:t>
            </w:r>
            <w:bookmarkEnd w:id="13"/>
            <w:r w:rsidRPr="630A493F">
              <w:rPr>
                <w:rFonts w:ascii="Calibri" w:hAnsi="Calibri" w:eastAsia="Times New Roman" w:cs="Calibri"/>
                <w:sz w:val="16"/>
                <w:szCs w:val="16"/>
              </w:rPr>
              <w:t xml:space="preserve"> Seventh edition. London, United Kingdom: Kogan Page. (Accessed: 24 May 2023)</w:t>
            </w:r>
          </w:p>
        </w:tc>
      </w:tr>
      <w:tr w:rsidRPr="009C7F5D" w:rsidR="009C7F5D" w:rsidTr="630A493F" w14:paraId="33C8C058"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75255207"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Marsden, T, Gilligan, E. (2022). Striking times: preparing for industrial action. Available at: https://www.peoplemanagement.co.uk/article/1791084/striking-times-preparing-industrial-action (Accessed; 12 June 2023)</w:t>
            </w:r>
          </w:p>
        </w:tc>
      </w:tr>
      <w:tr w:rsidRPr="009C7F5D" w:rsidR="009C7F5D" w:rsidTr="630A493F" w14:paraId="6C537E87"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3787B5BA"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McConnell, A. (2020) The importance of handling grievances properly. Available at: https://www.personneltoday.com/hr/importance-handling-grievances-properly/ (Accessed: 18 June 2023)</w:t>
            </w:r>
          </w:p>
        </w:tc>
      </w:tr>
      <w:tr w:rsidRPr="009C7F5D" w:rsidR="009C7F5D" w:rsidTr="630A493F" w14:paraId="1736EE61" w14:textId="77777777">
        <w:trPr>
          <w:trHeight w:val="465"/>
        </w:trPr>
        <w:tc>
          <w:tcPr>
            <w:tcW w:w="9026" w:type="dxa"/>
            <w:tcBorders>
              <w:top w:val="nil"/>
              <w:left w:val="nil"/>
              <w:bottom w:val="nil"/>
              <w:right w:val="nil"/>
            </w:tcBorders>
            <w:shd w:val="clear" w:color="auto" w:fill="auto"/>
            <w:vAlign w:val="bottom"/>
            <w:hideMark/>
          </w:tcPr>
          <w:p w:rsidR="009C7F5D" w:rsidP="009C7F5D" w:rsidRDefault="009C7F5D" w14:paraId="48544BF0" w14:textId="77777777">
            <w:pPr>
              <w:spacing w:after="0" w:line="240" w:lineRule="auto"/>
              <w:rPr>
                <w:rFonts w:ascii="Calibri" w:hAnsi="Calibri" w:eastAsia="Times New Roman" w:cs="Calibri"/>
                <w:sz w:val="16"/>
                <w:szCs w:val="16"/>
              </w:rPr>
            </w:pPr>
            <w:r w:rsidRPr="630A493F">
              <w:rPr>
                <w:rFonts w:ascii="Calibri" w:hAnsi="Calibri" w:eastAsia="Times New Roman" w:cs="Calibri"/>
                <w:sz w:val="16"/>
                <w:szCs w:val="16"/>
              </w:rPr>
              <w:t>Meek, F. (2021) History of Employment Law. Available at: https://www.morton-fraser.com/insights/history-employment-law (Accessed: 16 June 2023)</w:t>
            </w:r>
          </w:p>
          <w:p w:rsidR="00EA7692" w:rsidP="009C7F5D" w:rsidRDefault="00EA7692" w14:paraId="33BA0119" w14:textId="77777777">
            <w:pPr>
              <w:spacing w:after="0" w:line="240" w:lineRule="auto"/>
              <w:rPr>
                <w:rFonts w:ascii="Calibri" w:hAnsi="Calibri" w:eastAsia="Times New Roman" w:cs="Calibri"/>
                <w:sz w:val="16"/>
                <w:szCs w:val="16"/>
                <w:lang w:eastAsia="en-GB"/>
              </w:rPr>
            </w:pPr>
          </w:p>
          <w:p w:rsidRPr="00283CE4" w:rsidR="0044296F" w:rsidP="0044296F" w:rsidRDefault="0044296F" w14:paraId="7608BDE6" w14:textId="35C66248">
            <w:pPr>
              <w:rPr>
                <w:rFonts w:cstheme="minorHAnsi"/>
                <w:color w:val="FF0000"/>
                <w:sz w:val="16"/>
                <w:szCs w:val="16"/>
              </w:rPr>
            </w:pPr>
            <w:r w:rsidRPr="00283CE4">
              <w:rPr>
                <w:rFonts w:cstheme="minorHAnsi"/>
                <w:color w:val="FF0000"/>
                <w:sz w:val="16"/>
                <w:szCs w:val="16"/>
              </w:rPr>
              <w:t xml:space="preserve">Morgan </w:t>
            </w:r>
            <w:r w:rsidRPr="00283CE4" w:rsidR="00D46BDC">
              <w:rPr>
                <w:rFonts w:cstheme="minorHAnsi"/>
                <w:color w:val="FF0000"/>
                <w:sz w:val="16"/>
                <w:szCs w:val="16"/>
              </w:rPr>
              <w:t xml:space="preserve">K (2021) – BBC </w:t>
            </w:r>
            <w:r w:rsidRPr="00283CE4" w:rsidR="00CA12AA">
              <w:rPr>
                <w:rFonts w:cstheme="minorHAnsi"/>
                <w:color w:val="FF0000"/>
                <w:sz w:val="16"/>
                <w:szCs w:val="16"/>
              </w:rPr>
              <w:t>Work life</w:t>
            </w:r>
            <w:r w:rsidRPr="00283CE4" w:rsidR="00D46BDC">
              <w:rPr>
                <w:rFonts w:cstheme="minorHAnsi"/>
                <w:color w:val="FF0000"/>
                <w:sz w:val="16"/>
                <w:szCs w:val="16"/>
              </w:rPr>
              <w:t xml:space="preserve">, </w:t>
            </w:r>
            <w:proofErr w:type="gramStart"/>
            <w:r w:rsidRPr="00283CE4" w:rsidR="00D46BDC">
              <w:rPr>
                <w:rFonts w:cstheme="minorHAnsi"/>
                <w:color w:val="FF0000"/>
                <w:sz w:val="16"/>
                <w:szCs w:val="16"/>
              </w:rPr>
              <w:t>Should</w:t>
            </w:r>
            <w:proofErr w:type="gramEnd"/>
            <w:r w:rsidRPr="00283CE4" w:rsidR="00D46BDC">
              <w:rPr>
                <w:rFonts w:cstheme="minorHAnsi"/>
                <w:color w:val="FF0000"/>
                <w:sz w:val="16"/>
                <w:szCs w:val="16"/>
              </w:rPr>
              <w:t xml:space="preserve"> you be grateful for a job? Available at: </w:t>
            </w:r>
            <w:hyperlink w:history="1" r:id="rId6">
              <w:r w:rsidRPr="00283CE4" w:rsidR="00D46BDC">
                <w:rPr>
                  <w:rStyle w:val="Hyperlink"/>
                  <w:rFonts w:cstheme="minorHAnsi"/>
                  <w:color w:val="FF0000"/>
                  <w:sz w:val="16"/>
                  <w:szCs w:val="16"/>
                  <w:u w:val="none"/>
                </w:rPr>
                <w:t>https://www.bbc.com/worklife/article/20210329-should-you-be-grateful-for-a-job</w:t>
              </w:r>
            </w:hyperlink>
            <w:r w:rsidRPr="00283CE4" w:rsidR="00D46BDC">
              <w:rPr>
                <w:rFonts w:cstheme="minorHAnsi"/>
                <w:color w:val="FF0000"/>
                <w:sz w:val="16"/>
                <w:szCs w:val="16"/>
              </w:rPr>
              <w:t xml:space="preserve"> (Acce</w:t>
            </w:r>
            <w:r w:rsidRPr="00283CE4" w:rsidR="00737B01">
              <w:rPr>
                <w:rFonts w:cstheme="minorHAnsi"/>
                <w:color w:val="FF0000"/>
                <w:sz w:val="16"/>
                <w:szCs w:val="16"/>
              </w:rPr>
              <w:t>ssed 24 August 2023)</w:t>
            </w:r>
          </w:p>
          <w:p w:rsidRPr="009C7F5D" w:rsidR="00EA7692" w:rsidP="009C7F5D" w:rsidRDefault="00EA7692" w14:paraId="5A29F8B4" w14:textId="64F20516">
            <w:pPr>
              <w:spacing w:after="0" w:line="240" w:lineRule="auto"/>
              <w:rPr>
                <w:rFonts w:ascii="Calibri" w:hAnsi="Calibri" w:eastAsia="Times New Roman" w:cs="Calibri"/>
                <w:sz w:val="16"/>
                <w:szCs w:val="16"/>
                <w:lang w:eastAsia="en-GB"/>
              </w:rPr>
            </w:pPr>
          </w:p>
        </w:tc>
      </w:tr>
      <w:tr w:rsidRPr="009C7F5D" w:rsidR="009C7F5D" w:rsidTr="630A493F" w14:paraId="5B302C9B"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3163C2AD"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Peters, R. (2022) Employee Voice Factsheet. Available at: https://www.cipd.org/uk/knowledge/factsheets/voice-factsheet/ (Accessed: 16 May 2023).</w:t>
            </w:r>
          </w:p>
        </w:tc>
      </w:tr>
      <w:tr w:rsidRPr="009C7F5D" w:rsidR="009C7F5D" w:rsidTr="630A493F" w14:paraId="50126C5D" w14:textId="77777777">
        <w:trPr>
          <w:trHeight w:val="300"/>
        </w:trPr>
        <w:tc>
          <w:tcPr>
            <w:tcW w:w="9026" w:type="dxa"/>
            <w:tcBorders>
              <w:top w:val="nil"/>
              <w:left w:val="nil"/>
              <w:bottom w:val="nil"/>
              <w:right w:val="nil"/>
            </w:tcBorders>
            <w:shd w:val="clear" w:color="auto" w:fill="auto"/>
            <w:vAlign w:val="bottom"/>
            <w:hideMark/>
          </w:tcPr>
          <w:p w:rsidRPr="009C7F5D" w:rsidR="009C7F5D" w:rsidP="009C7F5D" w:rsidRDefault="009C7F5D" w14:paraId="622C1444"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Pichère, P., Cadiat, A.-C. and Probert, C. (2015) Maslow’s hierarchy of needs. Translated by C. Probert. Namur: Lemaitre Publishing.</w:t>
            </w:r>
          </w:p>
        </w:tc>
      </w:tr>
      <w:tr w:rsidRPr="009C7F5D" w:rsidR="009C7F5D" w:rsidTr="630A493F" w14:paraId="7A5E777E" w14:textId="77777777">
        <w:trPr>
          <w:trHeight w:val="690"/>
        </w:trPr>
        <w:tc>
          <w:tcPr>
            <w:tcW w:w="9026" w:type="dxa"/>
            <w:tcBorders>
              <w:top w:val="nil"/>
              <w:left w:val="nil"/>
              <w:bottom w:val="nil"/>
              <w:right w:val="nil"/>
            </w:tcBorders>
            <w:shd w:val="clear" w:color="auto" w:fill="auto"/>
            <w:vAlign w:val="bottom"/>
            <w:hideMark/>
          </w:tcPr>
          <w:p w:rsidRPr="009C7F5D" w:rsidR="009C7F5D" w:rsidP="009C7F5D" w:rsidRDefault="009C7F5D" w14:paraId="6DD408B2"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Podro, S, Suff, R. CIPD (2013). Mediation: An approach to resolving workplace issues. Available at: https://www.cipd.org/uk/knowledge/guides/workplace-mediation/</w:t>
            </w:r>
            <w:r>
              <w:br/>
            </w:r>
            <w:r w:rsidRPr="630A493F">
              <w:rPr>
                <w:rFonts w:ascii="Calibri" w:hAnsi="Calibri" w:eastAsia="Times New Roman" w:cs="Calibri"/>
                <w:sz w:val="16"/>
                <w:szCs w:val="16"/>
              </w:rPr>
              <w:t>(Accessed: 10 June 2023)</w:t>
            </w:r>
          </w:p>
        </w:tc>
      </w:tr>
      <w:tr w:rsidRPr="009C7F5D" w:rsidR="009C7F5D" w:rsidTr="630A493F" w14:paraId="49D20FFC" w14:textId="77777777">
        <w:trPr>
          <w:trHeight w:val="300"/>
        </w:trPr>
        <w:tc>
          <w:tcPr>
            <w:tcW w:w="9026" w:type="dxa"/>
            <w:tcBorders>
              <w:top w:val="nil"/>
              <w:left w:val="nil"/>
              <w:bottom w:val="nil"/>
              <w:right w:val="nil"/>
            </w:tcBorders>
            <w:shd w:val="clear" w:color="auto" w:fill="auto"/>
            <w:vAlign w:val="bottom"/>
            <w:hideMark/>
          </w:tcPr>
          <w:p w:rsidRPr="009C7F5D" w:rsidR="009C7F5D" w:rsidP="009C7F5D" w:rsidRDefault="009C7F5D" w14:paraId="151B0D18" w14:textId="77777777">
            <w:pPr>
              <w:spacing w:after="0" w:line="240" w:lineRule="auto"/>
              <w:rPr>
                <w:rFonts w:ascii="Calibri" w:hAnsi="Calibri" w:eastAsia="Times New Roman" w:cs="Calibri"/>
                <w:sz w:val="16"/>
                <w:szCs w:val="16"/>
                <w:lang w:eastAsia="en-GB"/>
              </w:rPr>
            </w:pPr>
            <w:bookmarkStart w:name="_Int_1K7ITCnH" w:id="14"/>
            <w:r w:rsidRPr="630A493F">
              <w:rPr>
                <w:rFonts w:ascii="Calibri" w:hAnsi="Calibri" w:eastAsia="Times New Roman" w:cs="Calibri"/>
                <w:sz w:val="16"/>
                <w:szCs w:val="16"/>
              </w:rPr>
              <w:t>Rayton, B. Dodge, T. D’Analeze, G, (2012) The Evidence – Employee Engagement Taskforce.</w:t>
            </w:r>
            <w:bookmarkEnd w:id="14"/>
            <w:r w:rsidRPr="630A493F">
              <w:rPr>
                <w:rFonts w:ascii="Calibri" w:hAnsi="Calibri" w:eastAsia="Times New Roman" w:cs="Calibri"/>
                <w:sz w:val="16"/>
                <w:szCs w:val="16"/>
              </w:rPr>
              <w:t xml:space="preserve"> (Accessed: 24 May 2023)</w:t>
            </w:r>
          </w:p>
        </w:tc>
      </w:tr>
      <w:tr w:rsidRPr="009C7F5D" w:rsidR="009C7F5D" w:rsidTr="630A493F" w14:paraId="3B7A1B63" w14:textId="77777777">
        <w:trPr>
          <w:trHeight w:val="690"/>
        </w:trPr>
        <w:tc>
          <w:tcPr>
            <w:tcW w:w="9026" w:type="dxa"/>
            <w:tcBorders>
              <w:top w:val="nil"/>
              <w:left w:val="nil"/>
              <w:bottom w:val="nil"/>
              <w:right w:val="nil"/>
            </w:tcBorders>
            <w:shd w:val="clear" w:color="auto" w:fill="auto"/>
            <w:vAlign w:val="bottom"/>
            <w:hideMark/>
          </w:tcPr>
          <w:p w:rsidRPr="009C7F5D" w:rsidR="009C7F5D" w:rsidP="2AB31906" w:rsidRDefault="009C7F5D" w14:paraId="51445624" w14:textId="6BA2FCFE">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 xml:space="preserve">Rees, C, Alfes, K, and Gatenby, M. (2013) </w:t>
            </w:r>
            <w:r>
              <w:br/>
            </w:r>
            <w:r w:rsidRPr="630A493F">
              <w:rPr>
                <w:rFonts w:ascii="Calibri" w:hAnsi="Calibri" w:eastAsia="Times New Roman" w:cs="Calibri"/>
                <w:sz w:val="16"/>
                <w:szCs w:val="16"/>
              </w:rPr>
              <w:t>'Employee voice and engagement: Connections and consequences', The International Journal of Human Resource Management, 24 (14), pp 2780-98.</w:t>
            </w:r>
          </w:p>
          <w:p w:rsidRPr="009C7F5D" w:rsidR="009C7F5D" w:rsidP="2AB31906" w:rsidRDefault="009C7F5D" w14:paraId="131B9721" w14:textId="72340B6C">
            <w:pPr>
              <w:spacing w:after="0" w:line="240" w:lineRule="auto"/>
              <w:rPr>
                <w:rFonts w:ascii="Calibri" w:hAnsi="Calibri" w:eastAsia="Times New Roman" w:cs="Calibri"/>
                <w:sz w:val="16"/>
                <w:szCs w:val="16"/>
                <w:lang w:eastAsia="en-GB"/>
              </w:rPr>
            </w:pPr>
          </w:p>
          <w:p w:rsidRPr="009C7F5D" w:rsidR="009C7F5D" w:rsidP="54EBC961" w:rsidRDefault="5A08D497" w14:paraId="1ABC0E37" w14:textId="20600177">
            <w:pPr>
              <w:spacing w:after="0"/>
              <w:rPr>
                <w:rFonts w:eastAsiaTheme="minorEastAsia"/>
                <w:color w:val="000000" w:themeColor="text1"/>
                <w:sz w:val="16"/>
                <w:szCs w:val="16"/>
              </w:rPr>
            </w:pPr>
            <w:r w:rsidRPr="630A493F">
              <w:rPr>
                <w:rFonts w:eastAsiaTheme="minorEastAsia"/>
                <w:color w:val="000000" w:themeColor="text1"/>
                <w:sz w:val="16"/>
                <w:szCs w:val="16"/>
              </w:rPr>
              <w:t xml:space="preserve">Sarvaiya, H., Eweje, G. and Arrowsmith, J., (2018). </w:t>
            </w:r>
            <w:bookmarkStart w:name="_Int_kKK3k4mE" w:id="15"/>
            <w:r w:rsidRPr="630A493F">
              <w:rPr>
                <w:rFonts w:eastAsiaTheme="minorEastAsia"/>
                <w:color w:val="000000" w:themeColor="text1"/>
                <w:sz w:val="16"/>
                <w:szCs w:val="16"/>
              </w:rPr>
              <w:t>“The roles of HRM in CSR: strategic partnership or operational support?”</w:t>
            </w:r>
            <w:bookmarkEnd w:id="15"/>
            <w:r w:rsidRPr="630A493F">
              <w:rPr>
                <w:rFonts w:eastAsiaTheme="minorEastAsia"/>
                <w:color w:val="000000" w:themeColor="text1"/>
                <w:sz w:val="16"/>
                <w:szCs w:val="16"/>
              </w:rPr>
              <w:t xml:space="preserve"> (“The Roles of HRM in CSR: Strategic Partnership or Operational ... - JSTOR”) Journal of Business Ethics, 153(3), pp.825-837</w:t>
            </w:r>
          </w:p>
        </w:tc>
      </w:tr>
      <w:tr w:rsidRPr="009C7F5D" w:rsidR="009C7F5D" w:rsidTr="630A493F" w14:paraId="0E9ACFA8"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567982C6"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Suff, R, CIPD (2022). Employee Relations: An introduction. Available at:</w:t>
            </w:r>
            <w:r>
              <w:br/>
            </w:r>
            <w:r w:rsidRPr="630A493F">
              <w:rPr>
                <w:rFonts w:ascii="Calibri" w:hAnsi="Calibri" w:eastAsia="Times New Roman" w:cs="Calibri"/>
                <w:sz w:val="16"/>
                <w:szCs w:val="16"/>
              </w:rPr>
              <w:t>https://www.cipd.org/uk/knowledge/factsheets/relations-employees-factsheet/ (Accessed: 10 June 2023)</w:t>
            </w:r>
          </w:p>
        </w:tc>
      </w:tr>
      <w:tr w:rsidRPr="009C7F5D" w:rsidR="009C7F5D" w:rsidTr="630A493F" w14:paraId="4C34405F"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641D1ED2"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Suff, R. (2022). Discipline and grievance at work, Stages of the process. Available at: https://www.cipd.org/uk/knowledge/factsheets/discipline-factsheet/ (Accessed: 14 June 2023)</w:t>
            </w:r>
          </w:p>
        </w:tc>
      </w:tr>
      <w:tr w:rsidRPr="009C7F5D" w:rsidR="009C7F5D" w:rsidTr="630A493F" w14:paraId="20257BC2"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0B964D70"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Suff, R. (2022). Discipline and grievance at work. Available at: https://www.cipd.org/uk/knowledge/factsheets/discipline-factsheet/ (Accessed: 13 June 2023)</w:t>
            </w:r>
          </w:p>
        </w:tc>
      </w:tr>
      <w:tr w:rsidRPr="009C7F5D" w:rsidR="009C7F5D" w:rsidTr="630A493F" w14:paraId="5F47F33A"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5909928C"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Suff, R. (2022). Dismissal Procedures: Unfair Dismissal. Available at:</w:t>
            </w:r>
            <w:r>
              <w:br/>
            </w:r>
            <w:r w:rsidRPr="630A493F">
              <w:rPr>
                <w:rFonts w:ascii="Calibri" w:hAnsi="Calibri" w:eastAsia="Times New Roman" w:cs="Calibri"/>
                <w:sz w:val="16"/>
                <w:szCs w:val="16"/>
              </w:rPr>
              <w:t>https://www.cipd.org/uk/knowledge/factsheets/dismissal-factsheet/ (Accessed: 13 June 2023)</w:t>
            </w:r>
          </w:p>
        </w:tc>
      </w:tr>
      <w:tr w:rsidRPr="009C7F5D" w:rsidR="009C7F5D" w:rsidTr="630A493F" w14:paraId="6296E475" w14:textId="77777777">
        <w:trPr>
          <w:trHeight w:val="465"/>
        </w:trPr>
        <w:tc>
          <w:tcPr>
            <w:tcW w:w="9026" w:type="dxa"/>
            <w:tcBorders>
              <w:top w:val="nil"/>
              <w:left w:val="nil"/>
              <w:bottom w:val="nil"/>
              <w:right w:val="nil"/>
            </w:tcBorders>
            <w:shd w:val="clear" w:color="auto" w:fill="auto"/>
            <w:vAlign w:val="bottom"/>
            <w:hideMark/>
          </w:tcPr>
          <w:p w:rsidRPr="000F6DC3" w:rsidR="009C7F5D" w:rsidP="009C7F5D" w:rsidRDefault="009C7F5D" w14:paraId="664AE743" w14:textId="77777777">
            <w:pPr>
              <w:spacing w:after="0" w:line="240" w:lineRule="auto"/>
              <w:rPr>
                <w:rFonts w:ascii="Calibri" w:hAnsi="Calibri" w:eastAsia="Times New Roman" w:cs="Calibri"/>
                <w:strike/>
                <w:sz w:val="16"/>
                <w:szCs w:val="16"/>
                <w:lang w:eastAsia="en-GB"/>
              </w:rPr>
            </w:pPr>
            <w:r w:rsidRPr="630A493F">
              <w:rPr>
                <w:rFonts w:ascii="Calibri" w:hAnsi="Calibri" w:eastAsia="Times New Roman" w:cs="Calibri"/>
                <w:strike/>
                <w:sz w:val="16"/>
                <w:szCs w:val="16"/>
              </w:rPr>
              <w:t>Surbhi, S, (2017). What is Organizational Conflict? definition, factors, and types. Available at: https://businessjargons.com/organizational-conflict.html. (Accessed: 9 June 2023).</w:t>
            </w:r>
          </w:p>
        </w:tc>
      </w:tr>
      <w:tr w:rsidRPr="009C7F5D" w:rsidR="009C7F5D" w:rsidTr="630A493F" w14:paraId="64A1A6F0" w14:textId="77777777">
        <w:trPr>
          <w:trHeight w:val="690"/>
        </w:trPr>
        <w:tc>
          <w:tcPr>
            <w:tcW w:w="9026" w:type="dxa"/>
            <w:tcBorders>
              <w:top w:val="nil"/>
              <w:left w:val="nil"/>
              <w:bottom w:val="nil"/>
              <w:right w:val="nil"/>
            </w:tcBorders>
            <w:shd w:val="clear" w:color="auto" w:fill="auto"/>
            <w:vAlign w:val="bottom"/>
            <w:hideMark/>
          </w:tcPr>
          <w:p w:rsidRPr="009C7F5D" w:rsidR="009C7F5D" w:rsidP="009C7F5D" w:rsidRDefault="009C7F5D" w14:paraId="51C744A7" w14:textId="77777777">
            <w:pPr>
              <w:spacing w:after="0" w:line="240" w:lineRule="auto"/>
              <w:rPr>
                <w:rFonts w:ascii="Calibri" w:hAnsi="Calibri" w:eastAsia="Times New Roman" w:cs="Calibri"/>
                <w:sz w:val="16"/>
                <w:szCs w:val="16"/>
                <w:lang w:eastAsia="en-GB"/>
              </w:rPr>
            </w:pPr>
            <w:bookmarkStart w:name="_Int_FwxHXRKs" w:id="16"/>
            <w:r w:rsidRPr="630A493F">
              <w:rPr>
                <w:rFonts w:ascii="Calibri" w:hAnsi="Calibri" w:eastAsia="Times New Roman" w:cs="Calibri"/>
                <w:sz w:val="16"/>
                <w:szCs w:val="16"/>
              </w:rPr>
              <w:t>Taylor, M. (2017) Good Work: The Taylor Review of Modern Working Practices.</w:t>
            </w:r>
            <w:bookmarkEnd w:id="16"/>
            <w:r w:rsidRPr="630A493F">
              <w:rPr>
                <w:rFonts w:ascii="Calibri" w:hAnsi="Calibri" w:eastAsia="Times New Roman" w:cs="Calibri"/>
                <w:sz w:val="16"/>
                <w:szCs w:val="16"/>
              </w:rPr>
              <w:t xml:space="preserve"> Available at: https://assets.publishing.service.gov.uk/government/uploads/system/uploads/attachment_data/file/627671/good-work-taylor-review-modern-working-practices-rg.pdf (Accessed: 16 May 2023).</w:t>
            </w:r>
          </w:p>
        </w:tc>
      </w:tr>
      <w:tr w:rsidRPr="009C7F5D" w:rsidR="009C7F5D" w:rsidTr="630A493F" w14:paraId="71FDE20B" w14:textId="77777777">
        <w:trPr>
          <w:trHeight w:val="300"/>
        </w:trPr>
        <w:tc>
          <w:tcPr>
            <w:tcW w:w="9026" w:type="dxa"/>
            <w:tcBorders>
              <w:top w:val="nil"/>
              <w:left w:val="nil"/>
              <w:bottom w:val="nil"/>
              <w:right w:val="nil"/>
            </w:tcBorders>
            <w:shd w:val="clear" w:color="auto" w:fill="auto"/>
            <w:vAlign w:val="bottom"/>
            <w:hideMark/>
          </w:tcPr>
          <w:p w:rsidR="009C7F5D" w:rsidP="009C7F5D" w:rsidRDefault="009C7F5D" w14:paraId="5FBD41F6"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Taylor, S. (2022) Human Resource Management: People and Organisations. Third Edition. Kogan Page.</w:t>
            </w:r>
          </w:p>
          <w:p w:rsidRPr="009C7F5D" w:rsidR="007A446E" w:rsidP="009C7F5D" w:rsidRDefault="007A446E" w14:paraId="288E3116" w14:textId="20B87716">
            <w:pPr>
              <w:spacing w:after="0" w:line="240" w:lineRule="auto"/>
              <w:rPr>
                <w:rFonts w:ascii="Calibri" w:hAnsi="Calibri" w:eastAsia="Times New Roman" w:cs="Calibri"/>
                <w:sz w:val="16"/>
                <w:szCs w:val="16"/>
                <w:lang w:eastAsia="en-GB"/>
              </w:rPr>
            </w:pPr>
          </w:p>
        </w:tc>
      </w:tr>
      <w:tr w:rsidRPr="009C7F5D" w:rsidR="009C7F5D" w:rsidTr="630A493F" w14:paraId="2ACDCFC1" w14:textId="77777777">
        <w:trPr>
          <w:trHeight w:val="465"/>
        </w:trPr>
        <w:tc>
          <w:tcPr>
            <w:tcW w:w="9026" w:type="dxa"/>
            <w:tcBorders>
              <w:top w:val="nil"/>
              <w:left w:val="nil"/>
              <w:bottom w:val="nil"/>
              <w:right w:val="nil"/>
            </w:tcBorders>
            <w:shd w:val="clear" w:color="auto" w:fill="auto"/>
            <w:vAlign w:val="bottom"/>
            <w:hideMark/>
          </w:tcPr>
          <w:p w:rsidR="009C7F5D" w:rsidP="009C7F5D" w:rsidRDefault="009C7F5D" w14:paraId="63D6465E"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Taylor, S. and Woodhams, C. (2022) Human resource management: people and organisations. Third Edition. Edited by S. Taylor and C. Woodhams. London: Kogan Page.</w:t>
            </w:r>
          </w:p>
          <w:p w:rsidRPr="009C7F5D" w:rsidR="00B37B42" w:rsidP="009C7F5D" w:rsidRDefault="00B37B42" w14:paraId="33D5C405" w14:textId="2E565FB6">
            <w:pPr>
              <w:spacing w:after="0" w:line="240" w:lineRule="auto"/>
              <w:rPr>
                <w:rFonts w:ascii="Calibri" w:hAnsi="Calibri" w:eastAsia="Times New Roman" w:cs="Calibri"/>
                <w:sz w:val="16"/>
                <w:szCs w:val="16"/>
                <w:lang w:eastAsia="en-GB"/>
              </w:rPr>
            </w:pPr>
          </w:p>
        </w:tc>
      </w:tr>
      <w:tr w:rsidRPr="009C7F5D" w:rsidR="009C7F5D" w:rsidTr="630A493F" w14:paraId="2A4BA2B8" w14:textId="77777777">
        <w:trPr>
          <w:trHeight w:val="690"/>
        </w:trPr>
        <w:tc>
          <w:tcPr>
            <w:tcW w:w="9026" w:type="dxa"/>
            <w:tcBorders>
              <w:top w:val="nil"/>
              <w:left w:val="nil"/>
              <w:bottom w:val="nil"/>
              <w:right w:val="nil"/>
            </w:tcBorders>
            <w:shd w:val="clear" w:color="auto" w:fill="auto"/>
            <w:vAlign w:val="bottom"/>
            <w:hideMark/>
          </w:tcPr>
          <w:p w:rsidRPr="009C7F5D" w:rsidR="009C7F5D" w:rsidP="009C7F5D" w:rsidRDefault="009C7F5D" w14:paraId="34A7F415"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The impact of strike in the UK (2023). Available at: https://www.ons.gov.uk/employmentandlabourmarket/peopleinwork/workplacedisputesandworkingconditions/articles/theimpactofstrikesintheuk/june2022tofebruary2023. (Accessed: 12 June 2023)</w:t>
            </w:r>
          </w:p>
        </w:tc>
      </w:tr>
      <w:tr w:rsidRPr="009C7F5D" w:rsidR="009C7F5D" w:rsidTr="630A493F" w14:paraId="62AF5B2F"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32AE458F"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The Information and Consultation Regulations (2020)</w:t>
            </w:r>
            <w:r>
              <w:br/>
            </w:r>
            <w:r w:rsidRPr="630A493F">
              <w:rPr>
                <w:rFonts w:ascii="Calibri" w:hAnsi="Calibri" w:eastAsia="Times New Roman" w:cs="Calibri"/>
                <w:sz w:val="16"/>
                <w:szCs w:val="16"/>
              </w:rPr>
              <w:t>https://www.gov.uk/guidance/the-information-and-consultation-regulations (Accessed: 7 June 2023)</w:t>
            </w:r>
          </w:p>
        </w:tc>
      </w:tr>
      <w:tr w:rsidRPr="009C7F5D" w:rsidR="009C7F5D" w:rsidTr="630A493F" w14:paraId="3F91A1FA"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7C4A0AEA"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Trade Union and Labour Relations (Consolidation) Act (1992) Available at: https://www.legislation.gov.uk/ukpga/1992</w:t>
            </w:r>
            <w:r>
              <w:br/>
            </w:r>
            <w:r w:rsidRPr="630A493F">
              <w:rPr>
                <w:rFonts w:ascii="Calibri" w:hAnsi="Calibri" w:eastAsia="Times New Roman" w:cs="Calibri"/>
                <w:sz w:val="16"/>
                <w:szCs w:val="16"/>
              </w:rPr>
              <w:t>(Accessed: 10 June 2023)</w:t>
            </w:r>
          </w:p>
        </w:tc>
      </w:tr>
      <w:tr w:rsidRPr="009C7F5D" w:rsidR="009C7F5D" w:rsidTr="630A493F" w14:paraId="0092DD4B" w14:textId="77777777">
        <w:trPr>
          <w:trHeight w:val="465"/>
        </w:trPr>
        <w:tc>
          <w:tcPr>
            <w:tcW w:w="9026" w:type="dxa"/>
            <w:tcBorders>
              <w:top w:val="nil"/>
              <w:left w:val="nil"/>
              <w:bottom w:val="nil"/>
              <w:right w:val="nil"/>
            </w:tcBorders>
            <w:shd w:val="clear" w:color="auto" w:fill="auto"/>
            <w:vAlign w:val="bottom"/>
            <w:hideMark/>
          </w:tcPr>
          <w:p w:rsidRPr="009C7F5D" w:rsidR="009C7F5D" w:rsidP="2AB31906" w:rsidRDefault="009C7F5D" w14:paraId="69308919" w14:textId="40CA03F6">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lastRenderedPageBreak/>
              <w:t>Trade Union and Labour Relations (Consolidation) Act (1992) Available at: https://www.legislation.gov.uk/ukpga/1992</w:t>
            </w:r>
            <w:r>
              <w:br/>
            </w:r>
            <w:r w:rsidRPr="630A493F">
              <w:rPr>
                <w:rFonts w:ascii="Calibri" w:hAnsi="Calibri" w:eastAsia="Times New Roman" w:cs="Calibri"/>
                <w:sz w:val="16"/>
                <w:szCs w:val="16"/>
              </w:rPr>
              <w:t>(Accessed: 8 June 2023)</w:t>
            </w:r>
          </w:p>
          <w:p w:rsidRPr="009C7F5D" w:rsidR="009C7F5D" w:rsidP="2AB31906" w:rsidRDefault="009C7F5D" w14:paraId="50FFCE1C" w14:textId="533FA700">
            <w:pPr>
              <w:spacing w:after="0" w:line="240" w:lineRule="auto"/>
              <w:rPr>
                <w:rFonts w:ascii="Calibri" w:hAnsi="Calibri" w:eastAsia="Times New Roman" w:cs="Calibri"/>
                <w:sz w:val="16"/>
                <w:szCs w:val="16"/>
                <w:lang w:eastAsia="en-GB"/>
              </w:rPr>
            </w:pPr>
          </w:p>
        </w:tc>
      </w:tr>
      <w:tr w:rsidRPr="009C7F5D" w:rsidR="009C7F5D" w:rsidTr="630A493F" w14:paraId="45ED291E" w14:textId="77777777">
        <w:trPr>
          <w:trHeight w:val="465"/>
        </w:trPr>
        <w:tc>
          <w:tcPr>
            <w:tcW w:w="9026" w:type="dxa"/>
            <w:tcBorders>
              <w:top w:val="nil"/>
              <w:left w:val="nil"/>
              <w:bottom w:val="nil"/>
              <w:right w:val="nil"/>
            </w:tcBorders>
            <w:shd w:val="clear" w:color="auto" w:fill="auto"/>
            <w:vAlign w:val="bottom"/>
            <w:hideMark/>
          </w:tcPr>
          <w:p w:rsidRPr="009C7F5D" w:rsidR="009C7F5D" w:rsidP="2AB31906" w:rsidRDefault="009C7F5D" w14:paraId="60F8052C" w14:textId="0F19B2E3">
            <w:pPr>
              <w:spacing w:after="0" w:line="240" w:lineRule="auto"/>
              <w:rPr>
                <w:rFonts w:ascii="Calibri" w:hAnsi="Calibri" w:eastAsia="Times New Roman" w:cs="Calibri"/>
                <w:sz w:val="16"/>
                <w:szCs w:val="16"/>
                <w:lang w:eastAsia="en-GB"/>
              </w:rPr>
            </w:pPr>
            <w:r w:rsidRPr="630A493F">
              <w:rPr>
                <w:rFonts w:ascii="Calibri" w:hAnsi="Calibri" w:eastAsia="Times New Roman" w:cs="Calibri"/>
                <w:color w:val="FF0000"/>
                <w:sz w:val="16"/>
                <w:szCs w:val="16"/>
              </w:rPr>
              <w:t>UNISON (</w:t>
            </w:r>
            <w:r w:rsidRPr="630A493F" w:rsidR="00603533">
              <w:rPr>
                <w:rFonts w:ascii="Calibri" w:hAnsi="Calibri" w:eastAsia="Times New Roman" w:cs="Calibri"/>
                <w:color w:val="FF0000"/>
                <w:sz w:val="16"/>
                <w:szCs w:val="16"/>
              </w:rPr>
              <w:t>Nd</w:t>
            </w:r>
            <w:r w:rsidRPr="630A493F">
              <w:rPr>
                <w:rFonts w:ascii="Calibri" w:hAnsi="Calibri" w:eastAsia="Times New Roman" w:cs="Calibri"/>
                <w:color w:val="FF0000"/>
                <w:sz w:val="16"/>
                <w:szCs w:val="16"/>
              </w:rPr>
              <w:t xml:space="preserve">) </w:t>
            </w:r>
            <w:r w:rsidRPr="630A493F">
              <w:rPr>
                <w:rFonts w:ascii="Calibri" w:hAnsi="Calibri" w:eastAsia="Times New Roman" w:cs="Calibri"/>
                <w:sz w:val="16"/>
                <w:szCs w:val="16"/>
              </w:rPr>
              <w:t>Grievances: an introduction. Available at:</w:t>
            </w:r>
            <w:r w:rsidRPr="630A493F" w:rsidR="00B9ED1E">
              <w:rPr>
                <w:rFonts w:ascii="Calibri" w:hAnsi="Calibri" w:eastAsia="Times New Roman" w:cs="Calibri"/>
                <w:sz w:val="16"/>
                <w:szCs w:val="16"/>
              </w:rPr>
              <w:t xml:space="preserve"> </w:t>
            </w:r>
            <w:r w:rsidRPr="630A493F">
              <w:rPr>
                <w:rFonts w:ascii="Calibri" w:hAnsi="Calibri" w:eastAsia="Times New Roman" w:cs="Calibri"/>
                <w:sz w:val="16"/>
                <w:szCs w:val="16"/>
              </w:rPr>
              <w:t>https://www.unison.org.uk/get-help/knowledge/disputes-grievances/grievances/ (Accessed: 13 June 2023)</w:t>
            </w:r>
          </w:p>
          <w:p w:rsidRPr="009C7F5D" w:rsidR="009C7F5D" w:rsidP="630A493F" w:rsidRDefault="0445280D" w14:paraId="1D4046E9" w14:textId="69EA6651">
            <w:pPr>
              <w:pStyle w:val="Heading1"/>
              <w:rPr>
                <w:rFonts w:asciiTheme="minorHAnsi" w:hAnsiTheme="minorHAnsi" w:eastAsiaTheme="minorEastAsia" w:cstheme="minorBidi"/>
                <w:color w:val="auto"/>
                <w:sz w:val="16"/>
                <w:szCs w:val="16"/>
                <w:lang w:val="en-US"/>
              </w:rPr>
            </w:pPr>
            <w:r w:rsidRPr="630A493F">
              <w:rPr>
                <w:rFonts w:asciiTheme="minorHAnsi" w:hAnsiTheme="minorHAnsi" w:eastAsiaTheme="minorEastAsia" w:cstheme="minorBidi"/>
                <w:color w:val="FF0000"/>
                <w:sz w:val="16"/>
                <w:szCs w:val="16"/>
              </w:rPr>
              <w:t>UNISON(</w:t>
            </w:r>
            <w:r w:rsidRPr="630A493F" w:rsidR="00603533">
              <w:rPr>
                <w:rFonts w:asciiTheme="minorHAnsi" w:hAnsiTheme="minorHAnsi" w:eastAsiaTheme="minorEastAsia" w:cstheme="minorBidi"/>
                <w:color w:val="FF0000"/>
                <w:sz w:val="16"/>
                <w:szCs w:val="16"/>
              </w:rPr>
              <w:t>Nd</w:t>
            </w:r>
            <w:r w:rsidRPr="630A493F">
              <w:rPr>
                <w:rFonts w:asciiTheme="minorHAnsi" w:hAnsiTheme="minorHAnsi" w:eastAsiaTheme="minorEastAsia" w:cstheme="minorBidi"/>
                <w:color w:val="FF0000"/>
                <w:sz w:val="16"/>
                <w:szCs w:val="16"/>
              </w:rPr>
              <w:t xml:space="preserve">) </w:t>
            </w:r>
            <w:r w:rsidRPr="630A493F">
              <w:rPr>
                <w:rFonts w:asciiTheme="minorHAnsi" w:hAnsiTheme="minorHAnsi" w:eastAsiaTheme="minorEastAsia" w:cstheme="minorBidi"/>
                <w:i/>
                <w:iCs/>
                <w:color w:val="auto"/>
                <w:sz w:val="16"/>
                <w:szCs w:val="16"/>
              </w:rPr>
              <w:t xml:space="preserve">Negotiating and bargaining. </w:t>
            </w:r>
            <w:r w:rsidRPr="630A493F">
              <w:rPr>
                <w:rFonts w:asciiTheme="minorHAnsi" w:hAnsiTheme="minorHAnsi" w:eastAsiaTheme="minorEastAsia" w:cstheme="minorBidi"/>
                <w:color w:val="auto"/>
                <w:sz w:val="16"/>
                <w:szCs w:val="16"/>
              </w:rPr>
              <w:t xml:space="preserve">Available at: </w:t>
            </w:r>
            <w:hyperlink w:history="1" r:id="rId7">
              <w:r w:rsidRPr="002C1210" w:rsidR="0044296F">
                <w:rPr>
                  <w:rStyle w:val="Hyperlink"/>
                  <w:rFonts w:asciiTheme="minorHAnsi" w:hAnsiTheme="minorHAnsi" w:eastAsiaTheme="minorEastAsia" w:cstheme="minorBidi"/>
                  <w:sz w:val="16"/>
                  <w:szCs w:val="16"/>
                </w:rPr>
                <w:t>https://www.unison.org.uk/about/what-we-do/negotiating-and-bargaining/#:~:text=Collective%20bargaining%20is%20the%20process,agreement%20between%20employers%20and%20workers</w:t>
              </w:r>
            </w:hyperlink>
            <w:r w:rsidRPr="630A493F">
              <w:rPr>
                <w:rFonts w:asciiTheme="minorHAnsi" w:hAnsiTheme="minorHAnsi" w:eastAsiaTheme="minorEastAsia" w:cstheme="minorBidi"/>
                <w:color w:val="auto"/>
                <w:sz w:val="16"/>
                <w:szCs w:val="16"/>
              </w:rPr>
              <w:t>. (Accessed: 19 June 2023)</w:t>
            </w:r>
          </w:p>
        </w:tc>
      </w:tr>
      <w:tr w:rsidRPr="009C7F5D" w:rsidR="009C7F5D" w:rsidTr="630A493F" w14:paraId="1B324417" w14:textId="77777777">
        <w:trPr>
          <w:trHeight w:val="690"/>
        </w:trPr>
        <w:tc>
          <w:tcPr>
            <w:tcW w:w="9026" w:type="dxa"/>
            <w:tcBorders>
              <w:top w:val="nil"/>
              <w:left w:val="nil"/>
              <w:bottom w:val="nil"/>
              <w:right w:val="nil"/>
            </w:tcBorders>
            <w:shd w:val="clear" w:color="auto" w:fill="auto"/>
            <w:vAlign w:val="bottom"/>
            <w:hideMark/>
          </w:tcPr>
          <w:p w:rsidRPr="009C7F5D" w:rsidR="009C7F5D" w:rsidP="009C7F5D" w:rsidRDefault="009C7F5D" w14:paraId="364F4C63"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Wanrooy, B., et al. (2013) Employment Relations in the shadow of recession: Findings from the 2011 Workplace Employment Relations Study (Accessed: 24 May 2023)</w:t>
            </w:r>
            <w:r>
              <w:br/>
            </w:r>
            <w:r w:rsidRPr="630A493F">
              <w:rPr>
                <w:rFonts w:ascii="Calibri" w:hAnsi="Calibri" w:eastAsia="Times New Roman" w:cs="Calibri"/>
                <w:sz w:val="16"/>
                <w:szCs w:val="16"/>
              </w:rPr>
              <w:t>Rayton, B. Dodge, T. D’Analeze, G, (2012) The Evidence – Employee Engagement Taskforce (Accessed: 24 May 2023)</w:t>
            </w:r>
          </w:p>
        </w:tc>
      </w:tr>
      <w:tr w:rsidRPr="009C7F5D" w:rsidR="009C7F5D" w:rsidTr="630A493F" w14:paraId="08A68CE2" w14:textId="77777777">
        <w:trPr>
          <w:trHeight w:val="690"/>
        </w:trPr>
        <w:tc>
          <w:tcPr>
            <w:tcW w:w="9026" w:type="dxa"/>
            <w:tcBorders>
              <w:top w:val="nil"/>
              <w:left w:val="nil"/>
              <w:bottom w:val="nil"/>
              <w:right w:val="nil"/>
            </w:tcBorders>
            <w:shd w:val="clear" w:color="auto" w:fill="auto"/>
            <w:vAlign w:val="bottom"/>
            <w:hideMark/>
          </w:tcPr>
          <w:p w:rsidRPr="009C7F5D" w:rsidR="009C7F5D" w:rsidP="009C7F5D" w:rsidRDefault="009C7F5D" w14:paraId="726ADCD3"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Webber, A. (2023) Third of employers seeing more employee grievances. Available at: https://www.personneltoday.com/hr/employee-grievances-rise-xperthr/#:~:text=The%20top%20three%20reasons%20for,the%20main%20cause%20of%20grievances. (Accessed: 13 June 2023)</w:t>
            </w:r>
          </w:p>
        </w:tc>
      </w:tr>
      <w:tr w:rsidRPr="009C7F5D" w:rsidR="009C7F5D" w:rsidTr="630A493F" w14:paraId="16F32C9D"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787761E3" w14:textId="77777777">
            <w:pPr>
              <w:spacing w:after="0" w:line="240" w:lineRule="auto"/>
              <w:rPr>
                <w:rFonts w:ascii="Calibri" w:hAnsi="Calibri" w:eastAsia="Times New Roman" w:cs="Calibri"/>
                <w:sz w:val="16"/>
                <w:szCs w:val="16"/>
                <w:lang w:eastAsia="en-GB"/>
              </w:rPr>
            </w:pPr>
            <w:bookmarkStart w:name="_Int_1aV0NTWB" w:id="17"/>
            <w:r w:rsidRPr="630A493F">
              <w:rPr>
                <w:rFonts w:ascii="Calibri" w:hAnsi="Calibri" w:eastAsia="Times New Roman" w:cs="Calibri"/>
                <w:sz w:val="16"/>
                <w:szCs w:val="16"/>
              </w:rPr>
              <w:t>Wheatley, D. (2022) CIPD Good Work Index 2022: survey report. London: Chartered Institute of Personnel and Development.</w:t>
            </w:r>
            <w:bookmarkEnd w:id="17"/>
            <w:r w:rsidRPr="630A493F">
              <w:rPr>
                <w:rFonts w:ascii="Calibri" w:hAnsi="Calibri" w:eastAsia="Times New Roman" w:cs="Calibri"/>
                <w:sz w:val="16"/>
                <w:szCs w:val="16"/>
              </w:rPr>
              <w:t xml:space="preserve"> Pp 5-6. (Accessed: 25 May 2023)</w:t>
            </w:r>
          </w:p>
        </w:tc>
      </w:tr>
      <w:tr w:rsidRPr="009C7F5D" w:rsidR="009C7F5D" w:rsidTr="630A493F" w14:paraId="3C9EDF9A" w14:textId="77777777">
        <w:trPr>
          <w:trHeight w:val="465"/>
        </w:trPr>
        <w:tc>
          <w:tcPr>
            <w:tcW w:w="9026" w:type="dxa"/>
            <w:tcBorders>
              <w:top w:val="nil"/>
              <w:left w:val="nil"/>
              <w:bottom w:val="nil"/>
              <w:right w:val="nil"/>
            </w:tcBorders>
            <w:shd w:val="clear" w:color="auto" w:fill="auto"/>
            <w:vAlign w:val="bottom"/>
            <w:hideMark/>
          </w:tcPr>
          <w:p w:rsidRPr="009C7F5D" w:rsidR="009C7F5D" w:rsidP="009C7F5D" w:rsidRDefault="009C7F5D" w14:paraId="0A035349"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Young, J. CIPD (2022). Mediation at Work. Available at:</w:t>
            </w:r>
            <w:r>
              <w:br/>
            </w:r>
            <w:r w:rsidRPr="630A493F">
              <w:rPr>
                <w:rFonts w:ascii="Calibri" w:hAnsi="Calibri" w:eastAsia="Times New Roman" w:cs="Calibri"/>
                <w:sz w:val="16"/>
                <w:szCs w:val="16"/>
              </w:rPr>
              <w:t>https://www.cipd.org/uk/knowledge/factsheets/mediation-factsheet/ (Accessed: 10 June 2023)</w:t>
            </w:r>
          </w:p>
        </w:tc>
      </w:tr>
      <w:tr w:rsidRPr="009C7F5D" w:rsidR="009C7F5D" w:rsidTr="630A493F" w14:paraId="0F44F206" w14:textId="77777777">
        <w:trPr>
          <w:trHeight w:val="795"/>
        </w:trPr>
        <w:tc>
          <w:tcPr>
            <w:tcW w:w="9026" w:type="dxa"/>
            <w:tcBorders>
              <w:top w:val="nil"/>
              <w:left w:val="nil"/>
              <w:bottom w:val="nil"/>
              <w:right w:val="nil"/>
            </w:tcBorders>
            <w:shd w:val="clear" w:color="auto" w:fill="auto"/>
            <w:vAlign w:val="bottom"/>
            <w:hideMark/>
          </w:tcPr>
          <w:p w:rsidRPr="009C7F5D" w:rsidR="009C7F5D" w:rsidP="009C7F5D" w:rsidRDefault="009C7F5D" w14:paraId="35F4E6BF" w14:textId="77777777">
            <w:pPr>
              <w:spacing w:after="0" w:line="240" w:lineRule="auto"/>
              <w:rPr>
                <w:rFonts w:ascii="Calibri" w:hAnsi="Calibri" w:eastAsia="Times New Roman" w:cs="Calibri"/>
                <w:sz w:val="16"/>
                <w:szCs w:val="16"/>
                <w:lang w:eastAsia="en-GB"/>
              </w:rPr>
            </w:pPr>
            <w:r w:rsidRPr="630A493F">
              <w:rPr>
                <w:rFonts w:ascii="Calibri" w:hAnsi="Calibri" w:eastAsia="Times New Roman" w:cs="Calibri"/>
                <w:sz w:val="16"/>
                <w:szCs w:val="16"/>
              </w:rPr>
              <w:t>Young, J. CIPD (2022). Mediation at Work. Available at:</w:t>
            </w:r>
            <w:r>
              <w:br/>
            </w:r>
            <w:r w:rsidRPr="630A493F">
              <w:rPr>
                <w:rFonts w:ascii="Calibri" w:hAnsi="Calibri" w:eastAsia="Times New Roman" w:cs="Calibri"/>
                <w:sz w:val="16"/>
                <w:szCs w:val="16"/>
              </w:rPr>
              <w:t>https://www.cipd.org/uk/knowledge/factsheets/mediation-factsheet/ (Accessed: 10 June 2023)</w:t>
            </w:r>
          </w:p>
        </w:tc>
      </w:tr>
    </w:tbl>
    <w:p w:rsidRPr="009C7F5D" w:rsidR="009C7F5D" w:rsidP="2E7E2B62" w:rsidRDefault="009C7F5D" w14:paraId="05CD2B2A" w14:textId="77777777">
      <w:pPr>
        <w:rPr>
          <w:u w:val="single"/>
        </w:rPr>
      </w:pPr>
    </w:p>
    <w:sectPr w:rsidRPr="009C7F5D" w:rsidR="009C7F5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JgtY6hJIkityHB" int2:id="5CguljiX">
      <int2:state int2:value="Rejected" int2:type="AugLoop_Text_Critique"/>
    </int2:textHash>
    <int2:textHash int2:hashCode="5XDRCdvPuC+WfK" int2:id="fy8h1BOT">
      <int2:state int2:value="Rejected" int2:type="AugLoop_Text_Critique"/>
    </int2:textHash>
    <int2:textHash int2:hashCode="KNfZFt1yk5Kohm" int2:id="RVStlp4W">
      <int2:state int2:value="Rejected" int2:type="AugLoop_Text_Critique"/>
    </int2:textHash>
    <int2:textHash int2:hashCode="MRnxeztQwh0oWs" int2:id="11ze25gK">
      <int2:state int2:value="Rejected" int2:type="AugLoop_Text_Critique"/>
    </int2:textHash>
    <int2:textHash int2:hashCode="ya+6+O+5H9wBT8" int2:id="P1N6fkFB">
      <int2:state int2:value="Rejected" int2:type="AugLoop_Text_Critique"/>
    </int2:textHash>
    <int2:textHash int2:hashCode="+gu8SGtQhihkUH" int2:id="zvIveEKF">
      <int2:state int2:value="Rejected" int2:type="AugLoop_Text_Critique"/>
    </int2:textHash>
    <int2:textHash int2:hashCode="sA4NlVZ4UHFfRE" int2:id="VINaGEtQ">
      <int2:state int2:value="Rejected" int2:type="AugLoop_Text_Critique"/>
    </int2:textHash>
    <int2:textHash int2:hashCode="BiwhDh/Ja5XjB0" int2:id="CWK0x9LL">
      <int2:state int2:value="Rejected" int2:type="AugLoop_Text_Critique"/>
    </int2:textHash>
    <int2:textHash int2:hashCode="17ShXkmfgQoRN6" int2:id="Qg1m81Nk">
      <int2:state int2:value="Rejected" int2:type="AugLoop_Text_Critique"/>
    </int2:textHash>
    <int2:textHash int2:hashCode="qvtdoBTPl5+yy9" int2:id="tqCBd6Pu">
      <int2:state int2:value="Rejected" int2:type="AugLoop_Text_Critique"/>
    </int2:textHash>
    <int2:textHash int2:hashCode="UIY8/+uIZcCFB+" int2:id="sZQ2PeQw">
      <int2:state int2:value="Rejected" int2:type="AugLoop_Text_Critique"/>
    </int2:textHash>
    <int2:textHash int2:hashCode="JK5t2somB2zZeq" int2:id="zDtFfzi7">
      <int2:state int2:value="Rejected" int2:type="AugLoop_Text_Critique"/>
    </int2:textHash>
    <int2:textHash int2:hashCode="/GPYd6OZ+ZDB/n" int2:id="duAaTyyA">
      <int2:state int2:value="Rejected" int2:type="AugLoop_Text_Critique"/>
    </int2:textHash>
    <int2:textHash int2:hashCode="gSUU27DNHcOH0A" int2:id="TgiAj95Q">
      <int2:state int2:value="Rejected" int2:type="AugLoop_Text_Critique"/>
    </int2:textHash>
    <int2:textHash int2:hashCode="Dkrf/1rhCJYt+k" int2:id="xHo4wZhY">
      <int2:state int2:value="Rejected" int2:type="AugLoop_Text_Critique"/>
    </int2:textHash>
    <int2:textHash int2:hashCode="itBq7WZP3YSzyp" int2:id="mml6lH6N">
      <int2:state int2:value="Rejected" int2:type="AugLoop_Text_Critique"/>
    </int2:textHash>
    <int2:textHash int2:hashCode="Pe2D4tPIAsIeYt" int2:id="ndRR6Zrh">
      <int2:state int2:value="Rejected" int2:type="AugLoop_Text_Critique"/>
    </int2:textHash>
    <int2:textHash int2:hashCode="4lAvJX0h2VByJ8" int2:id="45kYhTe2">
      <int2:state int2:value="Rejected" int2:type="AugLoop_Text_Critique"/>
    </int2:textHash>
    <int2:textHash int2:hashCode="C8wllreCACiz23" int2:id="MLeEJd3Q">
      <int2:state int2:value="Rejected" int2:type="AugLoop_Text_Critique"/>
    </int2:textHash>
    <int2:textHash int2:hashCode="GODy8NYdXA97iG" int2:id="5DiRuheb">
      <int2:state int2:value="Rejected" int2:type="AugLoop_Text_Critique"/>
    </int2:textHash>
    <int2:textHash int2:hashCode="2jmj7l5rSw0yVb" int2:id="59uAJmHn">
      <int2:state int2:value="Rejected" int2:type="AugLoop_Text_Critique"/>
    </int2:textHash>
    <int2:textHash int2:hashCode="yLGa3PbIwIauAZ" int2:id="EMcyNsgc">
      <int2:state int2:value="Rejected" int2:type="AugLoop_Text_Critique"/>
    </int2:textHash>
    <int2:textHash int2:hashCode="VqJ7cxGKpLPivG" int2:id="8EvlkrWC">
      <int2:state int2:value="Rejected" int2:type="AugLoop_Text_Critique"/>
    </int2:textHash>
    <int2:textHash int2:hashCode="NyG/y+4MF5gRUd" int2:id="GpMpp3is">
      <int2:state int2:value="Rejected" int2:type="AugLoop_Text_Critique"/>
    </int2:textHash>
    <int2:textHash int2:hashCode="XSUiEPxXFZ9tOg" int2:id="pIcUyCLe">
      <int2:state int2:value="Rejected" int2:type="AugLoop_Text_Critique"/>
    </int2:textHash>
    <int2:textHash int2:hashCode="fHn4+Ovy0KWqy5" int2:id="wM0phjYA">
      <int2:state int2:value="Rejected" int2:type="AugLoop_Text_Critique"/>
    </int2:textHash>
    <int2:textHash int2:hashCode="31YMmaecpD39sM" int2:id="eMS4Kfwl">
      <int2:state int2:value="Rejected" int2:type="AugLoop_Text_Critique"/>
    </int2:textHash>
    <int2:textHash int2:hashCode="d6vvkjI26POa0b" int2:id="9CHvK0aL">
      <int2:state int2:value="Rejected" int2:type="AugLoop_Text_Critique"/>
    </int2:textHash>
    <int2:textHash int2:hashCode="Dl/wog3gULLKCe" int2:id="fT90nBaV">
      <int2:state int2:value="Rejected" int2:type="AugLoop_Text_Critique"/>
    </int2:textHash>
    <int2:textHash int2:hashCode="P1t9DnuMzsiEcY" int2:id="aLlK6xBY">
      <int2:state int2:value="Rejected" int2:type="AugLoop_Text_Critique"/>
    </int2:textHash>
    <int2:textHash int2:hashCode="D4bdXDv9h+9s2y" int2:id="vAAjQ1NP">
      <int2:state int2:value="Rejected" int2:type="AugLoop_Text_Critique"/>
    </int2:textHash>
    <int2:textHash int2:hashCode="m/C6mGJeQTWOW1" int2:id="gSIzUDWJ">
      <int2:state int2:value="Rejected" int2:type="AugLoop_Text_Critique"/>
    </int2:textHash>
    <int2:textHash int2:hashCode="v3jXqOAVqWKVSe" int2:id="LBWegWv8">
      <int2:state int2:value="Rejected" int2:type="AugLoop_Text_Critique"/>
    </int2:textHash>
    <int2:textHash int2:hashCode="kByidkXaRxGvMx" int2:id="PKajH9BH">
      <int2:state int2:value="Rejected" int2:type="AugLoop_Text_Critique"/>
    </int2:textHash>
    <int2:textHash int2:hashCode="/0RQY7dtww5FiW" int2:id="1ImY45dW">
      <int2:state int2:value="Rejected" int2:type="AugLoop_Text_Critique"/>
    </int2:textHash>
    <int2:textHash int2:hashCode="kv4UVae7TQCfC0" int2:id="3lPSFniB">
      <int2:state int2:value="Rejected" int2:type="AugLoop_Text_Critique"/>
    </int2:textHash>
    <int2:bookmark int2:bookmarkName="_Int_GCP7nbXh" int2:invalidationBookmarkName="" int2:hashCode="6hJN1uqPpkCg+2" int2:id="6SaL6AXr">
      <int2:state int2:value="Rejected" int2:type="AugLoop_Text_Critique"/>
    </int2:bookmark>
    <int2:bookmark int2:bookmarkName="_Int_1aV0NTWB" int2:invalidationBookmarkName="" int2:hashCode="FJpxd0S/lJPX6a" int2:id="UBSptvXj">
      <int2:state int2:value="Rejected" int2:type="AugLoop_Similarity_SimilarityAnnotation"/>
      <int2:extLst>
        <oel:ext uri="426473B9-03D8-482F-96C9-C2C85392BACA">
          <int2:similarityCritique int2:version="1" int2:context="Wheatley, D. (2022) CIPD Good Work Index 2022: survey report. London: Chartered Institute of Personnel and Development.">
            <int2:source int2:sourceType="Online" int2:sourceTitle="Good Work Index 2022 - CIPD" int2:sourceUrl="https://www.cipd.org/globalassets/media/knowledge/knowledge-hub/reports/good-work-iindex-executive-report-2022_tcm18-109897.pdf" int2:sourceSnippet="Norris-Green, M. and Wheatley, D. (2022) CIPD Good Work Index 2022. London: Chartered Institute of Personnel and Development. Contents Introduction 2 The great rethink 4 Shifts in good work: wellbeing and work–life balance 11 Further actions to improve job quality 19 References 22 CIP oo Work Inex 22 1">
              <int2:suggestions int2:citationType="Inline">
                <int2:suggestion int2:citationStyle="Mla" int2:isIdentical="0">
                  <int2:citationText>(“Good Work Index 2022 - CIPD”)</int2:citationText>
                </int2:suggestion>
                <int2:suggestion int2:citationStyle="Apa" int2:isIdentical="0">
                  <int2:citationText>(“Good Work Index 2022 - CIPD”)</int2:citationText>
                </int2:suggestion>
                <int2:suggestion int2:citationStyle="Chicago" int2:isIdentical="0">
                  <int2:citationText>(“Good Work Index 2022 - CIPD”)</int2:citationText>
                </int2:suggestion>
              </int2:suggestions>
              <int2:suggestions int2:citationType="Full">
                <int2:suggestion int2:citationStyle="Mla" int2:isIdentical="0">
                  <int2:citationText>&lt;i&gt;Good Work Index 2022 - CIPD&lt;/i&gt;, https://www.cipd.org/globalassets/media/knowledge/knowledge-hub/reports/good-work-iindex-executive-report-2022_tcm18-109897.pdf.</int2:citationText>
                </int2:suggestion>
                <int2:suggestion int2:citationStyle="Apa" int2:isIdentical="0">
                  <int2:citationText>&lt;i&gt;Good Work Index 2022 - CIPD&lt;/i&gt;. (n.d.). Retrieved from https://www.cipd.org/globalassets/media/knowledge/knowledge-hub/reports/good-work-iindex-executive-report-2022_tcm18-109897.pdf</int2:citationText>
                </int2:suggestion>
                <int2:suggestion int2:citationStyle="Chicago" int2:isIdentical="0">
                  <int2:citationText>“Good Work Index 2022 - CIPD” n.d., https://www.cipd.org/globalassets/media/knowledge/knowledge-hub/reports/good-work-iindex-executive-report-2022_tcm18-109897.pdf.</int2:citationText>
                </int2:suggestion>
              </int2:suggestions>
            </int2:source>
          </int2:similarityCritique>
        </oel:ext>
      </int2:extLst>
    </int2:bookmark>
    <int2:bookmark int2:bookmarkName="_Int_FwxHXRKs" int2:invalidationBookmarkName="" int2:hashCode="L5lMBwcr/Q5dyk" int2:id="EISSzUuV">
      <int2:state int2:value="Rejected" int2:type="AugLoop_Similarity_SimilarityAnnotation"/>
      <int2:extLst>
        <oel:ext uri="426473B9-03D8-482F-96C9-C2C85392BACA">
          <int2:similarityCritique int2:version="1" int2:context="Taylor, M. (2017) Good Work: The Taylor Review of Modern Working Practices.">
            <int2:source int2:sourceType="Online" int2:sourceTitle="Introduction to Review Articles on ‘Good work: the Taylor Review of ..." int2:sourceUrl="https://www.researchgate.net/publication/331677900_Introduction_to_Review_Articles_on_'Good_work_the_Taylor_Review_of_modern_working_practices'_introduction_by_Andrew_Smith" int2:sourceSnippet="Taylor, M. (2017) Good Work: The Taylor Review of Modern Working Practices, London: Department for Business, Energy and Industrial Strategy.">
              <int2:suggestions int2:citationType="Inline">
                <int2:suggestion int2:citationStyle="Mla" int2:isIdentical="0">
                  <int2:citationText>(“Introduction to Review Articles on ‘Good work: the Taylor Review of ...”)</int2:citationText>
                </int2:suggestion>
                <int2:suggestion int2:citationStyle="Apa" int2:isIdentical="0">
                  <int2:citationText>(“Introduction to Review Articles on ‘Good work: the Taylor Review of ...”)</int2:citationText>
                </int2:suggestion>
                <int2:suggestion int2:citationStyle="Chicago" int2:isIdentical="0">
                  <int2:citationText>(“Introduction to Review Articles on ‘Good work: the Taylor Review of ...”)</int2:citationText>
                </int2:suggestion>
              </int2:suggestions>
              <int2:suggestions int2:citationType="Full">
                <int2:suggestion int2:citationStyle="Mla" int2:isIdentical="0">
                  <int2:citationText>&lt;i&gt;Introduction to Review Articles on ‘Good work: the Taylor Review of ...&lt;/i&gt;, https://www.researchgate.net/publication/331677900_Introduction_to_Review_Articles_on_'Good_work_the_Taylor_Review_of_modern_working_practices'_introduction_by_Andrew_Smith.</int2:citationText>
                </int2:suggestion>
                <int2:suggestion int2:citationStyle="Apa" int2:isIdentical="0">
                  <int2:citationText>&lt;i&gt;Introduction to Review Articles on ‘Good work: the Taylor Review of ...&lt;/i&gt;. (n.d.). Retrieved from https://www.researchgate.net/publication/331677900_Introduction_to_Review_Articles_on_'Good_work_the_Taylor_Review_of_modern_working_practices'_introduction_by_Andrew_Smith</int2:citationText>
                </int2:suggestion>
                <int2:suggestion int2:citationStyle="Chicago" int2:isIdentical="0">
                  <int2:citationText>“Introduction to Review Articles on ‘Good work: the Taylor Review of ...” n.d., https://www.researchgate.net/publication/331677900_Introduction_to_Review_Articles_on_'Good_work_the_Taylor_Review_of_modern_working_practices'_introduction_by_Andrew_Smith.</int2:citationText>
                </int2:suggestion>
              </int2:suggestions>
            </int2:source>
          </int2:similarityCritique>
        </oel:ext>
      </int2:extLst>
    </int2:bookmark>
    <int2:bookmark int2:bookmarkName="_Int_kKK3k4mE" int2:invalidationBookmarkName="" int2:hashCode="9TimL4C1xHyDNu" int2:id="LHjZg1Fe">
      <int2:state int2:value="Rejected" int2:type="AugLoop_Similarity_SimilarityAnnotation"/>
      <int2:extLst>
        <oel:ext uri="426473B9-03D8-482F-96C9-C2C85392BACA">
          <int2:similarityCritique int2:version="1" int2:context="“The roles of HRM in CSR: strategic partnership or operational support?”">
            <int2:source int2:sourceType="Online" int2:sourceTitle="The Roles of HRM in CSR: Strategic Partnership or Support?" int2:sourceUrl="https://www.jstor.org/stable/45022849" int2:sourceSnippet="The Roles of HRM in CSR: Strategic Partnership or Operational Support? 827 and implementation of CSR strategy (Gond et al. 2011; Jamali et al. 2015). With regard to the development of CSR strategy, Strandberg (2009, p. 12) indicates that &quot;HR is a strategic partner in the organization and as such, can help drive the formulation of the CSR ...">
              <int2:suggestions int2:citationType="Inline">
                <int2:suggestion int2:citationStyle="Mla" int2:isIdentical="0">
                  <int2:citationText>(“The Roles of HRM in CSR: Strategic Partnership or Support?”)</int2:citationText>
                </int2:suggestion>
                <int2:suggestion int2:citationStyle="Apa" int2:isIdentical="0">
                  <int2:citationText>(“The Roles of HRM in CSR: Strategic Partnership or Support?”)</int2:citationText>
                </int2:suggestion>
                <int2:suggestion int2:citationStyle="Chicago" int2:isIdentical="0">
                  <int2:citationText>(“The Roles of HRM in CSR: Strategic Partnership or Support?”)</int2:citationText>
                </int2:suggestion>
              </int2:suggestions>
              <int2:suggestions int2:citationType="Full">
                <int2:suggestion int2:citationStyle="Mla" int2:isIdentical="0">
                  <int2:citationText>&lt;i&gt;The Roles of HRM in CSR: Strategic Partnership or Support?&lt;/i&gt;, https://www.jstor.org/stable/45022849.</int2:citationText>
                </int2:suggestion>
                <int2:suggestion int2:citationStyle="Apa" int2:isIdentical="0">
                  <int2:citationText>&lt;i&gt;The Roles of HRM in CSR: Strategic Partnership or Support?&lt;/i&gt;. (n.d.). Retrieved from https://www.jstor.org/stable/45022849</int2:citationText>
                </int2:suggestion>
                <int2:suggestion int2:citationStyle="Chicago" int2:isIdentical="0">
                  <int2:citationText>“The Roles of HRM in CSR: Strategic Partnership or Support?” n.d., https://www.jstor.org/stable/45022849.</int2:citationText>
                </int2:suggestion>
              </int2:suggestions>
            </int2:source>
            <int2:source int2:sourceType="Online" int2:sourceTitle="EconPapers: The Roles of HRM in CSR: Strategic Partnership or ..." int2:sourceUrl="https://econpapers.repec.org/RePEc:kap:jbuset:v:153:y:2018:i:3:d:10.1007_s10551-016-3402-5" int2:sourceSnippet="The Roles of HRM in CSR: Strategic Partnership or Operational Support? Journal of Business Ethics, 2018, vol. 153, issue 3, No 14, 825-837. Abstract: Abstract As the implementation of corporate social responsibility (CSR) strategy requires promoting employee participation and initiating meaningful changes in organisational culture, the ...">
              <int2:suggestions int2:citationType="Inline">
                <int2:suggestion int2:citationStyle="Mla" int2:isIdentical="0">
                  <int2:citationText>(“EconPapers: The Roles of HRM in CSR: Strategic Partnership or ...”)</int2:citationText>
                </int2:suggestion>
                <int2:suggestion int2:citationStyle="Apa" int2:isIdentical="0">
                  <int2:citationText>(“EconPapers: The Roles of HRM in CSR: Strategic Partnership or ...”)</int2:citationText>
                </int2:suggestion>
                <int2:suggestion int2:citationStyle="Chicago" int2:isIdentical="0">
                  <int2:citationText>(“EconPapers: The Roles of HRM in CSR: Strategic Partnership or ...”)</int2:citationText>
                </int2:suggestion>
              </int2:suggestions>
              <int2:suggestions int2:citationType="Full">
                <int2:suggestion int2:citationStyle="Mla" int2:isIdentical="0">
                  <int2:citationText>&lt;i&gt;EconPapers: The Roles of HRM in CSR: Strategic Partnership or ...&lt;/i&gt;, https://econpapers.repec.org/RePEc:kap:jbuset:v:153:y:2018:i:3:d:10.1007_s10551-016-3402-5.</int2:citationText>
                </int2:suggestion>
                <int2:suggestion int2:citationStyle="Apa" int2:isIdentical="0">
                  <int2:citationText>&lt;i&gt;EconPapers: The Roles of HRM in CSR: Strategic Partnership or ...&lt;/i&gt;. (n.d.). Retrieved from https://econpapers.repec.org/RePEc:kap:jbuset:v:153:y:2018:i:3:d:10.1007_s10551-016-3402-5</int2:citationText>
                </int2:suggestion>
                <int2:suggestion int2:citationStyle="Chicago" int2:isIdentical="0">
                  <int2:citationText>“EconPapers: The Roles of HRM in CSR: Strategic Partnership or ...” n.d., https://econpapers.repec.org/RePEc:kap:jbuset:v:153:y:2018:i:3:d:10.1007_s10551-016-3402-5.</int2:citationText>
                </int2:suggestion>
              </int2:suggestions>
            </int2:source>
          </int2:similarityCritique>
        </oel:ext>
      </int2:extLst>
    </int2:bookmark>
    <int2:bookmark int2:bookmarkName="_Int_1K7ITCnH" int2:invalidationBookmarkName="" int2:hashCode="MfbykDN0MqMYST" int2:id="NyAdQuTT">
      <int2:state int2:value="Rejected" int2:type="AugLoop_Similarity_SimilarityAnnotation"/>
      <int2:extLst>
        <oel:ext uri="426473B9-03D8-482F-96C9-C2C85392BACA">
          <int2:similarityCritique int2:version="1" int2:context="Rayton, B. Dodge, T. D’Analeze, G, (2012) The Evidence – Employee Engagement Taskforce.">
            <int2:source int2:sourceType="Online" int2:sourceTitle="The Evidence: Employee Engagement Task Force “Nailing the evidence ..." int2:sourceUrl="https://researchportal.bath.ac.uk/en/publications/the-evidence-employee-engagement-task-force-nailing-the-evidence-" int2:sourceSnippet="Rayton, B, Dodge, T &amp; D'Analeze, G 2012, The Evidence: Employee Engagement Task Force “Nailing the evidence” workgroup . Engage for Success. Engage for Success. Rayton B , Dodge T, D'Analeze G.">
              <int2:suggestions int2:citationType="Inline">
                <int2:suggestion int2:citationStyle="Mla" int2:isIdentical="0">
                  <int2:citationText>(“The Evidence: Employee Engagement Task Force “Nailing the evidence ...”)</int2:citationText>
                </int2:suggestion>
                <int2:suggestion int2:citationStyle="Apa" int2:isIdentical="0">
                  <int2:citationText>(“The Evidence: Employee Engagement Task Force “Nailing the evidence ...”)</int2:citationText>
                </int2:suggestion>
                <int2:suggestion int2:citationStyle="Chicago" int2:isIdentical="0">
                  <int2:citationText>(“The Evidence: Employee Engagement Task Force “Nailing the evidence ...”)</int2:citationText>
                </int2:suggestion>
              </int2:suggestions>
              <int2:suggestions int2:citationType="Full">
                <int2:suggestion int2:citationStyle="Mla" int2:isIdentical="0">
                  <int2:citationText>&lt;i&gt;The Evidence: Employee Engagement Task Force “Nailing the evidence ...&lt;/i&gt;, https://researchportal.bath.ac.uk/en/publications/the-evidence-employee-engagement-task-force-nailing-the-evidence-.</int2:citationText>
                </int2:suggestion>
                <int2:suggestion int2:citationStyle="Apa" int2:isIdentical="0">
                  <int2:citationText>&lt;i&gt;The Evidence: Employee Engagement Task Force “Nailing the evidence ...&lt;/i&gt;. (n.d.). Retrieved from https://researchportal.bath.ac.uk/en/publications/the-evidence-employee-engagement-task-force-nailing-the-evidence-</int2:citationText>
                </int2:suggestion>
                <int2:suggestion int2:citationStyle="Chicago" int2:isIdentical="0">
                  <int2:citationText>“The Evidence: Employee Engagement Task Force “Nailing the evidence ...” n.d., https://researchportal.bath.ac.uk/en/publications/the-evidence-employee-engagement-task-force-nailing-the-evidence-.</int2:citationText>
                </int2:suggestion>
              </int2:suggestions>
            </int2:source>
            <int2:source int2:sourceType="Online" int2:sourceTitle="University of Bath" int2:sourceUrl="https://core.ac.uk/download/pdf/161911490.pdf" int2:sourceSnippet="Rayton, B, Dodge, T &amp; D'Analeze, G 2012, The Evidence: Employee Engagement Task Force “Nailing the evidence” workgroup . Engage for Success. Publication date: 2012 Document Version Publisher's PDF, also known as Version of record Link to publication Publisher Rights Unspecified University of Bath General rights">
              <int2:suggestions int2:citationType="Inline">
                <int2:suggestion int2:citationStyle="Mla" int2:isIdentical="0">
                  <int2:citationText>(“University of Bath”)</int2:citationText>
                </int2:suggestion>
                <int2:suggestion int2:citationStyle="Apa" int2:isIdentical="0">
                  <int2:citationText>(“University of Bath”)</int2:citationText>
                </int2:suggestion>
                <int2:suggestion int2:citationStyle="Chicago" int2:isIdentical="0">
                  <int2:citationText>(“University of Bath”)</int2:citationText>
                </int2:suggestion>
              </int2:suggestions>
              <int2:suggestions int2:citationType="Full">
                <int2:suggestion int2:citationStyle="Mla" int2:isIdentical="0">
                  <int2:citationText>&lt;i&gt;University of Bath&lt;/i&gt;, https://core.ac.uk/download/pdf/161911490.pdf.</int2:citationText>
                </int2:suggestion>
                <int2:suggestion int2:citationStyle="Apa" int2:isIdentical="0">
                  <int2:citationText>&lt;i&gt;University of Bath&lt;/i&gt;. (n.d.). Retrieved from https://core.ac.uk/download/pdf/161911490.pdf</int2:citationText>
                </int2:suggestion>
                <int2:suggestion int2:citationStyle="Chicago" int2:isIdentical="0">
                  <int2:citationText>“University of Bath” n.d., https://core.ac.uk/download/pdf/161911490.pdf.</int2:citationText>
                </int2:suggestion>
              </int2:suggestions>
            </int2:source>
            <int2:source int2:sourceType="Online" int2:sourceTitle="If you require this document in an alternative format, please contact ..." int2:sourceUrl="https://purehost.bath.ac.uk/ws/portalfiles/portal/14684670/The_Evidence.pdf" int2:sourceSnippet="Rayton, B, Dodge, T &amp; D'Analeze, G 2012, The Evidence: Employee Engagement Task Force “Nailing the evidence” workgroup . Engage for Success. Publication date: 2012 Document Version Publisher's PDF, also known as Version of record Link to publication Publisher Rights Unspecified University of Bath Alternative formats">
              <int2:suggestions int2:citationType="Inline">
                <int2:suggestion int2:citationStyle="Mla" int2:isIdentical="0">
                  <int2:citationText>(“If you require this document in an alternative format, please contact ...”)</int2:citationText>
                </int2:suggestion>
                <int2:suggestion int2:citationStyle="Apa" int2:isIdentical="0">
                  <int2:citationText>(“If you require this document in an alternative format, please contact ...”)</int2:citationText>
                </int2:suggestion>
                <int2:suggestion int2:citationStyle="Chicago" int2:isIdentical="0">
                  <int2:citationText>(“If you require this document in an alternative format, please contact ...”)</int2:citationText>
                </int2:suggestion>
              </int2:suggestions>
              <int2:suggestions int2:citationType="Full">
                <int2:suggestion int2:citationStyle="Mla" int2:isIdentical="0">
                  <int2:citationText>&lt;i&gt;If you require this document in an alternative format, please contact ...&lt;/i&gt;, https://purehost.bath.ac.uk/ws/portalfiles/portal/14684670/The_Evidence.pdf.</int2:citationText>
                </int2:suggestion>
                <int2:suggestion int2:citationStyle="Apa" int2:isIdentical="0">
                  <int2:citationText>&lt;i&gt;If you require this document in an alternative format, please contact ...&lt;/i&gt;. (n.d.). Retrieved from https://purehost.bath.ac.uk/ws/portalfiles/portal/14684670/The_Evidence.pdf</int2:citationText>
                </int2:suggestion>
                <int2:suggestion int2:citationStyle="Chicago" int2:isIdentical="0">
                  <int2:citationText>“If you require this document in an alternative format, please contact ...” n.d., https://purehost.bath.ac.uk/ws/portalfiles/portal/14684670/The_Evidence.pdf.</int2:citationText>
                </int2:suggestion>
              </int2:suggestions>
            </int2:source>
          </int2:similarityCritique>
        </oel:ext>
      </int2:extLst>
    </int2:bookmark>
    <int2:bookmark int2:bookmarkName="_Int_fL8EWUlD" int2:invalidationBookmarkName="" int2:hashCode="NSNAzZ8zeNXCEi" int2:id="hMUfodZt">
      <int2:state int2:value="Rejected" int2:type="AugLoop_Similarity_SimilarityAnnotation"/>
      <int2:extLst>
        <oel:ext uri="426473B9-03D8-482F-96C9-C2C85392BACA">
          <int2:similarityCritique int2:version="1" int2:context="Marchington, M. et al. (2021) Human resource management at work: the definitive guide.">
            <int2:source int2:sourceType="Online" int2:sourceTitle="Building an evidence-based people profession | CIPD" int2:sourceUrl="https://www.cipd.org/en/views-and-insights/thought-leadership/insight/evidence-based-profession/" int2:sourceSnippet="6 For example, Marchington, M., et al. (2021) Human resource management at work: the definitive guide. London: Kogan Page. 7 Good peer-reviewed journals that focus on summarising research include MIT Sloan Management Review and International Journal of Management Reviews. 8 Kahneman, D. (2012) – see note 2 above.">
              <int2:suggestions int2:citationType="Inline">
                <int2:suggestion int2:citationStyle="Mla" int2:isIdentical="0">
                  <int2:citationText>(“Building an evidence-based people profession | CIPD”)</int2:citationText>
                </int2:suggestion>
                <int2:suggestion int2:citationStyle="Apa" int2:isIdentical="0">
                  <int2:citationText>(“Building an evidence-based people profession | CIPD”)</int2:citationText>
                </int2:suggestion>
                <int2:suggestion int2:citationStyle="Chicago" int2:isIdentical="0">
                  <int2:citationText>(“Building an evidence-based people profession | CIPD”)</int2:citationText>
                </int2:suggestion>
              </int2:suggestions>
              <int2:suggestions int2:citationType="Full">
                <int2:suggestion int2:citationStyle="Mla" int2:isIdentical="0">
                  <int2:citationText>&lt;i&gt;Building an evidence-based people profession | CIPD&lt;/i&gt;, https://www.cipd.org/en/views-and-insights/thought-leadership/insight/evidence-based-profession/.</int2:citationText>
                </int2:suggestion>
                <int2:suggestion int2:citationStyle="Apa" int2:isIdentical="0">
                  <int2:citationText>&lt;i&gt;Building an evidence-based people profession | CIPD&lt;/i&gt;. (n.d.). Retrieved from https://www.cipd.org/en/views-and-insights/thought-leadership/insight/evidence-based-profession/</int2:citationText>
                </int2:suggestion>
                <int2:suggestion int2:citationStyle="Chicago" int2:isIdentical="0">
                  <int2:citationText>“Building an evidence-based people profession | CIPD” n.d., https://www.cipd.org/en/views-and-insights/thought-leadership/insight/evidence-based-profession/.</int2:citationText>
                </int2:suggestion>
              </int2:suggestions>
            </int2:source>
          </int2:similarityCritique>
        </oel:ext>
      </int2:extLst>
    </int2:bookmark>
    <int2:bookmark int2:bookmarkName="_Int_mlxHDy11" int2:invalidationBookmarkName="" int2:hashCode="HY21ToM6GvMCPe" int2:id="kEXK2KRt">
      <int2:state int2:value="Rejected" int2:type="AugLoop_Similarity_SimilarityAnnotation"/>
      <int2:extLst>
        <oel:ext uri="426473B9-03D8-482F-96C9-C2C85392BACA">
          <int2:similarityCritique int2:version="1" int2:context="Burris, E. (2016) Employee Suggestion Schemes Don’t Have to Be Exercises in Futility.">
            <int2:source int2:sourceType="Online" int2:sourceTitle="Employee Suggestion Schemes Don't Have to Be Exercises in Futility" int2:sourceUrl="https://hbsp.harvard.edu/product/H02MLN-PDF-ENG" int2:sourceSnippet="Employee Suggestion Schemes Don't Have to Be Exercises in Futility. By: Ethan Burris, Ethan R. Burris. You can't just ask for generic feedback. Length: 820 word count; Publication Date: Jan 26, 2016; Discipline: Organizational Behavior; Product #: H02MLN-PDF-ENG; What's included: Educator Copy;">
              <int2:suggestions int2:citationType="Inline">
                <int2:suggestion int2:citationStyle="Mla" int2:isIdentical="0">
                  <int2:citationText>(“Employee Suggestion Schemes Don't Have to Be Exercises in Futility”)</int2:citationText>
                </int2:suggestion>
                <int2:suggestion int2:citationStyle="Apa" int2:isIdentical="0">
                  <int2:citationText>(“Employee Suggestion Schemes Don't Have to Be Exercises in Futility”)</int2:citationText>
                </int2:suggestion>
                <int2:suggestion int2:citationStyle="Chicago" int2:isIdentical="0">
                  <int2:citationText>(“Employee Suggestion Schemes Don't Have to Be Exercises in Futility”)</int2:citationText>
                </int2:suggestion>
              </int2:suggestions>
              <int2:suggestions int2:citationType="Full">
                <int2:suggestion int2:citationStyle="Mla" int2:isIdentical="0">
                  <int2:citationText>&lt;i&gt;Employee Suggestion Schemes Don't Have to Be Exercises in Futility&lt;/i&gt;, https://hbsp.harvard.edu/product/H02MLN-PDF-ENG.</int2:citationText>
                </int2:suggestion>
                <int2:suggestion int2:citationStyle="Apa" int2:isIdentical="0">
                  <int2:citationText>&lt;i&gt;Employee Suggestion Schemes Don't Have to Be Exercises in Futility&lt;/i&gt;. (n.d.). Retrieved from https://hbsp.harvard.edu/product/H02MLN-PDF-ENG</int2:citationText>
                </int2:suggestion>
                <int2:suggestion int2:citationStyle="Chicago" int2:isIdentical="0">
                  <int2:citationText>“Employee Suggestion Schemes Don't Have to Be Exercises in Futility” n.d., https://hbsp.harvard.edu/product/H02MLN-PDF-ENG.</int2:citationText>
                </int2:suggestion>
              </int2:suggestions>
            </int2:source>
          </int2:similarityCritique>
        </oel:ext>
      </int2:extLst>
    </int2:bookmark>
    <int2:bookmark int2:bookmarkName="_Int_Qao3sDwj" int2:invalidationBookmarkName="" int2:hashCode="GQxnNx49o5RJsC" int2:id="Z5X25Ypk">
      <int2:state int2:value="Rejected" int2:type="AugLoop_Similarity_SimilarityAnnotation"/>
      <int2:extLst>
        <oel:ext uri="426473B9-03D8-482F-96C9-C2C85392BACA">
          <int2:similarityCritique int2:version="1" int2:context="“Ultimately, the essence of collective bargaining is communication between relevant stakeholders, not outsiders (Sarvaiya et al., 2018).”">
            <int2:source int2:sourceType="Online" int2:sourceTitle="5HR01 Assignment Example | Relationship Management" int2:sourceUrl="https://cipdassignmenthelp.co.uk/5hr01-assignment-example/" int2:sourceSnippet="Ultimately, the essence of collective bargaining is communication between relevant stakeholders, not outsiders (Sarvaiya et al., 2018). Collective bargaining can take many different forms. First, negotiating may occur between a single company and a single union, referred to as single plant bargaining (Dobbins and Dundon, 2020).">
              <int2:suggestions int2:citationType="Inline">
                <int2:suggestion int2:citationStyle="Mla" int2:isIdentical="0">
                  <int2:citationText>(“5HR01 Assignment Example | Relationship Management”)</int2:citationText>
                </int2:suggestion>
                <int2:suggestion int2:citationStyle="Apa" int2:isIdentical="0">
                  <int2:citationText>(“5HR01 Assignment Example | Relationship Management”)</int2:citationText>
                </int2:suggestion>
                <int2:suggestion int2:citationStyle="Chicago" int2:isIdentical="0">
                  <int2:citationText>(“5HR01 Assignment Example | Relationship Management”)</int2:citationText>
                </int2:suggestion>
              </int2:suggestions>
              <int2:suggestions int2:citationType="Full">
                <int2:suggestion int2:citationStyle="Mla" int2:isIdentical="0">
                  <int2:citationText>&lt;i&gt;5HR01 Assignment Example | Relationship Management&lt;/i&gt;, https://cipdassignmenthelp.co.uk/5hr01-assignment-example/.</int2:citationText>
                </int2:suggestion>
                <int2:suggestion int2:citationStyle="Apa" int2:isIdentical="0">
                  <int2:citationText>&lt;i&gt;5HR01 Assignment Example | Relationship Management&lt;/i&gt;. (n.d.). Retrieved from https://cipdassignmenthelp.co.uk/5hr01-assignment-example/</int2:citationText>
                </int2:suggestion>
                <int2:suggestion int2:citationStyle="Chicago" int2:isIdentical="0">
                  <int2:citationText>“5HR01 Assignment Example | Relationship Management” n.d., https://cipdassignmenthelp.co.uk/5hr01-assignment-example/.</int2:citationText>
                </int2:suggestion>
              </int2:suggestions>
            </int2:source>
          </int2:similarityCritique>
        </oel:ext>
      </int2:extLst>
    </int2:bookmark>
    <int2:bookmark int2:bookmarkName="_Int_Gc6mxUVX" int2:invalidationBookmarkName="" int2:hashCode="lSywd5gMn0PAe/" int2:id="woQmxj1I">
      <int2:state int2:value="Rejected" int2:type="AugLoop_Similarity_SimilarityAnnotation"/>
      <int2:extLst>
        <oel:ext uri="426473B9-03D8-482F-96C9-C2C85392BACA">
          <int2:similarityCritique int2:version="1" int2:context="The conciliator is a legal expert in the disputed field">
            <int2:source int2:sourceType="Online" int2:sourceTitle="Advantages and Disadvantages of Conciliation - Get Revising" int2:sourceUrl="https://getrevising.co.uk/grids/advantages-and-disadvantages-of-conciliation" int2:sourceSnippet="The conciliator is normally a legal expert in the disputed field; The process is private so no risk of damage to reputation; ... The question may only ask for advantages or disadvantages, in which case, only answer what it is asking. The examiner will not expect the other side as no concluding comments are needed. You only have 10 minutes per ...">
              <int2:suggestions int2:citationType="Inline">
                <int2:suggestion int2:citationStyle="Mla" int2:isIdentical="0">
                  <int2:citationText>(“Advantages and Disadvantages of Conciliation - Get Revising”)</int2:citationText>
                </int2:suggestion>
                <int2:suggestion int2:citationStyle="Apa" int2:isIdentical="0">
                  <int2:citationText>(“Advantages and Disadvantages of Conciliation - Get Revising”)</int2:citationText>
                </int2:suggestion>
                <int2:suggestion int2:citationStyle="Chicago" int2:isIdentical="0">
                  <int2:citationText>(“Advantages and Disadvantages of Conciliation - Get Revising”)</int2:citationText>
                </int2:suggestion>
              </int2:suggestions>
              <int2:suggestions int2:citationType="Full">
                <int2:suggestion int2:citationStyle="Mla" int2:isIdentical="0">
                  <int2:citationText>&lt;i&gt;Advantages and Disadvantages of Conciliation - Get Revising&lt;/i&gt;, https://getrevising.co.uk/grids/advantages-and-disadvantages-of-conciliation.</int2:citationText>
                </int2:suggestion>
                <int2:suggestion int2:citationStyle="Apa" int2:isIdentical="0">
                  <int2:citationText>&lt;i&gt;Advantages and Disadvantages of Conciliation - Get Revising&lt;/i&gt;. (n.d.). Retrieved from https://getrevising.co.uk/grids/advantages-and-disadvantages-of-conciliation</int2:citationText>
                </int2:suggestion>
                <int2:suggestion int2:citationStyle="Chicago" int2:isIdentical="0">
                  <int2:citationText>“Advantages and Disadvantages of Conciliation - Get Revising” n.d., https://getrevising.co.uk/grids/advantages-and-disadvantages-of-conciliation.</int2:citationText>
                </int2:suggestion>
              </int2:suggestions>
            </int2:source>
          </int2:similarityCritique>
        </oel:ext>
      </int2:extLst>
    </int2:bookmark>
    <int2:bookmark int2:bookmarkName="_Int_EoQuwnmD" int2:invalidationBookmarkName="" int2:hashCode="1giJiwWTN2IJOT" int2:id="8mcvqe28">
      <int2:state int2:value="Rejected" int2:type="AugLoop_Similarity_SimilarityAnnotation"/>
    </int2:bookmark>
    <int2:bookmark int2:bookmarkName="_Int_iIIp7oYy" int2:invalidationBookmarkName="" int2:hashCode="BP/s7FX/UKgU/I" int2:id="3jWNLLwX">
      <int2:state int2:value="Rejected" int2:type="AugLoop_Similarity_SimilarityAnnotation"/>
      <int2:extLst>
        <oel:ext uri="426473B9-03D8-482F-96C9-C2C85392BACA">
          <int2:similarityCritique int2:version="1" int2:context="Thus, management must be proactive in detecting misbehaviour in the workplace, taking relevant action to address it at the source.">
            <int2:source int2:sourceType="Online" int2:sourceTitle="5HR01 Assignment Example | Relationship Management" int2:sourceUrl="https://cipdassignmenthelp.co.uk/5hr01-assignment-example/" int2:sourceSnippet="5HR01 Assignment Example that is a sample completed by an expert and will guide you on how to undertake this assignment. ... 2018). Thus, management must be proactive in detecting misbehaviour at the workplace, taking relevant action to address it at the source. Conflict differs from misbehaviour in that it is a natural occurrence in all ...">
              <int2:suggestions int2:citationType="Inline">
                <int2:suggestion int2:citationStyle="Mla" int2:isIdentical="0">
                  <int2:citationText>(“5HR01 Assignment Example | Relationship Management”)</int2:citationText>
                </int2:suggestion>
                <int2:suggestion int2:citationStyle="Apa" int2:isIdentical="0">
                  <int2:citationText>(“5HR01 Assignment Example | Relationship Management”)</int2:citationText>
                </int2:suggestion>
                <int2:suggestion int2:citationStyle="Chicago" int2:isIdentical="0">
                  <int2:citationText>(“5HR01 Assignment Example | Relationship Management”)</int2:citationText>
                </int2:suggestion>
              </int2:suggestions>
              <int2:suggestions int2:citationType="Full">
                <int2:suggestion int2:citationStyle="Mla" int2:isIdentical="0">
                  <int2:citationText>&lt;i&gt;5HR01 Assignment Example | Relationship Management&lt;/i&gt;, https://cipdassignmenthelp.co.uk/5hr01-assignment-example/.</int2:citationText>
                </int2:suggestion>
                <int2:suggestion int2:citationStyle="Apa" int2:isIdentical="0">
                  <int2:citationText>&lt;i&gt;5HR01 Assignment Example | Relationship Management&lt;/i&gt;. (n.d.). Retrieved from https://cipdassignmenthelp.co.uk/5hr01-assignment-example/</int2:citationText>
                </int2:suggestion>
                <int2:suggestion int2:citationStyle="Chicago" int2:isIdentical="0">
                  <int2:citationText>“5HR01 Assignment Example | Relationship Management” n.d., https://cipdassignmenthelp.co.uk/5hr01-assignment-example/.</int2:citationText>
                </int2:suggestion>
              </int2:suggestions>
            </int2:source>
          </int2:similarityCritique>
        </oel:ext>
      </int2:extLst>
    </int2:bookmark>
    <int2:bookmark int2:bookmarkName="_Int_OLUhlSjM" int2:invalidationBookmarkName="" int2:hashCode="mMBHpg+bUOsQc8" int2:id="v8EWotML">
      <int2:state int2:value="Rejected" int2:type="AugLoop_Similarity_SimilarityAnnotation"/>
      <int2:extLst>
        <oel:ext uri="426473B9-03D8-482F-96C9-C2C85392BACA">
          <int2:similarityCritique int2:version="1" int2:context="“The fundamental thread in defining misbehaviour lies in the intention behind the misbehaviour.”">
            <int2:source int2:sourceType="Online" int2:sourceTitle="5HR01 Assignment Example | Relationship Management" int2:sourceUrl="https://cipdassignmenthelp.co.uk/5hr01-assignment-example/" int2:sourceSnippet="5HR01 Assignment Example that is a sample completed by an expert and will guide you on how to undertake this assignment. Search. Toggle navigation ... others, theft, misappropriation or damage of corporate property, defrauding the government, and deceiving customers. The fundamental thread in defining misbehaviour lies in the intention behind ...">
              <int2:suggestions int2:citationType="Inline">
                <int2:suggestion int2:citationStyle="Mla" int2:isIdentical="0">
                  <int2:citationText>(“5HR01 Assignment Example | Relationship Management”)</int2:citationText>
                </int2:suggestion>
                <int2:suggestion int2:citationStyle="Apa" int2:isIdentical="0">
                  <int2:citationText>(“5HR01 Assignment Example | Relationship Management”)</int2:citationText>
                </int2:suggestion>
                <int2:suggestion int2:citationStyle="Chicago" int2:isIdentical="0">
                  <int2:citationText>(“5HR01 Assignment Example | Relationship Management”)</int2:citationText>
                </int2:suggestion>
              </int2:suggestions>
              <int2:suggestions int2:citationType="Full">
                <int2:suggestion int2:citationStyle="Mla" int2:isIdentical="0">
                  <int2:citationText>&lt;i&gt;5HR01 Assignment Example | Relationship Management&lt;/i&gt;, https://cipdassignmenthelp.co.uk/5hr01-assignment-example/.</int2:citationText>
                </int2:suggestion>
                <int2:suggestion int2:citationStyle="Apa" int2:isIdentical="0">
                  <int2:citationText>&lt;i&gt;5HR01 Assignment Example | Relationship Management&lt;/i&gt;. (n.d.). Retrieved from https://cipdassignmenthelp.co.uk/5hr01-assignment-example/</int2:citationText>
                </int2:suggestion>
                <int2:suggestion int2:citationStyle="Chicago" int2:isIdentical="0">
                  <int2:citationText>“5HR01 Assignment Example | Relationship Management” n.d., https://cipdassignmenthelp.co.uk/5hr01-assignment-example/.</int2:citationText>
                </int2:suggestion>
              </int2:suggestions>
            </int2:source>
          </int2:similarityCritique>
        </oel:ext>
      </int2:extLst>
    </int2:bookmark>
    <int2:bookmark int2:bookmarkName="_Int_98g9s33e" int2:invalidationBookmarkName="" int2:hashCode="2Mo01PgpHfi/tH" int2:id="nsmhpbh3">
      <int2:state int2:value="Rejected" int2:type="AugLoop_Similarity_SimilarityAnnotation"/>
      <int2:extLst>
        <oel:ext uri="426473B9-03D8-482F-96C9-C2C85392BACA">
          <int2:similarityCritique int2:version="1" int2:context="‘The key to successful conflict management is understanding the real reasons for it, which in turn should ensure the organisation has an appropriate response to resolving it’ (CIPD 2020).">
            <int2:source int2:sourceType="Online" int2:sourceTitle="Managing conflict in the modern workplace - CIPD" int2:sourceUrl="https://www.cipd.org/globalassets/media/knowledge/knowledge-hub/reports/managing-conflict-in-the-workplace-2_tcm18-70655.pdf" int2:sourceSnippet="The key to successful conflict management is understanding the real reasons for it, which in turn should ensure the organisation has an appropriate response to resolving it. Managing conflict in the modern workplace. 4. What do the findings mean for people professionals? 5. 2.">
              <int2:suggestions int2:citationType="Inline">
                <int2:suggestion int2:citationStyle="Mla" int2:isIdentical="0">
                  <int2:citationText>(“Managing conflict in the modern workplace - CIPD”)</int2:citationText>
                </int2:suggestion>
                <int2:suggestion int2:citationStyle="Apa" int2:isIdentical="0">
                  <int2:citationText>(“Managing conflict in the modern workplace - CIPD”)</int2:citationText>
                </int2:suggestion>
                <int2:suggestion int2:citationStyle="Chicago" int2:isIdentical="0">
                  <int2:citationText>(“Managing conflict in the modern workplace - CIPD”)</int2:citationText>
                </int2:suggestion>
              </int2:suggestions>
              <int2:suggestions int2:citationType="Full">
                <int2:suggestion int2:citationStyle="Mla" int2:isIdentical="0">
                  <int2:citationText>&lt;i&gt;Managing conflict in the modern workplace - CIPD&lt;/i&gt;, https://www.cipd.org/globalassets/media/knowledge/knowledge-hub/reports/managing-conflict-in-the-workplace-2_tcm18-70655.pdf.</int2:citationText>
                </int2:suggestion>
                <int2:suggestion int2:citationStyle="Apa" int2:isIdentical="0">
                  <int2:citationText>&lt;i&gt;Managing conflict in the modern workplace - CIPD&lt;/i&gt;. (n.d.). Retrieved from https://www.cipd.org/globalassets/media/knowledge/knowledge-hub/reports/managing-conflict-in-the-workplace-2_tcm18-70655.pdf</int2:citationText>
                </int2:suggestion>
                <int2:suggestion int2:citationStyle="Chicago" int2:isIdentical="0">
                  <int2:citationText>“Managing conflict in the modern workplace - CIPD” n.d., https://www.cipd.org/globalassets/media/knowledge/knowledge-hub/reports/managing-conflict-in-the-workplace-2_tcm18-70655.pdf.</int2:citationText>
                </int2:suggestion>
              </int2:suggestions>
            </int2:source>
          </int2:similarityCritique>
        </oel:ext>
      </int2:extLst>
    </int2:bookmark>
    <int2:bookmark int2:bookmarkName="_Int_DnUqXUj5" int2:invalidationBookmarkName="" int2:hashCode="prO+EO7JRi6/oj" int2:id="TeKi47Jl">
      <int2:state int2:value="Rejected" int2:type="AugLoop_Text_Critique"/>
    </int2:bookmark>
    <int2:bookmark int2:bookmarkName="_Int_RRz81sFs" int2:invalidationBookmarkName="" int2:hashCode="nFGzNgEJsBE01l" int2:id="49XkdX1h">
      <int2:state int2:value="Rejected" int2:type="AugLoop_Text_Critique"/>
    </int2:bookmark>
    <int2:bookmark int2:bookmarkName="_Int_toiwvGRm" int2:invalidationBookmarkName="" int2:hashCode="N2uI1EK0CIPLgr" int2:id="RLUv9W96">
      <int2:state int2:value="Rejected" int2:type="AugLoop_Text_Critique"/>
    </int2:bookmark>
    <int2:bookmark int2:bookmarkName="_Int_ezOJslv8" int2:invalidationBookmarkName="" int2:hashCode="Eqo9JkeVQuQ4kf" int2:id="NhiKOOwx">
      <int2:state int2:value="Rejected" int2:type="AugLoop_Text_Critique"/>
    </int2:bookmark>
    <int2:bookmark int2:bookmarkName="_Int_0Ibn1MQH" int2:invalidationBookmarkName="" int2:hashCode="sfs77G/bIuGalP" int2:id="Jx9KNnZz">
      <int2:state int2:value="Rejected" int2:type="AugLoop_Acronyms_AcronymsCritique"/>
    </int2:bookmark>
    <int2:bookmark int2:bookmarkName="_Int_G0JOqYpS" int2:invalidationBookmarkName="" int2:hashCode="l+aQe3ClEZd0bH" int2:id="um4APRM4">
      <int2:state int2:value="Rejected" int2:type="AugLoop_Acronyms_AcronymsCritique"/>
    </int2:bookmark>
    <int2:bookmark int2:bookmarkName="_Int_kkm6Qf6N" int2:invalidationBookmarkName="" int2:hashCode="32PiA1vWG7EMBT" int2:id="z6FmW63s">
      <int2:state int2:value="Rejected" int2:type="AugLoop_Similarity_SimilarityAnnotation"/>
      <int2:extLst>
        <oel:ext uri="426473B9-03D8-482F-96C9-C2C85392BACA">
          <int2:similarityCritique int2:version="1" int2:context="“Having a collective voice at work is part of every employee’s fundamental right, and it can make a huge difference to people’s working lives.”">
            <int2:source int2:sourceType="Online" int2:sourceTitle="Collective employee voice | CIPD" int2:sourceUrl="https://www.cipd.org/en/knowledge/reports/collective-employee-voice/" int2:sourceSnippet="Having a collective voice at work is part of every employee’s fundamental right, and it can make a huge difference to people’s working lives. If employees are provided with a means to use their voice together effectively, it fosters trust, innovation, productivity and organisational improvement. This report helps employers ensure that their ...">
              <int2:suggestions int2:citationType="Inline">
                <int2:suggestion int2:citationStyle="Mla" int2:isIdentical="0">
                  <int2:citationText>(“Collective employee voice | CIPD”)</int2:citationText>
                </int2:suggestion>
                <int2:suggestion int2:citationStyle="Apa" int2:isIdentical="0">
                  <int2:citationText>(“Collective employee voice | CIPD”)</int2:citationText>
                </int2:suggestion>
                <int2:suggestion int2:citationStyle="Chicago" int2:isIdentical="0">
                  <int2:citationText>(“Collective employee voice | CIPD”)</int2:citationText>
                </int2:suggestion>
              </int2:suggestions>
              <int2:suggestions int2:citationType="Full">
                <int2:suggestion int2:citationStyle="Mla" int2:isIdentical="0">
                  <int2:citationText>&lt;i&gt;Collective employee voice | CIPD&lt;/i&gt;, https://www.cipd.org/en/knowledge/reports/collective-employee-voice/.</int2:citationText>
                </int2:suggestion>
                <int2:suggestion int2:citationStyle="Apa" int2:isIdentical="0">
                  <int2:citationText>&lt;i&gt;Collective employee voice | CIPD&lt;/i&gt;. (n.d.). Retrieved from https://www.cipd.org/en/knowledge/reports/collective-employee-voice/</int2:citationText>
                </int2:suggestion>
                <int2:suggestion int2:citationStyle="Chicago" int2:isIdentical="0">
                  <int2:citationText>“Collective employee voice | CIPD” n.d., https://www.cipd.org/en/knowledge/reports/collective-employee-voice/.</int2:citationText>
                </int2:suggestion>
              </int2:suggestions>
            </int2:source>
            <int2:source int2:sourceType="Online" int2:sourceTitle="Collective employee voice | CIPD" int2:sourceUrl="https://www.cipd.org/uk/knowledge/reports/collective-employee-voice/" int2:sourceSnippet="Having a collective voice at work is part of every employee’s fundamental right, and it can make a huge difference to people’s working lives. If employees are provided with a means to use their voice together effectively, it fosters trust, innovation, productivity and organisational improvement. This report helps employers ensure that their ...">
              <int2:suggestions int2:citationType="Inline">
                <int2:suggestion int2:citationStyle="Mla" int2:isIdentical="0">
                  <int2:citationText>(“Collective employee voice | CIPD”)</int2:citationText>
                </int2:suggestion>
                <int2:suggestion int2:citationStyle="Apa" int2:isIdentical="0">
                  <int2:citationText>(“Collective employee voice | CIPD”)</int2:citationText>
                </int2:suggestion>
                <int2:suggestion int2:citationStyle="Chicago" int2:isIdentical="0">
                  <int2:citationText>(“Collective employee voice | CIPD”)</int2:citationText>
                </int2:suggestion>
              </int2:suggestions>
              <int2:suggestions int2:citationType="Full">
                <int2:suggestion int2:citationStyle="Mla" int2:isIdentical="0">
                  <int2:citationText>&lt;i&gt;Collective employee voice | CIPD&lt;/i&gt;, https://www.cipd.org/uk/knowledge/reports/collective-employee-voice/.</int2:citationText>
                </int2:suggestion>
                <int2:suggestion int2:citationStyle="Apa" int2:isIdentical="0">
                  <int2:citationText>&lt;i&gt;Collective employee voice | CIPD&lt;/i&gt;. (n.d.). Retrieved from https://www.cipd.org/uk/knowledge/reports/collective-employee-voice/</int2:citationText>
                </int2:suggestion>
                <int2:suggestion int2:citationStyle="Chicago" int2:isIdentical="0">
                  <int2:citationText>“Collective employee voice | CIPD” n.d., https://www.cipd.org/uk/knowledge/reports/collective-employee-voice/.</int2:citationText>
                </int2:suggestion>
              </int2:suggestions>
            </int2:source>
          </int2:similarityCritique>
        </oel:ext>
      </int2:extLst>
    </int2:bookmark>
    <int2:bookmark int2:bookmarkName="_Int_ln00SOnU" int2:invalidationBookmarkName="" int2:hashCode="SradH0SdDJdch8" int2:id="0VUFHX4w">
      <int2:state int2:value="Rejected" int2:type="AugLoop_Text_Critique"/>
    </int2:bookmark>
    <int2:bookmark int2:bookmarkName="_Int_kGKqc5sU" int2:invalidationBookmarkName="" int2:hashCode="/ep6XwpRFrM/9a" int2:id="kBftDfcS">
      <int2:state int2:value="Rejected" int2:type="AugLoop_Similarity_SimilarityAnnotation"/>
      <int2:extLst>
        <oel:ext uri="426473B9-03D8-482F-96C9-C2C85392BACA">
          <int2:similarityCritique int2:version="1" int2:context="“Employee involvement refers only to the degree of input employees have on the business activities they perform. Although the two concepts are similar, they are two different elements.”">
            <int2:source int2:sourceType="Online" int2:sourceTitle="Employee Participation: the Definition and Benefits - Toolshero" int2:sourceUrl="https://www.toolshero.com/tag/employee-participation/" int2:sourceSnippet="Employee Participation, or co-determination for staff, refers to activities and measures taken to get employees to participate together in an initiative to achieve a common goal. ... Employee involvement refers only to the degree of input employees have on the business activities they perform. Although the two concepts are similar, they are two ...">
              <int2:suggestions int2:citationType="Inline">
                <int2:suggestion int2:citationStyle="Mla" int2:isIdentical="0">
                  <int2:citationText>(“Employee Participation: the Definition and Benefits - Toolshero”)</int2:citationText>
                </int2:suggestion>
                <int2:suggestion int2:citationStyle="Apa" int2:isIdentical="0">
                  <int2:citationText>(“Employee Participation: the Definition and Benefits - Toolshero”)</int2:citationText>
                </int2:suggestion>
                <int2:suggestion int2:citationStyle="Chicago" int2:isIdentical="0">
                  <int2:citationText>(“Employee Participation: the Definition and Benefits - Toolshero”)</int2:citationText>
                </int2:suggestion>
              </int2:suggestions>
              <int2:suggestions int2:citationType="Full">
                <int2:suggestion int2:citationStyle="Mla" int2:isIdentical="0">
                  <int2:citationText>&lt;i&gt;Employee Participation: the Definition and Benefits - Toolshero&lt;/i&gt;, https://www.toolshero.com/tag/employee-participation/.</int2:citationText>
                </int2:suggestion>
                <int2:suggestion int2:citationStyle="Apa" int2:isIdentical="0">
                  <int2:citationText>&lt;i&gt;Employee Participation: the Definition and Benefits - Toolshero&lt;/i&gt;. (n.d.). Retrieved from https://www.toolshero.com/tag/employee-participation/</int2:citationText>
                </int2:suggestion>
                <int2:suggestion int2:citationStyle="Chicago" int2:isIdentical="0">
                  <int2:citationText>“Employee Participation: the Definition and Benefits - Toolshero” n.d., https://www.toolshero.com/tag/employee-participation/.</int2:citationText>
                </int2:suggestion>
              </int2:suggestions>
            </int2:source>
          </int2:similarityCritique>
        </oel:ext>
      </int2:extLst>
    </int2:bookmark>
    <int2:bookmark int2:bookmarkName="_Int_h5t7XO0Y" int2:invalidationBookmarkName="" int2:hashCode="0phc//W3k9y2tL" int2:id="5Noad1yY">
      <int2:state int2:value="Rejected" int2:type="WordDesignerDefaultAnnotation"/>
    </int2:bookmark>
    <int2:bookmark int2:bookmarkName="_Int_5QkR1YXM" int2:invalidationBookmarkName="" int2:hashCode="6KwxCWAoDwtvI+" int2:id="uTxDdGhB">
      <int2:state int2:value="Rejected" int2:type="AugLoop_Text_Critique"/>
    </int2:bookmark>
    <int2:bookmark int2:bookmarkName="_Int_vi0MUbVO" int2:invalidationBookmarkName="" int2:hashCode="d3DQTHv7eR58lZ" int2:id="7XSBw5Xd">
      <int2:state int2:value="Rejected" int2:type="AugLoop_Acronyms_AcronymsCritique"/>
    </int2:bookmark>
    <int2:bookmark int2:bookmarkName="_Int_Rez3HRRn" int2:invalidationBookmarkName="" int2:hashCode="ojFgqDo2WMDfs+" int2:id="ZgY5qudg">
      <int2:state int2:value="Rejected" int2:type="AugLoop_Text_Critique"/>
    </int2:bookmark>
    <int2:bookmark int2:bookmarkName="_Int_qmN9Xr1h" int2:invalidationBookmarkName="" int2:hashCode="ISQDfKZqM8FMSE" int2:id="a5B0nHUx">
      <int2:state int2:value="Rejected" int2:type="AugLoop_Text_Critique"/>
    </int2:bookmark>
    <int2:bookmark int2:bookmarkName="_Int_MWfxz7ZF" int2:invalidationBookmarkName="" int2:hashCode="NwkhT7NJxbU1pQ" int2:id="shWAqfAg">
      <int2:state int2:value="Rejected" int2:type="AugLoop_Text_Critique"/>
    </int2:bookmark>
    <int2:entireDocument int2:id="fz5vMQPm">
      <int2:extLst>
        <oel:ext uri="E302BA01-7950-474C-9AD3-286E660C40A8">
          <int2:similaritySummary int2:version="1" int2:runId="1692887691914" int2:tilesCheckedInThisRun="3" int2:totalNumOfTiles="175" int2:similarityAnnotationCount="10" int2:numWords="5846" int2:numFlaggedWords="157"/>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66474982-215ED11B 156094B1-206E2584 4D7DBE17-7F9B11CA 7951C727-1358BD3E 11DE6E30-5D7D3227 4CF78D14-1C5F213A 5EB46B02-11EA4484 0CB11996-48C9BCB4 2A705A9D-4E0C4F84 740225A4-2CD00659 48BB4614-55FCBE4A 3D2A30A5-269BAF14 14B2AB75-518F7E08 3F9DCE5C-08E2D2E6 491EBF63-43905448 55A94370-77777777 204700D5-1E1D61E8 0F4372DD-5EBEB817 598EFB8E-77777777 77B95CAB-46E7BC6A 7A5C89D1-33B88308 42BEA87C-32F730B8 4DF7E953-68ED0AAC 78E05636-79DD0AC1 4676C1C0-154CB9B2 7DBBF13B-565BB7ED 039BF11A-66CF3143 1B466C27-496168C5 2003140C-51C6D694 438B667F-127CB21D 50C30C79-585F1650 2CEA34FC-3F8F839F 4D4898F1-255EC323 62EF5F61-0C8E8FC9 679A89E9-6BCA5611 7DE506E0-15B377D2 12F23FD5-77777777 608C1CF4-403BA2E3 0D020FB4-74B8D044 19A65F3D-43AA4E2C 0DB8B78C-1A26B9C8 0AB17E63-1C0AE808 1D1CF80F-099A0410 010B5440-07AE24DD 023B35BE-674E7147 3D9A0649-77777777 266AB06D-4A1FCC4E 24FEB418-64807ABA 4231FA1D-09BEA5F5 6965A471-1359AA1F 3AC78987-26245692 42CDF739-1CC7E51C 7F0215CD-638E9E63 28D86842-56BBB116 4E9A8115-7EA0C82E 3874C396-69D66194 5874AD1F-71F682DB 58DA8320-66277361 31EC0ADF-317A6B10 3B95E9FA-26D3C741 2B08CF75-2D42158C 3DB50FDE-39858C14 6994AFDC-4FA0EF69 7E7024F7-58B87030 6164FD87-544AD648 23876238-21750693 546BA9C8-4EAF346C 6AC1CC94-2321A621 0BEB9610-59835B48 52F9254D-30F059AC 6A30B803-623AF811 7D2CD303-09CD5AC4 12A88D45-25FF2580 5C6F9FB2-1A2A24C1 4BAD4911-7FB6AA98 1C62AFAC-57229F22 7F331BE7-457A9F1E 15B47E9F-1E958287 1DA1E9FD-08A6DC14 1192BADE-29D04FEA 1A3F5E07-1657D7BF 071A7E07-3C3EB334 1AC84100-1996EC03 30969CEF-6871B058 30C4B817-1297CD00 49C6B457-2A2EFA08 22166857-69DDAE3C 6C9F73A7-6CC81DCE 1ED939CF-2ADECB13 6BB72A1A-0BD1DD9A 607BC4B7-3B97760B 485204CD-77777777 05EAF3F9-635659A5 187EC27C-1D2EB3C1 2AF703C4-2D1138AD 28606C55-518B1A81 66968234-52F5CCF5 29ED6808-32F10143 059DB746-39740744 567CBD88-2C2487F1 1CB3A8D9-1CE92A41 52FB232A-1FA224E3 35738906-0C69E65D 1914622B-29C3FDBF 5253BB2B-5C37BB44 3598A61F-09FF1C93 7B3FA1A4-4EF84BC9 6D825A65-004E6536 7800F19C-2EFCB673 0E1F3CB3-736EAD72 35080EEA-5024D17B 770C9B21-29F61BC4 55AB7219-3FBBD9C4 20248EEB-19FC6D6D 42669884-73B37EA0 0C24B3E6-7528C657 74381748-2B2110E6 3FACCF8B-2BAD687C 1D46F817-77777777 3B21F477-505063AF 1B2AB783-141A7DAB 0C4ED84C-2D80E9AC 53D1E5FA-058BDE70 193013C5-77777777 3B209EB4-77777777 795D6625-77777777 097EF84B-77777777 3D656ECC-77777777 10C24479-7B938B50 501EEC26-16BA9CFC 50BD87C1-77777777 38636350-77777777 236147E4-77777777 01C7E80C-77777777 29A7F881-77777777 7B783B21-77777777 52CB39F2-77777777 5994D508-0D1D4310 29868EC6-77777777 4F7F9356-77777777 0EB2D996-77777777 28F0B31E-7E7CDF7A 485729CC-77777777 777B7A0A-77777777 656DF816-0F597758 33C3A5DA-77777777 6864DB3F-77777777 179492C6-77777777 66648B4D-77777777 674FAB77-77777777 104E9959-58E79AF4 292436D9-46598925 0834AC1E-6B0D9F23 27BB57ED-13ECF206 111FC0AD-77777777 58F08668-77777777 0FF66036-77777777 160E7E03-77777777 6C0DA4A7-77777777 5DE09A78-77777777 78B9FF4F-77777777 7D5F9A98-77777777 2E90F6C7-5A8B5B6B 6BD4CB30-77777777 28FE7D66-77777777 75255207-77777777 3787B5BA-77777777 5A29F8B4-77777777 3163C2AD-77777777 622C1444-77777777 6DD408B2-77777777 151B0D18-77777777 51445624-6BA2FCFE 131B9721-72340B6C 1ABC0E37-20600177 567982C6-77777777 641D1ED2-77777777 0B964D70-77777777 5909928C-77777777 664AE743-77777777 51C744A7-77777777 5FBD41F6-77777777 288E3116-20B87716 63D6465E-77777777 33D5C405-2E565FB6 34A7F415-77777777 32AE458F-77777777 7C4A0AEA-77777777 69308919-40CA03F6 50FFCE1C-533FA700 60F8052C-0F19B2E3 1D4046E9-0AB3BA32 364F4C63-77777777 726ADCD3-77777777 787761E3-77777777 0A035349-77777777 35F4E6BF-77777777 05CD2B2A-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2F22"/>
    <w:multiLevelType w:val="hybridMultilevel"/>
    <w:tmpl w:val="2632C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8E80F"/>
    <w:multiLevelType w:val="hybridMultilevel"/>
    <w:tmpl w:val="E1CE3AEE"/>
    <w:lvl w:ilvl="0" w:tplc="1500EF14">
      <w:start w:val="1"/>
      <w:numFmt w:val="bullet"/>
      <w:lvlText w:val=""/>
      <w:lvlJc w:val="left"/>
      <w:pPr>
        <w:ind w:left="720" w:hanging="360"/>
      </w:pPr>
      <w:rPr>
        <w:rFonts w:hint="default" w:ascii="Symbol" w:hAnsi="Symbol"/>
      </w:rPr>
    </w:lvl>
    <w:lvl w:ilvl="1" w:tplc="990E297E">
      <w:start w:val="1"/>
      <w:numFmt w:val="bullet"/>
      <w:lvlText w:val="o"/>
      <w:lvlJc w:val="left"/>
      <w:pPr>
        <w:ind w:left="1440" w:hanging="360"/>
      </w:pPr>
      <w:rPr>
        <w:rFonts w:hint="default" w:ascii="Courier New" w:hAnsi="Courier New"/>
      </w:rPr>
    </w:lvl>
    <w:lvl w:ilvl="2" w:tplc="1952DB58">
      <w:start w:val="1"/>
      <w:numFmt w:val="bullet"/>
      <w:lvlText w:val=""/>
      <w:lvlJc w:val="left"/>
      <w:pPr>
        <w:ind w:left="2160" w:hanging="360"/>
      </w:pPr>
      <w:rPr>
        <w:rFonts w:hint="default" w:ascii="Wingdings" w:hAnsi="Wingdings"/>
      </w:rPr>
    </w:lvl>
    <w:lvl w:ilvl="3" w:tplc="6C4881B6">
      <w:start w:val="1"/>
      <w:numFmt w:val="bullet"/>
      <w:lvlText w:val=""/>
      <w:lvlJc w:val="left"/>
      <w:pPr>
        <w:ind w:left="2880" w:hanging="360"/>
      </w:pPr>
      <w:rPr>
        <w:rFonts w:hint="default" w:ascii="Symbol" w:hAnsi="Symbol"/>
      </w:rPr>
    </w:lvl>
    <w:lvl w:ilvl="4" w:tplc="8FF4F5D2">
      <w:start w:val="1"/>
      <w:numFmt w:val="bullet"/>
      <w:lvlText w:val="o"/>
      <w:lvlJc w:val="left"/>
      <w:pPr>
        <w:ind w:left="3600" w:hanging="360"/>
      </w:pPr>
      <w:rPr>
        <w:rFonts w:hint="default" w:ascii="Courier New" w:hAnsi="Courier New"/>
      </w:rPr>
    </w:lvl>
    <w:lvl w:ilvl="5" w:tplc="00F4D042">
      <w:start w:val="1"/>
      <w:numFmt w:val="bullet"/>
      <w:lvlText w:val=""/>
      <w:lvlJc w:val="left"/>
      <w:pPr>
        <w:ind w:left="4320" w:hanging="360"/>
      </w:pPr>
      <w:rPr>
        <w:rFonts w:hint="default" w:ascii="Wingdings" w:hAnsi="Wingdings"/>
      </w:rPr>
    </w:lvl>
    <w:lvl w:ilvl="6" w:tplc="EDC8D3F2">
      <w:start w:val="1"/>
      <w:numFmt w:val="bullet"/>
      <w:lvlText w:val=""/>
      <w:lvlJc w:val="left"/>
      <w:pPr>
        <w:ind w:left="5040" w:hanging="360"/>
      </w:pPr>
      <w:rPr>
        <w:rFonts w:hint="default" w:ascii="Symbol" w:hAnsi="Symbol"/>
      </w:rPr>
    </w:lvl>
    <w:lvl w:ilvl="7" w:tplc="9FDE940A">
      <w:start w:val="1"/>
      <w:numFmt w:val="bullet"/>
      <w:lvlText w:val="o"/>
      <w:lvlJc w:val="left"/>
      <w:pPr>
        <w:ind w:left="5760" w:hanging="360"/>
      </w:pPr>
      <w:rPr>
        <w:rFonts w:hint="default" w:ascii="Courier New" w:hAnsi="Courier New"/>
      </w:rPr>
    </w:lvl>
    <w:lvl w:ilvl="8" w:tplc="D4B2391C">
      <w:start w:val="1"/>
      <w:numFmt w:val="bullet"/>
      <w:lvlText w:val=""/>
      <w:lvlJc w:val="left"/>
      <w:pPr>
        <w:ind w:left="6480" w:hanging="360"/>
      </w:pPr>
      <w:rPr>
        <w:rFonts w:hint="default" w:ascii="Wingdings" w:hAnsi="Wingdings"/>
      </w:rPr>
    </w:lvl>
  </w:abstractNum>
  <w:abstractNum w:abstractNumId="2" w15:restartNumberingAfterBreak="0">
    <w:nsid w:val="0A31D212"/>
    <w:multiLevelType w:val="hybridMultilevel"/>
    <w:tmpl w:val="843C82DC"/>
    <w:lvl w:ilvl="0" w:tplc="B5F61560">
      <w:start w:val="1"/>
      <w:numFmt w:val="bullet"/>
      <w:lvlText w:val=""/>
      <w:lvlJc w:val="left"/>
      <w:pPr>
        <w:ind w:left="720" w:hanging="360"/>
      </w:pPr>
      <w:rPr>
        <w:rFonts w:hint="default" w:ascii="Symbol" w:hAnsi="Symbol"/>
      </w:rPr>
    </w:lvl>
    <w:lvl w:ilvl="1" w:tplc="8692041A">
      <w:start w:val="1"/>
      <w:numFmt w:val="bullet"/>
      <w:lvlText w:val="o"/>
      <w:lvlJc w:val="left"/>
      <w:pPr>
        <w:ind w:left="1440" w:hanging="360"/>
      </w:pPr>
      <w:rPr>
        <w:rFonts w:hint="default" w:ascii="Courier New" w:hAnsi="Courier New"/>
      </w:rPr>
    </w:lvl>
    <w:lvl w:ilvl="2" w:tplc="C270BF80">
      <w:start w:val="1"/>
      <w:numFmt w:val="bullet"/>
      <w:lvlText w:val=""/>
      <w:lvlJc w:val="left"/>
      <w:pPr>
        <w:ind w:left="2160" w:hanging="360"/>
      </w:pPr>
      <w:rPr>
        <w:rFonts w:hint="default" w:ascii="Wingdings" w:hAnsi="Wingdings"/>
      </w:rPr>
    </w:lvl>
    <w:lvl w:ilvl="3" w:tplc="02304050">
      <w:start w:val="1"/>
      <w:numFmt w:val="bullet"/>
      <w:lvlText w:val=""/>
      <w:lvlJc w:val="left"/>
      <w:pPr>
        <w:ind w:left="2880" w:hanging="360"/>
      </w:pPr>
      <w:rPr>
        <w:rFonts w:hint="default" w:ascii="Symbol" w:hAnsi="Symbol"/>
      </w:rPr>
    </w:lvl>
    <w:lvl w:ilvl="4" w:tplc="BAA269D2">
      <w:start w:val="1"/>
      <w:numFmt w:val="bullet"/>
      <w:lvlText w:val="o"/>
      <w:lvlJc w:val="left"/>
      <w:pPr>
        <w:ind w:left="3600" w:hanging="360"/>
      </w:pPr>
      <w:rPr>
        <w:rFonts w:hint="default" w:ascii="Courier New" w:hAnsi="Courier New"/>
      </w:rPr>
    </w:lvl>
    <w:lvl w:ilvl="5" w:tplc="301AAB3C">
      <w:start w:val="1"/>
      <w:numFmt w:val="bullet"/>
      <w:lvlText w:val=""/>
      <w:lvlJc w:val="left"/>
      <w:pPr>
        <w:ind w:left="4320" w:hanging="360"/>
      </w:pPr>
      <w:rPr>
        <w:rFonts w:hint="default" w:ascii="Wingdings" w:hAnsi="Wingdings"/>
      </w:rPr>
    </w:lvl>
    <w:lvl w:ilvl="6" w:tplc="9710BF36">
      <w:start w:val="1"/>
      <w:numFmt w:val="bullet"/>
      <w:lvlText w:val=""/>
      <w:lvlJc w:val="left"/>
      <w:pPr>
        <w:ind w:left="5040" w:hanging="360"/>
      </w:pPr>
      <w:rPr>
        <w:rFonts w:hint="default" w:ascii="Symbol" w:hAnsi="Symbol"/>
      </w:rPr>
    </w:lvl>
    <w:lvl w:ilvl="7" w:tplc="EE44328A">
      <w:start w:val="1"/>
      <w:numFmt w:val="bullet"/>
      <w:lvlText w:val="o"/>
      <w:lvlJc w:val="left"/>
      <w:pPr>
        <w:ind w:left="5760" w:hanging="360"/>
      </w:pPr>
      <w:rPr>
        <w:rFonts w:hint="default" w:ascii="Courier New" w:hAnsi="Courier New"/>
      </w:rPr>
    </w:lvl>
    <w:lvl w:ilvl="8" w:tplc="67D827D2">
      <w:start w:val="1"/>
      <w:numFmt w:val="bullet"/>
      <w:lvlText w:val=""/>
      <w:lvlJc w:val="left"/>
      <w:pPr>
        <w:ind w:left="6480" w:hanging="360"/>
      </w:pPr>
      <w:rPr>
        <w:rFonts w:hint="default" w:ascii="Wingdings" w:hAnsi="Wingdings"/>
      </w:rPr>
    </w:lvl>
  </w:abstractNum>
  <w:abstractNum w:abstractNumId="3" w15:restartNumberingAfterBreak="0">
    <w:nsid w:val="0A625067"/>
    <w:multiLevelType w:val="hybridMultilevel"/>
    <w:tmpl w:val="F246FA46"/>
    <w:lvl w:ilvl="0" w:tplc="001EE9F4">
      <w:start w:val="1"/>
      <w:numFmt w:val="bullet"/>
      <w:lvlText w:val=""/>
      <w:lvlJc w:val="left"/>
      <w:pPr>
        <w:ind w:left="720" w:hanging="360"/>
      </w:pPr>
      <w:rPr>
        <w:rFonts w:hint="default" w:ascii="Symbol" w:hAnsi="Symbol"/>
      </w:rPr>
    </w:lvl>
    <w:lvl w:ilvl="1" w:tplc="F814A654">
      <w:start w:val="1"/>
      <w:numFmt w:val="bullet"/>
      <w:lvlText w:val="o"/>
      <w:lvlJc w:val="left"/>
      <w:pPr>
        <w:ind w:left="1440" w:hanging="360"/>
      </w:pPr>
      <w:rPr>
        <w:rFonts w:hint="default" w:ascii="Courier New" w:hAnsi="Courier New"/>
      </w:rPr>
    </w:lvl>
    <w:lvl w:ilvl="2" w:tplc="53205D24">
      <w:start w:val="1"/>
      <w:numFmt w:val="bullet"/>
      <w:lvlText w:val=""/>
      <w:lvlJc w:val="left"/>
      <w:pPr>
        <w:ind w:left="2160" w:hanging="360"/>
      </w:pPr>
      <w:rPr>
        <w:rFonts w:hint="default" w:ascii="Wingdings" w:hAnsi="Wingdings"/>
      </w:rPr>
    </w:lvl>
    <w:lvl w:ilvl="3" w:tplc="B57615BA">
      <w:start w:val="1"/>
      <w:numFmt w:val="bullet"/>
      <w:lvlText w:val=""/>
      <w:lvlJc w:val="left"/>
      <w:pPr>
        <w:ind w:left="2880" w:hanging="360"/>
      </w:pPr>
      <w:rPr>
        <w:rFonts w:hint="default" w:ascii="Symbol" w:hAnsi="Symbol"/>
      </w:rPr>
    </w:lvl>
    <w:lvl w:ilvl="4" w:tplc="D1044546">
      <w:start w:val="1"/>
      <w:numFmt w:val="bullet"/>
      <w:lvlText w:val="o"/>
      <w:lvlJc w:val="left"/>
      <w:pPr>
        <w:ind w:left="3600" w:hanging="360"/>
      </w:pPr>
      <w:rPr>
        <w:rFonts w:hint="default" w:ascii="Courier New" w:hAnsi="Courier New"/>
      </w:rPr>
    </w:lvl>
    <w:lvl w:ilvl="5" w:tplc="FC9C8722">
      <w:start w:val="1"/>
      <w:numFmt w:val="bullet"/>
      <w:lvlText w:val=""/>
      <w:lvlJc w:val="left"/>
      <w:pPr>
        <w:ind w:left="4320" w:hanging="360"/>
      </w:pPr>
      <w:rPr>
        <w:rFonts w:hint="default" w:ascii="Wingdings" w:hAnsi="Wingdings"/>
      </w:rPr>
    </w:lvl>
    <w:lvl w:ilvl="6" w:tplc="B28062F0">
      <w:start w:val="1"/>
      <w:numFmt w:val="bullet"/>
      <w:lvlText w:val=""/>
      <w:lvlJc w:val="left"/>
      <w:pPr>
        <w:ind w:left="5040" w:hanging="360"/>
      </w:pPr>
      <w:rPr>
        <w:rFonts w:hint="default" w:ascii="Symbol" w:hAnsi="Symbol"/>
      </w:rPr>
    </w:lvl>
    <w:lvl w:ilvl="7" w:tplc="2CA292EE">
      <w:start w:val="1"/>
      <w:numFmt w:val="bullet"/>
      <w:lvlText w:val="o"/>
      <w:lvlJc w:val="left"/>
      <w:pPr>
        <w:ind w:left="5760" w:hanging="360"/>
      </w:pPr>
      <w:rPr>
        <w:rFonts w:hint="default" w:ascii="Courier New" w:hAnsi="Courier New"/>
      </w:rPr>
    </w:lvl>
    <w:lvl w:ilvl="8" w:tplc="1DC0A3AE">
      <w:start w:val="1"/>
      <w:numFmt w:val="bullet"/>
      <w:lvlText w:val=""/>
      <w:lvlJc w:val="left"/>
      <w:pPr>
        <w:ind w:left="6480" w:hanging="360"/>
      </w:pPr>
      <w:rPr>
        <w:rFonts w:hint="default" w:ascii="Wingdings" w:hAnsi="Wingdings"/>
      </w:rPr>
    </w:lvl>
  </w:abstractNum>
  <w:abstractNum w:abstractNumId="4" w15:restartNumberingAfterBreak="0">
    <w:nsid w:val="0E31A5FB"/>
    <w:multiLevelType w:val="hybridMultilevel"/>
    <w:tmpl w:val="F1026730"/>
    <w:lvl w:ilvl="0" w:tplc="073CCFFC">
      <w:start w:val="1"/>
      <w:numFmt w:val="bullet"/>
      <w:lvlText w:val=""/>
      <w:lvlJc w:val="left"/>
      <w:pPr>
        <w:ind w:left="720" w:hanging="360"/>
      </w:pPr>
      <w:rPr>
        <w:rFonts w:hint="default" w:ascii="Symbol" w:hAnsi="Symbol"/>
      </w:rPr>
    </w:lvl>
    <w:lvl w:ilvl="1" w:tplc="97482EAC">
      <w:start w:val="1"/>
      <w:numFmt w:val="bullet"/>
      <w:lvlText w:val="o"/>
      <w:lvlJc w:val="left"/>
      <w:pPr>
        <w:ind w:left="1440" w:hanging="360"/>
      </w:pPr>
      <w:rPr>
        <w:rFonts w:hint="default" w:ascii="Courier New" w:hAnsi="Courier New"/>
      </w:rPr>
    </w:lvl>
    <w:lvl w:ilvl="2" w:tplc="CF740F3E">
      <w:start w:val="1"/>
      <w:numFmt w:val="bullet"/>
      <w:lvlText w:val=""/>
      <w:lvlJc w:val="left"/>
      <w:pPr>
        <w:ind w:left="2160" w:hanging="360"/>
      </w:pPr>
      <w:rPr>
        <w:rFonts w:hint="default" w:ascii="Wingdings" w:hAnsi="Wingdings"/>
      </w:rPr>
    </w:lvl>
    <w:lvl w:ilvl="3" w:tplc="42AC3B5A">
      <w:start w:val="1"/>
      <w:numFmt w:val="bullet"/>
      <w:lvlText w:val=""/>
      <w:lvlJc w:val="left"/>
      <w:pPr>
        <w:ind w:left="2880" w:hanging="360"/>
      </w:pPr>
      <w:rPr>
        <w:rFonts w:hint="default" w:ascii="Symbol" w:hAnsi="Symbol"/>
      </w:rPr>
    </w:lvl>
    <w:lvl w:ilvl="4" w:tplc="57223C18">
      <w:start w:val="1"/>
      <w:numFmt w:val="bullet"/>
      <w:lvlText w:val="o"/>
      <w:lvlJc w:val="left"/>
      <w:pPr>
        <w:ind w:left="3600" w:hanging="360"/>
      </w:pPr>
      <w:rPr>
        <w:rFonts w:hint="default" w:ascii="Courier New" w:hAnsi="Courier New"/>
      </w:rPr>
    </w:lvl>
    <w:lvl w:ilvl="5" w:tplc="B8423E92">
      <w:start w:val="1"/>
      <w:numFmt w:val="bullet"/>
      <w:lvlText w:val=""/>
      <w:lvlJc w:val="left"/>
      <w:pPr>
        <w:ind w:left="4320" w:hanging="360"/>
      </w:pPr>
      <w:rPr>
        <w:rFonts w:hint="default" w:ascii="Wingdings" w:hAnsi="Wingdings"/>
      </w:rPr>
    </w:lvl>
    <w:lvl w:ilvl="6" w:tplc="F0E2D4B8">
      <w:start w:val="1"/>
      <w:numFmt w:val="bullet"/>
      <w:lvlText w:val=""/>
      <w:lvlJc w:val="left"/>
      <w:pPr>
        <w:ind w:left="5040" w:hanging="360"/>
      </w:pPr>
      <w:rPr>
        <w:rFonts w:hint="default" w:ascii="Symbol" w:hAnsi="Symbol"/>
      </w:rPr>
    </w:lvl>
    <w:lvl w:ilvl="7" w:tplc="1360B51C">
      <w:start w:val="1"/>
      <w:numFmt w:val="bullet"/>
      <w:lvlText w:val="o"/>
      <w:lvlJc w:val="left"/>
      <w:pPr>
        <w:ind w:left="5760" w:hanging="360"/>
      </w:pPr>
      <w:rPr>
        <w:rFonts w:hint="default" w:ascii="Courier New" w:hAnsi="Courier New"/>
      </w:rPr>
    </w:lvl>
    <w:lvl w:ilvl="8" w:tplc="A1B2AF24">
      <w:start w:val="1"/>
      <w:numFmt w:val="bullet"/>
      <w:lvlText w:val=""/>
      <w:lvlJc w:val="left"/>
      <w:pPr>
        <w:ind w:left="6480" w:hanging="360"/>
      </w:pPr>
      <w:rPr>
        <w:rFonts w:hint="default" w:ascii="Wingdings" w:hAnsi="Wingdings"/>
      </w:rPr>
    </w:lvl>
  </w:abstractNum>
  <w:abstractNum w:abstractNumId="5" w15:restartNumberingAfterBreak="0">
    <w:nsid w:val="155CDC3F"/>
    <w:multiLevelType w:val="hybridMultilevel"/>
    <w:tmpl w:val="4C1E7870"/>
    <w:lvl w:ilvl="0" w:tplc="EB4AF9A8">
      <w:start w:val="1"/>
      <w:numFmt w:val="bullet"/>
      <w:lvlText w:val=""/>
      <w:lvlJc w:val="left"/>
      <w:pPr>
        <w:ind w:left="720" w:hanging="360"/>
      </w:pPr>
      <w:rPr>
        <w:rFonts w:hint="default" w:ascii="Symbol" w:hAnsi="Symbol"/>
      </w:rPr>
    </w:lvl>
    <w:lvl w:ilvl="1" w:tplc="5E66D4DE">
      <w:start w:val="1"/>
      <w:numFmt w:val="bullet"/>
      <w:lvlText w:val="o"/>
      <w:lvlJc w:val="left"/>
      <w:pPr>
        <w:ind w:left="1440" w:hanging="360"/>
      </w:pPr>
      <w:rPr>
        <w:rFonts w:hint="default" w:ascii="Courier New" w:hAnsi="Courier New"/>
      </w:rPr>
    </w:lvl>
    <w:lvl w:ilvl="2" w:tplc="F8489CA0">
      <w:start w:val="1"/>
      <w:numFmt w:val="bullet"/>
      <w:lvlText w:val=""/>
      <w:lvlJc w:val="left"/>
      <w:pPr>
        <w:ind w:left="2160" w:hanging="360"/>
      </w:pPr>
      <w:rPr>
        <w:rFonts w:hint="default" w:ascii="Wingdings" w:hAnsi="Wingdings"/>
      </w:rPr>
    </w:lvl>
    <w:lvl w:ilvl="3" w:tplc="3686FF44">
      <w:start w:val="1"/>
      <w:numFmt w:val="bullet"/>
      <w:lvlText w:val=""/>
      <w:lvlJc w:val="left"/>
      <w:pPr>
        <w:ind w:left="2880" w:hanging="360"/>
      </w:pPr>
      <w:rPr>
        <w:rFonts w:hint="default" w:ascii="Symbol" w:hAnsi="Symbol"/>
      </w:rPr>
    </w:lvl>
    <w:lvl w:ilvl="4" w:tplc="942035DC">
      <w:start w:val="1"/>
      <w:numFmt w:val="bullet"/>
      <w:lvlText w:val="o"/>
      <w:lvlJc w:val="left"/>
      <w:pPr>
        <w:ind w:left="3600" w:hanging="360"/>
      </w:pPr>
      <w:rPr>
        <w:rFonts w:hint="default" w:ascii="Courier New" w:hAnsi="Courier New"/>
      </w:rPr>
    </w:lvl>
    <w:lvl w:ilvl="5" w:tplc="AFBC3DFE">
      <w:start w:val="1"/>
      <w:numFmt w:val="bullet"/>
      <w:lvlText w:val=""/>
      <w:lvlJc w:val="left"/>
      <w:pPr>
        <w:ind w:left="4320" w:hanging="360"/>
      </w:pPr>
      <w:rPr>
        <w:rFonts w:hint="default" w:ascii="Wingdings" w:hAnsi="Wingdings"/>
      </w:rPr>
    </w:lvl>
    <w:lvl w:ilvl="6" w:tplc="CA524AE0">
      <w:start w:val="1"/>
      <w:numFmt w:val="bullet"/>
      <w:lvlText w:val=""/>
      <w:lvlJc w:val="left"/>
      <w:pPr>
        <w:ind w:left="5040" w:hanging="360"/>
      </w:pPr>
      <w:rPr>
        <w:rFonts w:hint="default" w:ascii="Symbol" w:hAnsi="Symbol"/>
      </w:rPr>
    </w:lvl>
    <w:lvl w:ilvl="7" w:tplc="C19C31F6">
      <w:start w:val="1"/>
      <w:numFmt w:val="bullet"/>
      <w:lvlText w:val="o"/>
      <w:lvlJc w:val="left"/>
      <w:pPr>
        <w:ind w:left="5760" w:hanging="360"/>
      </w:pPr>
      <w:rPr>
        <w:rFonts w:hint="default" w:ascii="Courier New" w:hAnsi="Courier New"/>
      </w:rPr>
    </w:lvl>
    <w:lvl w:ilvl="8" w:tplc="F774A548">
      <w:start w:val="1"/>
      <w:numFmt w:val="bullet"/>
      <w:lvlText w:val=""/>
      <w:lvlJc w:val="left"/>
      <w:pPr>
        <w:ind w:left="6480" w:hanging="360"/>
      </w:pPr>
      <w:rPr>
        <w:rFonts w:hint="default" w:ascii="Wingdings" w:hAnsi="Wingdings"/>
      </w:rPr>
    </w:lvl>
  </w:abstractNum>
  <w:abstractNum w:abstractNumId="6" w15:restartNumberingAfterBreak="0">
    <w:nsid w:val="162C7301"/>
    <w:multiLevelType w:val="hybridMultilevel"/>
    <w:tmpl w:val="88EC5FBE"/>
    <w:lvl w:ilvl="0" w:tplc="6178A026">
      <w:start w:val="1"/>
      <w:numFmt w:val="bullet"/>
      <w:lvlText w:val=""/>
      <w:lvlJc w:val="left"/>
      <w:pPr>
        <w:ind w:left="720" w:hanging="360"/>
      </w:pPr>
      <w:rPr>
        <w:rFonts w:hint="default" w:ascii="Symbol" w:hAnsi="Symbol"/>
      </w:rPr>
    </w:lvl>
    <w:lvl w:ilvl="1" w:tplc="65667028">
      <w:start w:val="1"/>
      <w:numFmt w:val="bullet"/>
      <w:lvlText w:val="o"/>
      <w:lvlJc w:val="left"/>
      <w:pPr>
        <w:ind w:left="1440" w:hanging="360"/>
      </w:pPr>
      <w:rPr>
        <w:rFonts w:hint="default" w:ascii="Courier New" w:hAnsi="Courier New"/>
      </w:rPr>
    </w:lvl>
    <w:lvl w:ilvl="2" w:tplc="3FB45296">
      <w:start w:val="1"/>
      <w:numFmt w:val="bullet"/>
      <w:lvlText w:val=""/>
      <w:lvlJc w:val="left"/>
      <w:pPr>
        <w:ind w:left="2160" w:hanging="360"/>
      </w:pPr>
      <w:rPr>
        <w:rFonts w:hint="default" w:ascii="Wingdings" w:hAnsi="Wingdings"/>
      </w:rPr>
    </w:lvl>
    <w:lvl w:ilvl="3" w:tplc="C6D0AC4E">
      <w:start w:val="1"/>
      <w:numFmt w:val="bullet"/>
      <w:lvlText w:val=""/>
      <w:lvlJc w:val="left"/>
      <w:pPr>
        <w:ind w:left="2880" w:hanging="360"/>
      </w:pPr>
      <w:rPr>
        <w:rFonts w:hint="default" w:ascii="Symbol" w:hAnsi="Symbol"/>
      </w:rPr>
    </w:lvl>
    <w:lvl w:ilvl="4" w:tplc="BFEAE624">
      <w:start w:val="1"/>
      <w:numFmt w:val="bullet"/>
      <w:lvlText w:val="o"/>
      <w:lvlJc w:val="left"/>
      <w:pPr>
        <w:ind w:left="3600" w:hanging="360"/>
      </w:pPr>
      <w:rPr>
        <w:rFonts w:hint="default" w:ascii="Courier New" w:hAnsi="Courier New"/>
      </w:rPr>
    </w:lvl>
    <w:lvl w:ilvl="5" w:tplc="743CB7E6">
      <w:start w:val="1"/>
      <w:numFmt w:val="bullet"/>
      <w:lvlText w:val=""/>
      <w:lvlJc w:val="left"/>
      <w:pPr>
        <w:ind w:left="4320" w:hanging="360"/>
      </w:pPr>
      <w:rPr>
        <w:rFonts w:hint="default" w:ascii="Wingdings" w:hAnsi="Wingdings"/>
      </w:rPr>
    </w:lvl>
    <w:lvl w:ilvl="6" w:tplc="674C385C">
      <w:start w:val="1"/>
      <w:numFmt w:val="bullet"/>
      <w:lvlText w:val=""/>
      <w:lvlJc w:val="left"/>
      <w:pPr>
        <w:ind w:left="5040" w:hanging="360"/>
      </w:pPr>
      <w:rPr>
        <w:rFonts w:hint="default" w:ascii="Symbol" w:hAnsi="Symbol"/>
      </w:rPr>
    </w:lvl>
    <w:lvl w:ilvl="7" w:tplc="815E9214">
      <w:start w:val="1"/>
      <w:numFmt w:val="bullet"/>
      <w:lvlText w:val="o"/>
      <w:lvlJc w:val="left"/>
      <w:pPr>
        <w:ind w:left="5760" w:hanging="360"/>
      </w:pPr>
      <w:rPr>
        <w:rFonts w:hint="default" w:ascii="Courier New" w:hAnsi="Courier New"/>
      </w:rPr>
    </w:lvl>
    <w:lvl w:ilvl="8" w:tplc="74F8D10C">
      <w:start w:val="1"/>
      <w:numFmt w:val="bullet"/>
      <w:lvlText w:val=""/>
      <w:lvlJc w:val="left"/>
      <w:pPr>
        <w:ind w:left="6480" w:hanging="360"/>
      </w:pPr>
      <w:rPr>
        <w:rFonts w:hint="default" w:ascii="Wingdings" w:hAnsi="Wingdings"/>
      </w:rPr>
    </w:lvl>
  </w:abstractNum>
  <w:abstractNum w:abstractNumId="7" w15:restartNumberingAfterBreak="0">
    <w:nsid w:val="16AA503A"/>
    <w:multiLevelType w:val="hybridMultilevel"/>
    <w:tmpl w:val="8480B7C8"/>
    <w:lvl w:ilvl="0" w:tplc="122C7204">
      <w:start w:val="1"/>
      <w:numFmt w:val="bullet"/>
      <w:lvlText w:val=""/>
      <w:lvlJc w:val="left"/>
      <w:pPr>
        <w:ind w:left="720" w:hanging="360"/>
      </w:pPr>
      <w:rPr>
        <w:rFonts w:hint="default" w:ascii="Symbol" w:hAnsi="Symbol"/>
      </w:rPr>
    </w:lvl>
    <w:lvl w:ilvl="1" w:tplc="8E1AEBA6">
      <w:start w:val="1"/>
      <w:numFmt w:val="bullet"/>
      <w:lvlText w:val="o"/>
      <w:lvlJc w:val="left"/>
      <w:pPr>
        <w:ind w:left="1440" w:hanging="360"/>
      </w:pPr>
      <w:rPr>
        <w:rFonts w:hint="default" w:ascii="Courier New" w:hAnsi="Courier New"/>
      </w:rPr>
    </w:lvl>
    <w:lvl w:ilvl="2" w:tplc="DBC6E0DE">
      <w:start w:val="1"/>
      <w:numFmt w:val="bullet"/>
      <w:lvlText w:val=""/>
      <w:lvlJc w:val="left"/>
      <w:pPr>
        <w:ind w:left="2160" w:hanging="360"/>
      </w:pPr>
      <w:rPr>
        <w:rFonts w:hint="default" w:ascii="Wingdings" w:hAnsi="Wingdings"/>
      </w:rPr>
    </w:lvl>
    <w:lvl w:ilvl="3" w:tplc="1E503D3E">
      <w:start w:val="1"/>
      <w:numFmt w:val="bullet"/>
      <w:lvlText w:val=""/>
      <w:lvlJc w:val="left"/>
      <w:pPr>
        <w:ind w:left="2880" w:hanging="360"/>
      </w:pPr>
      <w:rPr>
        <w:rFonts w:hint="default" w:ascii="Symbol" w:hAnsi="Symbol"/>
      </w:rPr>
    </w:lvl>
    <w:lvl w:ilvl="4" w:tplc="EE34E436">
      <w:start w:val="1"/>
      <w:numFmt w:val="bullet"/>
      <w:lvlText w:val="o"/>
      <w:lvlJc w:val="left"/>
      <w:pPr>
        <w:ind w:left="3600" w:hanging="360"/>
      </w:pPr>
      <w:rPr>
        <w:rFonts w:hint="default" w:ascii="Courier New" w:hAnsi="Courier New"/>
      </w:rPr>
    </w:lvl>
    <w:lvl w:ilvl="5" w:tplc="6DF857CE">
      <w:start w:val="1"/>
      <w:numFmt w:val="bullet"/>
      <w:lvlText w:val=""/>
      <w:lvlJc w:val="left"/>
      <w:pPr>
        <w:ind w:left="4320" w:hanging="360"/>
      </w:pPr>
      <w:rPr>
        <w:rFonts w:hint="default" w:ascii="Wingdings" w:hAnsi="Wingdings"/>
      </w:rPr>
    </w:lvl>
    <w:lvl w:ilvl="6" w:tplc="FE386A6A">
      <w:start w:val="1"/>
      <w:numFmt w:val="bullet"/>
      <w:lvlText w:val=""/>
      <w:lvlJc w:val="left"/>
      <w:pPr>
        <w:ind w:left="5040" w:hanging="360"/>
      </w:pPr>
      <w:rPr>
        <w:rFonts w:hint="default" w:ascii="Symbol" w:hAnsi="Symbol"/>
      </w:rPr>
    </w:lvl>
    <w:lvl w:ilvl="7" w:tplc="06DC8A1A">
      <w:start w:val="1"/>
      <w:numFmt w:val="bullet"/>
      <w:lvlText w:val="o"/>
      <w:lvlJc w:val="left"/>
      <w:pPr>
        <w:ind w:left="5760" w:hanging="360"/>
      </w:pPr>
      <w:rPr>
        <w:rFonts w:hint="default" w:ascii="Courier New" w:hAnsi="Courier New"/>
      </w:rPr>
    </w:lvl>
    <w:lvl w:ilvl="8" w:tplc="98767E92">
      <w:start w:val="1"/>
      <w:numFmt w:val="bullet"/>
      <w:lvlText w:val=""/>
      <w:lvlJc w:val="left"/>
      <w:pPr>
        <w:ind w:left="6480" w:hanging="360"/>
      </w:pPr>
      <w:rPr>
        <w:rFonts w:hint="default" w:ascii="Wingdings" w:hAnsi="Wingdings"/>
      </w:rPr>
    </w:lvl>
  </w:abstractNum>
  <w:abstractNum w:abstractNumId="8" w15:restartNumberingAfterBreak="0">
    <w:nsid w:val="17FEB3C4"/>
    <w:multiLevelType w:val="hybridMultilevel"/>
    <w:tmpl w:val="827661C4"/>
    <w:lvl w:ilvl="0" w:tplc="08700DEC">
      <w:start w:val="1"/>
      <w:numFmt w:val="bullet"/>
      <w:lvlText w:val=""/>
      <w:lvlJc w:val="left"/>
      <w:pPr>
        <w:ind w:left="720" w:hanging="360"/>
      </w:pPr>
      <w:rPr>
        <w:rFonts w:hint="default" w:ascii="Symbol" w:hAnsi="Symbol"/>
      </w:rPr>
    </w:lvl>
    <w:lvl w:ilvl="1" w:tplc="8B0CC0F6">
      <w:start w:val="1"/>
      <w:numFmt w:val="bullet"/>
      <w:lvlText w:val="o"/>
      <w:lvlJc w:val="left"/>
      <w:pPr>
        <w:ind w:left="1440" w:hanging="360"/>
      </w:pPr>
      <w:rPr>
        <w:rFonts w:hint="default" w:ascii="Courier New" w:hAnsi="Courier New"/>
      </w:rPr>
    </w:lvl>
    <w:lvl w:ilvl="2" w:tplc="39C8FA7C">
      <w:start w:val="1"/>
      <w:numFmt w:val="bullet"/>
      <w:lvlText w:val=""/>
      <w:lvlJc w:val="left"/>
      <w:pPr>
        <w:ind w:left="2160" w:hanging="360"/>
      </w:pPr>
      <w:rPr>
        <w:rFonts w:hint="default" w:ascii="Wingdings" w:hAnsi="Wingdings"/>
      </w:rPr>
    </w:lvl>
    <w:lvl w:ilvl="3" w:tplc="0DAE3E9C">
      <w:start w:val="1"/>
      <w:numFmt w:val="bullet"/>
      <w:lvlText w:val=""/>
      <w:lvlJc w:val="left"/>
      <w:pPr>
        <w:ind w:left="2880" w:hanging="360"/>
      </w:pPr>
      <w:rPr>
        <w:rFonts w:hint="default" w:ascii="Symbol" w:hAnsi="Symbol"/>
      </w:rPr>
    </w:lvl>
    <w:lvl w:ilvl="4" w:tplc="57DAE02C">
      <w:start w:val="1"/>
      <w:numFmt w:val="bullet"/>
      <w:lvlText w:val="o"/>
      <w:lvlJc w:val="left"/>
      <w:pPr>
        <w:ind w:left="3600" w:hanging="360"/>
      </w:pPr>
      <w:rPr>
        <w:rFonts w:hint="default" w:ascii="Courier New" w:hAnsi="Courier New"/>
      </w:rPr>
    </w:lvl>
    <w:lvl w:ilvl="5" w:tplc="8F16D954">
      <w:start w:val="1"/>
      <w:numFmt w:val="bullet"/>
      <w:lvlText w:val=""/>
      <w:lvlJc w:val="left"/>
      <w:pPr>
        <w:ind w:left="4320" w:hanging="360"/>
      </w:pPr>
      <w:rPr>
        <w:rFonts w:hint="default" w:ascii="Wingdings" w:hAnsi="Wingdings"/>
      </w:rPr>
    </w:lvl>
    <w:lvl w:ilvl="6" w:tplc="F04C558E">
      <w:start w:val="1"/>
      <w:numFmt w:val="bullet"/>
      <w:lvlText w:val=""/>
      <w:lvlJc w:val="left"/>
      <w:pPr>
        <w:ind w:left="5040" w:hanging="360"/>
      </w:pPr>
      <w:rPr>
        <w:rFonts w:hint="default" w:ascii="Symbol" w:hAnsi="Symbol"/>
      </w:rPr>
    </w:lvl>
    <w:lvl w:ilvl="7" w:tplc="B296C6BA">
      <w:start w:val="1"/>
      <w:numFmt w:val="bullet"/>
      <w:lvlText w:val="o"/>
      <w:lvlJc w:val="left"/>
      <w:pPr>
        <w:ind w:left="5760" w:hanging="360"/>
      </w:pPr>
      <w:rPr>
        <w:rFonts w:hint="default" w:ascii="Courier New" w:hAnsi="Courier New"/>
      </w:rPr>
    </w:lvl>
    <w:lvl w:ilvl="8" w:tplc="6100CA56">
      <w:start w:val="1"/>
      <w:numFmt w:val="bullet"/>
      <w:lvlText w:val=""/>
      <w:lvlJc w:val="left"/>
      <w:pPr>
        <w:ind w:left="6480" w:hanging="360"/>
      </w:pPr>
      <w:rPr>
        <w:rFonts w:hint="default" w:ascii="Wingdings" w:hAnsi="Wingdings"/>
      </w:rPr>
    </w:lvl>
  </w:abstractNum>
  <w:abstractNum w:abstractNumId="9" w15:restartNumberingAfterBreak="0">
    <w:nsid w:val="19279373"/>
    <w:multiLevelType w:val="hybridMultilevel"/>
    <w:tmpl w:val="A14C854C"/>
    <w:lvl w:ilvl="0" w:tplc="3C9A40C6">
      <w:start w:val="1"/>
      <w:numFmt w:val="bullet"/>
      <w:lvlText w:val=""/>
      <w:lvlJc w:val="left"/>
      <w:pPr>
        <w:ind w:left="720" w:hanging="360"/>
      </w:pPr>
      <w:rPr>
        <w:rFonts w:hint="default" w:ascii="Symbol" w:hAnsi="Symbol"/>
      </w:rPr>
    </w:lvl>
    <w:lvl w:ilvl="1" w:tplc="536A8EE4">
      <w:start w:val="1"/>
      <w:numFmt w:val="bullet"/>
      <w:lvlText w:val="o"/>
      <w:lvlJc w:val="left"/>
      <w:pPr>
        <w:ind w:left="1440" w:hanging="360"/>
      </w:pPr>
      <w:rPr>
        <w:rFonts w:hint="default" w:ascii="Courier New" w:hAnsi="Courier New"/>
      </w:rPr>
    </w:lvl>
    <w:lvl w:ilvl="2" w:tplc="653E5682">
      <w:start w:val="1"/>
      <w:numFmt w:val="bullet"/>
      <w:lvlText w:val=""/>
      <w:lvlJc w:val="left"/>
      <w:pPr>
        <w:ind w:left="2160" w:hanging="360"/>
      </w:pPr>
      <w:rPr>
        <w:rFonts w:hint="default" w:ascii="Wingdings" w:hAnsi="Wingdings"/>
      </w:rPr>
    </w:lvl>
    <w:lvl w:ilvl="3" w:tplc="440AA5D2">
      <w:start w:val="1"/>
      <w:numFmt w:val="bullet"/>
      <w:lvlText w:val=""/>
      <w:lvlJc w:val="left"/>
      <w:pPr>
        <w:ind w:left="2880" w:hanging="360"/>
      </w:pPr>
      <w:rPr>
        <w:rFonts w:hint="default" w:ascii="Symbol" w:hAnsi="Symbol"/>
      </w:rPr>
    </w:lvl>
    <w:lvl w:ilvl="4" w:tplc="0C3E18C8">
      <w:start w:val="1"/>
      <w:numFmt w:val="bullet"/>
      <w:lvlText w:val="o"/>
      <w:lvlJc w:val="left"/>
      <w:pPr>
        <w:ind w:left="3600" w:hanging="360"/>
      </w:pPr>
      <w:rPr>
        <w:rFonts w:hint="default" w:ascii="Courier New" w:hAnsi="Courier New"/>
      </w:rPr>
    </w:lvl>
    <w:lvl w:ilvl="5" w:tplc="275690C2">
      <w:start w:val="1"/>
      <w:numFmt w:val="bullet"/>
      <w:lvlText w:val=""/>
      <w:lvlJc w:val="left"/>
      <w:pPr>
        <w:ind w:left="4320" w:hanging="360"/>
      </w:pPr>
      <w:rPr>
        <w:rFonts w:hint="default" w:ascii="Wingdings" w:hAnsi="Wingdings"/>
      </w:rPr>
    </w:lvl>
    <w:lvl w:ilvl="6" w:tplc="072A528C">
      <w:start w:val="1"/>
      <w:numFmt w:val="bullet"/>
      <w:lvlText w:val=""/>
      <w:lvlJc w:val="left"/>
      <w:pPr>
        <w:ind w:left="5040" w:hanging="360"/>
      </w:pPr>
      <w:rPr>
        <w:rFonts w:hint="default" w:ascii="Symbol" w:hAnsi="Symbol"/>
      </w:rPr>
    </w:lvl>
    <w:lvl w:ilvl="7" w:tplc="4378E020">
      <w:start w:val="1"/>
      <w:numFmt w:val="bullet"/>
      <w:lvlText w:val="o"/>
      <w:lvlJc w:val="left"/>
      <w:pPr>
        <w:ind w:left="5760" w:hanging="360"/>
      </w:pPr>
      <w:rPr>
        <w:rFonts w:hint="default" w:ascii="Courier New" w:hAnsi="Courier New"/>
      </w:rPr>
    </w:lvl>
    <w:lvl w:ilvl="8" w:tplc="EC76F786">
      <w:start w:val="1"/>
      <w:numFmt w:val="bullet"/>
      <w:lvlText w:val=""/>
      <w:lvlJc w:val="left"/>
      <w:pPr>
        <w:ind w:left="6480" w:hanging="360"/>
      </w:pPr>
      <w:rPr>
        <w:rFonts w:hint="default" w:ascii="Wingdings" w:hAnsi="Wingdings"/>
      </w:rPr>
    </w:lvl>
  </w:abstractNum>
  <w:abstractNum w:abstractNumId="10" w15:restartNumberingAfterBreak="0">
    <w:nsid w:val="1B5924BE"/>
    <w:multiLevelType w:val="hybridMultilevel"/>
    <w:tmpl w:val="6E10B6B8"/>
    <w:lvl w:ilvl="0" w:tplc="27F6808A">
      <w:start w:val="1"/>
      <w:numFmt w:val="bullet"/>
      <w:lvlText w:val=""/>
      <w:lvlJc w:val="left"/>
      <w:pPr>
        <w:ind w:left="720" w:hanging="360"/>
      </w:pPr>
      <w:rPr>
        <w:rFonts w:hint="default" w:ascii="Symbol" w:hAnsi="Symbol"/>
      </w:rPr>
    </w:lvl>
    <w:lvl w:ilvl="1" w:tplc="CF22D51E">
      <w:start w:val="1"/>
      <w:numFmt w:val="bullet"/>
      <w:lvlText w:val="o"/>
      <w:lvlJc w:val="left"/>
      <w:pPr>
        <w:ind w:left="1440" w:hanging="360"/>
      </w:pPr>
      <w:rPr>
        <w:rFonts w:hint="default" w:ascii="Courier New" w:hAnsi="Courier New"/>
      </w:rPr>
    </w:lvl>
    <w:lvl w:ilvl="2" w:tplc="9766C506">
      <w:start w:val="1"/>
      <w:numFmt w:val="bullet"/>
      <w:lvlText w:val=""/>
      <w:lvlJc w:val="left"/>
      <w:pPr>
        <w:ind w:left="2160" w:hanging="360"/>
      </w:pPr>
      <w:rPr>
        <w:rFonts w:hint="default" w:ascii="Wingdings" w:hAnsi="Wingdings"/>
      </w:rPr>
    </w:lvl>
    <w:lvl w:ilvl="3" w:tplc="FDB4682E">
      <w:start w:val="1"/>
      <w:numFmt w:val="bullet"/>
      <w:lvlText w:val=""/>
      <w:lvlJc w:val="left"/>
      <w:pPr>
        <w:ind w:left="2880" w:hanging="360"/>
      </w:pPr>
      <w:rPr>
        <w:rFonts w:hint="default" w:ascii="Symbol" w:hAnsi="Symbol"/>
      </w:rPr>
    </w:lvl>
    <w:lvl w:ilvl="4" w:tplc="168E88DA">
      <w:start w:val="1"/>
      <w:numFmt w:val="bullet"/>
      <w:lvlText w:val="o"/>
      <w:lvlJc w:val="left"/>
      <w:pPr>
        <w:ind w:left="3600" w:hanging="360"/>
      </w:pPr>
      <w:rPr>
        <w:rFonts w:hint="default" w:ascii="Courier New" w:hAnsi="Courier New"/>
      </w:rPr>
    </w:lvl>
    <w:lvl w:ilvl="5" w:tplc="99D299A2">
      <w:start w:val="1"/>
      <w:numFmt w:val="bullet"/>
      <w:lvlText w:val=""/>
      <w:lvlJc w:val="left"/>
      <w:pPr>
        <w:ind w:left="4320" w:hanging="360"/>
      </w:pPr>
      <w:rPr>
        <w:rFonts w:hint="default" w:ascii="Wingdings" w:hAnsi="Wingdings"/>
      </w:rPr>
    </w:lvl>
    <w:lvl w:ilvl="6" w:tplc="8BDAABBC">
      <w:start w:val="1"/>
      <w:numFmt w:val="bullet"/>
      <w:lvlText w:val=""/>
      <w:lvlJc w:val="left"/>
      <w:pPr>
        <w:ind w:left="5040" w:hanging="360"/>
      </w:pPr>
      <w:rPr>
        <w:rFonts w:hint="default" w:ascii="Symbol" w:hAnsi="Symbol"/>
      </w:rPr>
    </w:lvl>
    <w:lvl w:ilvl="7" w:tplc="B7EEBF50">
      <w:start w:val="1"/>
      <w:numFmt w:val="bullet"/>
      <w:lvlText w:val="o"/>
      <w:lvlJc w:val="left"/>
      <w:pPr>
        <w:ind w:left="5760" w:hanging="360"/>
      </w:pPr>
      <w:rPr>
        <w:rFonts w:hint="default" w:ascii="Courier New" w:hAnsi="Courier New"/>
      </w:rPr>
    </w:lvl>
    <w:lvl w:ilvl="8" w:tplc="F00A2F36">
      <w:start w:val="1"/>
      <w:numFmt w:val="bullet"/>
      <w:lvlText w:val=""/>
      <w:lvlJc w:val="left"/>
      <w:pPr>
        <w:ind w:left="6480" w:hanging="360"/>
      </w:pPr>
      <w:rPr>
        <w:rFonts w:hint="default" w:ascii="Wingdings" w:hAnsi="Wingdings"/>
      </w:rPr>
    </w:lvl>
  </w:abstractNum>
  <w:abstractNum w:abstractNumId="11" w15:restartNumberingAfterBreak="0">
    <w:nsid w:val="1C162B32"/>
    <w:multiLevelType w:val="hybridMultilevel"/>
    <w:tmpl w:val="D5083440"/>
    <w:lvl w:ilvl="0" w:tplc="FFCCC46A">
      <w:start w:val="1"/>
      <w:numFmt w:val="bullet"/>
      <w:lvlText w:val=""/>
      <w:lvlJc w:val="left"/>
      <w:pPr>
        <w:ind w:left="720" w:hanging="360"/>
      </w:pPr>
      <w:rPr>
        <w:rFonts w:hint="default" w:ascii="Symbol" w:hAnsi="Symbol"/>
      </w:rPr>
    </w:lvl>
    <w:lvl w:ilvl="1" w:tplc="A3D820CC">
      <w:start w:val="1"/>
      <w:numFmt w:val="bullet"/>
      <w:lvlText w:val="o"/>
      <w:lvlJc w:val="left"/>
      <w:pPr>
        <w:ind w:left="1440" w:hanging="360"/>
      </w:pPr>
      <w:rPr>
        <w:rFonts w:hint="default" w:ascii="Courier New" w:hAnsi="Courier New"/>
      </w:rPr>
    </w:lvl>
    <w:lvl w:ilvl="2" w:tplc="7A00D156">
      <w:start w:val="1"/>
      <w:numFmt w:val="bullet"/>
      <w:lvlText w:val=""/>
      <w:lvlJc w:val="left"/>
      <w:pPr>
        <w:ind w:left="2160" w:hanging="360"/>
      </w:pPr>
      <w:rPr>
        <w:rFonts w:hint="default" w:ascii="Wingdings" w:hAnsi="Wingdings"/>
      </w:rPr>
    </w:lvl>
    <w:lvl w:ilvl="3" w:tplc="82EE50A8">
      <w:start w:val="1"/>
      <w:numFmt w:val="bullet"/>
      <w:lvlText w:val=""/>
      <w:lvlJc w:val="left"/>
      <w:pPr>
        <w:ind w:left="2880" w:hanging="360"/>
      </w:pPr>
      <w:rPr>
        <w:rFonts w:hint="default" w:ascii="Symbol" w:hAnsi="Symbol"/>
      </w:rPr>
    </w:lvl>
    <w:lvl w:ilvl="4" w:tplc="958CABE0">
      <w:start w:val="1"/>
      <w:numFmt w:val="bullet"/>
      <w:lvlText w:val="o"/>
      <w:lvlJc w:val="left"/>
      <w:pPr>
        <w:ind w:left="3600" w:hanging="360"/>
      </w:pPr>
      <w:rPr>
        <w:rFonts w:hint="default" w:ascii="Courier New" w:hAnsi="Courier New"/>
      </w:rPr>
    </w:lvl>
    <w:lvl w:ilvl="5" w:tplc="263647C0">
      <w:start w:val="1"/>
      <w:numFmt w:val="bullet"/>
      <w:lvlText w:val=""/>
      <w:lvlJc w:val="left"/>
      <w:pPr>
        <w:ind w:left="4320" w:hanging="360"/>
      </w:pPr>
      <w:rPr>
        <w:rFonts w:hint="default" w:ascii="Wingdings" w:hAnsi="Wingdings"/>
      </w:rPr>
    </w:lvl>
    <w:lvl w:ilvl="6" w:tplc="0FEC4AB0">
      <w:start w:val="1"/>
      <w:numFmt w:val="bullet"/>
      <w:lvlText w:val=""/>
      <w:lvlJc w:val="left"/>
      <w:pPr>
        <w:ind w:left="5040" w:hanging="360"/>
      </w:pPr>
      <w:rPr>
        <w:rFonts w:hint="default" w:ascii="Symbol" w:hAnsi="Symbol"/>
      </w:rPr>
    </w:lvl>
    <w:lvl w:ilvl="7" w:tplc="A63E02BA">
      <w:start w:val="1"/>
      <w:numFmt w:val="bullet"/>
      <w:lvlText w:val="o"/>
      <w:lvlJc w:val="left"/>
      <w:pPr>
        <w:ind w:left="5760" w:hanging="360"/>
      </w:pPr>
      <w:rPr>
        <w:rFonts w:hint="default" w:ascii="Courier New" w:hAnsi="Courier New"/>
      </w:rPr>
    </w:lvl>
    <w:lvl w:ilvl="8" w:tplc="EEB2C268">
      <w:start w:val="1"/>
      <w:numFmt w:val="bullet"/>
      <w:lvlText w:val=""/>
      <w:lvlJc w:val="left"/>
      <w:pPr>
        <w:ind w:left="6480" w:hanging="360"/>
      </w:pPr>
      <w:rPr>
        <w:rFonts w:hint="default" w:ascii="Wingdings" w:hAnsi="Wingdings"/>
      </w:rPr>
    </w:lvl>
  </w:abstractNum>
  <w:abstractNum w:abstractNumId="12" w15:restartNumberingAfterBreak="0">
    <w:nsid w:val="1D564847"/>
    <w:multiLevelType w:val="hybridMultilevel"/>
    <w:tmpl w:val="4A6A44CA"/>
    <w:lvl w:ilvl="0" w:tplc="5BCCF714">
      <w:start w:val="1"/>
      <w:numFmt w:val="bullet"/>
      <w:lvlText w:val=""/>
      <w:lvlJc w:val="left"/>
      <w:pPr>
        <w:ind w:left="720" w:hanging="360"/>
      </w:pPr>
      <w:rPr>
        <w:rFonts w:hint="default" w:ascii="Symbol" w:hAnsi="Symbol"/>
      </w:rPr>
    </w:lvl>
    <w:lvl w:ilvl="1" w:tplc="54221828">
      <w:start w:val="1"/>
      <w:numFmt w:val="bullet"/>
      <w:lvlText w:val="o"/>
      <w:lvlJc w:val="left"/>
      <w:pPr>
        <w:ind w:left="1440" w:hanging="360"/>
      </w:pPr>
      <w:rPr>
        <w:rFonts w:hint="default" w:ascii="Courier New" w:hAnsi="Courier New"/>
      </w:rPr>
    </w:lvl>
    <w:lvl w:ilvl="2" w:tplc="3FDC56DC">
      <w:start w:val="1"/>
      <w:numFmt w:val="bullet"/>
      <w:lvlText w:val=""/>
      <w:lvlJc w:val="left"/>
      <w:pPr>
        <w:ind w:left="2160" w:hanging="360"/>
      </w:pPr>
      <w:rPr>
        <w:rFonts w:hint="default" w:ascii="Wingdings" w:hAnsi="Wingdings"/>
      </w:rPr>
    </w:lvl>
    <w:lvl w:ilvl="3" w:tplc="C360CE00">
      <w:start w:val="1"/>
      <w:numFmt w:val="bullet"/>
      <w:lvlText w:val=""/>
      <w:lvlJc w:val="left"/>
      <w:pPr>
        <w:ind w:left="2880" w:hanging="360"/>
      </w:pPr>
      <w:rPr>
        <w:rFonts w:hint="default" w:ascii="Symbol" w:hAnsi="Symbol"/>
      </w:rPr>
    </w:lvl>
    <w:lvl w:ilvl="4" w:tplc="5A48D8A6">
      <w:start w:val="1"/>
      <w:numFmt w:val="bullet"/>
      <w:lvlText w:val="o"/>
      <w:lvlJc w:val="left"/>
      <w:pPr>
        <w:ind w:left="3600" w:hanging="360"/>
      </w:pPr>
      <w:rPr>
        <w:rFonts w:hint="default" w:ascii="Courier New" w:hAnsi="Courier New"/>
      </w:rPr>
    </w:lvl>
    <w:lvl w:ilvl="5" w:tplc="F52076A6">
      <w:start w:val="1"/>
      <w:numFmt w:val="bullet"/>
      <w:lvlText w:val=""/>
      <w:lvlJc w:val="left"/>
      <w:pPr>
        <w:ind w:left="4320" w:hanging="360"/>
      </w:pPr>
      <w:rPr>
        <w:rFonts w:hint="default" w:ascii="Wingdings" w:hAnsi="Wingdings"/>
      </w:rPr>
    </w:lvl>
    <w:lvl w:ilvl="6" w:tplc="40A20FCC">
      <w:start w:val="1"/>
      <w:numFmt w:val="bullet"/>
      <w:lvlText w:val=""/>
      <w:lvlJc w:val="left"/>
      <w:pPr>
        <w:ind w:left="5040" w:hanging="360"/>
      </w:pPr>
      <w:rPr>
        <w:rFonts w:hint="default" w:ascii="Symbol" w:hAnsi="Symbol"/>
      </w:rPr>
    </w:lvl>
    <w:lvl w:ilvl="7" w:tplc="4B8C8FE0">
      <w:start w:val="1"/>
      <w:numFmt w:val="bullet"/>
      <w:lvlText w:val="o"/>
      <w:lvlJc w:val="left"/>
      <w:pPr>
        <w:ind w:left="5760" w:hanging="360"/>
      </w:pPr>
      <w:rPr>
        <w:rFonts w:hint="default" w:ascii="Courier New" w:hAnsi="Courier New"/>
      </w:rPr>
    </w:lvl>
    <w:lvl w:ilvl="8" w:tplc="E7A2CA3A">
      <w:start w:val="1"/>
      <w:numFmt w:val="bullet"/>
      <w:lvlText w:val=""/>
      <w:lvlJc w:val="left"/>
      <w:pPr>
        <w:ind w:left="6480" w:hanging="360"/>
      </w:pPr>
      <w:rPr>
        <w:rFonts w:hint="default" w:ascii="Wingdings" w:hAnsi="Wingdings"/>
      </w:rPr>
    </w:lvl>
  </w:abstractNum>
  <w:abstractNum w:abstractNumId="13" w15:restartNumberingAfterBreak="0">
    <w:nsid w:val="1DE56E39"/>
    <w:multiLevelType w:val="hybridMultilevel"/>
    <w:tmpl w:val="56266316"/>
    <w:lvl w:ilvl="0" w:tplc="A7C24D3C">
      <w:start w:val="1"/>
      <w:numFmt w:val="bullet"/>
      <w:lvlText w:val=""/>
      <w:lvlJc w:val="left"/>
      <w:pPr>
        <w:ind w:left="720" w:hanging="360"/>
      </w:pPr>
      <w:rPr>
        <w:rFonts w:hint="default" w:ascii="Symbol" w:hAnsi="Symbol"/>
      </w:rPr>
    </w:lvl>
    <w:lvl w:ilvl="1" w:tplc="8AF2CA0A">
      <w:start w:val="1"/>
      <w:numFmt w:val="bullet"/>
      <w:lvlText w:val="o"/>
      <w:lvlJc w:val="left"/>
      <w:pPr>
        <w:ind w:left="1440" w:hanging="360"/>
      </w:pPr>
      <w:rPr>
        <w:rFonts w:hint="default" w:ascii="Courier New" w:hAnsi="Courier New"/>
      </w:rPr>
    </w:lvl>
    <w:lvl w:ilvl="2" w:tplc="54CA3B02">
      <w:start w:val="1"/>
      <w:numFmt w:val="bullet"/>
      <w:lvlText w:val=""/>
      <w:lvlJc w:val="left"/>
      <w:pPr>
        <w:ind w:left="2160" w:hanging="360"/>
      </w:pPr>
      <w:rPr>
        <w:rFonts w:hint="default" w:ascii="Wingdings" w:hAnsi="Wingdings"/>
      </w:rPr>
    </w:lvl>
    <w:lvl w:ilvl="3" w:tplc="47C81BF8">
      <w:start w:val="1"/>
      <w:numFmt w:val="bullet"/>
      <w:lvlText w:val=""/>
      <w:lvlJc w:val="left"/>
      <w:pPr>
        <w:ind w:left="2880" w:hanging="360"/>
      </w:pPr>
      <w:rPr>
        <w:rFonts w:hint="default" w:ascii="Symbol" w:hAnsi="Symbol"/>
      </w:rPr>
    </w:lvl>
    <w:lvl w:ilvl="4" w:tplc="6456C63E">
      <w:start w:val="1"/>
      <w:numFmt w:val="bullet"/>
      <w:lvlText w:val="o"/>
      <w:lvlJc w:val="left"/>
      <w:pPr>
        <w:ind w:left="3600" w:hanging="360"/>
      </w:pPr>
      <w:rPr>
        <w:rFonts w:hint="default" w:ascii="Courier New" w:hAnsi="Courier New"/>
      </w:rPr>
    </w:lvl>
    <w:lvl w:ilvl="5" w:tplc="D9788BB0">
      <w:start w:val="1"/>
      <w:numFmt w:val="bullet"/>
      <w:lvlText w:val=""/>
      <w:lvlJc w:val="left"/>
      <w:pPr>
        <w:ind w:left="4320" w:hanging="360"/>
      </w:pPr>
      <w:rPr>
        <w:rFonts w:hint="default" w:ascii="Wingdings" w:hAnsi="Wingdings"/>
      </w:rPr>
    </w:lvl>
    <w:lvl w:ilvl="6" w:tplc="479A7390">
      <w:start w:val="1"/>
      <w:numFmt w:val="bullet"/>
      <w:lvlText w:val=""/>
      <w:lvlJc w:val="left"/>
      <w:pPr>
        <w:ind w:left="5040" w:hanging="360"/>
      </w:pPr>
      <w:rPr>
        <w:rFonts w:hint="default" w:ascii="Symbol" w:hAnsi="Symbol"/>
      </w:rPr>
    </w:lvl>
    <w:lvl w:ilvl="7" w:tplc="F8962E48">
      <w:start w:val="1"/>
      <w:numFmt w:val="bullet"/>
      <w:lvlText w:val="o"/>
      <w:lvlJc w:val="left"/>
      <w:pPr>
        <w:ind w:left="5760" w:hanging="360"/>
      </w:pPr>
      <w:rPr>
        <w:rFonts w:hint="default" w:ascii="Courier New" w:hAnsi="Courier New"/>
      </w:rPr>
    </w:lvl>
    <w:lvl w:ilvl="8" w:tplc="09344B20">
      <w:start w:val="1"/>
      <w:numFmt w:val="bullet"/>
      <w:lvlText w:val=""/>
      <w:lvlJc w:val="left"/>
      <w:pPr>
        <w:ind w:left="6480" w:hanging="360"/>
      </w:pPr>
      <w:rPr>
        <w:rFonts w:hint="default" w:ascii="Wingdings" w:hAnsi="Wingdings"/>
      </w:rPr>
    </w:lvl>
  </w:abstractNum>
  <w:abstractNum w:abstractNumId="14" w15:restartNumberingAfterBreak="0">
    <w:nsid w:val="20413921"/>
    <w:multiLevelType w:val="hybridMultilevel"/>
    <w:tmpl w:val="B972C60E"/>
    <w:lvl w:ilvl="0" w:tplc="C1346F36">
      <w:start w:val="1"/>
      <w:numFmt w:val="bullet"/>
      <w:lvlText w:val=""/>
      <w:lvlJc w:val="left"/>
      <w:pPr>
        <w:ind w:left="720" w:hanging="360"/>
      </w:pPr>
      <w:rPr>
        <w:rFonts w:hint="default" w:ascii="Symbol" w:hAnsi="Symbol"/>
      </w:rPr>
    </w:lvl>
    <w:lvl w:ilvl="1" w:tplc="F0A475C6">
      <w:start w:val="1"/>
      <w:numFmt w:val="bullet"/>
      <w:lvlText w:val="o"/>
      <w:lvlJc w:val="left"/>
      <w:pPr>
        <w:ind w:left="1440" w:hanging="360"/>
      </w:pPr>
      <w:rPr>
        <w:rFonts w:hint="default" w:ascii="Courier New" w:hAnsi="Courier New"/>
      </w:rPr>
    </w:lvl>
    <w:lvl w:ilvl="2" w:tplc="9DA698FC">
      <w:start w:val="1"/>
      <w:numFmt w:val="bullet"/>
      <w:lvlText w:val=""/>
      <w:lvlJc w:val="left"/>
      <w:pPr>
        <w:ind w:left="2160" w:hanging="360"/>
      </w:pPr>
      <w:rPr>
        <w:rFonts w:hint="default" w:ascii="Wingdings" w:hAnsi="Wingdings"/>
      </w:rPr>
    </w:lvl>
    <w:lvl w:ilvl="3" w:tplc="9064B5A0">
      <w:start w:val="1"/>
      <w:numFmt w:val="bullet"/>
      <w:lvlText w:val=""/>
      <w:lvlJc w:val="left"/>
      <w:pPr>
        <w:ind w:left="2880" w:hanging="360"/>
      </w:pPr>
      <w:rPr>
        <w:rFonts w:hint="default" w:ascii="Symbol" w:hAnsi="Symbol"/>
      </w:rPr>
    </w:lvl>
    <w:lvl w:ilvl="4" w:tplc="695A3E76">
      <w:start w:val="1"/>
      <w:numFmt w:val="bullet"/>
      <w:lvlText w:val="o"/>
      <w:lvlJc w:val="left"/>
      <w:pPr>
        <w:ind w:left="3600" w:hanging="360"/>
      </w:pPr>
      <w:rPr>
        <w:rFonts w:hint="default" w:ascii="Courier New" w:hAnsi="Courier New"/>
      </w:rPr>
    </w:lvl>
    <w:lvl w:ilvl="5" w:tplc="899A6E80">
      <w:start w:val="1"/>
      <w:numFmt w:val="bullet"/>
      <w:lvlText w:val=""/>
      <w:lvlJc w:val="left"/>
      <w:pPr>
        <w:ind w:left="4320" w:hanging="360"/>
      </w:pPr>
      <w:rPr>
        <w:rFonts w:hint="default" w:ascii="Wingdings" w:hAnsi="Wingdings"/>
      </w:rPr>
    </w:lvl>
    <w:lvl w:ilvl="6" w:tplc="87B474FC">
      <w:start w:val="1"/>
      <w:numFmt w:val="bullet"/>
      <w:lvlText w:val=""/>
      <w:lvlJc w:val="left"/>
      <w:pPr>
        <w:ind w:left="5040" w:hanging="360"/>
      </w:pPr>
      <w:rPr>
        <w:rFonts w:hint="default" w:ascii="Symbol" w:hAnsi="Symbol"/>
      </w:rPr>
    </w:lvl>
    <w:lvl w:ilvl="7" w:tplc="4DAC4C50">
      <w:start w:val="1"/>
      <w:numFmt w:val="bullet"/>
      <w:lvlText w:val="o"/>
      <w:lvlJc w:val="left"/>
      <w:pPr>
        <w:ind w:left="5760" w:hanging="360"/>
      </w:pPr>
      <w:rPr>
        <w:rFonts w:hint="default" w:ascii="Courier New" w:hAnsi="Courier New"/>
      </w:rPr>
    </w:lvl>
    <w:lvl w:ilvl="8" w:tplc="2CA667A0">
      <w:start w:val="1"/>
      <w:numFmt w:val="bullet"/>
      <w:lvlText w:val=""/>
      <w:lvlJc w:val="left"/>
      <w:pPr>
        <w:ind w:left="6480" w:hanging="360"/>
      </w:pPr>
      <w:rPr>
        <w:rFonts w:hint="default" w:ascii="Wingdings" w:hAnsi="Wingdings"/>
      </w:rPr>
    </w:lvl>
  </w:abstractNum>
  <w:abstractNum w:abstractNumId="15" w15:restartNumberingAfterBreak="0">
    <w:nsid w:val="228EE778"/>
    <w:multiLevelType w:val="hybridMultilevel"/>
    <w:tmpl w:val="36A48C48"/>
    <w:lvl w:ilvl="0" w:tplc="16DE9F96">
      <w:start w:val="1"/>
      <w:numFmt w:val="bullet"/>
      <w:lvlText w:val=""/>
      <w:lvlJc w:val="left"/>
      <w:pPr>
        <w:ind w:left="720" w:hanging="360"/>
      </w:pPr>
      <w:rPr>
        <w:rFonts w:hint="default" w:ascii="Symbol" w:hAnsi="Symbol"/>
      </w:rPr>
    </w:lvl>
    <w:lvl w:ilvl="1" w:tplc="E29E6C2A">
      <w:start w:val="1"/>
      <w:numFmt w:val="bullet"/>
      <w:lvlText w:val="o"/>
      <w:lvlJc w:val="left"/>
      <w:pPr>
        <w:ind w:left="1440" w:hanging="360"/>
      </w:pPr>
      <w:rPr>
        <w:rFonts w:hint="default" w:ascii="Courier New" w:hAnsi="Courier New"/>
      </w:rPr>
    </w:lvl>
    <w:lvl w:ilvl="2" w:tplc="00CA9810">
      <w:start w:val="1"/>
      <w:numFmt w:val="bullet"/>
      <w:lvlText w:val=""/>
      <w:lvlJc w:val="left"/>
      <w:pPr>
        <w:ind w:left="2160" w:hanging="360"/>
      </w:pPr>
      <w:rPr>
        <w:rFonts w:hint="default" w:ascii="Wingdings" w:hAnsi="Wingdings"/>
      </w:rPr>
    </w:lvl>
    <w:lvl w:ilvl="3" w:tplc="3FA6293C">
      <w:start w:val="1"/>
      <w:numFmt w:val="bullet"/>
      <w:lvlText w:val=""/>
      <w:lvlJc w:val="left"/>
      <w:pPr>
        <w:ind w:left="2880" w:hanging="360"/>
      </w:pPr>
      <w:rPr>
        <w:rFonts w:hint="default" w:ascii="Symbol" w:hAnsi="Symbol"/>
      </w:rPr>
    </w:lvl>
    <w:lvl w:ilvl="4" w:tplc="351CC10A">
      <w:start w:val="1"/>
      <w:numFmt w:val="bullet"/>
      <w:lvlText w:val="o"/>
      <w:lvlJc w:val="left"/>
      <w:pPr>
        <w:ind w:left="3600" w:hanging="360"/>
      </w:pPr>
      <w:rPr>
        <w:rFonts w:hint="default" w:ascii="Courier New" w:hAnsi="Courier New"/>
      </w:rPr>
    </w:lvl>
    <w:lvl w:ilvl="5" w:tplc="46802B46">
      <w:start w:val="1"/>
      <w:numFmt w:val="bullet"/>
      <w:lvlText w:val=""/>
      <w:lvlJc w:val="left"/>
      <w:pPr>
        <w:ind w:left="4320" w:hanging="360"/>
      </w:pPr>
      <w:rPr>
        <w:rFonts w:hint="default" w:ascii="Wingdings" w:hAnsi="Wingdings"/>
      </w:rPr>
    </w:lvl>
    <w:lvl w:ilvl="6" w:tplc="7E38A9F4">
      <w:start w:val="1"/>
      <w:numFmt w:val="bullet"/>
      <w:lvlText w:val=""/>
      <w:lvlJc w:val="left"/>
      <w:pPr>
        <w:ind w:left="5040" w:hanging="360"/>
      </w:pPr>
      <w:rPr>
        <w:rFonts w:hint="default" w:ascii="Symbol" w:hAnsi="Symbol"/>
      </w:rPr>
    </w:lvl>
    <w:lvl w:ilvl="7" w:tplc="60F03F40">
      <w:start w:val="1"/>
      <w:numFmt w:val="bullet"/>
      <w:lvlText w:val="o"/>
      <w:lvlJc w:val="left"/>
      <w:pPr>
        <w:ind w:left="5760" w:hanging="360"/>
      </w:pPr>
      <w:rPr>
        <w:rFonts w:hint="default" w:ascii="Courier New" w:hAnsi="Courier New"/>
      </w:rPr>
    </w:lvl>
    <w:lvl w:ilvl="8" w:tplc="D1DC6746">
      <w:start w:val="1"/>
      <w:numFmt w:val="bullet"/>
      <w:lvlText w:val=""/>
      <w:lvlJc w:val="left"/>
      <w:pPr>
        <w:ind w:left="6480" w:hanging="360"/>
      </w:pPr>
      <w:rPr>
        <w:rFonts w:hint="default" w:ascii="Wingdings" w:hAnsi="Wingdings"/>
      </w:rPr>
    </w:lvl>
  </w:abstractNum>
  <w:abstractNum w:abstractNumId="16" w15:restartNumberingAfterBreak="0">
    <w:nsid w:val="23413273"/>
    <w:multiLevelType w:val="hybridMultilevel"/>
    <w:tmpl w:val="141A8A24"/>
    <w:lvl w:ilvl="0" w:tplc="152CB2BE">
      <w:start w:val="1"/>
      <w:numFmt w:val="bullet"/>
      <w:lvlText w:val=""/>
      <w:lvlJc w:val="left"/>
      <w:pPr>
        <w:ind w:left="720" w:hanging="360"/>
      </w:pPr>
      <w:rPr>
        <w:rFonts w:hint="default" w:ascii="Symbol" w:hAnsi="Symbol"/>
      </w:rPr>
    </w:lvl>
    <w:lvl w:ilvl="1" w:tplc="8F402BD0">
      <w:start w:val="1"/>
      <w:numFmt w:val="bullet"/>
      <w:lvlText w:val="o"/>
      <w:lvlJc w:val="left"/>
      <w:pPr>
        <w:ind w:left="1440" w:hanging="360"/>
      </w:pPr>
      <w:rPr>
        <w:rFonts w:hint="default" w:ascii="Courier New" w:hAnsi="Courier New"/>
      </w:rPr>
    </w:lvl>
    <w:lvl w:ilvl="2" w:tplc="3A30D016">
      <w:start w:val="1"/>
      <w:numFmt w:val="bullet"/>
      <w:lvlText w:val=""/>
      <w:lvlJc w:val="left"/>
      <w:pPr>
        <w:ind w:left="2160" w:hanging="360"/>
      </w:pPr>
      <w:rPr>
        <w:rFonts w:hint="default" w:ascii="Wingdings" w:hAnsi="Wingdings"/>
      </w:rPr>
    </w:lvl>
    <w:lvl w:ilvl="3" w:tplc="6B44781C">
      <w:start w:val="1"/>
      <w:numFmt w:val="bullet"/>
      <w:lvlText w:val=""/>
      <w:lvlJc w:val="left"/>
      <w:pPr>
        <w:ind w:left="2880" w:hanging="360"/>
      </w:pPr>
      <w:rPr>
        <w:rFonts w:hint="default" w:ascii="Symbol" w:hAnsi="Symbol"/>
      </w:rPr>
    </w:lvl>
    <w:lvl w:ilvl="4" w:tplc="378ECA08">
      <w:start w:val="1"/>
      <w:numFmt w:val="bullet"/>
      <w:lvlText w:val="o"/>
      <w:lvlJc w:val="left"/>
      <w:pPr>
        <w:ind w:left="3600" w:hanging="360"/>
      </w:pPr>
      <w:rPr>
        <w:rFonts w:hint="default" w:ascii="Courier New" w:hAnsi="Courier New"/>
      </w:rPr>
    </w:lvl>
    <w:lvl w:ilvl="5" w:tplc="2278C1F0">
      <w:start w:val="1"/>
      <w:numFmt w:val="bullet"/>
      <w:lvlText w:val=""/>
      <w:lvlJc w:val="left"/>
      <w:pPr>
        <w:ind w:left="4320" w:hanging="360"/>
      </w:pPr>
      <w:rPr>
        <w:rFonts w:hint="default" w:ascii="Wingdings" w:hAnsi="Wingdings"/>
      </w:rPr>
    </w:lvl>
    <w:lvl w:ilvl="6" w:tplc="A0986708">
      <w:start w:val="1"/>
      <w:numFmt w:val="bullet"/>
      <w:lvlText w:val=""/>
      <w:lvlJc w:val="left"/>
      <w:pPr>
        <w:ind w:left="5040" w:hanging="360"/>
      </w:pPr>
      <w:rPr>
        <w:rFonts w:hint="default" w:ascii="Symbol" w:hAnsi="Symbol"/>
      </w:rPr>
    </w:lvl>
    <w:lvl w:ilvl="7" w:tplc="17DA84DA">
      <w:start w:val="1"/>
      <w:numFmt w:val="bullet"/>
      <w:lvlText w:val="o"/>
      <w:lvlJc w:val="left"/>
      <w:pPr>
        <w:ind w:left="5760" w:hanging="360"/>
      </w:pPr>
      <w:rPr>
        <w:rFonts w:hint="default" w:ascii="Courier New" w:hAnsi="Courier New"/>
      </w:rPr>
    </w:lvl>
    <w:lvl w:ilvl="8" w:tplc="3062854A">
      <w:start w:val="1"/>
      <w:numFmt w:val="bullet"/>
      <w:lvlText w:val=""/>
      <w:lvlJc w:val="left"/>
      <w:pPr>
        <w:ind w:left="6480" w:hanging="360"/>
      </w:pPr>
      <w:rPr>
        <w:rFonts w:hint="default" w:ascii="Wingdings" w:hAnsi="Wingdings"/>
      </w:rPr>
    </w:lvl>
  </w:abstractNum>
  <w:abstractNum w:abstractNumId="17" w15:restartNumberingAfterBreak="0">
    <w:nsid w:val="240B67B7"/>
    <w:multiLevelType w:val="hybridMultilevel"/>
    <w:tmpl w:val="536CCE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2B192152"/>
    <w:multiLevelType w:val="hybridMultilevel"/>
    <w:tmpl w:val="0082BE92"/>
    <w:lvl w:ilvl="0" w:tplc="9598686E">
      <w:start w:val="1"/>
      <w:numFmt w:val="bullet"/>
      <w:lvlText w:val=""/>
      <w:lvlJc w:val="left"/>
      <w:pPr>
        <w:ind w:left="720" w:hanging="360"/>
      </w:pPr>
      <w:rPr>
        <w:rFonts w:hint="default" w:ascii="Symbol" w:hAnsi="Symbol"/>
      </w:rPr>
    </w:lvl>
    <w:lvl w:ilvl="1" w:tplc="E2162A7E">
      <w:start w:val="1"/>
      <w:numFmt w:val="bullet"/>
      <w:lvlText w:val="o"/>
      <w:lvlJc w:val="left"/>
      <w:pPr>
        <w:ind w:left="1440" w:hanging="360"/>
      </w:pPr>
      <w:rPr>
        <w:rFonts w:hint="default" w:ascii="Courier New" w:hAnsi="Courier New"/>
      </w:rPr>
    </w:lvl>
    <w:lvl w:ilvl="2" w:tplc="6F80E0AA">
      <w:start w:val="1"/>
      <w:numFmt w:val="bullet"/>
      <w:lvlText w:val=""/>
      <w:lvlJc w:val="left"/>
      <w:pPr>
        <w:ind w:left="2160" w:hanging="360"/>
      </w:pPr>
      <w:rPr>
        <w:rFonts w:hint="default" w:ascii="Wingdings" w:hAnsi="Wingdings"/>
      </w:rPr>
    </w:lvl>
    <w:lvl w:ilvl="3" w:tplc="66DC5E7E">
      <w:start w:val="1"/>
      <w:numFmt w:val="bullet"/>
      <w:lvlText w:val=""/>
      <w:lvlJc w:val="left"/>
      <w:pPr>
        <w:ind w:left="2880" w:hanging="360"/>
      </w:pPr>
      <w:rPr>
        <w:rFonts w:hint="default" w:ascii="Symbol" w:hAnsi="Symbol"/>
      </w:rPr>
    </w:lvl>
    <w:lvl w:ilvl="4" w:tplc="833641AC">
      <w:start w:val="1"/>
      <w:numFmt w:val="bullet"/>
      <w:lvlText w:val="o"/>
      <w:lvlJc w:val="left"/>
      <w:pPr>
        <w:ind w:left="3600" w:hanging="360"/>
      </w:pPr>
      <w:rPr>
        <w:rFonts w:hint="default" w:ascii="Courier New" w:hAnsi="Courier New"/>
      </w:rPr>
    </w:lvl>
    <w:lvl w:ilvl="5" w:tplc="F4BED33A">
      <w:start w:val="1"/>
      <w:numFmt w:val="bullet"/>
      <w:lvlText w:val=""/>
      <w:lvlJc w:val="left"/>
      <w:pPr>
        <w:ind w:left="4320" w:hanging="360"/>
      </w:pPr>
      <w:rPr>
        <w:rFonts w:hint="default" w:ascii="Wingdings" w:hAnsi="Wingdings"/>
      </w:rPr>
    </w:lvl>
    <w:lvl w:ilvl="6" w:tplc="FCD8A526">
      <w:start w:val="1"/>
      <w:numFmt w:val="bullet"/>
      <w:lvlText w:val=""/>
      <w:lvlJc w:val="left"/>
      <w:pPr>
        <w:ind w:left="5040" w:hanging="360"/>
      </w:pPr>
      <w:rPr>
        <w:rFonts w:hint="default" w:ascii="Symbol" w:hAnsi="Symbol"/>
      </w:rPr>
    </w:lvl>
    <w:lvl w:ilvl="7" w:tplc="46AA613C">
      <w:start w:val="1"/>
      <w:numFmt w:val="bullet"/>
      <w:lvlText w:val="o"/>
      <w:lvlJc w:val="left"/>
      <w:pPr>
        <w:ind w:left="5760" w:hanging="360"/>
      </w:pPr>
      <w:rPr>
        <w:rFonts w:hint="default" w:ascii="Courier New" w:hAnsi="Courier New"/>
      </w:rPr>
    </w:lvl>
    <w:lvl w:ilvl="8" w:tplc="9E14FA52">
      <w:start w:val="1"/>
      <w:numFmt w:val="bullet"/>
      <w:lvlText w:val=""/>
      <w:lvlJc w:val="left"/>
      <w:pPr>
        <w:ind w:left="6480" w:hanging="360"/>
      </w:pPr>
      <w:rPr>
        <w:rFonts w:hint="default" w:ascii="Wingdings" w:hAnsi="Wingdings"/>
      </w:rPr>
    </w:lvl>
  </w:abstractNum>
  <w:abstractNum w:abstractNumId="19" w15:restartNumberingAfterBreak="0">
    <w:nsid w:val="31C23995"/>
    <w:multiLevelType w:val="hybridMultilevel"/>
    <w:tmpl w:val="6A70ECDA"/>
    <w:lvl w:ilvl="0" w:tplc="213EA800">
      <w:start w:val="1"/>
      <w:numFmt w:val="bullet"/>
      <w:lvlText w:val=""/>
      <w:lvlJc w:val="left"/>
      <w:pPr>
        <w:ind w:left="720" w:hanging="360"/>
      </w:pPr>
      <w:rPr>
        <w:rFonts w:hint="default" w:ascii="Symbol" w:hAnsi="Symbol"/>
      </w:rPr>
    </w:lvl>
    <w:lvl w:ilvl="1" w:tplc="A3BE34F8">
      <w:start w:val="1"/>
      <w:numFmt w:val="bullet"/>
      <w:lvlText w:val="o"/>
      <w:lvlJc w:val="left"/>
      <w:pPr>
        <w:ind w:left="1440" w:hanging="360"/>
      </w:pPr>
      <w:rPr>
        <w:rFonts w:hint="default" w:ascii="Courier New" w:hAnsi="Courier New"/>
      </w:rPr>
    </w:lvl>
    <w:lvl w:ilvl="2" w:tplc="7EE46420">
      <w:start w:val="1"/>
      <w:numFmt w:val="bullet"/>
      <w:lvlText w:val=""/>
      <w:lvlJc w:val="left"/>
      <w:pPr>
        <w:ind w:left="2160" w:hanging="360"/>
      </w:pPr>
      <w:rPr>
        <w:rFonts w:hint="default" w:ascii="Wingdings" w:hAnsi="Wingdings"/>
      </w:rPr>
    </w:lvl>
    <w:lvl w:ilvl="3" w:tplc="8C12F7F6">
      <w:start w:val="1"/>
      <w:numFmt w:val="bullet"/>
      <w:lvlText w:val=""/>
      <w:lvlJc w:val="left"/>
      <w:pPr>
        <w:ind w:left="2880" w:hanging="360"/>
      </w:pPr>
      <w:rPr>
        <w:rFonts w:hint="default" w:ascii="Symbol" w:hAnsi="Symbol"/>
      </w:rPr>
    </w:lvl>
    <w:lvl w:ilvl="4" w:tplc="1FC895D8">
      <w:start w:val="1"/>
      <w:numFmt w:val="bullet"/>
      <w:lvlText w:val="o"/>
      <w:lvlJc w:val="left"/>
      <w:pPr>
        <w:ind w:left="3600" w:hanging="360"/>
      </w:pPr>
      <w:rPr>
        <w:rFonts w:hint="default" w:ascii="Courier New" w:hAnsi="Courier New"/>
      </w:rPr>
    </w:lvl>
    <w:lvl w:ilvl="5" w:tplc="039279C4">
      <w:start w:val="1"/>
      <w:numFmt w:val="bullet"/>
      <w:lvlText w:val=""/>
      <w:lvlJc w:val="left"/>
      <w:pPr>
        <w:ind w:left="4320" w:hanging="360"/>
      </w:pPr>
      <w:rPr>
        <w:rFonts w:hint="default" w:ascii="Wingdings" w:hAnsi="Wingdings"/>
      </w:rPr>
    </w:lvl>
    <w:lvl w:ilvl="6" w:tplc="BFF47816">
      <w:start w:val="1"/>
      <w:numFmt w:val="bullet"/>
      <w:lvlText w:val=""/>
      <w:lvlJc w:val="left"/>
      <w:pPr>
        <w:ind w:left="5040" w:hanging="360"/>
      </w:pPr>
      <w:rPr>
        <w:rFonts w:hint="default" w:ascii="Symbol" w:hAnsi="Symbol"/>
      </w:rPr>
    </w:lvl>
    <w:lvl w:ilvl="7" w:tplc="85EAC0DE">
      <w:start w:val="1"/>
      <w:numFmt w:val="bullet"/>
      <w:lvlText w:val="o"/>
      <w:lvlJc w:val="left"/>
      <w:pPr>
        <w:ind w:left="5760" w:hanging="360"/>
      </w:pPr>
      <w:rPr>
        <w:rFonts w:hint="default" w:ascii="Courier New" w:hAnsi="Courier New"/>
      </w:rPr>
    </w:lvl>
    <w:lvl w:ilvl="8" w:tplc="8648E968">
      <w:start w:val="1"/>
      <w:numFmt w:val="bullet"/>
      <w:lvlText w:val=""/>
      <w:lvlJc w:val="left"/>
      <w:pPr>
        <w:ind w:left="6480" w:hanging="360"/>
      </w:pPr>
      <w:rPr>
        <w:rFonts w:hint="default" w:ascii="Wingdings" w:hAnsi="Wingdings"/>
      </w:rPr>
    </w:lvl>
  </w:abstractNum>
  <w:abstractNum w:abstractNumId="20" w15:restartNumberingAfterBreak="0">
    <w:nsid w:val="32896C98"/>
    <w:multiLevelType w:val="hybridMultilevel"/>
    <w:tmpl w:val="47A6F72C"/>
    <w:lvl w:ilvl="0" w:tplc="DF660C1C">
      <w:start w:val="1"/>
      <w:numFmt w:val="bullet"/>
      <w:lvlText w:val=""/>
      <w:lvlJc w:val="left"/>
      <w:pPr>
        <w:ind w:left="720" w:hanging="360"/>
      </w:pPr>
      <w:rPr>
        <w:rFonts w:hint="default" w:ascii="Symbol" w:hAnsi="Symbol"/>
      </w:rPr>
    </w:lvl>
    <w:lvl w:ilvl="1" w:tplc="CB0ADB30">
      <w:start w:val="1"/>
      <w:numFmt w:val="bullet"/>
      <w:lvlText w:val="o"/>
      <w:lvlJc w:val="left"/>
      <w:pPr>
        <w:ind w:left="1440" w:hanging="360"/>
      </w:pPr>
      <w:rPr>
        <w:rFonts w:hint="default" w:ascii="Courier New" w:hAnsi="Courier New"/>
      </w:rPr>
    </w:lvl>
    <w:lvl w:ilvl="2" w:tplc="70FCE58A">
      <w:start w:val="1"/>
      <w:numFmt w:val="bullet"/>
      <w:lvlText w:val=""/>
      <w:lvlJc w:val="left"/>
      <w:pPr>
        <w:ind w:left="2160" w:hanging="360"/>
      </w:pPr>
      <w:rPr>
        <w:rFonts w:hint="default" w:ascii="Wingdings" w:hAnsi="Wingdings"/>
      </w:rPr>
    </w:lvl>
    <w:lvl w:ilvl="3" w:tplc="87A2C608">
      <w:start w:val="1"/>
      <w:numFmt w:val="bullet"/>
      <w:lvlText w:val=""/>
      <w:lvlJc w:val="left"/>
      <w:pPr>
        <w:ind w:left="2880" w:hanging="360"/>
      </w:pPr>
      <w:rPr>
        <w:rFonts w:hint="default" w:ascii="Symbol" w:hAnsi="Symbol"/>
      </w:rPr>
    </w:lvl>
    <w:lvl w:ilvl="4" w:tplc="BDF29908">
      <w:start w:val="1"/>
      <w:numFmt w:val="bullet"/>
      <w:lvlText w:val="o"/>
      <w:lvlJc w:val="left"/>
      <w:pPr>
        <w:ind w:left="3600" w:hanging="360"/>
      </w:pPr>
      <w:rPr>
        <w:rFonts w:hint="default" w:ascii="Courier New" w:hAnsi="Courier New"/>
      </w:rPr>
    </w:lvl>
    <w:lvl w:ilvl="5" w:tplc="40A6A176">
      <w:start w:val="1"/>
      <w:numFmt w:val="bullet"/>
      <w:lvlText w:val=""/>
      <w:lvlJc w:val="left"/>
      <w:pPr>
        <w:ind w:left="4320" w:hanging="360"/>
      </w:pPr>
      <w:rPr>
        <w:rFonts w:hint="default" w:ascii="Wingdings" w:hAnsi="Wingdings"/>
      </w:rPr>
    </w:lvl>
    <w:lvl w:ilvl="6" w:tplc="D9960E86">
      <w:start w:val="1"/>
      <w:numFmt w:val="bullet"/>
      <w:lvlText w:val=""/>
      <w:lvlJc w:val="left"/>
      <w:pPr>
        <w:ind w:left="5040" w:hanging="360"/>
      </w:pPr>
      <w:rPr>
        <w:rFonts w:hint="default" w:ascii="Symbol" w:hAnsi="Symbol"/>
      </w:rPr>
    </w:lvl>
    <w:lvl w:ilvl="7" w:tplc="A9243710">
      <w:start w:val="1"/>
      <w:numFmt w:val="bullet"/>
      <w:lvlText w:val="o"/>
      <w:lvlJc w:val="left"/>
      <w:pPr>
        <w:ind w:left="5760" w:hanging="360"/>
      </w:pPr>
      <w:rPr>
        <w:rFonts w:hint="default" w:ascii="Courier New" w:hAnsi="Courier New"/>
      </w:rPr>
    </w:lvl>
    <w:lvl w:ilvl="8" w:tplc="E08607FA">
      <w:start w:val="1"/>
      <w:numFmt w:val="bullet"/>
      <w:lvlText w:val=""/>
      <w:lvlJc w:val="left"/>
      <w:pPr>
        <w:ind w:left="6480" w:hanging="360"/>
      </w:pPr>
      <w:rPr>
        <w:rFonts w:hint="default" w:ascii="Wingdings" w:hAnsi="Wingdings"/>
      </w:rPr>
    </w:lvl>
  </w:abstractNum>
  <w:abstractNum w:abstractNumId="21" w15:restartNumberingAfterBreak="0">
    <w:nsid w:val="3530AD60"/>
    <w:multiLevelType w:val="hybridMultilevel"/>
    <w:tmpl w:val="76B0DF04"/>
    <w:lvl w:ilvl="0" w:tplc="3D62243E">
      <w:start w:val="1"/>
      <w:numFmt w:val="bullet"/>
      <w:lvlText w:val=""/>
      <w:lvlJc w:val="left"/>
      <w:pPr>
        <w:ind w:left="720" w:hanging="360"/>
      </w:pPr>
      <w:rPr>
        <w:rFonts w:hint="default" w:ascii="Symbol" w:hAnsi="Symbol"/>
      </w:rPr>
    </w:lvl>
    <w:lvl w:ilvl="1" w:tplc="EA6E4304">
      <w:start w:val="1"/>
      <w:numFmt w:val="bullet"/>
      <w:lvlText w:val="o"/>
      <w:lvlJc w:val="left"/>
      <w:pPr>
        <w:ind w:left="1440" w:hanging="360"/>
      </w:pPr>
      <w:rPr>
        <w:rFonts w:hint="default" w:ascii="Courier New" w:hAnsi="Courier New"/>
      </w:rPr>
    </w:lvl>
    <w:lvl w:ilvl="2" w:tplc="7FF676E0">
      <w:start w:val="1"/>
      <w:numFmt w:val="bullet"/>
      <w:lvlText w:val=""/>
      <w:lvlJc w:val="left"/>
      <w:pPr>
        <w:ind w:left="2160" w:hanging="360"/>
      </w:pPr>
      <w:rPr>
        <w:rFonts w:hint="default" w:ascii="Wingdings" w:hAnsi="Wingdings"/>
      </w:rPr>
    </w:lvl>
    <w:lvl w:ilvl="3" w:tplc="E87C8FD0">
      <w:start w:val="1"/>
      <w:numFmt w:val="bullet"/>
      <w:lvlText w:val=""/>
      <w:lvlJc w:val="left"/>
      <w:pPr>
        <w:ind w:left="2880" w:hanging="360"/>
      </w:pPr>
      <w:rPr>
        <w:rFonts w:hint="default" w:ascii="Symbol" w:hAnsi="Symbol"/>
      </w:rPr>
    </w:lvl>
    <w:lvl w:ilvl="4" w:tplc="8A1A9046">
      <w:start w:val="1"/>
      <w:numFmt w:val="bullet"/>
      <w:lvlText w:val="o"/>
      <w:lvlJc w:val="left"/>
      <w:pPr>
        <w:ind w:left="3600" w:hanging="360"/>
      </w:pPr>
      <w:rPr>
        <w:rFonts w:hint="default" w:ascii="Courier New" w:hAnsi="Courier New"/>
      </w:rPr>
    </w:lvl>
    <w:lvl w:ilvl="5" w:tplc="724C3802">
      <w:start w:val="1"/>
      <w:numFmt w:val="bullet"/>
      <w:lvlText w:val=""/>
      <w:lvlJc w:val="left"/>
      <w:pPr>
        <w:ind w:left="4320" w:hanging="360"/>
      </w:pPr>
      <w:rPr>
        <w:rFonts w:hint="default" w:ascii="Wingdings" w:hAnsi="Wingdings"/>
      </w:rPr>
    </w:lvl>
    <w:lvl w:ilvl="6" w:tplc="0316D420">
      <w:start w:val="1"/>
      <w:numFmt w:val="bullet"/>
      <w:lvlText w:val=""/>
      <w:lvlJc w:val="left"/>
      <w:pPr>
        <w:ind w:left="5040" w:hanging="360"/>
      </w:pPr>
      <w:rPr>
        <w:rFonts w:hint="default" w:ascii="Symbol" w:hAnsi="Symbol"/>
      </w:rPr>
    </w:lvl>
    <w:lvl w:ilvl="7" w:tplc="642AFB28">
      <w:start w:val="1"/>
      <w:numFmt w:val="bullet"/>
      <w:lvlText w:val="o"/>
      <w:lvlJc w:val="left"/>
      <w:pPr>
        <w:ind w:left="5760" w:hanging="360"/>
      </w:pPr>
      <w:rPr>
        <w:rFonts w:hint="default" w:ascii="Courier New" w:hAnsi="Courier New"/>
      </w:rPr>
    </w:lvl>
    <w:lvl w:ilvl="8" w:tplc="E808258C">
      <w:start w:val="1"/>
      <w:numFmt w:val="bullet"/>
      <w:lvlText w:val=""/>
      <w:lvlJc w:val="left"/>
      <w:pPr>
        <w:ind w:left="6480" w:hanging="360"/>
      </w:pPr>
      <w:rPr>
        <w:rFonts w:hint="default" w:ascii="Wingdings" w:hAnsi="Wingdings"/>
      </w:rPr>
    </w:lvl>
  </w:abstractNum>
  <w:abstractNum w:abstractNumId="22" w15:restartNumberingAfterBreak="0">
    <w:nsid w:val="3D10602C"/>
    <w:multiLevelType w:val="hybridMultilevel"/>
    <w:tmpl w:val="81E23FA4"/>
    <w:lvl w:ilvl="0" w:tplc="078AA500">
      <w:start w:val="1"/>
      <w:numFmt w:val="bullet"/>
      <w:lvlText w:val=""/>
      <w:lvlJc w:val="left"/>
      <w:pPr>
        <w:ind w:left="720" w:hanging="360"/>
      </w:pPr>
      <w:rPr>
        <w:rFonts w:hint="default" w:ascii="Symbol" w:hAnsi="Symbol"/>
      </w:rPr>
    </w:lvl>
    <w:lvl w:ilvl="1" w:tplc="8CF63442">
      <w:start w:val="1"/>
      <w:numFmt w:val="bullet"/>
      <w:lvlText w:val="o"/>
      <w:lvlJc w:val="left"/>
      <w:pPr>
        <w:ind w:left="1440" w:hanging="360"/>
      </w:pPr>
      <w:rPr>
        <w:rFonts w:hint="default" w:ascii="Courier New" w:hAnsi="Courier New"/>
      </w:rPr>
    </w:lvl>
    <w:lvl w:ilvl="2" w:tplc="27625746">
      <w:start w:val="1"/>
      <w:numFmt w:val="bullet"/>
      <w:lvlText w:val=""/>
      <w:lvlJc w:val="left"/>
      <w:pPr>
        <w:ind w:left="2160" w:hanging="360"/>
      </w:pPr>
      <w:rPr>
        <w:rFonts w:hint="default" w:ascii="Wingdings" w:hAnsi="Wingdings"/>
      </w:rPr>
    </w:lvl>
    <w:lvl w:ilvl="3" w:tplc="7022636C">
      <w:start w:val="1"/>
      <w:numFmt w:val="bullet"/>
      <w:lvlText w:val=""/>
      <w:lvlJc w:val="left"/>
      <w:pPr>
        <w:ind w:left="2880" w:hanging="360"/>
      </w:pPr>
      <w:rPr>
        <w:rFonts w:hint="default" w:ascii="Symbol" w:hAnsi="Symbol"/>
      </w:rPr>
    </w:lvl>
    <w:lvl w:ilvl="4" w:tplc="C2CA7590">
      <w:start w:val="1"/>
      <w:numFmt w:val="bullet"/>
      <w:lvlText w:val="o"/>
      <w:lvlJc w:val="left"/>
      <w:pPr>
        <w:ind w:left="3600" w:hanging="360"/>
      </w:pPr>
      <w:rPr>
        <w:rFonts w:hint="default" w:ascii="Courier New" w:hAnsi="Courier New"/>
      </w:rPr>
    </w:lvl>
    <w:lvl w:ilvl="5" w:tplc="AD88D542">
      <w:start w:val="1"/>
      <w:numFmt w:val="bullet"/>
      <w:lvlText w:val=""/>
      <w:lvlJc w:val="left"/>
      <w:pPr>
        <w:ind w:left="4320" w:hanging="360"/>
      </w:pPr>
      <w:rPr>
        <w:rFonts w:hint="default" w:ascii="Wingdings" w:hAnsi="Wingdings"/>
      </w:rPr>
    </w:lvl>
    <w:lvl w:ilvl="6" w:tplc="F39C3174">
      <w:start w:val="1"/>
      <w:numFmt w:val="bullet"/>
      <w:lvlText w:val=""/>
      <w:lvlJc w:val="left"/>
      <w:pPr>
        <w:ind w:left="5040" w:hanging="360"/>
      </w:pPr>
      <w:rPr>
        <w:rFonts w:hint="default" w:ascii="Symbol" w:hAnsi="Symbol"/>
      </w:rPr>
    </w:lvl>
    <w:lvl w:ilvl="7" w:tplc="A4806638">
      <w:start w:val="1"/>
      <w:numFmt w:val="bullet"/>
      <w:lvlText w:val="o"/>
      <w:lvlJc w:val="left"/>
      <w:pPr>
        <w:ind w:left="5760" w:hanging="360"/>
      </w:pPr>
      <w:rPr>
        <w:rFonts w:hint="default" w:ascii="Courier New" w:hAnsi="Courier New"/>
      </w:rPr>
    </w:lvl>
    <w:lvl w:ilvl="8" w:tplc="09541AAE">
      <w:start w:val="1"/>
      <w:numFmt w:val="bullet"/>
      <w:lvlText w:val=""/>
      <w:lvlJc w:val="left"/>
      <w:pPr>
        <w:ind w:left="6480" w:hanging="360"/>
      </w:pPr>
      <w:rPr>
        <w:rFonts w:hint="default" w:ascii="Wingdings" w:hAnsi="Wingdings"/>
      </w:rPr>
    </w:lvl>
  </w:abstractNum>
  <w:abstractNum w:abstractNumId="23" w15:restartNumberingAfterBreak="0">
    <w:nsid w:val="4030235B"/>
    <w:multiLevelType w:val="hybridMultilevel"/>
    <w:tmpl w:val="AE22DE58"/>
    <w:lvl w:ilvl="0" w:tplc="5ABC3DEA">
      <w:start w:val="1"/>
      <w:numFmt w:val="decimal"/>
      <w:lvlText w:val="%1."/>
      <w:lvlJc w:val="left"/>
      <w:pPr>
        <w:ind w:left="720" w:hanging="360"/>
      </w:pPr>
    </w:lvl>
    <w:lvl w:ilvl="1" w:tplc="83E09668">
      <w:start w:val="1"/>
      <w:numFmt w:val="lowerLetter"/>
      <w:lvlText w:val="%2."/>
      <w:lvlJc w:val="left"/>
      <w:pPr>
        <w:ind w:left="1440" w:hanging="360"/>
      </w:pPr>
    </w:lvl>
    <w:lvl w:ilvl="2" w:tplc="8076C3AC">
      <w:start w:val="1"/>
      <w:numFmt w:val="lowerRoman"/>
      <w:lvlText w:val="%3."/>
      <w:lvlJc w:val="right"/>
      <w:pPr>
        <w:ind w:left="2160" w:hanging="180"/>
      </w:pPr>
    </w:lvl>
    <w:lvl w:ilvl="3" w:tplc="4AD0638A">
      <w:start w:val="1"/>
      <w:numFmt w:val="decimal"/>
      <w:lvlText w:val="%4."/>
      <w:lvlJc w:val="left"/>
      <w:pPr>
        <w:ind w:left="2880" w:hanging="360"/>
      </w:pPr>
    </w:lvl>
    <w:lvl w:ilvl="4" w:tplc="301AA9AE">
      <w:start w:val="1"/>
      <w:numFmt w:val="lowerLetter"/>
      <w:lvlText w:val="%5."/>
      <w:lvlJc w:val="left"/>
      <w:pPr>
        <w:ind w:left="3600" w:hanging="360"/>
      </w:pPr>
    </w:lvl>
    <w:lvl w:ilvl="5" w:tplc="ED6E405C">
      <w:start w:val="1"/>
      <w:numFmt w:val="lowerRoman"/>
      <w:lvlText w:val="%6."/>
      <w:lvlJc w:val="right"/>
      <w:pPr>
        <w:ind w:left="4320" w:hanging="180"/>
      </w:pPr>
    </w:lvl>
    <w:lvl w:ilvl="6" w:tplc="7B96CC64">
      <w:start w:val="1"/>
      <w:numFmt w:val="decimal"/>
      <w:lvlText w:val="%7."/>
      <w:lvlJc w:val="left"/>
      <w:pPr>
        <w:ind w:left="5040" w:hanging="360"/>
      </w:pPr>
    </w:lvl>
    <w:lvl w:ilvl="7" w:tplc="BEB0FC10">
      <w:start w:val="1"/>
      <w:numFmt w:val="lowerLetter"/>
      <w:lvlText w:val="%8."/>
      <w:lvlJc w:val="left"/>
      <w:pPr>
        <w:ind w:left="5760" w:hanging="360"/>
      </w:pPr>
    </w:lvl>
    <w:lvl w:ilvl="8" w:tplc="7E4C8CAC">
      <w:start w:val="1"/>
      <w:numFmt w:val="lowerRoman"/>
      <w:lvlText w:val="%9."/>
      <w:lvlJc w:val="right"/>
      <w:pPr>
        <w:ind w:left="6480" w:hanging="180"/>
      </w:pPr>
    </w:lvl>
  </w:abstractNum>
  <w:abstractNum w:abstractNumId="24" w15:restartNumberingAfterBreak="0">
    <w:nsid w:val="43B5F183"/>
    <w:multiLevelType w:val="hybridMultilevel"/>
    <w:tmpl w:val="497449CA"/>
    <w:lvl w:ilvl="0" w:tplc="2B4A442C">
      <w:start w:val="1"/>
      <w:numFmt w:val="bullet"/>
      <w:lvlText w:val=""/>
      <w:lvlJc w:val="left"/>
      <w:pPr>
        <w:ind w:left="720" w:hanging="360"/>
      </w:pPr>
      <w:rPr>
        <w:rFonts w:hint="default" w:ascii="Symbol" w:hAnsi="Symbol"/>
      </w:rPr>
    </w:lvl>
    <w:lvl w:ilvl="1" w:tplc="DA5A5558">
      <w:start w:val="1"/>
      <w:numFmt w:val="bullet"/>
      <w:lvlText w:val="o"/>
      <w:lvlJc w:val="left"/>
      <w:pPr>
        <w:ind w:left="1440" w:hanging="360"/>
      </w:pPr>
      <w:rPr>
        <w:rFonts w:hint="default" w:ascii="Courier New" w:hAnsi="Courier New"/>
      </w:rPr>
    </w:lvl>
    <w:lvl w:ilvl="2" w:tplc="835CF216">
      <w:start w:val="1"/>
      <w:numFmt w:val="bullet"/>
      <w:lvlText w:val=""/>
      <w:lvlJc w:val="left"/>
      <w:pPr>
        <w:ind w:left="2160" w:hanging="360"/>
      </w:pPr>
      <w:rPr>
        <w:rFonts w:hint="default" w:ascii="Wingdings" w:hAnsi="Wingdings"/>
      </w:rPr>
    </w:lvl>
    <w:lvl w:ilvl="3" w:tplc="E2C8B45E">
      <w:start w:val="1"/>
      <w:numFmt w:val="bullet"/>
      <w:lvlText w:val=""/>
      <w:lvlJc w:val="left"/>
      <w:pPr>
        <w:ind w:left="2880" w:hanging="360"/>
      </w:pPr>
      <w:rPr>
        <w:rFonts w:hint="default" w:ascii="Symbol" w:hAnsi="Symbol"/>
      </w:rPr>
    </w:lvl>
    <w:lvl w:ilvl="4" w:tplc="064AA690">
      <w:start w:val="1"/>
      <w:numFmt w:val="bullet"/>
      <w:lvlText w:val="o"/>
      <w:lvlJc w:val="left"/>
      <w:pPr>
        <w:ind w:left="3600" w:hanging="360"/>
      </w:pPr>
      <w:rPr>
        <w:rFonts w:hint="default" w:ascii="Courier New" w:hAnsi="Courier New"/>
      </w:rPr>
    </w:lvl>
    <w:lvl w:ilvl="5" w:tplc="8B2EFDDC">
      <w:start w:val="1"/>
      <w:numFmt w:val="bullet"/>
      <w:lvlText w:val=""/>
      <w:lvlJc w:val="left"/>
      <w:pPr>
        <w:ind w:left="4320" w:hanging="360"/>
      </w:pPr>
      <w:rPr>
        <w:rFonts w:hint="default" w:ascii="Wingdings" w:hAnsi="Wingdings"/>
      </w:rPr>
    </w:lvl>
    <w:lvl w:ilvl="6" w:tplc="904C3964">
      <w:start w:val="1"/>
      <w:numFmt w:val="bullet"/>
      <w:lvlText w:val=""/>
      <w:lvlJc w:val="left"/>
      <w:pPr>
        <w:ind w:left="5040" w:hanging="360"/>
      </w:pPr>
      <w:rPr>
        <w:rFonts w:hint="default" w:ascii="Symbol" w:hAnsi="Symbol"/>
      </w:rPr>
    </w:lvl>
    <w:lvl w:ilvl="7" w:tplc="398619DA">
      <w:start w:val="1"/>
      <w:numFmt w:val="bullet"/>
      <w:lvlText w:val="o"/>
      <w:lvlJc w:val="left"/>
      <w:pPr>
        <w:ind w:left="5760" w:hanging="360"/>
      </w:pPr>
      <w:rPr>
        <w:rFonts w:hint="default" w:ascii="Courier New" w:hAnsi="Courier New"/>
      </w:rPr>
    </w:lvl>
    <w:lvl w:ilvl="8" w:tplc="3AC4018A">
      <w:start w:val="1"/>
      <w:numFmt w:val="bullet"/>
      <w:lvlText w:val=""/>
      <w:lvlJc w:val="left"/>
      <w:pPr>
        <w:ind w:left="6480" w:hanging="360"/>
      </w:pPr>
      <w:rPr>
        <w:rFonts w:hint="default" w:ascii="Wingdings" w:hAnsi="Wingdings"/>
      </w:rPr>
    </w:lvl>
  </w:abstractNum>
  <w:abstractNum w:abstractNumId="25" w15:restartNumberingAfterBreak="0">
    <w:nsid w:val="448DDFB9"/>
    <w:multiLevelType w:val="hybridMultilevel"/>
    <w:tmpl w:val="6748B352"/>
    <w:lvl w:ilvl="0" w:tplc="BD68E2A2">
      <w:start w:val="1"/>
      <w:numFmt w:val="bullet"/>
      <w:lvlText w:val=""/>
      <w:lvlJc w:val="left"/>
      <w:pPr>
        <w:ind w:left="720" w:hanging="360"/>
      </w:pPr>
      <w:rPr>
        <w:rFonts w:hint="default" w:ascii="Symbol" w:hAnsi="Symbol"/>
      </w:rPr>
    </w:lvl>
    <w:lvl w:ilvl="1" w:tplc="DBE2222A">
      <w:start w:val="1"/>
      <w:numFmt w:val="bullet"/>
      <w:lvlText w:val="o"/>
      <w:lvlJc w:val="left"/>
      <w:pPr>
        <w:ind w:left="1440" w:hanging="360"/>
      </w:pPr>
      <w:rPr>
        <w:rFonts w:hint="default" w:ascii="Courier New" w:hAnsi="Courier New"/>
      </w:rPr>
    </w:lvl>
    <w:lvl w:ilvl="2" w:tplc="18C25396">
      <w:start w:val="1"/>
      <w:numFmt w:val="bullet"/>
      <w:lvlText w:val=""/>
      <w:lvlJc w:val="left"/>
      <w:pPr>
        <w:ind w:left="2160" w:hanging="360"/>
      </w:pPr>
      <w:rPr>
        <w:rFonts w:hint="default" w:ascii="Wingdings" w:hAnsi="Wingdings"/>
      </w:rPr>
    </w:lvl>
    <w:lvl w:ilvl="3" w:tplc="0954581A">
      <w:start w:val="1"/>
      <w:numFmt w:val="bullet"/>
      <w:lvlText w:val=""/>
      <w:lvlJc w:val="left"/>
      <w:pPr>
        <w:ind w:left="2880" w:hanging="360"/>
      </w:pPr>
      <w:rPr>
        <w:rFonts w:hint="default" w:ascii="Symbol" w:hAnsi="Symbol"/>
      </w:rPr>
    </w:lvl>
    <w:lvl w:ilvl="4" w:tplc="40E4CA34">
      <w:start w:val="1"/>
      <w:numFmt w:val="bullet"/>
      <w:lvlText w:val="o"/>
      <w:lvlJc w:val="left"/>
      <w:pPr>
        <w:ind w:left="3600" w:hanging="360"/>
      </w:pPr>
      <w:rPr>
        <w:rFonts w:hint="default" w:ascii="Courier New" w:hAnsi="Courier New"/>
      </w:rPr>
    </w:lvl>
    <w:lvl w:ilvl="5" w:tplc="B0484206">
      <w:start w:val="1"/>
      <w:numFmt w:val="bullet"/>
      <w:lvlText w:val=""/>
      <w:lvlJc w:val="left"/>
      <w:pPr>
        <w:ind w:left="4320" w:hanging="360"/>
      </w:pPr>
      <w:rPr>
        <w:rFonts w:hint="default" w:ascii="Wingdings" w:hAnsi="Wingdings"/>
      </w:rPr>
    </w:lvl>
    <w:lvl w:ilvl="6" w:tplc="76503C2A">
      <w:start w:val="1"/>
      <w:numFmt w:val="bullet"/>
      <w:lvlText w:val=""/>
      <w:lvlJc w:val="left"/>
      <w:pPr>
        <w:ind w:left="5040" w:hanging="360"/>
      </w:pPr>
      <w:rPr>
        <w:rFonts w:hint="default" w:ascii="Symbol" w:hAnsi="Symbol"/>
      </w:rPr>
    </w:lvl>
    <w:lvl w:ilvl="7" w:tplc="AA4463D8">
      <w:start w:val="1"/>
      <w:numFmt w:val="bullet"/>
      <w:lvlText w:val="o"/>
      <w:lvlJc w:val="left"/>
      <w:pPr>
        <w:ind w:left="5760" w:hanging="360"/>
      </w:pPr>
      <w:rPr>
        <w:rFonts w:hint="default" w:ascii="Courier New" w:hAnsi="Courier New"/>
      </w:rPr>
    </w:lvl>
    <w:lvl w:ilvl="8" w:tplc="D8281972">
      <w:start w:val="1"/>
      <w:numFmt w:val="bullet"/>
      <w:lvlText w:val=""/>
      <w:lvlJc w:val="left"/>
      <w:pPr>
        <w:ind w:left="6480" w:hanging="360"/>
      </w:pPr>
      <w:rPr>
        <w:rFonts w:hint="default" w:ascii="Wingdings" w:hAnsi="Wingdings"/>
      </w:rPr>
    </w:lvl>
  </w:abstractNum>
  <w:abstractNum w:abstractNumId="26" w15:restartNumberingAfterBreak="0">
    <w:nsid w:val="469F36A9"/>
    <w:multiLevelType w:val="hybridMultilevel"/>
    <w:tmpl w:val="5C906228"/>
    <w:lvl w:ilvl="0" w:tplc="12523940">
      <w:start w:val="1"/>
      <w:numFmt w:val="bullet"/>
      <w:lvlText w:val=""/>
      <w:lvlJc w:val="left"/>
      <w:pPr>
        <w:ind w:left="720" w:hanging="360"/>
      </w:pPr>
      <w:rPr>
        <w:rFonts w:hint="default" w:ascii="Symbol" w:hAnsi="Symbol"/>
      </w:rPr>
    </w:lvl>
    <w:lvl w:ilvl="1" w:tplc="D0E8D61A">
      <w:start w:val="1"/>
      <w:numFmt w:val="bullet"/>
      <w:lvlText w:val="o"/>
      <w:lvlJc w:val="left"/>
      <w:pPr>
        <w:ind w:left="1440" w:hanging="360"/>
      </w:pPr>
      <w:rPr>
        <w:rFonts w:hint="default" w:ascii="Courier New" w:hAnsi="Courier New"/>
      </w:rPr>
    </w:lvl>
    <w:lvl w:ilvl="2" w:tplc="3B7A3566">
      <w:start w:val="1"/>
      <w:numFmt w:val="bullet"/>
      <w:lvlText w:val=""/>
      <w:lvlJc w:val="left"/>
      <w:pPr>
        <w:ind w:left="2160" w:hanging="360"/>
      </w:pPr>
      <w:rPr>
        <w:rFonts w:hint="default" w:ascii="Wingdings" w:hAnsi="Wingdings"/>
      </w:rPr>
    </w:lvl>
    <w:lvl w:ilvl="3" w:tplc="F1749154">
      <w:start w:val="1"/>
      <w:numFmt w:val="bullet"/>
      <w:lvlText w:val=""/>
      <w:lvlJc w:val="left"/>
      <w:pPr>
        <w:ind w:left="2880" w:hanging="360"/>
      </w:pPr>
      <w:rPr>
        <w:rFonts w:hint="default" w:ascii="Symbol" w:hAnsi="Symbol"/>
      </w:rPr>
    </w:lvl>
    <w:lvl w:ilvl="4" w:tplc="DB7E1B30">
      <w:start w:val="1"/>
      <w:numFmt w:val="bullet"/>
      <w:lvlText w:val="o"/>
      <w:lvlJc w:val="left"/>
      <w:pPr>
        <w:ind w:left="3600" w:hanging="360"/>
      </w:pPr>
      <w:rPr>
        <w:rFonts w:hint="default" w:ascii="Courier New" w:hAnsi="Courier New"/>
      </w:rPr>
    </w:lvl>
    <w:lvl w:ilvl="5" w:tplc="5B22875E">
      <w:start w:val="1"/>
      <w:numFmt w:val="bullet"/>
      <w:lvlText w:val=""/>
      <w:lvlJc w:val="left"/>
      <w:pPr>
        <w:ind w:left="4320" w:hanging="360"/>
      </w:pPr>
      <w:rPr>
        <w:rFonts w:hint="default" w:ascii="Wingdings" w:hAnsi="Wingdings"/>
      </w:rPr>
    </w:lvl>
    <w:lvl w:ilvl="6" w:tplc="85E29CBC">
      <w:start w:val="1"/>
      <w:numFmt w:val="bullet"/>
      <w:lvlText w:val=""/>
      <w:lvlJc w:val="left"/>
      <w:pPr>
        <w:ind w:left="5040" w:hanging="360"/>
      </w:pPr>
      <w:rPr>
        <w:rFonts w:hint="default" w:ascii="Symbol" w:hAnsi="Symbol"/>
      </w:rPr>
    </w:lvl>
    <w:lvl w:ilvl="7" w:tplc="666E16F8">
      <w:start w:val="1"/>
      <w:numFmt w:val="bullet"/>
      <w:lvlText w:val="o"/>
      <w:lvlJc w:val="left"/>
      <w:pPr>
        <w:ind w:left="5760" w:hanging="360"/>
      </w:pPr>
      <w:rPr>
        <w:rFonts w:hint="default" w:ascii="Courier New" w:hAnsi="Courier New"/>
      </w:rPr>
    </w:lvl>
    <w:lvl w:ilvl="8" w:tplc="6922C1B0">
      <w:start w:val="1"/>
      <w:numFmt w:val="bullet"/>
      <w:lvlText w:val=""/>
      <w:lvlJc w:val="left"/>
      <w:pPr>
        <w:ind w:left="6480" w:hanging="360"/>
      </w:pPr>
      <w:rPr>
        <w:rFonts w:hint="default" w:ascii="Wingdings" w:hAnsi="Wingdings"/>
      </w:rPr>
    </w:lvl>
  </w:abstractNum>
  <w:abstractNum w:abstractNumId="27" w15:restartNumberingAfterBreak="0">
    <w:nsid w:val="4C5A1796"/>
    <w:multiLevelType w:val="hybridMultilevel"/>
    <w:tmpl w:val="00F0721C"/>
    <w:lvl w:ilvl="0" w:tplc="0CC66E4A">
      <w:start w:val="1"/>
      <w:numFmt w:val="bullet"/>
      <w:lvlText w:val=""/>
      <w:lvlJc w:val="left"/>
      <w:pPr>
        <w:ind w:left="720" w:hanging="360"/>
      </w:pPr>
      <w:rPr>
        <w:rFonts w:hint="default" w:ascii="Symbol" w:hAnsi="Symbol"/>
      </w:rPr>
    </w:lvl>
    <w:lvl w:ilvl="1" w:tplc="94FE80E4">
      <w:start w:val="1"/>
      <w:numFmt w:val="bullet"/>
      <w:lvlText w:val="o"/>
      <w:lvlJc w:val="left"/>
      <w:pPr>
        <w:ind w:left="1440" w:hanging="360"/>
      </w:pPr>
      <w:rPr>
        <w:rFonts w:hint="default" w:ascii="Courier New" w:hAnsi="Courier New"/>
      </w:rPr>
    </w:lvl>
    <w:lvl w:ilvl="2" w:tplc="31666EF6">
      <w:start w:val="1"/>
      <w:numFmt w:val="bullet"/>
      <w:lvlText w:val=""/>
      <w:lvlJc w:val="left"/>
      <w:pPr>
        <w:ind w:left="2160" w:hanging="360"/>
      </w:pPr>
      <w:rPr>
        <w:rFonts w:hint="default" w:ascii="Wingdings" w:hAnsi="Wingdings"/>
      </w:rPr>
    </w:lvl>
    <w:lvl w:ilvl="3" w:tplc="3F68EF58">
      <w:start w:val="1"/>
      <w:numFmt w:val="bullet"/>
      <w:lvlText w:val=""/>
      <w:lvlJc w:val="left"/>
      <w:pPr>
        <w:ind w:left="2880" w:hanging="360"/>
      </w:pPr>
      <w:rPr>
        <w:rFonts w:hint="default" w:ascii="Symbol" w:hAnsi="Symbol"/>
      </w:rPr>
    </w:lvl>
    <w:lvl w:ilvl="4" w:tplc="9A32DF14">
      <w:start w:val="1"/>
      <w:numFmt w:val="bullet"/>
      <w:lvlText w:val="o"/>
      <w:lvlJc w:val="left"/>
      <w:pPr>
        <w:ind w:left="3600" w:hanging="360"/>
      </w:pPr>
      <w:rPr>
        <w:rFonts w:hint="default" w:ascii="Courier New" w:hAnsi="Courier New"/>
      </w:rPr>
    </w:lvl>
    <w:lvl w:ilvl="5" w:tplc="7C62232C">
      <w:start w:val="1"/>
      <w:numFmt w:val="bullet"/>
      <w:lvlText w:val=""/>
      <w:lvlJc w:val="left"/>
      <w:pPr>
        <w:ind w:left="4320" w:hanging="360"/>
      </w:pPr>
      <w:rPr>
        <w:rFonts w:hint="default" w:ascii="Wingdings" w:hAnsi="Wingdings"/>
      </w:rPr>
    </w:lvl>
    <w:lvl w:ilvl="6" w:tplc="B3E8527C">
      <w:start w:val="1"/>
      <w:numFmt w:val="bullet"/>
      <w:lvlText w:val=""/>
      <w:lvlJc w:val="left"/>
      <w:pPr>
        <w:ind w:left="5040" w:hanging="360"/>
      </w:pPr>
      <w:rPr>
        <w:rFonts w:hint="default" w:ascii="Symbol" w:hAnsi="Symbol"/>
      </w:rPr>
    </w:lvl>
    <w:lvl w:ilvl="7" w:tplc="E3A85038">
      <w:start w:val="1"/>
      <w:numFmt w:val="bullet"/>
      <w:lvlText w:val="o"/>
      <w:lvlJc w:val="left"/>
      <w:pPr>
        <w:ind w:left="5760" w:hanging="360"/>
      </w:pPr>
      <w:rPr>
        <w:rFonts w:hint="default" w:ascii="Courier New" w:hAnsi="Courier New"/>
      </w:rPr>
    </w:lvl>
    <w:lvl w:ilvl="8" w:tplc="0E845C60">
      <w:start w:val="1"/>
      <w:numFmt w:val="bullet"/>
      <w:lvlText w:val=""/>
      <w:lvlJc w:val="left"/>
      <w:pPr>
        <w:ind w:left="6480" w:hanging="360"/>
      </w:pPr>
      <w:rPr>
        <w:rFonts w:hint="default" w:ascii="Wingdings" w:hAnsi="Wingdings"/>
      </w:rPr>
    </w:lvl>
  </w:abstractNum>
  <w:abstractNum w:abstractNumId="28" w15:restartNumberingAfterBreak="0">
    <w:nsid w:val="509775FA"/>
    <w:multiLevelType w:val="hybridMultilevel"/>
    <w:tmpl w:val="7F9C27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14D4A93"/>
    <w:multiLevelType w:val="hybridMultilevel"/>
    <w:tmpl w:val="4C98B5D2"/>
    <w:lvl w:ilvl="0" w:tplc="A734E976">
      <w:start w:val="1"/>
      <w:numFmt w:val="bullet"/>
      <w:lvlText w:val=""/>
      <w:lvlJc w:val="left"/>
      <w:pPr>
        <w:ind w:left="720" w:hanging="360"/>
      </w:pPr>
      <w:rPr>
        <w:rFonts w:hint="default" w:ascii="Symbol" w:hAnsi="Symbol"/>
      </w:rPr>
    </w:lvl>
    <w:lvl w:ilvl="1" w:tplc="0DE2D7E0">
      <w:start w:val="1"/>
      <w:numFmt w:val="bullet"/>
      <w:lvlText w:val="o"/>
      <w:lvlJc w:val="left"/>
      <w:pPr>
        <w:ind w:left="1440" w:hanging="360"/>
      </w:pPr>
      <w:rPr>
        <w:rFonts w:hint="default" w:ascii="Courier New" w:hAnsi="Courier New"/>
      </w:rPr>
    </w:lvl>
    <w:lvl w:ilvl="2" w:tplc="6448B2DC">
      <w:start w:val="1"/>
      <w:numFmt w:val="bullet"/>
      <w:lvlText w:val=""/>
      <w:lvlJc w:val="left"/>
      <w:pPr>
        <w:ind w:left="2160" w:hanging="360"/>
      </w:pPr>
      <w:rPr>
        <w:rFonts w:hint="default" w:ascii="Wingdings" w:hAnsi="Wingdings"/>
      </w:rPr>
    </w:lvl>
    <w:lvl w:ilvl="3" w:tplc="20B6614A">
      <w:start w:val="1"/>
      <w:numFmt w:val="bullet"/>
      <w:lvlText w:val=""/>
      <w:lvlJc w:val="left"/>
      <w:pPr>
        <w:ind w:left="2880" w:hanging="360"/>
      </w:pPr>
      <w:rPr>
        <w:rFonts w:hint="default" w:ascii="Symbol" w:hAnsi="Symbol"/>
      </w:rPr>
    </w:lvl>
    <w:lvl w:ilvl="4" w:tplc="D8827B8C">
      <w:start w:val="1"/>
      <w:numFmt w:val="bullet"/>
      <w:lvlText w:val="o"/>
      <w:lvlJc w:val="left"/>
      <w:pPr>
        <w:ind w:left="3600" w:hanging="360"/>
      </w:pPr>
      <w:rPr>
        <w:rFonts w:hint="default" w:ascii="Courier New" w:hAnsi="Courier New"/>
      </w:rPr>
    </w:lvl>
    <w:lvl w:ilvl="5" w:tplc="38E63E40">
      <w:start w:val="1"/>
      <w:numFmt w:val="bullet"/>
      <w:lvlText w:val=""/>
      <w:lvlJc w:val="left"/>
      <w:pPr>
        <w:ind w:left="4320" w:hanging="360"/>
      </w:pPr>
      <w:rPr>
        <w:rFonts w:hint="default" w:ascii="Wingdings" w:hAnsi="Wingdings"/>
      </w:rPr>
    </w:lvl>
    <w:lvl w:ilvl="6" w:tplc="8212753E">
      <w:start w:val="1"/>
      <w:numFmt w:val="bullet"/>
      <w:lvlText w:val=""/>
      <w:lvlJc w:val="left"/>
      <w:pPr>
        <w:ind w:left="5040" w:hanging="360"/>
      </w:pPr>
      <w:rPr>
        <w:rFonts w:hint="default" w:ascii="Symbol" w:hAnsi="Symbol"/>
      </w:rPr>
    </w:lvl>
    <w:lvl w:ilvl="7" w:tplc="5260C0C8">
      <w:start w:val="1"/>
      <w:numFmt w:val="bullet"/>
      <w:lvlText w:val="o"/>
      <w:lvlJc w:val="left"/>
      <w:pPr>
        <w:ind w:left="5760" w:hanging="360"/>
      </w:pPr>
      <w:rPr>
        <w:rFonts w:hint="default" w:ascii="Courier New" w:hAnsi="Courier New"/>
      </w:rPr>
    </w:lvl>
    <w:lvl w:ilvl="8" w:tplc="444C8A26">
      <w:start w:val="1"/>
      <w:numFmt w:val="bullet"/>
      <w:lvlText w:val=""/>
      <w:lvlJc w:val="left"/>
      <w:pPr>
        <w:ind w:left="6480" w:hanging="360"/>
      </w:pPr>
      <w:rPr>
        <w:rFonts w:hint="default" w:ascii="Wingdings" w:hAnsi="Wingdings"/>
      </w:rPr>
    </w:lvl>
  </w:abstractNum>
  <w:abstractNum w:abstractNumId="30" w15:restartNumberingAfterBreak="0">
    <w:nsid w:val="55F78226"/>
    <w:multiLevelType w:val="hybridMultilevel"/>
    <w:tmpl w:val="FF72657C"/>
    <w:lvl w:ilvl="0" w:tplc="D49CFDDC">
      <w:start w:val="1"/>
      <w:numFmt w:val="bullet"/>
      <w:lvlText w:val=""/>
      <w:lvlJc w:val="left"/>
      <w:pPr>
        <w:ind w:left="720" w:hanging="360"/>
      </w:pPr>
      <w:rPr>
        <w:rFonts w:hint="default" w:ascii="Symbol" w:hAnsi="Symbol"/>
      </w:rPr>
    </w:lvl>
    <w:lvl w:ilvl="1" w:tplc="ABC2BB74">
      <w:start w:val="1"/>
      <w:numFmt w:val="bullet"/>
      <w:lvlText w:val="o"/>
      <w:lvlJc w:val="left"/>
      <w:pPr>
        <w:ind w:left="1440" w:hanging="360"/>
      </w:pPr>
      <w:rPr>
        <w:rFonts w:hint="default" w:ascii="Courier New" w:hAnsi="Courier New"/>
      </w:rPr>
    </w:lvl>
    <w:lvl w:ilvl="2" w:tplc="D23A7578">
      <w:start w:val="1"/>
      <w:numFmt w:val="bullet"/>
      <w:lvlText w:val=""/>
      <w:lvlJc w:val="left"/>
      <w:pPr>
        <w:ind w:left="2160" w:hanging="360"/>
      </w:pPr>
      <w:rPr>
        <w:rFonts w:hint="default" w:ascii="Wingdings" w:hAnsi="Wingdings"/>
      </w:rPr>
    </w:lvl>
    <w:lvl w:ilvl="3" w:tplc="F3C69BEE">
      <w:start w:val="1"/>
      <w:numFmt w:val="bullet"/>
      <w:lvlText w:val=""/>
      <w:lvlJc w:val="left"/>
      <w:pPr>
        <w:ind w:left="2880" w:hanging="360"/>
      </w:pPr>
      <w:rPr>
        <w:rFonts w:hint="default" w:ascii="Symbol" w:hAnsi="Symbol"/>
      </w:rPr>
    </w:lvl>
    <w:lvl w:ilvl="4" w:tplc="84E019E6">
      <w:start w:val="1"/>
      <w:numFmt w:val="bullet"/>
      <w:lvlText w:val="o"/>
      <w:lvlJc w:val="left"/>
      <w:pPr>
        <w:ind w:left="3600" w:hanging="360"/>
      </w:pPr>
      <w:rPr>
        <w:rFonts w:hint="default" w:ascii="Courier New" w:hAnsi="Courier New"/>
      </w:rPr>
    </w:lvl>
    <w:lvl w:ilvl="5" w:tplc="05643202">
      <w:start w:val="1"/>
      <w:numFmt w:val="bullet"/>
      <w:lvlText w:val=""/>
      <w:lvlJc w:val="left"/>
      <w:pPr>
        <w:ind w:left="4320" w:hanging="360"/>
      </w:pPr>
      <w:rPr>
        <w:rFonts w:hint="default" w:ascii="Wingdings" w:hAnsi="Wingdings"/>
      </w:rPr>
    </w:lvl>
    <w:lvl w:ilvl="6" w:tplc="02364F4C">
      <w:start w:val="1"/>
      <w:numFmt w:val="bullet"/>
      <w:lvlText w:val=""/>
      <w:lvlJc w:val="left"/>
      <w:pPr>
        <w:ind w:left="5040" w:hanging="360"/>
      </w:pPr>
      <w:rPr>
        <w:rFonts w:hint="default" w:ascii="Symbol" w:hAnsi="Symbol"/>
      </w:rPr>
    </w:lvl>
    <w:lvl w:ilvl="7" w:tplc="6E70575E">
      <w:start w:val="1"/>
      <w:numFmt w:val="bullet"/>
      <w:lvlText w:val="o"/>
      <w:lvlJc w:val="left"/>
      <w:pPr>
        <w:ind w:left="5760" w:hanging="360"/>
      </w:pPr>
      <w:rPr>
        <w:rFonts w:hint="default" w:ascii="Courier New" w:hAnsi="Courier New"/>
      </w:rPr>
    </w:lvl>
    <w:lvl w:ilvl="8" w:tplc="2FA064DC">
      <w:start w:val="1"/>
      <w:numFmt w:val="bullet"/>
      <w:lvlText w:val=""/>
      <w:lvlJc w:val="left"/>
      <w:pPr>
        <w:ind w:left="6480" w:hanging="360"/>
      </w:pPr>
      <w:rPr>
        <w:rFonts w:hint="default" w:ascii="Wingdings" w:hAnsi="Wingdings"/>
      </w:rPr>
    </w:lvl>
  </w:abstractNum>
  <w:abstractNum w:abstractNumId="31" w15:restartNumberingAfterBreak="0">
    <w:nsid w:val="57DCCE76"/>
    <w:multiLevelType w:val="hybridMultilevel"/>
    <w:tmpl w:val="54E43424"/>
    <w:lvl w:ilvl="0" w:tplc="9BBADFBA">
      <w:start w:val="1"/>
      <w:numFmt w:val="bullet"/>
      <w:lvlText w:val=""/>
      <w:lvlJc w:val="left"/>
      <w:pPr>
        <w:ind w:left="720" w:hanging="360"/>
      </w:pPr>
      <w:rPr>
        <w:rFonts w:hint="default" w:ascii="Symbol" w:hAnsi="Symbol"/>
      </w:rPr>
    </w:lvl>
    <w:lvl w:ilvl="1" w:tplc="7368C63C">
      <w:start w:val="1"/>
      <w:numFmt w:val="bullet"/>
      <w:lvlText w:val="o"/>
      <w:lvlJc w:val="left"/>
      <w:pPr>
        <w:ind w:left="1440" w:hanging="360"/>
      </w:pPr>
      <w:rPr>
        <w:rFonts w:hint="default" w:ascii="Courier New" w:hAnsi="Courier New"/>
      </w:rPr>
    </w:lvl>
    <w:lvl w:ilvl="2" w:tplc="9E6872B0">
      <w:start w:val="1"/>
      <w:numFmt w:val="bullet"/>
      <w:lvlText w:val=""/>
      <w:lvlJc w:val="left"/>
      <w:pPr>
        <w:ind w:left="2160" w:hanging="360"/>
      </w:pPr>
      <w:rPr>
        <w:rFonts w:hint="default" w:ascii="Wingdings" w:hAnsi="Wingdings"/>
      </w:rPr>
    </w:lvl>
    <w:lvl w:ilvl="3" w:tplc="2D821A5A">
      <w:start w:val="1"/>
      <w:numFmt w:val="bullet"/>
      <w:lvlText w:val=""/>
      <w:lvlJc w:val="left"/>
      <w:pPr>
        <w:ind w:left="2880" w:hanging="360"/>
      </w:pPr>
      <w:rPr>
        <w:rFonts w:hint="default" w:ascii="Symbol" w:hAnsi="Symbol"/>
      </w:rPr>
    </w:lvl>
    <w:lvl w:ilvl="4" w:tplc="3E78DF80">
      <w:start w:val="1"/>
      <w:numFmt w:val="bullet"/>
      <w:lvlText w:val="o"/>
      <w:lvlJc w:val="left"/>
      <w:pPr>
        <w:ind w:left="3600" w:hanging="360"/>
      </w:pPr>
      <w:rPr>
        <w:rFonts w:hint="default" w:ascii="Courier New" w:hAnsi="Courier New"/>
      </w:rPr>
    </w:lvl>
    <w:lvl w:ilvl="5" w:tplc="C5549B9E">
      <w:start w:val="1"/>
      <w:numFmt w:val="bullet"/>
      <w:lvlText w:val=""/>
      <w:lvlJc w:val="left"/>
      <w:pPr>
        <w:ind w:left="4320" w:hanging="360"/>
      </w:pPr>
      <w:rPr>
        <w:rFonts w:hint="default" w:ascii="Wingdings" w:hAnsi="Wingdings"/>
      </w:rPr>
    </w:lvl>
    <w:lvl w:ilvl="6" w:tplc="9852F70E">
      <w:start w:val="1"/>
      <w:numFmt w:val="bullet"/>
      <w:lvlText w:val=""/>
      <w:lvlJc w:val="left"/>
      <w:pPr>
        <w:ind w:left="5040" w:hanging="360"/>
      </w:pPr>
      <w:rPr>
        <w:rFonts w:hint="default" w:ascii="Symbol" w:hAnsi="Symbol"/>
      </w:rPr>
    </w:lvl>
    <w:lvl w:ilvl="7" w:tplc="9D78A45E">
      <w:start w:val="1"/>
      <w:numFmt w:val="bullet"/>
      <w:lvlText w:val="o"/>
      <w:lvlJc w:val="left"/>
      <w:pPr>
        <w:ind w:left="5760" w:hanging="360"/>
      </w:pPr>
      <w:rPr>
        <w:rFonts w:hint="default" w:ascii="Courier New" w:hAnsi="Courier New"/>
      </w:rPr>
    </w:lvl>
    <w:lvl w:ilvl="8" w:tplc="383EF13A">
      <w:start w:val="1"/>
      <w:numFmt w:val="bullet"/>
      <w:lvlText w:val=""/>
      <w:lvlJc w:val="left"/>
      <w:pPr>
        <w:ind w:left="6480" w:hanging="360"/>
      </w:pPr>
      <w:rPr>
        <w:rFonts w:hint="default" w:ascii="Wingdings" w:hAnsi="Wingdings"/>
      </w:rPr>
    </w:lvl>
  </w:abstractNum>
  <w:abstractNum w:abstractNumId="32" w15:restartNumberingAfterBreak="0">
    <w:nsid w:val="57F02EA1"/>
    <w:multiLevelType w:val="hybridMultilevel"/>
    <w:tmpl w:val="4D4E1016"/>
    <w:lvl w:ilvl="0" w:tplc="7A3E40DA">
      <w:start w:val="1"/>
      <w:numFmt w:val="bullet"/>
      <w:lvlText w:val=""/>
      <w:lvlJc w:val="left"/>
      <w:pPr>
        <w:ind w:left="720" w:hanging="360"/>
      </w:pPr>
      <w:rPr>
        <w:rFonts w:hint="default" w:ascii="Symbol" w:hAnsi="Symbol"/>
      </w:rPr>
    </w:lvl>
    <w:lvl w:ilvl="1" w:tplc="3D8CB2E6">
      <w:start w:val="1"/>
      <w:numFmt w:val="bullet"/>
      <w:lvlText w:val="o"/>
      <w:lvlJc w:val="left"/>
      <w:pPr>
        <w:ind w:left="1440" w:hanging="360"/>
      </w:pPr>
      <w:rPr>
        <w:rFonts w:hint="default" w:ascii="Courier New" w:hAnsi="Courier New"/>
      </w:rPr>
    </w:lvl>
    <w:lvl w:ilvl="2" w:tplc="BA76F644">
      <w:start w:val="1"/>
      <w:numFmt w:val="bullet"/>
      <w:lvlText w:val=""/>
      <w:lvlJc w:val="left"/>
      <w:pPr>
        <w:ind w:left="2160" w:hanging="360"/>
      </w:pPr>
      <w:rPr>
        <w:rFonts w:hint="default" w:ascii="Wingdings" w:hAnsi="Wingdings"/>
      </w:rPr>
    </w:lvl>
    <w:lvl w:ilvl="3" w:tplc="481846BC">
      <w:start w:val="1"/>
      <w:numFmt w:val="bullet"/>
      <w:lvlText w:val=""/>
      <w:lvlJc w:val="left"/>
      <w:pPr>
        <w:ind w:left="2880" w:hanging="360"/>
      </w:pPr>
      <w:rPr>
        <w:rFonts w:hint="default" w:ascii="Symbol" w:hAnsi="Symbol"/>
      </w:rPr>
    </w:lvl>
    <w:lvl w:ilvl="4" w:tplc="10C0EF10">
      <w:start w:val="1"/>
      <w:numFmt w:val="bullet"/>
      <w:lvlText w:val="o"/>
      <w:lvlJc w:val="left"/>
      <w:pPr>
        <w:ind w:left="3600" w:hanging="360"/>
      </w:pPr>
      <w:rPr>
        <w:rFonts w:hint="default" w:ascii="Courier New" w:hAnsi="Courier New"/>
      </w:rPr>
    </w:lvl>
    <w:lvl w:ilvl="5" w:tplc="0262C4DE">
      <w:start w:val="1"/>
      <w:numFmt w:val="bullet"/>
      <w:lvlText w:val=""/>
      <w:lvlJc w:val="left"/>
      <w:pPr>
        <w:ind w:left="4320" w:hanging="360"/>
      </w:pPr>
      <w:rPr>
        <w:rFonts w:hint="default" w:ascii="Wingdings" w:hAnsi="Wingdings"/>
      </w:rPr>
    </w:lvl>
    <w:lvl w:ilvl="6" w:tplc="36166D78">
      <w:start w:val="1"/>
      <w:numFmt w:val="bullet"/>
      <w:lvlText w:val=""/>
      <w:lvlJc w:val="left"/>
      <w:pPr>
        <w:ind w:left="5040" w:hanging="360"/>
      </w:pPr>
      <w:rPr>
        <w:rFonts w:hint="default" w:ascii="Symbol" w:hAnsi="Symbol"/>
      </w:rPr>
    </w:lvl>
    <w:lvl w:ilvl="7" w:tplc="2102CF7E">
      <w:start w:val="1"/>
      <w:numFmt w:val="bullet"/>
      <w:lvlText w:val="o"/>
      <w:lvlJc w:val="left"/>
      <w:pPr>
        <w:ind w:left="5760" w:hanging="360"/>
      </w:pPr>
      <w:rPr>
        <w:rFonts w:hint="default" w:ascii="Courier New" w:hAnsi="Courier New"/>
      </w:rPr>
    </w:lvl>
    <w:lvl w:ilvl="8" w:tplc="D3002616">
      <w:start w:val="1"/>
      <w:numFmt w:val="bullet"/>
      <w:lvlText w:val=""/>
      <w:lvlJc w:val="left"/>
      <w:pPr>
        <w:ind w:left="6480" w:hanging="360"/>
      </w:pPr>
      <w:rPr>
        <w:rFonts w:hint="default" w:ascii="Wingdings" w:hAnsi="Wingdings"/>
      </w:rPr>
    </w:lvl>
  </w:abstractNum>
  <w:abstractNum w:abstractNumId="33" w15:restartNumberingAfterBreak="0">
    <w:nsid w:val="63AF6911"/>
    <w:multiLevelType w:val="hybridMultilevel"/>
    <w:tmpl w:val="E4A2D4EE"/>
    <w:lvl w:ilvl="0" w:tplc="5ECAE494">
      <w:start w:val="1"/>
      <w:numFmt w:val="bullet"/>
      <w:lvlText w:val=""/>
      <w:lvlJc w:val="left"/>
      <w:pPr>
        <w:ind w:left="720" w:hanging="360"/>
      </w:pPr>
      <w:rPr>
        <w:rFonts w:hint="default" w:ascii="Symbol" w:hAnsi="Symbol"/>
      </w:rPr>
    </w:lvl>
    <w:lvl w:ilvl="1" w:tplc="B6F693BC">
      <w:start w:val="1"/>
      <w:numFmt w:val="bullet"/>
      <w:lvlText w:val="o"/>
      <w:lvlJc w:val="left"/>
      <w:pPr>
        <w:ind w:left="1440" w:hanging="360"/>
      </w:pPr>
      <w:rPr>
        <w:rFonts w:hint="default" w:ascii="Courier New" w:hAnsi="Courier New"/>
      </w:rPr>
    </w:lvl>
    <w:lvl w:ilvl="2" w:tplc="35A09FF4">
      <w:start w:val="1"/>
      <w:numFmt w:val="bullet"/>
      <w:lvlText w:val=""/>
      <w:lvlJc w:val="left"/>
      <w:pPr>
        <w:ind w:left="2160" w:hanging="360"/>
      </w:pPr>
      <w:rPr>
        <w:rFonts w:hint="default" w:ascii="Wingdings" w:hAnsi="Wingdings"/>
      </w:rPr>
    </w:lvl>
    <w:lvl w:ilvl="3" w:tplc="D46CDCC6">
      <w:start w:val="1"/>
      <w:numFmt w:val="bullet"/>
      <w:lvlText w:val=""/>
      <w:lvlJc w:val="left"/>
      <w:pPr>
        <w:ind w:left="2880" w:hanging="360"/>
      </w:pPr>
      <w:rPr>
        <w:rFonts w:hint="default" w:ascii="Symbol" w:hAnsi="Symbol"/>
      </w:rPr>
    </w:lvl>
    <w:lvl w:ilvl="4" w:tplc="48E87250">
      <w:start w:val="1"/>
      <w:numFmt w:val="bullet"/>
      <w:lvlText w:val="o"/>
      <w:lvlJc w:val="left"/>
      <w:pPr>
        <w:ind w:left="3600" w:hanging="360"/>
      </w:pPr>
      <w:rPr>
        <w:rFonts w:hint="default" w:ascii="Courier New" w:hAnsi="Courier New"/>
      </w:rPr>
    </w:lvl>
    <w:lvl w:ilvl="5" w:tplc="C2721B22">
      <w:start w:val="1"/>
      <w:numFmt w:val="bullet"/>
      <w:lvlText w:val=""/>
      <w:lvlJc w:val="left"/>
      <w:pPr>
        <w:ind w:left="4320" w:hanging="360"/>
      </w:pPr>
      <w:rPr>
        <w:rFonts w:hint="default" w:ascii="Wingdings" w:hAnsi="Wingdings"/>
      </w:rPr>
    </w:lvl>
    <w:lvl w:ilvl="6" w:tplc="5F98B56C">
      <w:start w:val="1"/>
      <w:numFmt w:val="bullet"/>
      <w:lvlText w:val=""/>
      <w:lvlJc w:val="left"/>
      <w:pPr>
        <w:ind w:left="5040" w:hanging="360"/>
      </w:pPr>
      <w:rPr>
        <w:rFonts w:hint="default" w:ascii="Symbol" w:hAnsi="Symbol"/>
      </w:rPr>
    </w:lvl>
    <w:lvl w:ilvl="7" w:tplc="9AB466EA">
      <w:start w:val="1"/>
      <w:numFmt w:val="bullet"/>
      <w:lvlText w:val="o"/>
      <w:lvlJc w:val="left"/>
      <w:pPr>
        <w:ind w:left="5760" w:hanging="360"/>
      </w:pPr>
      <w:rPr>
        <w:rFonts w:hint="default" w:ascii="Courier New" w:hAnsi="Courier New"/>
      </w:rPr>
    </w:lvl>
    <w:lvl w:ilvl="8" w:tplc="799E197E">
      <w:start w:val="1"/>
      <w:numFmt w:val="bullet"/>
      <w:lvlText w:val=""/>
      <w:lvlJc w:val="left"/>
      <w:pPr>
        <w:ind w:left="6480" w:hanging="360"/>
      </w:pPr>
      <w:rPr>
        <w:rFonts w:hint="default" w:ascii="Wingdings" w:hAnsi="Wingdings"/>
      </w:rPr>
    </w:lvl>
  </w:abstractNum>
  <w:abstractNum w:abstractNumId="34" w15:restartNumberingAfterBreak="0">
    <w:nsid w:val="63C58BCA"/>
    <w:multiLevelType w:val="hybridMultilevel"/>
    <w:tmpl w:val="1E3A090A"/>
    <w:lvl w:ilvl="0" w:tplc="463017C6">
      <w:start w:val="1"/>
      <w:numFmt w:val="bullet"/>
      <w:lvlText w:val=""/>
      <w:lvlJc w:val="left"/>
      <w:pPr>
        <w:ind w:left="720" w:hanging="360"/>
      </w:pPr>
      <w:rPr>
        <w:rFonts w:hint="default" w:ascii="Symbol" w:hAnsi="Symbol"/>
      </w:rPr>
    </w:lvl>
    <w:lvl w:ilvl="1" w:tplc="56BCF0A8">
      <w:start w:val="1"/>
      <w:numFmt w:val="bullet"/>
      <w:lvlText w:val="o"/>
      <w:lvlJc w:val="left"/>
      <w:pPr>
        <w:ind w:left="1440" w:hanging="360"/>
      </w:pPr>
      <w:rPr>
        <w:rFonts w:hint="default" w:ascii="Courier New" w:hAnsi="Courier New"/>
      </w:rPr>
    </w:lvl>
    <w:lvl w:ilvl="2" w:tplc="257C82C6">
      <w:start w:val="1"/>
      <w:numFmt w:val="bullet"/>
      <w:lvlText w:val=""/>
      <w:lvlJc w:val="left"/>
      <w:pPr>
        <w:ind w:left="2160" w:hanging="360"/>
      </w:pPr>
      <w:rPr>
        <w:rFonts w:hint="default" w:ascii="Wingdings" w:hAnsi="Wingdings"/>
      </w:rPr>
    </w:lvl>
    <w:lvl w:ilvl="3" w:tplc="81F87C42">
      <w:start w:val="1"/>
      <w:numFmt w:val="bullet"/>
      <w:lvlText w:val=""/>
      <w:lvlJc w:val="left"/>
      <w:pPr>
        <w:ind w:left="2880" w:hanging="360"/>
      </w:pPr>
      <w:rPr>
        <w:rFonts w:hint="default" w:ascii="Symbol" w:hAnsi="Symbol"/>
      </w:rPr>
    </w:lvl>
    <w:lvl w:ilvl="4" w:tplc="4EEAD392">
      <w:start w:val="1"/>
      <w:numFmt w:val="bullet"/>
      <w:lvlText w:val="o"/>
      <w:lvlJc w:val="left"/>
      <w:pPr>
        <w:ind w:left="3600" w:hanging="360"/>
      </w:pPr>
      <w:rPr>
        <w:rFonts w:hint="default" w:ascii="Courier New" w:hAnsi="Courier New"/>
      </w:rPr>
    </w:lvl>
    <w:lvl w:ilvl="5" w:tplc="3012AFD4">
      <w:start w:val="1"/>
      <w:numFmt w:val="bullet"/>
      <w:lvlText w:val=""/>
      <w:lvlJc w:val="left"/>
      <w:pPr>
        <w:ind w:left="4320" w:hanging="360"/>
      </w:pPr>
      <w:rPr>
        <w:rFonts w:hint="default" w:ascii="Wingdings" w:hAnsi="Wingdings"/>
      </w:rPr>
    </w:lvl>
    <w:lvl w:ilvl="6" w:tplc="E17CF1FC">
      <w:start w:val="1"/>
      <w:numFmt w:val="bullet"/>
      <w:lvlText w:val=""/>
      <w:lvlJc w:val="left"/>
      <w:pPr>
        <w:ind w:left="5040" w:hanging="360"/>
      </w:pPr>
      <w:rPr>
        <w:rFonts w:hint="default" w:ascii="Symbol" w:hAnsi="Symbol"/>
      </w:rPr>
    </w:lvl>
    <w:lvl w:ilvl="7" w:tplc="FA8EBEB4">
      <w:start w:val="1"/>
      <w:numFmt w:val="bullet"/>
      <w:lvlText w:val="o"/>
      <w:lvlJc w:val="left"/>
      <w:pPr>
        <w:ind w:left="5760" w:hanging="360"/>
      </w:pPr>
      <w:rPr>
        <w:rFonts w:hint="default" w:ascii="Courier New" w:hAnsi="Courier New"/>
      </w:rPr>
    </w:lvl>
    <w:lvl w:ilvl="8" w:tplc="955218DE">
      <w:start w:val="1"/>
      <w:numFmt w:val="bullet"/>
      <w:lvlText w:val=""/>
      <w:lvlJc w:val="left"/>
      <w:pPr>
        <w:ind w:left="6480" w:hanging="360"/>
      </w:pPr>
      <w:rPr>
        <w:rFonts w:hint="default" w:ascii="Wingdings" w:hAnsi="Wingdings"/>
      </w:rPr>
    </w:lvl>
  </w:abstractNum>
  <w:abstractNum w:abstractNumId="35" w15:restartNumberingAfterBreak="0">
    <w:nsid w:val="6CA99321"/>
    <w:multiLevelType w:val="hybridMultilevel"/>
    <w:tmpl w:val="7990026A"/>
    <w:lvl w:ilvl="0" w:tplc="D54677A6">
      <w:start w:val="1"/>
      <w:numFmt w:val="bullet"/>
      <w:lvlText w:val=""/>
      <w:lvlJc w:val="left"/>
      <w:pPr>
        <w:ind w:left="720" w:hanging="360"/>
      </w:pPr>
      <w:rPr>
        <w:rFonts w:hint="default" w:ascii="Symbol" w:hAnsi="Symbol"/>
      </w:rPr>
    </w:lvl>
    <w:lvl w:ilvl="1" w:tplc="9036F740">
      <w:start w:val="1"/>
      <w:numFmt w:val="bullet"/>
      <w:lvlText w:val="o"/>
      <w:lvlJc w:val="left"/>
      <w:pPr>
        <w:ind w:left="1440" w:hanging="360"/>
      </w:pPr>
      <w:rPr>
        <w:rFonts w:hint="default" w:ascii="Courier New" w:hAnsi="Courier New"/>
      </w:rPr>
    </w:lvl>
    <w:lvl w:ilvl="2" w:tplc="1DBE8C32">
      <w:start w:val="1"/>
      <w:numFmt w:val="bullet"/>
      <w:lvlText w:val=""/>
      <w:lvlJc w:val="left"/>
      <w:pPr>
        <w:ind w:left="2160" w:hanging="360"/>
      </w:pPr>
      <w:rPr>
        <w:rFonts w:hint="default" w:ascii="Wingdings" w:hAnsi="Wingdings"/>
      </w:rPr>
    </w:lvl>
    <w:lvl w:ilvl="3" w:tplc="BF60780E">
      <w:start w:val="1"/>
      <w:numFmt w:val="bullet"/>
      <w:lvlText w:val=""/>
      <w:lvlJc w:val="left"/>
      <w:pPr>
        <w:ind w:left="2880" w:hanging="360"/>
      </w:pPr>
      <w:rPr>
        <w:rFonts w:hint="default" w:ascii="Symbol" w:hAnsi="Symbol"/>
      </w:rPr>
    </w:lvl>
    <w:lvl w:ilvl="4" w:tplc="42DA04F8">
      <w:start w:val="1"/>
      <w:numFmt w:val="bullet"/>
      <w:lvlText w:val="o"/>
      <w:lvlJc w:val="left"/>
      <w:pPr>
        <w:ind w:left="3600" w:hanging="360"/>
      </w:pPr>
      <w:rPr>
        <w:rFonts w:hint="default" w:ascii="Courier New" w:hAnsi="Courier New"/>
      </w:rPr>
    </w:lvl>
    <w:lvl w:ilvl="5" w:tplc="F6827956">
      <w:start w:val="1"/>
      <w:numFmt w:val="bullet"/>
      <w:lvlText w:val=""/>
      <w:lvlJc w:val="left"/>
      <w:pPr>
        <w:ind w:left="4320" w:hanging="360"/>
      </w:pPr>
      <w:rPr>
        <w:rFonts w:hint="default" w:ascii="Wingdings" w:hAnsi="Wingdings"/>
      </w:rPr>
    </w:lvl>
    <w:lvl w:ilvl="6" w:tplc="70AABCB8">
      <w:start w:val="1"/>
      <w:numFmt w:val="bullet"/>
      <w:lvlText w:val=""/>
      <w:lvlJc w:val="left"/>
      <w:pPr>
        <w:ind w:left="5040" w:hanging="360"/>
      </w:pPr>
      <w:rPr>
        <w:rFonts w:hint="default" w:ascii="Symbol" w:hAnsi="Symbol"/>
      </w:rPr>
    </w:lvl>
    <w:lvl w:ilvl="7" w:tplc="57E8BFAA">
      <w:start w:val="1"/>
      <w:numFmt w:val="bullet"/>
      <w:lvlText w:val="o"/>
      <w:lvlJc w:val="left"/>
      <w:pPr>
        <w:ind w:left="5760" w:hanging="360"/>
      </w:pPr>
      <w:rPr>
        <w:rFonts w:hint="default" w:ascii="Courier New" w:hAnsi="Courier New"/>
      </w:rPr>
    </w:lvl>
    <w:lvl w:ilvl="8" w:tplc="5858C4B8">
      <w:start w:val="1"/>
      <w:numFmt w:val="bullet"/>
      <w:lvlText w:val=""/>
      <w:lvlJc w:val="left"/>
      <w:pPr>
        <w:ind w:left="6480" w:hanging="360"/>
      </w:pPr>
      <w:rPr>
        <w:rFonts w:hint="default" w:ascii="Wingdings" w:hAnsi="Wingdings"/>
      </w:rPr>
    </w:lvl>
  </w:abstractNum>
  <w:abstractNum w:abstractNumId="36" w15:restartNumberingAfterBreak="0">
    <w:nsid w:val="7508F865"/>
    <w:multiLevelType w:val="hybridMultilevel"/>
    <w:tmpl w:val="27D6813E"/>
    <w:lvl w:ilvl="0" w:tplc="BA641C02">
      <w:start w:val="1"/>
      <w:numFmt w:val="bullet"/>
      <w:lvlText w:val=""/>
      <w:lvlJc w:val="left"/>
      <w:pPr>
        <w:ind w:left="720" w:hanging="360"/>
      </w:pPr>
      <w:rPr>
        <w:rFonts w:hint="default" w:ascii="Symbol" w:hAnsi="Symbol"/>
      </w:rPr>
    </w:lvl>
    <w:lvl w:ilvl="1" w:tplc="F5BCAEFA">
      <w:start w:val="1"/>
      <w:numFmt w:val="bullet"/>
      <w:lvlText w:val="o"/>
      <w:lvlJc w:val="left"/>
      <w:pPr>
        <w:ind w:left="1440" w:hanging="360"/>
      </w:pPr>
      <w:rPr>
        <w:rFonts w:hint="default" w:ascii="Courier New" w:hAnsi="Courier New"/>
      </w:rPr>
    </w:lvl>
    <w:lvl w:ilvl="2" w:tplc="450C7388">
      <w:start w:val="1"/>
      <w:numFmt w:val="bullet"/>
      <w:lvlText w:val=""/>
      <w:lvlJc w:val="left"/>
      <w:pPr>
        <w:ind w:left="2160" w:hanging="360"/>
      </w:pPr>
      <w:rPr>
        <w:rFonts w:hint="default" w:ascii="Wingdings" w:hAnsi="Wingdings"/>
      </w:rPr>
    </w:lvl>
    <w:lvl w:ilvl="3" w:tplc="A76C5F98">
      <w:start w:val="1"/>
      <w:numFmt w:val="bullet"/>
      <w:lvlText w:val=""/>
      <w:lvlJc w:val="left"/>
      <w:pPr>
        <w:ind w:left="2880" w:hanging="360"/>
      </w:pPr>
      <w:rPr>
        <w:rFonts w:hint="default" w:ascii="Symbol" w:hAnsi="Symbol"/>
      </w:rPr>
    </w:lvl>
    <w:lvl w:ilvl="4" w:tplc="C2B8A480">
      <w:start w:val="1"/>
      <w:numFmt w:val="bullet"/>
      <w:lvlText w:val="o"/>
      <w:lvlJc w:val="left"/>
      <w:pPr>
        <w:ind w:left="3600" w:hanging="360"/>
      </w:pPr>
      <w:rPr>
        <w:rFonts w:hint="default" w:ascii="Courier New" w:hAnsi="Courier New"/>
      </w:rPr>
    </w:lvl>
    <w:lvl w:ilvl="5" w:tplc="2D14DF34">
      <w:start w:val="1"/>
      <w:numFmt w:val="bullet"/>
      <w:lvlText w:val=""/>
      <w:lvlJc w:val="left"/>
      <w:pPr>
        <w:ind w:left="4320" w:hanging="360"/>
      </w:pPr>
      <w:rPr>
        <w:rFonts w:hint="default" w:ascii="Wingdings" w:hAnsi="Wingdings"/>
      </w:rPr>
    </w:lvl>
    <w:lvl w:ilvl="6" w:tplc="79A8A258">
      <w:start w:val="1"/>
      <w:numFmt w:val="bullet"/>
      <w:lvlText w:val=""/>
      <w:lvlJc w:val="left"/>
      <w:pPr>
        <w:ind w:left="5040" w:hanging="360"/>
      </w:pPr>
      <w:rPr>
        <w:rFonts w:hint="default" w:ascii="Symbol" w:hAnsi="Symbol"/>
      </w:rPr>
    </w:lvl>
    <w:lvl w:ilvl="7" w:tplc="77F0985A">
      <w:start w:val="1"/>
      <w:numFmt w:val="bullet"/>
      <w:lvlText w:val="o"/>
      <w:lvlJc w:val="left"/>
      <w:pPr>
        <w:ind w:left="5760" w:hanging="360"/>
      </w:pPr>
      <w:rPr>
        <w:rFonts w:hint="default" w:ascii="Courier New" w:hAnsi="Courier New"/>
      </w:rPr>
    </w:lvl>
    <w:lvl w:ilvl="8" w:tplc="3C6EB402">
      <w:start w:val="1"/>
      <w:numFmt w:val="bullet"/>
      <w:lvlText w:val=""/>
      <w:lvlJc w:val="left"/>
      <w:pPr>
        <w:ind w:left="6480" w:hanging="360"/>
      </w:pPr>
      <w:rPr>
        <w:rFonts w:hint="default" w:ascii="Wingdings" w:hAnsi="Wingdings"/>
      </w:rPr>
    </w:lvl>
  </w:abstractNum>
  <w:abstractNum w:abstractNumId="37" w15:restartNumberingAfterBreak="0">
    <w:nsid w:val="75B5685C"/>
    <w:multiLevelType w:val="hybridMultilevel"/>
    <w:tmpl w:val="6A826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91B8A2"/>
    <w:multiLevelType w:val="hybridMultilevel"/>
    <w:tmpl w:val="C0A62802"/>
    <w:lvl w:ilvl="0" w:tplc="219E1684">
      <w:start w:val="1"/>
      <w:numFmt w:val="bullet"/>
      <w:lvlText w:val=""/>
      <w:lvlJc w:val="left"/>
      <w:pPr>
        <w:ind w:left="720" w:hanging="360"/>
      </w:pPr>
      <w:rPr>
        <w:rFonts w:hint="default" w:ascii="Symbol" w:hAnsi="Symbol"/>
      </w:rPr>
    </w:lvl>
    <w:lvl w:ilvl="1" w:tplc="1C3A4B5C">
      <w:start w:val="1"/>
      <w:numFmt w:val="bullet"/>
      <w:lvlText w:val="o"/>
      <w:lvlJc w:val="left"/>
      <w:pPr>
        <w:ind w:left="1440" w:hanging="360"/>
      </w:pPr>
      <w:rPr>
        <w:rFonts w:hint="default" w:ascii="Courier New" w:hAnsi="Courier New"/>
      </w:rPr>
    </w:lvl>
    <w:lvl w:ilvl="2" w:tplc="9A9606FA">
      <w:start w:val="1"/>
      <w:numFmt w:val="bullet"/>
      <w:lvlText w:val=""/>
      <w:lvlJc w:val="left"/>
      <w:pPr>
        <w:ind w:left="2160" w:hanging="360"/>
      </w:pPr>
      <w:rPr>
        <w:rFonts w:hint="default" w:ascii="Wingdings" w:hAnsi="Wingdings"/>
      </w:rPr>
    </w:lvl>
    <w:lvl w:ilvl="3" w:tplc="FF6C701E">
      <w:start w:val="1"/>
      <w:numFmt w:val="bullet"/>
      <w:lvlText w:val=""/>
      <w:lvlJc w:val="left"/>
      <w:pPr>
        <w:ind w:left="2880" w:hanging="360"/>
      </w:pPr>
      <w:rPr>
        <w:rFonts w:hint="default" w:ascii="Symbol" w:hAnsi="Symbol"/>
      </w:rPr>
    </w:lvl>
    <w:lvl w:ilvl="4" w:tplc="D28CF9B6">
      <w:start w:val="1"/>
      <w:numFmt w:val="bullet"/>
      <w:lvlText w:val="o"/>
      <w:lvlJc w:val="left"/>
      <w:pPr>
        <w:ind w:left="3600" w:hanging="360"/>
      </w:pPr>
      <w:rPr>
        <w:rFonts w:hint="default" w:ascii="Courier New" w:hAnsi="Courier New"/>
      </w:rPr>
    </w:lvl>
    <w:lvl w:ilvl="5" w:tplc="592EB11A">
      <w:start w:val="1"/>
      <w:numFmt w:val="bullet"/>
      <w:lvlText w:val=""/>
      <w:lvlJc w:val="left"/>
      <w:pPr>
        <w:ind w:left="4320" w:hanging="360"/>
      </w:pPr>
      <w:rPr>
        <w:rFonts w:hint="default" w:ascii="Wingdings" w:hAnsi="Wingdings"/>
      </w:rPr>
    </w:lvl>
    <w:lvl w:ilvl="6" w:tplc="E1589656">
      <w:start w:val="1"/>
      <w:numFmt w:val="bullet"/>
      <w:lvlText w:val=""/>
      <w:lvlJc w:val="left"/>
      <w:pPr>
        <w:ind w:left="5040" w:hanging="360"/>
      </w:pPr>
      <w:rPr>
        <w:rFonts w:hint="default" w:ascii="Symbol" w:hAnsi="Symbol"/>
      </w:rPr>
    </w:lvl>
    <w:lvl w:ilvl="7" w:tplc="E84C2B24">
      <w:start w:val="1"/>
      <w:numFmt w:val="bullet"/>
      <w:lvlText w:val="o"/>
      <w:lvlJc w:val="left"/>
      <w:pPr>
        <w:ind w:left="5760" w:hanging="360"/>
      </w:pPr>
      <w:rPr>
        <w:rFonts w:hint="default" w:ascii="Courier New" w:hAnsi="Courier New"/>
      </w:rPr>
    </w:lvl>
    <w:lvl w:ilvl="8" w:tplc="4954B2DC">
      <w:start w:val="1"/>
      <w:numFmt w:val="bullet"/>
      <w:lvlText w:val=""/>
      <w:lvlJc w:val="left"/>
      <w:pPr>
        <w:ind w:left="6480" w:hanging="360"/>
      </w:pPr>
      <w:rPr>
        <w:rFonts w:hint="default" w:ascii="Wingdings" w:hAnsi="Wingdings"/>
      </w:rPr>
    </w:lvl>
  </w:abstractNum>
  <w:abstractNum w:abstractNumId="39" w15:restartNumberingAfterBreak="0">
    <w:nsid w:val="785B0668"/>
    <w:multiLevelType w:val="hybridMultilevel"/>
    <w:tmpl w:val="7E2001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7891C417"/>
    <w:multiLevelType w:val="hybridMultilevel"/>
    <w:tmpl w:val="0F28B102"/>
    <w:lvl w:ilvl="0" w:tplc="147055F8">
      <w:start w:val="1"/>
      <w:numFmt w:val="decimal"/>
      <w:lvlText w:val="%1."/>
      <w:lvlJc w:val="left"/>
      <w:pPr>
        <w:ind w:left="720" w:hanging="360"/>
      </w:pPr>
    </w:lvl>
    <w:lvl w:ilvl="1" w:tplc="8D2E8A48">
      <w:start w:val="1"/>
      <w:numFmt w:val="lowerLetter"/>
      <w:lvlText w:val="%2."/>
      <w:lvlJc w:val="left"/>
      <w:pPr>
        <w:ind w:left="1440" w:hanging="360"/>
      </w:pPr>
    </w:lvl>
    <w:lvl w:ilvl="2" w:tplc="50D4488E">
      <w:start w:val="1"/>
      <w:numFmt w:val="lowerRoman"/>
      <w:lvlText w:val="%3."/>
      <w:lvlJc w:val="right"/>
      <w:pPr>
        <w:ind w:left="2160" w:hanging="180"/>
      </w:pPr>
    </w:lvl>
    <w:lvl w:ilvl="3" w:tplc="D19E1EF0">
      <w:start w:val="1"/>
      <w:numFmt w:val="decimal"/>
      <w:lvlText w:val="%4."/>
      <w:lvlJc w:val="left"/>
      <w:pPr>
        <w:ind w:left="2880" w:hanging="360"/>
      </w:pPr>
    </w:lvl>
    <w:lvl w:ilvl="4" w:tplc="2C5ACFDC">
      <w:start w:val="1"/>
      <w:numFmt w:val="lowerLetter"/>
      <w:lvlText w:val="%5."/>
      <w:lvlJc w:val="left"/>
      <w:pPr>
        <w:ind w:left="3600" w:hanging="360"/>
      </w:pPr>
    </w:lvl>
    <w:lvl w:ilvl="5" w:tplc="CA965B8C">
      <w:start w:val="1"/>
      <w:numFmt w:val="lowerRoman"/>
      <w:lvlText w:val="%6."/>
      <w:lvlJc w:val="right"/>
      <w:pPr>
        <w:ind w:left="4320" w:hanging="180"/>
      </w:pPr>
    </w:lvl>
    <w:lvl w:ilvl="6" w:tplc="6BEA7EB2">
      <w:start w:val="1"/>
      <w:numFmt w:val="decimal"/>
      <w:lvlText w:val="%7."/>
      <w:lvlJc w:val="left"/>
      <w:pPr>
        <w:ind w:left="5040" w:hanging="360"/>
      </w:pPr>
    </w:lvl>
    <w:lvl w:ilvl="7" w:tplc="028E43BC">
      <w:start w:val="1"/>
      <w:numFmt w:val="lowerLetter"/>
      <w:lvlText w:val="%8."/>
      <w:lvlJc w:val="left"/>
      <w:pPr>
        <w:ind w:left="5760" w:hanging="360"/>
      </w:pPr>
    </w:lvl>
    <w:lvl w:ilvl="8" w:tplc="1794DC5A">
      <w:start w:val="1"/>
      <w:numFmt w:val="lowerRoman"/>
      <w:lvlText w:val="%9."/>
      <w:lvlJc w:val="right"/>
      <w:pPr>
        <w:ind w:left="6480" w:hanging="180"/>
      </w:pPr>
    </w:lvl>
  </w:abstractNum>
  <w:abstractNum w:abstractNumId="41" w15:restartNumberingAfterBreak="0">
    <w:nsid w:val="7C3E03BA"/>
    <w:multiLevelType w:val="hybridMultilevel"/>
    <w:tmpl w:val="F8FECA58"/>
    <w:lvl w:ilvl="0" w:tplc="13B20F52">
      <w:start w:val="1"/>
      <w:numFmt w:val="bullet"/>
      <w:lvlText w:val=""/>
      <w:lvlJc w:val="left"/>
      <w:pPr>
        <w:ind w:left="720" w:hanging="360"/>
      </w:pPr>
      <w:rPr>
        <w:rFonts w:hint="default" w:ascii="Symbol" w:hAnsi="Symbol"/>
      </w:rPr>
    </w:lvl>
    <w:lvl w:ilvl="1" w:tplc="FF6EAEC6">
      <w:start w:val="1"/>
      <w:numFmt w:val="bullet"/>
      <w:lvlText w:val="o"/>
      <w:lvlJc w:val="left"/>
      <w:pPr>
        <w:ind w:left="1440" w:hanging="360"/>
      </w:pPr>
      <w:rPr>
        <w:rFonts w:hint="default" w:ascii="Courier New" w:hAnsi="Courier New"/>
      </w:rPr>
    </w:lvl>
    <w:lvl w:ilvl="2" w:tplc="5AF25C44">
      <w:start w:val="1"/>
      <w:numFmt w:val="bullet"/>
      <w:lvlText w:val=""/>
      <w:lvlJc w:val="left"/>
      <w:pPr>
        <w:ind w:left="2160" w:hanging="360"/>
      </w:pPr>
      <w:rPr>
        <w:rFonts w:hint="default" w:ascii="Wingdings" w:hAnsi="Wingdings"/>
      </w:rPr>
    </w:lvl>
    <w:lvl w:ilvl="3" w:tplc="EFC2A8AE">
      <w:start w:val="1"/>
      <w:numFmt w:val="bullet"/>
      <w:lvlText w:val=""/>
      <w:lvlJc w:val="left"/>
      <w:pPr>
        <w:ind w:left="2880" w:hanging="360"/>
      </w:pPr>
      <w:rPr>
        <w:rFonts w:hint="default" w:ascii="Symbol" w:hAnsi="Symbol"/>
      </w:rPr>
    </w:lvl>
    <w:lvl w:ilvl="4" w:tplc="CFE4DBF6">
      <w:start w:val="1"/>
      <w:numFmt w:val="bullet"/>
      <w:lvlText w:val="o"/>
      <w:lvlJc w:val="left"/>
      <w:pPr>
        <w:ind w:left="3600" w:hanging="360"/>
      </w:pPr>
      <w:rPr>
        <w:rFonts w:hint="default" w:ascii="Courier New" w:hAnsi="Courier New"/>
      </w:rPr>
    </w:lvl>
    <w:lvl w:ilvl="5" w:tplc="E8C2021A">
      <w:start w:val="1"/>
      <w:numFmt w:val="bullet"/>
      <w:lvlText w:val=""/>
      <w:lvlJc w:val="left"/>
      <w:pPr>
        <w:ind w:left="4320" w:hanging="360"/>
      </w:pPr>
      <w:rPr>
        <w:rFonts w:hint="default" w:ascii="Wingdings" w:hAnsi="Wingdings"/>
      </w:rPr>
    </w:lvl>
    <w:lvl w:ilvl="6" w:tplc="FE2A14F4">
      <w:start w:val="1"/>
      <w:numFmt w:val="bullet"/>
      <w:lvlText w:val=""/>
      <w:lvlJc w:val="left"/>
      <w:pPr>
        <w:ind w:left="5040" w:hanging="360"/>
      </w:pPr>
      <w:rPr>
        <w:rFonts w:hint="default" w:ascii="Symbol" w:hAnsi="Symbol"/>
      </w:rPr>
    </w:lvl>
    <w:lvl w:ilvl="7" w:tplc="3DF67978">
      <w:start w:val="1"/>
      <w:numFmt w:val="bullet"/>
      <w:lvlText w:val="o"/>
      <w:lvlJc w:val="left"/>
      <w:pPr>
        <w:ind w:left="5760" w:hanging="360"/>
      </w:pPr>
      <w:rPr>
        <w:rFonts w:hint="default" w:ascii="Courier New" w:hAnsi="Courier New"/>
      </w:rPr>
    </w:lvl>
    <w:lvl w:ilvl="8" w:tplc="8F6EF666">
      <w:start w:val="1"/>
      <w:numFmt w:val="bullet"/>
      <w:lvlText w:val=""/>
      <w:lvlJc w:val="left"/>
      <w:pPr>
        <w:ind w:left="6480" w:hanging="360"/>
      </w:pPr>
      <w:rPr>
        <w:rFonts w:hint="default" w:ascii="Wingdings" w:hAnsi="Wingdings"/>
      </w:rPr>
    </w:lvl>
  </w:abstractNum>
  <w:abstractNum w:abstractNumId="42" w15:restartNumberingAfterBreak="0">
    <w:nsid w:val="7E2232C2"/>
    <w:multiLevelType w:val="hybridMultilevel"/>
    <w:tmpl w:val="9460AAEC"/>
    <w:lvl w:ilvl="0" w:tplc="C4FCB288">
      <w:start w:val="1"/>
      <w:numFmt w:val="bullet"/>
      <w:lvlText w:val=""/>
      <w:lvlJc w:val="left"/>
      <w:pPr>
        <w:ind w:left="720" w:hanging="360"/>
      </w:pPr>
      <w:rPr>
        <w:rFonts w:hint="default" w:ascii="Symbol" w:hAnsi="Symbol"/>
      </w:rPr>
    </w:lvl>
    <w:lvl w:ilvl="1" w:tplc="85A47AA2">
      <w:start w:val="1"/>
      <w:numFmt w:val="bullet"/>
      <w:lvlText w:val="o"/>
      <w:lvlJc w:val="left"/>
      <w:pPr>
        <w:ind w:left="1440" w:hanging="360"/>
      </w:pPr>
      <w:rPr>
        <w:rFonts w:hint="default" w:ascii="Courier New" w:hAnsi="Courier New"/>
      </w:rPr>
    </w:lvl>
    <w:lvl w:ilvl="2" w:tplc="0C42BDBE">
      <w:start w:val="1"/>
      <w:numFmt w:val="bullet"/>
      <w:lvlText w:val=""/>
      <w:lvlJc w:val="left"/>
      <w:pPr>
        <w:ind w:left="2160" w:hanging="360"/>
      </w:pPr>
      <w:rPr>
        <w:rFonts w:hint="default" w:ascii="Wingdings" w:hAnsi="Wingdings"/>
      </w:rPr>
    </w:lvl>
    <w:lvl w:ilvl="3" w:tplc="D40C717C">
      <w:start w:val="1"/>
      <w:numFmt w:val="bullet"/>
      <w:lvlText w:val=""/>
      <w:lvlJc w:val="left"/>
      <w:pPr>
        <w:ind w:left="2880" w:hanging="360"/>
      </w:pPr>
      <w:rPr>
        <w:rFonts w:hint="default" w:ascii="Symbol" w:hAnsi="Symbol"/>
      </w:rPr>
    </w:lvl>
    <w:lvl w:ilvl="4" w:tplc="0F3267AE">
      <w:start w:val="1"/>
      <w:numFmt w:val="bullet"/>
      <w:lvlText w:val="o"/>
      <w:lvlJc w:val="left"/>
      <w:pPr>
        <w:ind w:left="3600" w:hanging="360"/>
      </w:pPr>
      <w:rPr>
        <w:rFonts w:hint="default" w:ascii="Courier New" w:hAnsi="Courier New"/>
      </w:rPr>
    </w:lvl>
    <w:lvl w:ilvl="5" w:tplc="F1BE8AB8">
      <w:start w:val="1"/>
      <w:numFmt w:val="bullet"/>
      <w:lvlText w:val=""/>
      <w:lvlJc w:val="left"/>
      <w:pPr>
        <w:ind w:left="4320" w:hanging="360"/>
      </w:pPr>
      <w:rPr>
        <w:rFonts w:hint="default" w:ascii="Wingdings" w:hAnsi="Wingdings"/>
      </w:rPr>
    </w:lvl>
    <w:lvl w:ilvl="6" w:tplc="3ED847A6">
      <w:start w:val="1"/>
      <w:numFmt w:val="bullet"/>
      <w:lvlText w:val=""/>
      <w:lvlJc w:val="left"/>
      <w:pPr>
        <w:ind w:left="5040" w:hanging="360"/>
      </w:pPr>
      <w:rPr>
        <w:rFonts w:hint="default" w:ascii="Symbol" w:hAnsi="Symbol"/>
      </w:rPr>
    </w:lvl>
    <w:lvl w:ilvl="7" w:tplc="1220BD80">
      <w:start w:val="1"/>
      <w:numFmt w:val="bullet"/>
      <w:lvlText w:val="o"/>
      <w:lvlJc w:val="left"/>
      <w:pPr>
        <w:ind w:left="5760" w:hanging="360"/>
      </w:pPr>
      <w:rPr>
        <w:rFonts w:hint="default" w:ascii="Courier New" w:hAnsi="Courier New"/>
      </w:rPr>
    </w:lvl>
    <w:lvl w:ilvl="8" w:tplc="7BCA5FA4">
      <w:start w:val="1"/>
      <w:numFmt w:val="bullet"/>
      <w:lvlText w:val=""/>
      <w:lvlJc w:val="left"/>
      <w:pPr>
        <w:ind w:left="6480" w:hanging="360"/>
      </w:pPr>
      <w:rPr>
        <w:rFonts w:hint="default" w:ascii="Wingdings" w:hAnsi="Wingdings"/>
      </w:rPr>
    </w:lvl>
  </w:abstractNum>
  <w:num w:numId="1" w16cid:durableId="1299458708">
    <w:abstractNumId w:val="41"/>
  </w:num>
  <w:num w:numId="2" w16cid:durableId="1151100598">
    <w:abstractNumId w:val="40"/>
  </w:num>
  <w:num w:numId="3" w16cid:durableId="1222671536">
    <w:abstractNumId w:val="2"/>
  </w:num>
  <w:num w:numId="4" w16cid:durableId="1520847109">
    <w:abstractNumId w:val="27"/>
  </w:num>
  <w:num w:numId="5" w16cid:durableId="1094476532">
    <w:abstractNumId w:val="38"/>
  </w:num>
  <w:num w:numId="6" w16cid:durableId="1932816518">
    <w:abstractNumId w:val="18"/>
  </w:num>
  <w:num w:numId="7" w16cid:durableId="1193423174">
    <w:abstractNumId w:val="24"/>
  </w:num>
  <w:num w:numId="8" w16cid:durableId="1112634024">
    <w:abstractNumId w:val="15"/>
  </w:num>
  <w:num w:numId="9" w16cid:durableId="163593379">
    <w:abstractNumId w:val="3"/>
  </w:num>
  <w:num w:numId="10" w16cid:durableId="805510903">
    <w:abstractNumId w:val="12"/>
  </w:num>
  <w:num w:numId="11" w16cid:durableId="30498949">
    <w:abstractNumId w:val="8"/>
  </w:num>
  <w:num w:numId="12" w16cid:durableId="1609048963">
    <w:abstractNumId w:val="26"/>
  </w:num>
  <w:num w:numId="13" w16cid:durableId="1562523204">
    <w:abstractNumId w:val="10"/>
  </w:num>
  <w:num w:numId="14" w16cid:durableId="976954443">
    <w:abstractNumId w:val="35"/>
  </w:num>
  <w:num w:numId="15" w16cid:durableId="982612577">
    <w:abstractNumId w:val="36"/>
  </w:num>
  <w:num w:numId="16" w16cid:durableId="717315449">
    <w:abstractNumId w:val="14"/>
  </w:num>
  <w:num w:numId="17" w16cid:durableId="1996295030">
    <w:abstractNumId w:val="30"/>
  </w:num>
  <w:num w:numId="18" w16cid:durableId="786237614">
    <w:abstractNumId w:val="13"/>
  </w:num>
  <w:num w:numId="19" w16cid:durableId="742290884">
    <w:abstractNumId w:val="1"/>
  </w:num>
  <w:num w:numId="20" w16cid:durableId="1961642288">
    <w:abstractNumId w:val="16"/>
  </w:num>
  <w:num w:numId="21" w16cid:durableId="1578321095">
    <w:abstractNumId w:val="25"/>
  </w:num>
  <w:num w:numId="22" w16cid:durableId="1758331912">
    <w:abstractNumId w:val="29"/>
  </w:num>
  <w:num w:numId="23" w16cid:durableId="727846792">
    <w:abstractNumId w:val="9"/>
  </w:num>
  <w:num w:numId="24" w16cid:durableId="221797187">
    <w:abstractNumId w:val="31"/>
  </w:num>
  <w:num w:numId="25" w16cid:durableId="2017266987">
    <w:abstractNumId w:val="11"/>
  </w:num>
  <w:num w:numId="26" w16cid:durableId="1479495100">
    <w:abstractNumId w:val="5"/>
  </w:num>
  <w:num w:numId="27" w16cid:durableId="320890122">
    <w:abstractNumId w:val="42"/>
  </w:num>
  <w:num w:numId="28" w16cid:durableId="120657468">
    <w:abstractNumId w:val="22"/>
  </w:num>
  <w:num w:numId="29" w16cid:durableId="1077482660">
    <w:abstractNumId w:val="21"/>
  </w:num>
  <w:num w:numId="30" w16cid:durableId="948007757">
    <w:abstractNumId w:val="19"/>
  </w:num>
  <w:num w:numId="31" w16cid:durableId="297225652">
    <w:abstractNumId w:val="4"/>
  </w:num>
  <w:num w:numId="32" w16cid:durableId="19363343">
    <w:abstractNumId w:val="7"/>
  </w:num>
  <w:num w:numId="33" w16cid:durableId="652103763">
    <w:abstractNumId w:val="20"/>
  </w:num>
  <w:num w:numId="34" w16cid:durableId="933828495">
    <w:abstractNumId w:val="34"/>
  </w:num>
  <w:num w:numId="35" w16cid:durableId="1610164285">
    <w:abstractNumId w:val="6"/>
  </w:num>
  <w:num w:numId="36" w16cid:durableId="962423204">
    <w:abstractNumId w:val="33"/>
  </w:num>
  <w:num w:numId="37" w16cid:durableId="584384686">
    <w:abstractNumId w:val="23"/>
  </w:num>
  <w:num w:numId="38" w16cid:durableId="1261645498">
    <w:abstractNumId w:val="32"/>
  </w:num>
  <w:num w:numId="39" w16cid:durableId="455875498">
    <w:abstractNumId w:val="37"/>
  </w:num>
  <w:num w:numId="40" w16cid:durableId="144207394">
    <w:abstractNumId w:val="28"/>
  </w:num>
  <w:num w:numId="41" w16cid:durableId="1932541236">
    <w:abstractNumId w:val="17"/>
  </w:num>
  <w:num w:numId="42" w16cid:durableId="1329945576">
    <w:abstractNumId w:val="39"/>
  </w:num>
  <w:num w:numId="43" w16cid:durableId="940838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2529C5"/>
    <w:rsid w:val="00000513"/>
    <w:rsid w:val="0001754A"/>
    <w:rsid w:val="00037F9A"/>
    <w:rsid w:val="00061145"/>
    <w:rsid w:val="00063347"/>
    <w:rsid w:val="00063F72"/>
    <w:rsid w:val="000835AA"/>
    <w:rsid w:val="0008416E"/>
    <w:rsid w:val="00085C2E"/>
    <w:rsid w:val="000966A0"/>
    <w:rsid w:val="000A406B"/>
    <w:rsid w:val="000F6DC3"/>
    <w:rsid w:val="001073B9"/>
    <w:rsid w:val="00126CE6"/>
    <w:rsid w:val="00133777"/>
    <w:rsid w:val="0013E766"/>
    <w:rsid w:val="00153509"/>
    <w:rsid w:val="00154DEA"/>
    <w:rsid w:val="001554B4"/>
    <w:rsid w:val="00173F39"/>
    <w:rsid w:val="00174939"/>
    <w:rsid w:val="00182899"/>
    <w:rsid w:val="001D1B96"/>
    <w:rsid w:val="001F11FA"/>
    <w:rsid w:val="00221D79"/>
    <w:rsid w:val="00224690"/>
    <w:rsid w:val="002321EB"/>
    <w:rsid w:val="002328F3"/>
    <w:rsid w:val="00254256"/>
    <w:rsid w:val="002565DD"/>
    <w:rsid w:val="00267AAE"/>
    <w:rsid w:val="00275F53"/>
    <w:rsid w:val="0027D49C"/>
    <w:rsid w:val="00283CE4"/>
    <w:rsid w:val="00284C7E"/>
    <w:rsid w:val="00284E5B"/>
    <w:rsid w:val="00286B63"/>
    <w:rsid w:val="002B6535"/>
    <w:rsid w:val="002B70E9"/>
    <w:rsid w:val="002B7DA3"/>
    <w:rsid w:val="002C3D57"/>
    <w:rsid w:val="002C59D7"/>
    <w:rsid w:val="002CB45A"/>
    <w:rsid w:val="002ED082"/>
    <w:rsid w:val="002F5106"/>
    <w:rsid w:val="00300EF0"/>
    <w:rsid w:val="00301032"/>
    <w:rsid w:val="0030730D"/>
    <w:rsid w:val="003156F3"/>
    <w:rsid w:val="00327F64"/>
    <w:rsid w:val="00330542"/>
    <w:rsid w:val="003322F1"/>
    <w:rsid w:val="00334F49"/>
    <w:rsid w:val="00387FB7"/>
    <w:rsid w:val="003A00B1"/>
    <w:rsid w:val="003E2B23"/>
    <w:rsid w:val="003E66D1"/>
    <w:rsid w:val="003E7680"/>
    <w:rsid w:val="003F316A"/>
    <w:rsid w:val="00401620"/>
    <w:rsid w:val="00412A21"/>
    <w:rsid w:val="00414254"/>
    <w:rsid w:val="00430A2C"/>
    <w:rsid w:val="004360FE"/>
    <w:rsid w:val="00436EE2"/>
    <w:rsid w:val="0044296F"/>
    <w:rsid w:val="004429CB"/>
    <w:rsid w:val="004429F6"/>
    <w:rsid w:val="00444403"/>
    <w:rsid w:val="00450D62"/>
    <w:rsid w:val="00455F68"/>
    <w:rsid w:val="00457A07"/>
    <w:rsid w:val="00460547"/>
    <w:rsid w:val="0046287E"/>
    <w:rsid w:val="00499A62"/>
    <w:rsid w:val="004A2F93"/>
    <w:rsid w:val="004A7728"/>
    <w:rsid w:val="004B17B0"/>
    <w:rsid w:val="004B266F"/>
    <w:rsid w:val="004C1315"/>
    <w:rsid w:val="004C1DD7"/>
    <w:rsid w:val="004C330F"/>
    <w:rsid w:val="004C87ED"/>
    <w:rsid w:val="004E06F2"/>
    <w:rsid w:val="004E07C5"/>
    <w:rsid w:val="004E4DF2"/>
    <w:rsid w:val="004F416D"/>
    <w:rsid w:val="004F549C"/>
    <w:rsid w:val="00503FF0"/>
    <w:rsid w:val="005049D6"/>
    <w:rsid w:val="00505C9B"/>
    <w:rsid w:val="005214D7"/>
    <w:rsid w:val="0052507F"/>
    <w:rsid w:val="00566EE6"/>
    <w:rsid w:val="005706BC"/>
    <w:rsid w:val="00577122"/>
    <w:rsid w:val="00577F7F"/>
    <w:rsid w:val="0058373E"/>
    <w:rsid w:val="00583F4A"/>
    <w:rsid w:val="005914D7"/>
    <w:rsid w:val="00593AFE"/>
    <w:rsid w:val="005A06F0"/>
    <w:rsid w:val="005B13ED"/>
    <w:rsid w:val="005D00EC"/>
    <w:rsid w:val="005F177E"/>
    <w:rsid w:val="00603533"/>
    <w:rsid w:val="00607AA7"/>
    <w:rsid w:val="00615FF4"/>
    <w:rsid w:val="006168E8"/>
    <w:rsid w:val="00627BC1"/>
    <w:rsid w:val="006560A4"/>
    <w:rsid w:val="0067547D"/>
    <w:rsid w:val="0068A53E"/>
    <w:rsid w:val="00690411"/>
    <w:rsid w:val="006A3E0D"/>
    <w:rsid w:val="006B3B06"/>
    <w:rsid w:val="006E3962"/>
    <w:rsid w:val="006F32A4"/>
    <w:rsid w:val="00704C97"/>
    <w:rsid w:val="007152FC"/>
    <w:rsid w:val="00715A34"/>
    <w:rsid w:val="00736397"/>
    <w:rsid w:val="00737B01"/>
    <w:rsid w:val="00741A98"/>
    <w:rsid w:val="0075163E"/>
    <w:rsid w:val="007841DE"/>
    <w:rsid w:val="00784F1A"/>
    <w:rsid w:val="0079177B"/>
    <w:rsid w:val="0079525F"/>
    <w:rsid w:val="007959EB"/>
    <w:rsid w:val="007A446E"/>
    <w:rsid w:val="007B0905"/>
    <w:rsid w:val="007B6DDF"/>
    <w:rsid w:val="007C16D6"/>
    <w:rsid w:val="007C495D"/>
    <w:rsid w:val="007C64ED"/>
    <w:rsid w:val="0081759A"/>
    <w:rsid w:val="00835A25"/>
    <w:rsid w:val="00837F5E"/>
    <w:rsid w:val="0084329A"/>
    <w:rsid w:val="0084341F"/>
    <w:rsid w:val="00871CD1"/>
    <w:rsid w:val="00882471"/>
    <w:rsid w:val="00882D29"/>
    <w:rsid w:val="00895390"/>
    <w:rsid w:val="008A7BB8"/>
    <w:rsid w:val="008C502E"/>
    <w:rsid w:val="008C6C41"/>
    <w:rsid w:val="00900A5D"/>
    <w:rsid w:val="009067D4"/>
    <w:rsid w:val="0093255C"/>
    <w:rsid w:val="00944739"/>
    <w:rsid w:val="00963D7B"/>
    <w:rsid w:val="00986A25"/>
    <w:rsid w:val="009A0318"/>
    <w:rsid w:val="009A0EAF"/>
    <w:rsid w:val="009AFE47"/>
    <w:rsid w:val="009B1872"/>
    <w:rsid w:val="009B30FA"/>
    <w:rsid w:val="009B46DC"/>
    <w:rsid w:val="009B5419"/>
    <w:rsid w:val="009C4DEA"/>
    <w:rsid w:val="009C76FA"/>
    <w:rsid w:val="009C7C04"/>
    <w:rsid w:val="009C7F5D"/>
    <w:rsid w:val="009F1180"/>
    <w:rsid w:val="00A11938"/>
    <w:rsid w:val="00A32CDC"/>
    <w:rsid w:val="00A33FE5"/>
    <w:rsid w:val="00A56321"/>
    <w:rsid w:val="00A57892"/>
    <w:rsid w:val="00A614B6"/>
    <w:rsid w:val="00A65482"/>
    <w:rsid w:val="00A736AF"/>
    <w:rsid w:val="00A74C59"/>
    <w:rsid w:val="00A8079B"/>
    <w:rsid w:val="00AC18E1"/>
    <w:rsid w:val="00AD77F6"/>
    <w:rsid w:val="00AE9974"/>
    <w:rsid w:val="00B06EBE"/>
    <w:rsid w:val="00B105B4"/>
    <w:rsid w:val="00B36011"/>
    <w:rsid w:val="00B37B42"/>
    <w:rsid w:val="00B43506"/>
    <w:rsid w:val="00B47336"/>
    <w:rsid w:val="00B71C8F"/>
    <w:rsid w:val="00B72EA0"/>
    <w:rsid w:val="00B74BDD"/>
    <w:rsid w:val="00B74D4F"/>
    <w:rsid w:val="00B84575"/>
    <w:rsid w:val="00B85534"/>
    <w:rsid w:val="00B94072"/>
    <w:rsid w:val="00B9ED1E"/>
    <w:rsid w:val="00BA4FF6"/>
    <w:rsid w:val="00BA8D62"/>
    <w:rsid w:val="00BB0FDA"/>
    <w:rsid w:val="00BB4765"/>
    <w:rsid w:val="00BB4D30"/>
    <w:rsid w:val="00BCE0CB"/>
    <w:rsid w:val="00BD6A17"/>
    <w:rsid w:val="00BF3A96"/>
    <w:rsid w:val="00BF5279"/>
    <w:rsid w:val="00BF6F46"/>
    <w:rsid w:val="00C06E3C"/>
    <w:rsid w:val="00C32470"/>
    <w:rsid w:val="00C33448"/>
    <w:rsid w:val="00C41FB7"/>
    <w:rsid w:val="00C51F56"/>
    <w:rsid w:val="00C5556D"/>
    <w:rsid w:val="00C61911"/>
    <w:rsid w:val="00C63260"/>
    <w:rsid w:val="00C66B0A"/>
    <w:rsid w:val="00C713CB"/>
    <w:rsid w:val="00C72610"/>
    <w:rsid w:val="00C92749"/>
    <w:rsid w:val="00C960FE"/>
    <w:rsid w:val="00CA12AA"/>
    <w:rsid w:val="00CD4276"/>
    <w:rsid w:val="00CD5612"/>
    <w:rsid w:val="00CE4D20"/>
    <w:rsid w:val="00D120CE"/>
    <w:rsid w:val="00D17812"/>
    <w:rsid w:val="00D20F12"/>
    <w:rsid w:val="00D271F2"/>
    <w:rsid w:val="00D46BDC"/>
    <w:rsid w:val="00D5353F"/>
    <w:rsid w:val="00D54610"/>
    <w:rsid w:val="00D61895"/>
    <w:rsid w:val="00DA01FD"/>
    <w:rsid w:val="00DA3C90"/>
    <w:rsid w:val="00DB3DEF"/>
    <w:rsid w:val="00DB4911"/>
    <w:rsid w:val="00DB50D4"/>
    <w:rsid w:val="00DB5DA8"/>
    <w:rsid w:val="00DC15B5"/>
    <w:rsid w:val="00DC6150"/>
    <w:rsid w:val="00DC7D86"/>
    <w:rsid w:val="00E05B77"/>
    <w:rsid w:val="00E239E0"/>
    <w:rsid w:val="00E36ABD"/>
    <w:rsid w:val="00E51C1E"/>
    <w:rsid w:val="00E54350"/>
    <w:rsid w:val="00E63F10"/>
    <w:rsid w:val="00E80703"/>
    <w:rsid w:val="00E910A2"/>
    <w:rsid w:val="00EA7692"/>
    <w:rsid w:val="00EA7A0A"/>
    <w:rsid w:val="00EC0B9B"/>
    <w:rsid w:val="00EC306E"/>
    <w:rsid w:val="00EC474E"/>
    <w:rsid w:val="00EE37B9"/>
    <w:rsid w:val="00F04419"/>
    <w:rsid w:val="00F1435E"/>
    <w:rsid w:val="00F16056"/>
    <w:rsid w:val="00F23346"/>
    <w:rsid w:val="00F26844"/>
    <w:rsid w:val="00F26F89"/>
    <w:rsid w:val="00F35047"/>
    <w:rsid w:val="00F360FB"/>
    <w:rsid w:val="00F51A9F"/>
    <w:rsid w:val="00F51E5C"/>
    <w:rsid w:val="00F577DC"/>
    <w:rsid w:val="00F61F44"/>
    <w:rsid w:val="00F73F95"/>
    <w:rsid w:val="00F90325"/>
    <w:rsid w:val="00F91C81"/>
    <w:rsid w:val="00F92AF5"/>
    <w:rsid w:val="00F9560B"/>
    <w:rsid w:val="00FA3966"/>
    <w:rsid w:val="00FB54C3"/>
    <w:rsid w:val="00FB6FE7"/>
    <w:rsid w:val="00FD7B65"/>
    <w:rsid w:val="00FE3197"/>
    <w:rsid w:val="01011873"/>
    <w:rsid w:val="011191D1"/>
    <w:rsid w:val="0116FA39"/>
    <w:rsid w:val="0129613E"/>
    <w:rsid w:val="0129AA15"/>
    <w:rsid w:val="013944E4"/>
    <w:rsid w:val="013B12C4"/>
    <w:rsid w:val="013B96CD"/>
    <w:rsid w:val="014C27E7"/>
    <w:rsid w:val="015ADD3C"/>
    <w:rsid w:val="0180886D"/>
    <w:rsid w:val="0180A249"/>
    <w:rsid w:val="019941C6"/>
    <w:rsid w:val="019B32E3"/>
    <w:rsid w:val="01C884BB"/>
    <w:rsid w:val="01D18E37"/>
    <w:rsid w:val="01F7BAB0"/>
    <w:rsid w:val="01FB4362"/>
    <w:rsid w:val="01FEBC5D"/>
    <w:rsid w:val="0204759F"/>
    <w:rsid w:val="02203972"/>
    <w:rsid w:val="0226606A"/>
    <w:rsid w:val="024A60FC"/>
    <w:rsid w:val="024BFF2B"/>
    <w:rsid w:val="025FCC59"/>
    <w:rsid w:val="028710A2"/>
    <w:rsid w:val="02AF83C9"/>
    <w:rsid w:val="02BB055E"/>
    <w:rsid w:val="02E3E515"/>
    <w:rsid w:val="02EEFFA0"/>
    <w:rsid w:val="02EF4E99"/>
    <w:rsid w:val="0307B3D8"/>
    <w:rsid w:val="0317E9C4"/>
    <w:rsid w:val="0354C2B5"/>
    <w:rsid w:val="039185DC"/>
    <w:rsid w:val="039A8CBE"/>
    <w:rsid w:val="039F923C"/>
    <w:rsid w:val="03C863FB"/>
    <w:rsid w:val="03C93362"/>
    <w:rsid w:val="03E3CC9E"/>
    <w:rsid w:val="03E6315D"/>
    <w:rsid w:val="04166C38"/>
    <w:rsid w:val="04283885"/>
    <w:rsid w:val="043CFA42"/>
    <w:rsid w:val="0440F0AD"/>
    <w:rsid w:val="0445280D"/>
    <w:rsid w:val="0460B762"/>
    <w:rsid w:val="04741013"/>
    <w:rsid w:val="047844B6"/>
    <w:rsid w:val="048846C3"/>
    <w:rsid w:val="048B1EFA"/>
    <w:rsid w:val="04A8CF08"/>
    <w:rsid w:val="04AA28CD"/>
    <w:rsid w:val="04CF4DBB"/>
    <w:rsid w:val="04D1BDAE"/>
    <w:rsid w:val="04E86C01"/>
    <w:rsid w:val="04E8F2BD"/>
    <w:rsid w:val="052E91E0"/>
    <w:rsid w:val="056907FB"/>
    <w:rsid w:val="058201BE"/>
    <w:rsid w:val="05A29AF2"/>
    <w:rsid w:val="05B777C9"/>
    <w:rsid w:val="05C12269"/>
    <w:rsid w:val="05E35932"/>
    <w:rsid w:val="05F6E1C2"/>
    <w:rsid w:val="060D1339"/>
    <w:rsid w:val="06449F69"/>
    <w:rsid w:val="064B4B6B"/>
    <w:rsid w:val="0668A38F"/>
    <w:rsid w:val="06843C62"/>
    <w:rsid w:val="06868A32"/>
    <w:rsid w:val="06ADD648"/>
    <w:rsid w:val="06BD186C"/>
    <w:rsid w:val="06CB4A79"/>
    <w:rsid w:val="06DD0D08"/>
    <w:rsid w:val="06F84420"/>
    <w:rsid w:val="070A67C0"/>
    <w:rsid w:val="071E0077"/>
    <w:rsid w:val="07361809"/>
    <w:rsid w:val="0773C244"/>
    <w:rsid w:val="0779BA31"/>
    <w:rsid w:val="079A289E"/>
    <w:rsid w:val="07A87A3A"/>
    <w:rsid w:val="07B2359C"/>
    <w:rsid w:val="07D3236D"/>
    <w:rsid w:val="07DB4E2F"/>
    <w:rsid w:val="07E06FCA"/>
    <w:rsid w:val="0833A548"/>
    <w:rsid w:val="0839E022"/>
    <w:rsid w:val="084BD62E"/>
    <w:rsid w:val="084E6FE1"/>
    <w:rsid w:val="084F00BB"/>
    <w:rsid w:val="0852DD47"/>
    <w:rsid w:val="0865A419"/>
    <w:rsid w:val="087C488E"/>
    <w:rsid w:val="08A6758A"/>
    <w:rsid w:val="08BBFA51"/>
    <w:rsid w:val="08C29D1F"/>
    <w:rsid w:val="08CC4EC3"/>
    <w:rsid w:val="08CF0DDD"/>
    <w:rsid w:val="08D4928D"/>
    <w:rsid w:val="08E24A40"/>
    <w:rsid w:val="096514E1"/>
    <w:rsid w:val="0968F82C"/>
    <w:rsid w:val="09AAB41D"/>
    <w:rsid w:val="09B58E85"/>
    <w:rsid w:val="09DAF7DB"/>
    <w:rsid w:val="09FA825D"/>
    <w:rsid w:val="0A14ADCA"/>
    <w:rsid w:val="0A42EAB5"/>
    <w:rsid w:val="0A45BA61"/>
    <w:rsid w:val="0A51D756"/>
    <w:rsid w:val="0A73C8D9"/>
    <w:rsid w:val="0A8A4305"/>
    <w:rsid w:val="0AACF024"/>
    <w:rsid w:val="0AF97FB5"/>
    <w:rsid w:val="0B6F873B"/>
    <w:rsid w:val="0B9D44DB"/>
    <w:rsid w:val="0BBE25BC"/>
    <w:rsid w:val="0BD2FF69"/>
    <w:rsid w:val="0BD66988"/>
    <w:rsid w:val="0BE4060F"/>
    <w:rsid w:val="0BF1719A"/>
    <w:rsid w:val="0C06AE9F"/>
    <w:rsid w:val="0C1DB0A9"/>
    <w:rsid w:val="0C248AA7"/>
    <w:rsid w:val="0C586941"/>
    <w:rsid w:val="0C5D9D19"/>
    <w:rsid w:val="0C64CB4A"/>
    <w:rsid w:val="0CCE819E"/>
    <w:rsid w:val="0CD062F6"/>
    <w:rsid w:val="0CECEF5D"/>
    <w:rsid w:val="0CED2F47"/>
    <w:rsid w:val="0D1A7C40"/>
    <w:rsid w:val="0D1C3E79"/>
    <w:rsid w:val="0D1CBD15"/>
    <w:rsid w:val="0D1FD8B0"/>
    <w:rsid w:val="0D200729"/>
    <w:rsid w:val="0D3B56A1"/>
    <w:rsid w:val="0D3DF609"/>
    <w:rsid w:val="0D488982"/>
    <w:rsid w:val="0D4F15CC"/>
    <w:rsid w:val="0D598A5C"/>
    <w:rsid w:val="0D72521D"/>
    <w:rsid w:val="0D8D41FB"/>
    <w:rsid w:val="0D99437F"/>
    <w:rsid w:val="0DAB699B"/>
    <w:rsid w:val="0DD62DFB"/>
    <w:rsid w:val="0DD850C5"/>
    <w:rsid w:val="0DDA58A8"/>
    <w:rsid w:val="0DE10E57"/>
    <w:rsid w:val="0DE3B1B9"/>
    <w:rsid w:val="0DE740D9"/>
    <w:rsid w:val="0E0E6EC4"/>
    <w:rsid w:val="0E562452"/>
    <w:rsid w:val="0E7220FB"/>
    <w:rsid w:val="0E7EB472"/>
    <w:rsid w:val="0E973BCD"/>
    <w:rsid w:val="0E9E8F37"/>
    <w:rsid w:val="0EB3A051"/>
    <w:rsid w:val="0EE80151"/>
    <w:rsid w:val="0EEAE62D"/>
    <w:rsid w:val="0F0C3EB9"/>
    <w:rsid w:val="0F0E1913"/>
    <w:rsid w:val="0F0FA9D4"/>
    <w:rsid w:val="0F165BD8"/>
    <w:rsid w:val="0F6DB3E8"/>
    <w:rsid w:val="0F7067EF"/>
    <w:rsid w:val="0F767517"/>
    <w:rsid w:val="0F8F95B4"/>
    <w:rsid w:val="0FA8548C"/>
    <w:rsid w:val="0FAA3F25"/>
    <w:rsid w:val="0FAC737A"/>
    <w:rsid w:val="0FD226F5"/>
    <w:rsid w:val="0FFA95F0"/>
    <w:rsid w:val="1022CF82"/>
    <w:rsid w:val="1022E6DB"/>
    <w:rsid w:val="10330C2E"/>
    <w:rsid w:val="1037FDFB"/>
    <w:rsid w:val="104837DD"/>
    <w:rsid w:val="106B5A8C"/>
    <w:rsid w:val="1079FB8B"/>
    <w:rsid w:val="1080FD4C"/>
    <w:rsid w:val="1090B24E"/>
    <w:rsid w:val="10AE5FBB"/>
    <w:rsid w:val="10B22C39"/>
    <w:rsid w:val="10D3C7AD"/>
    <w:rsid w:val="10E65498"/>
    <w:rsid w:val="10EB03F4"/>
    <w:rsid w:val="10EE2570"/>
    <w:rsid w:val="111A9379"/>
    <w:rsid w:val="1132028A"/>
    <w:rsid w:val="11347DDD"/>
    <w:rsid w:val="1142C954"/>
    <w:rsid w:val="116F0FA7"/>
    <w:rsid w:val="11BAFA06"/>
    <w:rsid w:val="11CEDC8F"/>
    <w:rsid w:val="11F0AFEA"/>
    <w:rsid w:val="11F6F7B2"/>
    <w:rsid w:val="12037C13"/>
    <w:rsid w:val="1204F7D9"/>
    <w:rsid w:val="120E0B8E"/>
    <w:rsid w:val="121CCDAD"/>
    <w:rsid w:val="122286EF"/>
    <w:rsid w:val="1226A9E0"/>
    <w:rsid w:val="1227AD35"/>
    <w:rsid w:val="122CFB7F"/>
    <w:rsid w:val="1249C0AB"/>
    <w:rsid w:val="124CCC2E"/>
    <w:rsid w:val="1263466B"/>
    <w:rsid w:val="12645C8C"/>
    <w:rsid w:val="1273F3A1"/>
    <w:rsid w:val="12797E4F"/>
    <w:rsid w:val="127D1787"/>
    <w:rsid w:val="12C665D9"/>
    <w:rsid w:val="12F1A8F9"/>
    <w:rsid w:val="1301A7E7"/>
    <w:rsid w:val="130AE008"/>
    <w:rsid w:val="13424FB6"/>
    <w:rsid w:val="136DA8D6"/>
    <w:rsid w:val="137330F3"/>
    <w:rsid w:val="1394A6DF"/>
    <w:rsid w:val="139F4C74"/>
    <w:rsid w:val="139F7393"/>
    <w:rsid w:val="13AE1002"/>
    <w:rsid w:val="13BE5750"/>
    <w:rsid w:val="13C27A41"/>
    <w:rsid w:val="13C5F546"/>
    <w:rsid w:val="13E89C8F"/>
    <w:rsid w:val="14087F2D"/>
    <w:rsid w:val="1422A4B6"/>
    <w:rsid w:val="143D6417"/>
    <w:rsid w:val="14550A6F"/>
    <w:rsid w:val="145D1C79"/>
    <w:rsid w:val="146A556B"/>
    <w:rsid w:val="149D7848"/>
    <w:rsid w:val="14ADED73"/>
    <w:rsid w:val="14D99383"/>
    <w:rsid w:val="14E2DA37"/>
    <w:rsid w:val="14E99274"/>
    <w:rsid w:val="14EEF3D8"/>
    <w:rsid w:val="14F68A8D"/>
    <w:rsid w:val="14F8D3D0"/>
    <w:rsid w:val="152A1DE1"/>
    <w:rsid w:val="15546E6F"/>
    <w:rsid w:val="15556456"/>
    <w:rsid w:val="1557E308"/>
    <w:rsid w:val="155F4DF7"/>
    <w:rsid w:val="15797F65"/>
    <w:rsid w:val="15A0298E"/>
    <w:rsid w:val="15A3D58E"/>
    <w:rsid w:val="15B0F9D3"/>
    <w:rsid w:val="15F9BF4E"/>
    <w:rsid w:val="1624695E"/>
    <w:rsid w:val="164280CA"/>
    <w:rsid w:val="16567524"/>
    <w:rsid w:val="165A1CF1"/>
    <w:rsid w:val="16B25466"/>
    <w:rsid w:val="16B45990"/>
    <w:rsid w:val="16C97D59"/>
    <w:rsid w:val="16CF0E9E"/>
    <w:rsid w:val="16D6ED36"/>
    <w:rsid w:val="16E34EB5"/>
    <w:rsid w:val="1706CBA4"/>
    <w:rsid w:val="171EE7A7"/>
    <w:rsid w:val="173A0996"/>
    <w:rsid w:val="173A0C9E"/>
    <w:rsid w:val="17409E3A"/>
    <w:rsid w:val="174A7C17"/>
    <w:rsid w:val="1771B08C"/>
    <w:rsid w:val="179D3AE3"/>
    <w:rsid w:val="17B55EDF"/>
    <w:rsid w:val="17B918F6"/>
    <w:rsid w:val="17BB1096"/>
    <w:rsid w:val="17FB954B"/>
    <w:rsid w:val="18352862"/>
    <w:rsid w:val="183E1E13"/>
    <w:rsid w:val="1843C1C9"/>
    <w:rsid w:val="18654DBA"/>
    <w:rsid w:val="18B09E26"/>
    <w:rsid w:val="18B999F2"/>
    <w:rsid w:val="18D39E10"/>
    <w:rsid w:val="18ED1F2D"/>
    <w:rsid w:val="19390B44"/>
    <w:rsid w:val="19406A26"/>
    <w:rsid w:val="195893C0"/>
    <w:rsid w:val="19624F9D"/>
    <w:rsid w:val="197491E9"/>
    <w:rsid w:val="197A218C"/>
    <w:rsid w:val="19882313"/>
    <w:rsid w:val="198BE65F"/>
    <w:rsid w:val="19ABFF0F"/>
    <w:rsid w:val="19C0434E"/>
    <w:rsid w:val="19D35342"/>
    <w:rsid w:val="19FFCFBA"/>
    <w:rsid w:val="1A0C4F41"/>
    <w:rsid w:val="1A45B26A"/>
    <w:rsid w:val="1A51CCDE"/>
    <w:rsid w:val="1A71C874"/>
    <w:rsid w:val="1A88EF8E"/>
    <w:rsid w:val="1AB1FC81"/>
    <w:rsid w:val="1AB28979"/>
    <w:rsid w:val="1ABE3BD7"/>
    <w:rsid w:val="1AC237C6"/>
    <w:rsid w:val="1ACCAB95"/>
    <w:rsid w:val="1AF2E7AB"/>
    <w:rsid w:val="1B05FE58"/>
    <w:rsid w:val="1B3016F8"/>
    <w:rsid w:val="1B3844EF"/>
    <w:rsid w:val="1B3C9B6C"/>
    <w:rsid w:val="1B4CA3B4"/>
    <w:rsid w:val="1B5F6A34"/>
    <w:rsid w:val="1B7B628B"/>
    <w:rsid w:val="1B7C1B4C"/>
    <w:rsid w:val="1B7E42D8"/>
    <w:rsid w:val="1B887979"/>
    <w:rsid w:val="1B8F6A25"/>
    <w:rsid w:val="1BB0D09F"/>
    <w:rsid w:val="1BC8437A"/>
    <w:rsid w:val="1BDAD054"/>
    <w:rsid w:val="1BFD0758"/>
    <w:rsid w:val="1BFEC11E"/>
    <w:rsid w:val="1C030BDF"/>
    <w:rsid w:val="1C0B9792"/>
    <w:rsid w:val="1C24BFEF"/>
    <w:rsid w:val="1C3F88ED"/>
    <w:rsid w:val="1C70AC06"/>
    <w:rsid w:val="1C73DD10"/>
    <w:rsid w:val="1C78171C"/>
    <w:rsid w:val="1C7A7126"/>
    <w:rsid w:val="1CB08A5B"/>
    <w:rsid w:val="1CB1C24E"/>
    <w:rsid w:val="1CB7DA18"/>
    <w:rsid w:val="1CBB20CF"/>
    <w:rsid w:val="1CBDDDB9"/>
    <w:rsid w:val="1CCC3737"/>
    <w:rsid w:val="1CCD2CB5"/>
    <w:rsid w:val="1CE87415"/>
    <w:rsid w:val="1CF1164F"/>
    <w:rsid w:val="1CFFC7F1"/>
    <w:rsid w:val="1CFFD91E"/>
    <w:rsid w:val="1D480024"/>
    <w:rsid w:val="1D6413DB"/>
    <w:rsid w:val="1D6A5FDC"/>
    <w:rsid w:val="1D747174"/>
    <w:rsid w:val="1D7FB178"/>
    <w:rsid w:val="1DBA6B76"/>
    <w:rsid w:val="1DBBBA61"/>
    <w:rsid w:val="1DD71C45"/>
    <w:rsid w:val="1DEC635B"/>
    <w:rsid w:val="1DF44D51"/>
    <w:rsid w:val="1DFA0581"/>
    <w:rsid w:val="1DFE11EA"/>
    <w:rsid w:val="1E018EAE"/>
    <w:rsid w:val="1E0D4956"/>
    <w:rsid w:val="1E118DD5"/>
    <w:rsid w:val="1E39728C"/>
    <w:rsid w:val="1E4D92AF"/>
    <w:rsid w:val="1E53AD42"/>
    <w:rsid w:val="1E589C5F"/>
    <w:rsid w:val="1E680798"/>
    <w:rsid w:val="1E7077CE"/>
    <w:rsid w:val="1E996D7C"/>
    <w:rsid w:val="1EB4A81E"/>
    <w:rsid w:val="1EB680D3"/>
    <w:rsid w:val="1ECE7FB6"/>
    <w:rsid w:val="1EDCEC89"/>
    <w:rsid w:val="1F4C59DA"/>
    <w:rsid w:val="1F5C60B1"/>
    <w:rsid w:val="1F95A8E9"/>
    <w:rsid w:val="1FB3ED75"/>
    <w:rsid w:val="1FB624E2"/>
    <w:rsid w:val="1FDA53B3"/>
    <w:rsid w:val="1FE24FA2"/>
    <w:rsid w:val="1FE6DBD6"/>
    <w:rsid w:val="1FFD5118"/>
    <w:rsid w:val="2003D7F9"/>
    <w:rsid w:val="200BB612"/>
    <w:rsid w:val="20133FC8"/>
    <w:rsid w:val="205D91BA"/>
    <w:rsid w:val="2062CD43"/>
    <w:rsid w:val="206CA182"/>
    <w:rsid w:val="2078BCEA"/>
    <w:rsid w:val="207D69EC"/>
    <w:rsid w:val="20A35DCD"/>
    <w:rsid w:val="20C7924A"/>
    <w:rsid w:val="20CC019A"/>
    <w:rsid w:val="21056D52"/>
    <w:rsid w:val="211010E4"/>
    <w:rsid w:val="2117D690"/>
    <w:rsid w:val="213CFD27"/>
    <w:rsid w:val="214C8C10"/>
    <w:rsid w:val="2156556A"/>
    <w:rsid w:val="2156F246"/>
    <w:rsid w:val="219FA85A"/>
    <w:rsid w:val="21AAC90E"/>
    <w:rsid w:val="21AEA5DA"/>
    <w:rsid w:val="21C0C3FD"/>
    <w:rsid w:val="21D3B806"/>
    <w:rsid w:val="21E4A46C"/>
    <w:rsid w:val="21EAA3B3"/>
    <w:rsid w:val="21F855F3"/>
    <w:rsid w:val="21FA4BB4"/>
    <w:rsid w:val="2216CA39"/>
    <w:rsid w:val="222B0586"/>
    <w:rsid w:val="2236CB0D"/>
    <w:rsid w:val="22395549"/>
    <w:rsid w:val="22551FF0"/>
    <w:rsid w:val="2267D1FB"/>
    <w:rsid w:val="22689F6D"/>
    <w:rsid w:val="22940173"/>
    <w:rsid w:val="22A13DB3"/>
    <w:rsid w:val="22B1DD7B"/>
    <w:rsid w:val="22CF6593"/>
    <w:rsid w:val="22E96F4F"/>
    <w:rsid w:val="22FB7289"/>
    <w:rsid w:val="23340663"/>
    <w:rsid w:val="233B78BB"/>
    <w:rsid w:val="237A821B"/>
    <w:rsid w:val="2380491B"/>
    <w:rsid w:val="2393C0E6"/>
    <w:rsid w:val="239EB8BD"/>
    <w:rsid w:val="23B0D963"/>
    <w:rsid w:val="23BA4E4E"/>
    <w:rsid w:val="23CCA020"/>
    <w:rsid w:val="23E16622"/>
    <w:rsid w:val="2403A25C"/>
    <w:rsid w:val="2407365E"/>
    <w:rsid w:val="241DB022"/>
    <w:rsid w:val="241EC417"/>
    <w:rsid w:val="2422F512"/>
    <w:rsid w:val="2439D41A"/>
    <w:rsid w:val="2440B606"/>
    <w:rsid w:val="2465A399"/>
    <w:rsid w:val="2494C292"/>
    <w:rsid w:val="24CFD6C4"/>
    <w:rsid w:val="24D7491C"/>
    <w:rsid w:val="24DA8B5B"/>
    <w:rsid w:val="24EA87A9"/>
    <w:rsid w:val="250B697F"/>
    <w:rsid w:val="250EE055"/>
    <w:rsid w:val="2512433C"/>
    <w:rsid w:val="251C7B0C"/>
    <w:rsid w:val="252709D2"/>
    <w:rsid w:val="253850A9"/>
    <w:rsid w:val="254CA9C4"/>
    <w:rsid w:val="25598C2C"/>
    <w:rsid w:val="255F90D7"/>
    <w:rsid w:val="2562A648"/>
    <w:rsid w:val="25640631"/>
    <w:rsid w:val="2570F60B"/>
    <w:rsid w:val="259F72BD"/>
    <w:rsid w:val="25C31E89"/>
    <w:rsid w:val="264D4153"/>
    <w:rsid w:val="266BA725"/>
    <w:rsid w:val="266CA32F"/>
    <w:rsid w:val="266E6686"/>
    <w:rsid w:val="267B654E"/>
    <w:rsid w:val="26A76835"/>
    <w:rsid w:val="26BB3A00"/>
    <w:rsid w:val="26FFD692"/>
    <w:rsid w:val="270B4BD5"/>
    <w:rsid w:val="2737843D"/>
    <w:rsid w:val="27413D13"/>
    <w:rsid w:val="277B7844"/>
    <w:rsid w:val="27998B24"/>
    <w:rsid w:val="279FC772"/>
    <w:rsid w:val="27D6F83D"/>
    <w:rsid w:val="27D71DE6"/>
    <w:rsid w:val="27F29C6E"/>
    <w:rsid w:val="27F48D1D"/>
    <w:rsid w:val="280EE9DE"/>
    <w:rsid w:val="2826BD2D"/>
    <w:rsid w:val="28433896"/>
    <w:rsid w:val="284B03AF"/>
    <w:rsid w:val="28608ADD"/>
    <w:rsid w:val="287B3A92"/>
    <w:rsid w:val="28844A86"/>
    <w:rsid w:val="289D1B55"/>
    <w:rsid w:val="28CF35D1"/>
    <w:rsid w:val="28DBBE51"/>
    <w:rsid w:val="28EC939A"/>
    <w:rsid w:val="28F22F1D"/>
    <w:rsid w:val="28F55705"/>
    <w:rsid w:val="290C351A"/>
    <w:rsid w:val="2910DB86"/>
    <w:rsid w:val="29284696"/>
    <w:rsid w:val="292DF24E"/>
    <w:rsid w:val="293A7A84"/>
    <w:rsid w:val="295B3107"/>
    <w:rsid w:val="296A5B8A"/>
    <w:rsid w:val="297AF89F"/>
    <w:rsid w:val="2998DB04"/>
    <w:rsid w:val="29A347E7"/>
    <w:rsid w:val="29A78AA5"/>
    <w:rsid w:val="29B4C624"/>
    <w:rsid w:val="29DC6753"/>
    <w:rsid w:val="29F83154"/>
    <w:rsid w:val="2A0BC1CC"/>
    <w:rsid w:val="2A1126C0"/>
    <w:rsid w:val="2A1B7BE3"/>
    <w:rsid w:val="2A420B12"/>
    <w:rsid w:val="2A4FCD15"/>
    <w:rsid w:val="2A584184"/>
    <w:rsid w:val="2A652A03"/>
    <w:rsid w:val="2A7E181C"/>
    <w:rsid w:val="2A7F4994"/>
    <w:rsid w:val="2A96A997"/>
    <w:rsid w:val="2A9749BB"/>
    <w:rsid w:val="2AB31906"/>
    <w:rsid w:val="2AB5B671"/>
    <w:rsid w:val="2ACF3921"/>
    <w:rsid w:val="2AE7227F"/>
    <w:rsid w:val="2AF81280"/>
    <w:rsid w:val="2B2852F4"/>
    <w:rsid w:val="2B2F2AC6"/>
    <w:rsid w:val="2B468AA0"/>
    <w:rsid w:val="2B62C77E"/>
    <w:rsid w:val="2B79ADEE"/>
    <w:rsid w:val="2B85AE04"/>
    <w:rsid w:val="2BB74C44"/>
    <w:rsid w:val="2BD1B072"/>
    <w:rsid w:val="2C399367"/>
    <w:rsid w:val="2C559925"/>
    <w:rsid w:val="2C59EC3A"/>
    <w:rsid w:val="2C8E396D"/>
    <w:rsid w:val="2C919376"/>
    <w:rsid w:val="2C940754"/>
    <w:rsid w:val="2C9D4318"/>
    <w:rsid w:val="2CC42355"/>
    <w:rsid w:val="2CCAFB27"/>
    <w:rsid w:val="2CF5D396"/>
    <w:rsid w:val="2D1E0801"/>
    <w:rsid w:val="2D214CA4"/>
    <w:rsid w:val="2D43628E"/>
    <w:rsid w:val="2D5F8C1E"/>
    <w:rsid w:val="2D6DCCE1"/>
    <w:rsid w:val="2D769B57"/>
    <w:rsid w:val="2DA7CE13"/>
    <w:rsid w:val="2DBE39B4"/>
    <w:rsid w:val="2DE4EE78"/>
    <w:rsid w:val="2DED0ED7"/>
    <w:rsid w:val="2DF0F282"/>
    <w:rsid w:val="2DF4CDC0"/>
    <w:rsid w:val="2E046BF5"/>
    <w:rsid w:val="2E1D7628"/>
    <w:rsid w:val="2E2A68B9"/>
    <w:rsid w:val="2E5FF3B6"/>
    <w:rsid w:val="2E7AFBC8"/>
    <w:rsid w:val="2E7E2B62"/>
    <w:rsid w:val="2E99E673"/>
    <w:rsid w:val="2E9E9CF3"/>
    <w:rsid w:val="2EB06299"/>
    <w:rsid w:val="2EB9C91F"/>
    <w:rsid w:val="2F03BF45"/>
    <w:rsid w:val="2F063287"/>
    <w:rsid w:val="2F2934CD"/>
    <w:rsid w:val="2F389B26"/>
    <w:rsid w:val="2F3B5835"/>
    <w:rsid w:val="2F531C58"/>
    <w:rsid w:val="2F857969"/>
    <w:rsid w:val="2F8B44F1"/>
    <w:rsid w:val="2F9E1DF7"/>
    <w:rsid w:val="2F9FA086"/>
    <w:rsid w:val="2FF6EE9D"/>
    <w:rsid w:val="3003E2BF"/>
    <w:rsid w:val="303350E8"/>
    <w:rsid w:val="304E4A7B"/>
    <w:rsid w:val="306CE87A"/>
    <w:rsid w:val="306D29BF"/>
    <w:rsid w:val="3076C895"/>
    <w:rsid w:val="3077BD24"/>
    <w:rsid w:val="307A8BCD"/>
    <w:rsid w:val="3085C585"/>
    <w:rsid w:val="308D228E"/>
    <w:rsid w:val="30BAA192"/>
    <w:rsid w:val="30EE3EC8"/>
    <w:rsid w:val="30F25D16"/>
    <w:rsid w:val="30F99786"/>
    <w:rsid w:val="3120D012"/>
    <w:rsid w:val="31289344"/>
    <w:rsid w:val="313BD530"/>
    <w:rsid w:val="31450AFD"/>
    <w:rsid w:val="315FCF9E"/>
    <w:rsid w:val="31679AE4"/>
    <w:rsid w:val="31739393"/>
    <w:rsid w:val="31829B19"/>
    <w:rsid w:val="318D98B8"/>
    <w:rsid w:val="3192BEFE"/>
    <w:rsid w:val="31979478"/>
    <w:rsid w:val="31D5980B"/>
    <w:rsid w:val="31DF88CA"/>
    <w:rsid w:val="31E98EE1"/>
    <w:rsid w:val="31EA1ADC"/>
    <w:rsid w:val="320A7111"/>
    <w:rsid w:val="321CAEF4"/>
    <w:rsid w:val="3228F2EF"/>
    <w:rsid w:val="326064CC"/>
    <w:rsid w:val="327A3292"/>
    <w:rsid w:val="3294C00B"/>
    <w:rsid w:val="32C463A5"/>
    <w:rsid w:val="32E965E0"/>
    <w:rsid w:val="33099F87"/>
    <w:rsid w:val="33189533"/>
    <w:rsid w:val="3321FE60"/>
    <w:rsid w:val="3329662F"/>
    <w:rsid w:val="334E6CEB"/>
    <w:rsid w:val="3370D72F"/>
    <w:rsid w:val="3383EBFA"/>
    <w:rsid w:val="33AC7A6C"/>
    <w:rsid w:val="33B87F55"/>
    <w:rsid w:val="33F92112"/>
    <w:rsid w:val="3404DF79"/>
    <w:rsid w:val="3437F364"/>
    <w:rsid w:val="34603406"/>
    <w:rsid w:val="347E03F5"/>
    <w:rsid w:val="349229C6"/>
    <w:rsid w:val="34987F9C"/>
    <w:rsid w:val="349F10A0"/>
    <w:rsid w:val="34B685AD"/>
    <w:rsid w:val="34B75CEC"/>
    <w:rsid w:val="34B7B4F9"/>
    <w:rsid w:val="34CCD3F6"/>
    <w:rsid w:val="34D81FCE"/>
    <w:rsid w:val="34FDA486"/>
    <w:rsid w:val="351DC357"/>
    <w:rsid w:val="354211D3"/>
    <w:rsid w:val="35484ACD"/>
    <w:rsid w:val="357DE8F6"/>
    <w:rsid w:val="35CFE595"/>
    <w:rsid w:val="35F20E14"/>
    <w:rsid w:val="35FC0467"/>
    <w:rsid w:val="360710DC"/>
    <w:rsid w:val="360E5E68"/>
    <w:rsid w:val="3611A4B5"/>
    <w:rsid w:val="364D597A"/>
    <w:rsid w:val="36B0DD28"/>
    <w:rsid w:val="36C5DE72"/>
    <w:rsid w:val="36CD44C7"/>
    <w:rsid w:val="36DDE234"/>
    <w:rsid w:val="36F02017"/>
    <w:rsid w:val="36F57AD4"/>
    <w:rsid w:val="3719C2D6"/>
    <w:rsid w:val="3719CED6"/>
    <w:rsid w:val="375628E7"/>
    <w:rsid w:val="37A122F6"/>
    <w:rsid w:val="37A2135D"/>
    <w:rsid w:val="37CFE391"/>
    <w:rsid w:val="37D1CC03"/>
    <w:rsid w:val="37D8019C"/>
    <w:rsid w:val="37DA4E90"/>
    <w:rsid w:val="38232CF7"/>
    <w:rsid w:val="382F1B70"/>
    <w:rsid w:val="382FA409"/>
    <w:rsid w:val="385571DC"/>
    <w:rsid w:val="386EC5DE"/>
    <w:rsid w:val="38839B75"/>
    <w:rsid w:val="38888095"/>
    <w:rsid w:val="388BF078"/>
    <w:rsid w:val="3898F78A"/>
    <w:rsid w:val="38C6759C"/>
    <w:rsid w:val="38C73E4C"/>
    <w:rsid w:val="38CD6DB4"/>
    <w:rsid w:val="3920FB2A"/>
    <w:rsid w:val="392AAE89"/>
    <w:rsid w:val="394D4EE7"/>
    <w:rsid w:val="3966205C"/>
    <w:rsid w:val="39987AC9"/>
    <w:rsid w:val="39DAD8FA"/>
    <w:rsid w:val="39E3DDD6"/>
    <w:rsid w:val="39E5A879"/>
    <w:rsid w:val="39F1D403"/>
    <w:rsid w:val="3A1462DF"/>
    <w:rsid w:val="3A61D737"/>
    <w:rsid w:val="3A64EB07"/>
    <w:rsid w:val="3A83AE26"/>
    <w:rsid w:val="3A89650D"/>
    <w:rsid w:val="3A9CA610"/>
    <w:rsid w:val="3AAC16EB"/>
    <w:rsid w:val="3AF3B3BB"/>
    <w:rsid w:val="3B162B84"/>
    <w:rsid w:val="3B344B2A"/>
    <w:rsid w:val="3B40E68A"/>
    <w:rsid w:val="3B484E80"/>
    <w:rsid w:val="3B5EFD93"/>
    <w:rsid w:val="3B674157"/>
    <w:rsid w:val="3BA76A3F"/>
    <w:rsid w:val="3BBC3611"/>
    <w:rsid w:val="3BFBAED0"/>
    <w:rsid w:val="3C0269C1"/>
    <w:rsid w:val="3C2AA503"/>
    <w:rsid w:val="3C3606E0"/>
    <w:rsid w:val="3C3F2719"/>
    <w:rsid w:val="3C4C902B"/>
    <w:rsid w:val="3C52401D"/>
    <w:rsid w:val="3C7D4E46"/>
    <w:rsid w:val="3C89B928"/>
    <w:rsid w:val="3CB6D702"/>
    <w:rsid w:val="3CC40615"/>
    <w:rsid w:val="3CD01B8B"/>
    <w:rsid w:val="3CDFBEDA"/>
    <w:rsid w:val="3D021D47"/>
    <w:rsid w:val="3D0A15CC"/>
    <w:rsid w:val="3D0C4736"/>
    <w:rsid w:val="3D13A81C"/>
    <w:rsid w:val="3D18B8B6"/>
    <w:rsid w:val="3D3C2F0A"/>
    <w:rsid w:val="3D55300F"/>
    <w:rsid w:val="3D62312C"/>
    <w:rsid w:val="3D630B25"/>
    <w:rsid w:val="3D64E93F"/>
    <w:rsid w:val="3DAD4137"/>
    <w:rsid w:val="3DC97C3D"/>
    <w:rsid w:val="3DF60E46"/>
    <w:rsid w:val="3DFAFAE1"/>
    <w:rsid w:val="3E09D7C4"/>
    <w:rsid w:val="3E2F09AB"/>
    <w:rsid w:val="3E51CDA8"/>
    <w:rsid w:val="3E5819A9"/>
    <w:rsid w:val="3E5AB408"/>
    <w:rsid w:val="3E5B3265"/>
    <w:rsid w:val="3E5FCFF6"/>
    <w:rsid w:val="3E726BAE"/>
    <w:rsid w:val="3ECB1856"/>
    <w:rsid w:val="3ED08B6A"/>
    <w:rsid w:val="3EF044A9"/>
    <w:rsid w:val="3F0B4E4C"/>
    <w:rsid w:val="3F222E0F"/>
    <w:rsid w:val="3F325632"/>
    <w:rsid w:val="3F3C3B1C"/>
    <w:rsid w:val="3F691125"/>
    <w:rsid w:val="3F6AACF6"/>
    <w:rsid w:val="3F6D0EEE"/>
    <w:rsid w:val="3F929B13"/>
    <w:rsid w:val="403903D4"/>
    <w:rsid w:val="4053985B"/>
    <w:rsid w:val="405F039B"/>
    <w:rsid w:val="4067F6EA"/>
    <w:rsid w:val="4074270D"/>
    <w:rsid w:val="4087E11A"/>
    <w:rsid w:val="409EC833"/>
    <w:rsid w:val="40CB092A"/>
    <w:rsid w:val="40DAB27F"/>
    <w:rsid w:val="40F1B193"/>
    <w:rsid w:val="410347CB"/>
    <w:rsid w:val="410A4A8D"/>
    <w:rsid w:val="410C8BF0"/>
    <w:rsid w:val="416A039E"/>
    <w:rsid w:val="417DE0EE"/>
    <w:rsid w:val="418C200B"/>
    <w:rsid w:val="418E460F"/>
    <w:rsid w:val="41BD9E4B"/>
    <w:rsid w:val="41CA887B"/>
    <w:rsid w:val="42082C2C"/>
    <w:rsid w:val="421BBCA4"/>
    <w:rsid w:val="422085B1"/>
    <w:rsid w:val="4232004F"/>
    <w:rsid w:val="423258F5"/>
    <w:rsid w:val="42418E4C"/>
    <w:rsid w:val="424B497B"/>
    <w:rsid w:val="427FFCDB"/>
    <w:rsid w:val="42886701"/>
    <w:rsid w:val="42940321"/>
    <w:rsid w:val="4295E8CA"/>
    <w:rsid w:val="42984273"/>
    <w:rsid w:val="42A0B1E7"/>
    <w:rsid w:val="42BC42C1"/>
    <w:rsid w:val="42C6A568"/>
    <w:rsid w:val="4318517C"/>
    <w:rsid w:val="431AF56F"/>
    <w:rsid w:val="4320CFD0"/>
    <w:rsid w:val="432B1C77"/>
    <w:rsid w:val="432B2ADE"/>
    <w:rsid w:val="432B6D30"/>
    <w:rsid w:val="434115A2"/>
    <w:rsid w:val="434DDA52"/>
    <w:rsid w:val="43880E15"/>
    <w:rsid w:val="4394F7A3"/>
    <w:rsid w:val="43BADA21"/>
    <w:rsid w:val="43C04A97"/>
    <w:rsid w:val="43D2C9A1"/>
    <w:rsid w:val="43D77EAD"/>
    <w:rsid w:val="43F520C2"/>
    <w:rsid w:val="43FE8A90"/>
    <w:rsid w:val="4404A588"/>
    <w:rsid w:val="4417C244"/>
    <w:rsid w:val="4433907E"/>
    <w:rsid w:val="4434B0DD"/>
    <w:rsid w:val="4436206C"/>
    <w:rsid w:val="443DD509"/>
    <w:rsid w:val="446DA2F2"/>
    <w:rsid w:val="44706EE5"/>
    <w:rsid w:val="44888420"/>
    <w:rsid w:val="44A82343"/>
    <w:rsid w:val="44AAC8FC"/>
    <w:rsid w:val="44B34FA0"/>
    <w:rsid w:val="44BCA031"/>
    <w:rsid w:val="44D9ABB8"/>
    <w:rsid w:val="44DCE603"/>
    <w:rsid w:val="4526756E"/>
    <w:rsid w:val="4529D73C"/>
    <w:rsid w:val="4550F266"/>
    <w:rsid w:val="455248ED"/>
    <w:rsid w:val="455BA2C7"/>
    <w:rsid w:val="458861E6"/>
    <w:rsid w:val="4599ADFF"/>
    <w:rsid w:val="45A37119"/>
    <w:rsid w:val="45AF189D"/>
    <w:rsid w:val="45B392A5"/>
    <w:rsid w:val="45C522B6"/>
    <w:rsid w:val="45CBA3E3"/>
    <w:rsid w:val="45CCE102"/>
    <w:rsid w:val="45D9A56A"/>
    <w:rsid w:val="45E93EDC"/>
    <w:rsid w:val="4602BE5A"/>
    <w:rsid w:val="4638ADB7"/>
    <w:rsid w:val="464EECEA"/>
    <w:rsid w:val="464F01DF"/>
    <w:rsid w:val="464F2001"/>
    <w:rsid w:val="465027CB"/>
    <w:rsid w:val="468555D6"/>
    <w:rsid w:val="46BD16C1"/>
    <w:rsid w:val="46E3EB64"/>
    <w:rsid w:val="46ECAECF"/>
    <w:rsid w:val="46EE4335"/>
    <w:rsid w:val="473ADCFE"/>
    <w:rsid w:val="4768A281"/>
    <w:rsid w:val="479E260B"/>
    <w:rsid w:val="47A2BA09"/>
    <w:rsid w:val="47A91186"/>
    <w:rsid w:val="47AD8709"/>
    <w:rsid w:val="47D3FA15"/>
    <w:rsid w:val="4824E74C"/>
    <w:rsid w:val="482529C5"/>
    <w:rsid w:val="482609DD"/>
    <w:rsid w:val="48354E1F"/>
    <w:rsid w:val="483C5C56"/>
    <w:rsid w:val="48889328"/>
    <w:rsid w:val="48A6886C"/>
    <w:rsid w:val="48B9F0D6"/>
    <w:rsid w:val="48C3B5AA"/>
    <w:rsid w:val="48D8396E"/>
    <w:rsid w:val="48FAF616"/>
    <w:rsid w:val="48FCC378"/>
    <w:rsid w:val="490344A5"/>
    <w:rsid w:val="49150978"/>
    <w:rsid w:val="492DE02A"/>
    <w:rsid w:val="4933A475"/>
    <w:rsid w:val="493DDA10"/>
    <w:rsid w:val="49690896"/>
    <w:rsid w:val="49847AF0"/>
    <w:rsid w:val="4996A2C8"/>
    <w:rsid w:val="49A9FEBE"/>
    <w:rsid w:val="49B21B41"/>
    <w:rsid w:val="49EB2CB5"/>
    <w:rsid w:val="49F06A08"/>
    <w:rsid w:val="4A2C821C"/>
    <w:rsid w:val="4A4258CD"/>
    <w:rsid w:val="4A76DF84"/>
    <w:rsid w:val="4A9893D9"/>
    <w:rsid w:val="4AA05225"/>
    <w:rsid w:val="4AB113AB"/>
    <w:rsid w:val="4AEF2BA3"/>
    <w:rsid w:val="4AF75532"/>
    <w:rsid w:val="4AF8E639"/>
    <w:rsid w:val="4B048548"/>
    <w:rsid w:val="4B05CEEB"/>
    <w:rsid w:val="4B0B9AD7"/>
    <w:rsid w:val="4B322B64"/>
    <w:rsid w:val="4B4518B7"/>
    <w:rsid w:val="4B57C54B"/>
    <w:rsid w:val="4B779020"/>
    <w:rsid w:val="4B989E07"/>
    <w:rsid w:val="4BAB7909"/>
    <w:rsid w:val="4BACF224"/>
    <w:rsid w:val="4BB5F968"/>
    <w:rsid w:val="4BE72B40"/>
    <w:rsid w:val="4C0C09AC"/>
    <w:rsid w:val="4C21D1F5"/>
    <w:rsid w:val="4C34643A"/>
    <w:rsid w:val="4C3E7428"/>
    <w:rsid w:val="4C71972E"/>
    <w:rsid w:val="4C78C583"/>
    <w:rsid w:val="4CB57231"/>
    <w:rsid w:val="4CD05DC9"/>
    <w:rsid w:val="4CD3F77A"/>
    <w:rsid w:val="4CE869A9"/>
    <w:rsid w:val="4CEFDBE0"/>
    <w:rsid w:val="4D0DEF16"/>
    <w:rsid w:val="4D101258"/>
    <w:rsid w:val="4D2D403E"/>
    <w:rsid w:val="4D3CA334"/>
    <w:rsid w:val="4D5DAC84"/>
    <w:rsid w:val="4D5F60C0"/>
    <w:rsid w:val="4D999DC8"/>
    <w:rsid w:val="4D9CC17F"/>
    <w:rsid w:val="4DDBBFB5"/>
    <w:rsid w:val="4E033369"/>
    <w:rsid w:val="4E2F6631"/>
    <w:rsid w:val="4E3C260A"/>
    <w:rsid w:val="4E439BFF"/>
    <w:rsid w:val="4E555B7A"/>
    <w:rsid w:val="4E593CD5"/>
    <w:rsid w:val="4E6BC71B"/>
    <w:rsid w:val="4E6F1C05"/>
    <w:rsid w:val="4E9C3BCD"/>
    <w:rsid w:val="4EC9E815"/>
    <w:rsid w:val="4ECA9D12"/>
    <w:rsid w:val="4EDA1585"/>
    <w:rsid w:val="4F0D5D6B"/>
    <w:rsid w:val="4F179505"/>
    <w:rsid w:val="4F3D82F3"/>
    <w:rsid w:val="4F5EBAB2"/>
    <w:rsid w:val="4F8025D7"/>
    <w:rsid w:val="4F8C0162"/>
    <w:rsid w:val="4F903D51"/>
    <w:rsid w:val="4F938D7B"/>
    <w:rsid w:val="4F97901F"/>
    <w:rsid w:val="4FA2A165"/>
    <w:rsid w:val="4FCD6B2D"/>
    <w:rsid w:val="4FDC7C44"/>
    <w:rsid w:val="4FDF0BFA"/>
    <w:rsid w:val="4FE145D7"/>
    <w:rsid w:val="4FE6B4D3"/>
    <w:rsid w:val="4FED583A"/>
    <w:rsid w:val="4FF5567A"/>
    <w:rsid w:val="4FF5C49B"/>
    <w:rsid w:val="4FF95BCA"/>
    <w:rsid w:val="4FFF950B"/>
    <w:rsid w:val="500811B9"/>
    <w:rsid w:val="500BD0A5"/>
    <w:rsid w:val="501941FB"/>
    <w:rsid w:val="504D9490"/>
    <w:rsid w:val="506933E1"/>
    <w:rsid w:val="507D9669"/>
    <w:rsid w:val="50A5AD68"/>
    <w:rsid w:val="50C7EE59"/>
    <w:rsid w:val="50F050B9"/>
    <w:rsid w:val="50FCD6C3"/>
    <w:rsid w:val="5111E90A"/>
    <w:rsid w:val="512CF320"/>
    <w:rsid w:val="51762F44"/>
    <w:rsid w:val="5189D300"/>
    <w:rsid w:val="519B961A"/>
    <w:rsid w:val="51A3E21A"/>
    <w:rsid w:val="51A85C39"/>
    <w:rsid w:val="51C27862"/>
    <w:rsid w:val="51E72F3C"/>
    <w:rsid w:val="51E94079"/>
    <w:rsid w:val="51F29864"/>
    <w:rsid w:val="51FC3743"/>
    <w:rsid w:val="522BE51F"/>
    <w:rsid w:val="5240F364"/>
    <w:rsid w:val="52901BAB"/>
    <w:rsid w:val="52998F39"/>
    <w:rsid w:val="52D46F38"/>
    <w:rsid w:val="52E0D8B2"/>
    <w:rsid w:val="5311FFA5"/>
    <w:rsid w:val="5327BFF9"/>
    <w:rsid w:val="53437167"/>
    <w:rsid w:val="53561F9F"/>
    <w:rsid w:val="536BFB6F"/>
    <w:rsid w:val="5383DB8D"/>
    <w:rsid w:val="53A62BE4"/>
    <w:rsid w:val="53C5F724"/>
    <w:rsid w:val="542CF0F0"/>
    <w:rsid w:val="5463AE74"/>
    <w:rsid w:val="547CA913"/>
    <w:rsid w:val="54ADD006"/>
    <w:rsid w:val="54E78344"/>
    <w:rsid w:val="54EBC961"/>
    <w:rsid w:val="54F11F56"/>
    <w:rsid w:val="54FA1924"/>
    <w:rsid w:val="5509C7BD"/>
    <w:rsid w:val="552657F0"/>
    <w:rsid w:val="5530ABF7"/>
    <w:rsid w:val="554C8123"/>
    <w:rsid w:val="55691B31"/>
    <w:rsid w:val="5569D7A8"/>
    <w:rsid w:val="55770263"/>
    <w:rsid w:val="55808644"/>
    <w:rsid w:val="559F6F9E"/>
    <w:rsid w:val="55B83747"/>
    <w:rsid w:val="55D69991"/>
    <w:rsid w:val="55DDE5A3"/>
    <w:rsid w:val="55DE7DBA"/>
    <w:rsid w:val="55FA1C31"/>
    <w:rsid w:val="561620D3"/>
    <w:rsid w:val="56187974"/>
    <w:rsid w:val="56421788"/>
    <w:rsid w:val="5649A067"/>
    <w:rsid w:val="569BA8FF"/>
    <w:rsid w:val="56DC3027"/>
    <w:rsid w:val="56E5B176"/>
    <w:rsid w:val="56E93CE4"/>
    <w:rsid w:val="56FA7B8B"/>
    <w:rsid w:val="573DADBF"/>
    <w:rsid w:val="573F3F6B"/>
    <w:rsid w:val="5745916B"/>
    <w:rsid w:val="575A2291"/>
    <w:rsid w:val="575C6B1B"/>
    <w:rsid w:val="57648C4A"/>
    <w:rsid w:val="5772E316"/>
    <w:rsid w:val="57798EC6"/>
    <w:rsid w:val="577A52CD"/>
    <w:rsid w:val="5786C2B3"/>
    <w:rsid w:val="57980CF7"/>
    <w:rsid w:val="579A56CA"/>
    <w:rsid w:val="57B449D5"/>
    <w:rsid w:val="57B665FD"/>
    <w:rsid w:val="57E77269"/>
    <w:rsid w:val="57F72FE1"/>
    <w:rsid w:val="580BC656"/>
    <w:rsid w:val="584A0053"/>
    <w:rsid w:val="5857DB4F"/>
    <w:rsid w:val="5858A675"/>
    <w:rsid w:val="587CBB90"/>
    <w:rsid w:val="588B15BE"/>
    <w:rsid w:val="58952464"/>
    <w:rsid w:val="58D2F992"/>
    <w:rsid w:val="58E161CC"/>
    <w:rsid w:val="58E89430"/>
    <w:rsid w:val="58F0AAB6"/>
    <w:rsid w:val="590A243B"/>
    <w:rsid w:val="591347E2"/>
    <w:rsid w:val="591AD4C8"/>
    <w:rsid w:val="595B1F50"/>
    <w:rsid w:val="5963F364"/>
    <w:rsid w:val="59740303"/>
    <w:rsid w:val="597A6E83"/>
    <w:rsid w:val="59825430"/>
    <w:rsid w:val="59936EC8"/>
    <w:rsid w:val="59A61227"/>
    <w:rsid w:val="59A8CCD1"/>
    <w:rsid w:val="59C76295"/>
    <w:rsid w:val="59CA2A0D"/>
    <w:rsid w:val="5A00B1CB"/>
    <w:rsid w:val="5A08D497"/>
    <w:rsid w:val="5A14B9CA"/>
    <w:rsid w:val="5A4D0882"/>
    <w:rsid w:val="5A53CFED"/>
    <w:rsid w:val="5A661767"/>
    <w:rsid w:val="5A684DFA"/>
    <w:rsid w:val="5A72C20C"/>
    <w:rsid w:val="5A770089"/>
    <w:rsid w:val="5A882940"/>
    <w:rsid w:val="5A8B6D14"/>
    <w:rsid w:val="5A9DDB3B"/>
    <w:rsid w:val="5ACC7E1F"/>
    <w:rsid w:val="5AD11BFE"/>
    <w:rsid w:val="5AE839C9"/>
    <w:rsid w:val="5AEBEA97"/>
    <w:rsid w:val="5AF3333E"/>
    <w:rsid w:val="5B1CFD7A"/>
    <w:rsid w:val="5B1D24CE"/>
    <w:rsid w:val="5B279F3A"/>
    <w:rsid w:val="5B2EDB6E"/>
    <w:rsid w:val="5B32AF86"/>
    <w:rsid w:val="5B3D1D3A"/>
    <w:rsid w:val="5B4C22C8"/>
    <w:rsid w:val="5B56F7E2"/>
    <w:rsid w:val="5B63992C"/>
    <w:rsid w:val="5B66FE8C"/>
    <w:rsid w:val="5B7607A4"/>
    <w:rsid w:val="5B8EED72"/>
    <w:rsid w:val="5B8F7C11"/>
    <w:rsid w:val="5BA4D476"/>
    <w:rsid w:val="5BA98E23"/>
    <w:rsid w:val="5BD1EB17"/>
    <w:rsid w:val="5BEB0374"/>
    <w:rsid w:val="5C12BD1E"/>
    <w:rsid w:val="5C19028E"/>
    <w:rsid w:val="5C1EDA78"/>
    <w:rsid w:val="5C4B1F30"/>
    <w:rsid w:val="5C5D8526"/>
    <w:rsid w:val="5C71AB7C"/>
    <w:rsid w:val="5C855D5D"/>
    <w:rsid w:val="5C9FCCD2"/>
    <w:rsid w:val="5CA58AB4"/>
    <w:rsid w:val="5CBA8502"/>
    <w:rsid w:val="5CC0C94D"/>
    <w:rsid w:val="5CDC3FBE"/>
    <w:rsid w:val="5CDDB2E9"/>
    <w:rsid w:val="5CF3991E"/>
    <w:rsid w:val="5D07CD53"/>
    <w:rsid w:val="5D1A25BD"/>
    <w:rsid w:val="5D1C09D9"/>
    <w:rsid w:val="5D26751A"/>
    <w:rsid w:val="5D502CB3"/>
    <w:rsid w:val="5D5BB548"/>
    <w:rsid w:val="5D6669F9"/>
    <w:rsid w:val="5D7A23C1"/>
    <w:rsid w:val="5D7BCF9E"/>
    <w:rsid w:val="5DBAAAD9"/>
    <w:rsid w:val="5E0F41C1"/>
    <w:rsid w:val="5E3E1410"/>
    <w:rsid w:val="5E658A72"/>
    <w:rsid w:val="5E7840BF"/>
    <w:rsid w:val="5E7F049B"/>
    <w:rsid w:val="5EB7DA3A"/>
    <w:rsid w:val="5ECB4B02"/>
    <w:rsid w:val="5ECED3AF"/>
    <w:rsid w:val="5ECF8C42"/>
    <w:rsid w:val="5EF0984E"/>
    <w:rsid w:val="5F51B9A7"/>
    <w:rsid w:val="5F641FC4"/>
    <w:rsid w:val="5F924993"/>
    <w:rsid w:val="5F978329"/>
    <w:rsid w:val="5F993FF0"/>
    <w:rsid w:val="5FAB1222"/>
    <w:rsid w:val="5FAC994C"/>
    <w:rsid w:val="5FB7EAC2"/>
    <w:rsid w:val="5FC4F09F"/>
    <w:rsid w:val="5FFDFCC3"/>
    <w:rsid w:val="6000C6AF"/>
    <w:rsid w:val="600C5FB6"/>
    <w:rsid w:val="6011EAE5"/>
    <w:rsid w:val="601348F2"/>
    <w:rsid w:val="60147743"/>
    <w:rsid w:val="601D93C3"/>
    <w:rsid w:val="6022BD00"/>
    <w:rsid w:val="60284627"/>
    <w:rsid w:val="605CAF45"/>
    <w:rsid w:val="605E17BC"/>
    <w:rsid w:val="607248A0"/>
    <w:rsid w:val="6072F2B1"/>
    <w:rsid w:val="607D89C8"/>
    <w:rsid w:val="60978B96"/>
    <w:rsid w:val="6097BA6E"/>
    <w:rsid w:val="60D577A6"/>
    <w:rsid w:val="60DDE887"/>
    <w:rsid w:val="60F24B9B"/>
    <w:rsid w:val="60FF51B5"/>
    <w:rsid w:val="612AE267"/>
    <w:rsid w:val="6158916E"/>
    <w:rsid w:val="6168D43C"/>
    <w:rsid w:val="61733DF5"/>
    <w:rsid w:val="617B4E2F"/>
    <w:rsid w:val="6193942A"/>
    <w:rsid w:val="61C60A45"/>
    <w:rsid w:val="61D27DA4"/>
    <w:rsid w:val="61E1B8A3"/>
    <w:rsid w:val="6234544F"/>
    <w:rsid w:val="62678CD0"/>
    <w:rsid w:val="6267BAFE"/>
    <w:rsid w:val="6271AC46"/>
    <w:rsid w:val="627A6F8D"/>
    <w:rsid w:val="62967EF9"/>
    <w:rsid w:val="62D79004"/>
    <w:rsid w:val="62F461CF"/>
    <w:rsid w:val="62F6A6AD"/>
    <w:rsid w:val="62FC9161"/>
    <w:rsid w:val="630A493F"/>
    <w:rsid w:val="6349A0B7"/>
    <w:rsid w:val="634B7D0E"/>
    <w:rsid w:val="634F20CA"/>
    <w:rsid w:val="635E267E"/>
    <w:rsid w:val="63896584"/>
    <w:rsid w:val="638D7844"/>
    <w:rsid w:val="63D006BB"/>
    <w:rsid w:val="640BA0BC"/>
    <w:rsid w:val="64121DA8"/>
    <w:rsid w:val="641E39E5"/>
    <w:rsid w:val="6424ECE8"/>
    <w:rsid w:val="645CDD63"/>
    <w:rsid w:val="646A1A85"/>
    <w:rsid w:val="647B286C"/>
    <w:rsid w:val="647DE6B5"/>
    <w:rsid w:val="64833331"/>
    <w:rsid w:val="64886ADD"/>
    <w:rsid w:val="648F76D5"/>
    <w:rsid w:val="6490F29A"/>
    <w:rsid w:val="64AADEB7"/>
    <w:rsid w:val="64E8BB9E"/>
    <w:rsid w:val="652535E5"/>
    <w:rsid w:val="65357DB9"/>
    <w:rsid w:val="659C25EE"/>
    <w:rsid w:val="65A49506"/>
    <w:rsid w:val="65BA88CC"/>
    <w:rsid w:val="65C58F55"/>
    <w:rsid w:val="65D5B55F"/>
    <w:rsid w:val="65D62ADD"/>
    <w:rsid w:val="65D844B9"/>
    <w:rsid w:val="65D931FD"/>
    <w:rsid w:val="65DDA12A"/>
    <w:rsid w:val="65ECC86A"/>
    <w:rsid w:val="65F8ADC4"/>
    <w:rsid w:val="65FC8881"/>
    <w:rsid w:val="660A81CF"/>
    <w:rsid w:val="66195436"/>
    <w:rsid w:val="662C0291"/>
    <w:rsid w:val="662DB6C3"/>
    <w:rsid w:val="66670EAC"/>
    <w:rsid w:val="66788149"/>
    <w:rsid w:val="667D7E7B"/>
    <w:rsid w:val="6690F74A"/>
    <w:rsid w:val="66AF64AA"/>
    <w:rsid w:val="66BCD37C"/>
    <w:rsid w:val="66C10646"/>
    <w:rsid w:val="66E30EF7"/>
    <w:rsid w:val="66E45A34"/>
    <w:rsid w:val="67255CA6"/>
    <w:rsid w:val="673A720B"/>
    <w:rsid w:val="675E39B0"/>
    <w:rsid w:val="67672AE0"/>
    <w:rsid w:val="676BD089"/>
    <w:rsid w:val="6771602E"/>
    <w:rsid w:val="6786A7E5"/>
    <w:rsid w:val="679178CB"/>
    <w:rsid w:val="67947E25"/>
    <w:rsid w:val="67AD9474"/>
    <w:rsid w:val="67BB73F5"/>
    <w:rsid w:val="67D00284"/>
    <w:rsid w:val="684B350B"/>
    <w:rsid w:val="68802A95"/>
    <w:rsid w:val="68929F0B"/>
    <w:rsid w:val="68B0E014"/>
    <w:rsid w:val="68CED09D"/>
    <w:rsid w:val="68D3F0E1"/>
    <w:rsid w:val="68D62F28"/>
    <w:rsid w:val="68E2C27E"/>
    <w:rsid w:val="68FAC6C7"/>
    <w:rsid w:val="693397B5"/>
    <w:rsid w:val="69534B62"/>
    <w:rsid w:val="69628EE0"/>
    <w:rsid w:val="69677A19"/>
    <w:rsid w:val="696BD2E5"/>
    <w:rsid w:val="698E08A2"/>
    <w:rsid w:val="6A10EFFD"/>
    <w:rsid w:val="6A1A6DED"/>
    <w:rsid w:val="6A21469F"/>
    <w:rsid w:val="6A40E899"/>
    <w:rsid w:val="6A4DA42C"/>
    <w:rsid w:val="6A5FACE3"/>
    <w:rsid w:val="6A6BF3EC"/>
    <w:rsid w:val="6A6F9711"/>
    <w:rsid w:val="6A72AA8B"/>
    <w:rsid w:val="6A7E5579"/>
    <w:rsid w:val="6A7F1782"/>
    <w:rsid w:val="6A8ED9D1"/>
    <w:rsid w:val="6ADD3AC2"/>
    <w:rsid w:val="6AE3DB71"/>
    <w:rsid w:val="6AE53536"/>
    <w:rsid w:val="6AF4BD21"/>
    <w:rsid w:val="6AF84B34"/>
    <w:rsid w:val="6B08C45E"/>
    <w:rsid w:val="6B2CFA7F"/>
    <w:rsid w:val="6B3678A7"/>
    <w:rsid w:val="6B3914AC"/>
    <w:rsid w:val="6B3C5549"/>
    <w:rsid w:val="6B44B56E"/>
    <w:rsid w:val="6B92E69D"/>
    <w:rsid w:val="6B96C717"/>
    <w:rsid w:val="6BA1EDE8"/>
    <w:rsid w:val="6BA98CD9"/>
    <w:rsid w:val="6BB30005"/>
    <w:rsid w:val="6BD1283A"/>
    <w:rsid w:val="6BF23F71"/>
    <w:rsid w:val="6C156BBB"/>
    <w:rsid w:val="6C3A8CD9"/>
    <w:rsid w:val="6C3B82C0"/>
    <w:rsid w:val="6C432E46"/>
    <w:rsid w:val="6C50DDB2"/>
    <w:rsid w:val="6C51244F"/>
    <w:rsid w:val="6C56F1DA"/>
    <w:rsid w:val="6C60DE9F"/>
    <w:rsid w:val="6C6386CF"/>
    <w:rsid w:val="6CA0F5E6"/>
    <w:rsid w:val="6CA3319B"/>
    <w:rsid w:val="6CC154E0"/>
    <w:rsid w:val="6CD09187"/>
    <w:rsid w:val="6CDF17AD"/>
    <w:rsid w:val="6D0D4EA9"/>
    <w:rsid w:val="6D3BB3F1"/>
    <w:rsid w:val="6D5C3C7A"/>
    <w:rsid w:val="6D9B4F39"/>
    <w:rsid w:val="6DA98C3B"/>
    <w:rsid w:val="6DAF8934"/>
    <w:rsid w:val="6DDDA262"/>
    <w:rsid w:val="6DDEEF5B"/>
    <w:rsid w:val="6DEFB839"/>
    <w:rsid w:val="6DFBA8E3"/>
    <w:rsid w:val="6E1B6432"/>
    <w:rsid w:val="6E1CD5F8"/>
    <w:rsid w:val="6E2BEB59"/>
    <w:rsid w:val="6E30B20D"/>
    <w:rsid w:val="6E43B8D1"/>
    <w:rsid w:val="6E6F9F5E"/>
    <w:rsid w:val="6E92B70F"/>
    <w:rsid w:val="6E9DDB6F"/>
    <w:rsid w:val="6EA4A457"/>
    <w:rsid w:val="6EA8ACE5"/>
    <w:rsid w:val="6ED314ED"/>
    <w:rsid w:val="6EF963E3"/>
    <w:rsid w:val="6F1BBE2C"/>
    <w:rsid w:val="6F2880E5"/>
    <w:rsid w:val="6F2DD14E"/>
    <w:rsid w:val="6F3402CD"/>
    <w:rsid w:val="6F371F9A"/>
    <w:rsid w:val="6F6EC6A9"/>
    <w:rsid w:val="6F74DB30"/>
    <w:rsid w:val="6F79F6C7"/>
    <w:rsid w:val="6F7CAD35"/>
    <w:rsid w:val="6F984C29"/>
    <w:rsid w:val="6FAB8500"/>
    <w:rsid w:val="6FDAD25D"/>
    <w:rsid w:val="6FE8B73F"/>
    <w:rsid w:val="6FF781A4"/>
    <w:rsid w:val="700CF777"/>
    <w:rsid w:val="7054AF7F"/>
    <w:rsid w:val="706657C0"/>
    <w:rsid w:val="707AD4AC"/>
    <w:rsid w:val="70A13AA0"/>
    <w:rsid w:val="70C5718B"/>
    <w:rsid w:val="70D13539"/>
    <w:rsid w:val="70DF0444"/>
    <w:rsid w:val="70F98A72"/>
    <w:rsid w:val="710A1D75"/>
    <w:rsid w:val="710A970A"/>
    <w:rsid w:val="71129183"/>
    <w:rsid w:val="711D7C1F"/>
    <w:rsid w:val="714C079B"/>
    <w:rsid w:val="7164F3D3"/>
    <w:rsid w:val="71717E67"/>
    <w:rsid w:val="7176A2BE"/>
    <w:rsid w:val="717FF22A"/>
    <w:rsid w:val="71A43571"/>
    <w:rsid w:val="71A95942"/>
    <w:rsid w:val="71AD251E"/>
    <w:rsid w:val="71CD2AA3"/>
    <w:rsid w:val="71DE118A"/>
    <w:rsid w:val="71E7C8F6"/>
    <w:rsid w:val="71F0BCE2"/>
    <w:rsid w:val="72022821"/>
    <w:rsid w:val="7215BC60"/>
    <w:rsid w:val="7236E0F7"/>
    <w:rsid w:val="72495996"/>
    <w:rsid w:val="7258D943"/>
    <w:rsid w:val="7295C075"/>
    <w:rsid w:val="729650F0"/>
    <w:rsid w:val="72A72DD7"/>
    <w:rsid w:val="72A9C4AA"/>
    <w:rsid w:val="72B49049"/>
    <w:rsid w:val="72D13D48"/>
    <w:rsid w:val="72F59958"/>
    <w:rsid w:val="72F781EF"/>
    <w:rsid w:val="73031C15"/>
    <w:rsid w:val="7311312E"/>
    <w:rsid w:val="7312731F"/>
    <w:rsid w:val="73159422"/>
    <w:rsid w:val="731ACFCE"/>
    <w:rsid w:val="731BC28B"/>
    <w:rsid w:val="732C782A"/>
    <w:rsid w:val="73496DB0"/>
    <w:rsid w:val="7356CEA6"/>
    <w:rsid w:val="73701B1A"/>
    <w:rsid w:val="7376CE1D"/>
    <w:rsid w:val="739DF882"/>
    <w:rsid w:val="73C446FB"/>
    <w:rsid w:val="73C5C9BB"/>
    <w:rsid w:val="73C7D9C7"/>
    <w:rsid w:val="73F9D869"/>
    <w:rsid w:val="7406781E"/>
    <w:rsid w:val="7442FE38"/>
    <w:rsid w:val="74434E25"/>
    <w:rsid w:val="744945B1"/>
    <w:rsid w:val="745060AA"/>
    <w:rsid w:val="7466695F"/>
    <w:rsid w:val="746E119A"/>
    <w:rsid w:val="747C09BD"/>
    <w:rsid w:val="74822684"/>
    <w:rsid w:val="7483F082"/>
    <w:rsid w:val="748DDEAD"/>
    <w:rsid w:val="74967E47"/>
    <w:rsid w:val="74AD018F"/>
    <w:rsid w:val="74AF9C4F"/>
    <w:rsid w:val="74CBF1FD"/>
    <w:rsid w:val="74D654F1"/>
    <w:rsid w:val="74DDCCC8"/>
    <w:rsid w:val="75043856"/>
    <w:rsid w:val="752AB4EA"/>
    <w:rsid w:val="75392C85"/>
    <w:rsid w:val="755FFA47"/>
    <w:rsid w:val="756E81B9"/>
    <w:rsid w:val="7577CDA7"/>
    <w:rsid w:val="7595A8CA"/>
    <w:rsid w:val="759ACEAD"/>
    <w:rsid w:val="75D062D6"/>
    <w:rsid w:val="75DECE99"/>
    <w:rsid w:val="761236AB"/>
    <w:rsid w:val="7630EB84"/>
    <w:rsid w:val="7661C68A"/>
    <w:rsid w:val="767E5DFC"/>
    <w:rsid w:val="769902D5"/>
    <w:rsid w:val="769BB2CA"/>
    <w:rsid w:val="76A5B8C3"/>
    <w:rsid w:val="76B3FE4D"/>
    <w:rsid w:val="76C1C2F7"/>
    <w:rsid w:val="76C93CAF"/>
    <w:rsid w:val="76D26573"/>
    <w:rsid w:val="76F1D47C"/>
    <w:rsid w:val="77096723"/>
    <w:rsid w:val="770A521A"/>
    <w:rsid w:val="77201FD9"/>
    <w:rsid w:val="7731792B"/>
    <w:rsid w:val="775D1D2E"/>
    <w:rsid w:val="777A9EFA"/>
    <w:rsid w:val="777F9E6F"/>
    <w:rsid w:val="77AF2CF6"/>
    <w:rsid w:val="77BDD8E3"/>
    <w:rsid w:val="77CE1F09"/>
    <w:rsid w:val="77D21714"/>
    <w:rsid w:val="77D32124"/>
    <w:rsid w:val="77DDEBCB"/>
    <w:rsid w:val="77EDDD3F"/>
    <w:rsid w:val="7810711A"/>
    <w:rsid w:val="78113C62"/>
    <w:rsid w:val="783E887C"/>
    <w:rsid w:val="784A3F40"/>
    <w:rsid w:val="784FCB04"/>
    <w:rsid w:val="786873A9"/>
    <w:rsid w:val="787F6ED5"/>
    <w:rsid w:val="7885A7E6"/>
    <w:rsid w:val="788D9D5D"/>
    <w:rsid w:val="78B143B5"/>
    <w:rsid w:val="78D7EABA"/>
    <w:rsid w:val="78F21D1D"/>
    <w:rsid w:val="78F7CB3B"/>
    <w:rsid w:val="791B6ED0"/>
    <w:rsid w:val="791F8AD9"/>
    <w:rsid w:val="793B3E5A"/>
    <w:rsid w:val="7942B1CB"/>
    <w:rsid w:val="794D9507"/>
    <w:rsid w:val="7959A944"/>
    <w:rsid w:val="7969EF6A"/>
    <w:rsid w:val="796BCEEE"/>
    <w:rsid w:val="7979BC2C"/>
    <w:rsid w:val="797C10B1"/>
    <w:rsid w:val="7981B4A3"/>
    <w:rsid w:val="798F547D"/>
    <w:rsid w:val="79C78CB4"/>
    <w:rsid w:val="79DA58DD"/>
    <w:rsid w:val="79DDAD6D"/>
    <w:rsid w:val="79E39B63"/>
    <w:rsid w:val="79EF0627"/>
    <w:rsid w:val="7A587940"/>
    <w:rsid w:val="7A5AE293"/>
    <w:rsid w:val="7A5C9145"/>
    <w:rsid w:val="7A90B005"/>
    <w:rsid w:val="7ACE8DE4"/>
    <w:rsid w:val="7AE96568"/>
    <w:rsid w:val="7AEDBE24"/>
    <w:rsid w:val="7AF579A5"/>
    <w:rsid w:val="7B1A0BE4"/>
    <w:rsid w:val="7B1AD764"/>
    <w:rsid w:val="7B2F9A45"/>
    <w:rsid w:val="7B76293E"/>
    <w:rsid w:val="7B8F5170"/>
    <w:rsid w:val="7B95341A"/>
    <w:rsid w:val="7BA28615"/>
    <w:rsid w:val="7BAF79BC"/>
    <w:rsid w:val="7BB1D437"/>
    <w:rsid w:val="7BE00A53"/>
    <w:rsid w:val="7BE03CED"/>
    <w:rsid w:val="7BE20DC8"/>
    <w:rsid w:val="7BF3C371"/>
    <w:rsid w:val="7C308E51"/>
    <w:rsid w:val="7C5A0F51"/>
    <w:rsid w:val="7C614DFC"/>
    <w:rsid w:val="7C61572C"/>
    <w:rsid w:val="7CA4E3DD"/>
    <w:rsid w:val="7CAF753A"/>
    <w:rsid w:val="7CCBFF07"/>
    <w:rsid w:val="7CDB9358"/>
    <w:rsid w:val="7CF2F65D"/>
    <w:rsid w:val="7CF731CC"/>
    <w:rsid w:val="7D0E2193"/>
    <w:rsid w:val="7D1970B0"/>
    <w:rsid w:val="7D3A1B29"/>
    <w:rsid w:val="7D3CA857"/>
    <w:rsid w:val="7D5C7A26"/>
    <w:rsid w:val="7D5FBBEE"/>
    <w:rsid w:val="7D6E47E6"/>
    <w:rsid w:val="7D6ECFA1"/>
    <w:rsid w:val="7D7BDAB4"/>
    <w:rsid w:val="7D943207"/>
    <w:rsid w:val="7D968AA8"/>
    <w:rsid w:val="7DF58720"/>
    <w:rsid w:val="7E0942AF"/>
    <w:rsid w:val="7E1F4BFC"/>
    <w:rsid w:val="7E1F9DF1"/>
    <w:rsid w:val="7E50C216"/>
    <w:rsid w:val="7E519932"/>
    <w:rsid w:val="7E6D48FC"/>
    <w:rsid w:val="7EBFCC7E"/>
    <w:rsid w:val="7EC71B9A"/>
    <w:rsid w:val="7ED0A0CF"/>
    <w:rsid w:val="7ED3248D"/>
    <w:rsid w:val="7ED45DBB"/>
    <w:rsid w:val="7F084E9C"/>
    <w:rsid w:val="7F282B96"/>
    <w:rsid w:val="7F2C9202"/>
    <w:rsid w:val="7F325B09"/>
    <w:rsid w:val="7F50E3FB"/>
    <w:rsid w:val="7FDF15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27C7D"/>
  <w15:chartTrackingRefBased/>
  <w15:docId w15:val="{BE376839-74DF-4C29-A64B-0378FFE4A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30A493F"/>
    <w:rPr>
      <w:lang w:val="en-GB"/>
    </w:rPr>
  </w:style>
  <w:style w:type="paragraph" w:styleId="Heading1">
    <w:name w:val="heading 1"/>
    <w:basedOn w:val="Normal"/>
    <w:next w:val="Normal"/>
    <w:link w:val="Heading1Char"/>
    <w:uiPriority w:val="9"/>
    <w:qFormat/>
    <w:rsid w:val="630A493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630A493F"/>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630A493F"/>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630A493F"/>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630A493F"/>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630A493F"/>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630A493F"/>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630A493F"/>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630A493F"/>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table" w:styleId="TableGrid2" w:customStyle="1">
    <w:name w:val="Table Grid2"/>
    <w:basedOn w:val="TableNormal"/>
    <w:next w:val="TableGrid"/>
    <w:uiPriority w:val="39"/>
    <w:rsid w:val="0079177B"/>
    <w:pPr>
      <w:spacing w:after="0" w:line="240" w:lineRule="auto"/>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388BF078"/>
    <w:rPr>
      <w:rFonts w:asciiTheme="majorHAnsi" w:hAnsiTheme="majorHAnsi" w:eastAsiaTheme="majorEastAsia" w:cstheme="majorBidi"/>
      <w:noProof w:val="0"/>
      <w:color w:val="2F5496" w:themeColor="accent1" w:themeShade="BF"/>
      <w:sz w:val="32"/>
      <w:szCs w:val="32"/>
      <w:lang w:val="en-GB"/>
    </w:rPr>
  </w:style>
  <w:style w:type="paragraph" w:styleId="Title">
    <w:name w:val="Title"/>
    <w:basedOn w:val="Normal"/>
    <w:next w:val="Normal"/>
    <w:link w:val="TitleChar"/>
    <w:uiPriority w:val="10"/>
    <w:qFormat/>
    <w:rsid w:val="630A493F"/>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630A493F"/>
    <w:rPr>
      <w:rFonts w:eastAsiaTheme="minorEastAsia"/>
      <w:color w:val="5A5A5A"/>
    </w:rPr>
  </w:style>
  <w:style w:type="paragraph" w:styleId="Quote">
    <w:name w:val="Quote"/>
    <w:basedOn w:val="Normal"/>
    <w:next w:val="Normal"/>
    <w:link w:val="QuoteChar"/>
    <w:uiPriority w:val="29"/>
    <w:qFormat/>
    <w:rsid w:val="630A493F"/>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30A493F"/>
    <w:pPr>
      <w:spacing w:before="360" w:after="360"/>
      <w:ind w:left="864" w:right="864"/>
      <w:jc w:val="center"/>
    </w:pPr>
    <w:rPr>
      <w:i/>
      <w:iCs/>
      <w:color w:val="4472C4" w:themeColor="accent1"/>
    </w:rPr>
  </w:style>
  <w:style w:type="paragraph" w:styleId="ListParagraph">
    <w:name w:val="List Paragraph"/>
    <w:basedOn w:val="Normal"/>
    <w:uiPriority w:val="34"/>
    <w:qFormat/>
    <w:rsid w:val="630A493F"/>
    <w:pPr>
      <w:ind w:left="720"/>
      <w:contextualSpacing/>
    </w:pPr>
  </w:style>
  <w:style w:type="character" w:styleId="Heading2Char" w:customStyle="1">
    <w:name w:val="Heading 2 Char"/>
    <w:basedOn w:val="DefaultParagraphFont"/>
    <w:link w:val="Heading2"/>
    <w:uiPriority w:val="9"/>
    <w:rsid w:val="388BF078"/>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388BF078"/>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388BF078"/>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388BF078"/>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388BF078"/>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388BF078"/>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388BF078"/>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388BF078"/>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388BF078"/>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388BF078"/>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388BF078"/>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388BF078"/>
    <w:rPr>
      <w:i/>
      <w:iCs/>
      <w:noProof w:val="0"/>
      <w:color w:val="4472C4" w:themeColor="accent1"/>
      <w:lang w:val="en-GB"/>
    </w:rPr>
  </w:style>
  <w:style w:type="paragraph" w:styleId="TOC1">
    <w:name w:val="toc 1"/>
    <w:basedOn w:val="Normal"/>
    <w:next w:val="Normal"/>
    <w:uiPriority w:val="39"/>
    <w:unhideWhenUsed/>
    <w:rsid w:val="630A493F"/>
    <w:pPr>
      <w:spacing w:after="100"/>
    </w:pPr>
  </w:style>
  <w:style w:type="paragraph" w:styleId="TOC2">
    <w:name w:val="toc 2"/>
    <w:basedOn w:val="Normal"/>
    <w:next w:val="Normal"/>
    <w:uiPriority w:val="39"/>
    <w:unhideWhenUsed/>
    <w:rsid w:val="630A493F"/>
    <w:pPr>
      <w:spacing w:after="100"/>
      <w:ind w:left="220"/>
    </w:pPr>
  </w:style>
  <w:style w:type="paragraph" w:styleId="TOC3">
    <w:name w:val="toc 3"/>
    <w:basedOn w:val="Normal"/>
    <w:next w:val="Normal"/>
    <w:uiPriority w:val="39"/>
    <w:unhideWhenUsed/>
    <w:rsid w:val="630A493F"/>
    <w:pPr>
      <w:spacing w:after="100"/>
      <w:ind w:left="440"/>
    </w:pPr>
  </w:style>
  <w:style w:type="paragraph" w:styleId="TOC4">
    <w:name w:val="toc 4"/>
    <w:basedOn w:val="Normal"/>
    <w:next w:val="Normal"/>
    <w:uiPriority w:val="39"/>
    <w:unhideWhenUsed/>
    <w:rsid w:val="630A493F"/>
    <w:pPr>
      <w:spacing w:after="100"/>
      <w:ind w:left="660"/>
    </w:pPr>
  </w:style>
  <w:style w:type="paragraph" w:styleId="TOC5">
    <w:name w:val="toc 5"/>
    <w:basedOn w:val="Normal"/>
    <w:next w:val="Normal"/>
    <w:uiPriority w:val="39"/>
    <w:unhideWhenUsed/>
    <w:rsid w:val="630A493F"/>
    <w:pPr>
      <w:spacing w:after="100"/>
      <w:ind w:left="880"/>
    </w:pPr>
  </w:style>
  <w:style w:type="paragraph" w:styleId="TOC6">
    <w:name w:val="toc 6"/>
    <w:basedOn w:val="Normal"/>
    <w:next w:val="Normal"/>
    <w:uiPriority w:val="39"/>
    <w:unhideWhenUsed/>
    <w:rsid w:val="630A493F"/>
    <w:pPr>
      <w:spacing w:after="100"/>
      <w:ind w:left="1100"/>
    </w:pPr>
  </w:style>
  <w:style w:type="paragraph" w:styleId="TOC7">
    <w:name w:val="toc 7"/>
    <w:basedOn w:val="Normal"/>
    <w:next w:val="Normal"/>
    <w:uiPriority w:val="39"/>
    <w:unhideWhenUsed/>
    <w:rsid w:val="630A493F"/>
    <w:pPr>
      <w:spacing w:after="100"/>
      <w:ind w:left="1320"/>
    </w:pPr>
  </w:style>
  <w:style w:type="paragraph" w:styleId="TOC8">
    <w:name w:val="toc 8"/>
    <w:basedOn w:val="Normal"/>
    <w:next w:val="Normal"/>
    <w:uiPriority w:val="39"/>
    <w:unhideWhenUsed/>
    <w:rsid w:val="630A493F"/>
    <w:pPr>
      <w:spacing w:after="100"/>
      <w:ind w:left="1540"/>
    </w:pPr>
  </w:style>
  <w:style w:type="paragraph" w:styleId="TOC9">
    <w:name w:val="toc 9"/>
    <w:basedOn w:val="Normal"/>
    <w:next w:val="Normal"/>
    <w:uiPriority w:val="39"/>
    <w:unhideWhenUsed/>
    <w:rsid w:val="630A493F"/>
    <w:pPr>
      <w:spacing w:after="100"/>
      <w:ind w:left="1760"/>
    </w:pPr>
  </w:style>
  <w:style w:type="paragraph" w:styleId="EndnoteText">
    <w:name w:val="endnote text"/>
    <w:basedOn w:val="Normal"/>
    <w:link w:val="EndnoteTextChar"/>
    <w:uiPriority w:val="99"/>
    <w:semiHidden/>
    <w:unhideWhenUsed/>
    <w:rsid w:val="630A493F"/>
    <w:pPr>
      <w:spacing w:after="0"/>
    </w:pPr>
    <w:rPr>
      <w:sz w:val="20"/>
      <w:szCs w:val="20"/>
    </w:rPr>
  </w:style>
  <w:style w:type="character" w:styleId="EndnoteTextChar" w:customStyle="1">
    <w:name w:val="Endnote Text Char"/>
    <w:basedOn w:val="DefaultParagraphFont"/>
    <w:link w:val="EndnoteText"/>
    <w:uiPriority w:val="99"/>
    <w:semiHidden/>
    <w:rsid w:val="388BF078"/>
    <w:rPr>
      <w:noProof w:val="0"/>
      <w:sz w:val="20"/>
      <w:szCs w:val="20"/>
      <w:lang w:val="en-GB"/>
    </w:rPr>
  </w:style>
  <w:style w:type="paragraph" w:styleId="Footer">
    <w:name w:val="footer"/>
    <w:basedOn w:val="Normal"/>
    <w:link w:val="FooterChar"/>
    <w:uiPriority w:val="99"/>
    <w:unhideWhenUsed/>
    <w:rsid w:val="630A493F"/>
    <w:pPr>
      <w:tabs>
        <w:tab w:val="center" w:pos="4680"/>
        <w:tab w:val="right" w:pos="9360"/>
      </w:tabs>
      <w:spacing w:after="0"/>
    </w:pPr>
  </w:style>
  <w:style w:type="character" w:styleId="FooterChar" w:customStyle="1">
    <w:name w:val="Footer Char"/>
    <w:basedOn w:val="DefaultParagraphFont"/>
    <w:link w:val="Footer"/>
    <w:uiPriority w:val="99"/>
    <w:rsid w:val="388BF078"/>
    <w:rPr>
      <w:noProof w:val="0"/>
      <w:lang w:val="en-GB"/>
    </w:rPr>
  </w:style>
  <w:style w:type="paragraph" w:styleId="FootnoteText">
    <w:name w:val="footnote text"/>
    <w:basedOn w:val="Normal"/>
    <w:link w:val="FootnoteTextChar"/>
    <w:uiPriority w:val="99"/>
    <w:semiHidden/>
    <w:unhideWhenUsed/>
    <w:rsid w:val="630A493F"/>
    <w:pPr>
      <w:spacing w:after="0"/>
    </w:pPr>
    <w:rPr>
      <w:sz w:val="20"/>
      <w:szCs w:val="20"/>
    </w:rPr>
  </w:style>
  <w:style w:type="character" w:styleId="FootnoteTextChar" w:customStyle="1">
    <w:name w:val="Footnote Text Char"/>
    <w:basedOn w:val="DefaultParagraphFont"/>
    <w:link w:val="FootnoteText"/>
    <w:uiPriority w:val="99"/>
    <w:semiHidden/>
    <w:rsid w:val="388BF078"/>
    <w:rPr>
      <w:noProof w:val="0"/>
      <w:sz w:val="20"/>
      <w:szCs w:val="20"/>
      <w:lang w:val="en-GB"/>
    </w:rPr>
  </w:style>
  <w:style w:type="paragraph" w:styleId="Header">
    <w:name w:val="header"/>
    <w:basedOn w:val="Normal"/>
    <w:link w:val="HeaderChar"/>
    <w:uiPriority w:val="99"/>
    <w:unhideWhenUsed/>
    <w:rsid w:val="630A493F"/>
    <w:pPr>
      <w:tabs>
        <w:tab w:val="center" w:pos="4680"/>
        <w:tab w:val="right" w:pos="9360"/>
      </w:tabs>
      <w:spacing w:after="0"/>
    </w:pPr>
  </w:style>
  <w:style w:type="character" w:styleId="HeaderChar" w:customStyle="1">
    <w:name w:val="Header Char"/>
    <w:basedOn w:val="DefaultParagraphFont"/>
    <w:link w:val="Header"/>
    <w:uiPriority w:val="99"/>
    <w:rsid w:val="388BF078"/>
    <w:rPr>
      <w:noProof w:val="0"/>
      <w:lang w:val="en-GB"/>
    </w:rPr>
  </w:style>
  <w:style w:type="character" w:styleId="UnresolvedMention">
    <w:name w:val="Unresolved Mention"/>
    <w:basedOn w:val="DefaultParagraphFont"/>
    <w:uiPriority w:val="99"/>
    <w:semiHidden/>
    <w:unhideWhenUsed/>
    <w:rsid w:val="009C7F5D"/>
    <w:rPr>
      <w:color w:val="605E5C"/>
      <w:shd w:val="clear" w:color="auto" w:fill="E1DFDD"/>
    </w:rPr>
  </w:style>
  <w:style w:type="paragraph" w:styleId="Body" w:customStyle="1">
    <w:name w:val="Body"/>
    <w:rsid w:val="00037F9A"/>
    <w:pPr>
      <w:pBdr>
        <w:top w:val="nil"/>
        <w:left w:val="nil"/>
        <w:bottom w:val="nil"/>
        <w:right w:val="nil"/>
        <w:between w:val="nil"/>
        <w:bar w:val="nil"/>
      </w:pBdr>
      <w:spacing w:after="0"/>
    </w:pPr>
    <w:rPr>
      <w:rFonts w:ascii="Arial" w:hAnsi="Arial" w:eastAsia="Arial" w:cs="Arial"/>
      <w:color w:val="000000"/>
      <w:u w:color="000000"/>
      <w:bdr w:val="nil"/>
      <w:lang w:val="en-GB" w:eastAsia="en-GB"/>
      <w14:textOutline w14:w="0" w14:cap="flat" w14:cmpd="sng" w14:algn="ctr">
        <w14:noFill/>
        <w14:prstDash w14:val="solid"/>
        <w14:bevel/>
      </w14:textOutline>
    </w:rPr>
  </w:style>
  <w:style w:type="character" w:styleId="Strong">
    <w:name w:val="Strong"/>
    <w:basedOn w:val="DefaultParagraphFont"/>
    <w:uiPriority w:val="22"/>
    <w:qFormat/>
    <w:rsid w:val="00284C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029907">
      <w:bodyDiv w:val="1"/>
      <w:marLeft w:val="0"/>
      <w:marRight w:val="0"/>
      <w:marTop w:val="0"/>
      <w:marBottom w:val="0"/>
      <w:divBdr>
        <w:top w:val="none" w:sz="0" w:space="0" w:color="auto"/>
        <w:left w:val="none" w:sz="0" w:space="0" w:color="auto"/>
        <w:bottom w:val="none" w:sz="0" w:space="0" w:color="auto"/>
        <w:right w:val="none" w:sz="0" w:space="0" w:color="auto"/>
      </w:divBdr>
    </w:div>
    <w:div w:id="1010450691">
      <w:bodyDiv w:val="1"/>
      <w:marLeft w:val="0"/>
      <w:marRight w:val="0"/>
      <w:marTop w:val="0"/>
      <w:marBottom w:val="0"/>
      <w:divBdr>
        <w:top w:val="none" w:sz="0" w:space="0" w:color="auto"/>
        <w:left w:val="none" w:sz="0" w:space="0" w:color="auto"/>
        <w:bottom w:val="none" w:sz="0" w:space="0" w:color="auto"/>
        <w:right w:val="none" w:sz="0" w:space="0" w:color="auto"/>
      </w:divBdr>
    </w:div>
    <w:div w:id="1736202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yperlink" Target="https://www.unison.org.uk/about/what-we-do/negotiating-and-bargaining/#:~:text=Collective%20bargaining%20is%20the%20process,agreement%20between%20employers%20and%20workers"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bbc.com/worklife/article/20210329-should-you-be-grateful-for-a-job" TargetMode="External" Id="rId6" /><Relationship Type="http://schemas.openxmlformats.org/officeDocument/2006/relationships/hyperlink" Target="https://news.gallup.com/businessjournal/14500/engagement-keeps-doctor-away.aspx" TargetMode="External" Id="rId5" /><Relationship Type="http://schemas.microsoft.com/office/2020/10/relationships/intelligence" Target="intelligence2.xml" Id="rId10"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Evans (2230696)</dc:creator>
  <keywords/>
  <dc:description/>
  <lastModifiedBy>Alison Evans (2230696)</lastModifiedBy>
  <revision>17</revision>
  <dcterms:created xsi:type="dcterms:W3CDTF">2023-08-25T07:13:00.0000000Z</dcterms:created>
  <dcterms:modified xsi:type="dcterms:W3CDTF">2023-08-27T11:35:35.2396360Z</dcterms:modified>
</coreProperties>
</file>