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8EC" w:rsidRPr="00372AC9" w:rsidRDefault="00372AC9" w:rsidP="0075686B">
      <w:pPr>
        <w:jc w:val="center"/>
        <w:rPr>
          <w:b/>
          <w:sz w:val="48"/>
          <w:szCs w:val="48"/>
        </w:rPr>
      </w:pPr>
      <w:bookmarkStart w:id="0" w:name="_GoBack"/>
      <w:bookmarkEnd w:id="0"/>
      <w:r w:rsidRPr="00372AC9">
        <w:rPr>
          <w:b/>
          <w:sz w:val="32"/>
          <w:szCs w:val="32"/>
        </w:rPr>
        <w:t xml:space="preserve">Causing death by careless driving whilst under the                                 influence of drink / drugs </w:t>
      </w:r>
    </w:p>
    <w:p w:rsidR="00372AC9" w:rsidRDefault="00372AC9" w:rsidP="00475A66"/>
    <w:p w:rsidR="00475A66" w:rsidRPr="00372AC9" w:rsidRDefault="00475A66" w:rsidP="00475A66">
      <w:r>
        <w:t xml:space="preserve">If a person causes the death of another person by driving a mechanically propelled vehicle on a road or other public place </w:t>
      </w:r>
      <w:r w:rsidR="00372AC9">
        <w:t>w</w:t>
      </w:r>
      <w:r>
        <w:t xml:space="preserve">ithout due care and attention or without reasonable consideration </w:t>
      </w:r>
      <w:r w:rsidR="008F3B19">
        <w:t>f</w:t>
      </w:r>
      <w:r>
        <w:t>or other persons using the road or place</w:t>
      </w:r>
      <w:r w:rsidR="00372AC9">
        <w:t xml:space="preserve"> </w:t>
      </w:r>
      <w:r w:rsidRPr="008F3B19">
        <w:rPr>
          <w:b/>
          <w:color w:val="FF0000"/>
        </w:rPr>
        <w:t>AND</w:t>
      </w:r>
    </w:p>
    <w:p w:rsidR="00475A66" w:rsidRDefault="00475A66" w:rsidP="00E94F9D">
      <w:pPr>
        <w:pStyle w:val="ListParagraph"/>
        <w:numPr>
          <w:ilvl w:val="0"/>
          <w:numId w:val="1"/>
        </w:numPr>
      </w:pPr>
      <w:r>
        <w:t>He is, at the time when they are driving, unfit to drive through drink or drugs</w:t>
      </w:r>
    </w:p>
    <w:p w:rsidR="00475A66" w:rsidRPr="008F3B19" w:rsidRDefault="00475A66" w:rsidP="00475A66">
      <w:pPr>
        <w:rPr>
          <w:b/>
        </w:rPr>
      </w:pPr>
      <w:r w:rsidRPr="008F3B19">
        <w:rPr>
          <w:b/>
        </w:rPr>
        <w:t>Or</w:t>
      </w:r>
    </w:p>
    <w:p w:rsidR="00475A66" w:rsidRDefault="00475A66" w:rsidP="00E94F9D">
      <w:pPr>
        <w:pStyle w:val="ListParagraph"/>
        <w:numPr>
          <w:ilvl w:val="0"/>
          <w:numId w:val="1"/>
        </w:numPr>
      </w:pPr>
      <w:r>
        <w:t>He has consumed so much alcohol that the proportion of it in their breath, blood or urine exceeds the prescribed limit (MPV must be a motor vehicle)</w:t>
      </w:r>
    </w:p>
    <w:p w:rsidR="00475A66" w:rsidRPr="008F3B19" w:rsidRDefault="00475A66" w:rsidP="00475A66">
      <w:pPr>
        <w:rPr>
          <w:b/>
        </w:rPr>
      </w:pPr>
      <w:r w:rsidRPr="008F3B19">
        <w:rPr>
          <w:b/>
        </w:rPr>
        <w:t xml:space="preserve">Or </w:t>
      </w:r>
    </w:p>
    <w:p w:rsidR="00475A66" w:rsidRDefault="00475A66" w:rsidP="00372AC9">
      <w:pPr>
        <w:pStyle w:val="ListParagraph"/>
        <w:numPr>
          <w:ilvl w:val="0"/>
          <w:numId w:val="1"/>
        </w:numPr>
      </w:pPr>
      <w:r>
        <w:t>He has in his body a specified controlled drug and the proportion of it in his blood/urine exceeds the prescribed limit for that drug</w:t>
      </w:r>
    </w:p>
    <w:p w:rsidR="00475A66" w:rsidRPr="008F3B19" w:rsidRDefault="00475A66" w:rsidP="00475A66">
      <w:pPr>
        <w:rPr>
          <w:b/>
        </w:rPr>
      </w:pPr>
      <w:r w:rsidRPr="008F3B19">
        <w:rPr>
          <w:b/>
        </w:rPr>
        <w:t>Or</w:t>
      </w:r>
    </w:p>
    <w:p w:rsidR="00475A66" w:rsidRDefault="00475A66" w:rsidP="00E94F9D">
      <w:pPr>
        <w:pStyle w:val="ListParagraph"/>
        <w:numPr>
          <w:ilvl w:val="0"/>
          <w:numId w:val="1"/>
        </w:numPr>
      </w:pPr>
      <w:r>
        <w:t xml:space="preserve">He is, within 18 hours after that time, required to provide a specimen in pursuance of Section 7 of this Act (RTA 1988), but without reasonable excuse fails to provide it </w:t>
      </w:r>
    </w:p>
    <w:p w:rsidR="00475A66" w:rsidRPr="008F3B19" w:rsidRDefault="00475A66" w:rsidP="00475A66">
      <w:pPr>
        <w:rPr>
          <w:b/>
        </w:rPr>
      </w:pPr>
      <w:r w:rsidRPr="008F3B19">
        <w:rPr>
          <w:b/>
        </w:rPr>
        <w:t>Or</w:t>
      </w:r>
    </w:p>
    <w:p w:rsidR="00852A6C" w:rsidRDefault="00852A6C" w:rsidP="00E94F9D">
      <w:pPr>
        <w:pStyle w:val="ListParagraph"/>
        <w:numPr>
          <w:ilvl w:val="0"/>
          <w:numId w:val="1"/>
        </w:numPr>
      </w:pPr>
      <w:r>
        <w:t>He is required by a constable to give his permission for a laboratory test of a specimen of blood taken from him under Section 7A of this Act (RTA 1988), but without reasonable excuse fails to do so</w:t>
      </w:r>
    </w:p>
    <w:p w:rsidR="00852A6C" w:rsidRDefault="00852A6C" w:rsidP="00475A66">
      <w:r>
        <w:t>He is guilty of an offence</w:t>
      </w:r>
    </w:p>
    <w:p w:rsidR="0075686B" w:rsidRPr="00372AC9" w:rsidRDefault="0075686B" w:rsidP="00372AC9">
      <w:pPr>
        <w:jc w:val="center"/>
        <w:rPr>
          <w:b/>
        </w:rPr>
      </w:pPr>
      <w:r w:rsidRPr="00372AC9">
        <w:rPr>
          <w:b/>
        </w:rPr>
        <w:t>Section 3A Road Traffic Act 1988</w:t>
      </w:r>
    </w:p>
    <w:p w:rsidR="00475A66" w:rsidRDefault="00475A66"/>
    <w:p w:rsidR="00475A66" w:rsidRDefault="00475A66" w:rsidP="00475A66">
      <w:pPr>
        <w:pStyle w:val="NormalWeb"/>
        <w:spacing w:before="0" w:beforeAutospacing="0" w:after="0" w:afterAutospacing="0"/>
      </w:pPr>
      <w:r>
        <w:rPr>
          <w:rFonts w:asciiTheme="minorHAnsi" w:eastAsiaTheme="minorEastAsia" w:hAnsi="Calibri" w:cstheme="minorBidi"/>
          <w:b/>
          <w:bCs/>
          <w:color w:val="0000FF"/>
          <w:kern w:val="24"/>
        </w:rPr>
        <w:t>In</w:t>
      </w:r>
      <w:r w:rsidRPr="00372AC9">
        <w:rPr>
          <w:rFonts w:asciiTheme="minorHAnsi" w:eastAsiaTheme="minorEastAsia" w:hAnsi="Calibri" w:cstheme="minorBidi"/>
          <w:b/>
          <w:bCs/>
          <w:color w:val="0070C0"/>
          <w:kern w:val="24"/>
        </w:rPr>
        <w:t>dictment</w:t>
      </w:r>
      <w:r w:rsidRPr="00372AC9">
        <w:rPr>
          <w:rFonts w:asciiTheme="minorHAnsi" w:eastAsiaTheme="minorEastAsia" w:hAnsi="Calibri" w:cstheme="minorBidi"/>
          <w:color w:val="0070C0"/>
          <w:kern w:val="24"/>
        </w:rPr>
        <w:t xml:space="preserve">: </w:t>
      </w:r>
      <w:r>
        <w:rPr>
          <w:rFonts w:asciiTheme="minorHAnsi" w:eastAsiaTheme="minorEastAsia" w:hAnsi="Calibri" w:cstheme="minorBidi"/>
          <w:color w:val="000000" w:themeColor="text1"/>
          <w:kern w:val="24"/>
        </w:rPr>
        <w:t>maximum 14 years imprisonment and/or fine</w:t>
      </w:r>
      <w:r>
        <w:rPr>
          <w:rFonts w:asciiTheme="minorHAnsi" w:eastAsiaTheme="minorEastAsia" w:hAnsi="Calibri" w:cstheme="minorBidi"/>
          <w:color w:val="000000" w:themeColor="text1"/>
          <w:kern w:val="24"/>
        </w:rPr>
        <w:br/>
        <w:t>Obligatory disqualification</w:t>
      </w:r>
      <w:r>
        <w:rPr>
          <w:rFonts w:asciiTheme="minorHAnsi" w:eastAsiaTheme="minorEastAsia" w:hAnsi="Calibri" w:cstheme="minorBidi"/>
          <w:color w:val="000000" w:themeColor="text1"/>
          <w:kern w:val="24"/>
        </w:rPr>
        <w:br/>
        <w:t>Obligatory endorsement - licence endorsed three to eleven penalty points</w:t>
      </w:r>
    </w:p>
    <w:p w:rsidR="00475A66" w:rsidRDefault="00475A66" w:rsidP="00475A66">
      <w:pPr>
        <w:pStyle w:val="NormalWeb"/>
        <w:spacing w:before="0" w:beforeAutospacing="0" w:after="0" w:afterAutospacing="0"/>
      </w:pPr>
      <w:r>
        <w:rPr>
          <w:rFonts w:asciiTheme="minorHAnsi" w:eastAsiaTheme="minorEastAsia" w:hAnsi="Calibri" w:cstheme="minorBidi"/>
          <w:color w:val="000000" w:themeColor="text1"/>
          <w:kern w:val="24"/>
        </w:rPr>
        <w:t>The term ‘causes the death’ is the same as that specified in the Sec 1 offence of causing death by dangerous driving.</w:t>
      </w:r>
    </w:p>
    <w:p w:rsidR="00372AC9" w:rsidRDefault="00372AC9" w:rsidP="00475A66">
      <w:pPr>
        <w:pStyle w:val="NormalWeb"/>
        <w:spacing w:before="0" w:beforeAutospacing="0" w:after="0" w:afterAutospacing="0"/>
        <w:rPr>
          <w:rFonts w:asciiTheme="minorHAnsi" w:eastAsiaTheme="minorEastAsia" w:hAnsi="Calibri" w:cstheme="minorBidi"/>
          <w:b/>
          <w:bCs/>
          <w:color w:val="000000" w:themeColor="text1"/>
          <w:kern w:val="24"/>
        </w:rPr>
      </w:pPr>
    </w:p>
    <w:p w:rsidR="00372AC9" w:rsidRDefault="00475A66" w:rsidP="00475A66">
      <w:pPr>
        <w:pStyle w:val="NormalWeb"/>
        <w:spacing w:before="0" w:beforeAutospacing="0" w:after="0" w:afterAutospacing="0"/>
        <w:rPr>
          <w:rFonts w:asciiTheme="minorHAnsi" w:eastAsiaTheme="minorEastAsia" w:hAnsi="Calibri" w:cstheme="minorBidi"/>
          <w:iCs/>
          <w:color w:val="000000" w:themeColor="text1"/>
          <w:kern w:val="24"/>
        </w:rPr>
      </w:pPr>
      <w:r w:rsidRPr="00372AC9">
        <w:rPr>
          <w:rFonts w:asciiTheme="minorHAnsi" w:eastAsiaTheme="minorEastAsia" w:hAnsi="Calibri" w:cstheme="minorBidi"/>
          <w:b/>
          <w:bCs/>
          <w:color w:val="0070C0"/>
          <w:kern w:val="24"/>
        </w:rPr>
        <w:t>Notes</w:t>
      </w:r>
      <w:r w:rsidR="00372AC9">
        <w:rPr>
          <w:rFonts w:asciiTheme="minorHAnsi" w:eastAsiaTheme="minorEastAsia" w:hAnsi="Calibri" w:cstheme="minorBidi"/>
          <w:color w:val="000000" w:themeColor="text1"/>
          <w:kern w:val="24"/>
        </w:rPr>
        <w:t>:</w:t>
      </w:r>
      <w:r>
        <w:rPr>
          <w:rFonts w:asciiTheme="minorHAnsi" w:eastAsiaTheme="minorEastAsia" w:hAnsi="Calibri" w:cstheme="minorBidi"/>
          <w:color w:val="000000" w:themeColor="text1"/>
          <w:kern w:val="24"/>
        </w:rPr>
        <w:br/>
      </w:r>
      <w:r w:rsidRPr="00A533FA">
        <w:rPr>
          <w:rFonts w:asciiTheme="minorHAnsi" w:eastAsiaTheme="minorEastAsia" w:hAnsi="Calibri" w:cstheme="minorBidi"/>
          <w:iCs/>
          <w:color w:val="000000" w:themeColor="text1"/>
          <w:kern w:val="24"/>
        </w:rPr>
        <w:t>(</w:t>
      </w:r>
      <w:proofErr w:type="spellStart"/>
      <w:r w:rsidRPr="00A533FA">
        <w:rPr>
          <w:rFonts w:asciiTheme="minorHAnsi" w:eastAsiaTheme="minorEastAsia" w:hAnsi="Calibri" w:cstheme="minorBidi"/>
          <w:iCs/>
          <w:color w:val="000000" w:themeColor="text1"/>
          <w:kern w:val="24"/>
        </w:rPr>
        <w:t>i</w:t>
      </w:r>
      <w:proofErr w:type="spellEnd"/>
      <w:r w:rsidRPr="00A533FA">
        <w:rPr>
          <w:rFonts w:asciiTheme="minorHAnsi" w:eastAsiaTheme="minorEastAsia" w:hAnsi="Calibri" w:cstheme="minorBidi"/>
          <w:iCs/>
          <w:color w:val="000000" w:themeColor="text1"/>
          <w:kern w:val="24"/>
        </w:rPr>
        <w:t xml:space="preserve">) It is </w:t>
      </w:r>
      <w:r w:rsidRPr="00A533FA">
        <w:rPr>
          <w:rFonts w:asciiTheme="minorHAnsi" w:eastAsiaTheme="minorEastAsia" w:hAnsi="Calibri" w:cstheme="minorBidi"/>
          <w:b/>
          <w:bCs/>
          <w:iCs/>
          <w:color w:val="000000" w:themeColor="text1"/>
          <w:kern w:val="24"/>
        </w:rPr>
        <w:t>important</w:t>
      </w:r>
      <w:r w:rsidRPr="00A533FA">
        <w:rPr>
          <w:rFonts w:asciiTheme="minorHAnsi" w:eastAsiaTheme="minorEastAsia" w:hAnsi="Calibri" w:cstheme="minorBidi"/>
          <w:iCs/>
          <w:color w:val="000000" w:themeColor="text1"/>
          <w:kern w:val="24"/>
        </w:rPr>
        <w:t xml:space="preserve"> to make clear to officers that subsection 3A(3) above means that as 'mechanically propelled vehicle' and 'motor vehicle' have different meanings, the offences provided in subsections 3A(1)(b), (</w:t>
      </w:r>
      <w:proofErr w:type="spellStart"/>
      <w:r w:rsidRPr="00A533FA">
        <w:rPr>
          <w:rFonts w:asciiTheme="minorHAnsi" w:eastAsiaTheme="minorEastAsia" w:hAnsi="Calibri" w:cstheme="minorBidi"/>
          <w:iCs/>
          <w:color w:val="000000" w:themeColor="text1"/>
          <w:kern w:val="24"/>
        </w:rPr>
        <w:t>ba</w:t>
      </w:r>
      <w:proofErr w:type="spellEnd"/>
      <w:r w:rsidRPr="00A533FA">
        <w:rPr>
          <w:rFonts w:asciiTheme="minorHAnsi" w:eastAsiaTheme="minorEastAsia" w:hAnsi="Calibri" w:cstheme="minorBidi"/>
          <w:iCs/>
          <w:color w:val="000000" w:themeColor="text1"/>
          <w:kern w:val="24"/>
        </w:rPr>
        <w:t>), (c) and (d) require that it must be proved that the vehicle involved was a motor vehicle not merely a mechanically propelled vehicle.</w:t>
      </w:r>
      <w:r w:rsidRPr="00A533FA">
        <w:rPr>
          <w:rFonts w:asciiTheme="minorHAnsi" w:eastAsiaTheme="minorEastAsia" w:hAnsi="Calibri" w:cstheme="minorBidi"/>
          <w:iCs/>
          <w:color w:val="000000" w:themeColor="text1"/>
          <w:kern w:val="24"/>
        </w:rPr>
        <w:br/>
        <w:t>If, for example, a dumper truck (a mechanically propelled vehicle as opposed to a motor vehicle) is involved, you cannot require a specimen of breath, as it is not generally intended to be used on a road.</w:t>
      </w:r>
    </w:p>
    <w:p w:rsidR="00372AC9" w:rsidRDefault="00475A66" w:rsidP="00475A66">
      <w:pPr>
        <w:pStyle w:val="NormalWeb"/>
        <w:spacing w:before="0" w:beforeAutospacing="0" w:after="0" w:afterAutospacing="0"/>
        <w:rPr>
          <w:rFonts w:asciiTheme="minorHAnsi" w:eastAsiaTheme="minorEastAsia" w:hAnsi="Calibri" w:cstheme="minorBidi"/>
          <w:iCs/>
          <w:color w:val="000000" w:themeColor="text1"/>
          <w:kern w:val="24"/>
        </w:rPr>
      </w:pPr>
      <w:r w:rsidRPr="00A533FA">
        <w:rPr>
          <w:rFonts w:asciiTheme="minorHAnsi" w:eastAsiaTheme="minorEastAsia" w:hAnsi="Calibri" w:cstheme="minorBidi"/>
          <w:iCs/>
          <w:color w:val="000000" w:themeColor="text1"/>
          <w:kern w:val="24"/>
        </w:rPr>
        <w:lastRenderedPageBreak/>
        <w:br/>
        <w:t>(ii) This offence has a number of different ingredients. A defendant must have 'driven' a mechanically propelled vehicle on a road or other public place. The defendant's driving must have been either 'without due care and attention' or 'without reasonable consideration for other persons using the road or place' or both.</w:t>
      </w:r>
    </w:p>
    <w:p w:rsidR="00475A66" w:rsidRPr="00A533FA" w:rsidRDefault="00475A66" w:rsidP="00475A66">
      <w:pPr>
        <w:pStyle w:val="NormalWeb"/>
        <w:spacing w:before="0" w:beforeAutospacing="0" w:after="0" w:afterAutospacing="0"/>
        <w:rPr>
          <w:rFonts w:asciiTheme="minorHAnsi" w:eastAsiaTheme="minorEastAsia" w:hAnsi="Calibri" w:cstheme="minorBidi"/>
          <w:iCs/>
          <w:color w:val="000000" w:themeColor="text1"/>
          <w:kern w:val="24"/>
        </w:rPr>
      </w:pPr>
      <w:r w:rsidRPr="00A533FA">
        <w:rPr>
          <w:rFonts w:asciiTheme="minorHAnsi" w:eastAsiaTheme="minorEastAsia" w:hAnsi="Calibri" w:cstheme="minorBidi"/>
          <w:iCs/>
          <w:color w:val="000000" w:themeColor="text1"/>
          <w:kern w:val="24"/>
        </w:rPr>
        <w:br/>
        <w:t xml:space="preserve">(iii) The careless or inconsiderate driving must cause the death of another person. There must be a causation link between the two but there is nothing which requires the manner of the driving to be a substantial cause, or a major cause of the accident: </w:t>
      </w:r>
      <w:hyperlink r:id="rId7" w:history="1">
        <w:r w:rsidRPr="00A533FA">
          <w:rPr>
            <w:rStyle w:val="Hyperlink"/>
            <w:rFonts w:asciiTheme="minorHAnsi" w:eastAsiaTheme="minorEastAsia" w:hAnsi="Calibri" w:cstheme="minorBidi"/>
            <w:iCs/>
            <w:color w:val="000000" w:themeColor="text1"/>
            <w:kern w:val="24"/>
          </w:rPr>
          <w:t xml:space="preserve">R v </w:t>
        </w:r>
      </w:hyperlink>
      <w:hyperlink r:id="rId8" w:history="1">
        <w:proofErr w:type="spellStart"/>
        <w:r w:rsidRPr="00A533FA">
          <w:rPr>
            <w:rStyle w:val="Hyperlink"/>
            <w:rFonts w:asciiTheme="minorHAnsi" w:eastAsiaTheme="minorEastAsia" w:hAnsi="Calibri" w:cstheme="minorBidi"/>
            <w:iCs/>
            <w:color w:val="000000" w:themeColor="text1"/>
            <w:kern w:val="24"/>
          </w:rPr>
          <w:t>Hennigan</w:t>
        </w:r>
        <w:proofErr w:type="spellEnd"/>
      </w:hyperlink>
      <w:hyperlink r:id="rId9" w:history="1">
        <w:r w:rsidRPr="00A533FA">
          <w:rPr>
            <w:rStyle w:val="Hyperlink"/>
            <w:rFonts w:asciiTheme="minorHAnsi" w:eastAsiaTheme="minorEastAsia" w:hAnsi="Calibri" w:cstheme="minorBidi"/>
            <w:iCs/>
            <w:color w:val="000000" w:themeColor="text1"/>
            <w:kern w:val="24"/>
          </w:rPr>
          <w:t xml:space="preserve"> [1971] RTR 305</w:t>
        </w:r>
      </w:hyperlink>
      <w:r w:rsidRPr="00A533FA">
        <w:rPr>
          <w:rFonts w:asciiTheme="minorHAnsi" w:eastAsiaTheme="minorEastAsia" w:hAnsi="Calibri" w:cstheme="minorBidi"/>
          <w:iCs/>
          <w:color w:val="000000" w:themeColor="text1"/>
          <w:kern w:val="24"/>
        </w:rPr>
        <w:t xml:space="preserve">. One effect of this is that two separate drivers can each be the cause of a victim's death. </w:t>
      </w:r>
    </w:p>
    <w:p w:rsidR="005D6462" w:rsidRPr="00A533FA" w:rsidRDefault="005D6462" w:rsidP="00475A66">
      <w:pPr>
        <w:pStyle w:val="NormalWeb"/>
        <w:spacing w:before="0" w:beforeAutospacing="0" w:after="0" w:afterAutospacing="0"/>
        <w:rPr>
          <w:rFonts w:asciiTheme="minorHAnsi" w:eastAsiaTheme="minorEastAsia" w:hAnsi="Calibri" w:cstheme="minorBidi"/>
          <w:iCs/>
          <w:color w:val="000000" w:themeColor="text1"/>
          <w:kern w:val="24"/>
        </w:rPr>
      </w:pPr>
    </w:p>
    <w:p w:rsidR="00372AC9" w:rsidRDefault="005D6462" w:rsidP="005D6462">
      <w:pPr>
        <w:pStyle w:val="NormalWeb"/>
        <w:spacing w:before="0" w:beforeAutospacing="0" w:after="0" w:afterAutospacing="0"/>
        <w:rPr>
          <w:rFonts w:asciiTheme="minorHAnsi" w:eastAsiaTheme="minorEastAsia" w:hAnsi="Calibri" w:cstheme="minorBidi"/>
          <w:iCs/>
          <w:color w:val="000000" w:themeColor="text1"/>
          <w:kern w:val="24"/>
        </w:rPr>
      </w:pPr>
      <w:r w:rsidRPr="00A533FA">
        <w:rPr>
          <w:rFonts w:asciiTheme="minorHAnsi" w:eastAsiaTheme="minorEastAsia" w:hAnsi="Calibri" w:cstheme="minorBidi"/>
          <w:iCs/>
          <w:color w:val="000000" w:themeColor="text1"/>
          <w:kern w:val="24"/>
        </w:rPr>
        <w:t xml:space="preserve">(iv) There are a number of </w:t>
      </w:r>
      <w:hyperlink r:id="rId10" w:history="1">
        <w:r w:rsidRPr="00A533FA">
          <w:rPr>
            <w:rStyle w:val="Hyperlink"/>
            <w:rFonts w:asciiTheme="minorHAnsi" w:eastAsiaTheme="minorEastAsia" w:hAnsi="Calibri" w:cstheme="minorBidi"/>
            <w:iCs/>
            <w:color w:val="000000" w:themeColor="text1"/>
            <w:kern w:val="24"/>
          </w:rPr>
          <w:t>defences</w:t>
        </w:r>
      </w:hyperlink>
      <w:r w:rsidRPr="00A533FA">
        <w:rPr>
          <w:rFonts w:asciiTheme="minorHAnsi" w:eastAsiaTheme="minorEastAsia" w:hAnsi="Calibri" w:cstheme="minorBidi"/>
          <w:iCs/>
          <w:color w:val="000000" w:themeColor="text1"/>
          <w:kern w:val="24"/>
        </w:rPr>
        <w:t xml:space="preserve"> to this offence.</w:t>
      </w:r>
    </w:p>
    <w:p w:rsidR="00372AC9" w:rsidRDefault="005D6462" w:rsidP="005D6462">
      <w:pPr>
        <w:pStyle w:val="NormalWeb"/>
        <w:spacing w:before="0" w:beforeAutospacing="0" w:after="0" w:afterAutospacing="0"/>
        <w:rPr>
          <w:rFonts w:asciiTheme="minorHAnsi" w:eastAsiaTheme="minorEastAsia" w:hAnsi="Calibri" w:cstheme="minorBidi"/>
          <w:iCs/>
          <w:color w:val="000000" w:themeColor="text1"/>
          <w:kern w:val="24"/>
        </w:rPr>
      </w:pPr>
      <w:r w:rsidRPr="00A533FA">
        <w:rPr>
          <w:rFonts w:asciiTheme="minorHAnsi" w:eastAsiaTheme="minorEastAsia" w:hAnsi="Calibri" w:cstheme="minorBidi"/>
          <w:iCs/>
          <w:color w:val="000000" w:themeColor="text1"/>
          <w:kern w:val="24"/>
        </w:rPr>
        <w:br/>
        <w:t>(v) "Another person" means any person other than the defendant. The words have been held to include a passenger in the defendant's vehicle and a foetus in utero at the time of the driving who is subsequently born alive but who dies of his or her injuries.</w:t>
      </w:r>
    </w:p>
    <w:p w:rsidR="00372AC9" w:rsidRDefault="005D6462" w:rsidP="005D6462">
      <w:pPr>
        <w:pStyle w:val="NormalWeb"/>
        <w:spacing w:before="0" w:beforeAutospacing="0" w:after="0" w:afterAutospacing="0"/>
        <w:rPr>
          <w:rFonts w:asciiTheme="minorHAnsi" w:eastAsiaTheme="minorEastAsia" w:hAnsi="Calibri" w:cstheme="minorBidi"/>
          <w:iCs/>
          <w:color w:val="000000" w:themeColor="text1"/>
          <w:kern w:val="24"/>
        </w:rPr>
      </w:pPr>
      <w:r w:rsidRPr="00A533FA">
        <w:rPr>
          <w:rFonts w:asciiTheme="minorHAnsi" w:eastAsiaTheme="minorEastAsia" w:hAnsi="Calibri" w:cstheme="minorBidi"/>
          <w:iCs/>
          <w:color w:val="000000" w:themeColor="text1"/>
          <w:kern w:val="24"/>
        </w:rPr>
        <w:br/>
        <w:t>(vi) In addition to causing the death of another person by careless or inconsiderate driving, to be guilty of this offence the driver must have been under the influence of drink or drugs.</w:t>
      </w:r>
    </w:p>
    <w:p w:rsidR="00372AC9" w:rsidRDefault="005D6462" w:rsidP="005D6462">
      <w:pPr>
        <w:pStyle w:val="NormalWeb"/>
        <w:spacing w:before="0" w:beforeAutospacing="0" w:after="0" w:afterAutospacing="0"/>
        <w:rPr>
          <w:rFonts w:asciiTheme="minorHAnsi" w:eastAsiaTheme="minorEastAsia" w:hAnsi="Calibri" w:cstheme="minorBidi"/>
          <w:iCs/>
          <w:color w:val="000000" w:themeColor="text1"/>
          <w:kern w:val="24"/>
        </w:rPr>
      </w:pPr>
      <w:r w:rsidRPr="00A533FA">
        <w:rPr>
          <w:rFonts w:asciiTheme="minorHAnsi" w:eastAsiaTheme="minorEastAsia" w:hAnsi="Calibri" w:cstheme="minorBidi"/>
          <w:iCs/>
          <w:color w:val="000000" w:themeColor="text1"/>
          <w:kern w:val="24"/>
        </w:rPr>
        <w:br/>
        <w:t xml:space="preserve">(vii) The words 'unfit to drive through drink or drugs' bear the same meaning as for offences under </w:t>
      </w:r>
      <w:hyperlink r:id="rId11" w:history="1">
        <w:r w:rsidRPr="00A533FA">
          <w:rPr>
            <w:rStyle w:val="Hyperlink"/>
            <w:rFonts w:asciiTheme="minorHAnsi" w:eastAsiaTheme="minorEastAsia" w:hAnsi="Calibri" w:cstheme="minorBidi"/>
            <w:iCs/>
            <w:color w:val="000000" w:themeColor="text1"/>
            <w:kern w:val="24"/>
          </w:rPr>
          <w:t>section 4(1)</w:t>
        </w:r>
      </w:hyperlink>
      <w:r w:rsidRPr="00A533FA">
        <w:rPr>
          <w:rFonts w:asciiTheme="minorHAnsi" w:eastAsiaTheme="minorEastAsia" w:hAnsi="Calibri" w:cstheme="minorBidi"/>
          <w:iCs/>
          <w:color w:val="000000" w:themeColor="text1"/>
          <w:kern w:val="24"/>
        </w:rPr>
        <w:t xml:space="preserve">. Similarly, the words 'consumed so much alcohol that the proportion of it in his breath, blood or urine exceeds the prescribed limit' are of precisely the same effect as they are for the purposes of </w:t>
      </w:r>
      <w:hyperlink r:id="rId12" w:history="1">
        <w:r w:rsidRPr="00A533FA">
          <w:rPr>
            <w:rStyle w:val="Hyperlink"/>
            <w:rFonts w:asciiTheme="minorHAnsi" w:eastAsiaTheme="minorEastAsia" w:hAnsi="Calibri" w:cstheme="minorBidi"/>
            <w:iCs/>
            <w:color w:val="000000" w:themeColor="text1"/>
            <w:kern w:val="24"/>
          </w:rPr>
          <w:t>section 5(1</w:t>
        </w:r>
        <w:r w:rsidR="00D16392" w:rsidRPr="00A533FA">
          <w:rPr>
            <w:rStyle w:val="Hyperlink"/>
            <w:rFonts w:asciiTheme="minorHAnsi" w:eastAsiaTheme="minorEastAsia" w:hAnsi="Calibri" w:cstheme="minorBidi"/>
            <w:iCs/>
            <w:color w:val="000000" w:themeColor="text1"/>
            <w:kern w:val="24"/>
          </w:rPr>
          <w:t>) (</w:t>
        </w:r>
        <w:r w:rsidRPr="00A533FA">
          <w:rPr>
            <w:rStyle w:val="Hyperlink"/>
            <w:rFonts w:asciiTheme="minorHAnsi" w:eastAsiaTheme="minorEastAsia" w:hAnsi="Calibri" w:cstheme="minorBidi"/>
            <w:iCs/>
            <w:color w:val="000000" w:themeColor="text1"/>
            <w:kern w:val="24"/>
          </w:rPr>
          <w:t>a)</w:t>
        </w:r>
      </w:hyperlink>
      <w:r w:rsidRPr="00A533FA">
        <w:rPr>
          <w:rFonts w:asciiTheme="minorHAnsi" w:eastAsiaTheme="minorEastAsia" w:hAnsi="Calibri" w:cstheme="minorBidi"/>
          <w:iCs/>
          <w:color w:val="000000" w:themeColor="text1"/>
          <w:kern w:val="24"/>
        </w:rPr>
        <w:t xml:space="preserve">. </w:t>
      </w:r>
    </w:p>
    <w:p w:rsidR="00372AC9" w:rsidRDefault="005D6462" w:rsidP="005D6462">
      <w:pPr>
        <w:pStyle w:val="NormalWeb"/>
        <w:spacing w:before="0" w:beforeAutospacing="0" w:after="0" w:afterAutospacing="0"/>
        <w:rPr>
          <w:rFonts w:asciiTheme="minorHAnsi" w:eastAsiaTheme="minorEastAsia" w:hAnsi="Calibri" w:cstheme="minorBidi"/>
          <w:iCs/>
          <w:color w:val="000000" w:themeColor="text1"/>
          <w:kern w:val="24"/>
        </w:rPr>
      </w:pPr>
      <w:r w:rsidRPr="00A533FA">
        <w:rPr>
          <w:rFonts w:asciiTheme="minorHAnsi" w:eastAsiaTheme="minorEastAsia" w:hAnsi="Calibri" w:cstheme="minorBidi"/>
          <w:iCs/>
          <w:color w:val="000000" w:themeColor="text1"/>
          <w:kern w:val="24"/>
        </w:rPr>
        <w:br/>
        <w:t>(viii) An alternative is failing to provide a specimen for analysis. It is noteworthy that the defendant must be required to provide a specimen in pursuance of section 7 (power to require specimens from driver) and the requirement must be made within 18 hours after the time he drove carelessly or inconsiderately. The defendant must fail to provide the specimen without reasonable excuse.</w:t>
      </w:r>
    </w:p>
    <w:p w:rsidR="00372AC9" w:rsidRDefault="005D6462" w:rsidP="005D6462">
      <w:pPr>
        <w:pStyle w:val="NormalWeb"/>
        <w:spacing w:before="0" w:beforeAutospacing="0" w:after="0" w:afterAutospacing="0"/>
        <w:rPr>
          <w:rFonts w:asciiTheme="minorHAnsi" w:eastAsiaTheme="minorEastAsia" w:hAnsi="Calibri" w:cstheme="minorBidi"/>
          <w:iCs/>
          <w:color w:val="000000" w:themeColor="text1"/>
          <w:kern w:val="24"/>
        </w:rPr>
      </w:pPr>
      <w:r w:rsidRPr="00A533FA">
        <w:rPr>
          <w:rFonts w:asciiTheme="minorHAnsi" w:eastAsiaTheme="minorEastAsia" w:hAnsi="Calibri" w:cstheme="minorBidi"/>
          <w:iCs/>
          <w:color w:val="000000" w:themeColor="text1"/>
          <w:kern w:val="24"/>
        </w:rPr>
        <w:br/>
        <w:t>(ix) It is not necessary for the intoxication to be the direct cause of the careless/inconsiderate driving. A jury is allowed to look at the level of intoxication as a factor of the careless driving; R v Millington [1996] RTR 80. The court is entitled to consider evidence that a driver is adversely affected by drink or that the amount of drink taken was such as would adversely affect a driver; whether the particular driving in question was influenced by the excess of alcohol in the body, is a question of degree and of fact for the jury to decide.</w:t>
      </w:r>
    </w:p>
    <w:p w:rsidR="00372AC9" w:rsidRDefault="005D6462" w:rsidP="005D6462">
      <w:pPr>
        <w:pStyle w:val="NormalWeb"/>
        <w:spacing w:before="0" w:beforeAutospacing="0" w:after="0" w:afterAutospacing="0"/>
        <w:rPr>
          <w:rFonts w:asciiTheme="minorHAnsi" w:eastAsiaTheme="minorEastAsia" w:hAnsi="Calibri" w:cstheme="minorBidi"/>
          <w:iCs/>
          <w:color w:val="000000" w:themeColor="text1"/>
          <w:kern w:val="24"/>
        </w:rPr>
      </w:pPr>
      <w:r w:rsidRPr="00A533FA">
        <w:rPr>
          <w:rFonts w:asciiTheme="minorHAnsi" w:eastAsiaTheme="minorEastAsia" w:hAnsi="Calibri" w:cstheme="minorBidi"/>
          <w:iCs/>
          <w:color w:val="000000" w:themeColor="text1"/>
          <w:kern w:val="24"/>
        </w:rPr>
        <w:br/>
        <w:t xml:space="preserve">(x) See also </w:t>
      </w:r>
      <w:hyperlink r:id="rId13" w:history="1">
        <w:r w:rsidRPr="00A533FA">
          <w:rPr>
            <w:rStyle w:val="Hyperlink"/>
            <w:rFonts w:asciiTheme="minorHAnsi" w:eastAsiaTheme="minorEastAsia" w:hAnsi="Calibri" w:cstheme="minorBidi"/>
            <w:iCs/>
            <w:color w:val="000000" w:themeColor="text1"/>
            <w:kern w:val="24"/>
          </w:rPr>
          <w:t xml:space="preserve">use of </w:t>
        </w:r>
      </w:hyperlink>
      <w:r w:rsidR="00A533FA" w:rsidRPr="00A533FA">
        <w:rPr>
          <w:rStyle w:val="Hyperlink"/>
          <w:rFonts w:asciiTheme="minorHAnsi" w:eastAsiaTheme="minorEastAsia" w:hAnsi="Calibri" w:cstheme="minorBidi"/>
          <w:iCs/>
          <w:color w:val="000000" w:themeColor="text1"/>
          <w:kern w:val="24"/>
        </w:rPr>
        <w:t>specimens for</w:t>
      </w:r>
      <w:r w:rsidRPr="00A533FA">
        <w:rPr>
          <w:rFonts w:asciiTheme="minorHAnsi" w:eastAsiaTheme="minorEastAsia" w:hAnsi="Calibri" w:cstheme="minorBidi"/>
          <w:iCs/>
          <w:color w:val="000000" w:themeColor="text1"/>
          <w:kern w:val="24"/>
        </w:rPr>
        <w:t xml:space="preserve"> this offence and the </w:t>
      </w:r>
      <w:hyperlink r:id="rId14" w:history="1">
        <w:r w:rsidRPr="00A533FA">
          <w:rPr>
            <w:rStyle w:val="Hyperlink"/>
            <w:rFonts w:asciiTheme="minorHAnsi" w:eastAsiaTheme="minorEastAsia" w:hAnsi="Calibri" w:cstheme="minorBidi"/>
            <w:iCs/>
            <w:color w:val="000000" w:themeColor="text1"/>
            <w:kern w:val="24"/>
          </w:rPr>
          <w:t xml:space="preserve">documentary </w:t>
        </w:r>
      </w:hyperlink>
      <w:r w:rsidR="00A533FA" w:rsidRPr="00A533FA">
        <w:rPr>
          <w:rStyle w:val="Hyperlink"/>
          <w:rFonts w:asciiTheme="minorHAnsi" w:eastAsiaTheme="minorEastAsia" w:hAnsi="Calibri" w:cstheme="minorBidi"/>
          <w:iCs/>
          <w:color w:val="000000" w:themeColor="text1"/>
          <w:kern w:val="24"/>
        </w:rPr>
        <w:t>evidence required</w:t>
      </w:r>
      <w:r w:rsidRPr="00A533FA">
        <w:rPr>
          <w:rFonts w:asciiTheme="minorHAnsi" w:eastAsiaTheme="minorEastAsia" w:hAnsi="Calibri" w:cstheme="minorBidi"/>
          <w:iCs/>
          <w:color w:val="000000" w:themeColor="text1"/>
          <w:kern w:val="24"/>
        </w:rPr>
        <w:t>.</w:t>
      </w:r>
    </w:p>
    <w:p w:rsidR="00475A66" w:rsidRDefault="005D6462" w:rsidP="00372AC9">
      <w:pPr>
        <w:pStyle w:val="NormalWeb"/>
        <w:spacing w:before="0" w:beforeAutospacing="0" w:after="0" w:afterAutospacing="0"/>
      </w:pPr>
      <w:r w:rsidRPr="00A533FA">
        <w:rPr>
          <w:rFonts w:asciiTheme="minorHAnsi" w:eastAsiaTheme="minorEastAsia" w:hAnsi="Calibri" w:cstheme="minorBidi"/>
          <w:color w:val="000000" w:themeColor="text1"/>
          <w:kern w:val="24"/>
        </w:rPr>
        <w:br/>
      </w:r>
      <w:r w:rsidRPr="00A533FA">
        <w:rPr>
          <w:rFonts w:asciiTheme="minorHAnsi" w:eastAsiaTheme="minorEastAsia" w:hAnsi="Calibri" w:cstheme="minorBidi"/>
          <w:iCs/>
          <w:color w:val="000000" w:themeColor="text1"/>
          <w:kern w:val="24"/>
        </w:rPr>
        <w:t xml:space="preserve">(xi) A person commits an offence if they fail to give permission for blood taken from them to be subjected to a laboratory test. Conviction of the offence under section </w:t>
      </w:r>
      <w:r w:rsidR="00D16392" w:rsidRPr="00A533FA">
        <w:rPr>
          <w:rFonts w:asciiTheme="minorHAnsi" w:eastAsiaTheme="minorEastAsia" w:hAnsi="Calibri" w:cstheme="minorBidi"/>
          <w:iCs/>
          <w:color w:val="000000" w:themeColor="text1"/>
          <w:kern w:val="24"/>
        </w:rPr>
        <w:t>7A (</w:t>
      </w:r>
      <w:r w:rsidRPr="00A533FA">
        <w:rPr>
          <w:rFonts w:asciiTheme="minorHAnsi" w:eastAsiaTheme="minorEastAsia" w:hAnsi="Calibri" w:cstheme="minorBidi"/>
          <w:iCs/>
          <w:color w:val="000000" w:themeColor="text1"/>
          <w:kern w:val="24"/>
        </w:rPr>
        <w:t>6) can be an alternative verdict where a prosecution for the offence under section 3A has been unsuccessful.</w:t>
      </w:r>
    </w:p>
    <w:sectPr w:rsidR="00475A66" w:rsidSect="00892141">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2141" w:rsidRDefault="00892141" w:rsidP="00892141">
      <w:pPr>
        <w:spacing w:after="0" w:line="240" w:lineRule="auto"/>
      </w:pPr>
      <w:r>
        <w:separator/>
      </w:r>
    </w:p>
  </w:endnote>
  <w:endnote w:type="continuationSeparator" w:id="0">
    <w:p w:rsidR="00892141" w:rsidRDefault="00892141" w:rsidP="0089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AC9" w:rsidRDefault="00372AC9" w:rsidP="00372AC9">
    <w:pPr>
      <w:pStyle w:val="Footer"/>
      <w:rPr>
        <w:color w:val="000000"/>
        <w:sz w:val="17"/>
        <w:szCs w:val="20"/>
      </w:rPr>
    </w:pPr>
    <w:bookmarkStart w:id="3" w:name="TITUS1FooterEvenPages"/>
    <w:r w:rsidRPr="00372AC9">
      <w:rPr>
        <w:color w:val="000000"/>
        <w:sz w:val="17"/>
        <w:szCs w:val="20"/>
      </w:rPr>
      <w:t> </w:t>
    </w:r>
  </w:p>
  <w:bookmarkEnd w:id="3"/>
  <w:p w:rsidR="00892141" w:rsidRPr="00372AC9" w:rsidRDefault="00372AC9">
    <w:pPr>
      <w:pStyle w:val="Footer"/>
      <w:rPr>
        <w:sz w:val="20"/>
        <w:szCs w:val="20"/>
      </w:rPr>
    </w:pPr>
    <w:r w:rsidRPr="00372AC9">
      <w:rPr>
        <w:sz w:val="20"/>
        <w:szCs w:val="20"/>
      </w:rPr>
      <w:t>AJW54949</w:t>
    </w:r>
    <w:r w:rsidRPr="00372AC9">
      <w:rPr>
        <w:sz w:val="20"/>
        <w:szCs w:val="20"/>
      </w:rPr>
      <w:ptab w:relativeTo="margin" w:alignment="center" w:leader="none"/>
    </w:r>
    <w:r w:rsidRPr="00372AC9">
      <w:rPr>
        <w:sz w:val="20"/>
        <w:szCs w:val="20"/>
      </w:rPr>
      <w:t>Version 1.0</w:t>
    </w:r>
    <w:r w:rsidRPr="00372AC9">
      <w:rPr>
        <w:sz w:val="20"/>
        <w:szCs w:val="20"/>
      </w:rPr>
      <w:ptab w:relativeTo="margin" w:alignment="right" w:leader="none"/>
    </w:r>
  </w:p>
  <w:p w:rsidR="00372AC9" w:rsidRPr="00372AC9" w:rsidRDefault="00372AC9">
    <w:pPr>
      <w:pStyle w:val="Footer"/>
      <w:rPr>
        <w:sz w:val="20"/>
        <w:szCs w:val="20"/>
      </w:rPr>
    </w:pPr>
    <w:r w:rsidRPr="00372AC9">
      <w:rPr>
        <w:sz w:val="20"/>
        <w:szCs w:val="20"/>
      </w:rPr>
      <w:t>March 2019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141" w:rsidRDefault="00372AC9" w:rsidP="00372AC9">
    <w:pPr>
      <w:pStyle w:val="Footer"/>
      <w:rPr>
        <w:color w:val="000000"/>
        <w:sz w:val="17"/>
      </w:rPr>
    </w:pPr>
    <w:bookmarkStart w:id="4" w:name="TITUS1FooterPrimary"/>
    <w:r>
      <w:rPr>
        <w:color w:val="000000"/>
        <w:sz w:val="17"/>
      </w:rPr>
      <w:t> </w:t>
    </w:r>
  </w:p>
  <w:bookmarkEnd w:id="4"/>
  <w:p w:rsidR="00892141" w:rsidRDefault="008921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141" w:rsidRDefault="00372AC9" w:rsidP="00372AC9">
    <w:pPr>
      <w:pStyle w:val="Footer"/>
      <w:rPr>
        <w:color w:val="000000"/>
        <w:sz w:val="17"/>
      </w:rPr>
    </w:pPr>
    <w:bookmarkStart w:id="6" w:name="TITUS1FooterFirstPage"/>
    <w:r>
      <w:rPr>
        <w:color w:val="000000"/>
        <w:sz w:val="17"/>
      </w:rPr>
      <w:t> </w:t>
    </w:r>
  </w:p>
  <w:bookmarkEnd w:id="6"/>
  <w:p w:rsidR="00892141" w:rsidRDefault="008921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2141" w:rsidRDefault="00892141" w:rsidP="00892141">
      <w:pPr>
        <w:spacing w:after="0" w:line="240" w:lineRule="auto"/>
      </w:pPr>
      <w:r>
        <w:separator/>
      </w:r>
    </w:p>
  </w:footnote>
  <w:footnote w:type="continuationSeparator" w:id="0">
    <w:p w:rsidR="00892141" w:rsidRDefault="00892141" w:rsidP="0089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A6C" w:rsidRDefault="00372AC9" w:rsidP="00372AC9">
    <w:pPr>
      <w:pStyle w:val="Header"/>
      <w:rPr>
        <w:color w:val="000000"/>
        <w:sz w:val="17"/>
      </w:rPr>
    </w:pPr>
    <w:bookmarkStart w:id="1" w:name="TITUS1HeaderEvenPages"/>
    <w:r>
      <w:rPr>
        <w:color w:val="000000"/>
        <w:sz w:val="17"/>
      </w:rPr>
      <w:t> </w:t>
    </w:r>
  </w:p>
  <w:bookmarkEnd w:id="1"/>
  <w:p w:rsidR="00852A6C" w:rsidRDefault="00852A6C" w:rsidP="00852A6C">
    <w:pPr>
      <w:pStyle w:val="Header"/>
    </w:pPr>
  </w:p>
  <w:p w:rsidR="00892141" w:rsidRPr="00372AC9" w:rsidRDefault="00892141">
    <w:pPr>
      <w:pStyle w:val="Head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141" w:rsidRDefault="00372AC9" w:rsidP="00372AC9">
    <w:pPr>
      <w:pStyle w:val="Header"/>
      <w:rPr>
        <w:color w:val="000000"/>
        <w:sz w:val="17"/>
        <w:szCs w:val="20"/>
      </w:rPr>
    </w:pPr>
    <w:bookmarkStart w:id="2" w:name="TITUS1HeaderPrimary"/>
    <w:r w:rsidRPr="00372AC9">
      <w:rPr>
        <w:color w:val="000000"/>
        <w:sz w:val="17"/>
        <w:szCs w:val="20"/>
      </w:rPr>
      <w:t> </w:t>
    </w:r>
  </w:p>
  <w:bookmarkEnd w:id="2"/>
  <w:p w:rsidR="00892141" w:rsidRPr="00372AC9" w:rsidRDefault="00892141">
    <w:pPr>
      <w:pStyle w:val="Head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141" w:rsidRDefault="00372AC9" w:rsidP="00372AC9">
    <w:pPr>
      <w:pStyle w:val="Header"/>
      <w:rPr>
        <w:color w:val="000000"/>
        <w:sz w:val="17"/>
      </w:rPr>
    </w:pPr>
    <w:bookmarkStart w:id="5" w:name="TITUS1HeaderFirstPage"/>
    <w:r>
      <w:rPr>
        <w:color w:val="000000"/>
        <w:sz w:val="17"/>
      </w:rPr>
      <w:t> </w:t>
    </w:r>
  </w:p>
  <w:bookmarkEnd w:id="5"/>
  <w:p w:rsidR="00892141" w:rsidRDefault="008921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9F6492"/>
    <w:multiLevelType w:val="hybridMultilevel"/>
    <w:tmpl w:val="B69864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1vG/N3pUW56/VkwYFxU+c/6yKp3fZotw5JSaNf0Czi0IOBKvBr2PUOnt4gfnVvIwWMvvzPiF55WmJARtGmCUMg==" w:salt="4HsLEHY6AzyLqSBhJ6S65Q=="/>
  <w:zoom w:percent="89"/>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141"/>
    <w:rsid w:val="00207237"/>
    <w:rsid w:val="00270009"/>
    <w:rsid w:val="00372AC9"/>
    <w:rsid w:val="00475A66"/>
    <w:rsid w:val="005D6462"/>
    <w:rsid w:val="0075686B"/>
    <w:rsid w:val="00852A6C"/>
    <w:rsid w:val="00892141"/>
    <w:rsid w:val="008F3B19"/>
    <w:rsid w:val="00990B0C"/>
    <w:rsid w:val="00A533FA"/>
    <w:rsid w:val="00B218EC"/>
    <w:rsid w:val="00D16392"/>
    <w:rsid w:val="00DB4418"/>
    <w:rsid w:val="00DC2406"/>
    <w:rsid w:val="00E94F9D"/>
    <w:rsid w:val="00FF3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A12B007F-B760-48C9-BEC1-FB6635707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2141"/>
  </w:style>
  <w:style w:type="paragraph" w:styleId="Footer">
    <w:name w:val="footer"/>
    <w:basedOn w:val="Normal"/>
    <w:link w:val="FooterChar"/>
    <w:uiPriority w:val="99"/>
    <w:unhideWhenUsed/>
    <w:rsid w:val="0089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2141"/>
  </w:style>
  <w:style w:type="paragraph" w:styleId="NormalWeb">
    <w:name w:val="Normal (Web)"/>
    <w:basedOn w:val="Normal"/>
    <w:uiPriority w:val="99"/>
    <w:unhideWhenUsed/>
    <w:rsid w:val="00475A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75A66"/>
    <w:rPr>
      <w:color w:val="0000FF"/>
      <w:u w:val="single"/>
    </w:rPr>
  </w:style>
  <w:style w:type="paragraph" w:styleId="ListParagraph">
    <w:name w:val="List Paragraph"/>
    <w:basedOn w:val="Normal"/>
    <w:uiPriority w:val="34"/>
    <w:qFormat/>
    <w:rsid w:val="00E94F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855550">
      <w:bodyDiv w:val="1"/>
      <w:marLeft w:val="0"/>
      <w:marRight w:val="0"/>
      <w:marTop w:val="0"/>
      <w:marBottom w:val="0"/>
      <w:divBdr>
        <w:top w:val="none" w:sz="0" w:space="0" w:color="auto"/>
        <w:left w:val="none" w:sz="0" w:space="0" w:color="auto"/>
        <w:bottom w:val="none" w:sz="0" w:space="0" w:color="auto"/>
        <w:right w:val="none" w:sz="0" w:space="0" w:color="auto"/>
      </w:divBdr>
    </w:div>
    <w:div w:id="132212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manager.pnld.co.uk/content/C170.htm" TargetMode="External"/><Relationship Id="rId13" Type="http://schemas.openxmlformats.org/officeDocument/2006/relationships/hyperlink" Target="https://docmanager.pnld.co.uk/content/D7025.htm"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cmanager.pnld.co.uk/content/C170.htm" TargetMode="External"/><Relationship Id="rId12" Type="http://schemas.openxmlformats.org/officeDocument/2006/relationships/hyperlink" Target="https://docmanager.pnld.co.uk/content/D2903.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2902.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cmanager.pnld.co.uk/content/D2911.htm"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docmanager.pnld.co.uk/content/C170.htm" TargetMode="External"/><Relationship Id="rId14" Type="http://schemas.openxmlformats.org/officeDocument/2006/relationships/hyperlink" Target="https://docmanager.pnld.co.uk/content/D7026.ht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798</Words>
  <Characters>4552</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Bristow,Richard swp3995</dc:creator>
  <cp:keywords/>
  <dc:description/>
  <cp:lastModifiedBy>Jones,Sarah swp5354</cp:lastModifiedBy>
  <cp:revision>2</cp:revision>
  <dcterms:created xsi:type="dcterms:W3CDTF">2019-04-02T10:25:00Z</dcterms:created>
  <dcterms:modified xsi:type="dcterms:W3CDTF">2019-04-02T10:25:00Z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8a4dd071-4cbb-40c1-939c-ff32034638c5</vt:lpwstr>
  </property>
  <property fmtid="{D5CDD505-2E9C-101B-9397-08002B2CF9AE}" pid="3" name="Classification">
    <vt:lpwstr>OFFICIAL</vt:lpwstr>
  </property>
  <property fmtid="{D5CDD505-2E9C-101B-9397-08002B2CF9AE}" pid="4" name="Visibility">
    <vt:lpwstr>NOT VISIBLE</vt:lpwstr>
  </property>
</Properties>
</file>