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75780" w14:textId="77777777" w:rsidR="00927271" w:rsidRDefault="00927271" w:rsidP="00927271">
      <w:r>
        <w:t>Independent Study Tasks (Weeks 1 to 9)</w:t>
      </w:r>
    </w:p>
    <w:p w14:paraId="7804C880" w14:textId="77777777" w:rsidR="00927271" w:rsidRDefault="00927271" w:rsidP="00927271">
      <w:r>
        <w:t>Introduction</w:t>
      </w:r>
    </w:p>
    <w:p w14:paraId="6A8CD234" w14:textId="77777777" w:rsidR="00927271" w:rsidRDefault="00927271" w:rsidP="00927271">
      <w:r>
        <w:t>Throughout this rigorous nine-week independent study evaluating Ryman Hospitality Properties, Inc., artificial intelligence tools were systematically integrated to manage complex financial analysis, data extraction, statement reconciliation, and advanced capital budgeting models. To optimize workflow efficiency, Dola AI was utilized as the primary AI tool throughout all stages of the independent study, supporting the foundational data extraction phases as well as all subsequent analytical, computational, and modeling tasks spanning Weeks 1 through 9.</w:t>
      </w:r>
    </w:p>
    <w:p w14:paraId="376910E6" w14:textId="77777777" w:rsidR="00927271" w:rsidRDefault="00927271" w:rsidP="00927271">
      <w:r>
        <w:t>Tool Disclosure &amp; Weekly Progression (Weeks 1 to 9)</w:t>
      </w:r>
    </w:p>
    <w:p w14:paraId="54BA12A2" w14:textId="77777777" w:rsidR="00927271" w:rsidRDefault="00927271" w:rsidP="00927271">
      <w:r>
        <w:t>The AI integration followed a structured, chronological progression aligned directly with the weekly study milestones. In Week 1 (Company Selection &amp; Annual Report Extraction) and Week 2, Dola AI was deployed to parse extensive Form 10-K PDF filings, extracting five years of consolidated income statement line items and synthesizing raw operating figures into preliminary structured formats. In Week 3 (Build Balance Sheet Dataset), Dola AI was adopted to extract and format complex assets, liabilities, and stockholders' equity indicators. In Week 4 (Construct Cash Flow Statement), Dola AI assisted in reconciling operating, investing, and financing cash flows across Ryman Hospitality Properties, Inc.'s five-year financial history. Week 5 (Full Ratio Analysis Draft) involved Dola AI generating core investment and cash flow ratios (ROE, ROA, P/E, Operating Cash Flow Ratio, and Free Cash Flow Margin). Moving to Week 6 (Complete Financial Ratio &amp; Industry Benchmark Comparison), Dola AI constructed direct peer comparison tables benchmarking Ryman Hospitality Properties, Inc. against Marriott International, Hyatt Hotels, and the broader hospitality industry average. For Week 7 (Working Capital Cycle Calculation), Dola AI computed Inventory Days, Receivable Days, Payable Days, and the Cash Conversion Cycle (CCC). Finally, in Week 8 (Investment Appraisal – Excel Setup) and Week 9 (Complete Investment Appraisal), Dola AI formulated advanced financial models incorporating Payback Period, Accounting Rate of Return (ARR), Net Present Value (NPV) at an 8% discount rate, Profitability Index (PI), Internal Rate of Return (IRR), and strategic capital rationing decision rules.</w:t>
      </w:r>
    </w:p>
    <w:p w14:paraId="0169AAD8" w14:textId="77777777" w:rsidR="00927271" w:rsidRDefault="00927271" w:rsidP="00927271">
      <w:r>
        <w:t>Critical Evaluation of AI Output</w:t>
      </w:r>
    </w:p>
    <w:p w14:paraId="4DCBD9B7" w14:textId="77777777" w:rsidR="00927271" w:rsidRDefault="00927271" w:rsidP="00927271">
      <w:r>
        <w:t xml:space="preserve">While AI tools vastly accelerated computational speed and document formatting, rigorous human oversight and verification were vital at every stage. Initial AI-extracted financial figures occasionally exhibited minor classification ambiguities due to complex hospitality reporting structures, such as separating franchise fees from reimbursed cost revenues. Critical evaluation involved cross-referencing all AI outputs directly against primary SEC disclosures. For instance, in Week 7, the AI correctly </w:t>
      </w:r>
      <w:proofErr w:type="spellStart"/>
      <w:r>
        <w:t>analyzed</w:t>
      </w:r>
      <w:proofErr w:type="spellEnd"/>
      <w:r>
        <w:t xml:space="preserve"> that Ryman </w:t>
      </w:r>
      <w:r>
        <w:lastRenderedPageBreak/>
        <w:t>Hospitality Properties, Inc.'s asset-light franchise and management model results in negligible physical inventory (Inventory Days = 0.00), preventing erroneous asset assumptions. Similarly, during investment appraisal in Weeks 8 and 9, financial formulas and discount rate calculations generated by Dola AI were independently audited to ensure strict adherence to corporate finance principles.</w:t>
      </w:r>
    </w:p>
    <w:p w14:paraId="206C12A2" w14:textId="77777777" w:rsidR="00927271" w:rsidRDefault="00927271" w:rsidP="00927271">
      <w:r>
        <w:t>Contribution Analysis</w:t>
      </w:r>
    </w:p>
    <w:p w14:paraId="6D1384ED" w14:textId="77777777" w:rsidR="00927271" w:rsidRDefault="00927271" w:rsidP="00927271">
      <w:r>
        <w:t>The contribution of AI to this project was profoundly transformative regarding analytical scale and operational efficiency. Manually consolidating five years of multi-sheet financial statements, calculating multi-year working capital cycles, and designing multi-variable investment appraisal workbooks would have been exceptionally time-consuming. Dola AI effectively absorbed this computational friction, freeing up cognitive bandwidth to focus on strategic financial interpretation, competitor benchmarking analysis, and executive capital-budgeting recommendations.</w:t>
      </w:r>
    </w:p>
    <w:p w14:paraId="20DF5B28" w14:textId="77777777" w:rsidR="00927271" w:rsidRDefault="00927271" w:rsidP="00927271">
      <w:r>
        <w:t>Ethical &amp; Professional Reflection</w:t>
      </w:r>
    </w:p>
    <w:p w14:paraId="33B8C61A" w14:textId="77777777" w:rsidR="00927271" w:rsidRDefault="00927271" w:rsidP="00927271">
      <w:r>
        <w:t xml:space="preserve">Ethical engagement with AI in academic and professional financial reporting demands absolute transparency, data integrity, and strict personal accountability. All Dola AI-generated financial models, calculations, and reflective drafts were treated as collaborative drafts rather than infallible final products. Every output was </w:t>
      </w:r>
      <w:proofErr w:type="gramStart"/>
      <w:r>
        <w:t>cross-verified</w:t>
      </w:r>
      <w:proofErr w:type="gramEnd"/>
      <w:r>
        <w:t xml:space="preserve"> against official corporate filings to ensure zero data fabrication or misrepresentation. Ultimately, this independent study demonstrated that AI achieves its highest value when deployed as an intelligent collaborator that augments, rather than replaces, professional financial judgment and critical thinking.</w:t>
      </w:r>
    </w:p>
    <w:p w14:paraId="26C260C4" w14:textId="5294B29A" w:rsidR="00DF4D36" w:rsidRDefault="00927271" w:rsidP="00927271">
      <w:r>
        <w:t>In summary, navigating weeks one through nine with the aid of Dola AI provided a masterclass in modern digital financial analysis.</w:t>
      </w:r>
    </w:p>
    <w:sectPr w:rsidR="00DF4D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271"/>
    <w:rsid w:val="00256312"/>
    <w:rsid w:val="002F27A7"/>
    <w:rsid w:val="00927271"/>
    <w:rsid w:val="00A43DF0"/>
    <w:rsid w:val="00DF4D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56F87"/>
  <w15:chartTrackingRefBased/>
  <w15:docId w15:val="{115431CB-15B7-41E2-9644-D22BA65B6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2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2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2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2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2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2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2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2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2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2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2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2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2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2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2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2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2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271"/>
    <w:rPr>
      <w:rFonts w:eastAsiaTheme="majorEastAsia" w:cstheme="majorBidi"/>
      <w:color w:val="272727" w:themeColor="text1" w:themeTint="D8"/>
    </w:rPr>
  </w:style>
  <w:style w:type="paragraph" w:styleId="Title">
    <w:name w:val="Title"/>
    <w:basedOn w:val="Normal"/>
    <w:next w:val="Normal"/>
    <w:link w:val="TitleChar"/>
    <w:uiPriority w:val="10"/>
    <w:qFormat/>
    <w:rsid w:val="009272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2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2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2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271"/>
    <w:pPr>
      <w:spacing w:before="160"/>
      <w:jc w:val="center"/>
    </w:pPr>
    <w:rPr>
      <w:i/>
      <w:iCs/>
      <w:color w:val="404040" w:themeColor="text1" w:themeTint="BF"/>
    </w:rPr>
  </w:style>
  <w:style w:type="character" w:customStyle="1" w:styleId="QuoteChar">
    <w:name w:val="Quote Char"/>
    <w:basedOn w:val="DefaultParagraphFont"/>
    <w:link w:val="Quote"/>
    <w:uiPriority w:val="29"/>
    <w:rsid w:val="00927271"/>
    <w:rPr>
      <w:i/>
      <w:iCs/>
      <w:color w:val="404040" w:themeColor="text1" w:themeTint="BF"/>
    </w:rPr>
  </w:style>
  <w:style w:type="paragraph" w:styleId="ListParagraph">
    <w:name w:val="List Paragraph"/>
    <w:basedOn w:val="Normal"/>
    <w:uiPriority w:val="34"/>
    <w:qFormat/>
    <w:rsid w:val="00927271"/>
    <w:pPr>
      <w:ind w:left="720"/>
      <w:contextualSpacing/>
    </w:pPr>
  </w:style>
  <w:style w:type="character" w:styleId="IntenseEmphasis">
    <w:name w:val="Intense Emphasis"/>
    <w:basedOn w:val="DefaultParagraphFont"/>
    <w:uiPriority w:val="21"/>
    <w:qFormat/>
    <w:rsid w:val="00927271"/>
    <w:rPr>
      <w:i/>
      <w:iCs/>
      <w:color w:val="0F4761" w:themeColor="accent1" w:themeShade="BF"/>
    </w:rPr>
  </w:style>
  <w:style w:type="paragraph" w:styleId="IntenseQuote">
    <w:name w:val="Intense Quote"/>
    <w:basedOn w:val="Normal"/>
    <w:next w:val="Normal"/>
    <w:link w:val="IntenseQuoteChar"/>
    <w:uiPriority w:val="30"/>
    <w:qFormat/>
    <w:rsid w:val="009272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271"/>
    <w:rPr>
      <w:i/>
      <w:iCs/>
      <w:color w:val="0F4761" w:themeColor="accent1" w:themeShade="BF"/>
    </w:rPr>
  </w:style>
  <w:style w:type="character" w:styleId="IntenseReference">
    <w:name w:val="Intense Reference"/>
    <w:basedOn w:val="DefaultParagraphFont"/>
    <w:uiPriority w:val="32"/>
    <w:qFormat/>
    <w:rsid w:val="009272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702</Words>
  <Characters>4002</Characters>
  <Application>Microsoft Office Word</Application>
  <DocSecurity>0</DocSecurity>
  <Lines>33</Lines>
  <Paragraphs>9</Paragraphs>
  <ScaleCrop>false</ScaleCrop>
  <Company/>
  <LinksUpToDate>false</LinksUpToDate>
  <CharactersWithSpaces>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Kishan Vijaybhai Sangani (2527211)</dc:creator>
  <cp:keywords/>
  <dc:description/>
  <cp:lastModifiedBy>Kishan Vijaybhai Sangani (2527211)</cp:lastModifiedBy>
  <cp:revision>1</cp:revision>
  <dcterms:created xsi:type="dcterms:W3CDTF">2026-08-12T14:28:00Z</dcterms:created>
  <dcterms:modified xsi:type="dcterms:W3CDTF">2026-08-12T14:30:00Z</dcterms:modified>
</cp:coreProperties>
</file>