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6B16CA" w14:textId="77777777" w:rsidR="00716FAC" w:rsidRDefault="00716FAC" w:rsidP="00716FAC">
      <w:pPr>
        <w:jc w:val="center"/>
        <w:rPr>
          <w:rFonts w:ascii="Arial" w:hAnsi="Arial" w:cs="Arial"/>
          <w:b/>
          <w:sz w:val="48"/>
          <w:szCs w:val="48"/>
        </w:rPr>
      </w:pPr>
    </w:p>
    <w:p w14:paraId="131E50D5" w14:textId="734917F7" w:rsidR="00716FAC" w:rsidRPr="00716FAC" w:rsidRDefault="00716FAC" w:rsidP="00716FAC">
      <w:pPr>
        <w:jc w:val="center"/>
        <w:rPr>
          <w:rFonts w:ascii="Arial" w:hAnsi="Arial" w:cs="Arial"/>
          <w:b/>
          <w:color w:val="E97132" w:themeColor="accent2"/>
          <w:sz w:val="48"/>
          <w:szCs w:val="48"/>
        </w:rPr>
      </w:pPr>
      <w:r w:rsidRPr="00716FAC">
        <w:rPr>
          <w:rFonts w:ascii="Arial" w:hAnsi="Arial" w:cs="Arial"/>
          <w:b/>
          <w:color w:val="E97132" w:themeColor="accent2"/>
          <w:sz w:val="48"/>
          <w:szCs w:val="48"/>
        </w:rPr>
        <w:t xml:space="preserve">RESIT CONFERENCE </w:t>
      </w:r>
      <w:r>
        <w:rPr>
          <w:rFonts w:ascii="Arial" w:hAnsi="Arial" w:cs="Arial"/>
          <w:b/>
          <w:color w:val="E97132" w:themeColor="accent2"/>
          <w:sz w:val="48"/>
          <w:szCs w:val="48"/>
        </w:rPr>
        <w:t xml:space="preserve">RESEARCH PAPER </w:t>
      </w:r>
      <w:r w:rsidRPr="00716FAC">
        <w:rPr>
          <w:rFonts w:ascii="Arial" w:hAnsi="Arial" w:cs="Arial"/>
          <w:b/>
          <w:color w:val="E97132" w:themeColor="accent2"/>
          <w:sz w:val="48"/>
          <w:szCs w:val="48"/>
        </w:rPr>
        <w:t>PRESENTATION</w:t>
      </w:r>
    </w:p>
    <w:p w14:paraId="31265187" w14:textId="77777777" w:rsidR="00716FAC" w:rsidRDefault="00716FAC" w:rsidP="00716FAC">
      <w:pPr>
        <w:jc w:val="center"/>
        <w:rPr>
          <w:rFonts w:ascii="Arial" w:hAnsi="Arial" w:cs="Arial"/>
          <w:b/>
          <w:sz w:val="48"/>
          <w:szCs w:val="48"/>
        </w:rPr>
      </w:pPr>
    </w:p>
    <w:p w14:paraId="0596D4D1" w14:textId="0D0FC5DC" w:rsidR="00716FAC" w:rsidRPr="00A63835" w:rsidRDefault="00716FAC" w:rsidP="00716FAC">
      <w:pPr>
        <w:jc w:val="center"/>
        <w:rPr>
          <w:rFonts w:ascii="Arial" w:hAnsi="Arial" w:cs="Arial"/>
          <w:b/>
          <w:sz w:val="48"/>
          <w:szCs w:val="48"/>
        </w:rPr>
      </w:pPr>
      <w:r w:rsidRPr="00A63835">
        <w:rPr>
          <w:rFonts w:ascii="Arial" w:hAnsi="Arial" w:cs="Arial"/>
          <w:b/>
          <w:sz w:val="48"/>
          <w:szCs w:val="48"/>
        </w:rPr>
        <w:t>Local Sourcing and Food Sustainability in the Hotel and Hospitality Sector</w:t>
      </w:r>
    </w:p>
    <w:p w14:paraId="6CB466FE" w14:textId="77777777" w:rsidR="00716FAC" w:rsidRDefault="00716FAC" w:rsidP="00716FAC">
      <w:pPr>
        <w:jc w:val="center"/>
        <w:rPr>
          <w:rFonts w:ascii="Arial" w:hAnsi="Arial" w:cs="Arial"/>
          <w:sz w:val="44"/>
          <w:szCs w:val="44"/>
        </w:rPr>
      </w:pPr>
    </w:p>
    <w:p w14:paraId="5FE01482" w14:textId="77777777" w:rsidR="00716FAC" w:rsidRPr="007435DB" w:rsidRDefault="00716FAC" w:rsidP="00716FAC">
      <w:pPr>
        <w:jc w:val="center"/>
        <w:rPr>
          <w:rFonts w:ascii="Arial" w:hAnsi="Arial" w:cs="Arial"/>
          <w:sz w:val="96"/>
          <w:szCs w:val="96"/>
        </w:rPr>
      </w:pPr>
    </w:p>
    <w:p w14:paraId="327FB132" w14:textId="77777777" w:rsidR="00716FAC" w:rsidRDefault="00716FAC" w:rsidP="00716FAC">
      <w:pPr>
        <w:jc w:val="center"/>
        <w:rPr>
          <w:rFonts w:ascii="Arial" w:hAnsi="Arial" w:cs="Arial"/>
          <w:b/>
          <w:bCs/>
          <w:color w:val="000000"/>
          <w:sz w:val="32"/>
          <w:szCs w:val="32"/>
        </w:rPr>
      </w:pPr>
      <w:r w:rsidRPr="007435DB">
        <w:rPr>
          <w:rFonts w:ascii="Arial" w:hAnsi="Arial" w:cs="Arial"/>
          <w:b/>
          <w:bCs/>
          <w:color w:val="000000"/>
          <w:sz w:val="32"/>
          <w:szCs w:val="32"/>
        </w:rPr>
        <w:t xml:space="preserve">BMIH 6001 </w:t>
      </w:r>
    </w:p>
    <w:p w14:paraId="67BD8934" w14:textId="77777777" w:rsidR="00716FAC" w:rsidRPr="007435DB" w:rsidRDefault="00716FAC" w:rsidP="00716FAC">
      <w:pPr>
        <w:jc w:val="center"/>
        <w:rPr>
          <w:rFonts w:ascii="Arial" w:hAnsi="Arial" w:cs="Arial"/>
          <w:sz w:val="96"/>
          <w:szCs w:val="96"/>
        </w:rPr>
      </w:pPr>
      <w:r w:rsidRPr="007435DB">
        <w:rPr>
          <w:rFonts w:ascii="Arial" w:hAnsi="Arial" w:cs="Arial"/>
          <w:b/>
          <w:bCs/>
          <w:color w:val="000000"/>
          <w:sz w:val="32"/>
          <w:szCs w:val="32"/>
        </w:rPr>
        <w:t>Contemporary Themes in the Hotel and Hospitality Sector</w:t>
      </w:r>
    </w:p>
    <w:p w14:paraId="6D457903" w14:textId="77777777" w:rsidR="00716FAC" w:rsidRDefault="00716FAC" w:rsidP="00716FAC">
      <w:pPr>
        <w:jc w:val="center"/>
        <w:rPr>
          <w:rFonts w:ascii="Arial" w:hAnsi="Arial" w:cs="Arial"/>
          <w:sz w:val="44"/>
          <w:szCs w:val="44"/>
        </w:rPr>
      </w:pPr>
    </w:p>
    <w:p w14:paraId="1D40623A" w14:textId="77777777" w:rsidR="00716FAC" w:rsidRDefault="00716FAC" w:rsidP="00716FAC">
      <w:pPr>
        <w:jc w:val="center"/>
        <w:rPr>
          <w:rFonts w:ascii="Arial" w:hAnsi="Arial" w:cs="Arial"/>
          <w:sz w:val="44"/>
          <w:szCs w:val="44"/>
        </w:rPr>
      </w:pPr>
    </w:p>
    <w:p w14:paraId="4A050165" w14:textId="77777777" w:rsidR="00716FAC" w:rsidRDefault="00716FAC" w:rsidP="00716FAC">
      <w:pPr>
        <w:jc w:val="center"/>
        <w:rPr>
          <w:rFonts w:ascii="Arial" w:hAnsi="Arial" w:cs="Arial"/>
          <w:sz w:val="44"/>
          <w:szCs w:val="44"/>
        </w:rPr>
      </w:pPr>
    </w:p>
    <w:p w14:paraId="3D134D9E" w14:textId="77777777" w:rsidR="00716FAC" w:rsidRPr="00A63835" w:rsidRDefault="00716FAC" w:rsidP="00716FAC">
      <w:pPr>
        <w:jc w:val="center"/>
        <w:rPr>
          <w:rFonts w:ascii="Arial" w:hAnsi="Arial" w:cs="Arial"/>
          <w:sz w:val="44"/>
          <w:szCs w:val="44"/>
        </w:rPr>
      </w:pPr>
      <w:r w:rsidRPr="00A63835">
        <w:rPr>
          <w:rFonts w:ascii="Arial" w:hAnsi="Arial" w:cs="Arial"/>
          <w:sz w:val="44"/>
          <w:szCs w:val="44"/>
        </w:rPr>
        <w:t>Fahmina Begum</w:t>
      </w:r>
    </w:p>
    <w:p w14:paraId="28957CA5" w14:textId="77777777" w:rsidR="00716FAC" w:rsidRDefault="00716FAC" w:rsidP="00716FAC">
      <w:pPr>
        <w:jc w:val="center"/>
        <w:rPr>
          <w:rFonts w:ascii="Arial" w:hAnsi="Arial" w:cs="Arial"/>
          <w:sz w:val="44"/>
          <w:szCs w:val="44"/>
        </w:rPr>
      </w:pPr>
      <w:r w:rsidRPr="00A63835">
        <w:rPr>
          <w:rFonts w:ascii="Arial" w:hAnsi="Arial" w:cs="Arial"/>
          <w:sz w:val="44"/>
          <w:szCs w:val="44"/>
        </w:rPr>
        <w:t>2022594</w:t>
      </w:r>
    </w:p>
    <w:p w14:paraId="64CD01D1" w14:textId="77777777" w:rsidR="0059540A" w:rsidRDefault="0059540A"/>
    <w:p w14:paraId="07E779B8" w14:textId="77777777" w:rsidR="00716FAC" w:rsidRDefault="00716FAC"/>
    <w:p w14:paraId="53232B1B" w14:textId="77777777" w:rsidR="00716FAC" w:rsidRDefault="00716FAC"/>
    <w:p w14:paraId="47A7E330" w14:textId="77777777" w:rsidR="00716FAC" w:rsidRDefault="00716FAC"/>
    <w:p w14:paraId="7DF0C962" w14:textId="77777777" w:rsidR="00716FAC" w:rsidRDefault="00716FAC"/>
    <w:p w14:paraId="2D4DF885" w14:textId="77777777" w:rsidR="00716FAC" w:rsidRDefault="00716FAC"/>
    <w:p w14:paraId="7A0FFD56" w14:textId="77777777" w:rsidR="00716FAC" w:rsidRDefault="00716FAC"/>
    <w:p w14:paraId="2F8E859E" w14:textId="77777777" w:rsidR="00716FAC" w:rsidRDefault="00716FAC"/>
    <w:p w14:paraId="2B96A3B1" w14:textId="15AE755B" w:rsidR="00716FAC" w:rsidRDefault="00716FAC">
      <w:r>
        <w:t>SLIDES</w:t>
      </w:r>
    </w:p>
    <w:p w14:paraId="78CEC014" w14:textId="026AC7F1" w:rsidR="00716FAC" w:rsidRDefault="00716FAC">
      <w:r w:rsidRPr="00716FAC">
        <w:rPr>
          <w:noProof/>
        </w:rPr>
        <w:drawing>
          <wp:inline distT="0" distB="0" distL="0" distR="0" wp14:anchorId="55851F66" wp14:editId="1560B953">
            <wp:extent cx="5728335" cy="3221990"/>
            <wp:effectExtent l="0" t="0" r="0" b="3810"/>
            <wp:docPr id="7747456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4745672" name=""/>
                    <pic:cNvPicPr/>
                  </pic:nvPicPr>
                  <pic:blipFill>
                    <a:blip r:embed="rId4"/>
                    <a:stretch>
                      <a:fillRect/>
                    </a:stretch>
                  </pic:blipFill>
                  <pic:spPr>
                    <a:xfrm>
                      <a:off x="0" y="0"/>
                      <a:ext cx="5728335" cy="3221990"/>
                    </a:xfrm>
                    <a:prstGeom prst="rect">
                      <a:avLst/>
                    </a:prstGeom>
                  </pic:spPr>
                </pic:pic>
              </a:graphicData>
            </a:graphic>
          </wp:inline>
        </w:drawing>
      </w:r>
    </w:p>
    <w:p w14:paraId="22792AC4" w14:textId="1B0A079D" w:rsidR="00716FAC" w:rsidRDefault="00716FAC">
      <w:pPr>
        <w:rPr>
          <w:noProof/>
          <w14:ligatures w14:val="standardContextual"/>
        </w:rPr>
      </w:pPr>
      <w:r w:rsidRPr="00716FAC">
        <w:rPr>
          <w:noProof/>
        </w:rPr>
        <w:lastRenderedPageBreak/>
        <w:drawing>
          <wp:inline distT="0" distB="0" distL="0" distR="0" wp14:anchorId="1C12B315" wp14:editId="58A224C6">
            <wp:extent cx="5728335" cy="3221990"/>
            <wp:effectExtent l="0" t="0" r="0" b="3810"/>
            <wp:docPr id="12585262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8526215" name=""/>
                    <pic:cNvPicPr/>
                  </pic:nvPicPr>
                  <pic:blipFill>
                    <a:blip r:embed="rId5"/>
                    <a:stretch>
                      <a:fillRect/>
                    </a:stretch>
                  </pic:blipFill>
                  <pic:spPr>
                    <a:xfrm>
                      <a:off x="0" y="0"/>
                      <a:ext cx="5728335" cy="3221990"/>
                    </a:xfrm>
                    <a:prstGeom prst="rect">
                      <a:avLst/>
                    </a:prstGeom>
                  </pic:spPr>
                </pic:pic>
              </a:graphicData>
            </a:graphic>
          </wp:inline>
        </w:drawing>
      </w:r>
      <w:r w:rsidRPr="00716FAC">
        <w:rPr>
          <w:noProof/>
          <w14:ligatures w14:val="standardContextual"/>
        </w:rPr>
        <w:t xml:space="preserve"> </w:t>
      </w:r>
      <w:r w:rsidRPr="00716FAC">
        <w:rPr>
          <w:noProof/>
        </w:rPr>
        <w:drawing>
          <wp:inline distT="0" distB="0" distL="0" distR="0" wp14:anchorId="1DD8D9A6" wp14:editId="45A41625">
            <wp:extent cx="5728335" cy="3221990"/>
            <wp:effectExtent l="0" t="0" r="0" b="3810"/>
            <wp:docPr id="16787422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8742223" name=""/>
                    <pic:cNvPicPr/>
                  </pic:nvPicPr>
                  <pic:blipFill>
                    <a:blip r:embed="rId6"/>
                    <a:stretch>
                      <a:fillRect/>
                    </a:stretch>
                  </pic:blipFill>
                  <pic:spPr>
                    <a:xfrm>
                      <a:off x="0" y="0"/>
                      <a:ext cx="5728335" cy="3221990"/>
                    </a:xfrm>
                    <a:prstGeom prst="rect">
                      <a:avLst/>
                    </a:prstGeom>
                  </pic:spPr>
                </pic:pic>
              </a:graphicData>
            </a:graphic>
          </wp:inline>
        </w:drawing>
      </w:r>
      <w:r w:rsidRPr="00716FAC">
        <w:rPr>
          <w:noProof/>
          <w14:ligatures w14:val="standardContextual"/>
        </w:rPr>
        <w:t xml:space="preserve"> </w:t>
      </w:r>
      <w:r w:rsidRPr="00716FAC">
        <w:rPr>
          <w:noProof/>
          <w14:ligatures w14:val="standardContextual"/>
        </w:rPr>
        <w:lastRenderedPageBreak/>
        <w:drawing>
          <wp:inline distT="0" distB="0" distL="0" distR="0" wp14:anchorId="2B2A47CC" wp14:editId="3AB9DB27">
            <wp:extent cx="5728335" cy="3221990"/>
            <wp:effectExtent l="0" t="0" r="0" b="3810"/>
            <wp:docPr id="20500885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088551" name=""/>
                    <pic:cNvPicPr/>
                  </pic:nvPicPr>
                  <pic:blipFill>
                    <a:blip r:embed="rId7"/>
                    <a:stretch>
                      <a:fillRect/>
                    </a:stretch>
                  </pic:blipFill>
                  <pic:spPr>
                    <a:xfrm>
                      <a:off x="0" y="0"/>
                      <a:ext cx="5728335" cy="3221990"/>
                    </a:xfrm>
                    <a:prstGeom prst="rect">
                      <a:avLst/>
                    </a:prstGeom>
                  </pic:spPr>
                </pic:pic>
              </a:graphicData>
            </a:graphic>
          </wp:inline>
        </w:drawing>
      </w:r>
      <w:r w:rsidRPr="00716FAC">
        <w:rPr>
          <w:noProof/>
          <w14:ligatures w14:val="standardContextual"/>
        </w:rPr>
        <w:t xml:space="preserve"> </w:t>
      </w:r>
      <w:r w:rsidRPr="00716FAC">
        <w:rPr>
          <w:noProof/>
          <w14:ligatures w14:val="standardContextual"/>
        </w:rPr>
        <w:drawing>
          <wp:inline distT="0" distB="0" distL="0" distR="0" wp14:anchorId="6134D8C3" wp14:editId="5C23EBF1">
            <wp:extent cx="5728335" cy="3221990"/>
            <wp:effectExtent l="0" t="0" r="0" b="3810"/>
            <wp:docPr id="7308937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0893731" name=""/>
                    <pic:cNvPicPr/>
                  </pic:nvPicPr>
                  <pic:blipFill>
                    <a:blip r:embed="rId8"/>
                    <a:stretch>
                      <a:fillRect/>
                    </a:stretch>
                  </pic:blipFill>
                  <pic:spPr>
                    <a:xfrm>
                      <a:off x="0" y="0"/>
                      <a:ext cx="5728335" cy="3221990"/>
                    </a:xfrm>
                    <a:prstGeom prst="rect">
                      <a:avLst/>
                    </a:prstGeom>
                  </pic:spPr>
                </pic:pic>
              </a:graphicData>
            </a:graphic>
          </wp:inline>
        </w:drawing>
      </w:r>
      <w:r w:rsidRPr="00716FAC">
        <w:rPr>
          <w:noProof/>
          <w14:ligatures w14:val="standardContextual"/>
        </w:rPr>
        <w:t xml:space="preserve"> </w:t>
      </w:r>
      <w:r w:rsidRPr="00716FAC">
        <w:rPr>
          <w:noProof/>
          <w14:ligatures w14:val="standardContextual"/>
        </w:rPr>
        <w:lastRenderedPageBreak/>
        <w:drawing>
          <wp:inline distT="0" distB="0" distL="0" distR="0" wp14:anchorId="2A8729AF" wp14:editId="0B13BA46">
            <wp:extent cx="5728335" cy="3221990"/>
            <wp:effectExtent l="0" t="0" r="0" b="3810"/>
            <wp:docPr id="19006607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0660733" name=""/>
                    <pic:cNvPicPr/>
                  </pic:nvPicPr>
                  <pic:blipFill>
                    <a:blip r:embed="rId9"/>
                    <a:stretch>
                      <a:fillRect/>
                    </a:stretch>
                  </pic:blipFill>
                  <pic:spPr>
                    <a:xfrm>
                      <a:off x="0" y="0"/>
                      <a:ext cx="5728335" cy="3221990"/>
                    </a:xfrm>
                    <a:prstGeom prst="rect">
                      <a:avLst/>
                    </a:prstGeom>
                  </pic:spPr>
                </pic:pic>
              </a:graphicData>
            </a:graphic>
          </wp:inline>
        </w:drawing>
      </w:r>
      <w:r w:rsidRPr="00716FAC">
        <w:rPr>
          <w:noProof/>
          <w14:ligatures w14:val="standardContextual"/>
        </w:rPr>
        <w:t xml:space="preserve"> </w:t>
      </w:r>
      <w:r w:rsidRPr="00716FAC">
        <w:rPr>
          <w:noProof/>
          <w14:ligatures w14:val="standardContextual"/>
        </w:rPr>
        <w:drawing>
          <wp:inline distT="0" distB="0" distL="0" distR="0" wp14:anchorId="08FCD2E6" wp14:editId="76058FF0">
            <wp:extent cx="5728335" cy="3221990"/>
            <wp:effectExtent l="0" t="0" r="0" b="3810"/>
            <wp:docPr id="10665709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6570953" name=""/>
                    <pic:cNvPicPr/>
                  </pic:nvPicPr>
                  <pic:blipFill>
                    <a:blip r:embed="rId10"/>
                    <a:stretch>
                      <a:fillRect/>
                    </a:stretch>
                  </pic:blipFill>
                  <pic:spPr>
                    <a:xfrm>
                      <a:off x="0" y="0"/>
                      <a:ext cx="5728335" cy="3221990"/>
                    </a:xfrm>
                    <a:prstGeom prst="rect">
                      <a:avLst/>
                    </a:prstGeom>
                  </pic:spPr>
                </pic:pic>
              </a:graphicData>
            </a:graphic>
          </wp:inline>
        </w:drawing>
      </w:r>
      <w:r w:rsidRPr="00716FAC">
        <w:rPr>
          <w:noProof/>
          <w14:ligatures w14:val="standardContextual"/>
        </w:rPr>
        <w:t xml:space="preserve"> </w:t>
      </w:r>
      <w:r w:rsidRPr="00716FAC">
        <w:rPr>
          <w:noProof/>
          <w14:ligatures w14:val="standardContextual"/>
        </w:rPr>
        <w:lastRenderedPageBreak/>
        <w:drawing>
          <wp:inline distT="0" distB="0" distL="0" distR="0" wp14:anchorId="65D04F0D" wp14:editId="434270B5">
            <wp:extent cx="5728335" cy="3221990"/>
            <wp:effectExtent l="0" t="0" r="0" b="3810"/>
            <wp:docPr id="21418025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1802545" name=""/>
                    <pic:cNvPicPr/>
                  </pic:nvPicPr>
                  <pic:blipFill>
                    <a:blip r:embed="rId11"/>
                    <a:stretch>
                      <a:fillRect/>
                    </a:stretch>
                  </pic:blipFill>
                  <pic:spPr>
                    <a:xfrm>
                      <a:off x="0" y="0"/>
                      <a:ext cx="5728335" cy="3221990"/>
                    </a:xfrm>
                    <a:prstGeom prst="rect">
                      <a:avLst/>
                    </a:prstGeom>
                  </pic:spPr>
                </pic:pic>
              </a:graphicData>
            </a:graphic>
          </wp:inline>
        </w:drawing>
      </w:r>
      <w:r w:rsidRPr="00716FAC">
        <w:rPr>
          <w:noProof/>
          <w14:ligatures w14:val="standardContextual"/>
        </w:rPr>
        <w:t xml:space="preserve"> </w:t>
      </w:r>
      <w:r w:rsidRPr="00716FAC">
        <w:rPr>
          <w:noProof/>
          <w14:ligatures w14:val="standardContextual"/>
        </w:rPr>
        <w:drawing>
          <wp:inline distT="0" distB="0" distL="0" distR="0" wp14:anchorId="2AF9B04A" wp14:editId="01EFF272">
            <wp:extent cx="5728335" cy="3221990"/>
            <wp:effectExtent l="0" t="0" r="0" b="3810"/>
            <wp:docPr id="8762844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6284484" name=""/>
                    <pic:cNvPicPr/>
                  </pic:nvPicPr>
                  <pic:blipFill>
                    <a:blip r:embed="rId12"/>
                    <a:stretch>
                      <a:fillRect/>
                    </a:stretch>
                  </pic:blipFill>
                  <pic:spPr>
                    <a:xfrm>
                      <a:off x="0" y="0"/>
                      <a:ext cx="5728335" cy="3221990"/>
                    </a:xfrm>
                    <a:prstGeom prst="rect">
                      <a:avLst/>
                    </a:prstGeom>
                  </pic:spPr>
                </pic:pic>
              </a:graphicData>
            </a:graphic>
          </wp:inline>
        </w:drawing>
      </w:r>
      <w:r w:rsidRPr="00716FAC">
        <w:rPr>
          <w:noProof/>
          <w14:ligatures w14:val="standardContextual"/>
        </w:rPr>
        <w:t xml:space="preserve"> </w:t>
      </w:r>
      <w:r w:rsidRPr="00716FAC">
        <w:rPr>
          <w:noProof/>
          <w14:ligatures w14:val="standardContextual"/>
        </w:rPr>
        <w:lastRenderedPageBreak/>
        <w:drawing>
          <wp:inline distT="0" distB="0" distL="0" distR="0" wp14:anchorId="6651258F" wp14:editId="23EBAFAC">
            <wp:extent cx="5728335" cy="3221990"/>
            <wp:effectExtent l="0" t="0" r="0" b="3810"/>
            <wp:docPr id="11106305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0630554" name=""/>
                    <pic:cNvPicPr/>
                  </pic:nvPicPr>
                  <pic:blipFill>
                    <a:blip r:embed="rId13"/>
                    <a:stretch>
                      <a:fillRect/>
                    </a:stretch>
                  </pic:blipFill>
                  <pic:spPr>
                    <a:xfrm>
                      <a:off x="0" y="0"/>
                      <a:ext cx="5728335" cy="3221990"/>
                    </a:xfrm>
                    <a:prstGeom prst="rect">
                      <a:avLst/>
                    </a:prstGeom>
                  </pic:spPr>
                </pic:pic>
              </a:graphicData>
            </a:graphic>
          </wp:inline>
        </w:drawing>
      </w:r>
      <w:r w:rsidRPr="00716FAC">
        <w:rPr>
          <w:noProof/>
          <w14:ligatures w14:val="standardContextual"/>
        </w:rPr>
        <w:t xml:space="preserve"> </w:t>
      </w:r>
      <w:r w:rsidRPr="00716FAC">
        <w:rPr>
          <w:noProof/>
          <w14:ligatures w14:val="standardContextual"/>
        </w:rPr>
        <w:drawing>
          <wp:inline distT="0" distB="0" distL="0" distR="0" wp14:anchorId="63778067" wp14:editId="070D58FA">
            <wp:extent cx="5728335" cy="3221990"/>
            <wp:effectExtent l="0" t="0" r="0" b="3810"/>
            <wp:docPr id="7015643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1564387" name=""/>
                    <pic:cNvPicPr/>
                  </pic:nvPicPr>
                  <pic:blipFill>
                    <a:blip r:embed="rId14"/>
                    <a:stretch>
                      <a:fillRect/>
                    </a:stretch>
                  </pic:blipFill>
                  <pic:spPr>
                    <a:xfrm>
                      <a:off x="0" y="0"/>
                      <a:ext cx="5728335" cy="3221990"/>
                    </a:xfrm>
                    <a:prstGeom prst="rect">
                      <a:avLst/>
                    </a:prstGeom>
                  </pic:spPr>
                </pic:pic>
              </a:graphicData>
            </a:graphic>
          </wp:inline>
        </w:drawing>
      </w:r>
      <w:r w:rsidRPr="00716FAC">
        <w:rPr>
          <w:noProof/>
          <w14:ligatures w14:val="standardContextual"/>
        </w:rPr>
        <w:t xml:space="preserve"> </w:t>
      </w:r>
      <w:r w:rsidRPr="00716FAC">
        <w:rPr>
          <w:noProof/>
          <w14:ligatures w14:val="standardContextual"/>
        </w:rPr>
        <w:lastRenderedPageBreak/>
        <w:drawing>
          <wp:inline distT="0" distB="0" distL="0" distR="0" wp14:anchorId="673057CC" wp14:editId="22DF6496">
            <wp:extent cx="5728335" cy="3221990"/>
            <wp:effectExtent l="0" t="0" r="0" b="3810"/>
            <wp:docPr id="11457723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5772349" name=""/>
                    <pic:cNvPicPr/>
                  </pic:nvPicPr>
                  <pic:blipFill>
                    <a:blip r:embed="rId15"/>
                    <a:stretch>
                      <a:fillRect/>
                    </a:stretch>
                  </pic:blipFill>
                  <pic:spPr>
                    <a:xfrm>
                      <a:off x="0" y="0"/>
                      <a:ext cx="5728335" cy="3221990"/>
                    </a:xfrm>
                    <a:prstGeom prst="rect">
                      <a:avLst/>
                    </a:prstGeom>
                  </pic:spPr>
                </pic:pic>
              </a:graphicData>
            </a:graphic>
          </wp:inline>
        </w:drawing>
      </w:r>
      <w:r w:rsidRPr="00716FAC">
        <w:rPr>
          <w:noProof/>
          <w14:ligatures w14:val="standardContextual"/>
        </w:rPr>
        <w:t xml:space="preserve"> </w:t>
      </w:r>
      <w:r w:rsidRPr="00716FAC">
        <w:rPr>
          <w:noProof/>
          <w14:ligatures w14:val="standardContextual"/>
        </w:rPr>
        <w:drawing>
          <wp:inline distT="0" distB="0" distL="0" distR="0" wp14:anchorId="097170AA" wp14:editId="5638DF55">
            <wp:extent cx="5728335" cy="3221990"/>
            <wp:effectExtent l="0" t="0" r="0" b="3810"/>
            <wp:docPr id="2044515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451519" name=""/>
                    <pic:cNvPicPr/>
                  </pic:nvPicPr>
                  <pic:blipFill>
                    <a:blip r:embed="rId16"/>
                    <a:stretch>
                      <a:fillRect/>
                    </a:stretch>
                  </pic:blipFill>
                  <pic:spPr>
                    <a:xfrm>
                      <a:off x="0" y="0"/>
                      <a:ext cx="5728335" cy="3221990"/>
                    </a:xfrm>
                    <a:prstGeom prst="rect">
                      <a:avLst/>
                    </a:prstGeom>
                  </pic:spPr>
                </pic:pic>
              </a:graphicData>
            </a:graphic>
          </wp:inline>
        </w:drawing>
      </w:r>
      <w:r w:rsidRPr="00716FAC">
        <w:rPr>
          <w:noProof/>
          <w14:ligatures w14:val="standardContextual"/>
        </w:rPr>
        <w:t xml:space="preserve"> </w:t>
      </w:r>
      <w:r w:rsidRPr="00716FAC">
        <w:rPr>
          <w:noProof/>
          <w14:ligatures w14:val="standardContextual"/>
        </w:rPr>
        <w:lastRenderedPageBreak/>
        <w:drawing>
          <wp:inline distT="0" distB="0" distL="0" distR="0" wp14:anchorId="21BF754B" wp14:editId="1ADCD449">
            <wp:extent cx="5728335" cy="3221990"/>
            <wp:effectExtent l="0" t="0" r="0" b="3810"/>
            <wp:docPr id="17485871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8587197" name=""/>
                    <pic:cNvPicPr/>
                  </pic:nvPicPr>
                  <pic:blipFill>
                    <a:blip r:embed="rId17"/>
                    <a:stretch>
                      <a:fillRect/>
                    </a:stretch>
                  </pic:blipFill>
                  <pic:spPr>
                    <a:xfrm>
                      <a:off x="0" y="0"/>
                      <a:ext cx="5728335" cy="3221990"/>
                    </a:xfrm>
                    <a:prstGeom prst="rect">
                      <a:avLst/>
                    </a:prstGeom>
                  </pic:spPr>
                </pic:pic>
              </a:graphicData>
            </a:graphic>
          </wp:inline>
        </w:drawing>
      </w:r>
      <w:r w:rsidRPr="00716FAC">
        <w:rPr>
          <w:noProof/>
          <w14:ligatures w14:val="standardContextual"/>
        </w:rPr>
        <w:t xml:space="preserve"> </w:t>
      </w:r>
      <w:r w:rsidRPr="00716FAC">
        <w:rPr>
          <w:noProof/>
          <w14:ligatures w14:val="standardContextual"/>
        </w:rPr>
        <w:drawing>
          <wp:inline distT="0" distB="0" distL="0" distR="0" wp14:anchorId="651F6F3B" wp14:editId="65306BF4">
            <wp:extent cx="5728335" cy="3221990"/>
            <wp:effectExtent l="0" t="0" r="0" b="3810"/>
            <wp:docPr id="19490966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9096602" name=""/>
                    <pic:cNvPicPr/>
                  </pic:nvPicPr>
                  <pic:blipFill>
                    <a:blip r:embed="rId18"/>
                    <a:stretch>
                      <a:fillRect/>
                    </a:stretch>
                  </pic:blipFill>
                  <pic:spPr>
                    <a:xfrm>
                      <a:off x="0" y="0"/>
                      <a:ext cx="5728335" cy="3221990"/>
                    </a:xfrm>
                    <a:prstGeom prst="rect">
                      <a:avLst/>
                    </a:prstGeom>
                  </pic:spPr>
                </pic:pic>
              </a:graphicData>
            </a:graphic>
          </wp:inline>
        </w:drawing>
      </w:r>
    </w:p>
    <w:p w14:paraId="745B8BEB" w14:textId="77777777" w:rsidR="00716FAC" w:rsidRDefault="00716FAC"/>
    <w:p w14:paraId="1F07DF34" w14:textId="77777777" w:rsidR="002D6C4B" w:rsidRDefault="002D6C4B"/>
    <w:p w14:paraId="0CA9C6F3" w14:textId="77777777" w:rsidR="002D6C4B" w:rsidRDefault="002D6C4B"/>
    <w:p w14:paraId="7056D948" w14:textId="77777777" w:rsidR="00185AF8" w:rsidRDefault="00185AF8"/>
    <w:p w14:paraId="2F7A53B6" w14:textId="77777777" w:rsidR="00185AF8" w:rsidRDefault="00185AF8"/>
    <w:p w14:paraId="6EA2EE57" w14:textId="77777777" w:rsidR="00185AF8" w:rsidRDefault="00185AF8"/>
    <w:p w14:paraId="0891C836" w14:textId="77777777" w:rsidR="00185AF8" w:rsidRDefault="00185AF8"/>
    <w:p w14:paraId="1AF5305C" w14:textId="77777777" w:rsidR="00185AF8" w:rsidRDefault="00185AF8"/>
    <w:p w14:paraId="00316906" w14:textId="254DCFB0" w:rsidR="002D6C4B" w:rsidRPr="00FF62A9" w:rsidRDefault="002D6C4B" w:rsidP="00FF62A9">
      <w:r>
        <w:lastRenderedPageBreak/>
        <w:t>REFERENCE LIST:</w:t>
      </w:r>
    </w:p>
    <w:p w14:paraId="0296B9A4" w14:textId="77777777" w:rsidR="002D6C4B" w:rsidRDefault="002D6C4B" w:rsidP="002D6C4B">
      <w:pPr>
        <w:jc w:val="both"/>
        <w:rPr>
          <w:rFonts w:ascii="Arial" w:hAnsi="Arial" w:cs="Arial"/>
          <w:sz w:val="24"/>
          <w:szCs w:val="24"/>
        </w:rPr>
      </w:pPr>
    </w:p>
    <w:p w14:paraId="6B5C6D5E" w14:textId="77777777" w:rsidR="002D6C4B" w:rsidRPr="003C4937" w:rsidRDefault="002D6C4B" w:rsidP="002D6C4B">
      <w:pPr>
        <w:jc w:val="both"/>
        <w:rPr>
          <w:rFonts w:ascii="Arial" w:hAnsi="Arial" w:cs="Arial"/>
        </w:rPr>
      </w:pPr>
      <w:r w:rsidRPr="003C4937">
        <w:rPr>
          <w:rFonts w:ascii="Arial" w:hAnsi="Arial" w:cs="Arial"/>
        </w:rPr>
        <w:t xml:space="preserve">Amherst, S., Roy, H., Hall, C., Ballantine, P., and Michael (2023). </w:t>
      </w:r>
      <w:r w:rsidRPr="003C4937">
        <w:rPr>
          <w:rFonts w:ascii="Arial" w:hAnsi="Arial" w:cs="Arial"/>
          <w:i/>
        </w:rPr>
        <w:t>The Role of Sustainable Local Food among Tourism the Role of Sustainable Local Food Among Tourism Part of the Food Studies Commons, Marketing Commons, Operations and Supply Chain Management Commons, and the Tourism and Travel Commons.</w:t>
      </w:r>
      <w:r w:rsidRPr="003C4937">
        <w:rPr>
          <w:rFonts w:ascii="Arial" w:hAnsi="Arial" w:cs="Arial"/>
        </w:rPr>
        <w:t xml:space="preserve"> [online] Available at: </w:t>
      </w:r>
      <w:hyperlink r:id="rId19" w:history="1">
        <w:r w:rsidRPr="003C4937">
          <w:rPr>
            <w:rStyle w:val="Hyperlink"/>
            <w:rFonts w:ascii="Arial" w:hAnsi="Arial" w:cs="Arial"/>
          </w:rPr>
          <w:t>https://scholarworks.umass.edu/cgi/viewcontent.cgi?article=1010&amp;context=ttracanada_2019_conference</w:t>
        </w:r>
      </w:hyperlink>
      <w:r w:rsidRPr="003C4937">
        <w:rPr>
          <w:rFonts w:ascii="Arial" w:hAnsi="Arial" w:cs="Arial"/>
        </w:rPr>
        <w:t>.</w:t>
      </w:r>
    </w:p>
    <w:p w14:paraId="53DC9E7B" w14:textId="77777777" w:rsidR="002D6C4B" w:rsidRPr="003C4937" w:rsidRDefault="002D6C4B" w:rsidP="002D6C4B">
      <w:pPr>
        <w:jc w:val="both"/>
        <w:rPr>
          <w:rFonts w:ascii="Arial" w:hAnsi="Arial" w:cs="Arial"/>
        </w:rPr>
      </w:pPr>
      <w:r w:rsidRPr="003C4937">
        <w:rPr>
          <w:rFonts w:ascii="Arial" w:hAnsi="Arial" w:cs="Arial"/>
        </w:rPr>
        <w:t xml:space="preserve">Baum, T., Cheung, C., Kong, H., Kralj, A., Mooney, S., Nguyễn Thị Thanh, H., Ramachandran, S., Dropulić Ružić, M. and Siow, M. (2016). Sustainability and the Tourism and Hospitality Workforce: A Thematic Analysis. </w:t>
      </w:r>
      <w:r w:rsidRPr="003C4937">
        <w:rPr>
          <w:rFonts w:ascii="Arial" w:hAnsi="Arial" w:cs="Arial"/>
          <w:i/>
        </w:rPr>
        <w:t>Sustainability,</w:t>
      </w:r>
      <w:r w:rsidRPr="003C4937">
        <w:rPr>
          <w:rFonts w:ascii="Arial" w:hAnsi="Arial" w:cs="Arial"/>
        </w:rPr>
        <w:t xml:space="preserve"> [online] 8(8), p.809. doi: https://doi.org/10.3390/su8080809.</w:t>
      </w:r>
    </w:p>
    <w:p w14:paraId="51B8AB86" w14:textId="77777777" w:rsidR="002D6C4B" w:rsidRPr="003C4937" w:rsidRDefault="002D6C4B" w:rsidP="002D6C4B">
      <w:pPr>
        <w:jc w:val="both"/>
        <w:rPr>
          <w:rFonts w:ascii="Arial" w:hAnsi="Arial" w:cs="Arial"/>
        </w:rPr>
      </w:pPr>
      <w:r w:rsidRPr="003C4937">
        <w:rPr>
          <w:rFonts w:ascii="Arial" w:hAnsi="Arial" w:cs="Arial"/>
        </w:rPr>
        <w:t xml:space="preserve">Cozzio, C., Bullini Orlandi, L. and Zardini, A. (2018). </w:t>
      </w:r>
      <w:r w:rsidRPr="003C4937">
        <w:rPr>
          <w:rFonts w:ascii="Arial" w:hAnsi="Arial" w:cs="Arial"/>
          <w:i/>
        </w:rPr>
        <w:t>Food Sustainability as a Strategic Value Driver in the Hotel Industry. Sustainability,</w:t>
      </w:r>
      <w:r w:rsidRPr="003C4937">
        <w:rPr>
          <w:rFonts w:ascii="Arial" w:hAnsi="Arial" w:cs="Arial"/>
        </w:rPr>
        <w:t xml:space="preserve"> 10(10), p.3404. doi: https://doi.org/10.3390/su10103404.</w:t>
      </w:r>
    </w:p>
    <w:p w14:paraId="34992187" w14:textId="77777777" w:rsidR="002D6C4B" w:rsidRPr="003C4937" w:rsidRDefault="002D6C4B" w:rsidP="002D6C4B">
      <w:pPr>
        <w:jc w:val="both"/>
        <w:rPr>
          <w:rFonts w:ascii="Arial" w:hAnsi="Arial" w:cs="Arial"/>
        </w:rPr>
      </w:pPr>
      <w:r w:rsidRPr="003C4937">
        <w:rPr>
          <w:rFonts w:ascii="Arial" w:hAnsi="Arial" w:cs="Arial"/>
        </w:rPr>
        <w:t xml:space="preserve">Carolan, M. (2020). Ethical eating as experienced by consumers and producers: When good food meets good farmers. </w:t>
      </w:r>
      <w:r w:rsidRPr="003C4937">
        <w:rPr>
          <w:rFonts w:ascii="Arial" w:hAnsi="Arial" w:cs="Arial"/>
          <w:i/>
        </w:rPr>
        <w:t>Journal of Consumer Culture,</w:t>
      </w:r>
      <w:r w:rsidRPr="003C4937">
        <w:rPr>
          <w:rFonts w:ascii="Arial" w:hAnsi="Arial" w:cs="Arial"/>
        </w:rPr>
        <w:t xml:space="preserve"> p.146954051989996. doi: https://doi.org/10.1177/1469540519899967.</w:t>
      </w:r>
    </w:p>
    <w:p w14:paraId="71A7F675" w14:textId="77777777" w:rsidR="002D6C4B" w:rsidRPr="003C4937" w:rsidRDefault="002D6C4B" w:rsidP="002D6C4B">
      <w:pPr>
        <w:jc w:val="both"/>
        <w:rPr>
          <w:rFonts w:ascii="Arial" w:hAnsi="Arial" w:cs="Arial"/>
        </w:rPr>
      </w:pPr>
      <w:r w:rsidRPr="003C4937">
        <w:rPr>
          <w:rFonts w:ascii="Arial" w:hAnsi="Arial" w:cs="Arial"/>
        </w:rPr>
        <w:t xml:space="preserve">Elkhwesky, Z., Salem, I.E., Varmus, M. and Ramkissoon, H. (2022). </w:t>
      </w:r>
      <w:r w:rsidRPr="003C4937">
        <w:rPr>
          <w:rFonts w:ascii="Arial" w:hAnsi="Arial" w:cs="Arial"/>
          <w:i/>
        </w:rPr>
        <w:t xml:space="preserve">Sustainable practices in hospitality pre and amid COVID </w:t>
      </w:r>
      <w:r w:rsidRPr="003C4937">
        <w:rPr>
          <w:rFonts w:ascii="Cambria Math" w:hAnsi="Cambria Math" w:cs="Cambria Math"/>
          <w:i/>
        </w:rPr>
        <w:t>‐</w:t>
      </w:r>
      <w:r w:rsidRPr="003C4937">
        <w:rPr>
          <w:rFonts w:ascii="Arial" w:hAnsi="Arial" w:cs="Arial"/>
          <w:i/>
        </w:rPr>
        <w:t>19 pandemic: Looking back for moving forward post</w:t>
      </w:r>
      <w:r w:rsidRPr="003C4937">
        <w:rPr>
          <w:rFonts w:ascii="Cambria Math" w:hAnsi="Cambria Math" w:cs="Cambria Math"/>
          <w:i/>
        </w:rPr>
        <w:t>‐</w:t>
      </w:r>
      <w:r w:rsidRPr="003C4937">
        <w:rPr>
          <w:rFonts w:ascii="Arial" w:hAnsi="Arial" w:cs="Arial"/>
          <w:i/>
        </w:rPr>
        <w:t xml:space="preserve">COVID </w:t>
      </w:r>
      <w:r w:rsidRPr="003C4937">
        <w:rPr>
          <w:rFonts w:ascii="Cambria Math" w:hAnsi="Cambria Math" w:cs="Cambria Math"/>
          <w:i/>
        </w:rPr>
        <w:t>‐</w:t>
      </w:r>
      <w:r w:rsidRPr="003C4937">
        <w:rPr>
          <w:rFonts w:ascii="Arial" w:hAnsi="Arial" w:cs="Arial"/>
          <w:i/>
        </w:rPr>
        <w:t>19. Sustainable Development,</w:t>
      </w:r>
      <w:r w:rsidRPr="003C4937">
        <w:rPr>
          <w:rFonts w:ascii="Arial" w:hAnsi="Arial" w:cs="Arial"/>
        </w:rPr>
        <w:t xml:space="preserve"> 30(5). doi: https://doi.org/10.1002/sd.2304.</w:t>
      </w:r>
    </w:p>
    <w:p w14:paraId="53A6CC1B" w14:textId="77777777" w:rsidR="002D6C4B" w:rsidRPr="003C4937" w:rsidRDefault="002D6C4B" w:rsidP="002D6C4B">
      <w:pPr>
        <w:jc w:val="both"/>
        <w:rPr>
          <w:rFonts w:ascii="Arial" w:hAnsi="Arial" w:cs="Arial"/>
        </w:rPr>
      </w:pPr>
      <w:r w:rsidRPr="003C4937">
        <w:rPr>
          <w:rFonts w:ascii="Arial" w:hAnsi="Arial" w:cs="Arial"/>
        </w:rPr>
        <w:t xml:space="preserve">Ecobnb (2023). </w:t>
      </w:r>
      <w:r w:rsidRPr="003C4937">
        <w:rPr>
          <w:rFonts w:ascii="Arial" w:hAnsi="Arial" w:cs="Arial"/>
          <w:i/>
        </w:rPr>
        <w:t xml:space="preserve">Green Hospitality: Sustainable Practices for Hotels. </w:t>
      </w:r>
      <w:r w:rsidRPr="003C4937">
        <w:rPr>
          <w:rFonts w:ascii="Arial" w:hAnsi="Arial" w:cs="Arial"/>
        </w:rPr>
        <w:t xml:space="preserve">[online] Ecobnb. Available at: </w:t>
      </w:r>
      <w:hyperlink r:id="rId20" w:history="1">
        <w:r w:rsidRPr="003C4937">
          <w:rPr>
            <w:rStyle w:val="Hyperlink"/>
            <w:rFonts w:ascii="Arial" w:hAnsi="Arial" w:cs="Arial"/>
          </w:rPr>
          <w:t>https://ecobnb.com/blog/2023/05/green-hospitality-sustainable-practices-hotels-resorts/</w:t>
        </w:r>
      </w:hyperlink>
      <w:r w:rsidRPr="003C4937">
        <w:rPr>
          <w:rFonts w:ascii="Arial" w:hAnsi="Arial" w:cs="Arial"/>
        </w:rPr>
        <w:t>.</w:t>
      </w:r>
    </w:p>
    <w:p w14:paraId="40F10D56" w14:textId="77777777" w:rsidR="002D6C4B" w:rsidRPr="003C4937" w:rsidRDefault="002D6C4B" w:rsidP="002D6C4B">
      <w:pPr>
        <w:jc w:val="both"/>
        <w:rPr>
          <w:rFonts w:ascii="Arial" w:hAnsi="Arial" w:cs="Arial"/>
        </w:rPr>
      </w:pPr>
      <w:r w:rsidRPr="003C4937">
        <w:rPr>
          <w:rFonts w:ascii="Arial" w:hAnsi="Arial" w:cs="Arial"/>
        </w:rPr>
        <w:t xml:space="preserve">Ghemawat, P. and Altman, S.A. (2016). </w:t>
      </w:r>
      <w:r w:rsidRPr="003C4937">
        <w:rPr>
          <w:rFonts w:ascii="Arial" w:hAnsi="Arial" w:cs="Arial"/>
          <w:i/>
        </w:rPr>
        <w:t>Distance at the Industry and Company Levels.</w:t>
      </w:r>
      <w:r w:rsidRPr="003C4937">
        <w:rPr>
          <w:rFonts w:ascii="Arial" w:hAnsi="Arial" w:cs="Arial"/>
        </w:rPr>
        <w:t xml:space="preserve"> [online] Cambridge University Press. Available at: </w:t>
      </w:r>
      <w:hyperlink r:id="rId21" w:history="1">
        <w:r w:rsidRPr="003C4937">
          <w:rPr>
            <w:rStyle w:val="Hyperlink"/>
            <w:rFonts w:ascii="Arial" w:hAnsi="Arial" w:cs="Arial"/>
          </w:rPr>
          <w:t>https://www.cambridge.org/core/books/laws-of-globalization-and-business-applications/distance-at-the-industry-and-company-levels/3F8E90E135F9739BF4A9C30BD622D4AF</w:t>
        </w:r>
      </w:hyperlink>
      <w:r w:rsidRPr="003C4937">
        <w:rPr>
          <w:rFonts w:ascii="Arial" w:hAnsi="Arial" w:cs="Arial"/>
        </w:rPr>
        <w:t>.</w:t>
      </w:r>
    </w:p>
    <w:p w14:paraId="7A997ACC" w14:textId="77777777" w:rsidR="002D6C4B" w:rsidRPr="003C4937" w:rsidRDefault="002D6C4B" w:rsidP="002D6C4B">
      <w:pPr>
        <w:jc w:val="both"/>
        <w:rPr>
          <w:rFonts w:ascii="Arial" w:hAnsi="Arial" w:cs="Arial"/>
        </w:rPr>
      </w:pPr>
      <w:r w:rsidRPr="003C4937">
        <w:rPr>
          <w:rFonts w:ascii="Arial" w:hAnsi="Arial" w:cs="Arial"/>
        </w:rPr>
        <w:t xml:space="preserve">Kapera, I. (2018). </w:t>
      </w:r>
      <w:r w:rsidRPr="003C4937">
        <w:rPr>
          <w:rFonts w:ascii="Arial" w:hAnsi="Arial" w:cs="Arial"/>
          <w:i/>
        </w:rPr>
        <w:t>Sustainable Development in the Hotel Industry: Between Theory and Practice in Poland. Turyzm,</w:t>
      </w:r>
      <w:r w:rsidRPr="003C4937">
        <w:rPr>
          <w:rFonts w:ascii="Arial" w:hAnsi="Arial" w:cs="Arial"/>
        </w:rPr>
        <w:t xml:space="preserve"> 28(2), pp.23–30. doi: https://doi.org/10.2478/tour-2018-0011.</w:t>
      </w:r>
    </w:p>
    <w:p w14:paraId="6D08ED27" w14:textId="77777777" w:rsidR="002D6C4B" w:rsidRDefault="002D6C4B" w:rsidP="002D6C4B">
      <w:pPr>
        <w:jc w:val="both"/>
        <w:rPr>
          <w:rFonts w:ascii="Arial" w:hAnsi="Arial" w:cs="Arial"/>
        </w:rPr>
      </w:pPr>
      <w:r w:rsidRPr="003C4937">
        <w:rPr>
          <w:rFonts w:ascii="Arial" w:hAnsi="Arial" w:cs="Arial"/>
        </w:rPr>
        <w:t xml:space="preserve">Legendre, T.S., Rachel Hyunkyung Lee, Ding, A., Eun Min Hwang, and Graves, N.S. (2023). </w:t>
      </w:r>
      <w:r w:rsidRPr="003C4937">
        <w:rPr>
          <w:rFonts w:ascii="Arial" w:hAnsi="Arial" w:cs="Arial"/>
          <w:i/>
        </w:rPr>
        <w:t>Clean Technology and Food Waste Reduction in On-Site Foodservice Management Companies. Journal of Hospitality &amp; Tourism Research,</w:t>
      </w:r>
      <w:r w:rsidRPr="003C4937">
        <w:rPr>
          <w:rFonts w:ascii="Arial" w:hAnsi="Arial" w:cs="Arial"/>
        </w:rPr>
        <w:t xml:space="preserve"> p.109634802311713-109634802311713. doi: https://doi.org/10.1177/10963480231171325.</w:t>
      </w:r>
    </w:p>
    <w:p w14:paraId="0A7ED38D" w14:textId="77777777" w:rsidR="002D6C4B" w:rsidRPr="003C4937" w:rsidRDefault="002D6C4B" w:rsidP="002D6C4B">
      <w:pPr>
        <w:jc w:val="both"/>
        <w:rPr>
          <w:rFonts w:ascii="Arial" w:hAnsi="Arial" w:cs="Arial"/>
        </w:rPr>
      </w:pPr>
      <w:r w:rsidRPr="003C4937">
        <w:rPr>
          <w:rFonts w:ascii="Arial" w:hAnsi="Arial" w:cs="Arial"/>
        </w:rPr>
        <w:t xml:space="preserve">Luo, J.M., Chau, K.Y., Fan, Y. and Chen, H. (2021). </w:t>
      </w:r>
      <w:r w:rsidRPr="003C4937">
        <w:rPr>
          <w:rFonts w:ascii="Arial" w:hAnsi="Arial" w:cs="Arial"/>
          <w:i/>
        </w:rPr>
        <w:t>Barriers to the Implementation of Green Practices in the Integrated Resort Sector. SAGE Open,</w:t>
      </w:r>
      <w:r w:rsidRPr="003C4937">
        <w:rPr>
          <w:rFonts w:ascii="Arial" w:hAnsi="Arial" w:cs="Arial"/>
        </w:rPr>
        <w:t xml:space="preserve"> 11(3), p.215824402110302. doi: https://doi.org/10.1177/21582440211030277.</w:t>
      </w:r>
    </w:p>
    <w:p w14:paraId="3E868EBB" w14:textId="77777777" w:rsidR="002D6C4B" w:rsidRPr="003C4937" w:rsidRDefault="002D6C4B" w:rsidP="002D6C4B">
      <w:pPr>
        <w:jc w:val="both"/>
        <w:rPr>
          <w:rFonts w:ascii="Arial" w:hAnsi="Arial" w:cs="Arial"/>
        </w:rPr>
      </w:pPr>
      <w:r w:rsidRPr="003C4937">
        <w:rPr>
          <w:rFonts w:ascii="Arial" w:hAnsi="Arial" w:cs="Arial"/>
        </w:rPr>
        <w:t xml:space="preserve">Mit.edu. (2021). Available at: </w:t>
      </w:r>
      <w:hyperlink r:id="rId22" w:history="1">
        <w:r w:rsidRPr="003C4937">
          <w:rPr>
            <w:rStyle w:val="Hyperlink"/>
            <w:rFonts w:ascii="Arial" w:hAnsi="Arial" w:cs="Arial"/>
          </w:rPr>
          <w:t>https://web.mit.edu/adamrose/Public/googlelist</w:t>
        </w:r>
      </w:hyperlink>
      <w:r w:rsidRPr="003C4937">
        <w:rPr>
          <w:rFonts w:ascii="Arial" w:hAnsi="Arial" w:cs="Arial"/>
        </w:rPr>
        <w:t>.</w:t>
      </w:r>
    </w:p>
    <w:p w14:paraId="4B1E72DA" w14:textId="77777777" w:rsidR="002D6C4B" w:rsidRPr="003C4937" w:rsidRDefault="002D6C4B" w:rsidP="002D6C4B">
      <w:pPr>
        <w:jc w:val="both"/>
        <w:rPr>
          <w:rFonts w:ascii="Arial" w:hAnsi="Arial" w:cs="Arial"/>
        </w:rPr>
      </w:pPr>
      <w:r w:rsidRPr="003C4937">
        <w:rPr>
          <w:rFonts w:ascii="Arial" w:hAnsi="Arial" w:cs="Arial"/>
        </w:rPr>
        <w:t xml:space="preserve">Miska, C., Szőcs, I. and Schiffinger, M. (2018). Culture’s Effects on Corporate Sustainability practices: a multi-domain and multi-level View. </w:t>
      </w:r>
      <w:r w:rsidRPr="003C4937">
        <w:rPr>
          <w:rFonts w:ascii="Arial" w:hAnsi="Arial" w:cs="Arial"/>
          <w:i/>
        </w:rPr>
        <w:t>Journal of World Business,</w:t>
      </w:r>
      <w:r w:rsidRPr="003C4937">
        <w:rPr>
          <w:rFonts w:ascii="Arial" w:hAnsi="Arial" w:cs="Arial"/>
        </w:rPr>
        <w:t xml:space="preserve"> [online] 53(2), pp.263–279. doi: https://doi.org/10.1016/j.jwb.2017.12.001.</w:t>
      </w:r>
    </w:p>
    <w:p w14:paraId="6A28E3A5" w14:textId="77777777" w:rsidR="002D6C4B" w:rsidRPr="003C4937" w:rsidRDefault="002D6C4B" w:rsidP="002D6C4B">
      <w:pPr>
        <w:jc w:val="both"/>
        <w:rPr>
          <w:rFonts w:ascii="Arial" w:hAnsi="Arial" w:cs="Arial"/>
        </w:rPr>
      </w:pPr>
      <w:r w:rsidRPr="003C4937">
        <w:rPr>
          <w:rFonts w:ascii="Arial" w:hAnsi="Arial" w:cs="Arial"/>
        </w:rPr>
        <w:t xml:space="preserve">Nelson, J. (2023). PARTNERSHIPS FOR SUSTAINABLE DEVELOPMENT: Collective action by business, governments, and civil society to achieve scale and transform markets. [online] </w:t>
      </w:r>
      <w:r w:rsidRPr="003C4937">
        <w:rPr>
          <w:rFonts w:ascii="Arial" w:hAnsi="Arial" w:cs="Arial"/>
        </w:rPr>
        <w:lastRenderedPageBreak/>
        <w:t xml:space="preserve">Available at: </w:t>
      </w:r>
      <w:hyperlink r:id="rId23" w:history="1">
        <w:r w:rsidRPr="003C4937">
          <w:rPr>
            <w:rStyle w:val="Hyperlink"/>
            <w:rFonts w:ascii="Arial" w:hAnsi="Arial" w:cs="Arial"/>
          </w:rPr>
          <w:t>https://www.hks.harvard.edu/sites/default/files/centers/mrcbg/programs/cri/files/PforSD(Exec_Summary).pdf</w:t>
        </w:r>
      </w:hyperlink>
      <w:r w:rsidRPr="003C4937">
        <w:rPr>
          <w:rFonts w:ascii="Arial" w:hAnsi="Arial" w:cs="Arial"/>
        </w:rPr>
        <w:t>.</w:t>
      </w:r>
    </w:p>
    <w:p w14:paraId="3DB21199" w14:textId="77777777" w:rsidR="002D6C4B" w:rsidRPr="003C4937" w:rsidRDefault="002D6C4B" w:rsidP="002D6C4B">
      <w:pPr>
        <w:jc w:val="both"/>
        <w:rPr>
          <w:rFonts w:ascii="Arial" w:hAnsi="Arial" w:cs="Arial"/>
        </w:rPr>
      </w:pPr>
      <w:r w:rsidRPr="003C4937">
        <w:rPr>
          <w:rFonts w:ascii="Arial" w:hAnsi="Arial" w:cs="Arial"/>
        </w:rPr>
        <w:t xml:space="preserve">Otengei, S.O. and Ahebwa, W.M. (2020). </w:t>
      </w:r>
      <w:r w:rsidRPr="003C4937">
        <w:rPr>
          <w:rFonts w:ascii="Arial" w:hAnsi="Arial" w:cs="Arial"/>
          <w:i/>
        </w:rPr>
        <w:t>Innovative capacity and sustainable food tourist influx to African-ethnic restaurants: The dynamic capabilities perspective. Tourism and Hospitality Research,</w:t>
      </w:r>
      <w:r w:rsidRPr="003C4937">
        <w:rPr>
          <w:rFonts w:ascii="Arial" w:hAnsi="Arial" w:cs="Arial"/>
        </w:rPr>
        <w:t xml:space="preserve"> p.146735842096602. doi: https://doi.org/10.1177/1467358420966028.</w:t>
      </w:r>
    </w:p>
    <w:p w14:paraId="735A008E" w14:textId="77777777" w:rsidR="002D6C4B" w:rsidRPr="003C4937" w:rsidRDefault="002D6C4B" w:rsidP="002D6C4B">
      <w:pPr>
        <w:jc w:val="both"/>
        <w:rPr>
          <w:rFonts w:ascii="Arial" w:hAnsi="Arial" w:cs="Arial"/>
        </w:rPr>
      </w:pPr>
      <w:r w:rsidRPr="003C4937">
        <w:rPr>
          <w:rFonts w:ascii="Arial" w:hAnsi="Arial" w:cs="Arial"/>
        </w:rPr>
        <w:t xml:space="preserve">Parfitt, J., Barthel, M. and Macnaughton, S. (2010). </w:t>
      </w:r>
      <w:r w:rsidRPr="003C4937">
        <w:rPr>
          <w:rFonts w:ascii="Arial" w:hAnsi="Arial" w:cs="Arial"/>
          <w:i/>
        </w:rPr>
        <w:t xml:space="preserve">Food waste within food supply chains: quantification and potential for change to 2050. Philosophical Transactions of the Royal Society B: Biological Sciences, </w:t>
      </w:r>
      <w:r w:rsidRPr="003C4937">
        <w:rPr>
          <w:rFonts w:ascii="Arial" w:hAnsi="Arial" w:cs="Arial"/>
        </w:rPr>
        <w:t>[online] 365(1554), pp.3065–3081. doi: https://doi.org/10.1098/rstb.2010.0126.</w:t>
      </w:r>
    </w:p>
    <w:p w14:paraId="5ED44FF4" w14:textId="77777777" w:rsidR="002D6C4B" w:rsidRPr="003C4937" w:rsidRDefault="002D6C4B" w:rsidP="002D6C4B">
      <w:pPr>
        <w:jc w:val="both"/>
        <w:rPr>
          <w:rFonts w:ascii="Arial" w:hAnsi="Arial" w:cs="Arial"/>
        </w:rPr>
      </w:pPr>
      <w:r w:rsidRPr="003C4937">
        <w:rPr>
          <w:rFonts w:ascii="Arial" w:hAnsi="Arial" w:cs="Arial"/>
        </w:rPr>
        <w:t xml:space="preserve">Paul Simon (2018). </w:t>
      </w:r>
      <w:r w:rsidRPr="003C4937">
        <w:rPr>
          <w:rFonts w:ascii="Arial" w:hAnsi="Arial" w:cs="Arial"/>
          <w:i/>
        </w:rPr>
        <w:t>Achieving Sustainable Development and Promoting Development Cooperation United Nations.</w:t>
      </w:r>
      <w:r w:rsidRPr="003C4937">
        <w:rPr>
          <w:rFonts w:ascii="Arial" w:hAnsi="Arial" w:cs="Arial"/>
        </w:rPr>
        <w:t xml:space="preserve"> [online] Available at: </w:t>
      </w:r>
      <w:hyperlink r:id="rId24" w:history="1">
        <w:r w:rsidRPr="003C4937">
          <w:rPr>
            <w:rStyle w:val="Hyperlink"/>
            <w:rFonts w:ascii="Arial" w:hAnsi="Arial" w:cs="Arial"/>
          </w:rPr>
          <w:t>http://www.un.org/en/ecosoc/docs/pdfs/fina_08-45773.pdf</w:t>
        </w:r>
      </w:hyperlink>
      <w:r w:rsidRPr="003C4937">
        <w:rPr>
          <w:rFonts w:ascii="Arial" w:hAnsi="Arial" w:cs="Arial"/>
        </w:rPr>
        <w:t>.</w:t>
      </w:r>
    </w:p>
    <w:p w14:paraId="120C33F6" w14:textId="77777777" w:rsidR="002D6C4B" w:rsidRPr="003C4937" w:rsidRDefault="002D6C4B" w:rsidP="002D6C4B">
      <w:pPr>
        <w:jc w:val="both"/>
        <w:rPr>
          <w:rFonts w:ascii="Arial" w:hAnsi="Arial" w:cs="Arial"/>
        </w:rPr>
      </w:pPr>
      <w:r w:rsidRPr="003C4937">
        <w:rPr>
          <w:rFonts w:ascii="Arial" w:hAnsi="Arial" w:cs="Arial"/>
        </w:rPr>
        <w:t xml:space="preserve">Rosen, M.A. and Kishawy, H.A. (2012). </w:t>
      </w:r>
      <w:r w:rsidRPr="003C4937">
        <w:rPr>
          <w:rFonts w:ascii="Arial" w:hAnsi="Arial" w:cs="Arial"/>
          <w:i/>
        </w:rPr>
        <w:t>Sustainable Manufacturing and Design: Concepts, Practices and Needs. Sustainability,</w:t>
      </w:r>
      <w:r w:rsidRPr="003C4937">
        <w:rPr>
          <w:rFonts w:ascii="Arial" w:hAnsi="Arial" w:cs="Arial"/>
        </w:rPr>
        <w:t xml:space="preserve"> 4(2), pp.154–174. doi: https://doi.org/10.3390/su4020154.</w:t>
      </w:r>
    </w:p>
    <w:p w14:paraId="7932228E" w14:textId="77777777" w:rsidR="002D6C4B" w:rsidRPr="003C4937" w:rsidRDefault="002D6C4B" w:rsidP="002D6C4B">
      <w:pPr>
        <w:jc w:val="both"/>
        <w:rPr>
          <w:rFonts w:ascii="Arial" w:hAnsi="Arial" w:cs="Arial"/>
        </w:rPr>
      </w:pPr>
      <w:r w:rsidRPr="003C4937">
        <w:rPr>
          <w:rFonts w:ascii="Arial" w:hAnsi="Arial" w:cs="Arial"/>
        </w:rPr>
        <w:t xml:space="preserve">Turner, C., Aggarwal, A., Walls, H., Herforth, A., Drewnowski, A., Coates, J., Kalamatianou, S. and Kadiyala, S. (2018). </w:t>
      </w:r>
      <w:r w:rsidRPr="003C4937">
        <w:rPr>
          <w:rFonts w:ascii="Arial" w:hAnsi="Arial" w:cs="Arial"/>
          <w:i/>
        </w:rPr>
        <w:t>Concepts and critical perspectives for food environment research: A global framework with implications for action in low- and middle-income countries. Global Food Security,</w:t>
      </w:r>
      <w:r w:rsidRPr="003C4937">
        <w:rPr>
          <w:rFonts w:ascii="Arial" w:hAnsi="Arial" w:cs="Arial"/>
        </w:rPr>
        <w:t xml:space="preserve"> 18, pp.93–101. doi: https://doi.org/10.1016/j.gfs.2018.08.003.</w:t>
      </w:r>
    </w:p>
    <w:p w14:paraId="136498A6" w14:textId="77777777" w:rsidR="002D6C4B" w:rsidRPr="003C4937" w:rsidRDefault="002D6C4B" w:rsidP="002D6C4B">
      <w:pPr>
        <w:jc w:val="both"/>
        <w:rPr>
          <w:rFonts w:ascii="Arial" w:hAnsi="Arial" w:cs="Arial"/>
        </w:rPr>
      </w:pPr>
      <w:r w:rsidRPr="003C4937">
        <w:rPr>
          <w:rFonts w:ascii="Arial" w:hAnsi="Arial" w:cs="Arial"/>
        </w:rPr>
        <w:t xml:space="preserve">UNESCO (2019). Available at: </w:t>
      </w:r>
      <w:hyperlink r:id="rId25" w:history="1">
        <w:r w:rsidRPr="003C4937">
          <w:rPr>
            <w:rStyle w:val="Hyperlink"/>
            <w:rFonts w:ascii="Arial" w:hAnsi="Arial" w:cs="Arial"/>
          </w:rPr>
          <w:t>https://unesdoc.unesco.org/ark:/48223/pf0000261445</w:t>
        </w:r>
      </w:hyperlink>
      <w:r w:rsidRPr="003C4937">
        <w:rPr>
          <w:rFonts w:ascii="Arial" w:hAnsi="Arial" w:cs="Arial"/>
        </w:rPr>
        <w:t>.</w:t>
      </w:r>
    </w:p>
    <w:p w14:paraId="1540E3E9" w14:textId="77777777" w:rsidR="002D6C4B" w:rsidRPr="003C4937" w:rsidRDefault="002D6C4B" w:rsidP="002D6C4B">
      <w:pPr>
        <w:jc w:val="both"/>
        <w:rPr>
          <w:rFonts w:ascii="Arial" w:hAnsi="Arial" w:cs="Arial"/>
        </w:rPr>
      </w:pPr>
      <w:r w:rsidRPr="003C4937">
        <w:rPr>
          <w:rFonts w:ascii="Arial" w:hAnsi="Arial" w:cs="Arial"/>
        </w:rPr>
        <w:t xml:space="preserve">UNEP (2020). </w:t>
      </w:r>
      <w:r w:rsidRPr="003C4937">
        <w:rPr>
          <w:rFonts w:ascii="Arial" w:hAnsi="Arial" w:cs="Arial"/>
          <w:i/>
        </w:rPr>
        <w:t>The Six Sector Solution to Climate Change.</w:t>
      </w:r>
      <w:r w:rsidRPr="003C4937">
        <w:rPr>
          <w:rFonts w:ascii="Arial" w:hAnsi="Arial" w:cs="Arial"/>
        </w:rPr>
        <w:t xml:space="preserve"> [online] UN Environment. Available at: </w:t>
      </w:r>
      <w:hyperlink r:id="rId26" w:history="1">
        <w:r w:rsidRPr="003C4937">
          <w:rPr>
            <w:rStyle w:val="Hyperlink"/>
            <w:rFonts w:ascii="Arial" w:hAnsi="Arial" w:cs="Arial"/>
          </w:rPr>
          <w:t>https://www.unep.org/interactive/six-sector-solution-climate-change/</w:t>
        </w:r>
      </w:hyperlink>
      <w:r w:rsidRPr="003C4937">
        <w:rPr>
          <w:rFonts w:ascii="Arial" w:hAnsi="Arial" w:cs="Arial"/>
        </w:rPr>
        <w:t>.</w:t>
      </w:r>
    </w:p>
    <w:p w14:paraId="75741FAF" w14:textId="77777777" w:rsidR="002D6C4B" w:rsidRPr="003C4937" w:rsidRDefault="002D6C4B" w:rsidP="002D6C4B">
      <w:pPr>
        <w:jc w:val="both"/>
        <w:rPr>
          <w:rFonts w:ascii="Arial" w:hAnsi="Arial" w:cs="Arial"/>
        </w:rPr>
      </w:pPr>
      <w:r w:rsidRPr="003C4937">
        <w:rPr>
          <w:rFonts w:ascii="Arial" w:hAnsi="Arial" w:cs="Arial"/>
        </w:rPr>
        <w:t xml:space="preserve">United Nations (2023). </w:t>
      </w:r>
      <w:r w:rsidRPr="003C4937">
        <w:rPr>
          <w:rFonts w:ascii="Arial" w:hAnsi="Arial" w:cs="Arial"/>
          <w:i/>
        </w:rPr>
        <w:t>Goal 12: Ensure sustainable consumption and production patterns.</w:t>
      </w:r>
      <w:r w:rsidRPr="003C4937">
        <w:rPr>
          <w:rFonts w:ascii="Arial" w:hAnsi="Arial" w:cs="Arial"/>
        </w:rPr>
        <w:t xml:space="preserve"> [online] United Nations Sustainable Development. Available at: </w:t>
      </w:r>
      <w:hyperlink r:id="rId27" w:history="1">
        <w:r w:rsidRPr="003C4937">
          <w:rPr>
            <w:rStyle w:val="Hyperlink"/>
            <w:rFonts w:ascii="Arial" w:hAnsi="Arial" w:cs="Arial"/>
          </w:rPr>
          <w:t>https://www.un.org/sustainabledevelopment/sustainable-consumption-production/</w:t>
        </w:r>
      </w:hyperlink>
      <w:r w:rsidRPr="003C4937">
        <w:rPr>
          <w:rFonts w:ascii="Arial" w:hAnsi="Arial" w:cs="Arial"/>
        </w:rPr>
        <w:t>.</w:t>
      </w:r>
    </w:p>
    <w:p w14:paraId="02F065B4" w14:textId="77777777" w:rsidR="002D6C4B" w:rsidRPr="003C4937" w:rsidRDefault="002D6C4B" w:rsidP="002D6C4B">
      <w:pPr>
        <w:jc w:val="both"/>
        <w:rPr>
          <w:rFonts w:ascii="Arial" w:hAnsi="Arial" w:cs="Arial"/>
        </w:rPr>
      </w:pPr>
      <w:r w:rsidRPr="003C4937">
        <w:rPr>
          <w:rFonts w:ascii="Arial" w:hAnsi="Arial" w:cs="Arial"/>
        </w:rPr>
        <w:t xml:space="preserve">Vermeir, I., Weijters, B., De Houwer, J., Geuens, M., Slabbinck, H., Spruyt, A., Van Kerckhove, A., Van Lippevelde, W., De Steur, H. and Verbeke, W. (2020). Environmentally Sustainable Food Consumption: A Review and Research Agenda from a Goal-Directed Perspective. </w:t>
      </w:r>
      <w:r w:rsidRPr="003C4937">
        <w:rPr>
          <w:rFonts w:ascii="Arial" w:hAnsi="Arial" w:cs="Arial"/>
          <w:i/>
        </w:rPr>
        <w:t>Frontiers in Psychology,</w:t>
      </w:r>
      <w:r w:rsidRPr="003C4937">
        <w:rPr>
          <w:rFonts w:ascii="Arial" w:hAnsi="Arial" w:cs="Arial"/>
        </w:rPr>
        <w:t xml:space="preserve"> [online] 11. doi: https://doi.org/10.3389/fpsyg.2020.01603.</w:t>
      </w:r>
    </w:p>
    <w:p w14:paraId="5B7A57DF" w14:textId="77777777" w:rsidR="002D6C4B" w:rsidRPr="003C4937" w:rsidRDefault="002D6C4B" w:rsidP="002D6C4B">
      <w:pPr>
        <w:jc w:val="both"/>
        <w:rPr>
          <w:rFonts w:ascii="Arial" w:hAnsi="Arial" w:cs="Arial"/>
        </w:rPr>
      </w:pPr>
      <w:r w:rsidRPr="003C4937">
        <w:rPr>
          <w:rFonts w:ascii="Arial" w:hAnsi="Arial" w:cs="Arial"/>
        </w:rPr>
        <w:t xml:space="preserve">White, K., Habib, R. and Hardisty, D.J. (2019). </w:t>
      </w:r>
      <w:r w:rsidRPr="003C4937">
        <w:rPr>
          <w:rFonts w:ascii="Arial" w:hAnsi="Arial" w:cs="Arial"/>
          <w:i/>
        </w:rPr>
        <w:t xml:space="preserve">How to SHIFT Consumer Behaviors to Be More Sustainable: A Literature Review and Guiding Framework. Journal of Marketing, </w:t>
      </w:r>
      <w:r w:rsidRPr="003C4937">
        <w:rPr>
          <w:rFonts w:ascii="Arial" w:hAnsi="Arial" w:cs="Arial"/>
        </w:rPr>
        <w:t>[online] 83(3), pp.22–49. doi: https://doi.org/10.1177/0022242919825649.</w:t>
      </w:r>
    </w:p>
    <w:p w14:paraId="7F89E9AA" w14:textId="77777777" w:rsidR="002D6C4B" w:rsidRPr="003C4937" w:rsidRDefault="002D6C4B" w:rsidP="002D6C4B">
      <w:pPr>
        <w:jc w:val="both"/>
        <w:rPr>
          <w:rFonts w:ascii="Arial" w:hAnsi="Arial" w:cs="Arial"/>
        </w:rPr>
      </w:pPr>
      <w:r>
        <w:rPr>
          <w:rFonts w:ascii="Arial" w:hAnsi="Arial" w:cs="Arial"/>
        </w:rPr>
        <w:t>E</w:t>
      </w:r>
      <w:r w:rsidRPr="003C4937">
        <w:rPr>
          <w:rFonts w:ascii="Arial" w:hAnsi="Arial" w:cs="Arial"/>
        </w:rPr>
        <w:t xml:space="preserve">EA. Europa. (2021). Better raw material sourcing can significantly reduce greenhouse gas emissions — </w:t>
      </w:r>
      <w:r w:rsidRPr="003C4937">
        <w:rPr>
          <w:rFonts w:ascii="Arial" w:hAnsi="Arial" w:cs="Arial"/>
          <w:i/>
        </w:rPr>
        <w:t>European Environment Agency.</w:t>
      </w:r>
      <w:r w:rsidRPr="003C4937">
        <w:rPr>
          <w:rFonts w:ascii="Arial" w:hAnsi="Arial" w:cs="Arial"/>
        </w:rPr>
        <w:t xml:space="preserve"> [online] Available at: </w:t>
      </w:r>
      <w:hyperlink r:id="rId28" w:history="1">
        <w:r w:rsidRPr="003C4937">
          <w:rPr>
            <w:rStyle w:val="Hyperlink"/>
            <w:rFonts w:ascii="Arial" w:hAnsi="Arial" w:cs="Arial"/>
          </w:rPr>
          <w:t>https://www.eea.europa.eu/highlights/better-raw-material-sourcing-can</w:t>
        </w:r>
      </w:hyperlink>
      <w:r w:rsidRPr="003C4937">
        <w:rPr>
          <w:rFonts w:ascii="Arial" w:hAnsi="Arial" w:cs="Arial"/>
        </w:rPr>
        <w:t>.</w:t>
      </w:r>
    </w:p>
    <w:p w14:paraId="68D625ED" w14:textId="77777777" w:rsidR="002D6C4B" w:rsidRPr="003C4937" w:rsidRDefault="002D6C4B" w:rsidP="002D6C4B">
      <w:pPr>
        <w:jc w:val="both"/>
        <w:rPr>
          <w:rFonts w:ascii="Arial" w:hAnsi="Arial" w:cs="Arial"/>
        </w:rPr>
      </w:pPr>
      <w:r w:rsidRPr="003C4937">
        <w:rPr>
          <w:rFonts w:ascii="Arial" w:hAnsi="Arial" w:cs="Arial"/>
        </w:rPr>
        <w:t xml:space="preserve">Zurich.com. (2022). Available at: </w:t>
      </w:r>
      <w:hyperlink r:id="rId29" w:history="1">
        <w:r w:rsidRPr="003C4937">
          <w:rPr>
            <w:rStyle w:val="Hyperlink"/>
            <w:rFonts w:ascii="Arial" w:hAnsi="Arial" w:cs="Arial"/>
          </w:rPr>
          <w:t>https://www.zurich.com/en/knowledge/topics/climate-change/how-to-reduce-carbon-in-our-supply-chains</w:t>
        </w:r>
      </w:hyperlink>
      <w:r w:rsidRPr="003C4937">
        <w:rPr>
          <w:rFonts w:ascii="Arial" w:hAnsi="Arial" w:cs="Arial"/>
        </w:rPr>
        <w:t>.</w:t>
      </w:r>
    </w:p>
    <w:p w14:paraId="61E7443B" w14:textId="77777777" w:rsidR="002D6C4B" w:rsidRDefault="002D6C4B"/>
    <w:sectPr w:rsidR="002D6C4B" w:rsidSect="00B34709">
      <w:pgSz w:w="11901" w:h="16817"/>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mirrorMargins/>
  <w:proofState w:spelling="clean" w:grammar="clean"/>
  <w:defaultTabStop w:val="720"/>
  <w:evenAndOddHeaders/>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6FAC"/>
    <w:rsid w:val="00185AF8"/>
    <w:rsid w:val="001B15CB"/>
    <w:rsid w:val="002D6C4B"/>
    <w:rsid w:val="002F495B"/>
    <w:rsid w:val="0053003B"/>
    <w:rsid w:val="0059540A"/>
    <w:rsid w:val="00716FAC"/>
    <w:rsid w:val="00A64472"/>
    <w:rsid w:val="00B34709"/>
    <w:rsid w:val="00EA6F79"/>
    <w:rsid w:val="00FF62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EDBFFC8"/>
  <w15:chartTrackingRefBased/>
  <w15:docId w15:val="{11E6B25B-6804-4F48-B40A-AB28C8CD78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6FAC"/>
    <w:pPr>
      <w:spacing w:after="160" w:line="259" w:lineRule="auto"/>
    </w:pPr>
    <w:rPr>
      <w:kern w:val="0"/>
      <w:sz w:val="22"/>
      <w:szCs w:val="22"/>
      <w14:ligatures w14:val="none"/>
    </w:rPr>
  </w:style>
  <w:style w:type="paragraph" w:styleId="Heading1">
    <w:name w:val="heading 1"/>
    <w:basedOn w:val="Normal"/>
    <w:next w:val="Normal"/>
    <w:link w:val="Heading1Char"/>
    <w:uiPriority w:val="9"/>
    <w:qFormat/>
    <w:rsid w:val="00716FAC"/>
    <w:pPr>
      <w:keepNext/>
      <w:keepLines/>
      <w:spacing w:before="360" w:after="80" w:line="240"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716FAC"/>
    <w:pPr>
      <w:keepNext/>
      <w:keepLines/>
      <w:spacing w:before="160" w:after="80" w:line="240"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716FAC"/>
    <w:pPr>
      <w:keepNext/>
      <w:keepLines/>
      <w:spacing w:before="160" w:after="80" w:line="240" w:lineRule="auto"/>
      <w:outlineLvl w:val="2"/>
    </w:pPr>
    <w:rPr>
      <w:rFonts w:eastAsiaTheme="majorEastAsia"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716FAC"/>
    <w:pPr>
      <w:keepNext/>
      <w:keepLines/>
      <w:spacing w:before="80" w:after="40" w:line="240" w:lineRule="auto"/>
      <w:outlineLvl w:val="3"/>
    </w:pPr>
    <w:rPr>
      <w:rFonts w:eastAsiaTheme="majorEastAsia" w:cstheme="majorBidi"/>
      <w:i/>
      <w:iCs/>
      <w:color w:val="0F4761" w:themeColor="accent1" w:themeShade="BF"/>
      <w:kern w:val="2"/>
      <w:sz w:val="24"/>
      <w:szCs w:val="24"/>
      <w14:ligatures w14:val="standardContextual"/>
    </w:rPr>
  </w:style>
  <w:style w:type="paragraph" w:styleId="Heading5">
    <w:name w:val="heading 5"/>
    <w:basedOn w:val="Normal"/>
    <w:next w:val="Normal"/>
    <w:link w:val="Heading5Char"/>
    <w:uiPriority w:val="9"/>
    <w:semiHidden/>
    <w:unhideWhenUsed/>
    <w:qFormat/>
    <w:rsid w:val="00716FAC"/>
    <w:pPr>
      <w:keepNext/>
      <w:keepLines/>
      <w:spacing w:before="80" w:after="40" w:line="240" w:lineRule="auto"/>
      <w:outlineLvl w:val="4"/>
    </w:pPr>
    <w:rPr>
      <w:rFonts w:eastAsiaTheme="majorEastAsia" w:cstheme="majorBidi"/>
      <w:color w:val="0F4761" w:themeColor="accent1" w:themeShade="BF"/>
      <w:kern w:val="2"/>
      <w:sz w:val="24"/>
      <w:szCs w:val="24"/>
      <w14:ligatures w14:val="standardContextual"/>
    </w:rPr>
  </w:style>
  <w:style w:type="paragraph" w:styleId="Heading6">
    <w:name w:val="heading 6"/>
    <w:basedOn w:val="Normal"/>
    <w:next w:val="Normal"/>
    <w:link w:val="Heading6Char"/>
    <w:uiPriority w:val="9"/>
    <w:semiHidden/>
    <w:unhideWhenUsed/>
    <w:qFormat/>
    <w:rsid w:val="00716FAC"/>
    <w:pPr>
      <w:keepNext/>
      <w:keepLines/>
      <w:spacing w:before="40" w:after="0" w:line="240" w:lineRule="auto"/>
      <w:outlineLvl w:val="5"/>
    </w:pPr>
    <w:rPr>
      <w:rFonts w:eastAsiaTheme="majorEastAsia" w:cstheme="majorBidi"/>
      <w:i/>
      <w:iCs/>
      <w:color w:val="595959" w:themeColor="text1" w:themeTint="A6"/>
      <w:kern w:val="2"/>
      <w:sz w:val="24"/>
      <w:szCs w:val="24"/>
      <w14:ligatures w14:val="standardContextual"/>
    </w:rPr>
  </w:style>
  <w:style w:type="paragraph" w:styleId="Heading7">
    <w:name w:val="heading 7"/>
    <w:basedOn w:val="Normal"/>
    <w:next w:val="Normal"/>
    <w:link w:val="Heading7Char"/>
    <w:uiPriority w:val="9"/>
    <w:semiHidden/>
    <w:unhideWhenUsed/>
    <w:qFormat/>
    <w:rsid w:val="00716FAC"/>
    <w:pPr>
      <w:keepNext/>
      <w:keepLines/>
      <w:spacing w:before="40" w:after="0" w:line="240" w:lineRule="auto"/>
      <w:outlineLvl w:val="6"/>
    </w:pPr>
    <w:rPr>
      <w:rFonts w:eastAsiaTheme="majorEastAsia" w:cstheme="majorBidi"/>
      <w:color w:val="595959" w:themeColor="text1" w:themeTint="A6"/>
      <w:kern w:val="2"/>
      <w:sz w:val="24"/>
      <w:szCs w:val="24"/>
      <w14:ligatures w14:val="standardContextual"/>
    </w:rPr>
  </w:style>
  <w:style w:type="paragraph" w:styleId="Heading8">
    <w:name w:val="heading 8"/>
    <w:basedOn w:val="Normal"/>
    <w:next w:val="Normal"/>
    <w:link w:val="Heading8Char"/>
    <w:uiPriority w:val="9"/>
    <w:semiHidden/>
    <w:unhideWhenUsed/>
    <w:qFormat/>
    <w:rsid w:val="00716FAC"/>
    <w:pPr>
      <w:keepNext/>
      <w:keepLines/>
      <w:spacing w:after="0" w:line="240" w:lineRule="auto"/>
      <w:outlineLvl w:val="7"/>
    </w:pPr>
    <w:rPr>
      <w:rFonts w:eastAsiaTheme="majorEastAsia" w:cstheme="majorBidi"/>
      <w:i/>
      <w:iCs/>
      <w:color w:val="272727" w:themeColor="text1" w:themeTint="D8"/>
      <w:kern w:val="2"/>
      <w:sz w:val="24"/>
      <w:szCs w:val="24"/>
      <w14:ligatures w14:val="standardContextual"/>
    </w:rPr>
  </w:style>
  <w:style w:type="paragraph" w:styleId="Heading9">
    <w:name w:val="heading 9"/>
    <w:basedOn w:val="Normal"/>
    <w:next w:val="Normal"/>
    <w:link w:val="Heading9Char"/>
    <w:uiPriority w:val="9"/>
    <w:semiHidden/>
    <w:unhideWhenUsed/>
    <w:qFormat/>
    <w:rsid w:val="00716FAC"/>
    <w:pPr>
      <w:keepNext/>
      <w:keepLines/>
      <w:spacing w:after="0" w:line="240" w:lineRule="auto"/>
      <w:outlineLvl w:val="8"/>
    </w:pPr>
    <w:rPr>
      <w:rFonts w:eastAsiaTheme="majorEastAsia" w:cstheme="majorBidi"/>
      <w:color w:val="272727" w:themeColor="text1" w:themeTint="D8"/>
      <w:kern w:val="2"/>
      <w:sz w:val="24"/>
      <w:szCs w:val="24"/>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6FA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16FA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16FA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16FA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16FA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16FA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16FA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16FA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16FAC"/>
    <w:rPr>
      <w:rFonts w:eastAsiaTheme="majorEastAsia" w:cstheme="majorBidi"/>
      <w:color w:val="272727" w:themeColor="text1" w:themeTint="D8"/>
    </w:rPr>
  </w:style>
  <w:style w:type="paragraph" w:styleId="Title">
    <w:name w:val="Title"/>
    <w:basedOn w:val="Normal"/>
    <w:next w:val="Normal"/>
    <w:link w:val="TitleChar"/>
    <w:uiPriority w:val="10"/>
    <w:qFormat/>
    <w:rsid w:val="00716FAC"/>
    <w:pPr>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716FA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16FAC"/>
    <w:pPr>
      <w:numPr>
        <w:ilvl w:val="1"/>
      </w:numPr>
      <w:spacing w:line="240" w:lineRule="auto"/>
    </w:pPr>
    <w:rPr>
      <w:rFonts w:eastAsiaTheme="majorEastAsia"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716FA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16FAC"/>
    <w:pPr>
      <w:spacing w:before="160" w:line="240" w:lineRule="auto"/>
      <w:jc w:val="center"/>
    </w:pPr>
    <w:rPr>
      <w:rFonts w:eastAsiaTheme="minorEastAsia"/>
      <w:i/>
      <w:iCs/>
      <w:color w:val="404040" w:themeColor="text1" w:themeTint="BF"/>
      <w:kern w:val="2"/>
      <w:sz w:val="24"/>
      <w:szCs w:val="24"/>
      <w14:ligatures w14:val="standardContextual"/>
    </w:rPr>
  </w:style>
  <w:style w:type="character" w:customStyle="1" w:styleId="QuoteChar">
    <w:name w:val="Quote Char"/>
    <w:basedOn w:val="DefaultParagraphFont"/>
    <w:link w:val="Quote"/>
    <w:uiPriority w:val="29"/>
    <w:rsid w:val="00716FAC"/>
    <w:rPr>
      <w:rFonts w:eastAsiaTheme="minorEastAsia"/>
      <w:i/>
      <w:iCs/>
      <w:color w:val="404040" w:themeColor="text1" w:themeTint="BF"/>
    </w:rPr>
  </w:style>
  <w:style w:type="paragraph" w:styleId="ListParagraph">
    <w:name w:val="List Paragraph"/>
    <w:basedOn w:val="Normal"/>
    <w:uiPriority w:val="34"/>
    <w:qFormat/>
    <w:rsid w:val="00716FAC"/>
    <w:pPr>
      <w:spacing w:after="0" w:line="240" w:lineRule="auto"/>
      <w:ind w:left="720"/>
      <w:contextualSpacing/>
    </w:pPr>
    <w:rPr>
      <w:rFonts w:eastAsiaTheme="minorEastAsia"/>
      <w:kern w:val="2"/>
      <w:sz w:val="24"/>
      <w:szCs w:val="24"/>
      <w14:ligatures w14:val="standardContextual"/>
    </w:rPr>
  </w:style>
  <w:style w:type="character" w:styleId="IntenseEmphasis">
    <w:name w:val="Intense Emphasis"/>
    <w:basedOn w:val="DefaultParagraphFont"/>
    <w:uiPriority w:val="21"/>
    <w:qFormat/>
    <w:rsid w:val="00716FAC"/>
    <w:rPr>
      <w:i/>
      <w:iCs/>
      <w:color w:val="0F4761" w:themeColor="accent1" w:themeShade="BF"/>
    </w:rPr>
  </w:style>
  <w:style w:type="paragraph" w:styleId="IntenseQuote">
    <w:name w:val="Intense Quote"/>
    <w:basedOn w:val="Normal"/>
    <w:next w:val="Normal"/>
    <w:link w:val="IntenseQuoteChar"/>
    <w:uiPriority w:val="30"/>
    <w:qFormat/>
    <w:rsid w:val="00716FAC"/>
    <w:pPr>
      <w:pBdr>
        <w:top w:val="single" w:sz="4" w:space="10" w:color="0F4761" w:themeColor="accent1" w:themeShade="BF"/>
        <w:bottom w:val="single" w:sz="4" w:space="10" w:color="0F4761" w:themeColor="accent1" w:themeShade="BF"/>
      </w:pBdr>
      <w:spacing w:before="360" w:after="360" w:line="240" w:lineRule="auto"/>
      <w:ind w:left="864" w:right="864"/>
      <w:jc w:val="center"/>
    </w:pPr>
    <w:rPr>
      <w:rFonts w:eastAsiaTheme="minorEastAsia"/>
      <w:i/>
      <w:iCs/>
      <w:color w:val="0F4761" w:themeColor="accent1" w:themeShade="BF"/>
      <w:kern w:val="2"/>
      <w:sz w:val="24"/>
      <w:szCs w:val="24"/>
      <w14:ligatures w14:val="standardContextual"/>
    </w:rPr>
  </w:style>
  <w:style w:type="character" w:customStyle="1" w:styleId="IntenseQuoteChar">
    <w:name w:val="Intense Quote Char"/>
    <w:basedOn w:val="DefaultParagraphFont"/>
    <w:link w:val="IntenseQuote"/>
    <w:uiPriority w:val="30"/>
    <w:rsid w:val="00716FAC"/>
    <w:rPr>
      <w:rFonts w:eastAsiaTheme="minorEastAsia"/>
      <w:i/>
      <w:iCs/>
      <w:color w:val="0F4761" w:themeColor="accent1" w:themeShade="BF"/>
    </w:rPr>
  </w:style>
  <w:style w:type="character" w:styleId="IntenseReference">
    <w:name w:val="Intense Reference"/>
    <w:basedOn w:val="DefaultParagraphFont"/>
    <w:uiPriority w:val="32"/>
    <w:qFormat/>
    <w:rsid w:val="00716FAC"/>
    <w:rPr>
      <w:b/>
      <w:bCs/>
      <w:smallCaps/>
      <w:color w:val="0F4761" w:themeColor="accent1" w:themeShade="BF"/>
      <w:spacing w:val="5"/>
    </w:rPr>
  </w:style>
  <w:style w:type="character" w:styleId="Hyperlink">
    <w:name w:val="Hyperlink"/>
    <w:basedOn w:val="DefaultParagraphFont"/>
    <w:uiPriority w:val="99"/>
    <w:unhideWhenUsed/>
    <w:rsid w:val="002D6C4B"/>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emf"/><Relationship Id="rId13" Type="http://schemas.openxmlformats.org/officeDocument/2006/relationships/image" Target="media/image10.emf"/><Relationship Id="rId18" Type="http://schemas.openxmlformats.org/officeDocument/2006/relationships/image" Target="media/image15.emf"/><Relationship Id="rId26" Type="http://schemas.openxmlformats.org/officeDocument/2006/relationships/hyperlink" Target="https://www.unep.org/interactive/six-sector-solution-climate-change/" TargetMode="External"/><Relationship Id="rId3" Type="http://schemas.openxmlformats.org/officeDocument/2006/relationships/webSettings" Target="webSettings.xml"/><Relationship Id="rId21" Type="http://schemas.openxmlformats.org/officeDocument/2006/relationships/hyperlink" Target="https://www.cambridge.org/core/books/laws-of-globalization-and-business-applications/distance-at-the-industry-and-company-levels/3F8E90E135F9739BF4A9C30BD622D4AF" TargetMode="External"/><Relationship Id="rId7" Type="http://schemas.openxmlformats.org/officeDocument/2006/relationships/image" Target="media/image4.emf"/><Relationship Id="rId12" Type="http://schemas.openxmlformats.org/officeDocument/2006/relationships/image" Target="media/image9.emf"/><Relationship Id="rId17" Type="http://schemas.openxmlformats.org/officeDocument/2006/relationships/image" Target="media/image14.emf"/><Relationship Id="rId25" Type="http://schemas.openxmlformats.org/officeDocument/2006/relationships/hyperlink" Target="https://unesdoc.unesco.org/ark:/48223/pf0000261445" TargetMode="External"/><Relationship Id="rId2" Type="http://schemas.openxmlformats.org/officeDocument/2006/relationships/settings" Target="settings.xml"/><Relationship Id="rId16" Type="http://schemas.openxmlformats.org/officeDocument/2006/relationships/image" Target="media/image13.emf"/><Relationship Id="rId20" Type="http://schemas.openxmlformats.org/officeDocument/2006/relationships/hyperlink" Target="https://ecobnb.com/blog/2023/05/green-hospitality-sustainable-practices-hotels-resorts/" TargetMode="External"/><Relationship Id="rId29" Type="http://schemas.openxmlformats.org/officeDocument/2006/relationships/hyperlink" Target="https://www.zurich.com/en/knowledge/topics/climate-change/how-to-reduce-carbon-in-our-supply-chains" TargetMode="External"/><Relationship Id="rId1" Type="http://schemas.openxmlformats.org/officeDocument/2006/relationships/styles" Target="styles.xml"/><Relationship Id="rId6" Type="http://schemas.openxmlformats.org/officeDocument/2006/relationships/image" Target="media/image3.emf"/><Relationship Id="rId11" Type="http://schemas.openxmlformats.org/officeDocument/2006/relationships/image" Target="media/image8.emf"/><Relationship Id="rId24" Type="http://schemas.openxmlformats.org/officeDocument/2006/relationships/hyperlink" Target="http://www.un.org/en/ecosoc/docs/pdfs/fina_08-45773.pdf" TargetMode="External"/><Relationship Id="rId5" Type="http://schemas.openxmlformats.org/officeDocument/2006/relationships/image" Target="media/image2.emf"/><Relationship Id="rId15" Type="http://schemas.openxmlformats.org/officeDocument/2006/relationships/image" Target="media/image12.emf"/><Relationship Id="rId23" Type="http://schemas.openxmlformats.org/officeDocument/2006/relationships/hyperlink" Target="https://www.hks.harvard.edu/sites/default/files/centers/mrcbg/programs/cri/files/PforSD(Exec_Summary).pdf" TargetMode="External"/><Relationship Id="rId28" Type="http://schemas.openxmlformats.org/officeDocument/2006/relationships/hyperlink" Target="https://www.eea.europa.eu/highlights/better-raw-material-sourcing-can" TargetMode="External"/><Relationship Id="rId10" Type="http://schemas.openxmlformats.org/officeDocument/2006/relationships/image" Target="media/image7.emf"/><Relationship Id="rId19" Type="http://schemas.openxmlformats.org/officeDocument/2006/relationships/hyperlink" Target="https://scholarworks.umass.edu/cgi/viewcontent.cgi?article=1010&amp;context=ttracanada_2019_conference" TargetMode="External"/><Relationship Id="rId31" Type="http://schemas.openxmlformats.org/officeDocument/2006/relationships/theme" Target="theme/theme1.xml"/><Relationship Id="rId4" Type="http://schemas.openxmlformats.org/officeDocument/2006/relationships/image" Target="media/image1.emf"/><Relationship Id="rId9" Type="http://schemas.openxmlformats.org/officeDocument/2006/relationships/image" Target="media/image6.emf"/><Relationship Id="rId14" Type="http://schemas.openxmlformats.org/officeDocument/2006/relationships/image" Target="media/image11.emf"/><Relationship Id="rId22" Type="http://schemas.openxmlformats.org/officeDocument/2006/relationships/hyperlink" Target="https://web.mit.edu/adamrose/Public/googlelist" TargetMode="External"/><Relationship Id="rId27" Type="http://schemas.openxmlformats.org/officeDocument/2006/relationships/hyperlink" Target="https://www.un.org/sustainabledevelopment/sustainable-consumption-production/"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11</Pages>
  <Words>665</Words>
  <Characters>5459</Characters>
  <Application>Microsoft Office Word</Application>
  <DocSecurity>0</DocSecurity>
  <Lines>127</Lines>
  <Paragraphs>33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6100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Author</dc:creator>
  <cp:keywords/>
  <dc:description/>
  <cp:lastModifiedBy>Author</cp:lastModifiedBy>
  <cp:revision>5</cp:revision>
  <dcterms:created xsi:type="dcterms:W3CDTF">2024-05-20T20:14:00Z</dcterms:created>
  <dcterms:modified xsi:type="dcterms:W3CDTF">2024-05-20T20:22:00Z</dcterms:modified>
  <cp:category/>
</cp:coreProperties>
</file>