
<file path=[Content_Types].xml><?xml version="1.0" encoding="utf-8"?>
<Types xmlns="http://schemas.openxmlformats.org/package/2006/content-types">
  <Default Extension="gif" ContentType="image/gi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FBBFA6" w14:textId="77777777" w:rsidR="0082673E" w:rsidRDefault="0082673E">
      <w:pPr>
        <w:jc w:val="center"/>
        <w:rPr>
          <w:rFonts w:ascii="Arial" w:eastAsia="Arial" w:hAnsi="Arial" w:cs="Arial"/>
          <w:b/>
          <w:bCs/>
          <w:sz w:val="32"/>
          <w:szCs w:val="32"/>
        </w:rPr>
      </w:pPr>
    </w:p>
    <w:p w14:paraId="6BF3FAC0" w14:textId="77777777" w:rsidR="0082673E" w:rsidRDefault="0082673E">
      <w:pPr>
        <w:jc w:val="center"/>
        <w:rPr>
          <w:rFonts w:ascii="Arial" w:eastAsia="Arial" w:hAnsi="Arial" w:cs="Arial"/>
          <w:b/>
          <w:bCs/>
          <w:sz w:val="32"/>
          <w:szCs w:val="32"/>
        </w:rPr>
      </w:pPr>
    </w:p>
    <w:p w14:paraId="0064C821" w14:textId="73BA0B34" w:rsidR="0082673E" w:rsidRDefault="00036B97" w:rsidP="00036B97">
      <w:pPr>
        <w:jc w:val="center"/>
        <w:rPr>
          <w:rFonts w:ascii="Arial" w:eastAsia="Arial" w:hAnsi="Arial" w:cs="Arial"/>
          <w:b/>
          <w:bCs/>
          <w:sz w:val="32"/>
          <w:szCs w:val="32"/>
        </w:rPr>
      </w:pPr>
      <w:r>
        <w:rPr>
          <w:noProof/>
        </w:rPr>
        <w:drawing>
          <wp:inline distT="0" distB="0" distL="0" distR="0" wp14:anchorId="71BF486B" wp14:editId="524A1CFE">
            <wp:extent cx="3381375" cy="1352550"/>
            <wp:effectExtent l="0" t="0" r="9525" b="0"/>
            <wp:docPr id="8588668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866872" name="Picture 2"/>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355E406D" w14:textId="7FB0F0D7" w:rsidR="0082673E" w:rsidRPr="00045AF0" w:rsidRDefault="00045AF0">
      <w:pPr>
        <w:jc w:val="center"/>
        <w:rPr>
          <w:rFonts w:ascii="Arial" w:eastAsia="Arial" w:hAnsi="Arial" w:cs="Arial"/>
          <w:b/>
          <w:bCs/>
          <w:color w:val="EE0000"/>
          <w:sz w:val="32"/>
          <w:szCs w:val="32"/>
          <w:lang w:val="nl-NL"/>
        </w:rPr>
      </w:pPr>
      <w:r>
        <w:rPr>
          <w:rFonts w:ascii="Arial" w:eastAsia="Arial" w:hAnsi="Arial" w:cs="Arial"/>
          <w:b/>
          <w:bCs/>
          <w:color w:val="000000" w:themeColor="text1"/>
          <w:sz w:val="32"/>
          <w:szCs w:val="32"/>
          <w:lang w:val="nl-NL"/>
        </w:rPr>
        <w:t>Student Name :</w:t>
      </w:r>
      <w:r w:rsidRPr="00045AF0">
        <w:rPr>
          <w:rFonts w:ascii="Arial" w:eastAsia="Arial" w:hAnsi="Arial" w:cs="Arial"/>
          <w:b/>
          <w:bCs/>
          <w:color w:val="EE0000"/>
          <w:sz w:val="32"/>
          <w:szCs w:val="32"/>
          <w:lang w:val="nl-NL"/>
        </w:rPr>
        <w:t>LEELU OGHAD KHISTARIYA</w:t>
      </w:r>
    </w:p>
    <w:p w14:paraId="551CEB84" w14:textId="68F74207" w:rsidR="00036B97" w:rsidRPr="00045AF0" w:rsidRDefault="00036B97">
      <w:pPr>
        <w:jc w:val="center"/>
        <w:rPr>
          <w:rFonts w:ascii="Arial" w:eastAsia="Arial" w:hAnsi="Arial" w:cs="Arial"/>
          <w:b/>
          <w:bCs/>
          <w:color w:val="EE0000"/>
          <w:sz w:val="32"/>
          <w:szCs w:val="32"/>
          <w:lang w:val="nl-NL"/>
        </w:rPr>
      </w:pPr>
      <w:r w:rsidRPr="00045AF0">
        <w:rPr>
          <w:rFonts w:ascii="Arial" w:eastAsia="Arial" w:hAnsi="Arial" w:cs="Arial"/>
          <w:b/>
          <w:bCs/>
          <w:sz w:val="32"/>
          <w:szCs w:val="32"/>
          <w:lang w:val="nl-NL"/>
        </w:rPr>
        <w:t>Student ID :</w:t>
      </w:r>
      <w:r w:rsidR="00045AF0">
        <w:rPr>
          <w:rFonts w:ascii="Arial" w:eastAsia="Arial" w:hAnsi="Arial" w:cs="Arial"/>
          <w:b/>
          <w:bCs/>
          <w:color w:val="EE0000"/>
          <w:sz w:val="32"/>
          <w:szCs w:val="32"/>
          <w:lang w:val="nl-NL"/>
        </w:rPr>
        <w:t>2532036</w:t>
      </w:r>
    </w:p>
    <w:p w14:paraId="7BDA7667" w14:textId="77777777" w:rsidR="0082673E" w:rsidRDefault="00CC1805">
      <w:pPr>
        <w:jc w:val="center"/>
        <w:rPr>
          <w:rFonts w:ascii="Arial" w:eastAsia="Arial" w:hAnsi="Arial" w:cs="Arial"/>
          <w:b/>
          <w:bCs/>
          <w:sz w:val="32"/>
          <w:szCs w:val="32"/>
        </w:rPr>
      </w:pPr>
      <w:r>
        <w:rPr>
          <w:rFonts w:ascii="Arial" w:eastAsia="Arial" w:hAnsi="Arial" w:cs="Arial"/>
          <w:b/>
          <w:bCs/>
          <w:sz w:val="32"/>
          <w:szCs w:val="32"/>
        </w:rPr>
        <w:t>Master of Business Administration (MBA)</w:t>
      </w:r>
    </w:p>
    <w:p w14:paraId="06FD4FB9" w14:textId="77777777" w:rsidR="0082673E" w:rsidRDefault="00CC1805">
      <w:pPr>
        <w:jc w:val="center"/>
        <w:rPr>
          <w:rFonts w:ascii="Arial" w:eastAsia="Arial" w:hAnsi="Arial" w:cs="Arial"/>
          <w:b/>
          <w:bCs/>
          <w:sz w:val="32"/>
          <w:szCs w:val="32"/>
        </w:rPr>
      </w:pPr>
      <w:r>
        <w:rPr>
          <w:rFonts w:ascii="Arial" w:eastAsia="Arial" w:hAnsi="Arial" w:cs="Arial"/>
          <w:b/>
          <w:bCs/>
          <w:sz w:val="32"/>
          <w:szCs w:val="32"/>
        </w:rPr>
        <w:t>LCMB7002_Financial Management</w:t>
      </w:r>
    </w:p>
    <w:p w14:paraId="345C7370" w14:textId="7D4D27FD" w:rsidR="00045AF0" w:rsidRDefault="00045AF0">
      <w:pPr>
        <w:jc w:val="center"/>
        <w:rPr>
          <w:rFonts w:ascii="Arial" w:eastAsia="Arial" w:hAnsi="Arial" w:cs="Arial"/>
          <w:b/>
          <w:bCs/>
          <w:sz w:val="32"/>
          <w:szCs w:val="32"/>
        </w:rPr>
      </w:pPr>
      <w:r>
        <w:rPr>
          <w:rFonts w:ascii="Arial" w:eastAsia="Arial" w:hAnsi="Arial" w:cs="Arial"/>
          <w:b/>
          <w:bCs/>
          <w:sz w:val="32"/>
          <w:szCs w:val="32"/>
        </w:rPr>
        <w:t>Lecturer: Dr Shengfeng Mei</w:t>
      </w:r>
    </w:p>
    <w:p w14:paraId="3EE81AE3" w14:textId="77777777" w:rsidR="0082673E" w:rsidRDefault="00CC1805">
      <w:pPr>
        <w:jc w:val="center"/>
        <w:rPr>
          <w:rFonts w:ascii="Arial" w:eastAsia="Arial" w:hAnsi="Arial" w:cs="Arial"/>
          <w:b/>
          <w:bCs/>
          <w:sz w:val="32"/>
          <w:szCs w:val="32"/>
        </w:rPr>
      </w:pPr>
      <w:r>
        <w:rPr>
          <w:rFonts w:ascii="Arial" w:eastAsia="Arial" w:hAnsi="Arial" w:cs="Arial"/>
          <w:b/>
          <w:bCs/>
          <w:sz w:val="32"/>
          <w:szCs w:val="32"/>
        </w:rPr>
        <w:t>Chosen Company: “Hyundai Motor Company”</w:t>
      </w:r>
    </w:p>
    <w:p w14:paraId="695C5685" w14:textId="77777777" w:rsidR="0082673E" w:rsidRDefault="00CC1805">
      <w:pPr>
        <w:jc w:val="center"/>
        <w:rPr>
          <w:rFonts w:ascii="Arial" w:eastAsia="Arial" w:hAnsi="Arial" w:cs="Arial"/>
          <w:b/>
          <w:bCs/>
          <w:sz w:val="32"/>
          <w:szCs w:val="32"/>
        </w:rPr>
      </w:pPr>
      <w:r>
        <w:rPr>
          <w:rFonts w:ascii="Arial" w:eastAsia="Arial" w:hAnsi="Arial" w:cs="Arial"/>
          <w:b/>
          <w:bCs/>
          <w:sz w:val="32"/>
          <w:szCs w:val="32"/>
        </w:rPr>
        <w:t>Strategic CFO Analysis of “Hyundai Motor Company”: Financial Performance, Restructuring, and Investment Appraisal</w:t>
      </w:r>
    </w:p>
    <w:p w14:paraId="16702747" w14:textId="77777777" w:rsidR="0082673E" w:rsidRDefault="00CC1805">
      <w:pPr>
        <w:jc w:val="center"/>
        <w:rPr>
          <w:rFonts w:ascii="Arial" w:eastAsia="Arial" w:hAnsi="Arial" w:cs="Arial"/>
          <w:b/>
          <w:bCs/>
          <w:sz w:val="32"/>
          <w:szCs w:val="32"/>
        </w:rPr>
      </w:pPr>
      <w:r>
        <w:br w:type="page"/>
      </w:r>
    </w:p>
    <w:p w14:paraId="679F850A" w14:textId="77777777" w:rsidR="0082673E" w:rsidRDefault="00CC1805">
      <w:pPr>
        <w:jc w:val="center"/>
        <w:rPr>
          <w:rFonts w:ascii="Arial" w:eastAsia="Arial" w:hAnsi="Arial" w:cs="Arial"/>
          <w:b/>
          <w:bCs/>
          <w:sz w:val="28"/>
          <w:szCs w:val="28"/>
        </w:rPr>
      </w:pPr>
      <w:r>
        <w:rPr>
          <w:rFonts w:ascii="Arial" w:eastAsia="Arial" w:hAnsi="Arial" w:cs="Arial"/>
          <w:b/>
          <w:bCs/>
          <w:sz w:val="28"/>
          <w:szCs w:val="28"/>
        </w:rPr>
        <w:t>Table of Contents</w:t>
      </w:r>
    </w:p>
    <w:sdt>
      <w:sdtPr>
        <w:id w:val="-1521967151"/>
        <w:docPartObj>
          <w:docPartGallery w:val="Table of Contents"/>
          <w:docPartUnique/>
        </w:docPartObj>
      </w:sdtPr>
      <w:sdtEndPr/>
      <w:sdtContent>
        <w:p w14:paraId="169D3B56" w14:textId="6D26F7A3" w:rsidR="001C57DB" w:rsidRPr="001C57DB" w:rsidRDefault="00CC1805" w:rsidP="001C57DB">
          <w:pPr>
            <w:pStyle w:val="TOC1"/>
            <w:tabs>
              <w:tab w:val="right" w:leader="dot" w:pos="9019"/>
            </w:tabs>
            <w:rPr>
              <w:rFonts w:ascii="Arial" w:eastAsiaTheme="minorEastAsia" w:hAnsi="Arial" w:cs="Arial"/>
              <w:noProof/>
              <w:kern w:val="2"/>
              <w:lang w:val="en-IN"/>
              <w14:ligatures w14:val="standardContextual"/>
            </w:rPr>
          </w:pPr>
          <w:r w:rsidRPr="001C57DB">
            <w:rPr>
              <w:rFonts w:ascii="Arial" w:hAnsi="Arial" w:cs="Arial"/>
            </w:rPr>
            <w:fldChar w:fldCharType="begin"/>
          </w:r>
          <w:r w:rsidRPr="001C57DB">
            <w:rPr>
              <w:rFonts w:ascii="Arial" w:hAnsi="Arial" w:cs="Arial"/>
            </w:rPr>
            <w:instrText xml:space="preserve"> TOC \h \u \z \t "Heading 1,1,Heading 2,2,Heading 3,3,Heading 4,4,Heading 5,5,Heading 6,6,"</w:instrText>
          </w:r>
          <w:r w:rsidRPr="001C57DB">
            <w:rPr>
              <w:rFonts w:ascii="Arial" w:hAnsi="Arial" w:cs="Arial"/>
            </w:rPr>
            <w:fldChar w:fldCharType="separate"/>
          </w:r>
          <w:hyperlink w:anchor="_Toc227860353" w:history="1">
            <w:r w:rsidR="001C57DB" w:rsidRPr="001C57DB">
              <w:rPr>
                <w:rStyle w:val="Hyperlink"/>
                <w:rFonts w:ascii="Arial" w:hAnsi="Arial" w:cs="Arial"/>
                <w:noProof/>
              </w:rPr>
              <w:t>1.0 Introduction</w:t>
            </w:r>
            <w:r w:rsidR="001C57DB" w:rsidRPr="001C57DB">
              <w:rPr>
                <w:rFonts w:ascii="Arial" w:hAnsi="Arial" w:cs="Arial"/>
                <w:noProof/>
                <w:webHidden/>
              </w:rPr>
              <w:tab/>
            </w:r>
            <w:r w:rsidR="001C57DB" w:rsidRPr="001C57DB">
              <w:rPr>
                <w:rFonts w:ascii="Arial" w:hAnsi="Arial" w:cs="Arial"/>
                <w:noProof/>
                <w:webHidden/>
              </w:rPr>
              <w:fldChar w:fldCharType="begin"/>
            </w:r>
            <w:r w:rsidR="001C57DB" w:rsidRPr="001C57DB">
              <w:rPr>
                <w:rFonts w:ascii="Arial" w:hAnsi="Arial" w:cs="Arial"/>
                <w:noProof/>
                <w:webHidden/>
              </w:rPr>
              <w:instrText xml:space="preserve"> PAGEREF _Toc227860353 \h </w:instrText>
            </w:r>
            <w:r w:rsidR="001C57DB" w:rsidRPr="001C57DB">
              <w:rPr>
                <w:rFonts w:ascii="Arial" w:hAnsi="Arial" w:cs="Arial"/>
                <w:noProof/>
                <w:webHidden/>
              </w:rPr>
            </w:r>
            <w:r w:rsidR="001C57DB" w:rsidRPr="001C57DB">
              <w:rPr>
                <w:rFonts w:ascii="Arial" w:hAnsi="Arial" w:cs="Arial"/>
                <w:noProof/>
                <w:webHidden/>
              </w:rPr>
              <w:fldChar w:fldCharType="separate"/>
            </w:r>
            <w:r w:rsidR="00036B97">
              <w:rPr>
                <w:rFonts w:ascii="Arial" w:hAnsi="Arial" w:cs="Arial"/>
                <w:noProof/>
                <w:webHidden/>
              </w:rPr>
              <w:t>3</w:t>
            </w:r>
            <w:r w:rsidR="001C57DB" w:rsidRPr="001C57DB">
              <w:rPr>
                <w:rFonts w:ascii="Arial" w:hAnsi="Arial" w:cs="Arial"/>
                <w:noProof/>
                <w:webHidden/>
              </w:rPr>
              <w:fldChar w:fldCharType="end"/>
            </w:r>
          </w:hyperlink>
        </w:p>
        <w:p w14:paraId="28FA11EF" w14:textId="2D454513" w:rsidR="001C57DB" w:rsidRPr="001C57DB" w:rsidRDefault="001C57DB" w:rsidP="001C57DB">
          <w:pPr>
            <w:pStyle w:val="TOC1"/>
            <w:tabs>
              <w:tab w:val="right" w:leader="dot" w:pos="9019"/>
            </w:tabs>
            <w:rPr>
              <w:rFonts w:ascii="Arial" w:eastAsiaTheme="minorEastAsia" w:hAnsi="Arial" w:cs="Arial"/>
              <w:noProof/>
              <w:kern w:val="2"/>
              <w:lang w:val="en-IN"/>
              <w14:ligatures w14:val="standardContextual"/>
            </w:rPr>
          </w:pPr>
          <w:hyperlink w:anchor="_Toc227860354" w:history="1">
            <w:r w:rsidRPr="001C57DB">
              <w:rPr>
                <w:rStyle w:val="Hyperlink"/>
                <w:rFonts w:ascii="Arial" w:hAnsi="Arial" w:cs="Arial"/>
                <w:noProof/>
              </w:rPr>
              <w:t>2.0 “Financial Health Check”</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_Toc227860354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3</w:t>
            </w:r>
            <w:r w:rsidRPr="001C57DB">
              <w:rPr>
                <w:rFonts w:ascii="Arial" w:hAnsi="Arial" w:cs="Arial"/>
                <w:noProof/>
                <w:webHidden/>
              </w:rPr>
              <w:fldChar w:fldCharType="end"/>
            </w:r>
          </w:hyperlink>
        </w:p>
        <w:p w14:paraId="1C8EC070" w14:textId="2D2EB4B6"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55" w:history="1">
            <w:r w:rsidRPr="001C57DB">
              <w:rPr>
                <w:rStyle w:val="Hyperlink"/>
                <w:rFonts w:ascii="Arial" w:hAnsi="Arial" w:cs="Arial"/>
                <w:noProof/>
              </w:rPr>
              <w:t>2.1 Analyse the Hyundai’s Past Five-Year Financial Statements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_Toc227860355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3</w:t>
            </w:r>
            <w:r w:rsidRPr="001C57DB">
              <w:rPr>
                <w:rFonts w:ascii="Arial" w:hAnsi="Arial" w:cs="Arial"/>
                <w:noProof/>
                <w:webHidden/>
              </w:rPr>
              <w:fldChar w:fldCharType="end"/>
            </w:r>
          </w:hyperlink>
        </w:p>
        <w:p w14:paraId="2B794E86" w14:textId="6FA8A35D"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56" w:history="1">
            <w:r w:rsidRPr="001C57DB">
              <w:rPr>
                <w:rStyle w:val="Hyperlink"/>
                <w:rFonts w:ascii="Arial" w:hAnsi="Arial" w:cs="Arial"/>
                <w:noProof/>
              </w:rPr>
              <w:t>2.2 Hyundai’s Ratios Analysis for 5 Years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_Toc227860356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4</w:t>
            </w:r>
            <w:r w:rsidRPr="001C57DB">
              <w:rPr>
                <w:rFonts w:ascii="Arial" w:hAnsi="Arial" w:cs="Arial"/>
                <w:noProof/>
                <w:webHidden/>
              </w:rPr>
              <w:fldChar w:fldCharType="end"/>
            </w:r>
          </w:hyperlink>
        </w:p>
        <w:p w14:paraId="67C6293E" w14:textId="64ACB8E9"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57" w:history="1">
            <w:r w:rsidRPr="001C57DB">
              <w:rPr>
                <w:rStyle w:val="Hyperlink"/>
                <w:rFonts w:ascii="Arial" w:hAnsi="Arial" w:cs="Arial"/>
                <w:noProof/>
              </w:rPr>
              <w:t>2.3 Identified  trends, strengths, and threats for the Company</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_Toc227860357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6</w:t>
            </w:r>
            <w:r w:rsidRPr="001C57DB">
              <w:rPr>
                <w:rFonts w:ascii="Arial" w:hAnsi="Arial" w:cs="Arial"/>
                <w:noProof/>
                <w:webHidden/>
              </w:rPr>
              <w:fldChar w:fldCharType="end"/>
            </w:r>
          </w:hyperlink>
        </w:p>
        <w:p w14:paraId="38292310" w14:textId="0C45D863"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58" w:history="1">
            <w:r w:rsidRPr="001C57DB">
              <w:rPr>
                <w:rStyle w:val="Hyperlink"/>
                <w:rFonts w:ascii="Arial" w:hAnsi="Arial" w:cs="Arial"/>
                <w:noProof/>
              </w:rPr>
              <w:t>3.0 Working Capital Management Analysis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_Toc227860358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7</w:t>
            </w:r>
            <w:r w:rsidRPr="001C57DB">
              <w:rPr>
                <w:rFonts w:ascii="Arial" w:hAnsi="Arial" w:cs="Arial"/>
                <w:noProof/>
                <w:webHidden/>
              </w:rPr>
              <w:fldChar w:fldCharType="end"/>
            </w:r>
          </w:hyperlink>
        </w:p>
        <w:p w14:paraId="1D32FA1A" w14:textId="2DC17BBB"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59" w:history="1">
            <w:r w:rsidRPr="001C57DB">
              <w:rPr>
                <w:rStyle w:val="Hyperlink"/>
                <w:rFonts w:ascii="Arial" w:hAnsi="Arial" w:cs="Arial"/>
                <w:noProof/>
              </w:rPr>
              <w:t>3.1 “Cash Operating Cycle (CCC)”</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_Toc227860359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7</w:t>
            </w:r>
            <w:r w:rsidRPr="001C57DB">
              <w:rPr>
                <w:rFonts w:ascii="Arial" w:hAnsi="Arial" w:cs="Arial"/>
                <w:noProof/>
                <w:webHidden/>
              </w:rPr>
              <w:fldChar w:fldCharType="end"/>
            </w:r>
          </w:hyperlink>
        </w:p>
        <w:p w14:paraId="47B17064" w14:textId="35B047CA"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60" w:history="1">
            <w:r w:rsidRPr="001C57DB">
              <w:rPr>
                <w:rStyle w:val="Hyperlink"/>
                <w:rFonts w:ascii="Arial" w:hAnsi="Arial" w:cs="Arial"/>
                <w:noProof/>
              </w:rPr>
              <w:t>3.2 Strategies to Improve Liquidity through Working Capital Reforms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_Toc227860360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8</w:t>
            </w:r>
            <w:r w:rsidRPr="001C57DB">
              <w:rPr>
                <w:rFonts w:ascii="Arial" w:hAnsi="Arial" w:cs="Arial"/>
                <w:noProof/>
                <w:webHidden/>
              </w:rPr>
              <w:fldChar w:fldCharType="end"/>
            </w:r>
          </w:hyperlink>
        </w:p>
        <w:p w14:paraId="7D3187F6" w14:textId="76E434AF"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61" w:history="1">
            <w:r w:rsidRPr="001C57DB">
              <w:rPr>
                <w:rStyle w:val="Hyperlink"/>
                <w:rFonts w:ascii="Arial" w:hAnsi="Arial" w:cs="Arial"/>
                <w:noProof/>
              </w:rPr>
              <w:t>3.3 Comparison of Short-Term vs Long-Term Financing Options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_Toc227860361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9</w:t>
            </w:r>
            <w:r w:rsidRPr="001C57DB">
              <w:rPr>
                <w:rFonts w:ascii="Arial" w:hAnsi="Arial" w:cs="Arial"/>
                <w:noProof/>
                <w:webHidden/>
              </w:rPr>
              <w:fldChar w:fldCharType="end"/>
            </w:r>
          </w:hyperlink>
        </w:p>
        <w:p w14:paraId="7039EE30" w14:textId="4F0AA3BE" w:rsidR="001C57DB" w:rsidRPr="001C57DB" w:rsidRDefault="001C57DB" w:rsidP="001C57DB">
          <w:pPr>
            <w:pStyle w:val="TOC1"/>
            <w:tabs>
              <w:tab w:val="right" w:leader="dot" w:pos="9019"/>
            </w:tabs>
            <w:rPr>
              <w:rFonts w:ascii="Arial" w:eastAsiaTheme="minorEastAsia" w:hAnsi="Arial" w:cs="Arial"/>
              <w:noProof/>
              <w:kern w:val="2"/>
              <w:lang w:val="en-IN"/>
              <w14:ligatures w14:val="standardContextual"/>
            </w:rPr>
          </w:pPr>
          <w:hyperlink w:anchor="_Toc227860362" w:history="1">
            <w:r w:rsidRPr="001C57DB">
              <w:rPr>
                <w:rStyle w:val="Hyperlink"/>
                <w:rFonts w:ascii="Arial" w:hAnsi="Arial" w:cs="Arial"/>
                <w:noProof/>
              </w:rPr>
              <w:t>4.0 “Strategic Financial Restructuring Plan”</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_Toc227860362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10</w:t>
            </w:r>
            <w:r w:rsidRPr="001C57DB">
              <w:rPr>
                <w:rFonts w:ascii="Arial" w:hAnsi="Arial" w:cs="Arial"/>
                <w:noProof/>
                <w:webHidden/>
              </w:rPr>
              <w:fldChar w:fldCharType="end"/>
            </w:r>
          </w:hyperlink>
        </w:p>
        <w:p w14:paraId="79739128" w14:textId="652CBBC6"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63" w:history="1">
            <w:r w:rsidRPr="001C57DB">
              <w:rPr>
                <w:rStyle w:val="Hyperlink"/>
                <w:rFonts w:ascii="Arial" w:hAnsi="Arial" w:cs="Arial"/>
                <w:noProof/>
              </w:rPr>
              <w:t>4.1 “Financial Restructuring Options”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_Toc227860363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10</w:t>
            </w:r>
            <w:r w:rsidRPr="001C57DB">
              <w:rPr>
                <w:rFonts w:ascii="Arial" w:hAnsi="Arial" w:cs="Arial"/>
                <w:noProof/>
                <w:webHidden/>
              </w:rPr>
              <w:fldChar w:fldCharType="end"/>
            </w:r>
          </w:hyperlink>
        </w:p>
        <w:p w14:paraId="6194B71F" w14:textId="2706FB75"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64" w:history="1">
            <w:r w:rsidRPr="001C57DB">
              <w:rPr>
                <w:rStyle w:val="Hyperlink"/>
                <w:rFonts w:ascii="Arial" w:hAnsi="Arial" w:cs="Arial"/>
                <w:noProof/>
              </w:rPr>
              <w:t>4.2 Impact on Shareholder Value, Debt Structure, and Operational Flexibility</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_Toc227860364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11</w:t>
            </w:r>
            <w:r w:rsidRPr="001C57DB">
              <w:rPr>
                <w:rFonts w:ascii="Arial" w:hAnsi="Arial" w:cs="Arial"/>
                <w:noProof/>
                <w:webHidden/>
              </w:rPr>
              <w:fldChar w:fldCharType="end"/>
            </w:r>
          </w:hyperlink>
        </w:p>
        <w:p w14:paraId="21420963" w14:textId="563D7ACC"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65" w:history="1">
            <w:r w:rsidRPr="001C57DB">
              <w:rPr>
                <w:rStyle w:val="Hyperlink"/>
                <w:rFonts w:ascii="Arial" w:hAnsi="Arial" w:cs="Arial"/>
                <w:noProof/>
              </w:rPr>
              <w:t>4.3 International and Ethical Considerations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_Toc227860365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13</w:t>
            </w:r>
            <w:r w:rsidRPr="001C57DB">
              <w:rPr>
                <w:rFonts w:ascii="Arial" w:hAnsi="Arial" w:cs="Arial"/>
                <w:noProof/>
                <w:webHidden/>
              </w:rPr>
              <w:fldChar w:fldCharType="end"/>
            </w:r>
          </w:hyperlink>
        </w:p>
        <w:p w14:paraId="7D6EEEBB" w14:textId="66D8E68B" w:rsidR="001C57DB" w:rsidRPr="001C57DB" w:rsidRDefault="001C57DB" w:rsidP="001C57DB">
          <w:pPr>
            <w:pStyle w:val="TOC1"/>
            <w:tabs>
              <w:tab w:val="right" w:leader="dot" w:pos="9019"/>
            </w:tabs>
            <w:rPr>
              <w:rFonts w:ascii="Arial" w:eastAsiaTheme="minorEastAsia" w:hAnsi="Arial" w:cs="Arial"/>
              <w:noProof/>
              <w:kern w:val="2"/>
              <w:lang w:val="en-IN"/>
              <w14:ligatures w14:val="standardContextual"/>
            </w:rPr>
          </w:pPr>
          <w:hyperlink w:anchor="_Toc227860366" w:history="1">
            <w:r w:rsidRPr="001C57DB">
              <w:rPr>
                <w:rStyle w:val="Hyperlink"/>
                <w:rFonts w:ascii="Arial" w:hAnsi="Arial" w:cs="Arial"/>
                <w:noProof/>
              </w:rPr>
              <w:t>5.0 “Investment Appraisal and Capital Budgeting”</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_Toc227860366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14</w:t>
            </w:r>
            <w:r w:rsidRPr="001C57DB">
              <w:rPr>
                <w:rFonts w:ascii="Arial" w:hAnsi="Arial" w:cs="Arial"/>
                <w:noProof/>
                <w:webHidden/>
              </w:rPr>
              <w:fldChar w:fldCharType="end"/>
            </w:r>
          </w:hyperlink>
        </w:p>
        <w:p w14:paraId="23C97EFC" w14:textId="1DBB0458"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67" w:history="1">
            <w:r w:rsidRPr="001C57DB">
              <w:rPr>
                <w:rStyle w:val="Hyperlink"/>
                <w:rFonts w:ascii="Arial" w:hAnsi="Arial" w:cs="Arial"/>
                <w:noProof/>
              </w:rPr>
              <w:t>5.1 Overview of “Investment Appraisal Techniques”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_Toc227860367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14</w:t>
            </w:r>
            <w:r w:rsidRPr="001C57DB">
              <w:rPr>
                <w:rFonts w:ascii="Arial" w:hAnsi="Arial" w:cs="Arial"/>
                <w:noProof/>
                <w:webHidden/>
              </w:rPr>
              <w:fldChar w:fldCharType="end"/>
            </w:r>
          </w:hyperlink>
        </w:p>
        <w:p w14:paraId="0419578D" w14:textId="3F94B587"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68" w:history="1">
            <w:r w:rsidRPr="001C57DB">
              <w:rPr>
                <w:rStyle w:val="Hyperlink"/>
                <w:rFonts w:ascii="Arial" w:hAnsi="Arial" w:cs="Arial"/>
                <w:noProof/>
              </w:rPr>
              <w:t>5.2 Overview of Investment Projects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_Toc227860368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14</w:t>
            </w:r>
            <w:r w:rsidRPr="001C57DB">
              <w:rPr>
                <w:rFonts w:ascii="Arial" w:hAnsi="Arial" w:cs="Arial"/>
                <w:noProof/>
                <w:webHidden/>
              </w:rPr>
              <w:fldChar w:fldCharType="end"/>
            </w:r>
          </w:hyperlink>
        </w:p>
        <w:p w14:paraId="5B407312" w14:textId="7F52CAD6"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69" w:history="1">
            <w:r w:rsidRPr="001C57DB">
              <w:rPr>
                <w:rStyle w:val="Hyperlink"/>
                <w:rFonts w:ascii="Arial" w:hAnsi="Arial" w:cs="Arial"/>
                <w:noProof/>
              </w:rPr>
              <w:t>5.3 Project A</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_Toc227860369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15</w:t>
            </w:r>
            <w:r w:rsidRPr="001C57DB">
              <w:rPr>
                <w:rFonts w:ascii="Arial" w:hAnsi="Arial" w:cs="Arial"/>
                <w:noProof/>
                <w:webHidden/>
              </w:rPr>
              <w:fldChar w:fldCharType="end"/>
            </w:r>
          </w:hyperlink>
        </w:p>
        <w:p w14:paraId="528B51E1" w14:textId="71E38B66"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70" w:history="1">
            <w:r w:rsidRPr="001C57DB">
              <w:rPr>
                <w:rStyle w:val="Hyperlink"/>
                <w:rFonts w:ascii="Arial" w:hAnsi="Arial" w:cs="Arial"/>
                <w:noProof/>
              </w:rPr>
              <w:t>5.4 Project B</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_Toc227860370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15</w:t>
            </w:r>
            <w:r w:rsidRPr="001C57DB">
              <w:rPr>
                <w:rFonts w:ascii="Arial" w:hAnsi="Arial" w:cs="Arial"/>
                <w:noProof/>
                <w:webHidden/>
              </w:rPr>
              <w:fldChar w:fldCharType="end"/>
            </w:r>
          </w:hyperlink>
        </w:p>
        <w:p w14:paraId="45D1047F" w14:textId="426C0164"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71" w:history="1">
            <w:r w:rsidRPr="001C57DB">
              <w:rPr>
                <w:rStyle w:val="Hyperlink"/>
                <w:rFonts w:ascii="Arial" w:hAnsi="Arial" w:cs="Arial"/>
                <w:noProof/>
              </w:rPr>
              <w:t>5.5 Project C</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_Toc227860371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15</w:t>
            </w:r>
            <w:r w:rsidRPr="001C57DB">
              <w:rPr>
                <w:rFonts w:ascii="Arial" w:hAnsi="Arial" w:cs="Arial"/>
                <w:noProof/>
                <w:webHidden/>
              </w:rPr>
              <w:fldChar w:fldCharType="end"/>
            </w:r>
          </w:hyperlink>
        </w:p>
        <w:p w14:paraId="7EA65B38" w14:textId="030B84D4"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72" w:history="1">
            <w:r w:rsidRPr="001C57DB">
              <w:rPr>
                <w:rStyle w:val="Hyperlink"/>
                <w:rFonts w:ascii="Arial" w:hAnsi="Arial" w:cs="Arial"/>
                <w:noProof/>
              </w:rPr>
              <w:t>5.6 Recommended Project and Justification</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_Toc227860372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15</w:t>
            </w:r>
            <w:r w:rsidRPr="001C57DB">
              <w:rPr>
                <w:rFonts w:ascii="Arial" w:hAnsi="Arial" w:cs="Arial"/>
                <w:noProof/>
                <w:webHidden/>
              </w:rPr>
              <w:fldChar w:fldCharType="end"/>
            </w:r>
          </w:hyperlink>
        </w:p>
        <w:p w14:paraId="4F066070" w14:textId="1FC81DEB"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73" w:history="1">
            <w:r w:rsidRPr="001C57DB">
              <w:rPr>
                <w:rStyle w:val="Hyperlink"/>
                <w:rFonts w:ascii="Arial" w:hAnsi="Arial" w:cs="Arial"/>
                <w:noProof/>
              </w:rPr>
              <w:t>5.7 Capital Rationing Decision and Optimal Project Combination</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_Toc227860373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16</w:t>
            </w:r>
            <w:r w:rsidRPr="001C57DB">
              <w:rPr>
                <w:rFonts w:ascii="Arial" w:hAnsi="Arial" w:cs="Arial"/>
                <w:noProof/>
                <w:webHidden/>
              </w:rPr>
              <w:fldChar w:fldCharType="end"/>
            </w:r>
          </w:hyperlink>
        </w:p>
        <w:p w14:paraId="42AE9482" w14:textId="28CA1675" w:rsidR="001C57DB" w:rsidRPr="001C57DB" w:rsidRDefault="001C57DB" w:rsidP="001C57DB">
          <w:pPr>
            <w:pStyle w:val="TOC1"/>
            <w:tabs>
              <w:tab w:val="right" w:leader="dot" w:pos="9019"/>
            </w:tabs>
            <w:rPr>
              <w:rFonts w:ascii="Arial" w:eastAsiaTheme="minorEastAsia" w:hAnsi="Arial" w:cs="Arial"/>
              <w:noProof/>
              <w:kern w:val="2"/>
              <w:lang w:val="en-IN"/>
              <w14:ligatures w14:val="standardContextual"/>
            </w:rPr>
          </w:pPr>
          <w:hyperlink w:anchor="_Toc227860374" w:history="1">
            <w:r w:rsidRPr="001C57DB">
              <w:rPr>
                <w:rStyle w:val="Hyperlink"/>
                <w:rFonts w:ascii="Arial" w:hAnsi="Arial" w:cs="Arial"/>
                <w:noProof/>
              </w:rPr>
              <w:t>6.0 Conclusion</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_Toc227860374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17</w:t>
            </w:r>
            <w:r w:rsidRPr="001C57DB">
              <w:rPr>
                <w:rFonts w:ascii="Arial" w:hAnsi="Arial" w:cs="Arial"/>
                <w:noProof/>
                <w:webHidden/>
              </w:rPr>
              <w:fldChar w:fldCharType="end"/>
            </w:r>
          </w:hyperlink>
        </w:p>
        <w:p w14:paraId="3E8427AD" w14:textId="4998A0BF" w:rsidR="001C57DB" w:rsidRPr="001C57DB" w:rsidRDefault="001C57DB" w:rsidP="001C57DB">
          <w:pPr>
            <w:pStyle w:val="TOC1"/>
            <w:tabs>
              <w:tab w:val="right" w:leader="dot" w:pos="9019"/>
            </w:tabs>
            <w:rPr>
              <w:rFonts w:ascii="Arial" w:eastAsiaTheme="minorEastAsia" w:hAnsi="Arial" w:cs="Arial"/>
              <w:noProof/>
              <w:kern w:val="2"/>
              <w:lang w:val="en-IN"/>
              <w14:ligatures w14:val="standardContextual"/>
            </w:rPr>
          </w:pPr>
          <w:hyperlink w:anchor="_Toc227860375" w:history="1">
            <w:r w:rsidRPr="001C57DB">
              <w:rPr>
                <w:rStyle w:val="Hyperlink"/>
                <w:rFonts w:ascii="Arial" w:hAnsi="Arial" w:cs="Arial"/>
                <w:noProof/>
              </w:rPr>
              <w:t>7.0 References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_Toc227860375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19</w:t>
            </w:r>
            <w:r w:rsidRPr="001C57DB">
              <w:rPr>
                <w:rFonts w:ascii="Arial" w:hAnsi="Arial" w:cs="Arial"/>
                <w:noProof/>
                <w:webHidden/>
              </w:rPr>
              <w:fldChar w:fldCharType="end"/>
            </w:r>
          </w:hyperlink>
        </w:p>
        <w:p w14:paraId="6EF2F9A0" w14:textId="45C59756" w:rsidR="001C57DB" w:rsidRPr="001C57DB" w:rsidRDefault="001C57DB" w:rsidP="001C57DB">
          <w:pPr>
            <w:pStyle w:val="TOC1"/>
            <w:tabs>
              <w:tab w:val="right" w:leader="dot" w:pos="9019"/>
            </w:tabs>
            <w:rPr>
              <w:rFonts w:ascii="Arial" w:eastAsiaTheme="minorEastAsia" w:hAnsi="Arial" w:cs="Arial"/>
              <w:noProof/>
              <w:kern w:val="2"/>
              <w:lang w:val="en-IN"/>
              <w14:ligatures w14:val="standardContextual"/>
            </w:rPr>
          </w:pPr>
          <w:hyperlink w:anchor="_Toc227860376" w:history="1">
            <w:r w:rsidRPr="001C57DB">
              <w:rPr>
                <w:rStyle w:val="Hyperlink"/>
                <w:rFonts w:ascii="Arial" w:hAnsi="Arial" w:cs="Arial"/>
                <w:noProof/>
              </w:rPr>
              <w:t>8.0 Appendices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_Toc227860376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22</w:t>
            </w:r>
            <w:r w:rsidRPr="001C57DB">
              <w:rPr>
                <w:rFonts w:ascii="Arial" w:hAnsi="Arial" w:cs="Arial"/>
                <w:noProof/>
                <w:webHidden/>
              </w:rPr>
              <w:fldChar w:fldCharType="end"/>
            </w:r>
          </w:hyperlink>
        </w:p>
        <w:p w14:paraId="7A5F70E6" w14:textId="7F53F11D"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77" w:history="1">
            <w:r w:rsidRPr="001C57DB">
              <w:rPr>
                <w:rStyle w:val="Hyperlink"/>
                <w:rFonts w:ascii="Arial" w:hAnsi="Arial" w:cs="Arial"/>
                <w:noProof/>
              </w:rPr>
              <w:t>Appendix I: Ratio Tables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_Toc227860377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22</w:t>
            </w:r>
            <w:r w:rsidRPr="001C57DB">
              <w:rPr>
                <w:rFonts w:ascii="Arial" w:hAnsi="Arial" w:cs="Arial"/>
                <w:noProof/>
                <w:webHidden/>
              </w:rPr>
              <w:fldChar w:fldCharType="end"/>
            </w:r>
          </w:hyperlink>
        </w:p>
        <w:p w14:paraId="3A7B1879" w14:textId="085392D7"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78" w:history="1">
            <w:r w:rsidRPr="001C57DB">
              <w:rPr>
                <w:rStyle w:val="Hyperlink"/>
                <w:rFonts w:ascii="Arial" w:hAnsi="Arial" w:cs="Arial"/>
                <w:noProof/>
              </w:rPr>
              <w:t>Appendix II: Ratio Graphs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_Toc227860378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28</w:t>
            </w:r>
            <w:r w:rsidRPr="001C57DB">
              <w:rPr>
                <w:rFonts w:ascii="Arial" w:hAnsi="Arial" w:cs="Arial"/>
                <w:noProof/>
                <w:webHidden/>
              </w:rPr>
              <w:fldChar w:fldCharType="end"/>
            </w:r>
          </w:hyperlink>
        </w:p>
        <w:p w14:paraId="1F66A99C" w14:textId="4A566EC1"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79" w:history="1">
            <w:r w:rsidRPr="001C57DB">
              <w:rPr>
                <w:rStyle w:val="Hyperlink"/>
                <w:rFonts w:ascii="Arial" w:hAnsi="Arial" w:cs="Arial"/>
                <w:noProof/>
              </w:rPr>
              <w:t>Appendix III: CCC Table and Graphs</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_Toc227860379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32</w:t>
            </w:r>
            <w:r w:rsidRPr="001C57DB">
              <w:rPr>
                <w:rFonts w:ascii="Arial" w:hAnsi="Arial" w:cs="Arial"/>
                <w:noProof/>
                <w:webHidden/>
              </w:rPr>
              <w:fldChar w:fldCharType="end"/>
            </w:r>
          </w:hyperlink>
        </w:p>
        <w:p w14:paraId="40857C5F" w14:textId="6BD890A8" w:rsidR="001C57DB" w:rsidRPr="001C57DB" w:rsidRDefault="001C57DB" w:rsidP="001C57DB">
          <w:pPr>
            <w:pStyle w:val="TOC2"/>
            <w:tabs>
              <w:tab w:val="right" w:leader="dot" w:pos="9019"/>
            </w:tabs>
            <w:rPr>
              <w:rFonts w:ascii="Arial" w:eastAsiaTheme="minorEastAsia" w:hAnsi="Arial" w:cs="Arial"/>
              <w:noProof/>
              <w:kern w:val="2"/>
              <w:lang w:val="en-IN"/>
              <w14:ligatures w14:val="standardContextual"/>
            </w:rPr>
          </w:pPr>
          <w:hyperlink w:anchor="_Toc227860380" w:history="1">
            <w:r w:rsidRPr="001C57DB">
              <w:rPr>
                <w:rStyle w:val="Hyperlink"/>
                <w:rFonts w:ascii="Arial" w:hAnsi="Arial" w:cs="Arial"/>
                <w:noProof/>
              </w:rPr>
              <w:t>Appendix IV: Investment Appraisal</w:t>
            </w:r>
            <w:r w:rsidRPr="001C57DB">
              <w:rPr>
                <w:rFonts w:ascii="Arial" w:hAnsi="Arial" w:cs="Arial"/>
                <w:noProof/>
                <w:webHidden/>
              </w:rPr>
              <w:tab/>
            </w:r>
            <w:r w:rsidRPr="001C57DB">
              <w:rPr>
                <w:rFonts w:ascii="Arial" w:hAnsi="Arial" w:cs="Arial"/>
                <w:noProof/>
                <w:webHidden/>
              </w:rPr>
              <w:fldChar w:fldCharType="begin"/>
            </w:r>
            <w:r w:rsidRPr="001C57DB">
              <w:rPr>
                <w:rFonts w:ascii="Arial" w:hAnsi="Arial" w:cs="Arial"/>
                <w:noProof/>
                <w:webHidden/>
              </w:rPr>
              <w:instrText xml:space="preserve"> PAGEREF _Toc227860380 \h </w:instrText>
            </w:r>
            <w:r w:rsidRPr="001C57DB">
              <w:rPr>
                <w:rFonts w:ascii="Arial" w:hAnsi="Arial" w:cs="Arial"/>
                <w:noProof/>
                <w:webHidden/>
              </w:rPr>
            </w:r>
            <w:r w:rsidRPr="001C57DB">
              <w:rPr>
                <w:rFonts w:ascii="Arial" w:hAnsi="Arial" w:cs="Arial"/>
                <w:noProof/>
                <w:webHidden/>
              </w:rPr>
              <w:fldChar w:fldCharType="separate"/>
            </w:r>
            <w:r w:rsidR="00036B97">
              <w:rPr>
                <w:rFonts w:ascii="Arial" w:hAnsi="Arial" w:cs="Arial"/>
                <w:noProof/>
                <w:webHidden/>
              </w:rPr>
              <w:t>33</w:t>
            </w:r>
            <w:r w:rsidRPr="001C57DB">
              <w:rPr>
                <w:rFonts w:ascii="Arial" w:hAnsi="Arial" w:cs="Arial"/>
                <w:noProof/>
                <w:webHidden/>
              </w:rPr>
              <w:fldChar w:fldCharType="end"/>
            </w:r>
          </w:hyperlink>
        </w:p>
        <w:p w14:paraId="08E833E7" w14:textId="5C0112EA" w:rsidR="0082673E" w:rsidRDefault="00CC1805" w:rsidP="001C57DB">
          <w:pPr>
            <w:widowControl w:val="0"/>
            <w:tabs>
              <w:tab w:val="right" w:leader="dot" w:pos="12000"/>
            </w:tabs>
            <w:spacing w:before="60" w:after="0"/>
            <w:ind w:left="360"/>
            <w:rPr>
              <w:color w:val="000000"/>
            </w:rPr>
          </w:pPr>
          <w:r w:rsidRPr="001C57DB">
            <w:rPr>
              <w:rFonts w:ascii="Arial" w:hAnsi="Arial" w:cs="Arial"/>
            </w:rPr>
            <w:fldChar w:fldCharType="end"/>
          </w:r>
        </w:p>
      </w:sdtContent>
    </w:sdt>
    <w:p w14:paraId="4F1BE5F5" w14:textId="77777777" w:rsidR="0082673E" w:rsidRDefault="00CC1805">
      <w:pPr>
        <w:rPr>
          <w:rFonts w:ascii="Arial" w:eastAsia="Arial" w:hAnsi="Arial" w:cs="Arial"/>
        </w:rPr>
      </w:pPr>
      <w:r>
        <w:br w:type="page"/>
      </w:r>
    </w:p>
    <w:p w14:paraId="7C51B4F4" w14:textId="77777777" w:rsidR="0082673E" w:rsidRDefault="00CC1805">
      <w:pPr>
        <w:pStyle w:val="Heading1"/>
      </w:pPr>
      <w:bookmarkStart w:id="0" w:name="_Toc227860353"/>
      <w:r>
        <w:t>1.0 Introduction</w:t>
      </w:r>
      <w:bookmarkEnd w:id="0"/>
    </w:p>
    <w:p w14:paraId="2C87247A" w14:textId="77777777" w:rsidR="001941B6" w:rsidRDefault="001941B6">
      <w:pPr>
        <w:pStyle w:val="Heading1"/>
        <w:rPr>
          <w:b w:val="0"/>
          <w:bCs w:val="0"/>
          <w:sz w:val="24"/>
          <w:szCs w:val="24"/>
        </w:rPr>
      </w:pPr>
      <w:bookmarkStart w:id="1" w:name="_Toc227860354"/>
      <w:r w:rsidRPr="001941B6">
        <w:rPr>
          <w:b w:val="0"/>
          <w:bCs w:val="0"/>
          <w:sz w:val="24"/>
          <w:szCs w:val="24"/>
        </w:rPr>
        <w:t>This report evaluates how well Hyundai Motor Company has performed financially and how well it has positioned itself strategically in the quickly evolving EV industry. The importance of this report is that many elements currently shape the automotive industry, including (1) increasing financial stress, (2) advances in technology, and (3) global competition for business, all requiring sound financial decision making to be made by the executive level of the company. This report is also intended to identify Hyundai's 5-year financial performance as Chief Financial Officer (CFO), identify the key issues facing the company, and recommend ethically and financially responsible solutions to those issues. This report will consist of four essential components, including an analysis of the company's financial viability, effective working capital management, financial restructuring strategies, and an assessment of investment opportunities and capital budget decision-making.</w:t>
      </w:r>
    </w:p>
    <w:p w14:paraId="0EFB126D" w14:textId="32136143" w:rsidR="0082673E" w:rsidRDefault="00CC1805">
      <w:pPr>
        <w:pStyle w:val="Heading1"/>
      </w:pPr>
      <w:r>
        <w:t>2.0 “Financial Health Check”</w:t>
      </w:r>
      <w:bookmarkEnd w:id="1"/>
      <w:r>
        <w:t xml:space="preserve"> </w:t>
      </w:r>
    </w:p>
    <w:p w14:paraId="50FEA1AF" w14:textId="77777777" w:rsidR="0082673E" w:rsidRDefault="00CC1805">
      <w:pPr>
        <w:pStyle w:val="Heading2"/>
      </w:pPr>
      <w:bookmarkStart w:id="2" w:name="_Toc227860355"/>
      <w:r>
        <w:t>2.1 Analyse the Hyundai’s Past Five-Year Financial Statements</w:t>
      </w:r>
      <w:bookmarkEnd w:id="2"/>
    </w:p>
    <w:p w14:paraId="1A95C9C9" w14:textId="77777777" w:rsidR="001941B6" w:rsidRPr="001941B6" w:rsidRDefault="001941B6" w:rsidP="001941B6">
      <w:pPr>
        <w:rPr>
          <w:rFonts w:ascii="Arial" w:eastAsia="Arial" w:hAnsi="Arial" w:cs="Arial"/>
        </w:rPr>
      </w:pPr>
      <w:r w:rsidRPr="001941B6">
        <w:rPr>
          <w:rFonts w:ascii="Arial" w:eastAsia="Arial" w:hAnsi="Arial" w:cs="Arial"/>
        </w:rPr>
        <w:t>Between 2020-2024, Hyundai Automotive has shown tremendous growth in its financial health through the expansion of scale, total assets, and operating capability. Total assets increased markedly from 209,344,212 Million Won at 12/31/20 to 339,798,429 Million Won at 12/31/24 which has resulted from the aggressive acquisition of long-term resources (i.e. Property, plant and equipment (44,533,941 Million Won) at 12/31/24) as well as the purchase of Joint Venture investments (34,644,095 Million Won) during the same timeframe.</w:t>
      </w:r>
    </w:p>
    <w:p w14:paraId="7F6AEAE6" w14:textId="77777777" w:rsidR="001941B6" w:rsidRPr="001941B6" w:rsidRDefault="001941B6" w:rsidP="001941B6">
      <w:pPr>
        <w:rPr>
          <w:rFonts w:ascii="Arial" w:eastAsia="Arial" w:hAnsi="Arial" w:cs="Arial"/>
        </w:rPr>
      </w:pPr>
    </w:p>
    <w:p w14:paraId="43C27350" w14:textId="77777777" w:rsidR="001941B6" w:rsidRPr="001941B6" w:rsidRDefault="001941B6" w:rsidP="001941B6">
      <w:pPr>
        <w:rPr>
          <w:rFonts w:ascii="Arial" w:eastAsia="Arial" w:hAnsi="Arial" w:cs="Arial"/>
        </w:rPr>
      </w:pPr>
      <w:r w:rsidRPr="001941B6">
        <w:rPr>
          <w:rFonts w:ascii="Arial" w:eastAsia="Arial" w:hAnsi="Arial" w:cs="Arial"/>
        </w:rPr>
        <w:t>The majority of this change is primarily attributable to their emphasis placed on transitioning to Electric Vehicles while at the same time expanding production globally. The revenue performance reflects this trend by increasing total sales from 103,997,601 Million Won at 12/31/20 to175,231,153 Million Won at 12/31/24. This improvement can also be attributed to better operational performance as reflected by profit increasing from 1,924,553 Million Won at 12/31/20 to 13,229,908 Million Won at 12/31/24 due to increased production efficiency, lower operating costs and greater demand for all products in the Hyundai portfolio.</w:t>
      </w:r>
    </w:p>
    <w:p w14:paraId="15CEA459" w14:textId="77777777" w:rsidR="001941B6" w:rsidRPr="001941B6" w:rsidRDefault="001941B6" w:rsidP="001941B6">
      <w:pPr>
        <w:rPr>
          <w:rFonts w:ascii="Arial" w:eastAsia="Arial" w:hAnsi="Arial" w:cs="Arial"/>
        </w:rPr>
      </w:pPr>
    </w:p>
    <w:p w14:paraId="7A1AB678" w14:textId="3383AD78" w:rsidR="0082673E" w:rsidRDefault="001941B6" w:rsidP="001941B6">
      <w:pPr>
        <w:rPr>
          <w:rFonts w:ascii="Arial" w:eastAsia="Arial" w:hAnsi="Arial" w:cs="Arial"/>
        </w:rPr>
      </w:pPr>
      <w:r w:rsidRPr="001941B6">
        <w:rPr>
          <w:rFonts w:ascii="Arial" w:eastAsia="Arial" w:hAnsi="Arial" w:cs="Arial"/>
        </w:rPr>
        <w:t>In addition, while Hyundai's operating income for the year ended December 31 (15,126,901 Million Won) slightly decreased in 2024 (14,239,592 Million Won), its administrative costs have risen significantly (21,509,615 Million Won) impacting overall profitability.</w:t>
      </w:r>
      <w:r>
        <w:rPr>
          <w:rFonts w:ascii="Arial" w:eastAsia="Arial" w:hAnsi="Arial" w:cs="Arial"/>
        </w:rPr>
        <w:t>From a liquidity perspective, current assets rose to ₩115,764,287 million in 2024, while current liabilities increased to ₩79,509,643 million, indicating a stable but moderately tightening liquidity position. The increase in inventories to ₩19,791,007 million reflects higher production levels, but may also indicate slower inventory turnover. Leverage has increased, as total liabilities grew from ₩133,003,242 million in 2020 to ₩219,522,496 million in 2024, driven by higher long-term debt (₩24,285,545 million). This suggests reliance on external financing to support expansion. However, equity also strengthened to ₩120,275,933 million, supported by retained earnings of ₩96,595,668 million, indicating improved shareholder value. Cash flow analysis shows a negative operating cash flow of ₩(5,661,641) million in 2024 despite strong profits, mainly due to significant working capital changes (₩(35,159,625) million). This brings to light the inefficiencies in the receivables and inventory management and presents the short-term liquidity risks. In general, Hyundai has good growth and profitability, although it has difficulties in managing cash flow and increasing leverage, and needs to control money carefully.</w:t>
      </w:r>
    </w:p>
    <w:p w14:paraId="6DD70A82" w14:textId="77777777" w:rsidR="0082673E" w:rsidRDefault="00CC1805">
      <w:pPr>
        <w:pStyle w:val="Heading2"/>
      </w:pPr>
      <w:bookmarkStart w:id="3" w:name="_Toc227860356"/>
      <w:r>
        <w:t>2.2 Hyundai’s Ratios Analysis for 5 Years</w:t>
      </w:r>
      <w:bookmarkEnd w:id="3"/>
    </w:p>
    <w:p w14:paraId="6DBB133C" w14:textId="77777777" w:rsidR="0082673E" w:rsidRDefault="00CC1805">
      <w:pPr>
        <w:rPr>
          <w:rFonts w:ascii="Arial" w:eastAsia="Arial" w:hAnsi="Arial" w:cs="Arial"/>
          <w:b/>
          <w:bCs/>
        </w:rPr>
      </w:pPr>
      <w:r>
        <w:rPr>
          <w:rFonts w:ascii="Arial" w:eastAsia="Arial" w:hAnsi="Arial" w:cs="Arial"/>
          <w:b/>
          <w:bCs/>
        </w:rPr>
        <w:t>“Profitability Ratios”</w:t>
      </w:r>
    </w:p>
    <w:p w14:paraId="3CDDE84C" w14:textId="77777777" w:rsidR="0082673E" w:rsidRDefault="00CC1805">
      <w:pPr>
        <w:rPr>
          <w:rFonts w:ascii="Arial" w:eastAsia="Arial" w:hAnsi="Arial" w:cs="Arial"/>
        </w:rPr>
      </w:pPr>
      <w:r>
        <w:rPr>
          <w:rFonts w:ascii="Arial" w:eastAsia="Arial" w:hAnsi="Arial" w:cs="Arial"/>
        </w:rPr>
        <w:t>Profitability ratios are used to gauge the efficiency of a firm in generating earnings as compared to sales, assets, and capital used to generate these earnings, and this is a measure of the efficiency of a firm in terms of its financial performance. These ratios are essential in determining long-term sustainability, competitiveness, and value creation to allow stakeholders to determine whether the management is efficient in transforming revenue into profit (Hasidi et al., 2024). Hyundai is more profitable,</w:t>
      </w:r>
      <w:r>
        <w:rPr>
          <w:rFonts w:ascii="Arial" w:eastAsia="Arial" w:hAnsi="Arial" w:cs="Arial"/>
        </w:rPr>
        <w:t xml:space="preserve"> as the net profit margin increased by 17.77% to 20.40% (202024), which reflects better cost control and pricing power. Nevertheless, ROCE decreased to 6.83% as compared to 8.43% (2023), indicating a decrease in efficiency in the use of capital, though operating margin remained steady at 8.13%. </w:t>
      </w:r>
      <w:r>
        <w:rPr>
          <w:rFonts w:ascii="Arial" w:eastAsia="Arial" w:hAnsi="Arial" w:cs="Arial"/>
          <w:b/>
          <w:bCs/>
          <w:i/>
          <w:iCs/>
        </w:rPr>
        <w:t>[Referred to Appendix I]</w:t>
      </w:r>
    </w:p>
    <w:p w14:paraId="28257D0F" w14:textId="77777777" w:rsidR="0082673E" w:rsidRDefault="00CC1805">
      <w:pPr>
        <w:rPr>
          <w:rFonts w:ascii="Arial" w:eastAsia="Arial" w:hAnsi="Arial" w:cs="Arial"/>
        </w:rPr>
      </w:pPr>
      <w:r>
        <w:rPr>
          <w:rFonts w:ascii="Arial" w:eastAsia="Arial" w:hAnsi="Arial" w:cs="Arial"/>
          <w:b/>
          <w:bCs/>
        </w:rPr>
        <w:t>“Liquidity Ratios”</w:t>
      </w:r>
    </w:p>
    <w:p w14:paraId="413B6CEF" w14:textId="77777777" w:rsidR="0082673E" w:rsidRDefault="00CC1805">
      <w:pPr>
        <w:rPr>
          <w:rFonts w:ascii="Arial" w:eastAsia="Arial" w:hAnsi="Arial" w:cs="Arial"/>
        </w:rPr>
      </w:pPr>
      <w:r>
        <w:rPr>
          <w:rFonts w:ascii="Arial" w:eastAsia="Arial" w:hAnsi="Arial" w:cs="Arial"/>
        </w:rPr>
        <w:t>Liquidity ratios assess the capability of a company to pay off short-term liabilities with its current assets so that the company does not run out of finances to ensure its financial stability and continued operations. They play a crucial role in the determination of solvency risk, cash availability, and working capital efficiency to enable firms to sustain their operations without facing financial distress in unpredictable economic situations (Zheng et al., 2022). Hyundai has a stable liquidity, and the cu</w:t>
      </w:r>
      <w:r>
        <w:rPr>
          <w:rFonts w:ascii="Arial" w:eastAsia="Arial" w:hAnsi="Arial" w:cs="Arial"/>
        </w:rPr>
        <w:t xml:space="preserve">rrent ratio also rose to 1.46 in 2024 compared to 1.39 in 2023, which is a sufficient current ratio to cover the short-term. The quick ratio also rose to 1.21. Nonetheless, the cash ratio dropped to 0.24, which indicates a lack of immediate cash and the possible liquidity strain in the short-term despite the overall stability. </w:t>
      </w:r>
      <w:r>
        <w:rPr>
          <w:rFonts w:ascii="Arial" w:eastAsia="Arial" w:hAnsi="Arial" w:cs="Arial"/>
          <w:b/>
          <w:bCs/>
          <w:i/>
          <w:iCs/>
        </w:rPr>
        <w:t>[Referred to Appendix I]</w:t>
      </w:r>
    </w:p>
    <w:p w14:paraId="1FCEE76A" w14:textId="77777777" w:rsidR="0082673E" w:rsidRDefault="00CC1805">
      <w:pPr>
        <w:rPr>
          <w:rFonts w:ascii="Arial" w:eastAsia="Arial" w:hAnsi="Arial" w:cs="Arial"/>
          <w:b/>
          <w:bCs/>
        </w:rPr>
      </w:pPr>
      <w:r>
        <w:rPr>
          <w:rFonts w:ascii="Arial" w:eastAsia="Arial" w:hAnsi="Arial" w:cs="Arial"/>
          <w:b/>
          <w:bCs/>
        </w:rPr>
        <w:t>“Efficiency Ratios”</w:t>
      </w:r>
    </w:p>
    <w:p w14:paraId="5F909823" w14:textId="77777777" w:rsidR="0082673E" w:rsidRDefault="00CC1805">
      <w:pPr>
        <w:rPr>
          <w:rFonts w:ascii="Arial" w:eastAsia="Arial" w:hAnsi="Arial" w:cs="Arial"/>
        </w:rPr>
      </w:pPr>
      <w:r>
        <w:rPr>
          <w:rFonts w:ascii="Arial" w:eastAsia="Arial" w:hAnsi="Arial" w:cs="Arial"/>
        </w:rPr>
        <w:t>Efficiency ratios are a measurement to show how well a company makes use of its assets to generate income and run operations. These ratios are essential to comprehend how resources are utilised, costs are controlled, and how well firms operate to maximise the use of their inventory, receivables, and assets to enhance overall financial performance (Nie, 2024). Efficiency has decreased as Hyundai's inventory turnover has reduced to 7.50 as of 2024 (15.09 in 2020), which is a slower inventory movement. The ass</w:t>
      </w:r>
      <w:r>
        <w:rPr>
          <w:rFonts w:ascii="Arial" w:eastAsia="Arial" w:hAnsi="Arial" w:cs="Arial"/>
        </w:rPr>
        <w:t xml:space="preserve">et utilisation was also lower as asset turnover declined to 0.56 compared to 0.99. A stable receivable turnover of 0.03 indicates stable but sluggish efficiency in collection, which affects cash conversion cycles. </w:t>
      </w:r>
      <w:r>
        <w:rPr>
          <w:rFonts w:ascii="Arial" w:eastAsia="Arial" w:hAnsi="Arial" w:cs="Arial"/>
          <w:b/>
          <w:bCs/>
          <w:i/>
          <w:iCs/>
        </w:rPr>
        <w:t>[Referred to Appendix I]</w:t>
      </w:r>
    </w:p>
    <w:p w14:paraId="49294D42" w14:textId="77777777" w:rsidR="0082673E" w:rsidRDefault="00CC1805">
      <w:pPr>
        <w:rPr>
          <w:rFonts w:ascii="Arial" w:eastAsia="Arial" w:hAnsi="Arial" w:cs="Arial"/>
          <w:b/>
          <w:bCs/>
        </w:rPr>
      </w:pPr>
      <w:r>
        <w:rPr>
          <w:rFonts w:ascii="Arial" w:eastAsia="Arial" w:hAnsi="Arial" w:cs="Arial"/>
          <w:b/>
          <w:bCs/>
        </w:rPr>
        <w:t>“Gearing Ratios”</w:t>
      </w:r>
    </w:p>
    <w:p w14:paraId="5085AEF3" w14:textId="77777777" w:rsidR="0082673E" w:rsidRDefault="00CC1805">
      <w:pPr>
        <w:rPr>
          <w:rFonts w:ascii="Arial" w:eastAsia="Arial" w:hAnsi="Arial" w:cs="Arial"/>
        </w:rPr>
      </w:pPr>
      <w:r>
        <w:rPr>
          <w:rFonts w:ascii="Arial" w:eastAsia="Arial" w:hAnsi="Arial" w:cs="Arial"/>
        </w:rPr>
        <w:t>Gearing ratios determine the ratio of debt in the capital structure of the firm, which shows its financial risk and long-term solvency. They play a significant role in assessing the dependency of a company on external financing and its capacity to cover the interest payments, which impacts financial stability and investor confidence (Mehmood and De Luco, 2025). Hyundai is very leveraged, and its debt-to-equity ratio stands at 1.83 in 2024 (1.77 in 2023), which means that it is financed through debt. But int</w:t>
      </w:r>
      <w:r>
        <w:rPr>
          <w:rFonts w:ascii="Arial" w:eastAsia="Arial" w:hAnsi="Arial" w:cs="Arial"/>
        </w:rPr>
        <w:t xml:space="preserve">erest coverage has improved to 7.82, which indicates a greater ability to cover interest payments. Constant capital structure is indicated by a stable debt-to-capital ratio (0.65).  </w:t>
      </w:r>
      <w:r>
        <w:rPr>
          <w:rFonts w:ascii="Arial" w:eastAsia="Arial" w:hAnsi="Arial" w:cs="Arial"/>
          <w:b/>
          <w:bCs/>
          <w:i/>
          <w:iCs/>
        </w:rPr>
        <w:t>[Referred to Appendix I]</w:t>
      </w:r>
    </w:p>
    <w:p w14:paraId="33956F2E" w14:textId="77777777" w:rsidR="0082673E" w:rsidRDefault="00CC1805">
      <w:pPr>
        <w:rPr>
          <w:rFonts w:ascii="Arial" w:eastAsia="Arial" w:hAnsi="Arial" w:cs="Arial"/>
          <w:b/>
          <w:bCs/>
        </w:rPr>
      </w:pPr>
      <w:r>
        <w:rPr>
          <w:rFonts w:ascii="Arial" w:eastAsia="Arial" w:hAnsi="Arial" w:cs="Arial"/>
          <w:b/>
          <w:bCs/>
        </w:rPr>
        <w:t>“Investment Ratios”</w:t>
      </w:r>
    </w:p>
    <w:p w14:paraId="06D6F575" w14:textId="77777777" w:rsidR="0082673E" w:rsidRDefault="00CC1805">
      <w:pPr>
        <w:rPr>
          <w:rFonts w:ascii="Arial" w:eastAsia="Arial" w:hAnsi="Arial" w:cs="Arial"/>
        </w:rPr>
      </w:pPr>
      <w:r>
        <w:rPr>
          <w:rFonts w:ascii="Arial" w:eastAsia="Arial" w:hAnsi="Arial" w:cs="Arial"/>
        </w:rPr>
        <w:t>Investment ratios are used to determine returns to shareholders and efficiency in the allocation of capital. These ratios play a critical role in the profitability evaluation of an investor-focused approach, dividend policy, and reinvestment planning, and the long-term creation of value to ensure that the financial performance is consistent with the shareholder expectations (Usodan et al., 2025). The performance of Hyundai investments was also enhanced as the ROE increased to 0.11 (2024) as compared to 0.03</w:t>
      </w:r>
      <w:r>
        <w:rPr>
          <w:rFonts w:ascii="Arial" w:eastAsia="Arial" w:hAnsi="Arial" w:cs="Arial"/>
        </w:rPr>
        <w:t xml:space="preserve"> (2020), which shows improved returns to shareholders. Nevertheless, the ROE decreased to 0.13 (2023), which indicates that there is some pressure on performance. The dividend payout rose to 0.29, indicating better profitability and a good policy of distributing shares to shareholders. </w:t>
      </w:r>
      <w:r>
        <w:rPr>
          <w:rFonts w:ascii="Arial" w:eastAsia="Arial" w:hAnsi="Arial" w:cs="Arial"/>
          <w:b/>
          <w:bCs/>
          <w:i/>
          <w:iCs/>
        </w:rPr>
        <w:t>[Referred to Appendix I]</w:t>
      </w:r>
    </w:p>
    <w:p w14:paraId="7F933063" w14:textId="77777777" w:rsidR="0082673E" w:rsidRDefault="00CC1805">
      <w:pPr>
        <w:rPr>
          <w:rFonts w:ascii="Arial" w:eastAsia="Arial" w:hAnsi="Arial" w:cs="Arial"/>
          <w:b/>
          <w:bCs/>
        </w:rPr>
      </w:pPr>
      <w:r>
        <w:rPr>
          <w:rFonts w:ascii="Arial" w:eastAsia="Arial" w:hAnsi="Arial" w:cs="Arial"/>
          <w:b/>
          <w:bCs/>
        </w:rPr>
        <w:t>“Cash Flow Ratios”</w:t>
      </w:r>
    </w:p>
    <w:p w14:paraId="4CB45095" w14:textId="77777777" w:rsidR="0082673E" w:rsidRDefault="00CC1805">
      <w:pPr>
        <w:rPr>
          <w:rFonts w:ascii="Arial" w:eastAsia="Arial" w:hAnsi="Arial" w:cs="Arial"/>
        </w:rPr>
      </w:pPr>
      <w:r>
        <w:rPr>
          <w:rFonts w:ascii="Arial" w:eastAsia="Arial" w:hAnsi="Arial" w:cs="Arial"/>
        </w:rPr>
        <w:t>Cash flow ratios evaluate the capability of a firm to generate cash through its operations to pay off obligations, invest, and maintain growth. They play a vital role in assessing the quality of liquidity, financial flexibility, and operational efficiency, and offer insights not only of accounting profits but of actual cash generation capacity (Habib, 2022). The cash flow performance of Hyundai deteriorated, and the operating cash flow ratio decreased to negative 0.07 in 2024, as compared to 0.14 in 2022, w</w:t>
      </w:r>
      <w:r>
        <w:rPr>
          <w:rFonts w:ascii="Arial" w:eastAsia="Arial" w:hAnsi="Arial" w:cs="Arial"/>
        </w:rPr>
        <w:t xml:space="preserve">hich signifies that the company is generating negative operating cash. The free cash flow margin also declined to negative at -0.06, indicating a high level of investment and working capital inefficiencies, and it is a matter of concern that the liquidity may not be sustainable, as the profits are high. </w:t>
      </w:r>
      <w:r>
        <w:rPr>
          <w:rFonts w:ascii="Arial" w:eastAsia="Arial" w:hAnsi="Arial" w:cs="Arial"/>
          <w:b/>
          <w:bCs/>
          <w:i/>
          <w:iCs/>
        </w:rPr>
        <w:t>[Referred to Appendix I]</w:t>
      </w:r>
    </w:p>
    <w:p w14:paraId="3C843F78" w14:textId="31783D80" w:rsidR="0082673E" w:rsidRDefault="00CC1805">
      <w:pPr>
        <w:pStyle w:val="Heading2"/>
      </w:pPr>
      <w:bookmarkStart w:id="4" w:name="_Toc227860357"/>
      <w:r>
        <w:t xml:space="preserve">2.3 </w:t>
      </w:r>
      <w:r w:rsidR="001C57DB">
        <w:t>Identified trends</w:t>
      </w:r>
      <w:r>
        <w:t>, strengths, and threats for the Company</w:t>
      </w:r>
      <w:bookmarkEnd w:id="4"/>
    </w:p>
    <w:p w14:paraId="3883A22E" w14:textId="77777777" w:rsidR="0082673E" w:rsidRDefault="00CC1805">
      <w:pPr>
        <w:rPr>
          <w:rFonts w:ascii="Arial" w:eastAsia="Arial" w:hAnsi="Arial" w:cs="Arial"/>
          <w:b/>
          <w:bCs/>
        </w:rPr>
      </w:pPr>
      <w:r>
        <w:rPr>
          <w:rFonts w:ascii="Arial" w:eastAsia="Arial" w:hAnsi="Arial" w:cs="Arial"/>
          <w:b/>
          <w:bCs/>
        </w:rPr>
        <w:t>Trends for the Company</w:t>
      </w:r>
    </w:p>
    <w:p w14:paraId="2CF19268" w14:textId="77777777" w:rsidR="0082673E" w:rsidRDefault="00CC1805">
      <w:pPr>
        <w:rPr>
          <w:rFonts w:ascii="Arial" w:eastAsia="Arial" w:hAnsi="Arial" w:cs="Arial"/>
        </w:rPr>
      </w:pPr>
      <w:r>
        <w:rPr>
          <w:rFonts w:ascii="Arial" w:eastAsia="Arial" w:hAnsi="Arial" w:cs="Arial"/>
        </w:rPr>
        <w:t>Hyundai Motor Company has shown positive growth in financial performance in the past five years. The level of sales and profitability also increased, as the net profit margin increased to 20.40 in 2024, compared to 17.77 in 2020, indicating more effective operation and price policies. This enhancement signifies proper cost control and positioning within the international markets (Andon et al., 2024). Efficiency ratios indicate a downtrend, and the asset turnover dropped to 0.56, and the inventory turnover d</w:t>
      </w:r>
      <w:r>
        <w:rPr>
          <w:rFonts w:ascii="Arial" w:eastAsia="Arial" w:hAnsi="Arial" w:cs="Arial"/>
        </w:rPr>
        <w:t>ropped to 7.50, indicating less use of assets and slower movement of inventory. Hasidi et al. (2024) state that falling productivity despite increasing profits is a common sign of expansion-based growth and not optimisation in the operations. There was also a decline in cash flow trends, with the operating cash flow ratio becoming negative in 2024, reflecting working capital pressures.</w:t>
      </w:r>
    </w:p>
    <w:p w14:paraId="4A8A7580" w14:textId="77777777" w:rsidR="0082673E" w:rsidRDefault="00CC1805">
      <w:pPr>
        <w:rPr>
          <w:rFonts w:ascii="Arial" w:eastAsia="Arial" w:hAnsi="Arial" w:cs="Arial"/>
          <w:b/>
          <w:bCs/>
        </w:rPr>
      </w:pPr>
      <w:r>
        <w:rPr>
          <w:rFonts w:ascii="Arial" w:eastAsia="Arial" w:hAnsi="Arial" w:cs="Arial"/>
          <w:b/>
          <w:bCs/>
        </w:rPr>
        <w:t>Strengths for the Company</w:t>
      </w:r>
    </w:p>
    <w:p w14:paraId="3CCA818C" w14:textId="77777777" w:rsidR="0082673E" w:rsidRDefault="00CC1805">
      <w:pPr>
        <w:rPr>
          <w:rFonts w:ascii="Arial" w:eastAsia="Arial" w:hAnsi="Arial" w:cs="Arial"/>
        </w:rPr>
      </w:pPr>
      <w:r>
        <w:rPr>
          <w:rFonts w:ascii="Arial" w:eastAsia="Arial" w:hAnsi="Arial" w:cs="Arial"/>
        </w:rPr>
        <w:t>The major strength of Hyundai is the steady rise in its profitability and enhanced financial returns. The company also obtained a greater ROE, which improved during 2020 (0.03) to 2024 (0.11 in 2024, which reflects an increased value addition to shareholders. This performance indicates successful strategic investments and expansion in the market (Andon et al., 2024). Another advantage of the firm is that it has stable liquidity, as indicated by the current ratio of 1.46, which means that the firm is financi</w:t>
      </w:r>
      <w:r>
        <w:rPr>
          <w:rFonts w:ascii="Arial" w:eastAsia="Arial" w:hAnsi="Arial" w:cs="Arial"/>
        </w:rPr>
        <w:t>ally stable in the short term. Jacobs (2023) emphasizes that the strategic flexibility and internationalization of Hyundai contribute to its long-term resilience. Also, there is a high interest coverage of 7.82, which shows that the company is capable of covering its debt effectively.</w:t>
      </w:r>
    </w:p>
    <w:p w14:paraId="3FD8ADBA" w14:textId="77777777" w:rsidR="0082673E" w:rsidRDefault="00CC1805">
      <w:pPr>
        <w:rPr>
          <w:rFonts w:ascii="Arial" w:eastAsia="Arial" w:hAnsi="Arial" w:cs="Arial"/>
          <w:b/>
          <w:bCs/>
        </w:rPr>
      </w:pPr>
      <w:r>
        <w:rPr>
          <w:rFonts w:ascii="Arial" w:eastAsia="Arial" w:hAnsi="Arial" w:cs="Arial"/>
          <w:b/>
          <w:bCs/>
        </w:rPr>
        <w:t>Threats to the Company</w:t>
      </w:r>
    </w:p>
    <w:p w14:paraId="768D988D" w14:textId="77777777" w:rsidR="0082673E" w:rsidRDefault="00CC1805">
      <w:pPr>
        <w:rPr>
          <w:rFonts w:ascii="Arial" w:eastAsia="Arial" w:hAnsi="Arial" w:cs="Arial"/>
        </w:rPr>
      </w:pPr>
      <w:r>
        <w:rPr>
          <w:rFonts w:ascii="Arial" w:eastAsia="Arial" w:hAnsi="Arial" w:cs="Arial"/>
        </w:rPr>
        <w:t>Hyundai has several financial and operational risks despite good performance. The debt-to-equity ratio rose to 1.83 in 2024, which means that they depend more on external financing and their financial risk is greater. This increased exposure can lead to exposure to interest rate risks and economic risks. The falling efficiency ratios also indicate an inefficient operation, especially in the use of assets as well as inventory. Mehmood and De Luco (2025) point out that financial distress risk may rise both du</w:t>
      </w:r>
      <w:r>
        <w:rPr>
          <w:rFonts w:ascii="Arial" w:eastAsia="Arial" w:hAnsi="Arial" w:cs="Arial"/>
        </w:rPr>
        <w:t>e to growing leverage and due to inefficiencies. Negative operating cash flow also indicates the possible liquidity difficulties in the short-term.</w:t>
      </w:r>
    </w:p>
    <w:p w14:paraId="31224D36" w14:textId="77777777" w:rsidR="0082673E" w:rsidRDefault="00CC1805">
      <w:pPr>
        <w:pStyle w:val="Heading2"/>
      </w:pPr>
      <w:bookmarkStart w:id="5" w:name="_Toc227860358"/>
      <w:r>
        <w:t>3.0 Working Capital Management Analysis</w:t>
      </w:r>
      <w:bookmarkEnd w:id="5"/>
    </w:p>
    <w:p w14:paraId="0BF8F15A" w14:textId="77777777" w:rsidR="0082673E" w:rsidRDefault="00CC1805">
      <w:pPr>
        <w:pStyle w:val="Heading2"/>
      </w:pPr>
      <w:bookmarkStart w:id="6" w:name="_Toc227860359"/>
      <w:r>
        <w:t>3.1 “Cash Operating Cycle (CCC)”</w:t>
      </w:r>
      <w:bookmarkEnd w:id="6"/>
    </w:p>
    <w:p w14:paraId="684FD047" w14:textId="77777777" w:rsidR="0082673E" w:rsidRDefault="00CC1805">
      <w:pPr>
        <w:rPr>
          <w:rFonts w:ascii="Arial" w:eastAsia="Arial" w:hAnsi="Arial" w:cs="Arial"/>
          <w:b/>
          <w:bCs/>
          <w:i/>
          <w:iCs/>
        </w:rPr>
      </w:pPr>
      <w:r>
        <w:rPr>
          <w:rFonts w:ascii="Arial" w:eastAsia="Arial" w:hAnsi="Arial" w:cs="Arial"/>
        </w:rPr>
        <w:t>The “cash operating cycle” is used to determine how long it takes a firm to change its investment in inventory and receivables into cash, with payable periods being considered. It is a sensitive measure of the working capital efficiency, liquidity management, and operating efficiency in maintaining short-term financial stability (Aldubhani et al., 2022). The “cash operating cycle” of Hyundai is on a downward trend as the operating cycle stood at 17.50 days in 2021 and 33.67 days in 2024, which implies slowe</w:t>
      </w:r>
      <w:r>
        <w:rPr>
          <w:rFonts w:ascii="Arial" w:eastAsia="Arial" w:hAnsi="Arial" w:cs="Arial"/>
        </w:rPr>
        <w:t>r cash conversion. This is mainly fueled by an increase in inventory days between 36.14 and 41.22, indicating ineffective inventory management and overstocking. The days of receivables also went slightly up to 12.31, and this represented delayed collections of customers. In the meantime, the payable days decreased, falling to 19.86 as opposed to 28.41, which diminished the possibility of the firm delaying payments and preserving cash. As highlighted by Zheng et al. (2022), a reduction in payable days with a</w:t>
      </w:r>
      <w:r>
        <w:rPr>
          <w:rFonts w:ascii="Arial" w:eastAsia="Arial" w:hAnsi="Arial" w:cs="Arial"/>
        </w:rPr>
        <w:t xml:space="preserve">n increase in inventory may result in liquidity strain. In general, the long CCC raises the issues of working capital management inefficiencies and augmented short-term financing requirements. </w:t>
      </w:r>
      <w:r>
        <w:rPr>
          <w:rFonts w:ascii="Arial" w:eastAsia="Arial" w:hAnsi="Arial" w:cs="Arial"/>
          <w:b/>
          <w:bCs/>
          <w:i/>
          <w:iCs/>
        </w:rPr>
        <w:t>[Referred to Appendix III]</w:t>
      </w:r>
    </w:p>
    <w:p w14:paraId="58F611AD" w14:textId="77777777" w:rsidR="0082673E" w:rsidRDefault="00CC1805">
      <w:pPr>
        <w:pStyle w:val="Heading2"/>
      </w:pPr>
      <w:bookmarkStart w:id="7" w:name="_Toc227860360"/>
      <w:r>
        <w:t>3.2 Strategies to Improve Liquidity through Working Capital Reforms</w:t>
      </w:r>
      <w:bookmarkEnd w:id="7"/>
    </w:p>
    <w:p w14:paraId="73110A89" w14:textId="77777777" w:rsidR="0082673E" w:rsidRDefault="00CC1805">
      <w:pPr>
        <w:rPr>
          <w:rFonts w:ascii="Arial" w:eastAsia="Arial" w:hAnsi="Arial" w:cs="Arial"/>
          <w:b/>
          <w:bCs/>
        </w:rPr>
      </w:pPr>
      <w:r>
        <w:rPr>
          <w:rFonts w:ascii="Arial" w:eastAsia="Arial" w:hAnsi="Arial" w:cs="Arial"/>
          <w:b/>
          <w:bCs/>
        </w:rPr>
        <w:t>Inventory Optimisation and Demand Alignment</w:t>
      </w:r>
    </w:p>
    <w:p w14:paraId="6FCE312A" w14:textId="77777777" w:rsidR="0082673E" w:rsidRDefault="00CC1805">
      <w:pPr>
        <w:rPr>
          <w:rFonts w:ascii="Arial" w:eastAsia="Arial" w:hAnsi="Arial" w:cs="Arial"/>
        </w:rPr>
      </w:pPr>
      <w:r>
        <w:rPr>
          <w:rFonts w:ascii="Arial" w:eastAsia="Arial" w:hAnsi="Arial" w:cs="Arial"/>
        </w:rPr>
        <w:t>In order to minimize the number of stocks and enhance the turnover rate, Hyundai ought to employ modern inventory management strategies like “Just-in-Time (JIT)” and demand forecasting systems. The increased inventory days to 41.22 represent efficiency in inventory management, which is consuming a lot of capital. Hyundai is able to reduce holding costs and align production more closely with market demand by incorporating digital supply chain systems and predictive analytics. Effective inventory management w</w:t>
      </w:r>
      <w:r>
        <w:rPr>
          <w:rFonts w:ascii="Arial" w:eastAsia="Arial" w:hAnsi="Arial" w:cs="Arial"/>
        </w:rPr>
        <w:t>ill minimize the working capital needs and increase the availability of liquidity. Aldubhani et al. (2022) emphasize that optimised inventory management can greatly enhance cash flow and eliminate operational inefficiencies. This would have a direct and immediate effect of reducing the cash operating cycle and tying up of funds.</w:t>
      </w:r>
    </w:p>
    <w:p w14:paraId="5440FACA" w14:textId="77777777" w:rsidR="0082673E" w:rsidRDefault="00CC1805">
      <w:pPr>
        <w:rPr>
          <w:rFonts w:ascii="Arial" w:eastAsia="Arial" w:hAnsi="Arial" w:cs="Arial"/>
          <w:b/>
          <w:bCs/>
        </w:rPr>
      </w:pPr>
      <w:r>
        <w:rPr>
          <w:rFonts w:ascii="Arial" w:eastAsia="Arial" w:hAnsi="Arial" w:cs="Arial"/>
          <w:b/>
          <w:bCs/>
        </w:rPr>
        <w:t>Receivables Management and Credit Policy Enhancement</w:t>
      </w:r>
    </w:p>
    <w:p w14:paraId="5BE1EBD3" w14:textId="77777777" w:rsidR="0082673E" w:rsidRDefault="00CC1805">
      <w:pPr>
        <w:rPr>
          <w:rFonts w:ascii="Arial" w:eastAsia="Arial" w:hAnsi="Arial" w:cs="Arial"/>
        </w:rPr>
      </w:pPr>
      <w:r>
        <w:rPr>
          <w:rFonts w:ascii="Arial" w:eastAsia="Arial" w:hAnsi="Arial" w:cs="Arial"/>
        </w:rPr>
        <w:t>The efficiency of the receivables collection should be improved to speed up cash inflows. Hyundai needs to embrace more stringent credit control measures, early payment discounts and automated invoicing and collection. The growth of receivable days to 12.31 indicates that the company collects at slower cycles that affects liquidity. Delays in payments can be minimized by enhancing customer credit evaluation and adopting digital monitoring tools. According to Zheng et al. (2022), proper receivables managemen</w:t>
      </w:r>
      <w:r>
        <w:rPr>
          <w:rFonts w:ascii="Arial" w:eastAsia="Arial" w:hAnsi="Arial" w:cs="Arial"/>
        </w:rPr>
        <w:t>t increases liquidity because it increases the speed of conversion of cash. Also, factoring or invoice discounting might be utilized to transform the receivables into cash without having to wait until the payment is obtained by a customer.</w:t>
      </w:r>
    </w:p>
    <w:p w14:paraId="0520F2B2" w14:textId="77777777" w:rsidR="0082673E" w:rsidRDefault="00CC1805">
      <w:pPr>
        <w:rPr>
          <w:rFonts w:ascii="Arial" w:eastAsia="Arial" w:hAnsi="Arial" w:cs="Arial"/>
          <w:b/>
          <w:bCs/>
        </w:rPr>
      </w:pPr>
      <w:r>
        <w:rPr>
          <w:rFonts w:ascii="Arial" w:eastAsia="Arial" w:hAnsi="Arial" w:cs="Arial"/>
          <w:b/>
          <w:bCs/>
        </w:rPr>
        <w:t>Payables Strategy and Supplier Negotiation</w:t>
      </w:r>
    </w:p>
    <w:p w14:paraId="5C0B3F80" w14:textId="77777777" w:rsidR="0082673E" w:rsidRDefault="00CC1805">
      <w:pPr>
        <w:rPr>
          <w:rFonts w:ascii="Arial" w:eastAsia="Arial" w:hAnsi="Arial" w:cs="Arial"/>
        </w:rPr>
      </w:pPr>
      <w:r>
        <w:rPr>
          <w:rFonts w:ascii="Arial" w:eastAsia="Arial" w:hAnsi="Arial" w:cs="Arial"/>
        </w:rPr>
        <w:t>Hyundai can renegotiate contracts with its suppliers to lengthen the payable periods without damaging the relationships with suppliers, and hence enhance retention of cash. The falling days payable to 19.86 lowers the capacity of the firm to fund operations using trade credit. Reverse factoring or other strategic supplier financing schemes can enable Hyundai to postpone payment, but give the suppliers access to payment in time. Habib (2022) argues that balancing payables will increase liquidity without caus</w:t>
      </w:r>
      <w:r>
        <w:rPr>
          <w:rFonts w:ascii="Arial" w:eastAsia="Arial" w:hAnsi="Arial" w:cs="Arial"/>
        </w:rPr>
        <w:t>ing financial risk. The responsible extension of payment cycles would assist in reducing the cash operating cycle and enhancing financial stability in the short-term.</w:t>
      </w:r>
    </w:p>
    <w:p w14:paraId="368FEB1D" w14:textId="77777777" w:rsidR="0082673E" w:rsidRDefault="00CC1805">
      <w:pPr>
        <w:pStyle w:val="Heading2"/>
      </w:pPr>
      <w:bookmarkStart w:id="8" w:name="_Toc227860361"/>
      <w:r>
        <w:t>3.3 Comparison of Short-Term vs Long-Term Financing Options</w:t>
      </w:r>
      <w:bookmarkEnd w:id="8"/>
    </w:p>
    <w:p w14:paraId="4A3B9AAA" w14:textId="77777777" w:rsidR="0082673E" w:rsidRDefault="00CC1805">
      <w:pPr>
        <w:rPr>
          <w:rFonts w:ascii="Arial" w:eastAsia="Arial" w:hAnsi="Arial" w:cs="Arial"/>
          <w:b/>
          <w:bCs/>
        </w:rPr>
      </w:pPr>
      <w:r>
        <w:rPr>
          <w:rFonts w:ascii="Arial" w:eastAsia="Arial" w:hAnsi="Arial" w:cs="Arial"/>
          <w:b/>
          <w:bCs/>
        </w:rPr>
        <w:t>Short-Term Financing</w:t>
      </w:r>
    </w:p>
    <w:p w14:paraId="6BA95182" w14:textId="77777777" w:rsidR="0082673E" w:rsidRDefault="00CC1805">
      <w:pPr>
        <w:rPr>
          <w:rFonts w:ascii="Arial" w:eastAsia="Arial" w:hAnsi="Arial" w:cs="Arial"/>
        </w:rPr>
      </w:pPr>
      <w:r>
        <w:rPr>
          <w:rFonts w:ascii="Arial" w:eastAsia="Arial" w:hAnsi="Arial" w:cs="Arial"/>
        </w:rPr>
        <w:t>Short-term financing involves bank overdraft, trade credit, and short-term loans, which are mainly utilized to address working capital requirements and liquidity shortfalls. These sources offer flexibility and speed in access to funds, hence they are appropriate in dealing with the variability in the cash operating cycle of Hyundai. The negative cash flow ratio of the company shows that it urgently requires liquidity support. According to Zheng et al. (2022), short-term financing can be effective in address</w:t>
      </w:r>
      <w:r>
        <w:rPr>
          <w:rFonts w:ascii="Arial" w:eastAsia="Arial" w:hAnsi="Arial" w:cs="Arial"/>
        </w:rPr>
        <w:t>ing operational cash crunches. Nonetheless, this type of financing tends to have a high interest rate and refinancing risk that may add pressure to the finances when it is over-trusted.</w:t>
      </w:r>
    </w:p>
    <w:p w14:paraId="59A8DBB1" w14:textId="77777777" w:rsidR="0082673E" w:rsidRDefault="00CC1805">
      <w:pPr>
        <w:rPr>
          <w:rFonts w:ascii="Arial" w:eastAsia="Arial" w:hAnsi="Arial" w:cs="Arial"/>
          <w:b/>
          <w:bCs/>
        </w:rPr>
      </w:pPr>
      <w:r>
        <w:rPr>
          <w:rFonts w:ascii="Arial" w:eastAsia="Arial" w:hAnsi="Arial" w:cs="Arial"/>
          <w:b/>
          <w:bCs/>
        </w:rPr>
        <w:t>Long-Term Financing</w:t>
      </w:r>
    </w:p>
    <w:p w14:paraId="3E00EBB2" w14:textId="77777777" w:rsidR="0082673E" w:rsidRDefault="00CC1805">
      <w:pPr>
        <w:rPr>
          <w:rFonts w:ascii="Arial" w:eastAsia="Arial" w:hAnsi="Arial" w:cs="Arial"/>
        </w:rPr>
      </w:pPr>
      <w:r>
        <w:rPr>
          <w:rFonts w:ascii="Arial" w:eastAsia="Arial" w:hAnsi="Arial" w:cs="Arial"/>
        </w:rPr>
        <w:t>Long-term financing refers to sources like bonds, equity issues, and long-term loans, which are normally capital investments and expansion investments. The growing investment in assets and EV technology by Hyundai necessitates sustainable sources of funds that are in tandem with long-term strategic objectives. Long-term funding decreases refinancing risk and offers an expected repayment format. Mehmood and De Luco (2025) emphasize that long-term debt increases financial stability if it is in line with asset</w:t>
      </w:r>
      <w:r>
        <w:rPr>
          <w:rFonts w:ascii="Arial" w:eastAsia="Arial" w:hAnsi="Arial" w:cs="Arial"/>
        </w:rPr>
        <w:t xml:space="preserve"> lifecycles. But it also increases the total leverage, as seen in the rising debt-to-equity ratio in Hyundai, which may affect the financial risk exposure.</w:t>
      </w:r>
    </w:p>
    <w:p w14:paraId="445ECFB3" w14:textId="77777777" w:rsidR="0082673E" w:rsidRDefault="00CC1805">
      <w:pPr>
        <w:rPr>
          <w:rFonts w:ascii="Arial" w:eastAsia="Arial" w:hAnsi="Arial" w:cs="Arial"/>
          <w:b/>
          <w:bCs/>
        </w:rPr>
      </w:pPr>
      <w:r>
        <w:rPr>
          <w:rFonts w:ascii="Arial" w:eastAsia="Arial" w:hAnsi="Arial" w:cs="Arial"/>
          <w:b/>
          <w:bCs/>
        </w:rPr>
        <w:t>Comparative Evaluation and Strategic Implications</w:t>
      </w:r>
    </w:p>
    <w:p w14:paraId="0452DD2C" w14:textId="77777777" w:rsidR="0082673E" w:rsidRDefault="00CC1805">
      <w:pPr>
        <w:rPr>
          <w:rFonts w:ascii="Arial" w:eastAsia="Arial" w:hAnsi="Arial" w:cs="Arial"/>
        </w:rPr>
      </w:pPr>
      <w:r>
        <w:rPr>
          <w:rFonts w:ascii="Arial" w:eastAsia="Arial" w:hAnsi="Arial" w:cs="Arial"/>
        </w:rPr>
        <w:t xml:space="preserve">Hyundai needs to have a balanced financing approach, which can ensure liquidity and financial stability. The working capital inefficiencies are better handled using short-term financing because of the long cash operating cycle. Conversely, long-term financing must be emphasised in funding capital-intensive projects and technological innovation. Aldubhani et al. (2022) observe that matching the maturity of financing with the use of assets enhances financial efficiency and minimizes risk. Thus, Hyundai needs </w:t>
      </w:r>
      <w:r>
        <w:rPr>
          <w:rFonts w:ascii="Arial" w:eastAsia="Arial" w:hAnsi="Arial" w:cs="Arial"/>
        </w:rPr>
        <w:t>to pursue a hybrid strategy, which is a combination of flexible short-term funding with long-term stable financing to optimise its capital structure in order to sustain growth.</w:t>
      </w:r>
    </w:p>
    <w:p w14:paraId="79FB9DF9" w14:textId="0C1DAD19" w:rsidR="0082673E" w:rsidRDefault="00CC1805">
      <w:pPr>
        <w:pStyle w:val="Heading1"/>
      </w:pPr>
      <w:bookmarkStart w:id="9" w:name="_Toc227860362"/>
      <w:r>
        <w:t xml:space="preserve">4.0 </w:t>
      </w:r>
      <w:r w:rsidR="001C57DB">
        <w:t>“</w:t>
      </w:r>
      <w:r>
        <w:t>Strategic Financial Restructuring Plan</w:t>
      </w:r>
      <w:r w:rsidR="001C57DB">
        <w:t>”</w:t>
      </w:r>
      <w:bookmarkEnd w:id="9"/>
    </w:p>
    <w:p w14:paraId="44E8541D" w14:textId="31D9776F" w:rsidR="0082673E" w:rsidRDefault="00CC1805">
      <w:pPr>
        <w:pStyle w:val="Heading2"/>
      </w:pPr>
      <w:bookmarkStart w:id="10" w:name="_Toc227860363"/>
      <w:r>
        <w:t xml:space="preserve">4.1 </w:t>
      </w:r>
      <w:r w:rsidR="001C57DB">
        <w:t>“</w:t>
      </w:r>
      <w:r>
        <w:t>Financial Restructuring Options</w:t>
      </w:r>
      <w:r w:rsidR="001C57DB">
        <w:t>”</w:t>
      </w:r>
      <w:bookmarkEnd w:id="10"/>
    </w:p>
    <w:p w14:paraId="1FEFC3B7" w14:textId="77777777" w:rsidR="0082673E" w:rsidRDefault="00CC1805">
      <w:pPr>
        <w:rPr>
          <w:rFonts w:ascii="Arial" w:eastAsia="Arial" w:hAnsi="Arial" w:cs="Arial"/>
          <w:b/>
          <w:bCs/>
        </w:rPr>
      </w:pPr>
      <w:r>
        <w:rPr>
          <w:rFonts w:ascii="Arial" w:eastAsia="Arial" w:hAnsi="Arial" w:cs="Arial"/>
          <w:b/>
          <w:bCs/>
        </w:rPr>
        <w:t>Divestiture of Non-Core and Underperforming Assets</w:t>
      </w:r>
    </w:p>
    <w:p w14:paraId="4C33FB87" w14:textId="77777777" w:rsidR="0082673E" w:rsidRDefault="00CC1805">
      <w:pPr>
        <w:rPr>
          <w:rFonts w:ascii="Arial" w:eastAsia="Arial" w:hAnsi="Arial" w:cs="Arial"/>
        </w:rPr>
      </w:pPr>
      <w:r>
        <w:rPr>
          <w:rFonts w:ascii="Arial" w:eastAsia="Arial" w:hAnsi="Arial" w:cs="Arial"/>
        </w:rPr>
        <w:t>Hyundai would want to contemplate non-core or low-performing business units to enhance financial efficiency and free up capital towards strategic focus. Reduction in the asset turnover and increase in working capital requirements suggest that resources are not used efficiently. The company will be able to sell assets or subsidiaries that perform poorly, to simplify the operations and enhance the returns on the capital used. This would also bring about instant cash flows, increasing liquidity and aiding in d</w:t>
      </w:r>
      <w:r>
        <w:rPr>
          <w:rFonts w:ascii="Arial" w:eastAsia="Arial" w:hAnsi="Arial" w:cs="Arial"/>
        </w:rPr>
        <w:t>ebt reduction. According to Mehmood and De Luco (2025), one of the effective restructuring instruments to enhance financial stability and minimize the risk of distress is divestiture. This shift would enable Hyundai to concentrate more on the high-growth areas like electric cars and innovative mobility solutions.</w:t>
      </w:r>
    </w:p>
    <w:p w14:paraId="01453ECB" w14:textId="77777777" w:rsidR="0082673E" w:rsidRDefault="00CC1805">
      <w:pPr>
        <w:rPr>
          <w:rFonts w:ascii="Arial" w:eastAsia="Arial" w:hAnsi="Arial" w:cs="Arial"/>
          <w:b/>
          <w:bCs/>
        </w:rPr>
      </w:pPr>
      <w:r>
        <w:rPr>
          <w:rFonts w:ascii="Arial" w:eastAsia="Arial" w:hAnsi="Arial" w:cs="Arial"/>
          <w:b/>
          <w:bCs/>
        </w:rPr>
        <w:t>Strategic Mergers and Partnerships for Growth</w:t>
      </w:r>
    </w:p>
    <w:p w14:paraId="263CA08F" w14:textId="77777777" w:rsidR="001941B6" w:rsidRDefault="001941B6">
      <w:pPr>
        <w:rPr>
          <w:rFonts w:ascii="Arial" w:eastAsia="Arial" w:hAnsi="Arial" w:cs="Arial"/>
        </w:rPr>
      </w:pPr>
      <w:r w:rsidRPr="001941B6">
        <w:rPr>
          <w:rFonts w:ascii="Arial" w:eastAsia="Arial" w:hAnsi="Arial" w:cs="Arial"/>
        </w:rPr>
        <w:t>Hyundai has the chance to pursue new opportunities through strategic mergers or partnerships aimed at strengthening their range of technological capabilities and available market opportunities; particularly within both the electric vehicle (EV) and autonomous (self-driving) vehicle sectors. Establishing such partnerships with either technology providers and/or battery suppliers will help to reduce the costs associated with research &amp; development (R&amp;D), as well as accelerate new product introduction. This approach enables them to pool together their resources and share risk while improving competitiveness in this dynamic environment. According to Ryu &amp; Do (2023), automotive industry collaboration can result in increased efficiency within operations and technology. Establishing strategic alliances may also provide a means to expand globally and maintain a level of financial flexibility, thereby representing a viable option for restructuring purposes.</w:t>
      </w:r>
    </w:p>
    <w:p w14:paraId="3D3E92C1" w14:textId="10A50850" w:rsidR="0082673E" w:rsidRDefault="00CC1805">
      <w:pPr>
        <w:rPr>
          <w:rFonts w:ascii="Arial" w:eastAsia="Arial" w:hAnsi="Arial" w:cs="Arial"/>
          <w:b/>
          <w:bCs/>
        </w:rPr>
      </w:pPr>
      <w:r>
        <w:rPr>
          <w:rFonts w:ascii="Arial" w:eastAsia="Arial" w:hAnsi="Arial" w:cs="Arial"/>
          <w:b/>
          <w:bCs/>
        </w:rPr>
        <w:t>Equity Injection and Capital Structure Rebalancing</w:t>
      </w:r>
    </w:p>
    <w:p w14:paraId="2490DCB1" w14:textId="77777777" w:rsidR="0082673E" w:rsidRDefault="00CC1805">
      <w:pPr>
        <w:rPr>
          <w:rFonts w:ascii="Arial" w:eastAsia="Arial" w:hAnsi="Arial" w:cs="Arial"/>
        </w:rPr>
      </w:pPr>
      <w:r>
        <w:rPr>
          <w:rFonts w:ascii="Arial" w:eastAsia="Arial" w:hAnsi="Arial" w:cs="Arial"/>
        </w:rPr>
        <w:t>Equity financing is also a strategy that Hyundai should consider to re-align its capital structure and to limit dependence on debt. The rise in debt to equity ratio to 1.83 represents an increased financial leverage and risk. New equity issues or higher earnings retention can enhance the equity base and financial resilience. This would boost investor confidence and lower interest liability, which would boost long-term solvency. Aldubhani et al. (2022) also state that to continue being profitable and financi</w:t>
      </w:r>
      <w:r>
        <w:rPr>
          <w:rFonts w:ascii="Arial" w:eastAsia="Arial" w:hAnsi="Arial" w:cs="Arial"/>
        </w:rPr>
        <w:t>ally stable, it is necessary to have an optimal capital structure. The injection of equity would help Hyundai in its expansion strategies and reduce the exposure to financial risk.</w:t>
      </w:r>
    </w:p>
    <w:p w14:paraId="646F3F53" w14:textId="77777777" w:rsidR="0082673E" w:rsidRDefault="00CC1805">
      <w:pPr>
        <w:pStyle w:val="Heading2"/>
      </w:pPr>
      <w:bookmarkStart w:id="11" w:name="_Toc227860364"/>
      <w:r>
        <w:t>4.2 Impact on Shareholder Value, Debt Structure, and Operational Flexibility</w:t>
      </w:r>
      <w:bookmarkEnd w:id="11"/>
    </w:p>
    <w:p w14:paraId="1ADD48DE" w14:textId="77777777" w:rsidR="0082673E" w:rsidRDefault="00CC1805">
      <w:pPr>
        <w:rPr>
          <w:rFonts w:ascii="Arial" w:eastAsia="Arial" w:hAnsi="Arial" w:cs="Arial"/>
          <w:b/>
          <w:bCs/>
        </w:rPr>
      </w:pPr>
      <w:r>
        <w:rPr>
          <w:rFonts w:ascii="Arial" w:eastAsia="Arial" w:hAnsi="Arial" w:cs="Arial"/>
          <w:b/>
          <w:bCs/>
        </w:rPr>
        <w:t>Shareholder Value</w:t>
      </w:r>
    </w:p>
    <w:p w14:paraId="36412DD6" w14:textId="77777777" w:rsidR="0082673E" w:rsidRDefault="00CC1805">
      <w:pPr>
        <w:rPr>
          <w:rFonts w:ascii="Arial" w:eastAsia="Arial" w:hAnsi="Arial" w:cs="Arial"/>
        </w:rPr>
      </w:pPr>
      <w:r>
        <w:rPr>
          <w:rFonts w:ascii="Arial" w:eastAsia="Arial" w:hAnsi="Arial" w:cs="Arial"/>
        </w:rPr>
        <w:t>Restructuring of its finances is likely to increase the value of shareholders of Hyundai as it will boost its profitability, efficiency, and long-term growth opportunities. The sale of non-profitable assets can boost the return on equity through capital redirection to more profitable investments, especially the electric vehicle technologies. Value creation is also enhanced by strategic partnerships in terms of innovation and expansion of markets, which contribute to competitive positioning. Nevertheless, th</w:t>
      </w:r>
      <w:r>
        <w:rPr>
          <w:rFonts w:ascii="Arial" w:eastAsia="Arial" w:hAnsi="Arial" w:cs="Arial"/>
        </w:rPr>
        <w:t>e equity injection will dilute the shareholders of the company in the short-term, which might impact the earnings per share. According to Aldubhani et al. (2022), capital allocation and financial restructuring have a positive impact on the value of firms and investor confidence. The integrated strategies will tend to enhance long-term shareholder wealth even at the expense of short-term trade-offs.</w:t>
      </w:r>
    </w:p>
    <w:p w14:paraId="7D8845A0" w14:textId="77777777" w:rsidR="0082673E" w:rsidRDefault="00CC1805">
      <w:pPr>
        <w:rPr>
          <w:rFonts w:ascii="Arial" w:eastAsia="Arial" w:hAnsi="Arial" w:cs="Arial"/>
          <w:b/>
          <w:bCs/>
        </w:rPr>
      </w:pPr>
      <w:r>
        <w:rPr>
          <w:rFonts w:ascii="Arial" w:eastAsia="Arial" w:hAnsi="Arial" w:cs="Arial"/>
          <w:b/>
          <w:bCs/>
        </w:rPr>
        <w:t>Debt Structure</w:t>
      </w:r>
    </w:p>
    <w:p w14:paraId="6FE417FD" w14:textId="77777777" w:rsidR="0082673E" w:rsidRDefault="00CC1805">
      <w:pPr>
        <w:rPr>
          <w:rFonts w:ascii="Arial" w:eastAsia="Arial" w:hAnsi="Arial" w:cs="Arial"/>
        </w:rPr>
      </w:pPr>
      <w:r>
        <w:rPr>
          <w:rFonts w:ascii="Arial" w:eastAsia="Arial" w:hAnsi="Arial" w:cs="Arial"/>
        </w:rPr>
        <w:t>This restructuring would have a huge benefit on the debt structure of Hyundai by cutting the dependency on external borrowing and the financial stability. The proceeds of the divestiture may be applied to settle the current debt and thus, reducing the debt to equity ratio and interest cost. The capital base is also enhanced through equity injection which enhances solvency and credit worthiness. Mehmood and De Luco (2025) emphasize that debt and capital structure reorganization lowers the risk of financial d</w:t>
      </w:r>
      <w:r>
        <w:rPr>
          <w:rFonts w:ascii="Arial" w:eastAsia="Arial" w:hAnsi="Arial" w:cs="Arial"/>
        </w:rPr>
        <w:t>istress and increases the ability to survive in times of economic uncertainty. Strategic partnerships can include joint financial commitments, but can also eliminate the requirement of large investments financed by debt. This moderate policy results in a less risky and more sustainable financial structure.</w:t>
      </w:r>
    </w:p>
    <w:p w14:paraId="1C793155" w14:textId="77777777" w:rsidR="0082673E" w:rsidRDefault="00CC1805">
      <w:pPr>
        <w:rPr>
          <w:rFonts w:ascii="Arial" w:eastAsia="Arial" w:hAnsi="Arial" w:cs="Arial"/>
          <w:b/>
          <w:bCs/>
        </w:rPr>
      </w:pPr>
      <w:r>
        <w:rPr>
          <w:rFonts w:ascii="Arial" w:eastAsia="Arial" w:hAnsi="Arial" w:cs="Arial"/>
          <w:b/>
          <w:bCs/>
        </w:rPr>
        <w:t>Operational Flexibility</w:t>
      </w:r>
    </w:p>
    <w:p w14:paraId="70665D6C" w14:textId="77777777" w:rsidR="0082673E" w:rsidRDefault="00CC1805">
      <w:pPr>
        <w:rPr>
          <w:rFonts w:ascii="Arial" w:eastAsia="Arial" w:hAnsi="Arial" w:cs="Arial"/>
        </w:rPr>
      </w:pPr>
      <w:r>
        <w:rPr>
          <w:rFonts w:ascii="Arial" w:eastAsia="Arial" w:hAnsi="Arial" w:cs="Arial"/>
        </w:rPr>
        <w:t>Flexibility of operations is expected to increase because restructuring will enable Hyundai to concentrate on the main areas of the business and cut down on inefficiencies. Divestiture helps to simplify operations and make faster decisions by getting rid of unimportant activities. Alliances enable entry into foreign competence and resource pools, enhancing flexibility in an ever-changing auto industry. Ryu and Do (2023) highlight that teamwork increases efficiency and technological adaptability in the autom</w:t>
      </w:r>
      <w:r>
        <w:rPr>
          <w:rFonts w:ascii="Arial" w:eastAsia="Arial" w:hAnsi="Arial" w:cs="Arial"/>
        </w:rPr>
        <w:t>obile industry. Even though increased equity financing will bring about shareholder expectations, the net effect will be increased flexibility since there will be fewer financial constraints. This will help Hyundai to react to changes and innovation needs in the market.</w:t>
      </w:r>
    </w:p>
    <w:p w14:paraId="221AE662" w14:textId="77777777" w:rsidR="0082673E" w:rsidRDefault="00CC1805">
      <w:pPr>
        <w:pStyle w:val="Heading2"/>
      </w:pPr>
      <w:bookmarkStart w:id="12" w:name="_Toc227860365"/>
      <w:r>
        <w:t>4.3 International and Ethical Considerations</w:t>
      </w:r>
      <w:bookmarkEnd w:id="12"/>
    </w:p>
    <w:p w14:paraId="7D04F1AC" w14:textId="77777777" w:rsidR="0082673E" w:rsidRDefault="00CC1805">
      <w:pPr>
        <w:rPr>
          <w:rFonts w:ascii="Arial" w:eastAsia="Arial" w:hAnsi="Arial" w:cs="Arial"/>
          <w:b/>
          <w:bCs/>
        </w:rPr>
      </w:pPr>
      <w:r>
        <w:rPr>
          <w:rFonts w:ascii="Arial" w:eastAsia="Arial" w:hAnsi="Arial" w:cs="Arial"/>
          <w:b/>
          <w:bCs/>
        </w:rPr>
        <w:t>Taxation as well as Regulatory Environment</w:t>
      </w:r>
    </w:p>
    <w:p w14:paraId="3533B410" w14:textId="77777777" w:rsidR="00BE5A5A" w:rsidRDefault="00BE5A5A">
      <w:pPr>
        <w:rPr>
          <w:rFonts w:ascii="Arial" w:eastAsia="Arial" w:hAnsi="Arial" w:cs="Arial"/>
        </w:rPr>
      </w:pPr>
      <w:r w:rsidRPr="00BE5A5A">
        <w:rPr>
          <w:rFonts w:ascii="Arial" w:eastAsia="Arial" w:hAnsi="Arial" w:cs="Arial"/>
        </w:rPr>
        <w:t>As Hyundai has entered various international markets, taxes are one of the major factors influencing their overall financial restructuring. Corporate taxes, tariffs or import duties, tax incentives for electric vehicles, all impact Hyundai’s profitability and investment decision-making processes. Tax structuring may be utilized as a method to provide greater after-tax returns, and increase cash flow operational efficiency. In addition, many governments have begun providing more tax incentives for producing sustainable and electric vehicles, which may provide Hyundai with additional support for their development strategy. In addition, non-cooperative tax planning may be called into question from an ethical perspective, as well as from a compliance or regulatory perspective. According to Jacobs (2023), multinational automotive manufacturers need to maintain a proper equilibrium between tax effectiveness and compliance with tax laws while providing transparency. Adoption of international tax standards as well as ethical tax practices are necessary to avoid reputational risk and legal liabilities.</w:t>
      </w:r>
    </w:p>
    <w:p w14:paraId="58D0E8DA" w14:textId="409F2AA4" w:rsidR="0082673E" w:rsidRDefault="00CC1805">
      <w:pPr>
        <w:rPr>
          <w:rFonts w:ascii="Arial" w:eastAsia="Arial" w:hAnsi="Arial" w:cs="Arial"/>
          <w:b/>
          <w:bCs/>
        </w:rPr>
      </w:pPr>
      <w:r>
        <w:rPr>
          <w:rFonts w:ascii="Arial" w:eastAsia="Arial" w:hAnsi="Arial" w:cs="Arial"/>
          <w:b/>
          <w:bCs/>
        </w:rPr>
        <w:t>Currency Risk as well as Inflation Impact</w:t>
      </w:r>
    </w:p>
    <w:p w14:paraId="6181D25A" w14:textId="77777777" w:rsidR="0082673E" w:rsidRDefault="00CC1805">
      <w:pPr>
        <w:rPr>
          <w:rFonts w:ascii="Arial" w:eastAsia="Arial" w:hAnsi="Arial" w:cs="Arial"/>
        </w:rPr>
      </w:pPr>
      <w:r>
        <w:rPr>
          <w:rFonts w:ascii="Arial" w:eastAsia="Arial" w:hAnsi="Arial" w:cs="Arial"/>
        </w:rPr>
        <w:t>As a multinational auto manufacturer, Hyundai is highly vulnerable to currency exchange risks as a result of changes in foreign exchange rates. Income earned in more than one currency can be negatively impacted by conversion to the reporting currency, which will affect profitability. Inflation also raises the cost of production, especially in raw materials, labour, and logistics, hence minimizing operational margins. As Ryu and Do (2023) highlight, global automotive companies should address financial volati</w:t>
      </w:r>
      <w:r>
        <w:rPr>
          <w:rFonts w:ascii="Arial" w:eastAsia="Arial" w:hAnsi="Arial" w:cs="Arial"/>
        </w:rPr>
        <w:t>lity by turning risks into opportunities using effective risk management strategies. As a measure to reduce these risks, Hyundai ought to apply hedging methods like forward contracts and currency swaps. Also, the geographical dispersion of business can lower the reliance on certain markets and eliminate the risks of macroeconomic volatility.</w:t>
      </w:r>
    </w:p>
    <w:p w14:paraId="4C6FBAC2" w14:textId="77777777" w:rsidR="0082673E" w:rsidRDefault="00CC1805">
      <w:pPr>
        <w:rPr>
          <w:rFonts w:ascii="Arial" w:eastAsia="Arial" w:hAnsi="Arial" w:cs="Arial"/>
          <w:b/>
          <w:bCs/>
        </w:rPr>
      </w:pPr>
      <w:r>
        <w:rPr>
          <w:rFonts w:ascii="Arial" w:eastAsia="Arial" w:hAnsi="Arial" w:cs="Arial"/>
          <w:b/>
          <w:bCs/>
        </w:rPr>
        <w:t>“Corporate Social Responsibility (CSR) as well as Ethical Practices”</w:t>
      </w:r>
    </w:p>
    <w:p w14:paraId="755C8C2D" w14:textId="77777777" w:rsidR="0082673E" w:rsidRDefault="00CC1805">
      <w:pPr>
        <w:rPr>
          <w:rFonts w:ascii="Arial" w:eastAsia="Arial" w:hAnsi="Arial" w:cs="Arial"/>
        </w:rPr>
      </w:pPr>
      <w:r>
        <w:rPr>
          <w:rFonts w:ascii="Arial" w:eastAsia="Arial" w:hAnsi="Arial" w:cs="Arial"/>
        </w:rPr>
        <w:t>Ethics, especially “corporate social responsibility (CSR)” are crucial to the sustainability of Hyundai in the long term, both financially and in brand image. The move towards electric vehicles is consistent with the program of environmental sustainability, which will decrease carbon emissions and contribute to global climate efforts. Stakeholder trust is critical to responsible sourcing, fair labour practice, and open governance. According to Hieu and Trang (2022), Hyundai leadership and strategic directio</w:t>
      </w:r>
      <w:r>
        <w:rPr>
          <w:rFonts w:ascii="Arial" w:eastAsia="Arial" w:hAnsi="Arial" w:cs="Arial"/>
        </w:rPr>
        <w:t>n are characterized by ethical business conduct and customer values. Ignoring ethical issues, including environmental effects or labour policies, may cause a reputation loss and legal penalties. The practice of CSR in financial strategy not only enhances compliance but also competitive advantage and value creation in the long term.</w:t>
      </w:r>
    </w:p>
    <w:p w14:paraId="7A7A832B" w14:textId="1813AA18" w:rsidR="0082673E" w:rsidRDefault="00CC1805">
      <w:pPr>
        <w:pStyle w:val="Heading1"/>
      </w:pPr>
      <w:bookmarkStart w:id="13" w:name="_Toc227860366"/>
      <w:r>
        <w:t xml:space="preserve">5.0 </w:t>
      </w:r>
      <w:r w:rsidR="001C57DB">
        <w:t>“</w:t>
      </w:r>
      <w:r>
        <w:t>Investment Appraisal and Capital Budgeting</w:t>
      </w:r>
      <w:r w:rsidR="001C57DB">
        <w:t>”</w:t>
      </w:r>
      <w:bookmarkEnd w:id="13"/>
    </w:p>
    <w:p w14:paraId="49070D52" w14:textId="1354B6C1" w:rsidR="0082673E" w:rsidRDefault="00CC1805">
      <w:pPr>
        <w:pStyle w:val="Heading2"/>
      </w:pPr>
      <w:bookmarkStart w:id="14" w:name="_Toc227860367"/>
      <w:r>
        <w:t xml:space="preserve">5.1 Overview of </w:t>
      </w:r>
      <w:r w:rsidR="001C57DB">
        <w:t>“</w:t>
      </w:r>
      <w:r>
        <w:t>Investment Appraisal Techniques</w:t>
      </w:r>
      <w:r w:rsidR="001C57DB">
        <w:t>”</w:t>
      </w:r>
      <w:bookmarkEnd w:id="14"/>
    </w:p>
    <w:p w14:paraId="2E96D0A4" w14:textId="77777777" w:rsidR="0082673E" w:rsidRDefault="00CC1805">
      <w:pPr>
        <w:rPr>
          <w:rFonts w:ascii="Arial" w:eastAsia="Arial" w:hAnsi="Arial" w:cs="Arial"/>
        </w:rPr>
      </w:pPr>
      <w:r>
        <w:rPr>
          <w:rFonts w:ascii="Arial" w:eastAsia="Arial" w:hAnsi="Arial" w:cs="Arial"/>
        </w:rPr>
        <w:t>Investment appraisal methods are tools that are imperative in the assessment of financial viability and profitability of capital investment projects, which allow firms to make sound strategic decisions. “Payback Period (PBP)” is a metric that estimates the time that the initial investment is recouped, which can inform about liquidity and exposure to risk, but it does not take into account the time value of money (Darmansyah et al., 2025). The “Accounting Rate of Return (ARR)” measures profitability using ac</w:t>
      </w:r>
      <w:r>
        <w:rPr>
          <w:rFonts w:ascii="Arial" w:eastAsia="Arial" w:hAnsi="Arial" w:cs="Arial"/>
        </w:rPr>
        <w:t>counting profits in relation to investment by providing a straightforward gauge of return. The difference between the present value of inflows and outflows is measured by “Net Present Value (NPV)”, so it is an essential indicator of value creation. Fan (2025) emphasizes that the most valid approach is NPV because it takes into account time value and risks. Profitability Index (PI) is the ratio of benefits to costs, which helps rank the projects when there is a constraint on capital (Shaila et al., 2025). “I</w:t>
      </w:r>
      <w:r>
        <w:rPr>
          <w:rFonts w:ascii="Arial" w:eastAsia="Arial" w:hAnsi="Arial" w:cs="Arial"/>
        </w:rPr>
        <w:t>nternal Rate of Return (IRR)” is the discount rate at which NPV is equal to zero, which signifies that the project has the potential of generating returns (Usodan et al., 2025). This highlights that a combination of various appraisal techniques enhances the accuracy of decision-making and minimizes financial risks.</w:t>
      </w:r>
    </w:p>
    <w:p w14:paraId="6ACEF2DA" w14:textId="77777777" w:rsidR="0082673E" w:rsidRDefault="00CC1805">
      <w:pPr>
        <w:pStyle w:val="Heading2"/>
      </w:pPr>
      <w:bookmarkStart w:id="15" w:name="_Toc227860368"/>
      <w:r>
        <w:t>5.2 Overview of Investment Projects</w:t>
      </w:r>
      <w:bookmarkEnd w:id="15"/>
    </w:p>
    <w:p w14:paraId="204775C8" w14:textId="77777777" w:rsidR="0082673E" w:rsidRDefault="00CC1805">
      <w:pPr>
        <w:rPr>
          <w:rFonts w:ascii="Arial" w:eastAsia="Arial" w:hAnsi="Arial" w:cs="Arial"/>
        </w:rPr>
      </w:pPr>
      <w:r>
        <w:rPr>
          <w:rFonts w:ascii="Arial" w:eastAsia="Arial" w:hAnsi="Arial" w:cs="Arial"/>
        </w:rPr>
        <w:t>There are three projects (A, B and C) with an initial investment of 50 million pounds and different cash inflows in five years in the investment appraisal. These projects are assessed using 10 percent discount rate in order to ascertain financial viability, profitability, and conformity to the strategic objectives and value creation of Hyundai in the long term.</w:t>
      </w:r>
    </w:p>
    <w:p w14:paraId="707E3260" w14:textId="77777777" w:rsidR="0082673E" w:rsidRDefault="00CC1805">
      <w:pPr>
        <w:pStyle w:val="Heading2"/>
      </w:pPr>
      <w:bookmarkStart w:id="16" w:name="_Toc227860369"/>
      <w:r>
        <w:t>5.3 Project A</w:t>
      </w:r>
      <w:bookmarkEnd w:id="16"/>
      <w:r>
        <w:t xml:space="preserve"> </w:t>
      </w:r>
    </w:p>
    <w:p w14:paraId="345F79F9" w14:textId="31E163B0" w:rsidR="0082673E" w:rsidRDefault="00CC1805">
      <w:pPr>
        <w:rPr>
          <w:rFonts w:ascii="Arial" w:eastAsia="Arial" w:hAnsi="Arial" w:cs="Arial"/>
        </w:rPr>
      </w:pPr>
      <w:r>
        <w:rPr>
          <w:rFonts w:ascii="Arial" w:eastAsia="Arial" w:hAnsi="Arial" w:cs="Arial"/>
        </w:rPr>
        <w:t>Project A is not a desirable financial project because the NPV is negative, and the NPV is -8.7 million. Though PI is 1.2, indicating marginal returns, there is no recovery of payback period, indicating high risk and poor liquidity recovery. The 2.7% IRR is much lower than the discount rate of 10 percent, which proves poor profitability.</w:t>
      </w:r>
      <w:r w:rsidR="001C57DB">
        <w:rPr>
          <w:rFonts w:ascii="Arial" w:eastAsia="Arial" w:hAnsi="Arial" w:cs="Arial"/>
        </w:rPr>
        <w:t xml:space="preserve"> </w:t>
      </w:r>
      <w:r w:rsidR="001C57DB" w:rsidRPr="001C57DB">
        <w:rPr>
          <w:rFonts w:ascii="Arial" w:eastAsia="Arial" w:hAnsi="Arial" w:cs="Arial"/>
          <w:b/>
          <w:bCs/>
          <w:i/>
          <w:iCs/>
        </w:rPr>
        <w:t>[Referred to Appendix IV]</w:t>
      </w:r>
    </w:p>
    <w:p w14:paraId="4DD70AEA" w14:textId="77777777" w:rsidR="0082673E" w:rsidRDefault="00CC1805">
      <w:pPr>
        <w:pStyle w:val="Heading2"/>
      </w:pPr>
      <w:bookmarkStart w:id="17" w:name="_Toc227860370"/>
      <w:r>
        <w:t>5.4 Project B</w:t>
      </w:r>
      <w:bookmarkEnd w:id="17"/>
      <w:r>
        <w:t xml:space="preserve"> </w:t>
      </w:r>
    </w:p>
    <w:p w14:paraId="4DCA9B75" w14:textId="3C0FFFC4" w:rsidR="0082673E" w:rsidRDefault="00CC1805">
      <w:pPr>
        <w:rPr>
          <w:rFonts w:ascii="Arial" w:eastAsia="Arial" w:hAnsi="Arial" w:cs="Arial"/>
        </w:rPr>
      </w:pPr>
      <w:r>
        <w:rPr>
          <w:rFonts w:ascii="Arial" w:eastAsia="Arial" w:hAnsi="Arial" w:cs="Arial"/>
        </w:rPr>
        <w:t>Project B is also not financially viable, and the NPV is negative (-£8.3 million), which means that it does not pay off the cost of capital. The project does not break even after five years of operation, even though the PI is 1.2. The IRR is 3.3, which is less than the necessary 10 percent underperformance.</w:t>
      </w:r>
      <w:r w:rsidR="001C57DB">
        <w:rPr>
          <w:rFonts w:ascii="Arial" w:eastAsia="Arial" w:hAnsi="Arial" w:cs="Arial"/>
        </w:rPr>
        <w:t xml:space="preserve"> </w:t>
      </w:r>
      <w:r w:rsidR="001C57DB" w:rsidRPr="001C57DB">
        <w:rPr>
          <w:rFonts w:ascii="Arial" w:eastAsia="Arial" w:hAnsi="Arial" w:cs="Arial"/>
          <w:b/>
          <w:bCs/>
          <w:i/>
          <w:iCs/>
        </w:rPr>
        <w:t>[Referred to Appendix IV]</w:t>
      </w:r>
    </w:p>
    <w:p w14:paraId="70BAB948" w14:textId="77777777" w:rsidR="0082673E" w:rsidRDefault="00CC1805">
      <w:pPr>
        <w:pStyle w:val="Heading2"/>
      </w:pPr>
      <w:bookmarkStart w:id="18" w:name="_Toc227860371"/>
      <w:r>
        <w:t>5.5 Project C</w:t>
      </w:r>
      <w:bookmarkEnd w:id="18"/>
      <w:r>
        <w:t xml:space="preserve"> </w:t>
      </w:r>
    </w:p>
    <w:p w14:paraId="466300EF" w14:textId="7312AD2E" w:rsidR="0082673E" w:rsidRDefault="00CC1805">
      <w:pPr>
        <w:rPr>
          <w:rFonts w:ascii="Arial" w:eastAsia="Arial" w:hAnsi="Arial" w:cs="Arial"/>
        </w:rPr>
      </w:pPr>
      <w:r>
        <w:rPr>
          <w:rFonts w:ascii="Arial" w:eastAsia="Arial" w:hAnsi="Arial" w:cs="Arial"/>
        </w:rPr>
        <w:t>Project C is a better performer as it has the lowest negative NPV of -2.0 million, which means that the project loses a small amount of value as compared to the rest. Its IRR is highest at 8.6 percent and ARR of 6.0 percent, indicating greater profitability prospects. Nevertheless, the payback period is yet to be recovered, and the IRR is less than 10%.</w:t>
      </w:r>
      <w:r w:rsidR="001C57DB">
        <w:rPr>
          <w:rFonts w:ascii="Arial" w:eastAsia="Arial" w:hAnsi="Arial" w:cs="Arial"/>
        </w:rPr>
        <w:t xml:space="preserve"> </w:t>
      </w:r>
      <w:r w:rsidR="001C57DB" w:rsidRPr="001C57DB">
        <w:rPr>
          <w:rFonts w:ascii="Arial" w:eastAsia="Arial" w:hAnsi="Arial" w:cs="Arial"/>
          <w:b/>
          <w:bCs/>
          <w:i/>
          <w:iCs/>
        </w:rPr>
        <w:t>[Referred to Appendix IV]</w:t>
      </w:r>
    </w:p>
    <w:p w14:paraId="5F279B60" w14:textId="77777777" w:rsidR="0082673E" w:rsidRDefault="00CC1805">
      <w:pPr>
        <w:pStyle w:val="Heading2"/>
      </w:pPr>
      <w:bookmarkStart w:id="19" w:name="_Toc227860372"/>
      <w:r>
        <w:t>5.6 Recommended Project and Justification</w:t>
      </w:r>
      <w:bookmarkEnd w:id="19"/>
    </w:p>
    <w:p w14:paraId="0D80A7D1" w14:textId="77777777" w:rsidR="0082673E" w:rsidRDefault="00CC1805">
      <w:pPr>
        <w:rPr>
          <w:rFonts w:ascii="Arial" w:eastAsia="Arial" w:hAnsi="Arial" w:cs="Arial"/>
          <w:b/>
          <w:bCs/>
        </w:rPr>
      </w:pPr>
      <w:r>
        <w:rPr>
          <w:rFonts w:ascii="Arial" w:eastAsia="Arial" w:hAnsi="Arial" w:cs="Arial"/>
          <w:b/>
          <w:bCs/>
        </w:rPr>
        <w:t>Recommendation Based on Financial Evaluation</w:t>
      </w:r>
    </w:p>
    <w:p w14:paraId="1BB2ACA8" w14:textId="77777777" w:rsidR="0082673E" w:rsidRDefault="00CC1805">
      <w:pPr>
        <w:rPr>
          <w:rFonts w:ascii="Arial" w:eastAsia="Arial" w:hAnsi="Arial" w:cs="Arial"/>
        </w:rPr>
      </w:pPr>
      <w:r>
        <w:rPr>
          <w:rFonts w:ascii="Arial" w:eastAsia="Arial" w:hAnsi="Arial" w:cs="Arial"/>
        </w:rPr>
        <w:t>Project C is the best alternative among the three possibilities, although the NPV of all these projects is negative. Project C has the least negative NPV of -£2.0 million as compared to Project A (-£8.7 million) and Project B (-£8.3 million), which is the minimum value destruction. It also has the highest IRR of 8.6% and ARR of 6.0 and indicates a relatively better potential of profitability. The IRR is not as close to the 10% discount rate, but it is much closer than the alternatives. Fan (2025) states tha</w:t>
      </w:r>
      <w:r>
        <w:rPr>
          <w:rFonts w:ascii="Arial" w:eastAsia="Arial" w:hAnsi="Arial" w:cs="Arial"/>
        </w:rPr>
        <w:t>t in a situation where all projects have negative NPVs, the project with the lower financial loss and the higher indicators of returns is considered better under tight conditions. Thus, Project C is the most economically feasible.</w:t>
      </w:r>
    </w:p>
    <w:p w14:paraId="3096778F" w14:textId="77777777" w:rsidR="0082673E" w:rsidRDefault="00CC1805">
      <w:pPr>
        <w:rPr>
          <w:rFonts w:ascii="Arial" w:eastAsia="Arial" w:hAnsi="Arial" w:cs="Arial"/>
          <w:b/>
          <w:bCs/>
        </w:rPr>
      </w:pPr>
      <w:r>
        <w:rPr>
          <w:rFonts w:ascii="Arial" w:eastAsia="Arial" w:hAnsi="Arial" w:cs="Arial"/>
          <w:b/>
          <w:bCs/>
        </w:rPr>
        <w:t>Alignment with Financial Performance</w:t>
      </w:r>
    </w:p>
    <w:p w14:paraId="17756A37" w14:textId="18998EBB" w:rsidR="0082673E" w:rsidRDefault="00CC1805">
      <w:pPr>
        <w:rPr>
          <w:rFonts w:ascii="Arial" w:eastAsia="Arial" w:hAnsi="Arial" w:cs="Arial"/>
        </w:rPr>
      </w:pPr>
      <w:r>
        <w:rPr>
          <w:rFonts w:ascii="Arial" w:eastAsia="Arial" w:hAnsi="Arial" w:cs="Arial"/>
        </w:rPr>
        <w:t>The financial performance of Hyundai reflects good growth in profitability and poor performance in cash flow and efficiency, which are indicated by negative operating cash flow ratios and decreasing asset utilisation. It means that capital allocation and prioritisation should be cautious and focus on projects that have less financial risk. The relatively high returns on project C are in line with the aim of Hyundai to be profitable without causing further financial burden. Usodan et al. (2025) underline tha</w:t>
      </w:r>
      <w:r>
        <w:rPr>
          <w:rFonts w:ascii="Arial" w:eastAsia="Arial" w:hAnsi="Arial" w:cs="Arial"/>
        </w:rPr>
        <w:t xml:space="preserve">t companies under liquidity stress need to focus on investments that have a relatively high payoff and less capital risk. The option of choosing Project C will maintain the financial </w:t>
      </w:r>
      <w:r w:rsidR="001C57DB">
        <w:rPr>
          <w:rFonts w:ascii="Arial" w:eastAsia="Arial" w:hAnsi="Arial" w:cs="Arial"/>
        </w:rPr>
        <w:t>stability but</w:t>
      </w:r>
      <w:r>
        <w:rPr>
          <w:rFonts w:ascii="Arial" w:eastAsia="Arial" w:hAnsi="Arial" w:cs="Arial"/>
        </w:rPr>
        <w:t xml:space="preserve"> will still facilitate growth.</w:t>
      </w:r>
    </w:p>
    <w:p w14:paraId="0E787B7A" w14:textId="77777777" w:rsidR="0082673E" w:rsidRDefault="00CC1805">
      <w:pPr>
        <w:rPr>
          <w:rFonts w:ascii="Arial" w:eastAsia="Arial" w:hAnsi="Arial" w:cs="Arial"/>
          <w:b/>
          <w:bCs/>
        </w:rPr>
      </w:pPr>
      <w:r>
        <w:rPr>
          <w:rFonts w:ascii="Arial" w:eastAsia="Arial" w:hAnsi="Arial" w:cs="Arial"/>
          <w:b/>
          <w:bCs/>
        </w:rPr>
        <w:t>Consideration of Non-Financial Risks</w:t>
      </w:r>
    </w:p>
    <w:p w14:paraId="3F25B357" w14:textId="77777777" w:rsidR="0082673E" w:rsidRDefault="00CC1805">
      <w:pPr>
        <w:rPr>
          <w:rFonts w:ascii="Arial" w:eastAsia="Arial" w:hAnsi="Arial" w:cs="Arial"/>
        </w:rPr>
      </w:pPr>
      <w:r>
        <w:rPr>
          <w:rFonts w:ascii="Arial" w:eastAsia="Arial" w:hAnsi="Arial" w:cs="Arial"/>
        </w:rPr>
        <w:t>There are also non-financial risks that justify the choice of Project C. Certain political and regulatory risks affecting the automotive industry have been on the rise, especially concerning environmental policies and the adoption of electric vehicles. The projects that have a greater exposure to risk of investment, like A and B, could be susceptible to regulatory risk and volatility of the market. Also, brand perception and customer loyalty are key factors in the EV market, where innovation and reliability</w:t>
      </w:r>
      <w:r>
        <w:rPr>
          <w:rFonts w:ascii="Arial" w:eastAsia="Arial" w:hAnsi="Arial" w:cs="Arial"/>
        </w:rPr>
        <w:t xml:space="preserve"> are the key drivers of demand. As Ryu and Do (2023) emphasize, strategic investments corresponding to technological development contribute to increased competitiveness and customer confidence. Project C, which has a better return profile, will enable Hyundai to invest more effectively without compromising flexibility to respond to external risks.</w:t>
      </w:r>
    </w:p>
    <w:p w14:paraId="245DD70A" w14:textId="77777777" w:rsidR="0082673E" w:rsidRDefault="00CC1805">
      <w:pPr>
        <w:pStyle w:val="Heading2"/>
      </w:pPr>
      <w:bookmarkStart w:id="20" w:name="_Toc227860373"/>
      <w:r>
        <w:t>5.7 Capital Rationing Decision and Optimal Project Combination</w:t>
      </w:r>
      <w:bookmarkEnd w:id="20"/>
    </w:p>
    <w:p w14:paraId="3F0F6A95" w14:textId="77777777" w:rsidR="0082673E" w:rsidRDefault="00CC1805">
      <w:pPr>
        <w:rPr>
          <w:rFonts w:ascii="Arial" w:eastAsia="Arial" w:hAnsi="Arial" w:cs="Arial"/>
          <w:b/>
          <w:bCs/>
        </w:rPr>
      </w:pPr>
      <w:r>
        <w:rPr>
          <w:rFonts w:ascii="Arial" w:eastAsia="Arial" w:hAnsi="Arial" w:cs="Arial"/>
          <w:b/>
          <w:bCs/>
        </w:rPr>
        <w:t>Evaluation under Capital Constraint</w:t>
      </w:r>
    </w:p>
    <w:p w14:paraId="4D78A8B3" w14:textId="77777777" w:rsidR="0082673E" w:rsidRDefault="00CC1805">
      <w:pPr>
        <w:rPr>
          <w:rFonts w:ascii="Arial" w:eastAsia="Arial" w:hAnsi="Arial" w:cs="Arial"/>
        </w:rPr>
      </w:pPr>
      <w:r>
        <w:rPr>
          <w:rFonts w:ascii="Arial" w:eastAsia="Arial" w:hAnsi="Arial" w:cs="Arial"/>
        </w:rPr>
        <w:t>Hyundai is free to choose two out of the three projects since each project will require 50 million, and there is a maximum investment limit of 100 million. In capital rationing, the aim is to maximise returns and reduce value loss with the given budget. Despite all the projects having negative NPVs, Project C has the lowest negative NPV (-£2.0 million), then Project B (-£8.3 million), and Project A (-£8.7 million). According to Fan (2025), the firms are advised to focus on projects that yield the most retur</w:t>
      </w:r>
      <w:r>
        <w:rPr>
          <w:rFonts w:ascii="Arial" w:eastAsia="Arial" w:hAnsi="Arial" w:cs="Arial"/>
        </w:rPr>
        <w:t>ns in a relative manner under constrained conditions of investment and reduce the level of capital inefficiency. Hence, the best mix would be aimed at minimizing total value destruction and increasing the overall potential of returns.</w:t>
      </w:r>
    </w:p>
    <w:p w14:paraId="28ECBB50" w14:textId="77777777" w:rsidR="0082673E" w:rsidRDefault="00CC1805">
      <w:pPr>
        <w:rPr>
          <w:rFonts w:ascii="Arial" w:eastAsia="Arial" w:hAnsi="Arial" w:cs="Arial"/>
          <w:b/>
          <w:bCs/>
        </w:rPr>
      </w:pPr>
      <w:r>
        <w:rPr>
          <w:rFonts w:ascii="Arial" w:eastAsia="Arial" w:hAnsi="Arial" w:cs="Arial"/>
          <w:b/>
          <w:bCs/>
        </w:rPr>
        <w:t>Recommended Project Combination: B and C</w:t>
      </w:r>
    </w:p>
    <w:p w14:paraId="1CDAAF33" w14:textId="77777777" w:rsidR="0082673E" w:rsidRDefault="00CC1805">
      <w:pPr>
        <w:rPr>
          <w:rFonts w:ascii="Arial" w:eastAsia="Arial" w:hAnsi="Arial" w:cs="Arial"/>
        </w:rPr>
      </w:pPr>
      <w:r>
        <w:rPr>
          <w:rFonts w:ascii="Arial" w:eastAsia="Arial" w:hAnsi="Arial" w:cs="Arial"/>
        </w:rPr>
        <w:t>Project B + Project C is the most appropriate combination. Combined, they lead to a combined NPV of -£10.3 million, slightly more efficient than A and C (-£10.7 million), and slightly less efficient than A and B (-£17.0 million). Also, Project C has the highest IRR (8.6%), ARR (6.0%), and Project B has an average amount of returns, which is 3.3%. The mix is more risk and return efficient than others. This highlights that it is important to combine projects with different risk-return profiles to optimise the</w:t>
      </w:r>
      <w:r>
        <w:rPr>
          <w:rFonts w:ascii="Arial" w:eastAsia="Arial" w:hAnsi="Arial" w:cs="Arial"/>
        </w:rPr>
        <w:t xml:space="preserve"> portfolio and aid in making more effective choices in capital allocation.</w:t>
      </w:r>
    </w:p>
    <w:p w14:paraId="2162DDBA" w14:textId="77777777" w:rsidR="001941B6" w:rsidRDefault="00CC1805" w:rsidP="001941B6">
      <w:pPr>
        <w:rPr>
          <w:rFonts w:ascii="Arial" w:eastAsia="Arial" w:hAnsi="Arial" w:cs="Arial"/>
          <w:b/>
          <w:bCs/>
        </w:rPr>
      </w:pPr>
      <w:r>
        <w:rPr>
          <w:rFonts w:ascii="Arial" w:eastAsia="Arial" w:hAnsi="Arial" w:cs="Arial"/>
          <w:b/>
          <w:bCs/>
        </w:rPr>
        <w:t>Strategic Justification and Risk Consideration</w:t>
      </w:r>
      <w:bookmarkStart w:id="21" w:name="_Toc227860374"/>
    </w:p>
    <w:p w14:paraId="6C649F1E" w14:textId="0C25CE2A" w:rsidR="001941B6" w:rsidRPr="001941B6" w:rsidRDefault="001941B6" w:rsidP="001941B6">
      <w:pPr>
        <w:rPr>
          <w:rFonts w:ascii="Arial" w:eastAsia="Arial" w:hAnsi="Arial" w:cs="Arial"/>
          <w:b/>
          <w:bCs/>
        </w:rPr>
      </w:pPr>
      <w:r w:rsidRPr="001941B6">
        <w:t>Options exist for Projects B and C that can benefit Hyundai's finances, particularly as they relate to liquidity constraints and creating efficient returns on investments. Based upon the negative cash flow trends at Hyundai, investments should be made to get ahead of any further financial impact on the company. Aldubhani et al. (2022) suggest that sound capital allocation is important to maintain liquidity and stability. Also, Project C's relatively strong performance provides a hedge against uncertain outcomes while still having stable, average-return performance from Project B creates a combination of lower risk from both market fluctuation and regulation uncertainty and an overall more balanced and/or sustainable type of investment.</w:t>
      </w:r>
    </w:p>
    <w:p w14:paraId="5B21A3AC" w14:textId="0EBFBA8E" w:rsidR="0082673E" w:rsidRDefault="00CC1805">
      <w:pPr>
        <w:pStyle w:val="Heading1"/>
      </w:pPr>
      <w:r>
        <w:t>6.0 Conclusion</w:t>
      </w:r>
      <w:bookmarkEnd w:id="21"/>
    </w:p>
    <w:p w14:paraId="3490E87C" w14:textId="487A6037" w:rsidR="0082673E" w:rsidRDefault="00BE5A5A">
      <w:pPr>
        <w:rPr>
          <w:rFonts w:ascii="Arial" w:eastAsia="Arial" w:hAnsi="Arial" w:cs="Arial"/>
        </w:rPr>
      </w:pPr>
      <w:r w:rsidRPr="00BE5A5A">
        <w:rPr>
          <w:rFonts w:ascii="Arial" w:eastAsia="Arial" w:hAnsi="Arial" w:cs="Arial"/>
        </w:rPr>
        <w:t>Hyundai Motor Company has demonstrated considerable financial growth and improved profitability over the most recent five years due to an increase in sales, as well as providing great shareholder returns; however, there remain certain uncovered matters such as lower levels of efficiency and poor cash flow results that indicate there are major inefficiencies associated with managing working capital as well as growing operating pressures to succeed in their financial viability in the future. The cash cycle analysis also supports the liquidity issues because of increases in inventory holding days that limit the flexibility of payment. Therefore, it is imperative that Hyundai undertake a major restructuring of its financial framework if they are going to improve their financial position going forward.</w:t>
      </w:r>
      <w:r>
        <w:rPr>
          <w:rFonts w:ascii="Arial" w:eastAsia="Arial" w:hAnsi="Arial" w:cs="Arial"/>
        </w:rPr>
        <w:t xml:space="preserve">The suggested measures, such as the sale of non-core assets, strategic alliances, and capital infusion, are projected to enhance capital efficiency, financial risk reduction, and long-term sustainability. </w:t>
      </w:r>
    </w:p>
    <w:p w14:paraId="36339F36" w14:textId="77777777" w:rsidR="0082673E" w:rsidRDefault="00CC1805">
      <w:pPr>
        <w:rPr>
          <w:rFonts w:ascii="Arial" w:eastAsia="Arial" w:hAnsi="Arial" w:cs="Arial"/>
        </w:rPr>
      </w:pPr>
      <w:r>
        <w:rPr>
          <w:rFonts w:ascii="Arial" w:eastAsia="Arial" w:hAnsi="Arial" w:cs="Arial"/>
        </w:rPr>
        <w:t>Moreover, global and ethical factors like taxation, currency risks, and corporate social responsibility are highly instrumental in making sure that there is globally compliant and responsible financial management. The outcome of the investment appraisal shows that all of the proposed projects have negative NPVs, which shows difficult investment conditions. But Project C turns out to be the most promising as it has comparatively better returns and lesser value destruction. According to capital rationing, the</w:t>
      </w:r>
      <w:r>
        <w:rPr>
          <w:rFonts w:ascii="Arial" w:eastAsia="Arial" w:hAnsi="Arial" w:cs="Arial"/>
        </w:rPr>
        <w:t xml:space="preserve"> Projects B and C combination is the best one since it offers a balanced solution to returns maximisation and financial risk management. All in all, Hyundai is strategically placed to grow over the long term, although it needs to focus on financial discipline, effective use of capital, and strategic decision-making to remain competitive in the changing global car industry.</w:t>
      </w:r>
      <w:r>
        <w:br w:type="page"/>
      </w:r>
    </w:p>
    <w:p w14:paraId="756F9D00" w14:textId="77777777" w:rsidR="0082673E" w:rsidRDefault="00CC1805">
      <w:pPr>
        <w:pStyle w:val="Heading1"/>
      </w:pPr>
      <w:bookmarkStart w:id="22" w:name="_Toc227860375"/>
      <w:r>
        <w:t>7.0 References</w:t>
      </w:r>
      <w:bookmarkEnd w:id="22"/>
    </w:p>
    <w:p w14:paraId="2A9A6169"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Aldubhani, M.A., Wang, J., Gong, T. and Maudhah, R.A., 2022. Impact of working capital management on profitability: evidence from listed companies in Qatar. </w:t>
      </w:r>
      <w:r w:rsidRPr="00036B97">
        <w:rPr>
          <w:rFonts w:ascii="Arial" w:eastAsia="Arial" w:hAnsi="Arial" w:cs="Arial"/>
          <w:i/>
          <w:iCs/>
        </w:rPr>
        <w:t>Journal of Money and Business</w:t>
      </w:r>
      <w:r w:rsidRPr="00036B97">
        <w:rPr>
          <w:rFonts w:ascii="Arial" w:eastAsia="Arial" w:hAnsi="Arial" w:cs="Arial"/>
        </w:rPr>
        <w:t xml:space="preserve">, </w:t>
      </w:r>
      <w:r w:rsidRPr="00036B97">
        <w:rPr>
          <w:rFonts w:ascii="Arial" w:eastAsia="Arial" w:hAnsi="Arial" w:cs="Arial"/>
          <w:i/>
          <w:iCs/>
        </w:rPr>
        <w:t>2</w:t>
      </w:r>
      <w:r w:rsidRPr="00036B97">
        <w:rPr>
          <w:rFonts w:ascii="Arial" w:eastAsia="Arial" w:hAnsi="Arial" w:cs="Arial"/>
        </w:rPr>
        <w:t xml:space="preserve">(1), pp.70-81. </w:t>
      </w:r>
      <w:hyperlink r:id="rId8">
        <w:r w:rsidRPr="00036B97">
          <w:rPr>
            <w:rFonts w:ascii="Arial" w:eastAsia="Arial" w:hAnsi="Arial" w:cs="Arial"/>
            <w:color w:val="1155CC"/>
            <w:u w:val="single"/>
          </w:rPr>
          <w:t>https://www.emerald.com/jmb/article-pdf/2/1/70/1618176/jmb-08-2021-0032.pdf</w:t>
        </w:r>
      </w:hyperlink>
      <w:r w:rsidRPr="00036B97">
        <w:rPr>
          <w:rFonts w:ascii="Arial" w:eastAsia="Arial" w:hAnsi="Arial" w:cs="Arial"/>
        </w:rPr>
        <w:t xml:space="preserve"> </w:t>
      </w:r>
    </w:p>
    <w:p w14:paraId="7F97BC6D"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Andon, P., Baxter, J. and Chua, W.F., 2024. Affect and reason in uncertain accounting settings: The case of capital investment appraisal. </w:t>
      </w:r>
      <w:r w:rsidRPr="00036B97">
        <w:rPr>
          <w:rFonts w:ascii="Arial" w:eastAsia="Arial" w:hAnsi="Arial" w:cs="Arial"/>
          <w:i/>
          <w:iCs/>
        </w:rPr>
        <w:t>Accounting &amp; Finance</w:t>
      </w:r>
      <w:r w:rsidRPr="00036B97">
        <w:rPr>
          <w:rFonts w:ascii="Arial" w:eastAsia="Arial" w:hAnsi="Arial" w:cs="Arial"/>
        </w:rPr>
        <w:t xml:space="preserve">, </w:t>
      </w:r>
      <w:r w:rsidRPr="00036B97">
        <w:rPr>
          <w:rFonts w:ascii="Arial" w:eastAsia="Arial" w:hAnsi="Arial" w:cs="Arial"/>
          <w:i/>
          <w:iCs/>
        </w:rPr>
        <w:t>64</w:t>
      </w:r>
      <w:r w:rsidRPr="00036B97">
        <w:rPr>
          <w:rFonts w:ascii="Arial" w:eastAsia="Arial" w:hAnsi="Arial" w:cs="Arial"/>
        </w:rPr>
        <w:t xml:space="preserve">(2), pp.1439-1470. </w:t>
      </w:r>
      <w:hyperlink r:id="rId9">
        <w:r w:rsidRPr="00036B97">
          <w:rPr>
            <w:rFonts w:ascii="Arial" w:eastAsia="Arial" w:hAnsi="Arial" w:cs="Arial"/>
            <w:color w:val="1155CC"/>
            <w:u w:val="single"/>
          </w:rPr>
          <w:t>https://onlinelibrary.wiley.com/doi/pdfdirect/10.1111/acfi.13185</w:t>
        </w:r>
      </w:hyperlink>
      <w:r w:rsidRPr="00036B97">
        <w:rPr>
          <w:rFonts w:ascii="Arial" w:eastAsia="Arial" w:hAnsi="Arial" w:cs="Arial"/>
        </w:rPr>
        <w:t xml:space="preserve"> </w:t>
      </w:r>
    </w:p>
    <w:p w14:paraId="7B24A624"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Darmansyah, A., Ali, Q. and Parveen, S., 2025. Sophisticated capital budgeting decisions for financial performance and risk management—A tale of two business entities. </w:t>
      </w:r>
      <w:r w:rsidRPr="00036B97">
        <w:rPr>
          <w:rFonts w:ascii="Arial" w:eastAsia="Arial" w:hAnsi="Arial" w:cs="Arial"/>
          <w:i/>
          <w:iCs/>
        </w:rPr>
        <w:t>Journal of Risk and Financial Management</w:t>
      </w:r>
      <w:r w:rsidRPr="00036B97">
        <w:rPr>
          <w:rFonts w:ascii="Arial" w:eastAsia="Arial" w:hAnsi="Arial" w:cs="Arial"/>
        </w:rPr>
        <w:t xml:space="preserve">, </w:t>
      </w:r>
      <w:r w:rsidRPr="00036B97">
        <w:rPr>
          <w:rFonts w:ascii="Arial" w:eastAsia="Arial" w:hAnsi="Arial" w:cs="Arial"/>
          <w:i/>
          <w:iCs/>
        </w:rPr>
        <w:t>18</w:t>
      </w:r>
      <w:r w:rsidRPr="00036B97">
        <w:rPr>
          <w:rFonts w:ascii="Arial" w:eastAsia="Arial" w:hAnsi="Arial" w:cs="Arial"/>
        </w:rPr>
        <w:t xml:space="preserve">(6), p.297. </w:t>
      </w:r>
      <w:hyperlink r:id="rId10">
        <w:r w:rsidRPr="00036B97">
          <w:rPr>
            <w:rFonts w:ascii="Arial" w:eastAsia="Arial" w:hAnsi="Arial" w:cs="Arial"/>
            <w:color w:val="1155CC"/>
            <w:u w:val="single"/>
          </w:rPr>
          <w:t>https://www.mdpi.com/1911-8074/18/6/297</w:t>
        </w:r>
      </w:hyperlink>
      <w:r w:rsidRPr="00036B97">
        <w:rPr>
          <w:rFonts w:ascii="Arial" w:eastAsia="Arial" w:hAnsi="Arial" w:cs="Arial"/>
        </w:rPr>
        <w:t xml:space="preserve"> </w:t>
      </w:r>
    </w:p>
    <w:p w14:paraId="4806BFB8"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Fan, J., 2025. Beyond NPV and IRR: An Integrated Capital Budgeting Rule for Real-World Investment Decisions. </w:t>
      </w:r>
      <w:r w:rsidRPr="00036B97">
        <w:rPr>
          <w:rFonts w:ascii="Arial" w:eastAsia="Arial" w:hAnsi="Arial" w:cs="Arial"/>
          <w:i/>
          <w:iCs/>
        </w:rPr>
        <w:t>Transactions on Economics, Business and Management Research</w:t>
      </w:r>
      <w:r w:rsidRPr="00036B97">
        <w:rPr>
          <w:rFonts w:ascii="Arial" w:eastAsia="Arial" w:hAnsi="Arial" w:cs="Arial"/>
        </w:rPr>
        <w:t xml:space="preserve">, </w:t>
      </w:r>
      <w:r w:rsidRPr="00036B97">
        <w:rPr>
          <w:rFonts w:ascii="Arial" w:eastAsia="Arial" w:hAnsi="Arial" w:cs="Arial"/>
          <w:i/>
          <w:iCs/>
        </w:rPr>
        <w:t>16</w:t>
      </w:r>
      <w:r w:rsidRPr="00036B97">
        <w:rPr>
          <w:rFonts w:ascii="Arial" w:eastAsia="Arial" w:hAnsi="Arial" w:cs="Arial"/>
        </w:rPr>
        <w:t xml:space="preserve">, pp.161-165. </w:t>
      </w:r>
      <w:hyperlink r:id="rId11">
        <w:r w:rsidRPr="00036B97">
          <w:rPr>
            <w:rFonts w:ascii="Arial" w:eastAsia="Arial" w:hAnsi="Arial" w:cs="Arial"/>
            <w:color w:val="1155CC"/>
            <w:u w:val="single"/>
          </w:rPr>
          <w:t>http://tebmr.com/index.php/ojs/article/download/29/27</w:t>
        </w:r>
      </w:hyperlink>
      <w:r w:rsidRPr="00036B97">
        <w:rPr>
          <w:rFonts w:ascii="Arial" w:eastAsia="Arial" w:hAnsi="Arial" w:cs="Arial"/>
        </w:rPr>
        <w:t xml:space="preserve"> </w:t>
      </w:r>
    </w:p>
    <w:p w14:paraId="45F5CD6F"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Habib, A.M., 2022. Does the efficiency of working capital management and environmental, social, and governance performance affect a firm’s value? Evidence from the United States. </w:t>
      </w:r>
      <w:r w:rsidRPr="00036B97">
        <w:rPr>
          <w:rFonts w:ascii="Arial" w:eastAsia="Arial" w:hAnsi="Arial" w:cs="Arial"/>
          <w:i/>
          <w:iCs/>
        </w:rPr>
        <w:t>Financial Markets, Institutions and Risks</w:t>
      </w:r>
      <w:r w:rsidRPr="00036B97">
        <w:rPr>
          <w:rFonts w:ascii="Arial" w:eastAsia="Arial" w:hAnsi="Arial" w:cs="Arial"/>
        </w:rPr>
        <w:t xml:space="preserve">, </w:t>
      </w:r>
      <w:r w:rsidRPr="00036B97">
        <w:rPr>
          <w:rFonts w:ascii="Arial" w:eastAsia="Arial" w:hAnsi="Arial" w:cs="Arial"/>
          <w:i/>
          <w:iCs/>
        </w:rPr>
        <w:t>6</w:t>
      </w:r>
      <w:r w:rsidRPr="00036B97">
        <w:rPr>
          <w:rFonts w:ascii="Arial" w:eastAsia="Arial" w:hAnsi="Arial" w:cs="Arial"/>
        </w:rPr>
        <w:t xml:space="preserve">(3), pp.18-25. </w:t>
      </w:r>
      <w:hyperlink r:id="rId12">
        <w:r w:rsidRPr="00036B97">
          <w:rPr>
            <w:rFonts w:ascii="Arial" w:eastAsia="Arial" w:hAnsi="Arial" w:cs="Arial"/>
            <w:color w:val="1155CC"/>
            <w:u w:val="single"/>
          </w:rPr>
          <w:t>https://sciendo.com/2/v2/download/article/10.21272/fmir.63.18-25.2022.pdf</w:t>
        </w:r>
      </w:hyperlink>
      <w:r w:rsidRPr="00036B97">
        <w:rPr>
          <w:rFonts w:ascii="Arial" w:eastAsia="Arial" w:hAnsi="Arial" w:cs="Arial"/>
        </w:rPr>
        <w:t xml:space="preserve"> </w:t>
      </w:r>
    </w:p>
    <w:p w14:paraId="01D70221"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Hasidi, M.H., Baheri, J. and Hajar, K.I., 2024. Financial performance evaluation using profitability and liquidity ratio analysis. </w:t>
      </w:r>
      <w:r w:rsidRPr="00036B97">
        <w:rPr>
          <w:rFonts w:ascii="Arial" w:eastAsia="Arial" w:hAnsi="Arial" w:cs="Arial"/>
          <w:i/>
          <w:iCs/>
        </w:rPr>
        <w:t>Jurnal Ilmiah Manajemen Kesatuan</w:t>
      </w:r>
      <w:r w:rsidRPr="00036B97">
        <w:rPr>
          <w:rFonts w:ascii="Arial" w:eastAsia="Arial" w:hAnsi="Arial" w:cs="Arial"/>
        </w:rPr>
        <w:t xml:space="preserve">, </w:t>
      </w:r>
      <w:r w:rsidRPr="00036B97">
        <w:rPr>
          <w:rFonts w:ascii="Arial" w:eastAsia="Arial" w:hAnsi="Arial" w:cs="Arial"/>
          <w:i/>
          <w:iCs/>
        </w:rPr>
        <w:t>12</w:t>
      </w:r>
      <w:r w:rsidRPr="00036B97">
        <w:rPr>
          <w:rFonts w:ascii="Arial" w:eastAsia="Arial" w:hAnsi="Arial" w:cs="Arial"/>
        </w:rPr>
        <w:t xml:space="preserve">(4), pp.1347-1358. </w:t>
      </w:r>
      <w:hyperlink r:id="rId13">
        <w:r w:rsidRPr="00036B97">
          <w:rPr>
            <w:rFonts w:ascii="Arial" w:eastAsia="Arial" w:hAnsi="Arial" w:cs="Arial"/>
            <w:color w:val="1155CC"/>
            <w:u w:val="single"/>
          </w:rPr>
          <w:t>https://jurnal.ibik.ac.id/index.php/jimkes/article/download/2742/1966</w:t>
        </w:r>
      </w:hyperlink>
      <w:r w:rsidRPr="00036B97">
        <w:rPr>
          <w:rFonts w:ascii="Arial" w:eastAsia="Arial" w:hAnsi="Arial" w:cs="Arial"/>
        </w:rPr>
        <w:t xml:space="preserve"> </w:t>
      </w:r>
    </w:p>
    <w:p w14:paraId="3079678F"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Hieu, L.Q. and Trang, T.D., 2022. Analysis of Marketing Strategy and Successful Leadership in a Case of Hyundai Motor Company. </w:t>
      </w:r>
      <w:r w:rsidRPr="00036B97">
        <w:rPr>
          <w:rFonts w:ascii="Arial" w:eastAsia="Arial" w:hAnsi="Arial" w:cs="Arial"/>
          <w:i/>
          <w:iCs/>
        </w:rPr>
        <w:t>Mediterranean Journal of Basic and Applied Sciences (MJBAS) Volume</w:t>
      </w:r>
      <w:r w:rsidRPr="00036B97">
        <w:rPr>
          <w:rFonts w:ascii="Arial" w:eastAsia="Arial" w:hAnsi="Arial" w:cs="Arial"/>
        </w:rPr>
        <w:t xml:space="preserve">, </w:t>
      </w:r>
      <w:r w:rsidRPr="00036B97">
        <w:rPr>
          <w:rFonts w:ascii="Arial" w:eastAsia="Arial" w:hAnsi="Arial" w:cs="Arial"/>
          <w:i/>
          <w:iCs/>
        </w:rPr>
        <w:t>6</w:t>
      </w:r>
      <w:r w:rsidRPr="00036B97">
        <w:rPr>
          <w:rFonts w:ascii="Arial" w:eastAsia="Arial" w:hAnsi="Arial" w:cs="Arial"/>
        </w:rPr>
        <w:t xml:space="preserve">, pp.36-47. </w:t>
      </w:r>
      <w:hyperlink r:id="rId14">
        <w:r w:rsidRPr="00036B97">
          <w:rPr>
            <w:rFonts w:ascii="Arial" w:eastAsia="Arial" w:hAnsi="Arial" w:cs="Arial"/>
            <w:color w:val="1155CC"/>
            <w:u w:val="single"/>
          </w:rPr>
          <w:t>https://papers.ssrn.com/sol3/Delivery.cfm?abstractid=4116810</w:t>
        </w:r>
      </w:hyperlink>
      <w:r w:rsidRPr="00036B97">
        <w:rPr>
          <w:rFonts w:ascii="Arial" w:eastAsia="Arial" w:hAnsi="Arial" w:cs="Arial"/>
        </w:rPr>
        <w:t xml:space="preserve"> </w:t>
      </w:r>
    </w:p>
    <w:p w14:paraId="3C869BF0"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Hyundai. 2020.</w:t>
      </w:r>
      <w:r w:rsidRPr="00036B97">
        <w:rPr>
          <w:rFonts w:ascii="Arial" w:eastAsia="Arial" w:hAnsi="Arial" w:cs="Arial"/>
          <w:i/>
          <w:iCs/>
        </w:rPr>
        <w:t xml:space="preserve"> Annual report of HYUNDAI MOTOR COMPANY of 2020. </w:t>
      </w:r>
      <w:r w:rsidRPr="00036B97">
        <w:rPr>
          <w:rFonts w:ascii="Arial" w:eastAsia="Arial" w:hAnsi="Arial" w:cs="Arial"/>
        </w:rPr>
        <w:t xml:space="preserve">Available at: </w:t>
      </w:r>
      <w:hyperlink r:id="rId15">
        <w:r w:rsidRPr="00036B97">
          <w:rPr>
            <w:rFonts w:ascii="Arial" w:eastAsia="Arial" w:hAnsi="Arial" w:cs="Arial"/>
            <w:color w:val="1155CC"/>
            <w:u w:val="single"/>
          </w:rPr>
          <w:t>https://www.annualreports.com/HostedData/AnnualReportArchive/h/OTC_HYMTF_2020.pdf</w:t>
        </w:r>
      </w:hyperlink>
      <w:r w:rsidRPr="00036B97">
        <w:rPr>
          <w:rFonts w:ascii="Arial" w:eastAsia="Arial" w:hAnsi="Arial" w:cs="Arial"/>
        </w:rPr>
        <w:t xml:space="preserve"> [Accessed 22nd April 2026]</w:t>
      </w:r>
    </w:p>
    <w:p w14:paraId="13191F81"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Hyundai. 2021. </w:t>
      </w:r>
      <w:r w:rsidRPr="00036B97">
        <w:rPr>
          <w:rFonts w:ascii="Arial" w:eastAsia="Arial" w:hAnsi="Arial" w:cs="Arial"/>
          <w:i/>
          <w:iCs/>
        </w:rPr>
        <w:t xml:space="preserve">Annual report of HYUNDAI MOTOR COMPANY of 2021. </w:t>
      </w:r>
      <w:r w:rsidRPr="00036B97">
        <w:rPr>
          <w:rFonts w:ascii="Arial" w:eastAsia="Arial" w:hAnsi="Arial" w:cs="Arial"/>
        </w:rPr>
        <w:t xml:space="preserve">Available at: </w:t>
      </w:r>
      <w:hyperlink r:id="rId16">
        <w:r w:rsidRPr="00036B97">
          <w:rPr>
            <w:rFonts w:ascii="Arial" w:eastAsia="Arial" w:hAnsi="Arial" w:cs="Arial"/>
            <w:color w:val="1155CC"/>
            <w:u w:val="single"/>
          </w:rPr>
          <w:t>https://www.annualreports.com/HostedData/AnnualReportArchive/h/OTC_HYMTF_2021.pdf</w:t>
        </w:r>
      </w:hyperlink>
      <w:r w:rsidRPr="00036B97">
        <w:rPr>
          <w:rFonts w:ascii="Arial" w:eastAsia="Arial" w:hAnsi="Arial" w:cs="Arial"/>
        </w:rPr>
        <w:t xml:space="preserve">  [Accessed 22nd April 2026]</w:t>
      </w:r>
    </w:p>
    <w:p w14:paraId="45DA5F1F"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Hyundai. 2022.</w:t>
      </w:r>
      <w:r w:rsidRPr="00036B97">
        <w:rPr>
          <w:rFonts w:ascii="Arial" w:eastAsia="Arial" w:hAnsi="Arial" w:cs="Arial"/>
          <w:i/>
          <w:iCs/>
        </w:rPr>
        <w:t xml:space="preserve"> Annual report of HYUNDAI MOTOR COMPANY of 2022. </w:t>
      </w:r>
      <w:r w:rsidRPr="00036B97">
        <w:rPr>
          <w:rFonts w:ascii="Arial" w:eastAsia="Arial" w:hAnsi="Arial" w:cs="Arial"/>
        </w:rPr>
        <w:t xml:space="preserve">Available at: </w:t>
      </w:r>
      <w:hyperlink r:id="rId17">
        <w:r w:rsidRPr="00036B97">
          <w:rPr>
            <w:rFonts w:ascii="Arial" w:eastAsia="Arial" w:hAnsi="Arial" w:cs="Arial"/>
            <w:color w:val="1155CC"/>
            <w:u w:val="single"/>
          </w:rPr>
          <w:t>https://www.annualreports.com/HostedData/AnnualReportArchive/h/OTC_HYMTF_2022.pdf</w:t>
        </w:r>
      </w:hyperlink>
      <w:r w:rsidRPr="00036B97">
        <w:rPr>
          <w:rFonts w:ascii="Arial" w:eastAsia="Arial" w:hAnsi="Arial" w:cs="Arial"/>
        </w:rPr>
        <w:t xml:space="preserve">  [Accessed 22nd April 2026]</w:t>
      </w:r>
    </w:p>
    <w:p w14:paraId="657FF822"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Hyundai. 2023.</w:t>
      </w:r>
      <w:r w:rsidRPr="00036B97">
        <w:rPr>
          <w:rFonts w:ascii="Arial" w:eastAsia="Arial" w:hAnsi="Arial" w:cs="Arial"/>
          <w:i/>
          <w:iCs/>
        </w:rPr>
        <w:t xml:space="preserve"> Annual report of HYUNDAI MOTOR COMPANY of 2023. </w:t>
      </w:r>
      <w:r w:rsidRPr="00036B97">
        <w:rPr>
          <w:rFonts w:ascii="Arial" w:eastAsia="Arial" w:hAnsi="Arial" w:cs="Arial"/>
        </w:rPr>
        <w:t xml:space="preserve">Available at: </w:t>
      </w:r>
      <w:hyperlink r:id="rId18">
        <w:r w:rsidRPr="00036B97">
          <w:rPr>
            <w:rFonts w:ascii="Arial" w:eastAsia="Arial" w:hAnsi="Arial" w:cs="Arial"/>
            <w:color w:val="1155CC"/>
            <w:u w:val="single"/>
          </w:rPr>
          <w:t>https://www.annualreports.com/HostedData/AnnualReportArchive/h/OTC_HYMTF_2023.pdf</w:t>
        </w:r>
      </w:hyperlink>
      <w:r w:rsidRPr="00036B97">
        <w:rPr>
          <w:rFonts w:ascii="Arial" w:eastAsia="Arial" w:hAnsi="Arial" w:cs="Arial"/>
        </w:rPr>
        <w:t xml:space="preserve">  [Accessed 22nd April 2026]</w:t>
      </w:r>
    </w:p>
    <w:p w14:paraId="795F2250"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Hyundai. 2024. </w:t>
      </w:r>
      <w:r w:rsidRPr="00036B97">
        <w:rPr>
          <w:rFonts w:ascii="Arial" w:eastAsia="Arial" w:hAnsi="Arial" w:cs="Arial"/>
          <w:i/>
          <w:iCs/>
        </w:rPr>
        <w:t xml:space="preserve">Annual report of HYUNDAI MOTOR COMPANY of 2024. </w:t>
      </w:r>
      <w:r w:rsidRPr="00036B97">
        <w:rPr>
          <w:rFonts w:ascii="Arial" w:eastAsia="Arial" w:hAnsi="Arial" w:cs="Arial"/>
        </w:rPr>
        <w:t xml:space="preserve">Available at: </w:t>
      </w:r>
      <w:hyperlink r:id="rId19">
        <w:r w:rsidRPr="00036B97">
          <w:rPr>
            <w:rFonts w:ascii="Arial" w:eastAsia="Arial" w:hAnsi="Arial" w:cs="Arial"/>
            <w:color w:val="1155CC"/>
            <w:u w:val="single"/>
          </w:rPr>
          <w:t>https://www.annualreports.com/HostedData/AnnualReports/PDF/OTC_HYMTF_2024.pdf</w:t>
        </w:r>
      </w:hyperlink>
      <w:r w:rsidRPr="00036B97">
        <w:rPr>
          <w:rFonts w:ascii="Arial" w:eastAsia="Arial" w:hAnsi="Arial" w:cs="Arial"/>
        </w:rPr>
        <w:t xml:space="preserve"> [Accessed 22nd April 2026]</w:t>
      </w:r>
    </w:p>
    <w:p w14:paraId="51B461D4"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Hyundai. 2026.</w:t>
      </w:r>
      <w:r w:rsidRPr="00036B97">
        <w:rPr>
          <w:rFonts w:ascii="Arial" w:eastAsia="Arial" w:hAnsi="Arial" w:cs="Arial"/>
          <w:i/>
          <w:iCs/>
        </w:rPr>
        <w:t xml:space="preserve"> Corporate Governance - Hyundai India. </w:t>
      </w:r>
      <w:r w:rsidRPr="00036B97">
        <w:rPr>
          <w:rFonts w:ascii="Arial" w:eastAsia="Arial" w:hAnsi="Arial" w:cs="Arial"/>
        </w:rPr>
        <w:t xml:space="preserve">Available at: </w:t>
      </w:r>
      <w:hyperlink r:id="rId20">
        <w:r w:rsidRPr="00036B97">
          <w:rPr>
            <w:rFonts w:ascii="Arial" w:eastAsia="Arial" w:hAnsi="Arial" w:cs="Arial"/>
            <w:color w:val="1155CC"/>
            <w:u w:val="single"/>
          </w:rPr>
          <w:t>https://www.hyundai.com/in/en/investor-relations/corporate-governance/committees</w:t>
        </w:r>
      </w:hyperlink>
      <w:r w:rsidRPr="00036B97">
        <w:rPr>
          <w:rFonts w:ascii="Arial" w:eastAsia="Arial" w:hAnsi="Arial" w:cs="Arial"/>
        </w:rPr>
        <w:t xml:space="preserve">  [Accessed 22nd April 2026]</w:t>
      </w:r>
    </w:p>
    <w:p w14:paraId="1019EB25"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Jacobs, A.J., 2023. Hyundai Motor: Asian Crisis Through Global Recession, 1997–2010. In </w:t>
      </w:r>
      <w:r w:rsidRPr="00036B97">
        <w:rPr>
          <w:rFonts w:ascii="Arial" w:eastAsia="Arial" w:hAnsi="Arial" w:cs="Arial"/>
          <w:i/>
          <w:iCs/>
        </w:rPr>
        <w:t>The Korean Automotive Industry, Volume 2: Asian Crisis to Today, 1997–2020</w:t>
      </w:r>
      <w:r w:rsidRPr="00036B97">
        <w:rPr>
          <w:rFonts w:ascii="Arial" w:eastAsia="Arial" w:hAnsi="Arial" w:cs="Arial"/>
        </w:rPr>
        <w:t xml:space="preserve"> (pp. 233-268). Cham: Springer International Publishing. </w:t>
      </w:r>
      <w:hyperlink r:id="rId21">
        <w:r w:rsidRPr="00036B97">
          <w:rPr>
            <w:rFonts w:ascii="Arial" w:eastAsia="Arial" w:hAnsi="Arial" w:cs="Arial"/>
            <w:color w:val="1155CC"/>
            <w:u w:val="single"/>
          </w:rPr>
          <w:t>https://link.springer.com/chapter/10.1007/978-3-031-36453-2_8</w:t>
        </w:r>
      </w:hyperlink>
      <w:r w:rsidRPr="00036B97">
        <w:rPr>
          <w:rFonts w:ascii="Arial" w:eastAsia="Arial" w:hAnsi="Arial" w:cs="Arial"/>
        </w:rPr>
        <w:t xml:space="preserve"> </w:t>
      </w:r>
    </w:p>
    <w:p w14:paraId="4D5E97D9"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Mehmood, A. and De Luca, F., 2025. Financial distress prediction in private firms: developing a model for troubled debt restructuring. </w:t>
      </w:r>
      <w:r w:rsidRPr="00036B97">
        <w:rPr>
          <w:rFonts w:ascii="Arial" w:eastAsia="Arial" w:hAnsi="Arial" w:cs="Arial"/>
          <w:i/>
          <w:iCs/>
        </w:rPr>
        <w:t>Journal of Applied Accounting Research</w:t>
      </w:r>
      <w:r w:rsidRPr="00036B97">
        <w:rPr>
          <w:rFonts w:ascii="Arial" w:eastAsia="Arial" w:hAnsi="Arial" w:cs="Arial"/>
        </w:rPr>
        <w:t xml:space="preserve">, </w:t>
      </w:r>
      <w:r w:rsidRPr="00036B97">
        <w:rPr>
          <w:rFonts w:ascii="Arial" w:eastAsia="Arial" w:hAnsi="Arial" w:cs="Arial"/>
          <w:i/>
          <w:iCs/>
        </w:rPr>
        <w:t>26</w:t>
      </w:r>
      <w:r w:rsidRPr="00036B97">
        <w:rPr>
          <w:rFonts w:ascii="Arial" w:eastAsia="Arial" w:hAnsi="Arial" w:cs="Arial"/>
        </w:rPr>
        <w:t xml:space="preserve">(6), pp.205-222. </w:t>
      </w:r>
      <w:hyperlink r:id="rId22">
        <w:r w:rsidRPr="00036B97">
          <w:rPr>
            <w:rFonts w:ascii="Arial" w:eastAsia="Arial" w:hAnsi="Arial" w:cs="Arial"/>
            <w:color w:val="1155CC"/>
            <w:u w:val="single"/>
          </w:rPr>
          <w:t>https://www.emerald.com/jaar/article-pdf/26/6/205/9873185/jaar-12-2022-0325.pdf</w:t>
        </w:r>
      </w:hyperlink>
      <w:r w:rsidRPr="00036B97">
        <w:rPr>
          <w:rFonts w:ascii="Arial" w:eastAsia="Arial" w:hAnsi="Arial" w:cs="Arial"/>
        </w:rPr>
        <w:t xml:space="preserve"> </w:t>
      </w:r>
    </w:p>
    <w:p w14:paraId="40F43C85"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Nie, E., 2024. KP snack financial statement and ratio analysis. In </w:t>
      </w:r>
      <w:r w:rsidRPr="00036B97">
        <w:rPr>
          <w:rFonts w:ascii="Arial" w:eastAsia="Arial" w:hAnsi="Arial" w:cs="Arial"/>
          <w:i/>
          <w:iCs/>
        </w:rPr>
        <w:t>SHS Web of Conferences</w:t>
      </w:r>
      <w:r w:rsidRPr="00036B97">
        <w:rPr>
          <w:rFonts w:ascii="Arial" w:eastAsia="Arial" w:hAnsi="Arial" w:cs="Arial"/>
        </w:rPr>
        <w:t xml:space="preserve"> (Vol. 181, p. 02019). EDP Sciences. </w:t>
      </w:r>
      <w:hyperlink r:id="rId23">
        <w:r w:rsidRPr="00036B97">
          <w:rPr>
            <w:rFonts w:ascii="Arial" w:eastAsia="Arial" w:hAnsi="Arial" w:cs="Arial"/>
            <w:color w:val="1155CC"/>
            <w:u w:val="single"/>
          </w:rPr>
          <w:t>https://www.shs-conferences.org/articles/shsconf/pdf/2024/01/shsconf_icdeba2023_02019.pdf</w:t>
        </w:r>
      </w:hyperlink>
      <w:r w:rsidRPr="00036B97">
        <w:rPr>
          <w:rFonts w:ascii="Arial" w:eastAsia="Arial" w:hAnsi="Arial" w:cs="Arial"/>
        </w:rPr>
        <w:t xml:space="preserve"> </w:t>
      </w:r>
    </w:p>
    <w:p w14:paraId="74C2883D"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Ryu, C. and Do, S., 2023. A Method for Managing Software Assets in the Automotive Industry (Focusing on the Case of Hyundai Motor Company and Parts Makers). </w:t>
      </w:r>
      <w:r w:rsidRPr="00036B97">
        <w:rPr>
          <w:rFonts w:ascii="Arial" w:eastAsia="Arial" w:hAnsi="Arial" w:cs="Arial"/>
          <w:i/>
          <w:iCs/>
        </w:rPr>
        <w:t>Applied Sciences</w:t>
      </w:r>
      <w:r w:rsidRPr="00036B97">
        <w:rPr>
          <w:rFonts w:ascii="Arial" w:eastAsia="Arial" w:hAnsi="Arial" w:cs="Arial"/>
        </w:rPr>
        <w:t xml:space="preserve">, </w:t>
      </w:r>
      <w:r w:rsidRPr="00036B97">
        <w:rPr>
          <w:rFonts w:ascii="Arial" w:eastAsia="Arial" w:hAnsi="Arial" w:cs="Arial"/>
          <w:i/>
          <w:iCs/>
        </w:rPr>
        <w:t>13</w:t>
      </w:r>
      <w:r w:rsidRPr="00036B97">
        <w:rPr>
          <w:rFonts w:ascii="Arial" w:eastAsia="Arial" w:hAnsi="Arial" w:cs="Arial"/>
        </w:rPr>
        <w:t xml:space="preserve">(7), p.4174. </w:t>
      </w:r>
      <w:hyperlink r:id="rId24">
        <w:r w:rsidRPr="00036B97">
          <w:rPr>
            <w:rFonts w:ascii="Arial" w:eastAsia="Arial" w:hAnsi="Arial" w:cs="Arial"/>
            <w:color w:val="1155CC"/>
            <w:u w:val="single"/>
          </w:rPr>
          <w:t>https://www.mdpi.com/2076-3417/13/7/4174</w:t>
        </w:r>
      </w:hyperlink>
      <w:r w:rsidRPr="00036B97">
        <w:rPr>
          <w:rFonts w:ascii="Arial" w:eastAsia="Arial" w:hAnsi="Arial" w:cs="Arial"/>
        </w:rPr>
        <w:t xml:space="preserve"> </w:t>
      </w:r>
    </w:p>
    <w:p w14:paraId="65F188C4"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Shaila, S., Setyaningsih, E.D. and Islami, V., 2025. Business Feasibility Analysis of RBT Wedding Decoration Using the Payback Period (PP) and Profitability Index (PI) Methods. </w:t>
      </w:r>
      <w:r w:rsidRPr="00036B97">
        <w:rPr>
          <w:rFonts w:ascii="Arial" w:eastAsia="Arial" w:hAnsi="Arial" w:cs="Arial"/>
          <w:i/>
          <w:iCs/>
        </w:rPr>
        <w:t>Jurnal Multidisiplin Sahombu</w:t>
      </w:r>
      <w:r w:rsidRPr="00036B97">
        <w:rPr>
          <w:rFonts w:ascii="Arial" w:eastAsia="Arial" w:hAnsi="Arial" w:cs="Arial"/>
        </w:rPr>
        <w:t xml:space="preserve">, </w:t>
      </w:r>
      <w:r w:rsidRPr="00036B97">
        <w:rPr>
          <w:rFonts w:ascii="Arial" w:eastAsia="Arial" w:hAnsi="Arial" w:cs="Arial"/>
          <w:i/>
          <w:iCs/>
        </w:rPr>
        <w:t>5</w:t>
      </w:r>
      <w:r w:rsidRPr="00036B97">
        <w:rPr>
          <w:rFonts w:ascii="Arial" w:eastAsia="Arial" w:hAnsi="Arial" w:cs="Arial"/>
        </w:rPr>
        <w:t xml:space="preserve">(5), pp.1388-1401. </w:t>
      </w:r>
      <w:hyperlink r:id="rId25">
        <w:r w:rsidRPr="00036B97">
          <w:rPr>
            <w:rFonts w:ascii="Arial" w:eastAsia="Arial" w:hAnsi="Arial" w:cs="Arial"/>
            <w:color w:val="1155CC"/>
            <w:u w:val="single"/>
          </w:rPr>
          <w:t>https://ejournal.seaninstitute.or.id/index.php/JMS/article/download/7114/5403</w:t>
        </w:r>
      </w:hyperlink>
      <w:r w:rsidRPr="00036B97">
        <w:rPr>
          <w:rFonts w:ascii="Arial" w:eastAsia="Arial" w:hAnsi="Arial" w:cs="Arial"/>
        </w:rPr>
        <w:t xml:space="preserve"> </w:t>
      </w:r>
    </w:p>
    <w:p w14:paraId="7E18A3BC"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Usodan, A.K.M., Jalal, F.D.H., Bandera, A.D. and Usman-Macadaag, O.M., 2025. Making the Right Choice: A Literature-Based Analysis on Investment Appraisal. </w:t>
      </w:r>
      <w:r w:rsidRPr="00036B97">
        <w:rPr>
          <w:rFonts w:ascii="Arial" w:eastAsia="Arial" w:hAnsi="Arial" w:cs="Arial"/>
          <w:i/>
          <w:iCs/>
        </w:rPr>
        <w:t>International Research Journal of Economics and Management Studies IRJEMS</w:t>
      </w:r>
      <w:r w:rsidRPr="00036B97">
        <w:rPr>
          <w:rFonts w:ascii="Arial" w:eastAsia="Arial" w:hAnsi="Arial" w:cs="Arial"/>
        </w:rPr>
        <w:t xml:space="preserve">, </w:t>
      </w:r>
      <w:r w:rsidRPr="00036B97">
        <w:rPr>
          <w:rFonts w:ascii="Arial" w:eastAsia="Arial" w:hAnsi="Arial" w:cs="Arial"/>
          <w:i/>
          <w:iCs/>
        </w:rPr>
        <w:t>4</w:t>
      </w:r>
      <w:r w:rsidRPr="00036B97">
        <w:rPr>
          <w:rFonts w:ascii="Arial" w:eastAsia="Arial" w:hAnsi="Arial" w:cs="Arial"/>
        </w:rPr>
        <w:t xml:space="preserve">(11). </w:t>
      </w:r>
      <w:hyperlink r:id="rId26">
        <w:r w:rsidRPr="00036B97">
          <w:rPr>
            <w:rFonts w:ascii="Arial" w:eastAsia="Arial" w:hAnsi="Arial" w:cs="Arial"/>
            <w:color w:val="1155CC"/>
            <w:u w:val="single"/>
          </w:rPr>
          <w:t>https://irjems.org/Volume-4-Issue-11/IRJEMS-V4I11P113.pdf</w:t>
        </w:r>
      </w:hyperlink>
      <w:r w:rsidRPr="00036B97">
        <w:rPr>
          <w:rFonts w:ascii="Arial" w:eastAsia="Arial" w:hAnsi="Arial" w:cs="Arial"/>
        </w:rPr>
        <w:t xml:space="preserve"> </w:t>
      </w:r>
    </w:p>
    <w:p w14:paraId="124E7004" w14:textId="77777777" w:rsidR="006D24DF" w:rsidRPr="00036B97" w:rsidRDefault="006D24DF" w:rsidP="00036B97">
      <w:pPr>
        <w:pStyle w:val="ListParagraph"/>
        <w:numPr>
          <w:ilvl w:val="0"/>
          <w:numId w:val="1"/>
        </w:numPr>
        <w:rPr>
          <w:rFonts w:ascii="Arial" w:eastAsia="Arial" w:hAnsi="Arial" w:cs="Arial"/>
        </w:rPr>
      </w:pPr>
      <w:r w:rsidRPr="00036B97">
        <w:rPr>
          <w:rFonts w:ascii="Arial" w:eastAsia="Arial" w:hAnsi="Arial" w:cs="Arial"/>
        </w:rPr>
        <w:t xml:space="preserve">Zheng, X., Zhou, Y. and Iqbal, S., 2022. Working capital management of SMEs in COVID-19: role of managerial personality traits and overconfidence behavior. </w:t>
      </w:r>
      <w:r w:rsidRPr="00036B97">
        <w:rPr>
          <w:rFonts w:ascii="Arial" w:eastAsia="Arial" w:hAnsi="Arial" w:cs="Arial"/>
          <w:i/>
          <w:iCs/>
        </w:rPr>
        <w:t>Economic Analysis and Policy</w:t>
      </w:r>
      <w:r w:rsidRPr="00036B97">
        <w:rPr>
          <w:rFonts w:ascii="Arial" w:eastAsia="Arial" w:hAnsi="Arial" w:cs="Arial"/>
        </w:rPr>
        <w:t xml:space="preserve">, </w:t>
      </w:r>
      <w:r w:rsidRPr="00036B97">
        <w:rPr>
          <w:rFonts w:ascii="Arial" w:eastAsia="Arial" w:hAnsi="Arial" w:cs="Arial"/>
          <w:i/>
          <w:iCs/>
        </w:rPr>
        <w:t>76</w:t>
      </w:r>
      <w:r w:rsidRPr="00036B97">
        <w:rPr>
          <w:rFonts w:ascii="Arial" w:eastAsia="Arial" w:hAnsi="Arial" w:cs="Arial"/>
        </w:rPr>
        <w:t xml:space="preserve">, pp.439-451. </w:t>
      </w:r>
      <w:hyperlink r:id="rId27">
        <w:r w:rsidRPr="00036B97">
          <w:rPr>
            <w:rFonts w:ascii="Arial" w:eastAsia="Arial" w:hAnsi="Arial" w:cs="Arial"/>
            <w:color w:val="1155CC"/>
            <w:u w:val="single"/>
          </w:rPr>
          <w:t>https://www.sciencedirect.com/science/article/pii/S0313592622001230</w:t>
        </w:r>
      </w:hyperlink>
      <w:r w:rsidRPr="00036B97">
        <w:rPr>
          <w:rFonts w:ascii="Arial" w:eastAsia="Arial" w:hAnsi="Arial" w:cs="Arial"/>
        </w:rPr>
        <w:t xml:space="preserve"> </w:t>
      </w:r>
    </w:p>
    <w:p w14:paraId="47E34022" w14:textId="77777777" w:rsidR="0082673E" w:rsidRPr="00036B97" w:rsidRDefault="00CC1805" w:rsidP="00036B97">
      <w:pPr>
        <w:pStyle w:val="ListParagraph"/>
        <w:numPr>
          <w:ilvl w:val="0"/>
          <w:numId w:val="1"/>
        </w:numPr>
        <w:rPr>
          <w:rFonts w:ascii="Arial" w:eastAsia="Arial" w:hAnsi="Arial" w:cs="Arial"/>
        </w:rPr>
      </w:pPr>
      <w:r>
        <w:br w:type="page"/>
      </w:r>
    </w:p>
    <w:p w14:paraId="74203CE7" w14:textId="77777777" w:rsidR="0082673E" w:rsidRDefault="00CC1805">
      <w:pPr>
        <w:pStyle w:val="Heading1"/>
      </w:pPr>
      <w:bookmarkStart w:id="23" w:name="_Toc227860376"/>
      <w:r>
        <w:t>8.0 Appendices</w:t>
      </w:r>
      <w:bookmarkEnd w:id="23"/>
    </w:p>
    <w:p w14:paraId="13CD60FB" w14:textId="77777777" w:rsidR="0082673E" w:rsidRDefault="00CC1805">
      <w:pPr>
        <w:pStyle w:val="Heading2"/>
      </w:pPr>
      <w:bookmarkStart w:id="24" w:name="_Toc227860377"/>
      <w:r>
        <w:t>Appendix I: Ratio Tables</w:t>
      </w:r>
      <w:bookmarkEnd w:id="24"/>
      <w:r>
        <w:t xml:space="preserve"> </w:t>
      </w:r>
    </w:p>
    <w:tbl>
      <w:tblPr>
        <w:tblW w:w="5000" w:type="pct"/>
        <w:jc w:val="center"/>
        <w:tblLook w:val="04A0" w:firstRow="1" w:lastRow="0" w:firstColumn="1" w:lastColumn="0" w:noHBand="0" w:noVBand="1"/>
      </w:tblPr>
      <w:tblGrid>
        <w:gridCol w:w="2182"/>
        <w:gridCol w:w="1318"/>
        <w:gridCol w:w="1062"/>
        <w:gridCol w:w="1062"/>
        <w:gridCol w:w="1062"/>
        <w:gridCol w:w="1062"/>
        <w:gridCol w:w="1062"/>
        <w:gridCol w:w="219"/>
      </w:tblGrid>
      <w:tr w:rsidR="001C57DB" w:rsidRPr="001C57DB" w14:paraId="01F685E0" w14:textId="77777777" w:rsidTr="001C57DB">
        <w:trPr>
          <w:gridAfter w:val="1"/>
          <w:wAfter w:w="51" w:type="pct"/>
          <w:trHeight w:val="894"/>
          <w:jc w:val="center"/>
        </w:trPr>
        <w:tc>
          <w:tcPr>
            <w:tcW w:w="4949" w:type="pct"/>
            <w:gridSpan w:val="7"/>
            <w:vMerge w:val="restart"/>
            <w:tcBorders>
              <w:top w:val="nil"/>
              <w:left w:val="nil"/>
              <w:bottom w:val="nil"/>
              <w:right w:val="nil"/>
            </w:tcBorders>
            <w:shd w:val="clear" w:color="000000" w:fill="A6C9EC"/>
            <w:noWrap/>
            <w:vAlign w:val="center"/>
            <w:hideMark/>
          </w:tcPr>
          <w:p w14:paraId="051140F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"Profitability Ratio"</w:t>
            </w:r>
          </w:p>
        </w:tc>
      </w:tr>
      <w:tr w:rsidR="001C57DB" w:rsidRPr="001C57DB" w14:paraId="4D6010B4" w14:textId="77777777" w:rsidTr="001C57DB">
        <w:trPr>
          <w:trHeight w:val="288"/>
          <w:jc w:val="center"/>
        </w:trPr>
        <w:tc>
          <w:tcPr>
            <w:tcW w:w="4949" w:type="pct"/>
            <w:gridSpan w:val="7"/>
            <w:vMerge/>
            <w:tcBorders>
              <w:top w:val="nil"/>
              <w:left w:val="nil"/>
              <w:bottom w:val="nil"/>
              <w:right w:val="nil"/>
            </w:tcBorders>
            <w:vAlign w:val="center"/>
            <w:hideMark/>
          </w:tcPr>
          <w:p w14:paraId="697A87B0"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1CB45651"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3F1590D5" w14:textId="77777777" w:rsidTr="001C57DB">
        <w:trPr>
          <w:trHeight w:val="288"/>
          <w:jc w:val="center"/>
        </w:trPr>
        <w:tc>
          <w:tcPr>
            <w:tcW w:w="4949" w:type="pct"/>
            <w:gridSpan w:val="7"/>
            <w:vMerge/>
            <w:tcBorders>
              <w:top w:val="nil"/>
              <w:left w:val="nil"/>
              <w:bottom w:val="nil"/>
              <w:right w:val="nil"/>
            </w:tcBorders>
            <w:vAlign w:val="center"/>
            <w:hideMark/>
          </w:tcPr>
          <w:p w14:paraId="796DBAD4"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01A5575F" w14:textId="77777777" w:rsidR="001C57DB" w:rsidRPr="001C57DB" w:rsidRDefault="001C57DB" w:rsidP="001C57DB">
            <w:pPr>
              <w:spacing w:before="0" w:after="0" w:line="240" w:lineRule="auto"/>
              <w:jc w:val="left"/>
              <w:rPr>
                <w:sz w:val="20"/>
                <w:szCs w:val="20"/>
                <w:lang w:val="en-IN"/>
              </w:rPr>
            </w:pPr>
          </w:p>
        </w:tc>
      </w:tr>
      <w:tr w:rsidR="001C57DB" w:rsidRPr="001C57DB" w14:paraId="53ADD692" w14:textId="77777777" w:rsidTr="001C57DB">
        <w:trPr>
          <w:trHeight w:val="312"/>
          <w:jc w:val="center"/>
        </w:trPr>
        <w:tc>
          <w:tcPr>
            <w:tcW w:w="4949" w:type="pct"/>
            <w:gridSpan w:val="7"/>
            <w:tcBorders>
              <w:top w:val="nil"/>
              <w:left w:val="nil"/>
              <w:bottom w:val="nil"/>
              <w:right w:val="nil"/>
            </w:tcBorders>
            <w:shd w:val="clear" w:color="000000" w:fill="DAE9F8"/>
            <w:noWrap/>
            <w:vAlign w:val="bottom"/>
            <w:hideMark/>
          </w:tcPr>
          <w:p w14:paraId="3962137F"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"ROCE"</w:t>
            </w:r>
          </w:p>
        </w:tc>
        <w:tc>
          <w:tcPr>
            <w:tcW w:w="51" w:type="pct"/>
            <w:vAlign w:val="center"/>
            <w:hideMark/>
          </w:tcPr>
          <w:p w14:paraId="0292C575" w14:textId="77777777" w:rsidR="001C57DB" w:rsidRPr="001C57DB" w:rsidRDefault="001C57DB" w:rsidP="001C57DB">
            <w:pPr>
              <w:spacing w:before="0" w:after="0" w:line="240" w:lineRule="auto"/>
              <w:jc w:val="left"/>
              <w:rPr>
                <w:sz w:val="20"/>
                <w:szCs w:val="20"/>
                <w:lang w:val="en-IN"/>
              </w:rPr>
            </w:pPr>
          </w:p>
        </w:tc>
      </w:tr>
      <w:tr w:rsidR="001C57DB" w:rsidRPr="001C57DB" w14:paraId="1B6C0F7B"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4F0D7A4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5319D5F4"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2131E6C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126E504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2D0AAFA7"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0E0156D0"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646C256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23E4CBD2" w14:textId="77777777" w:rsidR="001C57DB" w:rsidRPr="001C57DB" w:rsidRDefault="001C57DB" w:rsidP="001C57DB">
            <w:pPr>
              <w:spacing w:before="0" w:after="0" w:line="240" w:lineRule="auto"/>
              <w:jc w:val="left"/>
              <w:rPr>
                <w:sz w:val="20"/>
                <w:szCs w:val="20"/>
                <w:lang w:val="en-IN"/>
              </w:rPr>
            </w:pPr>
          </w:p>
        </w:tc>
      </w:tr>
      <w:tr w:rsidR="001C57DB" w:rsidRPr="001C57DB" w14:paraId="1555B755"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B9AB38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"EBIT"</w:t>
            </w:r>
          </w:p>
        </w:tc>
        <w:tc>
          <w:tcPr>
            <w:tcW w:w="1340" w:type="pct"/>
            <w:vMerge w:val="restart"/>
            <w:tcBorders>
              <w:top w:val="nil"/>
              <w:left w:val="nil"/>
              <w:bottom w:val="nil"/>
              <w:right w:val="nil"/>
            </w:tcBorders>
            <w:shd w:val="clear" w:color="000000" w:fill="FFFFFF"/>
            <w:vAlign w:val="center"/>
            <w:hideMark/>
          </w:tcPr>
          <w:p w14:paraId="18E5433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"EBIT / (Total Assets − Current Liabilities)*100"</w:t>
            </w:r>
          </w:p>
        </w:tc>
        <w:tc>
          <w:tcPr>
            <w:tcW w:w="494" w:type="pct"/>
            <w:tcBorders>
              <w:top w:val="nil"/>
              <w:left w:val="nil"/>
              <w:bottom w:val="nil"/>
              <w:right w:val="nil"/>
            </w:tcBorders>
            <w:shd w:val="clear" w:color="000000" w:fill="FFFFFF"/>
            <w:noWrap/>
            <w:vAlign w:val="bottom"/>
            <w:hideMark/>
          </w:tcPr>
          <w:p w14:paraId="2E4F74C9"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1,77,81,436 </w:t>
            </w:r>
          </w:p>
        </w:tc>
        <w:tc>
          <w:tcPr>
            <w:tcW w:w="494" w:type="pct"/>
            <w:tcBorders>
              <w:top w:val="nil"/>
              <w:left w:val="nil"/>
              <w:bottom w:val="nil"/>
              <w:right w:val="nil"/>
            </w:tcBorders>
            <w:shd w:val="clear" w:color="000000" w:fill="FFFFFF"/>
            <w:noWrap/>
            <w:vAlign w:val="bottom"/>
            <w:hideMark/>
          </w:tcPr>
          <w:p w14:paraId="39400F8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1,76,18,662 </w:t>
            </w:r>
          </w:p>
        </w:tc>
        <w:tc>
          <w:tcPr>
            <w:tcW w:w="494" w:type="pct"/>
            <w:tcBorders>
              <w:top w:val="nil"/>
              <w:left w:val="nil"/>
              <w:bottom w:val="nil"/>
              <w:right w:val="nil"/>
            </w:tcBorders>
            <w:shd w:val="clear" w:color="000000" w:fill="FFFFFF"/>
            <w:noWrap/>
            <w:vAlign w:val="bottom"/>
            <w:hideMark/>
          </w:tcPr>
          <w:p w14:paraId="69A04C9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1,09,47,943 </w:t>
            </w:r>
          </w:p>
        </w:tc>
        <w:tc>
          <w:tcPr>
            <w:tcW w:w="494" w:type="pct"/>
            <w:tcBorders>
              <w:top w:val="nil"/>
              <w:left w:val="nil"/>
              <w:bottom w:val="nil"/>
              <w:right w:val="nil"/>
            </w:tcBorders>
            <w:shd w:val="clear" w:color="000000" w:fill="FFFFFF"/>
            <w:noWrap/>
            <w:vAlign w:val="bottom"/>
            <w:hideMark/>
          </w:tcPr>
          <w:p w14:paraId="45A8011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79,59,562 </w:t>
            </w:r>
          </w:p>
        </w:tc>
        <w:tc>
          <w:tcPr>
            <w:tcW w:w="494" w:type="pct"/>
            <w:tcBorders>
              <w:top w:val="nil"/>
              <w:left w:val="nil"/>
              <w:bottom w:val="nil"/>
              <w:right w:val="nil"/>
            </w:tcBorders>
            <w:shd w:val="clear" w:color="000000" w:fill="FFFFFF"/>
            <w:noWrap/>
            <w:vAlign w:val="bottom"/>
            <w:hideMark/>
          </w:tcPr>
          <w:p w14:paraId="593DE7CE"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20,93,256 </w:t>
            </w:r>
          </w:p>
        </w:tc>
        <w:tc>
          <w:tcPr>
            <w:tcW w:w="51" w:type="pct"/>
            <w:vAlign w:val="center"/>
            <w:hideMark/>
          </w:tcPr>
          <w:p w14:paraId="36F2A2A0" w14:textId="77777777" w:rsidR="001C57DB" w:rsidRPr="001C57DB" w:rsidRDefault="001C57DB" w:rsidP="001C57DB">
            <w:pPr>
              <w:spacing w:before="0" w:after="0" w:line="240" w:lineRule="auto"/>
              <w:jc w:val="left"/>
              <w:rPr>
                <w:sz w:val="20"/>
                <w:szCs w:val="20"/>
                <w:lang w:val="en-IN"/>
              </w:rPr>
            </w:pPr>
          </w:p>
        </w:tc>
      </w:tr>
      <w:tr w:rsidR="001C57DB" w:rsidRPr="001C57DB" w14:paraId="6C6EC5B5"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466FE3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(/):"Total Assets"</w:t>
            </w:r>
          </w:p>
        </w:tc>
        <w:tc>
          <w:tcPr>
            <w:tcW w:w="1340" w:type="pct"/>
            <w:vMerge/>
            <w:tcBorders>
              <w:top w:val="nil"/>
              <w:left w:val="nil"/>
              <w:bottom w:val="nil"/>
              <w:right w:val="nil"/>
            </w:tcBorders>
            <w:vAlign w:val="center"/>
            <w:hideMark/>
          </w:tcPr>
          <w:p w14:paraId="4E343324"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439AC2C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33,97,98,429 </w:t>
            </w:r>
          </w:p>
        </w:tc>
        <w:tc>
          <w:tcPr>
            <w:tcW w:w="494" w:type="pct"/>
            <w:tcBorders>
              <w:top w:val="nil"/>
              <w:left w:val="nil"/>
              <w:bottom w:val="nil"/>
              <w:right w:val="nil"/>
            </w:tcBorders>
            <w:shd w:val="clear" w:color="000000" w:fill="FFFFFF"/>
            <w:noWrap/>
            <w:vAlign w:val="bottom"/>
            <w:hideMark/>
          </w:tcPr>
          <w:p w14:paraId="232EDF7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28,24,63,355 </w:t>
            </w:r>
          </w:p>
        </w:tc>
        <w:tc>
          <w:tcPr>
            <w:tcW w:w="494" w:type="pct"/>
            <w:tcBorders>
              <w:top w:val="nil"/>
              <w:left w:val="nil"/>
              <w:bottom w:val="nil"/>
              <w:right w:val="nil"/>
            </w:tcBorders>
            <w:shd w:val="clear" w:color="000000" w:fill="FFFFFF"/>
            <w:noWrap/>
            <w:vAlign w:val="bottom"/>
            <w:hideMark/>
          </w:tcPr>
          <w:p w14:paraId="584011F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25,57,42,462 </w:t>
            </w:r>
          </w:p>
        </w:tc>
        <w:tc>
          <w:tcPr>
            <w:tcW w:w="494" w:type="pct"/>
            <w:tcBorders>
              <w:top w:val="nil"/>
              <w:left w:val="nil"/>
              <w:bottom w:val="nil"/>
              <w:right w:val="nil"/>
            </w:tcBorders>
            <w:shd w:val="clear" w:color="000000" w:fill="FFFFFF"/>
            <w:noWrap/>
            <w:vAlign w:val="bottom"/>
            <w:hideMark/>
          </w:tcPr>
          <w:p w14:paraId="2CFE88A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23,39,46,415 </w:t>
            </w:r>
          </w:p>
        </w:tc>
        <w:tc>
          <w:tcPr>
            <w:tcW w:w="494" w:type="pct"/>
            <w:tcBorders>
              <w:top w:val="nil"/>
              <w:left w:val="nil"/>
              <w:bottom w:val="nil"/>
              <w:right w:val="nil"/>
            </w:tcBorders>
            <w:shd w:val="clear" w:color="000000" w:fill="FFFFFF"/>
            <w:noWrap/>
            <w:vAlign w:val="bottom"/>
            <w:hideMark/>
          </w:tcPr>
          <w:p w14:paraId="3BCE1B0E"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20,93,44,212 </w:t>
            </w:r>
          </w:p>
        </w:tc>
        <w:tc>
          <w:tcPr>
            <w:tcW w:w="51" w:type="pct"/>
            <w:vAlign w:val="center"/>
            <w:hideMark/>
          </w:tcPr>
          <w:p w14:paraId="6CF0C97E" w14:textId="77777777" w:rsidR="001C57DB" w:rsidRPr="001C57DB" w:rsidRDefault="001C57DB" w:rsidP="001C57DB">
            <w:pPr>
              <w:spacing w:before="0" w:after="0" w:line="240" w:lineRule="auto"/>
              <w:jc w:val="left"/>
              <w:rPr>
                <w:sz w:val="20"/>
                <w:szCs w:val="20"/>
                <w:lang w:val="en-IN"/>
              </w:rPr>
            </w:pPr>
          </w:p>
        </w:tc>
      </w:tr>
      <w:tr w:rsidR="001C57DB" w:rsidRPr="001C57DB" w14:paraId="78F51C68"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0A38FF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Current Liabilities"</w:t>
            </w:r>
          </w:p>
        </w:tc>
        <w:tc>
          <w:tcPr>
            <w:tcW w:w="1340" w:type="pct"/>
            <w:vMerge/>
            <w:tcBorders>
              <w:top w:val="nil"/>
              <w:left w:val="nil"/>
              <w:bottom w:val="nil"/>
              <w:right w:val="nil"/>
            </w:tcBorders>
            <w:vAlign w:val="center"/>
            <w:hideMark/>
          </w:tcPr>
          <w:p w14:paraId="4DD7B1A7"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66C73E4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7,95,09,643 </w:t>
            </w:r>
          </w:p>
        </w:tc>
        <w:tc>
          <w:tcPr>
            <w:tcW w:w="494" w:type="pct"/>
            <w:tcBorders>
              <w:top w:val="nil"/>
              <w:left w:val="nil"/>
              <w:bottom w:val="nil"/>
              <w:right w:val="nil"/>
            </w:tcBorders>
            <w:shd w:val="clear" w:color="000000" w:fill="FFFFFF"/>
            <w:noWrap/>
            <w:vAlign w:val="bottom"/>
            <w:hideMark/>
          </w:tcPr>
          <w:p w14:paraId="04AD88E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7,33,62,103 </w:t>
            </w:r>
          </w:p>
        </w:tc>
        <w:tc>
          <w:tcPr>
            <w:tcW w:w="494" w:type="pct"/>
            <w:tcBorders>
              <w:top w:val="nil"/>
              <w:left w:val="nil"/>
              <w:bottom w:val="nil"/>
              <w:right w:val="nil"/>
            </w:tcBorders>
            <w:shd w:val="clear" w:color="000000" w:fill="FFFFFF"/>
            <w:noWrap/>
            <w:vAlign w:val="bottom"/>
            <w:hideMark/>
          </w:tcPr>
          <w:p w14:paraId="106AE97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7,42,36,472 </w:t>
            </w:r>
          </w:p>
        </w:tc>
        <w:tc>
          <w:tcPr>
            <w:tcW w:w="494" w:type="pct"/>
            <w:tcBorders>
              <w:top w:val="nil"/>
              <w:left w:val="nil"/>
              <w:bottom w:val="nil"/>
              <w:right w:val="nil"/>
            </w:tcBorders>
            <w:shd w:val="clear" w:color="000000" w:fill="FFFFFF"/>
            <w:noWrap/>
            <w:vAlign w:val="bottom"/>
            <w:hideMark/>
          </w:tcPr>
          <w:p w14:paraId="708ADC8E"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6,42,36,787 </w:t>
            </w:r>
          </w:p>
        </w:tc>
        <w:tc>
          <w:tcPr>
            <w:tcW w:w="494" w:type="pct"/>
            <w:tcBorders>
              <w:top w:val="nil"/>
              <w:left w:val="nil"/>
              <w:bottom w:val="nil"/>
              <w:right w:val="nil"/>
            </w:tcBorders>
            <w:shd w:val="clear" w:color="000000" w:fill="FFFFFF"/>
            <w:noWrap/>
            <w:vAlign w:val="bottom"/>
            <w:hideMark/>
          </w:tcPr>
          <w:p w14:paraId="1A3C367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5,94,59,528 </w:t>
            </w:r>
          </w:p>
        </w:tc>
        <w:tc>
          <w:tcPr>
            <w:tcW w:w="51" w:type="pct"/>
            <w:vAlign w:val="center"/>
            <w:hideMark/>
          </w:tcPr>
          <w:p w14:paraId="1303197A" w14:textId="77777777" w:rsidR="001C57DB" w:rsidRPr="001C57DB" w:rsidRDefault="001C57DB" w:rsidP="001C57DB">
            <w:pPr>
              <w:spacing w:before="0" w:after="0" w:line="240" w:lineRule="auto"/>
              <w:jc w:val="left"/>
              <w:rPr>
                <w:sz w:val="20"/>
                <w:szCs w:val="20"/>
                <w:lang w:val="en-IN"/>
              </w:rPr>
            </w:pPr>
          </w:p>
        </w:tc>
      </w:tr>
      <w:tr w:rsidR="001C57DB" w:rsidRPr="001C57DB" w14:paraId="79C0C2EB"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E4FBFBC"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"ROCE"</w:t>
            </w:r>
          </w:p>
        </w:tc>
        <w:tc>
          <w:tcPr>
            <w:tcW w:w="1340" w:type="pct"/>
            <w:vMerge/>
            <w:tcBorders>
              <w:top w:val="nil"/>
              <w:left w:val="nil"/>
              <w:bottom w:val="nil"/>
              <w:right w:val="nil"/>
            </w:tcBorders>
            <w:vAlign w:val="center"/>
            <w:hideMark/>
          </w:tcPr>
          <w:p w14:paraId="047B762D"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0F715EF6"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6.83%</w:t>
            </w:r>
          </w:p>
        </w:tc>
        <w:tc>
          <w:tcPr>
            <w:tcW w:w="494" w:type="pct"/>
            <w:tcBorders>
              <w:top w:val="single" w:sz="4" w:space="0" w:color="auto"/>
              <w:left w:val="nil"/>
              <w:bottom w:val="single" w:sz="4" w:space="0" w:color="auto"/>
              <w:right w:val="nil"/>
            </w:tcBorders>
            <w:shd w:val="clear" w:color="000000" w:fill="FFFFFF"/>
            <w:noWrap/>
            <w:vAlign w:val="bottom"/>
            <w:hideMark/>
          </w:tcPr>
          <w:p w14:paraId="0B54C934"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8.43%</w:t>
            </w:r>
          </w:p>
        </w:tc>
        <w:tc>
          <w:tcPr>
            <w:tcW w:w="494" w:type="pct"/>
            <w:tcBorders>
              <w:top w:val="single" w:sz="4" w:space="0" w:color="auto"/>
              <w:left w:val="nil"/>
              <w:bottom w:val="single" w:sz="4" w:space="0" w:color="auto"/>
              <w:right w:val="nil"/>
            </w:tcBorders>
            <w:shd w:val="clear" w:color="000000" w:fill="FFFFFF"/>
            <w:noWrap/>
            <w:vAlign w:val="bottom"/>
            <w:hideMark/>
          </w:tcPr>
          <w:p w14:paraId="4EB78E75"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6.03%</w:t>
            </w:r>
          </w:p>
        </w:tc>
        <w:tc>
          <w:tcPr>
            <w:tcW w:w="494" w:type="pct"/>
            <w:tcBorders>
              <w:top w:val="single" w:sz="4" w:space="0" w:color="auto"/>
              <w:left w:val="nil"/>
              <w:bottom w:val="single" w:sz="4" w:space="0" w:color="auto"/>
              <w:right w:val="nil"/>
            </w:tcBorders>
            <w:shd w:val="clear" w:color="000000" w:fill="FFFFFF"/>
            <w:noWrap/>
            <w:vAlign w:val="bottom"/>
            <w:hideMark/>
          </w:tcPr>
          <w:p w14:paraId="72E0EBAD"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4.69%</w:t>
            </w:r>
          </w:p>
        </w:tc>
        <w:tc>
          <w:tcPr>
            <w:tcW w:w="494" w:type="pct"/>
            <w:tcBorders>
              <w:top w:val="single" w:sz="4" w:space="0" w:color="auto"/>
              <w:left w:val="nil"/>
              <w:bottom w:val="single" w:sz="4" w:space="0" w:color="auto"/>
              <w:right w:val="nil"/>
            </w:tcBorders>
            <w:shd w:val="clear" w:color="000000" w:fill="FFFFFF"/>
            <w:noWrap/>
            <w:vAlign w:val="bottom"/>
            <w:hideMark/>
          </w:tcPr>
          <w:p w14:paraId="39BE4F7F"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1.40%</w:t>
            </w:r>
          </w:p>
        </w:tc>
        <w:tc>
          <w:tcPr>
            <w:tcW w:w="51" w:type="pct"/>
            <w:vAlign w:val="center"/>
            <w:hideMark/>
          </w:tcPr>
          <w:p w14:paraId="54FC9A85" w14:textId="77777777" w:rsidR="001C57DB" w:rsidRPr="001C57DB" w:rsidRDefault="001C57DB" w:rsidP="001C57DB">
            <w:pPr>
              <w:spacing w:before="0" w:after="0" w:line="240" w:lineRule="auto"/>
              <w:jc w:val="left"/>
              <w:rPr>
                <w:sz w:val="20"/>
                <w:szCs w:val="20"/>
                <w:lang w:val="en-IN"/>
              </w:rPr>
            </w:pPr>
          </w:p>
        </w:tc>
      </w:tr>
      <w:tr w:rsidR="001C57DB" w:rsidRPr="001C57DB" w14:paraId="193BA60E"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7302B312"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"Operating Margin"</w:t>
            </w:r>
          </w:p>
        </w:tc>
        <w:tc>
          <w:tcPr>
            <w:tcW w:w="51" w:type="pct"/>
            <w:vAlign w:val="center"/>
            <w:hideMark/>
          </w:tcPr>
          <w:p w14:paraId="499CA390" w14:textId="77777777" w:rsidR="001C57DB" w:rsidRPr="001C57DB" w:rsidRDefault="001C57DB" w:rsidP="001C57DB">
            <w:pPr>
              <w:spacing w:before="0" w:after="0" w:line="240" w:lineRule="auto"/>
              <w:jc w:val="left"/>
              <w:rPr>
                <w:sz w:val="20"/>
                <w:szCs w:val="20"/>
                <w:lang w:val="en-IN"/>
              </w:rPr>
            </w:pPr>
          </w:p>
        </w:tc>
      </w:tr>
      <w:tr w:rsidR="001C57DB" w:rsidRPr="001C57DB" w14:paraId="0816AFCC" w14:textId="77777777" w:rsidTr="001C57DB">
        <w:trPr>
          <w:trHeight w:val="288"/>
          <w:jc w:val="center"/>
        </w:trPr>
        <w:tc>
          <w:tcPr>
            <w:tcW w:w="4949" w:type="pct"/>
            <w:gridSpan w:val="7"/>
            <w:vMerge/>
            <w:tcBorders>
              <w:top w:val="nil"/>
              <w:left w:val="nil"/>
              <w:bottom w:val="nil"/>
              <w:right w:val="nil"/>
            </w:tcBorders>
            <w:vAlign w:val="center"/>
            <w:hideMark/>
          </w:tcPr>
          <w:p w14:paraId="205E194A"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54FCFA2F"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74CDB3C4"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962ECF7"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1329A0F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3F11DAE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2B07DDAF"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67D04F8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3D87B66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1A6E38E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1189F6CC" w14:textId="77777777" w:rsidR="001C57DB" w:rsidRPr="001C57DB" w:rsidRDefault="001C57DB" w:rsidP="001C57DB">
            <w:pPr>
              <w:spacing w:before="0" w:after="0" w:line="240" w:lineRule="auto"/>
              <w:jc w:val="left"/>
              <w:rPr>
                <w:sz w:val="20"/>
                <w:szCs w:val="20"/>
                <w:lang w:val="en-IN"/>
              </w:rPr>
            </w:pPr>
          </w:p>
        </w:tc>
      </w:tr>
      <w:tr w:rsidR="001C57DB" w:rsidRPr="001C57DB" w14:paraId="4F1B4D06"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276673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"Operating Income"</w:t>
            </w:r>
          </w:p>
        </w:tc>
        <w:tc>
          <w:tcPr>
            <w:tcW w:w="1340" w:type="pct"/>
            <w:vMerge w:val="restart"/>
            <w:tcBorders>
              <w:top w:val="nil"/>
              <w:left w:val="nil"/>
              <w:bottom w:val="nil"/>
              <w:right w:val="nil"/>
            </w:tcBorders>
            <w:shd w:val="clear" w:color="000000" w:fill="FFFFFF"/>
            <w:vAlign w:val="center"/>
            <w:hideMark/>
          </w:tcPr>
          <w:p w14:paraId="6363142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"(Operating Income (or EBIT) / Sales)*100"</w:t>
            </w:r>
          </w:p>
        </w:tc>
        <w:tc>
          <w:tcPr>
            <w:tcW w:w="494" w:type="pct"/>
            <w:tcBorders>
              <w:top w:val="nil"/>
              <w:left w:val="nil"/>
              <w:bottom w:val="nil"/>
              <w:right w:val="nil"/>
            </w:tcBorders>
            <w:shd w:val="clear" w:color="000000" w:fill="FFFFFF"/>
            <w:noWrap/>
            <w:vAlign w:val="bottom"/>
            <w:hideMark/>
          </w:tcPr>
          <w:p w14:paraId="6B0A091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1,42,39,592 </w:t>
            </w:r>
          </w:p>
        </w:tc>
        <w:tc>
          <w:tcPr>
            <w:tcW w:w="494" w:type="pct"/>
            <w:tcBorders>
              <w:top w:val="nil"/>
              <w:left w:val="nil"/>
              <w:bottom w:val="nil"/>
              <w:right w:val="nil"/>
            </w:tcBorders>
            <w:shd w:val="clear" w:color="000000" w:fill="FFFFFF"/>
            <w:noWrap/>
            <w:vAlign w:val="bottom"/>
            <w:hideMark/>
          </w:tcPr>
          <w:p w14:paraId="7B0AC1A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1,51,26,901 </w:t>
            </w:r>
          </w:p>
        </w:tc>
        <w:tc>
          <w:tcPr>
            <w:tcW w:w="494" w:type="pct"/>
            <w:tcBorders>
              <w:top w:val="nil"/>
              <w:left w:val="nil"/>
              <w:bottom w:val="nil"/>
              <w:right w:val="nil"/>
            </w:tcBorders>
            <w:shd w:val="clear" w:color="000000" w:fill="FFFFFF"/>
            <w:noWrap/>
            <w:vAlign w:val="bottom"/>
            <w:hideMark/>
          </w:tcPr>
          <w:p w14:paraId="66B3A32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98,19,769 </w:t>
            </w:r>
          </w:p>
        </w:tc>
        <w:tc>
          <w:tcPr>
            <w:tcW w:w="494" w:type="pct"/>
            <w:tcBorders>
              <w:top w:val="nil"/>
              <w:left w:val="nil"/>
              <w:bottom w:val="nil"/>
              <w:right w:val="nil"/>
            </w:tcBorders>
            <w:shd w:val="clear" w:color="000000" w:fill="FFFFFF"/>
            <w:noWrap/>
            <w:vAlign w:val="bottom"/>
            <w:hideMark/>
          </w:tcPr>
          <w:p w14:paraId="148691F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66,78,949 </w:t>
            </w:r>
          </w:p>
        </w:tc>
        <w:tc>
          <w:tcPr>
            <w:tcW w:w="494" w:type="pct"/>
            <w:tcBorders>
              <w:top w:val="nil"/>
              <w:left w:val="nil"/>
              <w:bottom w:val="nil"/>
              <w:right w:val="nil"/>
            </w:tcBorders>
            <w:shd w:val="clear" w:color="000000" w:fill="FFFFFF"/>
            <w:noWrap/>
            <w:vAlign w:val="bottom"/>
            <w:hideMark/>
          </w:tcPr>
          <w:p w14:paraId="099999AE"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23,94,671 </w:t>
            </w:r>
          </w:p>
        </w:tc>
        <w:tc>
          <w:tcPr>
            <w:tcW w:w="51" w:type="pct"/>
            <w:vAlign w:val="center"/>
            <w:hideMark/>
          </w:tcPr>
          <w:p w14:paraId="64A9547E" w14:textId="77777777" w:rsidR="001C57DB" w:rsidRPr="001C57DB" w:rsidRDefault="001C57DB" w:rsidP="001C57DB">
            <w:pPr>
              <w:spacing w:before="0" w:after="0" w:line="240" w:lineRule="auto"/>
              <w:jc w:val="left"/>
              <w:rPr>
                <w:sz w:val="20"/>
                <w:szCs w:val="20"/>
                <w:lang w:val="en-IN"/>
              </w:rPr>
            </w:pPr>
          </w:p>
        </w:tc>
      </w:tr>
      <w:tr w:rsidR="001C57DB" w:rsidRPr="001C57DB" w14:paraId="7560956E"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566C48E"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Sales"</w:t>
            </w:r>
          </w:p>
        </w:tc>
        <w:tc>
          <w:tcPr>
            <w:tcW w:w="1340" w:type="pct"/>
            <w:vMerge/>
            <w:tcBorders>
              <w:top w:val="nil"/>
              <w:left w:val="nil"/>
              <w:bottom w:val="nil"/>
              <w:right w:val="nil"/>
            </w:tcBorders>
            <w:vAlign w:val="center"/>
            <w:hideMark/>
          </w:tcPr>
          <w:p w14:paraId="328F7293"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442B35F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17,52,31,153 </w:t>
            </w:r>
          </w:p>
        </w:tc>
        <w:tc>
          <w:tcPr>
            <w:tcW w:w="494" w:type="pct"/>
            <w:tcBorders>
              <w:top w:val="nil"/>
              <w:left w:val="nil"/>
              <w:bottom w:val="nil"/>
              <w:right w:val="nil"/>
            </w:tcBorders>
            <w:shd w:val="clear" w:color="000000" w:fill="FFFFFF"/>
            <w:noWrap/>
            <w:vAlign w:val="bottom"/>
            <w:hideMark/>
          </w:tcPr>
          <w:p w14:paraId="48C1FFE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16,26,63,579 </w:t>
            </w:r>
          </w:p>
        </w:tc>
        <w:tc>
          <w:tcPr>
            <w:tcW w:w="494" w:type="pct"/>
            <w:tcBorders>
              <w:top w:val="nil"/>
              <w:left w:val="nil"/>
              <w:bottom w:val="nil"/>
              <w:right w:val="nil"/>
            </w:tcBorders>
            <w:shd w:val="clear" w:color="000000" w:fill="FFFFFF"/>
            <w:noWrap/>
            <w:vAlign w:val="bottom"/>
            <w:hideMark/>
          </w:tcPr>
          <w:p w14:paraId="5583ED9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14,25,27,535 </w:t>
            </w:r>
          </w:p>
        </w:tc>
        <w:tc>
          <w:tcPr>
            <w:tcW w:w="494" w:type="pct"/>
            <w:tcBorders>
              <w:top w:val="nil"/>
              <w:left w:val="nil"/>
              <w:bottom w:val="nil"/>
              <w:right w:val="nil"/>
            </w:tcBorders>
            <w:shd w:val="clear" w:color="000000" w:fill="FFFFFF"/>
            <w:noWrap/>
            <w:vAlign w:val="bottom"/>
            <w:hideMark/>
          </w:tcPr>
          <w:p w14:paraId="413F2A3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11,76,10,626 </w:t>
            </w:r>
          </w:p>
        </w:tc>
        <w:tc>
          <w:tcPr>
            <w:tcW w:w="494" w:type="pct"/>
            <w:tcBorders>
              <w:top w:val="nil"/>
              <w:left w:val="nil"/>
              <w:bottom w:val="nil"/>
              <w:right w:val="nil"/>
            </w:tcBorders>
            <w:shd w:val="clear" w:color="000000" w:fill="FFFFFF"/>
            <w:noWrap/>
            <w:vAlign w:val="bottom"/>
            <w:hideMark/>
          </w:tcPr>
          <w:p w14:paraId="2F43C18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10,39,97,601 </w:t>
            </w:r>
          </w:p>
        </w:tc>
        <w:tc>
          <w:tcPr>
            <w:tcW w:w="51" w:type="pct"/>
            <w:vAlign w:val="center"/>
            <w:hideMark/>
          </w:tcPr>
          <w:p w14:paraId="5563EBF9" w14:textId="77777777" w:rsidR="001C57DB" w:rsidRPr="001C57DB" w:rsidRDefault="001C57DB" w:rsidP="001C57DB">
            <w:pPr>
              <w:spacing w:before="0" w:after="0" w:line="240" w:lineRule="auto"/>
              <w:jc w:val="left"/>
              <w:rPr>
                <w:sz w:val="20"/>
                <w:szCs w:val="20"/>
                <w:lang w:val="en-IN"/>
              </w:rPr>
            </w:pPr>
          </w:p>
        </w:tc>
      </w:tr>
      <w:tr w:rsidR="001C57DB" w:rsidRPr="001C57DB" w14:paraId="63870A05"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551A555"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"Operating Margin"</w:t>
            </w:r>
          </w:p>
        </w:tc>
        <w:tc>
          <w:tcPr>
            <w:tcW w:w="1340" w:type="pct"/>
            <w:vMerge/>
            <w:tcBorders>
              <w:top w:val="nil"/>
              <w:left w:val="nil"/>
              <w:bottom w:val="nil"/>
              <w:right w:val="nil"/>
            </w:tcBorders>
            <w:vAlign w:val="center"/>
            <w:hideMark/>
          </w:tcPr>
          <w:p w14:paraId="784077D4"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5C420AEE"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8.13%</w:t>
            </w:r>
          </w:p>
        </w:tc>
        <w:tc>
          <w:tcPr>
            <w:tcW w:w="494" w:type="pct"/>
            <w:tcBorders>
              <w:top w:val="single" w:sz="4" w:space="0" w:color="auto"/>
              <w:left w:val="nil"/>
              <w:bottom w:val="single" w:sz="4" w:space="0" w:color="auto"/>
              <w:right w:val="nil"/>
            </w:tcBorders>
            <w:shd w:val="clear" w:color="000000" w:fill="FFFFFF"/>
            <w:noWrap/>
            <w:vAlign w:val="bottom"/>
            <w:hideMark/>
          </w:tcPr>
          <w:p w14:paraId="6CAA43AB"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9.30%</w:t>
            </w:r>
          </w:p>
        </w:tc>
        <w:tc>
          <w:tcPr>
            <w:tcW w:w="494" w:type="pct"/>
            <w:tcBorders>
              <w:top w:val="single" w:sz="4" w:space="0" w:color="auto"/>
              <w:left w:val="nil"/>
              <w:bottom w:val="single" w:sz="4" w:space="0" w:color="auto"/>
              <w:right w:val="nil"/>
            </w:tcBorders>
            <w:shd w:val="clear" w:color="000000" w:fill="FFFFFF"/>
            <w:noWrap/>
            <w:vAlign w:val="bottom"/>
            <w:hideMark/>
          </w:tcPr>
          <w:p w14:paraId="5AF2F6F3"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6.89%</w:t>
            </w:r>
          </w:p>
        </w:tc>
        <w:tc>
          <w:tcPr>
            <w:tcW w:w="494" w:type="pct"/>
            <w:tcBorders>
              <w:top w:val="single" w:sz="4" w:space="0" w:color="auto"/>
              <w:left w:val="nil"/>
              <w:bottom w:val="single" w:sz="4" w:space="0" w:color="auto"/>
              <w:right w:val="nil"/>
            </w:tcBorders>
            <w:shd w:val="clear" w:color="000000" w:fill="FFFFFF"/>
            <w:noWrap/>
            <w:vAlign w:val="bottom"/>
            <w:hideMark/>
          </w:tcPr>
          <w:p w14:paraId="35F89D9F"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5.68%</w:t>
            </w:r>
          </w:p>
        </w:tc>
        <w:tc>
          <w:tcPr>
            <w:tcW w:w="494" w:type="pct"/>
            <w:tcBorders>
              <w:top w:val="single" w:sz="4" w:space="0" w:color="auto"/>
              <w:left w:val="nil"/>
              <w:bottom w:val="single" w:sz="4" w:space="0" w:color="auto"/>
              <w:right w:val="nil"/>
            </w:tcBorders>
            <w:shd w:val="clear" w:color="000000" w:fill="FFFFFF"/>
            <w:noWrap/>
            <w:vAlign w:val="bottom"/>
            <w:hideMark/>
          </w:tcPr>
          <w:p w14:paraId="1DC3B255"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2.30%</w:t>
            </w:r>
          </w:p>
        </w:tc>
        <w:tc>
          <w:tcPr>
            <w:tcW w:w="51" w:type="pct"/>
            <w:vAlign w:val="center"/>
            <w:hideMark/>
          </w:tcPr>
          <w:p w14:paraId="779D2AFC" w14:textId="77777777" w:rsidR="001C57DB" w:rsidRPr="001C57DB" w:rsidRDefault="001C57DB" w:rsidP="001C57DB">
            <w:pPr>
              <w:spacing w:before="0" w:after="0" w:line="240" w:lineRule="auto"/>
              <w:jc w:val="left"/>
              <w:rPr>
                <w:sz w:val="20"/>
                <w:szCs w:val="20"/>
                <w:lang w:val="en-IN"/>
              </w:rPr>
            </w:pPr>
          </w:p>
        </w:tc>
      </w:tr>
      <w:tr w:rsidR="001C57DB" w:rsidRPr="001C57DB" w14:paraId="3D8C33E9"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4E98410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"Net Profit Margin"</w:t>
            </w:r>
          </w:p>
        </w:tc>
        <w:tc>
          <w:tcPr>
            <w:tcW w:w="51" w:type="pct"/>
            <w:vAlign w:val="center"/>
            <w:hideMark/>
          </w:tcPr>
          <w:p w14:paraId="42046464" w14:textId="77777777" w:rsidR="001C57DB" w:rsidRPr="001C57DB" w:rsidRDefault="001C57DB" w:rsidP="001C57DB">
            <w:pPr>
              <w:spacing w:before="0" w:after="0" w:line="240" w:lineRule="auto"/>
              <w:jc w:val="left"/>
              <w:rPr>
                <w:sz w:val="20"/>
                <w:szCs w:val="20"/>
                <w:lang w:val="en-IN"/>
              </w:rPr>
            </w:pPr>
          </w:p>
        </w:tc>
      </w:tr>
      <w:tr w:rsidR="001C57DB" w:rsidRPr="001C57DB" w14:paraId="7D0D60CC" w14:textId="77777777" w:rsidTr="001C57DB">
        <w:trPr>
          <w:trHeight w:val="288"/>
          <w:jc w:val="center"/>
        </w:trPr>
        <w:tc>
          <w:tcPr>
            <w:tcW w:w="4949" w:type="pct"/>
            <w:gridSpan w:val="7"/>
            <w:vMerge/>
            <w:tcBorders>
              <w:top w:val="nil"/>
              <w:left w:val="nil"/>
              <w:bottom w:val="nil"/>
              <w:right w:val="nil"/>
            </w:tcBorders>
            <w:vAlign w:val="center"/>
            <w:hideMark/>
          </w:tcPr>
          <w:p w14:paraId="46B0347B"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70DA2D6B"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4A246464"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054766E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1F444C7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1A365E2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32C7C23C"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34734220"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44BCA6A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14525D7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36D951D0" w14:textId="77777777" w:rsidR="001C57DB" w:rsidRPr="001C57DB" w:rsidRDefault="001C57DB" w:rsidP="001C57DB">
            <w:pPr>
              <w:spacing w:before="0" w:after="0" w:line="240" w:lineRule="auto"/>
              <w:jc w:val="left"/>
              <w:rPr>
                <w:sz w:val="20"/>
                <w:szCs w:val="20"/>
                <w:lang w:val="en-IN"/>
              </w:rPr>
            </w:pPr>
          </w:p>
        </w:tc>
      </w:tr>
      <w:tr w:rsidR="001C57DB" w:rsidRPr="001C57DB" w14:paraId="7E612B1C"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12C234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"Net Income"</w:t>
            </w:r>
          </w:p>
        </w:tc>
        <w:tc>
          <w:tcPr>
            <w:tcW w:w="1340" w:type="pct"/>
            <w:vMerge w:val="restart"/>
            <w:tcBorders>
              <w:top w:val="nil"/>
              <w:left w:val="nil"/>
              <w:bottom w:val="nil"/>
              <w:right w:val="nil"/>
            </w:tcBorders>
            <w:shd w:val="clear" w:color="000000" w:fill="FFFFFF"/>
            <w:vAlign w:val="center"/>
            <w:hideMark/>
          </w:tcPr>
          <w:p w14:paraId="4552113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"(Net Income / Sales)*100"</w:t>
            </w:r>
          </w:p>
        </w:tc>
        <w:tc>
          <w:tcPr>
            <w:tcW w:w="494" w:type="pct"/>
            <w:tcBorders>
              <w:top w:val="nil"/>
              <w:left w:val="nil"/>
              <w:bottom w:val="nil"/>
              <w:right w:val="nil"/>
            </w:tcBorders>
            <w:shd w:val="clear" w:color="000000" w:fill="FFFFFF"/>
            <w:noWrap/>
            <w:vAlign w:val="bottom"/>
            <w:hideMark/>
          </w:tcPr>
          <w:p w14:paraId="786A59D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1,35,49,018 </w:t>
            </w:r>
          </w:p>
        </w:tc>
        <w:tc>
          <w:tcPr>
            <w:tcW w:w="494" w:type="pct"/>
            <w:tcBorders>
              <w:top w:val="nil"/>
              <w:left w:val="nil"/>
              <w:bottom w:val="nil"/>
              <w:right w:val="nil"/>
            </w:tcBorders>
            <w:shd w:val="clear" w:color="000000" w:fill="FFFFFF"/>
            <w:noWrap/>
            <w:vAlign w:val="bottom"/>
            <w:hideMark/>
          </w:tcPr>
          <w:p w14:paraId="2305938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1,29,92,022 </w:t>
            </w:r>
          </w:p>
        </w:tc>
        <w:tc>
          <w:tcPr>
            <w:tcW w:w="494" w:type="pct"/>
            <w:tcBorders>
              <w:top w:val="nil"/>
              <w:left w:val="nil"/>
              <w:bottom w:val="nil"/>
              <w:right w:val="nil"/>
            </w:tcBorders>
            <w:shd w:val="clear" w:color="000000" w:fill="FFFFFF"/>
            <w:noWrap/>
            <w:vAlign w:val="bottom"/>
            <w:hideMark/>
          </w:tcPr>
          <w:p w14:paraId="27F976C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79,83,614 </w:t>
            </w:r>
          </w:p>
        </w:tc>
        <w:tc>
          <w:tcPr>
            <w:tcW w:w="494" w:type="pct"/>
            <w:tcBorders>
              <w:top w:val="nil"/>
              <w:left w:val="nil"/>
              <w:bottom w:val="nil"/>
              <w:right w:val="nil"/>
            </w:tcBorders>
            <w:shd w:val="clear" w:color="000000" w:fill="FFFFFF"/>
            <w:noWrap/>
            <w:vAlign w:val="bottom"/>
            <w:hideMark/>
          </w:tcPr>
          <w:p w14:paraId="284EE79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56,93,077 </w:t>
            </w:r>
          </w:p>
        </w:tc>
        <w:tc>
          <w:tcPr>
            <w:tcW w:w="494" w:type="pct"/>
            <w:tcBorders>
              <w:top w:val="nil"/>
              <w:left w:val="nil"/>
              <w:bottom w:val="nil"/>
              <w:right w:val="nil"/>
            </w:tcBorders>
            <w:shd w:val="clear" w:color="000000" w:fill="FFFFFF"/>
            <w:noWrap/>
            <w:vAlign w:val="bottom"/>
            <w:hideMark/>
          </w:tcPr>
          <w:p w14:paraId="76168AC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19,24,553 </w:t>
            </w:r>
          </w:p>
        </w:tc>
        <w:tc>
          <w:tcPr>
            <w:tcW w:w="51" w:type="pct"/>
            <w:vAlign w:val="center"/>
            <w:hideMark/>
          </w:tcPr>
          <w:p w14:paraId="59D5E93A" w14:textId="77777777" w:rsidR="001C57DB" w:rsidRPr="001C57DB" w:rsidRDefault="001C57DB" w:rsidP="001C57DB">
            <w:pPr>
              <w:spacing w:before="0" w:after="0" w:line="240" w:lineRule="auto"/>
              <w:jc w:val="left"/>
              <w:rPr>
                <w:sz w:val="20"/>
                <w:szCs w:val="20"/>
                <w:lang w:val="en-IN"/>
              </w:rPr>
            </w:pPr>
          </w:p>
        </w:tc>
      </w:tr>
      <w:tr w:rsidR="001C57DB" w:rsidRPr="001C57DB" w14:paraId="11090D06"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0BFD79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Sales"</w:t>
            </w:r>
          </w:p>
        </w:tc>
        <w:tc>
          <w:tcPr>
            <w:tcW w:w="1340" w:type="pct"/>
            <w:vMerge/>
            <w:tcBorders>
              <w:top w:val="nil"/>
              <w:left w:val="nil"/>
              <w:bottom w:val="nil"/>
              <w:right w:val="nil"/>
            </w:tcBorders>
            <w:vAlign w:val="center"/>
            <w:hideMark/>
          </w:tcPr>
          <w:p w14:paraId="0ABEB6F7"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517DE5F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17,52,31,153 </w:t>
            </w:r>
          </w:p>
        </w:tc>
        <w:tc>
          <w:tcPr>
            <w:tcW w:w="494" w:type="pct"/>
            <w:tcBorders>
              <w:top w:val="nil"/>
              <w:left w:val="nil"/>
              <w:bottom w:val="nil"/>
              <w:right w:val="nil"/>
            </w:tcBorders>
            <w:shd w:val="clear" w:color="000000" w:fill="FFFFFF"/>
            <w:noWrap/>
            <w:vAlign w:val="bottom"/>
            <w:hideMark/>
          </w:tcPr>
          <w:p w14:paraId="65ED06F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16,26,63,579 </w:t>
            </w:r>
          </w:p>
        </w:tc>
        <w:tc>
          <w:tcPr>
            <w:tcW w:w="494" w:type="pct"/>
            <w:tcBorders>
              <w:top w:val="nil"/>
              <w:left w:val="nil"/>
              <w:bottom w:val="nil"/>
              <w:right w:val="nil"/>
            </w:tcBorders>
            <w:shd w:val="clear" w:color="000000" w:fill="FFFFFF"/>
            <w:noWrap/>
            <w:vAlign w:val="bottom"/>
            <w:hideMark/>
          </w:tcPr>
          <w:p w14:paraId="5130BBF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14,25,27,535 </w:t>
            </w:r>
          </w:p>
        </w:tc>
        <w:tc>
          <w:tcPr>
            <w:tcW w:w="494" w:type="pct"/>
            <w:tcBorders>
              <w:top w:val="nil"/>
              <w:left w:val="nil"/>
              <w:bottom w:val="nil"/>
              <w:right w:val="nil"/>
            </w:tcBorders>
            <w:shd w:val="clear" w:color="000000" w:fill="FFFFFF"/>
            <w:noWrap/>
            <w:vAlign w:val="bottom"/>
            <w:hideMark/>
          </w:tcPr>
          <w:p w14:paraId="55A8FB0E"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11,76,10,626 </w:t>
            </w:r>
          </w:p>
        </w:tc>
        <w:tc>
          <w:tcPr>
            <w:tcW w:w="494" w:type="pct"/>
            <w:tcBorders>
              <w:top w:val="nil"/>
              <w:left w:val="nil"/>
              <w:bottom w:val="nil"/>
              <w:right w:val="nil"/>
            </w:tcBorders>
            <w:shd w:val="clear" w:color="000000" w:fill="FFFFFF"/>
            <w:noWrap/>
            <w:vAlign w:val="bottom"/>
            <w:hideMark/>
          </w:tcPr>
          <w:p w14:paraId="4EB4249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10,39,97,601 </w:t>
            </w:r>
          </w:p>
        </w:tc>
        <w:tc>
          <w:tcPr>
            <w:tcW w:w="51" w:type="pct"/>
            <w:vAlign w:val="center"/>
            <w:hideMark/>
          </w:tcPr>
          <w:p w14:paraId="6FEDCE1C" w14:textId="77777777" w:rsidR="001C57DB" w:rsidRPr="001C57DB" w:rsidRDefault="001C57DB" w:rsidP="001C57DB">
            <w:pPr>
              <w:spacing w:before="0" w:after="0" w:line="240" w:lineRule="auto"/>
              <w:jc w:val="left"/>
              <w:rPr>
                <w:sz w:val="20"/>
                <w:szCs w:val="20"/>
                <w:lang w:val="en-IN"/>
              </w:rPr>
            </w:pPr>
          </w:p>
        </w:tc>
      </w:tr>
      <w:tr w:rsidR="001C57DB" w:rsidRPr="001C57DB" w14:paraId="2838D6D3"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2345549B"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"Net Profit Margin"</w:t>
            </w:r>
          </w:p>
        </w:tc>
        <w:tc>
          <w:tcPr>
            <w:tcW w:w="1340" w:type="pct"/>
            <w:vMerge/>
            <w:tcBorders>
              <w:top w:val="nil"/>
              <w:left w:val="nil"/>
              <w:bottom w:val="nil"/>
              <w:right w:val="nil"/>
            </w:tcBorders>
            <w:vAlign w:val="center"/>
            <w:hideMark/>
          </w:tcPr>
          <w:p w14:paraId="35CB8557"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5BC73BF0"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7.73%</w:t>
            </w:r>
          </w:p>
        </w:tc>
        <w:tc>
          <w:tcPr>
            <w:tcW w:w="494" w:type="pct"/>
            <w:tcBorders>
              <w:top w:val="single" w:sz="4" w:space="0" w:color="auto"/>
              <w:left w:val="nil"/>
              <w:bottom w:val="single" w:sz="4" w:space="0" w:color="auto"/>
              <w:right w:val="nil"/>
            </w:tcBorders>
            <w:shd w:val="clear" w:color="000000" w:fill="FFFFFF"/>
            <w:noWrap/>
            <w:vAlign w:val="bottom"/>
            <w:hideMark/>
          </w:tcPr>
          <w:p w14:paraId="05533E28"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7.99%</w:t>
            </w:r>
          </w:p>
        </w:tc>
        <w:tc>
          <w:tcPr>
            <w:tcW w:w="494" w:type="pct"/>
            <w:tcBorders>
              <w:top w:val="single" w:sz="4" w:space="0" w:color="auto"/>
              <w:left w:val="nil"/>
              <w:bottom w:val="single" w:sz="4" w:space="0" w:color="auto"/>
              <w:right w:val="nil"/>
            </w:tcBorders>
            <w:shd w:val="clear" w:color="000000" w:fill="FFFFFF"/>
            <w:noWrap/>
            <w:vAlign w:val="bottom"/>
            <w:hideMark/>
          </w:tcPr>
          <w:p w14:paraId="65844172"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5.60%</w:t>
            </w:r>
          </w:p>
        </w:tc>
        <w:tc>
          <w:tcPr>
            <w:tcW w:w="494" w:type="pct"/>
            <w:tcBorders>
              <w:top w:val="single" w:sz="4" w:space="0" w:color="auto"/>
              <w:left w:val="nil"/>
              <w:bottom w:val="single" w:sz="4" w:space="0" w:color="auto"/>
              <w:right w:val="nil"/>
            </w:tcBorders>
            <w:shd w:val="clear" w:color="000000" w:fill="FFFFFF"/>
            <w:noWrap/>
            <w:vAlign w:val="bottom"/>
            <w:hideMark/>
          </w:tcPr>
          <w:p w14:paraId="1DCFA61B"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4.84%</w:t>
            </w:r>
          </w:p>
        </w:tc>
        <w:tc>
          <w:tcPr>
            <w:tcW w:w="494" w:type="pct"/>
            <w:tcBorders>
              <w:top w:val="single" w:sz="4" w:space="0" w:color="auto"/>
              <w:left w:val="nil"/>
              <w:bottom w:val="single" w:sz="4" w:space="0" w:color="auto"/>
              <w:right w:val="nil"/>
            </w:tcBorders>
            <w:shd w:val="clear" w:color="000000" w:fill="FFFFFF"/>
            <w:noWrap/>
            <w:vAlign w:val="bottom"/>
            <w:hideMark/>
          </w:tcPr>
          <w:p w14:paraId="42241EAB"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1.85%</w:t>
            </w:r>
          </w:p>
        </w:tc>
        <w:tc>
          <w:tcPr>
            <w:tcW w:w="51" w:type="pct"/>
            <w:vAlign w:val="center"/>
            <w:hideMark/>
          </w:tcPr>
          <w:p w14:paraId="7EB95D2F" w14:textId="77777777" w:rsidR="001C57DB" w:rsidRPr="001C57DB" w:rsidRDefault="001C57DB" w:rsidP="001C57DB">
            <w:pPr>
              <w:spacing w:before="0" w:after="0" w:line="240" w:lineRule="auto"/>
              <w:jc w:val="left"/>
              <w:rPr>
                <w:sz w:val="20"/>
                <w:szCs w:val="20"/>
                <w:lang w:val="en-IN"/>
              </w:rPr>
            </w:pPr>
          </w:p>
        </w:tc>
      </w:tr>
      <w:tr w:rsidR="001C57DB" w:rsidRPr="001C57DB" w14:paraId="2E0EE9C6"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2796352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"Gross Profit Margin"</w:t>
            </w:r>
          </w:p>
        </w:tc>
        <w:tc>
          <w:tcPr>
            <w:tcW w:w="51" w:type="pct"/>
            <w:vAlign w:val="center"/>
            <w:hideMark/>
          </w:tcPr>
          <w:p w14:paraId="488193C6" w14:textId="77777777" w:rsidR="001C57DB" w:rsidRPr="001C57DB" w:rsidRDefault="001C57DB" w:rsidP="001C57DB">
            <w:pPr>
              <w:spacing w:before="0" w:after="0" w:line="240" w:lineRule="auto"/>
              <w:jc w:val="left"/>
              <w:rPr>
                <w:sz w:val="20"/>
                <w:szCs w:val="20"/>
                <w:lang w:val="en-IN"/>
              </w:rPr>
            </w:pPr>
          </w:p>
        </w:tc>
      </w:tr>
      <w:tr w:rsidR="001C57DB" w:rsidRPr="001C57DB" w14:paraId="43E43B56" w14:textId="77777777" w:rsidTr="001C57DB">
        <w:trPr>
          <w:trHeight w:val="288"/>
          <w:jc w:val="center"/>
        </w:trPr>
        <w:tc>
          <w:tcPr>
            <w:tcW w:w="4949" w:type="pct"/>
            <w:gridSpan w:val="7"/>
            <w:vMerge/>
            <w:tcBorders>
              <w:top w:val="nil"/>
              <w:left w:val="nil"/>
              <w:bottom w:val="nil"/>
              <w:right w:val="nil"/>
            </w:tcBorders>
            <w:vAlign w:val="center"/>
            <w:hideMark/>
          </w:tcPr>
          <w:p w14:paraId="0D2B186A"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495458EC"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46728E4C"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25C537C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19F95F2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0EC3314F"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71475FA4"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5A2CFC6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0ADBF5E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33765E43"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5F0B1006" w14:textId="77777777" w:rsidR="001C57DB" w:rsidRPr="001C57DB" w:rsidRDefault="001C57DB" w:rsidP="001C57DB">
            <w:pPr>
              <w:spacing w:before="0" w:after="0" w:line="240" w:lineRule="auto"/>
              <w:jc w:val="left"/>
              <w:rPr>
                <w:sz w:val="20"/>
                <w:szCs w:val="20"/>
                <w:lang w:val="en-IN"/>
              </w:rPr>
            </w:pPr>
          </w:p>
        </w:tc>
      </w:tr>
      <w:tr w:rsidR="001C57DB" w:rsidRPr="001C57DB" w14:paraId="31C9402F"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33C9C47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"Gross Profit"</w:t>
            </w:r>
          </w:p>
        </w:tc>
        <w:tc>
          <w:tcPr>
            <w:tcW w:w="1340" w:type="pct"/>
            <w:vMerge w:val="restart"/>
            <w:tcBorders>
              <w:top w:val="nil"/>
              <w:left w:val="nil"/>
              <w:bottom w:val="nil"/>
              <w:right w:val="nil"/>
            </w:tcBorders>
            <w:shd w:val="clear" w:color="000000" w:fill="FFFFFF"/>
            <w:vAlign w:val="center"/>
            <w:hideMark/>
          </w:tcPr>
          <w:p w14:paraId="5E82CE50"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"(Gross Profit / Sales)*100"</w:t>
            </w:r>
          </w:p>
        </w:tc>
        <w:tc>
          <w:tcPr>
            <w:tcW w:w="494" w:type="pct"/>
            <w:tcBorders>
              <w:top w:val="nil"/>
              <w:left w:val="nil"/>
              <w:bottom w:val="nil"/>
              <w:right w:val="nil"/>
            </w:tcBorders>
            <w:shd w:val="clear" w:color="000000" w:fill="FFFFFF"/>
            <w:noWrap/>
            <w:vAlign w:val="bottom"/>
            <w:hideMark/>
          </w:tcPr>
          <w:p w14:paraId="5B31BF0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3,57,49,207 </w:t>
            </w:r>
          </w:p>
        </w:tc>
        <w:tc>
          <w:tcPr>
            <w:tcW w:w="494" w:type="pct"/>
            <w:tcBorders>
              <w:top w:val="nil"/>
              <w:left w:val="nil"/>
              <w:bottom w:val="nil"/>
              <w:right w:val="nil"/>
            </w:tcBorders>
            <w:shd w:val="clear" w:color="000000" w:fill="FFFFFF"/>
            <w:noWrap/>
            <w:vAlign w:val="bottom"/>
            <w:hideMark/>
          </w:tcPr>
          <w:p w14:paraId="1E7A8C4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3,34,84,396 </w:t>
            </w:r>
          </w:p>
        </w:tc>
        <w:tc>
          <w:tcPr>
            <w:tcW w:w="494" w:type="pct"/>
            <w:tcBorders>
              <w:top w:val="nil"/>
              <w:left w:val="nil"/>
              <w:bottom w:val="nil"/>
              <w:right w:val="nil"/>
            </w:tcBorders>
            <w:shd w:val="clear" w:color="000000" w:fill="FFFFFF"/>
            <w:noWrap/>
            <w:vAlign w:val="bottom"/>
            <w:hideMark/>
          </w:tcPr>
          <w:p w14:paraId="5E64F2C9"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2,83,18,052 </w:t>
            </w:r>
          </w:p>
        </w:tc>
        <w:tc>
          <w:tcPr>
            <w:tcW w:w="494" w:type="pct"/>
            <w:tcBorders>
              <w:top w:val="nil"/>
              <w:left w:val="nil"/>
              <w:bottom w:val="nil"/>
              <w:right w:val="nil"/>
            </w:tcBorders>
            <w:shd w:val="clear" w:color="000000" w:fill="FFFFFF"/>
            <w:noWrap/>
            <w:vAlign w:val="bottom"/>
            <w:hideMark/>
          </w:tcPr>
          <w:p w14:paraId="61C2E52E"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2,19,30,495 </w:t>
            </w:r>
          </w:p>
        </w:tc>
        <w:tc>
          <w:tcPr>
            <w:tcW w:w="494" w:type="pct"/>
            <w:tcBorders>
              <w:top w:val="nil"/>
              <w:left w:val="nil"/>
              <w:bottom w:val="nil"/>
              <w:right w:val="nil"/>
            </w:tcBorders>
            <w:shd w:val="clear" w:color="000000" w:fill="FFFFFF"/>
            <w:noWrap/>
            <w:vAlign w:val="bottom"/>
            <w:hideMark/>
          </w:tcPr>
          <w:p w14:paraId="0CDEFF9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1,84,81,670 </w:t>
            </w:r>
          </w:p>
        </w:tc>
        <w:tc>
          <w:tcPr>
            <w:tcW w:w="51" w:type="pct"/>
            <w:vAlign w:val="center"/>
            <w:hideMark/>
          </w:tcPr>
          <w:p w14:paraId="61FFEA38" w14:textId="77777777" w:rsidR="001C57DB" w:rsidRPr="001C57DB" w:rsidRDefault="001C57DB" w:rsidP="001C57DB">
            <w:pPr>
              <w:spacing w:before="0" w:after="0" w:line="240" w:lineRule="auto"/>
              <w:jc w:val="left"/>
              <w:rPr>
                <w:sz w:val="20"/>
                <w:szCs w:val="20"/>
                <w:lang w:val="en-IN"/>
              </w:rPr>
            </w:pPr>
          </w:p>
        </w:tc>
      </w:tr>
      <w:tr w:rsidR="001C57DB" w:rsidRPr="001C57DB" w14:paraId="57C393A0"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0B01CC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Sales"</w:t>
            </w:r>
          </w:p>
        </w:tc>
        <w:tc>
          <w:tcPr>
            <w:tcW w:w="1340" w:type="pct"/>
            <w:vMerge/>
            <w:tcBorders>
              <w:top w:val="nil"/>
              <w:left w:val="nil"/>
              <w:bottom w:val="nil"/>
              <w:right w:val="nil"/>
            </w:tcBorders>
            <w:vAlign w:val="center"/>
            <w:hideMark/>
          </w:tcPr>
          <w:p w14:paraId="4F4BA4C7"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23FD348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17,52,31,153 </w:t>
            </w:r>
          </w:p>
        </w:tc>
        <w:tc>
          <w:tcPr>
            <w:tcW w:w="494" w:type="pct"/>
            <w:tcBorders>
              <w:top w:val="nil"/>
              <w:left w:val="nil"/>
              <w:bottom w:val="nil"/>
              <w:right w:val="nil"/>
            </w:tcBorders>
            <w:shd w:val="clear" w:color="000000" w:fill="FFFFFF"/>
            <w:noWrap/>
            <w:vAlign w:val="bottom"/>
            <w:hideMark/>
          </w:tcPr>
          <w:p w14:paraId="43D49E1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16,26,63,579 </w:t>
            </w:r>
          </w:p>
        </w:tc>
        <w:tc>
          <w:tcPr>
            <w:tcW w:w="494" w:type="pct"/>
            <w:tcBorders>
              <w:top w:val="nil"/>
              <w:left w:val="nil"/>
              <w:bottom w:val="nil"/>
              <w:right w:val="nil"/>
            </w:tcBorders>
            <w:shd w:val="clear" w:color="000000" w:fill="FFFFFF"/>
            <w:noWrap/>
            <w:vAlign w:val="bottom"/>
            <w:hideMark/>
          </w:tcPr>
          <w:p w14:paraId="4EC0E48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14,25,27,535 </w:t>
            </w:r>
          </w:p>
        </w:tc>
        <w:tc>
          <w:tcPr>
            <w:tcW w:w="494" w:type="pct"/>
            <w:tcBorders>
              <w:top w:val="nil"/>
              <w:left w:val="nil"/>
              <w:bottom w:val="nil"/>
              <w:right w:val="nil"/>
            </w:tcBorders>
            <w:shd w:val="clear" w:color="000000" w:fill="FFFFFF"/>
            <w:noWrap/>
            <w:vAlign w:val="bottom"/>
            <w:hideMark/>
          </w:tcPr>
          <w:p w14:paraId="590B7CD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11,76,10,626 </w:t>
            </w:r>
          </w:p>
        </w:tc>
        <w:tc>
          <w:tcPr>
            <w:tcW w:w="494" w:type="pct"/>
            <w:tcBorders>
              <w:top w:val="nil"/>
              <w:left w:val="nil"/>
              <w:bottom w:val="nil"/>
              <w:right w:val="nil"/>
            </w:tcBorders>
            <w:shd w:val="clear" w:color="000000" w:fill="FFFFFF"/>
            <w:noWrap/>
            <w:vAlign w:val="bottom"/>
            <w:hideMark/>
          </w:tcPr>
          <w:p w14:paraId="28C0F24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10,39,97,601 </w:t>
            </w:r>
          </w:p>
        </w:tc>
        <w:tc>
          <w:tcPr>
            <w:tcW w:w="51" w:type="pct"/>
            <w:vAlign w:val="center"/>
            <w:hideMark/>
          </w:tcPr>
          <w:p w14:paraId="0D1AC9FC" w14:textId="77777777" w:rsidR="001C57DB" w:rsidRPr="001C57DB" w:rsidRDefault="001C57DB" w:rsidP="001C57DB">
            <w:pPr>
              <w:spacing w:before="0" w:after="0" w:line="240" w:lineRule="auto"/>
              <w:jc w:val="left"/>
              <w:rPr>
                <w:sz w:val="20"/>
                <w:szCs w:val="20"/>
                <w:lang w:val="en-IN"/>
              </w:rPr>
            </w:pPr>
          </w:p>
        </w:tc>
      </w:tr>
      <w:tr w:rsidR="001C57DB" w:rsidRPr="001C57DB" w14:paraId="686C0D5C"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05033B1E"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"Gross Profit Margin"</w:t>
            </w:r>
          </w:p>
        </w:tc>
        <w:tc>
          <w:tcPr>
            <w:tcW w:w="1340" w:type="pct"/>
            <w:vMerge/>
            <w:tcBorders>
              <w:top w:val="nil"/>
              <w:left w:val="nil"/>
              <w:bottom w:val="nil"/>
              <w:right w:val="nil"/>
            </w:tcBorders>
            <w:vAlign w:val="center"/>
            <w:hideMark/>
          </w:tcPr>
          <w:p w14:paraId="67FFA724"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55BC0796"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20.40%</w:t>
            </w:r>
          </w:p>
        </w:tc>
        <w:tc>
          <w:tcPr>
            <w:tcW w:w="494" w:type="pct"/>
            <w:tcBorders>
              <w:top w:val="single" w:sz="4" w:space="0" w:color="auto"/>
              <w:left w:val="nil"/>
              <w:bottom w:val="single" w:sz="4" w:space="0" w:color="auto"/>
              <w:right w:val="nil"/>
            </w:tcBorders>
            <w:shd w:val="clear" w:color="000000" w:fill="FFFFFF"/>
            <w:noWrap/>
            <w:vAlign w:val="bottom"/>
            <w:hideMark/>
          </w:tcPr>
          <w:p w14:paraId="297BFAD5"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20.59%</w:t>
            </w:r>
          </w:p>
        </w:tc>
        <w:tc>
          <w:tcPr>
            <w:tcW w:w="494" w:type="pct"/>
            <w:tcBorders>
              <w:top w:val="single" w:sz="4" w:space="0" w:color="auto"/>
              <w:left w:val="nil"/>
              <w:bottom w:val="single" w:sz="4" w:space="0" w:color="auto"/>
              <w:right w:val="nil"/>
            </w:tcBorders>
            <w:shd w:val="clear" w:color="000000" w:fill="FFFFFF"/>
            <w:noWrap/>
            <w:vAlign w:val="bottom"/>
            <w:hideMark/>
          </w:tcPr>
          <w:p w14:paraId="14528217"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19.87%</w:t>
            </w:r>
          </w:p>
        </w:tc>
        <w:tc>
          <w:tcPr>
            <w:tcW w:w="494" w:type="pct"/>
            <w:tcBorders>
              <w:top w:val="single" w:sz="4" w:space="0" w:color="auto"/>
              <w:left w:val="nil"/>
              <w:bottom w:val="single" w:sz="4" w:space="0" w:color="auto"/>
              <w:right w:val="nil"/>
            </w:tcBorders>
            <w:shd w:val="clear" w:color="000000" w:fill="FFFFFF"/>
            <w:noWrap/>
            <w:vAlign w:val="bottom"/>
            <w:hideMark/>
          </w:tcPr>
          <w:p w14:paraId="3C55757C"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18.65%</w:t>
            </w:r>
          </w:p>
        </w:tc>
        <w:tc>
          <w:tcPr>
            <w:tcW w:w="494" w:type="pct"/>
            <w:tcBorders>
              <w:top w:val="single" w:sz="4" w:space="0" w:color="auto"/>
              <w:left w:val="nil"/>
              <w:bottom w:val="single" w:sz="4" w:space="0" w:color="auto"/>
              <w:right w:val="nil"/>
            </w:tcBorders>
            <w:shd w:val="clear" w:color="000000" w:fill="FFFFFF"/>
            <w:noWrap/>
            <w:vAlign w:val="bottom"/>
            <w:hideMark/>
          </w:tcPr>
          <w:p w14:paraId="3588FAAD"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17.77%</w:t>
            </w:r>
          </w:p>
        </w:tc>
        <w:tc>
          <w:tcPr>
            <w:tcW w:w="51" w:type="pct"/>
            <w:vAlign w:val="center"/>
            <w:hideMark/>
          </w:tcPr>
          <w:p w14:paraId="63059683" w14:textId="77777777" w:rsidR="001C57DB" w:rsidRPr="001C57DB" w:rsidRDefault="001C57DB" w:rsidP="001C57DB">
            <w:pPr>
              <w:spacing w:before="0" w:after="0" w:line="240" w:lineRule="auto"/>
              <w:jc w:val="left"/>
              <w:rPr>
                <w:sz w:val="20"/>
                <w:szCs w:val="20"/>
                <w:lang w:val="en-IN"/>
              </w:rPr>
            </w:pPr>
          </w:p>
        </w:tc>
      </w:tr>
      <w:tr w:rsidR="001C57DB" w:rsidRPr="001C57DB" w14:paraId="661C60AF" w14:textId="77777777" w:rsidTr="001C57DB">
        <w:trPr>
          <w:trHeight w:val="288"/>
          <w:jc w:val="center"/>
        </w:trPr>
        <w:tc>
          <w:tcPr>
            <w:tcW w:w="4949" w:type="pct"/>
            <w:gridSpan w:val="7"/>
            <w:vMerge w:val="restart"/>
            <w:tcBorders>
              <w:top w:val="nil"/>
              <w:left w:val="nil"/>
              <w:bottom w:val="nil"/>
              <w:right w:val="nil"/>
            </w:tcBorders>
            <w:shd w:val="clear" w:color="000000" w:fill="A6C9EC"/>
            <w:noWrap/>
            <w:vAlign w:val="center"/>
            <w:hideMark/>
          </w:tcPr>
          <w:p w14:paraId="1449603C"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"Liquidity ratio"</w:t>
            </w:r>
          </w:p>
        </w:tc>
        <w:tc>
          <w:tcPr>
            <w:tcW w:w="51" w:type="pct"/>
            <w:vAlign w:val="center"/>
            <w:hideMark/>
          </w:tcPr>
          <w:p w14:paraId="5DFDA128" w14:textId="77777777" w:rsidR="001C57DB" w:rsidRPr="001C57DB" w:rsidRDefault="001C57DB" w:rsidP="001C57DB">
            <w:pPr>
              <w:spacing w:before="0" w:after="0" w:line="240" w:lineRule="auto"/>
              <w:jc w:val="left"/>
              <w:rPr>
                <w:sz w:val="20"/>
                <w:szCs w:val="20"/>
                <w:lang w:val="en-IN"/>
              </w:rPr>
            </w:pPr>
          </w:p>
        </w:tc>
      </w:tr>
      <w:tr w:rsidR="001C57DB" w:rsidRPr="001C57DB" w14:paraId="3ABD6D13" w14:textId="77777777" w:rsidTr="001C57DB">
        <w:trPr>
          <w:trHeight w:val="288"/>
          <w:jc w:val="center"/>
        </w:trPr>
        <w:tc>
          <w:tcPr>
            <w:tcW w:w="4949" w:type="pct"/>
            <w:gridSpan w:val="7"/>
            <w:vMerge/>
            <w:tcBorders>
              <w:top w:val="nil"/>
              <w:left w:val="nil"/>
              <w:bottom w:val="nil"/>
              <w:right w:val="nil"/>
            </w:tcBorders>
            <w:vAlign w:val="center"/>
            <w:hideMark/>
          </w:tcPr>
          <w:p w14:paraId="69B5FBA7"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05842CF5"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518CE5D8" w14:textId="77777777" w:rsidTr="001C57DB">
        <w:trPr>
          <w:trHeight w:val="312"/>
          <w:jc w:val="center"/>
        </w:trPr>
        <w:tc>
          <w:tcPr>
            <w:tcW w:w="4949" w:type="pct"/>
            <w:gridSpan w:val="7"/>
            <w:tcBorders>
              <w:top w:val="nil"/>
              <w:left w:val="nil"/>
              <w:bottom w:val="nil"/>
              <w:right w:val="nil"/>
            </w:tcBorders>
            <w:shd w:val="clear" w:color="000000" w:fill="DAE9F8"/>
            <w:noWrap/>
            <w:vAlign w:val="bottom"/>
            <w:hideMark/>
          </w:tcPr>
          <w:p w14:paraId="100E42F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"Current ratio"</w:t>
            </w:r>
          </w:p>
        </w:tc>
        <w:tc>
          <w:tcPr>
            <w:tcW w:w="51" w:type="pct"/>
            <w:vAlign w:val="center"/>
            <w:hideMark/>
          </w:tcPr>
          <w:p w14:paraId="0E2C38D4" w14:textId="77777777" w:rsidR="001C57DB" w:rsidRPr="001C57DB" w:rsidRDefault="001C57DB" w:rsidP="001C57DB">
            <w:pPr>
              <w:spacing w:before="0" w:after="0" w:line="240" w:lineRule="auto"/>
              <w:jc w:val="left"/>
              <w:rPr>
                <w:sz w:val="20"/>
                <w:szCs w:val="20"/>
                <w:lang w:val="en-IN"/>
              </w:rPr>
            </w:pPr>
          </w:p>
        </w:tc>
      </w:tr>
      <w:tr w:rsidR="001C57DB" w:rsidRPr="001C57DB" w14:paraId="694795B0"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255A7E97"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1BB728A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5C9F07D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5BFCFBB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1351FDF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4B89B092"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7C47ACD3"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64BE080C" w14:textId="77777777" w:rsidR="001C57DB" w:rsidRPr="001C57DB" w:rsidRDefault="001C57DB" w:rsidP="001C57DB">
            <w:pPr>
              <w:spacing w:before="0" w:after="0" w:line="240" w:lineRule="auto"/>
              <w:jc w:val="left"/>
              <w:rPr>
                <w:sz w:val="20"/>
                <w:szCs w:val="20"/>
                <w:lang w:val="en-IN"/>
              </w:rPr>
            </w:pPr>
          </w:p>
        </w:tc>
      </w:tr>
      <w:tr w:rsidR="001C57DB" w:rsidRPr="001C57DB" w14:paraId="7544EE2D"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A467F4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"Current assets"</w:t>
            </w:r>
          </w:p>
        </w:tc>
        <w:tc>
          <w:tcPr>
            <w:tcW w:w="1340" w:type="pct"/>
            <w:vMerge w:val="restart"/>
            <w:tcBorders>
              <w:top w:val="nil"/>
              <w:left w:val="nil"/>
              <w:bottom w:val="nil"/>
              <w:right w:val="nil"/>
            </w:tcBorders>
            <w:shd w:val="clear" w:color="000000" w:fill="FFFFFF"/>
            <w:vAlign w:val="center"/>
            <w:hideMark/>
          </w:tcPr>
          <w:p w14:paraId="7D8D36F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"Current assets/Current liabilities"</w:t>
            </w:r>
          </w:p>
        </w:tc>
        <w:tc>
          <w:tcPr>
            <w:tcW w:w="494" w:type="pct"/>
            <w:tcBorders>
              <w:top w:val="nil"/>
              <w:left w:val="nil"/>
              <w:bottom w:val="nil"/>
              <w:right w:val="nil"/>
            </w:tcBorders>
            <w:shd w:val="clear" w:color="000000" w:fill="FFFFFF"/>
            <w:noWrap/>
            <w:vAlign w:val="bottom"/>
            <w:hideMark/>
          </w:tcPr>
          <w:p w14:paraId="2D832EF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11,57,64,287 </w:t>
            </w:r>
          </w:p>
        </w:tc>
        <w:tc>
          <w:tcPr>
            <w:tcW w:w="494" w:type="pct"/>
            <w:tcBorders>
              <w:top w:val="nil"/>
              <w:left w:val="nil"/>
              <w:bottom w:val="nil"/>
              <w:right w:val="nil"/>
            </w:tcBorders>
            <w:shd w:val="clear" w:color="000000" w:fill="FFFFFF"/>
            <w:noWrap/>
            <w:vAlign w:val="bottom"/>
            <w:hideMark/>
          </w:tcPr>
          <w:p w14:paraId="1CACEC2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10,17,24,717 </w:t>
            </w:r>
          </w:p>
        </w:tc>
        <w:tc>
          <w:tcPr>
            <w:tcW w:w="494" w:type="pct"/>
            <w:tcBorders>
              <w:top w:val="nil"/>
              <w:left w:val="nil"/>
              <w:bottom w:val="nil"/>
              <w:right w:val="nil"/>
            </w:tcBorders>
            <w:shd w:val="clear" w:color="000000" w:fill="FFFFFF"/>
            <w:noWrap/>
            <w:vAlign w:val="bottom"/>
            <w:hideMark/>
          </w:tcPr>
          <w:p w14:paraId="30ED7AA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9,63,89,273 </w:t>
            </w:r>
          </w:p>
        </w:tc>
        <w:tc>
          <w:tcPr>
            <w:tcW w:w="494" w:type="pct"/>
            <w:tcBorders>
              <w:top w:val="nil"/>
              <w:left w:val="nil"/>
              <w:bottom w:val="nil"/>
              <w:right w:val="nil"/>
            </w:tcBorders>
            <w:shd w:val="clear" w:color="000000" w:fill="FFFFFF"/>
            <w:noWrap/>
            <w:vAlign w:val="bottom"/>
            <w:hideMark/>
          </w:tcPr>
          <w:p w14:paraId="218624C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8,85,65,366 </w:t>
            </w:r>
          </w:p>
        </w:tc>
        <w:tc>
          <w:tcPr>
            <w:tcW w:w="494" w:type="pct"/>
            <w:tcBorders>
              <w:top w:val="nil"/>
              <w:left w:val="nil"/>
              <w:bottom w:val="nil"/>
              <w:right w:val="nil"/>
            </w:tcBorders>
            <w:shd w:val="clear" w:color="000000" w:fill="FFFFFF"/>
            <w:noWrap/>
            <w:vAlign w:val="bottom"/>
            <w:hideMark/>
          </w:tcPr>
          <w:p w14:paraId="323D4879"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8,36,86,357 </w:t>
            </w:r>
          </w:p>
        </w:tc>
        <w:tc>
          <w:tcPr>
            <w:tcW w:w="51" w:type="pct"/>
            <w:vAlign w:val="center"/>
            <w:hideMark/>
          </w:tcPr>
          <w:p w14:paraId="7412188E" w14:textId="77777777" w:rsidR="001C57DB" w:rsidRPr="001C57DB" w:rsidRDefault="001C57DB" w:rsidP="001C57DB">
            <w:pPr>
              <w:spacing w:before="0" w:after="0" w:line="240" w:lineRule="auto"/>
              <w:jc w:val="left"/>
              <w:rPr>
                <w:sz w:val="20"/>
                <w:szCs w:val="20"/>
                <w:lang w:val="en-IN"/>
              </w:rPr>
            </w:pPr>
          </w:p>
        </w:tc>
      </w:tr>
      <w:tr w:rsidR="001C57DB" w:rsidRPr="001C57DB" w14:paraId="133CE3AB"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072387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Current Liabilities"</w:t>
            </w:r>
          </w:p>
        </w:tc>
        <w:tc>
          <w:tcPr>
            <w:tcW w:w="1340" w:type="pct"/>
            <w:vMerge/>
            <w:tcBorders>
              <w:top w:val="nil"/>
              <w:left w:val="nil"/>
              <w:bottom w:val="nil"/>
              <w:right w:val="nil"/>
            </w:tcBorders>
            <w:vAlign w:val="center"/>
            <w:hideMark/>
          </w:tcPr>
          <w:p w14:paraId="68EC503E"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4CCF4AD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7,95,09,643 </w:t>
            </w:r>
          </w:p>
        </w:tc>
        <w:tc>
          <w:tcPr>
            <w:tcW w:w="494" w:type="pct"/>
            <w:tcBorders>
              <w:top w:val="nil"/>
              <w:left w:val="nil"/>
              <w:bottom w:val="nil"/>
              <w:right w:val="nil"/>
            </w:tcBorders>
            <w:shd w:val="clear" w:color="000000" w:fill="FFFFFF"/>
            <w:noWrap/>
            <w:vAlign w:val="bottom"/>
            <w:hideMark/>
          </w:tcPr>
          <w:p w14:paraId="4776FEA9"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7,33,62,103 </w:t>
            </w:r>
          </w:p>
        </w:tc>
        <w:tc>
          <w:tcPr>
            <w:tcW w:w="494" w:type="pct"/>
            <w:tcBorders>
              <w:top w:val="nil"/>
              <w:left w:val="nil"/>
              <w:bottom w:val="nil"/>
              <w:right w:val="nil"/>
            </w:tcBorders>
            <w:shd w:val="clear" w:color="000000" w:fill="FFFFFF"/>
            <w:noWrap/>
            <w:vAlign w:val="bottom"/>
            <w:hideMark/>
          </w:tcPr>
          <w:p w14:paraId="3B146A1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7,42,36,472 </w:t>
            </w:r>
          </w:p>
        </w:tc>
        <w:tc>
          <w:tcPr>
            <w:tcW w:w="494" w:type="pct"/>
            <w:tcBorders>
              <w:top w:val="nil"/>
              <w:left w:val="nil"/>
              <w:bottom w:val="nil"/>
              <w:right w:val="nil"/>
            </w:tcBorders>
            <w:shd w:val="clear" w:color="000000" w:fill="FFFFFF"/>
            <w:noWrap/>
            <w:vAlign w:val="bottom"/>
            <w:hideMark/>
          </w:tcPr>
          <w:p w14:paraId="1936E64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6,42,36,787 </w:t>
            </w:r>
          </w:p>
        </w:tc>
        <w:tc>
          <w:tcPr>
            <w:tcW w:w="494" w:type="pct"/>
            <w:tcBorders>
              <w:top w:val="nil"/>
              <w:left w:val="nil"/>
              <w:bottom w:val="nil"/>
              <w:right w:val="nil"/>
            </w:tcBorders>
            <w:shd w:val="clear" w:color="000000" w:fill="FFFFFF"/>
            <w:noWrap/>
            <w:vAlign w:val="bottom"/>
            <w:hideMark/>
          </w:tcPr>
          <w:p w14:paraId="6A2BDC5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5,94,59,528 </w:t>
            </w:r>
          </w:p>
        </w:tc>
        <w:tc>
          <w:tcPr>
            <w:tcW w:w="51" w:type="pct"/>
            <w:vAlign w:val="center"/>
            <w:hideMark/>
          </w:tcPr>
          <w:p w14:paraId="2FB02309" w14:textId="77777777" w:rsidR="001C57DB" w:rsidRPr="001C57DB" w:rsidRDefault="001C57DB" w:rsidP="001C57DB">
            <w:pPr>
              <w:spacing w:before="0" w:after="0" w:line="240" w:lineRule="auto"/>
              <w:jc w:val="left"/>
              <w:rPr>
                <w:sz w:val="20"/>
                <w:szCs w:val="20"/>
                <w:lang w:val="en-IN"/>
              </w:rPr>
            </w:pPr>
          </w:p>
        </w:tc>
      </w:tr>
      <w:tr w:rsidR="001C57DB" w:rsidRPr="001C57DB" w14:paraId="18DB6AFC"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21F6D0F8"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"Current ratio"</w:t>
            </w:r>
          </w:p>
        </w:tc>
        <w:tc>
          <w:tcPr>
            <w:tcW w:w="1340" w:type="pct"/>
            <w:vMerge/>
            <w:tcBorders>
              <w:top w:val="nil"/>
              <w:left w:val="nil"/>
              <w:bottom w:val="nil"/>
              <w:right w:val="nil"/>
            </w:tcBorders>
            <w:vAlign w:val="center"/>
            <w:hideMark/>
          </w:tcPr>
          <w:p w14:paraId="14BB7644"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76B4BCB5"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1.46</w:t>
            </w:r>
          </w:p>
        </w:tc>
        <w:tc>
          <w:tcPr>
            <w:tcW w:w="494" w:type="pct"/>
            <w:tcBorders>
              <w:top w:val="single" w:sz="4" w:space="0" w:color="auto"/>
              <w:left w:val="nil"/>
              <w:bottom w:val="single" w:sz="4" w:space="0" w:color="auto"/>
              <w:right w:val="nil"/>
            </w:tcBorders>
            <w:shd w:val="clear" w:color="000000" w:fill="FFFFFF"/>
            <w:noWrap/>
            <w:vAlign w:val="bottom"/>
            <w:hideMark/>
          </w:tcPr>
          <w:p w14:paraId="0EB859D4"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1.39</w:t>
            </w:r>
          </w:p>
        </w:tc>
        <w:tc>
          <w:tcPr>
            <w:tcW w:w="494" w:type="pct"/>
            <w:tcBorders>
              <w:top w:val="single" w:sz="4" w:space="0" w:color="auto"/>
              <w:left w:val="nil"/>
              <w:bottom w:val="single" w:sz="4" w:space="0" w:color="auto"/>
              <w:right w:val="nil"/>
            </w:tcBorders>
            <w:shd w:val="clear" w:color="000000" w:fill="FFFFFF"/>
            <w:noWrap/>
            <w:vAlign w:val="bottom"/>
            <w:hideMark/>
          </w:tcPr>
          <w:p w14:paraId="515AC70C"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1.30</w:t>
            </w:r>
          </w:p>
        </w:tc>
        <w:tc>
          <w:tcPr>
            <w:tcW w:w="494" w:type="pct"/>
            <w:tcBorders>
              <w:top w:val="single" w:sz="4" w:space="0" w:color="auto"/>
              <w:left w:val="nil"/>
              <w:bottom w:val="single" w:sz="4" w:space="0" w:color="auto"/>
              <w:right w:val="nil"/>
            </w:tcBorders>
            <w:shd w:val="clear" w:color="000000" w:fill="FFFFFF"/>
            <w:noWrap/>
            <w:vAlign w:val="bottom"/>
            <w:hideMark/>
          </w:tcPr>
          <w:p w14:paraId="2292F792"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1.38</w:t>
            </w:r>
          </w:p>
        </w:tc>
        <w:tc>
          <w:tcPr>
            <w:tcW w:w="494" w:type="pct"/>
            <w:tcBorders>
              <w:top w:val="single" w:sz="4" w:space="0" w:color="auto"/>
              <w:left w:val="nil"/>
              <w:bottom w:val="single" w:sz="4" w:space="0" w:color="auto"/>
              <w:right w:val="nil"/>
            </w:tcBorders>
            <w:shd w:val="clear" w:color="000000" w:fill="FFFFFF"/>
            <w:noWrap/>
            <w:vAlign w:val="bottom"/>
            <w:hideMark/>
          </w:tcPr>
          <w:p w14:paraId="7B305834"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1.41</w:t>
            </w:r>
          </w:p>
        </w:tc>
        <w:tc>
          <w:tcPr>
            <w:tcW w:w="51" w:type="pct"/>
            <w:vAlign w:val="center"/>
            <w:hideMark/>
          </w:tcPr>
          <w:p w14:paraId="08B4BDA0" w14:textId="77777777" w:rsidR="001C57DB" w:rsidRPr="001C57DB" w:rsidRDefault="001C57DB" w:rsidP="001C57DB">
            <w:pPr>
              <w:spacing w:before="0" w:after="0" w:line="240" w:lineRule="auto"/>
              <w:jc w:val="left"/>
              <w:rPr>
                <w:sz w:val="20"/>
                <w:szCs w:val="20"/>
                <w:lang w:val="en-IN"/>
              </w:rPr>
            </w:pPr>
          </w:p>
        </w:tc>
      </w:tr>
      <w:tr w:rsidR="001C57DB" w:rsidRPr="001C57DB" w14:paraId="482173C3"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34A4007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"Quick Ratio "</w:t>
            </w:r>
          </w:p>
        </w:tc>
        <w:tc>
          <w:tcPr>
            <w:tcW w:w="51" w:type="pct"/>
            <w:vAlign w:val="center"/>
            <w:hideMark/>
          </w:tcPr>
          <w:p w14:paraId="12B1C00D" w14:textId="77777777" w:rsidR="001C57DB" w:rsidRPr="001C57DB" w:rsidRDefault="001C57DB" w:rsidP="001C57DB">
            <w:pPr>
              <w:spacing w:before="0" w:after="0" w:line="240" w:lineRule="auto"/>
              <w:jc w:val="left"/>
              <w:rPr>
                <w:sz w:val="20"/>
                <w:szCs w:val="20"/>
                <w:lang w:val="en-IN"/>
              </w:rPr>
            </w:pPr>
          </w:p>
        </w:tc>
      </w:tr>
      <w:tr w:rsidR="001C57DB" w:rsidRPr="001C57DB" w14:paraId="4BA9C74C" w14:textId="77777777" w:rsidTr="001C57DB">
        <w:trPr>
          <w:trHeight w:val="288"/>
          <w:jc w:val="center"/>
        </w:trPr>
        <w:tc>
          <w:tcPr>
            <w:tcW w:w="4949" w:type="pct"/>
            <w:gridSpan w:val="7"/>
            <w:vMerge/>
            <w:tcBorders>
              <w:top w:val="nil"/>
              <w:left w:val="nil"/>
              <w:bottom w:val="nil"/>
              <w:right w:val="nil"/>
            </w:tcBorders>
            <w:vAlign w:val="center"/>
            <w:hideMark/>
          </w:tcPr>
          <w:p w14:paraId="4662CCCB"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57575020"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1E7570AD"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4B4F891F"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454C544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1C4A4F2F"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69CC8FA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67B08BE7"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7AF415A0"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00EE8CDF"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5A9EF04C" w14:textId="77777777" w:rsidR="001C57DB" w:rsidRPr="001C57DB" w:rsidRDefault="001C57DB" w:rsidP="001C57DB">
            <w:pPr>
              <w:spacing w:before="0" w:after="0" w:line="240" w:lineRule="auto"/>
              <w:jc w:val="left"/>
              <w:rPr>
                <w:sz w:val="20"/>
                <w:szCs w:val="20"/>
                <w:lang w:val="en-IN"/>
              </w:rPr>
            </w:pPr>
          </w:p>
        </w:tc>
      </w:tr>
      <w:tr w:rsidR="001C57DB" w:rsidRPr="001C57DB" w14:paraId="789F5EA8"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A704C5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"Current assets"</w:t>
            </w:r>
          </w:p>
        </w:tc>
        <w:tc>
          <w:tcPr>
            <w:tcW w:w="1340" w:type="pct"/>
            <w:vMerge w:val="restart"/>
            <w:tcBorders>
              <w:top w:val="nil"/>
              <w:left w:val="nil"/>
              <w:bottom w:val="nil"/>
              <w:right w:val="nil"/>
            </w:tcBorders>
            <w:shd w:val="clear" w:color="000000" w:fill="FFFFFF"/>
            <w:vAlign w:val="center"/>
            <w:hideMark/>
          </w:tcPr>
          <w:p w14:paraId="612DF8A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"(Current assets-Inventories)/Current liabilities"</w:t>
            </w:r>
          </w:p>
        </w:tc>
        <w:tc>
          <w:tcPr>
            <w:tcW w:w="494" w:type="pct"/>
            <w:tcBorders>
              <w:top w:val="nil"/>
              <w:left w:val="nil"/>
              <w:bottom w:val="nil"/>
              <w:right w:val="nil"/>
            </w:tcBorders>
            <w:shd w:val="clear" w:color="000000" w:fill="FFFFFF"/>
            <w:noWrap/>
            <w:vAlign w:val="bottom"/>
            <w:hideMark/>
          </w:tcPr>
          <w:p w14:paraId="3BA9F8D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11,57,64,287 </w:t>
            </w:r>
          </w:p>
        </w:tc>
        <w:tc>
          <w:tcPr>
            <w:tcW w:w="494" w:type="pct"/>
            <w:tcBorders>
              <w:top w:val="nil"/>
              <w:left w:val="nil"/>
              <w:bottom w:val="nil"/>
              <w:right w:val="nil"/>
            </w:tcBorders>
            <w:shd w:val="clear" w:color="000000" w:fill="FFFFFF"/>
            <w:noWrap/>
            <w:vAlign w:val="bottom"/>
            <w:hideMark/>
          </w:tcPr>
          <w:p w14:paraId="02BC0A7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10,17,24,717 </w:t>
            </w:r>
          </w:p>
        </w:tc>
        <w:tc>
          <w:tcPr>
            <w:tcW w:w="494" w:type="pct"/>
            <w:tcBorders>
              <w:top w:val="nil"/>
              <w:left w:val="nil"/>
              <w:bottom w:val="nil"/>
              <w:right w:val="nil"/>
            </w:tcBorders>
            <w:shd w:val="clear" w:color="000000" w:fill="FFFFFF"/>
            <w:noWrap/>
            <w:vAlign w:val="bottom"/>
            <w:hideMark/>
          </w:tcPr>
          <w:p w14:paraId="02EAB0E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9,63,89,273 </w:t>
            </w:r>
          </w:p>
        </w:tc>
        <w:tc>
          <w:tcPr>
            <w:tcW w:w="494" w:type="pct"/>
            <w:tcBorders>
              <w:top w:val="nil"/>
              <w:left w:val="nil"/>
              <w:bottom w:val="nil"/>
              <w:right w:val="nil"/>
            </w:tcBorders>
            <w:shd w:val="clear" w:color="000000" w:fill="FFFFFF"/>
            <w:noWrap/>
            <w:vAlign w:val="bottom"/>
            <w:hideMark/>
          </w:tcPr>
          <w:p w14:paraId="00916BC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8,85,65,366 </w:t>
            </w:r>
          </w:p>
        </w:tc>
        <w:tc>
          <w:tcPr>
            <w:tcW w:w="494" w:type="pct"/>
            <w:tcBorders>
              <w:top w:val="nil"/>
              <w:left w:val="nil"/>
              <w:bottom w:val="nil"/>
              <w:right w:val="nil"/>
            </w:tcBorders>
            <w:shd w:val="clear" w:color="000000" w:fill="FFFFFF"/>
            <w:noWrap/>
            <w:vAlign w:val="bottom"/>
            <w:hideMark/>
          </w:tcPr>
          <w:p w14:paraId="65E19F29"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8,36,86,357 </w:t>
            </w:r>
          </w:p>
        </w:tc>
        <w:tc>
          <w:tcPr>
            <w:tcW w:w="51" w:type="pct"/>
            <w:vAlign w:val="center"/>
            <w:hideMark/>
          </w:tcPr>
          <w:p w14:paraId="1BA3DE99" w14:textId="77777777" w:rsidR="001C57DB" w:rsidRPr="001C57DB" w:rsidRDefault="001C57DB" w:rsidP="001C57DB">
            <w:pPr>
              <w:spacing w:before="0" w:after="0" w:line="240" w:lineRule="auto"/>
              <w:jc w:val="left"/>
              <w:rPr>
                <w:sz w:val="20"/>
                <w:szCs w:val="20"/>
                <w:lang w:val="en-IN"/>
              </w:rPr>
            </w:pPr>
          </w:p>
        </w:tc>
      </w:tr>
      <w:tr w:rsidR="001C57DB" w:rsidRPr="001C57DB" w14:paraId="471F0D0C"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4FF536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Inventories"</w:t>
            </w:r>
          </w:p>
        </w:tc>
        <w:tc>
          <w:tcPr>
            <w:tcW w:w="1340" w:type="pct"/>
            <w:vMerge/>
            <w:tcBorders>
              <w:top w:val="nil"/>
              <w:left w:val="nil"/>
              <w:bottom w:val="nil"/>
              <w:right w:val="nil"/>
            </w:tcBorders>
            <w:vAlign w:val="center"/>
            <w:hideMark/>
          </w:tcPr>
          <w:p w14:paraId="222EB64A"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7513E6A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1,97,91,007 </w:t>
            </w:r>
          </w:p>
        </w:tc>
        <w:tc>
          <w:tcPr>
            <w:tcW w:w="494" w:type="pct"/>
            <w:tcBorders>
              <w:top w:val="nil"/>
              <w:left w:val="nil"/>
              <w:bottom w:val="nil"/>
              <w:right w:val="nil"/>
            </w:tcBorders>
            <w:shd w:val="clear" w:color="000000" w:fill="FFFFFF"/>
            <w:noWrap/>
            <w:vAlign w:val="bottom"/>
            <w:hideMark/>
          </w:tcPr>
          <w:p w14:paraId="1783C61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1,74,00,346 </w:t>
            </w:r>
          </w:p>
        </w:tc>
        <w:tc>
          <w:tcPr>
            <w:tcW w:w="494" w:type="pct"/>
            <w:tcBorders>
              <w:top w:val="nil"/>
              <w:left w:val="nil"/>
              <w:bottom w:val="nil"/>
              <w:right w:val="nil"/>
            </w:tcBorders>
            <w:shd w:val="clear" w:color="000000" w:fill="FFFFFF"/>
            <w:noWrap/>
            <w:vAlign w:val="bottom"/>
            <w:hideMark/>
          </w:tcPr>
          <w:p w14:paraId="355265B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1,42,91,216 </w:t>
            </w:r>
          </w:p>
        </w:tc>
        <w:tc>
          <w:tcPr>
            <w:tcW w:w="494" w:type="pct"/>
            <w:tcBorders>
              <w:top w:val="nil"/>
              <w:left w:val="nil"/>
              <w:bottom w:val="nil"/>
              <w:right w:val="nil"/>
            </w:tcBorders>
            <w:shd w:val="clear" w:color="000000" w:fill="FFFFFF"/>
            <w:noWrap/>
            <w:vAlign w:val="bottom"/>
            <w:hideMark/>
          </w:tcPr>
          <w:p w14:paraId="3514509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1,16,45,641 </w:t>
            </w:r>
          </w:p>
        </w:tc>
        <w:tc>
          <w:tcPr>
            <w:tcW w:w="494" w:type="pct"/>
            <w:tcBorders>
              <w:top w:val="nil"/>
              <w:left w:val="nil"/>
              <w:bottom w:val="nil"/>
              <w:right w:val="nil"/>
            </w:tcBorders>
            <w:shd w:val="clear" w:color="000000" w:fill="FFFFFF"/>
            <w:noWrap/>
            <w:vAlign w:val="bottom"/>
            <w:hideMark/>
          </w:tcPr>
          <w:p w14:paraId="6765163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1,13,33,734 </w:t>
            </w:r>
          </w:p>
        </w:tc>
        <w:tc>
          <w:tcPr>
            <w:tcW w:w="51" w:type="pct"/>
            <w:vAlign w:val="center"/>
            <w:hideMark/>
          </w:tcPr>
          <w:p w14:paraId="2C11EF88" w14:textId="77777777" w:rsidR="001C57DB" w:rsidRPr="001C57DB" w:rsidRDefault="001C57DB" w:rsidP="001C57DB">
            <w:pPr>
              <w:spacing w:before="0" w:after="0" w:line="240" w:lineRule="auto"/>
              <w:jc w:val="left"/>
              <w:rPr>
                <w:sz w:val="20"/>
                <w:szCs w:val="20"/>
                <w:lang w:val="en-IN"/>
              </w:rPr>
            </w:pPr>
          </w:p>
        </w:tc>
      </w:tr>
      <w:tr w:rsidR="001C57DB" w:rsidRPr="001C57DB" w14:paraId="7496C132"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0D445AA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"Difference"</w:t>
            </w:r>
          </w:p>
        </w:tc>
        <w:tc>
          <w:tcPr>
            <w:tcW w:w="1340" w:type="pct"/>
            <w:vMerge/>
            <w:tcBorders>
              <w:top w:val="nil"/>
              <w:left w:val="nil"/>
              <w:bottom w:val="nil"/>
              <w:right w:val="nil"/>
            </w:tcBorders>
            <w:vAlign w:val="center"/>
            <w:hideMark/>
          </w:tcPr>
          <w:p w14:paraId="1255A117"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7A11B79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9,59,73,280 </w:t>
            </w:r>
          </w:p>
        </w:tc>
        <w:tc>
          <w:tcPr>
            <w:tcW w:w="494" w:type="pct"/>
            <w:tcBorders>
              <w:top w:val="nil"/>
              <w:left w:val="nil"/>
              <w:bottom w:val="nil"/>
              <w:right w:val="nil"/>
            </w:tcBorders>
            <w:shd w:val="clear" w:color="000000" w:fill="FFFFFF"/>
            <w:noWrap/>
            <w:vAlign w:val="bottom"/>
            <w:hideMark/>
          </w:tcPr>
          <w:p w14:paraId="14BCD33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8,43,24,371 </w:t>
            </w:r>
          </w:p>
        </w:tc>
        <w:tc>
          <w:tcPr>
            <w:tcW w:w="494" w:type="pct"/>
            <w:tcBorders>
              <w:top w:val="nil"/>
              <w:left w:val="nil"/>
              <w:bottom w:val="nil"/>
              <w:right w:val="nil"/>
            </w:tcBorders>
            <w:shd w:val="clear" w:color="000000" w:fill="FFFFFF"/>
            <w:noWrap/>
            <w:vAlign w:val="bottom"/>
            <w:hideMark/>
          </w:tcPr>
          <w:p w14:paraId="2B003AE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8,20,98,057 </w:t>
            </w:r>
          </w:p>
        </w:tc>
        <w:tc>
          <w:tcPr>
            <w:tcW w:w="494" w:type="pct"/>
            <w:tcBorders>
              <w:top w:val="nil"/>
              <w:left w:val="nil"/>
              <w:bottom w:val="nil"/>
              <w:right w:val="nil"/>
            </w:tcBorders>
            <w:shd w:val="clear" w:color="000000" w:fill="FFFFFF"/>
            <w:noWrap/>
            <w:vAlign w:val="bottom"/>
            <w:hideMark/>
          </w:tcPr>
          <w:p w14:paraId="42E079C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7,69,19,725 </w:t>
            </w:r>
          </w:p>
        </w:tc>
        <w:tc>
          <w:tcPr>
            <w:tcW w:w="494" w:type="pct"/>
            <w:tcBorders>
              <w:top w:val="nil"/>
              <w:left w:val="nil"/>
              <w:bottom w:val="nil"/>
              <w:right w:val="nil"/>
            </w:tcBorders>
            <w:shd w:val="clear" w:color="000000" w:fill="FFFFFF"/>
            <w:noWrap/>
            <w:vAlign w:val="bottom"/>
            <w:hideMark/>
          </w:tcPr>
          <w:p w14:paraId="38AD64B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7,23,52,623 </w:t>
            </w:r>
          </w:p>
        </w:tc>
        <w:tc>
          <w:tcPr>
            <w:tcW w:w="51" w:type="pct"/>
            <w:vAlign w:val="center"/>
            <w:hideMark/>
          </w:tcPr>
          <w:p w14:paraId="6EFCD57B" w14:textId="77777777" w:rsidR="001C57DB" w:rsidRPr="001C57DB" w:rsidRDefault="001C57DB" w:rsidP="001C57DB">
            <w:pPr>
              <w:spacing w:before="0" w:after="0" w:line="240" w:lineRule="auto"/>
              <w:jc w:val="left"/>
              <w:rPr>
                <w:sz w:val="20"/>
                <w:szCs w:val="20"/>
                <w:lang w:val="en-IN"/>
              </w:rPr>
            </w:pPr>
          </w:p>
        </w:tc>
      </w:tr>
      <w:tr w:rsidR="001C57DB" w:rsidRPr="001C57DB" w14:paraId="7A55A40E"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567EA28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Current Liabilities"</w:t>
            </w:r>
          </w:p>
        </w:tc>
        <w:tc>
          <w:tcPr>
            <w:tcW w:w="1340" w:type="pct"/>
            <w:vMerge/>
            <w:tcBorders>
              <w:top w:val="nil"/>
              <w:left w:val="nil"/>
              <w:bottom w:val="nil"/>
              <w:right w:val="nil"/>
            </w:tcBorders>
            <w:vAlign w:val="center"/>
            <w:hideMark/>
          </w:tcPr>
          <w:p w14:paraId="532F2A7B"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537D850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7,95,09,643 </w:t>
            </w:r>
          </w:p>
        </w:tc>
        <w:tc>
          <w:tcPr>
            <w:tcW w:w="494" w:type="pct"/>
            <w:tcBorders>
              <w:top w:val="nil"/>
              <w:left w:val="nil"/>
              <w:bottom w:val="nil"/>
              <w:right w:val="nil"/>
            </w:tcBorders>
            <w:shd w:val="clear" w:color="000000" w:fill="FFFFFF"/>
            <w:noWrap/>
            <w:vAlign w:val="bottom"/>
            <w:hideMark/>
          </w:tcPr>
          <w:p w14:paraId="116631C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7,33,62,103 </w:t>
            </w:r>
          </w:p>
        </w:tc>
        <w:tc>
          <w:tcPr>
            <w:tcW w:w="494" w:type="pct"/>
            <w:tcBorders>
              <w:top w:val="nil"/>
              <w:left w:val="nil"/>
              <w:bottom w:val="nil"/>
              <w:right w:val="nil"/>
            </w:tcBorders>
            <w:shd w:val="clear" w:color="000000" w:fill="FFFFFF"/>
            <w:noWrap/>
            <w:vAlign w:val="bottom"/>
            <w:hideMark/>
          </w:tcPr>
          <w:p w14:paraId="18910C1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7,42,36,472 </w:t>
            </w:r>
          </w:p>
        </w:tc>
        <w:tc>
          <w:tcPr>
            <w:tcW w:w="494" w:type="pct"/>
            <w:tcBorders>
              <w:top w:val="nil"/>
              <w:left w:val="nil"/>
              <w:bottom w:val="nil"/>
              <w:right w:val="nil"/>
            </w:tcBorders>
            <w:shd w:val="clear" w:color="000000" w:fill="FFFFFF"/>
            <w:noWrap/>
            <w:vAlign w:val="bottom"/>
            <w:hideMark/>
          </w:tcPr>
          <w:p w14:paraId="0F88C16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6,42,36,787 </w:t>
            </w:r>
          </w:p>
        </w:tc>
        <w:tc>
          <w:tcPr>
            <w:tcW w:w="494" w:type="pct"/>
            <w:tcBorders>
              <w:top w:val="nil"/>
              <w:left w:val="nil"/>
              <w:bottom w:val="nil"/>
              <w:right w:val="nil"/>
            </w:tcBorders>
            <w:shd w:val="clear" w:color="000000" w:fill="FFFFFF"/>
            <w:noWrap/>
            <w:vAlign w:val="bottom"/>
            <w:hideMark/>
          </w:tcPr>
          <w:p w14:paraId="0C70E62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5,94,59,528 </w:t>
            </w:r>
          </w:p>
        </w:tc>
        <w:tc>
          <w:tcPr>
            <w:tcW w:w="51" w:type="pct"/>
            <w:vAlign w:val="center"/>
            <w:hideMark/>
          </w:tcPr>
          <w:p w14:paraId="623A86E3" w14:textId="77777777" w:rsidR="001C57DB" w:rsidRPr="001C57DB" w:rsidRDefault="001C57DB" w:rsidP="001C57DB">
            <w:pPr>
              <w:spacing w:before="0" w:after="0" w:line="240" w:lineRule="auto"/>
              <w:jc w:val="left"/>
              <w:rPr>
                <w:sz w:val="20"/>
                <w:szCs w:val="20"/>
                <w:lang w:val="en-IN"/>
              </w:rPr>
            </w:pPr>
          </w:p>
        </w:tc>
      </w:tr>
      <w:tr w:rsidR="001C57DB" w:rsidRPr="001C57DB" w14:paraId="0DE8DDC3"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42839503"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"Quick Ratio "</w:t>
            </w:r>
          </w:p>
        </w:tc>
        <w:tc>
          <w:tcPr>
            <w:tcW w:w="1340" w:type="pct"/>
            <w:vMerge/>
            <w:tcBorders>
              <w:top w:val="nil"/>
              <w:left w:val="nil"/>
              <w:bottom w:val="nil"/>
              <w:right w:val="nil"/>
            </w:tcBorders>
            <w:vAlign w:val="center"/>
            <w:hideMark/>
          </w:tcPr>
          <w:p w14:paraId="4CF86B88"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71421945"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1.21</w:t>
            </w:r>
          </w:p>
        </w:tc>
        <w:tc>
          <w:tcPr>
            <w:tcW w:w="494" w:type="pct"/>
            <w:tcBorders>
              <w:top w:val="single" w:sz="4" w:space="0" w:color="auto"/>
              <w:left w:val="nil"/>
              <w:bottom w:val="single" w:sz="4" w:space="0" w:color="auto"/>
              <w:right w:val="nil"/>
            </w:tcBorders>
            <w:shd w:val="clear" w:color="000000" w:fill="FFFFFF"/>
            <w:noWrap/>
            <w:vAlign w:val="bottom"/>
            <w:hideMark/>
          </w:tcPr>
          <w:p w14:paraId="0FD0563E"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1.15</w:t>
            </w:r>
          </w:p>
        </w:tc>
        <w:tc>
          <w:tcPr>
            <w:tcW w:w="494" w:type="pct"/>
            <w:tcBorders>
              <w:top w:val="single" w:sz="4" w:space="0" w:color="auto"/>
              <w:left w:val="nil"/>
              <w:bottom w:val="single" w:sz="4" w:space="0" w:color="auto"/>
              <w:right w:val="nil"/>
            </w:tcBorders>
            <w:shd w:val="clear" w:color="000000" w:fill="FFFFFF"/>
            <w:noWrap/>
            <w:vAlign w:val="bottom"/>
            <w:hideMark/>
          </w:tcPr>
          <w:p w14:paraId="46894AD6"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1.11</w:t>
            </w:r>
          </w:p>
        </w:tc>
        <w:tc>
          <w:tcPr>
            <w:tcW w:w="494" w:type="pct"/>
            <w:tcBorders>
              <w:top w:val="single" w:sz="4" w:space="0" w:color="auto"/>
              <w:left w:val="nil"/>
              <w:bottom w:val="single" w:sz="4" w:space="0" w:color="auto"/>
              <w:right w:val="nil"/>
            </w:tcBorders>
            <w:shd w:val="clear" w:color="000000" w:fill="FFFFFF"/>
            <w:noWrap/>
            <w:vAlign w:val="bottom"/>
            <w:hideMark/>
          </w:tcPr>
          <w:p w14:paraId="1C08C411"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1.20</w:t>
            </w:r>
          </w:p>
        </w:tc>
        <w:tc>
          <w:tcPr>
            <w:tcW w:w="494" w:type="pct"/>
            <w:tcBorders>
              <w:top w:val="single" w:sz="4" w:space="0" w:color="auto"/>
              <w:left w:val="nil"/>
              <w:bottom w:val="single" w:sz="4" w:space="0" w:color="auto"/>
              <w:right w:val="nil"/>
            </w:tcBorders>
            <w:shd w:val="clear" w:color="000000" w:fill="FFFFFF"/>
            <w:noWrap/>
            <w:vAlign w:val="bottom"/>
            <w:hideMark/>
          </w:tcPr>
          <w:p w14:paraId="17568F3A"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1.22</w:t>
            </w:r>
          </w:p>
        </w:tc>
        <w:tc>
          <w:tcPr>
            <w:tcW w:w="51" w:type="pct"/>
            <w:vAlign w:val="center"/>
            <w:hideMark/>
          </w:tcPr>
          <w:p w14:paraId="6EC16FBF" w14:textId="77777777" w:rsidR="001C57DB" w:rsidRPr="001C57DB" w:rsidRDefault="001C57DB" w:rsidP="001C57DB">
            <w:pPr>
              <w:spacing w:before="0" w:after="0" w:line="240" w:lineRule="auto"/>
              <w:jc w:val="left"/>
              <w:rPr>
                <w:sz w:val="20"/>
                <w:szCs w:val="20"/>
                <w:lang w:val="en-IN"/>
              </w:rPr>
            </w:pPr>
          </w:p>
        </w:tc>
      </w:tr>
      <w:tr w:rsidR="001C57DB" w:rsidRPr="001C57DB" w14:paraId="791C4211"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3990408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"Cash Ratio"</w:t>
            </w:r>
          </w:p>
        </w:tc>
        <w:tc>
          <w:tcPr>
            <w:tcW w:w="51" w:type="pct"/>
            <w:vAlign w:val="center"/>
            <w:hideMark/>
          </w:tcPr>
          <w:p w14:paraId="6E0962B2" w14:textId="77777777" w:rsidR="001C57DB" w:rsidRPr="001C57DB" w:rsidRDefault="001C57DB" w:rsidP="001C57DB">
            <w:pPr>
              <w:spacing w:before="0" w:after="0" w:line="240" w:lineRule="auto"/>
              <w:jc w:val="left"/>
              <w:rPr>
                <w:sz w:val="20"/>
                <w:szCs w:val="20"/>
                <w:lang w:val="en-IN"/>
              </w:rPr>
            </w:pPr>
          </w:p>
        </w:tc>
      </w:tr>
      <w:tr w:rsidR="001C57DB" w:rsidRPr="001C57DB" w14:paraId="37474AB9" w14:textId="77777777" w:rsidTr="001C57DB">
        <w:trPr>
          <w:trHeight w:val="288"/>
          <w:jc w:val="center"/>
        </w:trPr>
        <w:tc>
          <w:tcPr>
            <w:tcW w:w="4949" w:type="pct"/>
            <w:gridSpan w:val="7"/>
            <w:vMerge/>
            <w:tcBorders>
              <w:top w:val="nil"/>
              <w:left w:val="nil"/>
              <w:bottom w:val="nil"/>
              <w:right w:val="nil"/>
            </w:tcBorders>
            <w:vAlign w:val="center"/>
            <w:hideMark/>
          </w:tcPr>
          <w:p w14:paraId="4C1F8CAC"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71647E1E"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44AF359F"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450A5E9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39DAC5D4"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18E4381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0648E802"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35F94ECC"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3850B92F"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0BDD081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398BD676" w14:textId="77777777" w:rsidR="001C57DB" w:rsidRPr="001C57DB" w:rsidRDefault="001C57DB" w:rsidP="001C57DB">
            <w:pPr>
              <w:spacing w:before="0" w:after="0" w:line="240" w:lineRule="auto"/>
              <w:jc w:val="left"/>
              <w:rPr>
                <w:sz w:val="20"/>
                <w:szCs w:val="20"/>
                <w:lang w:val="en-IN"/>
              </w:rPr>
            </w:pPr>
          </w:p>
        </w:tc>
      </w:tr>
      <w:tr w:rsidR="001C57DB" w:rsidRPr="001C57DB" w14:paraId="42615E4F"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0A8FCE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"Cash"</w:t>
            </w:r>
          </w:p>
        </w:tc>
        <w:tc>
          <w:tcPr>
            <w:tcW w:w="1340" w:type="pct"/>
            <w:vMerge w:val="restart"/>
            <w:tcBorders>
              <w:top w:val="nil"/>
              <w:left w:val="nil"/>
              <w:bottom w:val="nil"/>
              <w:right w:val="nil"/>
            </w:tcBorders>
            <w:shd w:val="clear" w:color="000000" w:fill="FFFFFF"/>
            <w:vAlign w:val="center"/>
            <w:hideMark/>
          </w:tcPr>
          <w:p w14:paraId="3DFB62E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"Cash / Current Liabilities"</w:t>
            </w:r>
          </w:p>
        </w:tc>
        <w:tc>
          <w:tcPr>
            <w:tcW w:w="494" w:type="pct"/>
            <w:tcBorders>
              <w:top w:val="nil"/>
              <w:left w:val="nil"/>
              <w:bottom w:val="nil"/>
              <w:right w:val="nil"/>
            </w:tcBorders>
            <w:shd w:val="clear" w:color="000000" w:fill="FFFFFF"/>
            <w:noWrap/>
            <w:vAlign w:val="bottom"/>
            <w:hideMark/>
          </w:tcPr>
          <w:p w14:paraId="700E96E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1,90,14,944 </w:t>
            </w:r>
          </w:p>
        </w:tc>
        <w:tc>
          <w:tcPr>
            <w:tcW w:w="494" w:type="pct"/>
            <w:tcBorders>
              <w:top w:val="nil"/>
              <w:left w:val="nil"/>
              <w:bottom w:val="nil"/>
              <w:right w:val="nil"/>
            </w:tcBorders>
            <w:shd w:val="clear" w:color="000000" w:fill="FFFFFF"/>
            <w:noWrap/>
            <w:vAlign w:val="bottom"/>
            <w:hideMark/>
          </w:tcPr>
          <w:p w14:paraId="7AC00B5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1,91,66,619 </w:t>
            </w:r>
          </w:p>
        </w:tc>
        <w:tc>
          <w:tcPr>
            <w:tcW w:w="494" w:type="pct"/>
            <w:tcBorders>
              <w:top w:val="nil"/>
              <w:left w:val="nil"/>
              <w:bottom w:val="nil"/>
              <w:right w:val="nil"/>
            </w:tcBorders>
            <w:shd w:val="clear" w:color="000000" w:fill="FFFFFF"/>
            <w:noWrap/>
            <w:vAlign w:val="bottom"/>
            <w:hideMark/>
          </w:tcPr>
          <w:p w14:paraId="347FBFF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2,08,64,879 </w:t>
            </w:r>
          </w:p>
        </w:tc>
        <w:tc>
          <w:tcPr>
            <w:tcW w:w="494" w:type="pct"/>
            <w:tcBorders>
              <w:top w:val="nil"/>
              <w:left w:val="nil"/>
              <w:bottom w:val="nil"/>
              <w:right w:val="nil"/>
            </w:tcBorders>
            <w:shd w:val="clear" w:color="000000" w:fill="FFFFFF"/>
            <w:noWrap/>
            <w:vAlign w:val="bottom"/>
            <w:hideMark/>
          </w:tcPr>
          <w:p w14:paraId="23F4BCA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1,27,95,554 </w:t>
            </w:r>
          </w:p>
        </w:tc>
        <w:tc>
          <w:tcPr>
            <w:tcW w:w="494" w:type="pct"/>
            <w:tcBorders>
              <w:top w:val="nil"/>
              <w:left w:val="nil"/>
              <w:bottom w:val="nil"/>
              <w:right w:val="nil"/>
            </w:tcBorders>
            <w:shd w:val="clear" w:color="000000" w:fill="FFFFFF"/>
            <w:noWrap/>
            <w:vAlign w:val="bottom"/>
            <w:hideMark/>
          </w:tcPr>
          <w:p w14:paraId="7EF61C8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98,62,136 </w:t>
            </w:r>
          </w:p>
        </w:tc>
        <w:tc>
          <w:tcPr>
            <w:tcW w:w="51" w:type="pct"/>
            <w:vAlign w:val="center"/>
            <w:hideMark/>
          </w:tcPr>
          <w:p w14:paraId="42B20472" w14:textId="77777777" w:rsidR="001C57DB" w:rsidRPr="001C57DB" w:rsidRDefault="001C57DB" w:rsidP="001C57DB">
            <w:pPr>
              <w:spacing w:before="0" w:after="0" w:line="240" w:lineRule="auto"/>
              <w:jc w:val="left"/>
              <w:rPr>
                <w:sz w:val="20"/>
                <w:szCs w:val="20"/>
                <w:lang w:val="en-IN"/>
              </w:rPr>
            </w:pPr>
          </w:p>
        </w:tc>
      </w:tr>
      <w:tr w:rsidR="001C57DB" w:rsidRPr="001C57DB" w14:paraId="597AAC09"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2C6BCED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Current Liabilities"</w:t>
            </w:r>
          </w:p>
        </w:tc>
        <w:tc>
          <w:tcPr>
            <w:tcW w:w="1340" w:type="pct"/>
            <w:vMerge/>
            <w:tcBorders>
              <w:top w:val="nil"/>
              <w:left w:val="nil"/>
              <w:bottom w:val="nil"/>
              <w:right w:val="nil"/>
            </w:tcBorders>
            <w:vAlign w:val="center"/>
            <w:hideMark/>
          </w:tcPr>
          <w:p w14:paraId="3EEA2B20"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3885467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7,95,09,643 </w:t>
            </w:r>
          </w:p>
        </w:tc>
        <w:tc>
          <w:tcPr>
            <w:tcW w:w="494" w:type="pct"/>
            <w:tcBorders>
              <w:top w:val="nil"/>
              <w:left w:val="nil"/>
              <w:bottom w:val="nil"/>
              <w:right w:val="nil"/>
            </w:tcBorders>
            <w:shd w:val="clear" w:color="000000" w:fill="FFFFFF"/>
            <w:noWrap/>
            <w:vAlign w:val="bottom"/>
            <w:hideMark/>
          </w:tcPr>
          <w:p w14:paraId="6BEDF76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7,33,62,103 </w:t>
            </w:r>
          </w:p>
        </w:tc>
        <w:tc>
          <w:tcPr>
            <w:tcW w:w="494" w:type="pct"/>
            <w:tcBorders>
              <w:top w:val="nil"/>
              <w:left w:val="nil"/>
              <w:bottom w:val="nil"/>
              <w:right w:val="nil"/>
            </w:tcBorders>
            <w:shd w:val="clear" w:color="000000" w:fill="FFFFFF"/>
            <w:noWrap/>
            <w:vAlign w:val="bottom"/>
            <w:hideMark/>
          </w:tcPr>
          <w:p w14:paraId="2339545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7,42,36,472 </w:t>
            </w:r>
          </w:p>
        </w:tc>
        <w:tc>
          <w:tcPr>
            <w:tcW w:w="494" w:type="pct"/>
            <w:tcBorders>
              <w:top w:val="nil"/>
              <w:left w:val="nil"/>
              <w:bottom w:val="nil"/>
              <w:right w:val="nil"/>
            </w:tcBorders>
            <w:shd w:val="clear" w:color="000000" w:fill="FFFFFF"/>
            <w:noWrap/>
            <w:vAlign w:val="bottom"/>
            <w:hideMark/>
          </w:tcPr>
          <w:p w14:paraId="6965FF6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6,42,36,787 </w:t>
            </w:r>
          </w:p>
        </w:tc>
        <w:tc>
          <w:tcPr>
            <w:tcW w:w="494" w:type="pct"/>
            <w:tcBorders>
              <w:top w:val="nil"/>
              <w:left w:val="nil"/>
              <w:bottom w:val="nil"/>
              <w:right w:val="nil"/>
            </w:tcBorders>
            <w:shd w:val="clear" w:color="000000" w:fill="FFFFFF"/>
            <w:noWrap/>
            <w:vAlign w:val="bottom"/>
            <w:hideMark/>
          </w:tcPr>
          <w:p w14:paraId="0903CBD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5,94,59,528 </w:t>
            </w:r>
          </w:p>
        </w:tc>
        <w:tc>
          <w:tcPr>
            <w:tcW w:w="51" w:type="pct"/>
            <w:vAlign w:val="center"/>
            <w:hideMark/>
          </w:tcPr>
          <w:p w14:paraId="71AEC9A5" w14:textId="77777777" w:rsidR="001C57DB" w:rsidRPr="001C57DB" w:rsidRDefault="001C57DB" w:rsidP="001C57DB">
            <w:pPr>
              <w:spacing w:before="0" w:after="0" w:line="240" w:lineRule="auto"/>
              <w:jc w:val="left"/>
              <w:rPr>
                <w:sz w:val="20"/>
                <w:szCs w:val="20"/>
                <w:lang w:val="en-IN"/>
              </w:rPr>
            </w:pPr>
          </w:p>
        </w:tc>
      </w:tr>
      <w:tr w:rsidR="001C57DB" w:rsidRPr="001C57DB" w14:paraId="57F1F483"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5226C117"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"Cash Ratio"</w:t>
            </w:r>
          </w:p>
        </w:tc>
        <w:tc>
          <w:tcPr>
            <w:tcW w:w="1340" w:type="pct"/>
            <w:vMerge/>
            <w:tcBorders>
              <w:top w:val="nil"/>
              <w:left w:val="nil"/>
              <w:bottom w:val="nil"/>
              <w:right w:val="nil"/>
            </w:tcBorders>
            <w:vAlign w:val="center"/>
            <w:hideMark/>
          </w:tcPr>
          <w:p w14:paraId="33CA77CE"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7962FB9D"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0.24</w:t>
            </w:r>
          </w:p>
        </w:tc>
        <w:tc>
          <w:tcPr>
            <w:tcW w:w="494" w:type="pct"/>
            <w:tcBorders>
              <w:top w:val="single" w:sz="4" w:space="0" w:color="auto"/>
              <w:left w:val="nil"/>
              <w:bottom w:val="single" w:sz="4" w:space="0" w:color="auto"/>
              <w:right w:val="nil"/>
            </w:tcBorders>
            <w:shd w:val="clear" w:color="000000" w:fill="FFFFFF"/>
            <w:noWrap/>
            <w:vAlign w:val="bottom"/>
            <w:hideMark/>
          </w:tcPr>
          <w:p w14:paraId="655BB7CF"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0.26</w:t>
            </w:r>
          </w:p>
        </w:tc>
        <w:tc>
          <w:tcPr>
            <w:tcW w:w="494" w:type="pct"/>
            <w:tcBorders>
              <w:top w:val="single" w:sz="4" w:space="0" w:color="auto"/>
              <w:left w:val="nil"/>
              <w:bottom w:val="single" w:sz="4" w:space="0" w:color="auto"/>
              <w:right w:val="nil"/>
            </w:tcBorders>
            <w:shd w:val="clear" w:color="000000" w:fill="FFFFFF"/>
            <w:noWrap/>
            <w:vAlign w:val="bottom"/>
            <w:hideMark/>
          </w:tcPr>
          <w:p w14:paraId="0AA7711F"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0.28</w:t>
            </w:r>
          </w:p>
        </w:tc>
        <w:tc>
          <w:tcPr>
            <w:tcW w:w="494" w:type="pct"/>
            <w:tcBorders>
              <w:top w:val="single" w:sz="4" w:space="0" w:color="auto"/>
              <w:left w:val="nil"/>
              <w:bottom w:val="single" w:sz="4" w:space="0" w:color="auto"/>
              <w:right w:val="nil"/>
            </w:tcBorders>
            <w:shd w:val="clear" w:color="000000" w:fill="FFFFFF"/>
            <w:noWrap/>
            <w:vAlign w:val="bottom"/>
            <w:hideMark/>
          </w:tcPr>
          <w:p w14:paraId="54AB5B79"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0.20</w:t>
            </w:r>
          </w:p>
        </w:tc>
        <w:tc>
          <w:tcPr>
            <w:tcW w:w="494" w:type="pct"/>
            <w:tcBorders>
              <w:top w:val="single" w:sz="4" w:space="0" w:color="auto"/>
              <w:left w:val="nil"/>
              <w:bottom w:val="single" w:sz="4" w:space="0" w:color="auto"/>
              <w:right w:val="nil"/>
            </w:tcBorders>
            <w:shd w:val="clear" w:color="000000" w:fill="FFFFFF"/>
            <w:noWrap/>
            <w:vAlign w:val="bottom"/>
            <w:hideMark/>
          </w:tcPr>
          <w:p w14:paraId="4CE1070D"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0.17</w:t>
            </w:r>
          </w:p>
        </w:tc>
        <w:tc>
          <w:tcPr>
            <w:tcW w:w="51" w:type="pct"/>
            <w:vAlign w:val="center"/>
            <w:hideMark/>
          </w:tcPr>
          <w:p w14:paraId="6FD84C3F" w14:textId="77777777" w:rsidR="001C57DB" w:rsidRPr="001C57DB" w:rsidRDefault="001C57DB" w:rsidP="001C57DB">
            <w:pPr>
              <w:spacing w:before="0" w:after="0" w:line="240" w:lineRule="auto"/>
              <w:jc w:val="left"/>
              <w:rPr>
                <w:sz w:val="20"/>
                <w:szCs w:val="20"/>
                <w:lang w:val="en-IN"/>
              </w:rPr>
            </w:pPr>
          </w:p>
        </w:tc>
      </w:tr>
      <w:tr w:rsidR="001C57DB" w:rsidRPr="001C57DB" w14:paraId="3A961C95"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783E278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"Efficiency ratio"</w:t>
            </w:r>
          </w:p>
        </w:tc>
        <w:tc>
          <w:tcPr>
            <w:tcW w:w="51" w:type="pct"/>
            <w:vAlign w:val="center"/>
            <w:hideMark/>
          </w:tcPr>
          <w:p w14:paraId="037F02AB" w14:textId="77777777" w:rsidR="001C57DB" w:rsidRPr="001C57DB" w:rsidRDefault="001C57DB" w:rsidP="001C57DB">
            <w:pPr>
              <w:spacing w:before="0" w:after="0" w:line="240" w:lineRule="auto"/>
              <w:jc w:val="left"/>
              <w:rPr>
                <w:sz w:val="20"/>
                <w:szCs w:val="20"/>
                <w:lang w:val="en-IN"/>
              </w:rPr>
            </w:pPr>
          </w:p>
        </w:tc>
      </w:tr>
      <w:tr w:rsidR="001C57DB" w:rsidRPr="001C57DB" w14:paraId="2A74B025" w14:textId="77777777" w:rsidTr="001C57DB">
        <w:trPr>
          <w:trHeight w:val="288"/>
          <w:jc w:val="center"/>
        </w:trPr>
        <w:tc>
          <w:tcPr>
            <w:tcW w:w="4949" w:type="pct"/>
            <w:gridSpan w:val="7"/>
            <w:vMerge/>
            <w:tcBorders>
              <w:top w:val="nil"/>
              <w:left w:val="nil"/>
              <w:bottom w:val="nil"/>
              <w:right w:val="nil"/>
            </w:tcBorders>
            <w:vAlign w:val="center"/>
            <w:hideMark/>
          </w:tcPr>
          <w:p w14:paraId="2BD35E64"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66D8E922"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7439CB13" w14:textId="77777777" w:rsidTr="001C57DB">
        <w:trPr>
          <w:trHeight w:val="312"/>
          <w:jc w:val="center"/>
        </w:trPr>
        <w:tc>
          <w:tcPr>
            <w:tcW w:w="4949" w:type="pct"/>
            <w:gridSpan w:val="7"/>
            <w:tcBorders>
              <w:top w:val="nil"/>
              <w:left w:val="nil"/>
              <w:bottom w:val="nil"/>
              <w:right w:val="nil"/>
            </w:tcBorders>
            <w:shd w:val="clear" w:color="000000" w:fill="DAE9F8"/>
            <w:noWrap/>
            <w:vAlign w:val="bottom"/>
            <w:hideMark/>
          </w:tcPr>
          <w:p w14:paraId="5996396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"Accounts Receivable Turnover"</w:t>
            </w:r>
          </w:p>
        </w:tc>
        <w:tc>
          <w:tcPr>
            <w:tcW w:w="51" w:type="pct"/>
            <w:vAlign w:val="center"/>
            <w:hideMark/>
          </w:tcPr>
          <w:p w14:paraId="73252CEF" w14:textId="77777777" w:rsidR="001C57DB" w:rsidRPr="001C57DB" w:rsidRDefault="001C57DB" w:rsidP="001C57DB">
            <w:pPr>
              <w:spacing w:before="0" w:after="0" w:line="240" w:lineRule="auto"/>
              <w:jc w:val="left"/>
              <w:rPr>
                <w:sz w:val="20"/>
                <w:szCs w:val="20"/>
                <w:lang w:val="en-IN"/>
              </w:rPr>
            </w:pPr>
          </w:p>
        </w:tc>
      </w:tr>
      <w:tr w:rsidR="001C57DB" w:rsidRPr="001C57DB" w14:paraId="22BA6788"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8309AA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2BA9D12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2CC9D93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569F5CE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3ABC447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639C5430"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7F569B0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3886B429" w14:textId="77777777" w:rsidR="001C57DB" w:rsidRPr="001C57DB" w:rsidRDefault="001C57DB" w:rsidP="001C57DB">
            <w:pPr>
              <w:spacing w:before="0" w:after="0" w:line="240" w:lineRule="auto"/>
              <w:jc w:val="left"/>
              <w:rPr>
                <w:sz w:val="20"/>
                <w:szCs w:val="20"/>
                <w:lang w:val="en-IN"/>
              </w:rPr>
            </w:pPr>
          </w:p>
        </w:tc>
      </w:tr>
      <w:tr w:rsidR="001C57DB" w:rsidRPr="001C57DB" w14:paraId="725FE960"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4228FB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"Accounts Receivable"</w:t>
            </w:r>
          </w:p>
        </w:tc>
        <w:tc>
          <w:tcPr>
            <w:tcW w:w="1340" w:type="pct"/>
            <w:vMerge w:val="restart"/>
            <w:tcBorders>
              <w:top w:val="nil"/>
              <w:left w:val="nil"/>
              <w:bottom w:val="nil"/>
              <w:right w:val="nil"/>
            </w:tcBorders>
            <w:shd w:val="clear" w:color="000000" w:fill="FFFFFF"/>
            <w:vAlign w:val="center"/>
            <w:hideMark/>
          </w:tcPr>
          <w:p w14:paraId="1CEF577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"(Accounts Receivable / Average of Daily Sales)"</w:t>
            </w:r>
          </w:p>
        </w:tc>
        <w:tc>
          <w:tcPr>
            <w:tcW w:w="494" w:type="pct"/>
            <w:tcBorders>
              <w:top w:val="nil"/>
              <w:left w:val="nil"/>
              <w:bottom w:val="nil"/>
              <w:right w:val="nil"/>
            </w:tcBorders>
            <w:shd w:val="clear" w:color="000000" w:fill="FFFFFF"/>
            <w:noWrap/>
            <w:vAlign w:val="bottom"/>
            <w:hideMark/>
          </w:tcPr>
          <w:p w14:paraId="24FC164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59,08,079 </w:t>
            </w:r>
          </w:p>
        </w:tc>
        <w:tc>
          <w:tcPr>
            <w:tcW w:w="494" w:type="pct"/>
            <w:tcBorders>
              <w:top w:val="nil"/>
              <w:left w:val="nil"/>
              <w:bottom w:val="nil"/>
              <w:right w:val="nil"/>
            </w:tcBorders>
            <w:shd w:val="clear" w:color="000000" w:fill="FFFFFF"/>
            <w:noWrap/>
            <w:vAlign w:val="bottom"/>
            <w:hideMark/>
          </w:tcPr>
          <w:p w14:paraId="75EE65C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46,82,182 </w:t>
            </w:r>
          </w:p>
        </w:tc>
        <w:tc>
          <w:tcPr>
            <w:tcW w:w="494" w:type="pct"/>
            <w:tcBorders>
              <w:top w:val="nil"/>
              <w:left w:val="nil"/>
              <w:bottom w:val="nil"/>
              <w:right w:val="nil"/>
            </w:tcBorders>
            <w:shd w:val="clear" w:color="000000" w:fill="FFFFFF"/>
            <w:noWrap/>
            <w:vAlign w:val="bottom"/>
            <w:hideMark/>
          </w:tcPr>
          <w:p w14:paraId="55C4271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42,79,057 </w:t>
            </w:r>
          </w:p>
        </w:tc>
        <w:tc>
          <w:tcPr>
            <w:tcW w:w="494" w:type="pct"/>
            <w:tcBorders>
              <w:top w:val="nil"/>
              <w:left w:val="nil"/>
              <w:bottom w:val="nil"/>
              <w:right w:val="nil"/>
            </w:tcBorders>
            <w:shd w:val="clear" w:color="000000" w:fill="FFFFFF"/>
            <w:noWrap/>
            <w:vAlign w:val="bottom"/>
            <w:hideMark/>
          </w:tcPr>
          <w:p w14:paraId="611B76A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31,47,296 </w:t>
            </w:r>
          </w:p>
        </w:tc>
        <w:tc>
          <w:tcPr>
            <w:tcW w:w="494" w:type="pct"/>
            <w:tcBorders>
              <w:top w:val="nil"/>
              <w:left w:val="nil"/>
              <w:bottom w:val="nil"/>
              <w:right w:val="nil"/>
            </w:tcBorders>
            <w:shd w:val="clear" w:color="000000" w:fill="FFFFFF"/>
            <w:noWrap/>
            <w:vAlign w:val="bottom"/>
            <w:hideMark/>
          </w:tcPr>
          <w:p w14:paraId="75A345A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32,83,972 </w:t>
            </w:r>
          </w:p>
        </w:tc>
        <w:tc>
          <w:tcPr>
            <w:tcW w:w="51" w:type="pct"/>
            <w:vAlign w:val="center"/>
            <w:hideMark/>
          </w:tcPr>
          <w:p w14:paraId="13B3C381" w14:textId="77777777" w:rsidR="001C57DB" w:rsidRPr="001C57DB" w:rsidRDefault="001C57DB" w:rsidP="001C57DB">
            <w:pPr>
              <w:spacing w:before="0" w:after="0" w:line="240" w:lineRule="auto"/>
              <w:jc w:val="left"/>
              <w:rPr>
                <w:sz w:val="20"/>
                <w:szCs w:val="20"/>
                <w:lang w:val="en-IN"/>
              </w:rPr>
            </w:pPr>
          </w:p>
        </w:tc>
      </w:tr>
      <w:tr w:rsidR="001C57DB" w:rsidRPr="001C57DB" w14:paraId="30A70191"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4890CF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Average of Daily Sales"</w:t>
            </w:r>
          </w:p>
        </w:tc>
        <w:tc>
          <w:tcPr>
            <w:tcW w:w="1340" w:type="pct"/>
            <w:vMerge/>
            <w:tcBorders>
              <w:top w:val="nil"/>
              <w:left w:val="nil"/>
              <w:bottom w:val="nil"/>
              <w:right w:val="nil"/>
            </w:tcBorders>
            <w:vAlign w:val="center"/>
            <w:hideMark/>
          </w:tcPr>
          <w:p w14:paraId="78C29087"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5B2F8B7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16,89,47,366 </w:t>
            </w:r>
          </w:p>
        </w:tc>
        <w:tc>
          <w:tcPr>
            <w:tcW w:w="494" w:type="pct"/>
            <w:tcBorders>
              <w:top w:val="nil"/>
              <w:left w:val="nil"/>
              <w:bottom w:val="nil"/>
              <w:right w:val="nil"/>
            </w:tcBorders>
            <w:shd w:val="clear" w:color="000000" w:fill="FFFFFF"/>
            <w:noWrap/>
            <w:vAlign w:val="bottom"/>
            <w:hideMark/>
          </w:tcPr>
          <w:p w14:paraId="4A06615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15,25,95,557 </w:t>
            </w:r>
          </w:p>
        </w:tc>
        <w:tc>
          <w:tcPr>
            <w:tcW w:w="494" w:type="pct"/>
            <w:tcBorders>
              <w:top w:val="nil"/>
              <w:left w:val="nil"/>
              <w:bottom w:val="nil"/>
              <w:right w:val="nil"/>
            </w:tcBorders>
            <w:shd w:val="clear" w:color="000000" w:fill="FFFFFF"/>
            <w:noWrap/>
            <w:vAlign w:val="bottom"/>
            <w:hideMark/>
          </w:tcPr>
          <w:p w14:paraId="71D061C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13,00,69,081 </w:t>
            </w:r>
          </w:p>
        </w:tc>
        <w:tc>
          <w:tcPr>
            <w:tcW w:w="494" w:type="pct"/>
            <w:tcBorders>
              <w:top w:val="nil"/>
              <w:left w:val="nil"/>
              <w:bottom w:val="nil"/>
              <w:right w:val="nil"/>
            </w:tcBorders>
            <w:shd w:val="clear" w:color="000000" w:fill="FFFFFF"/>
            <w:noWrap/>
            <w:vAlign w:val="bottom"/>
            <w:hideMark/>
          </w:tcPr>
          <w:p w14:paraId="6242F03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11,08,04,114 </w:t>
            </w:r>
          </w:p>
        </w:tc>
        <w:tc>
          <w:tcPr>
            <w:tcW w:w="494" w:type="pct"/>
            <w:tcBorders>
              <w:top w:val="nil"/>
              <w:left w:val="nil"/>
              <w:bottom w:val="nil"/>
              <w:right w:val="nil"/>
            </w:tcBorders>
            <w:shd w:val="clear" w:color="000000" w:fill="FFFFFF"/>
            <w:noWrap/>
            <w:vAlign w:val="bottom"/>
            <w:hideMark/>
          </w:tcPr>
          <w:p w14:paraId="3D067CB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5,19,98,801 </w:t>
            </w:r>
          </w:p>
        </w:tc>
        <w:tc>
          <w:tcPr>
            <w:tcW w:w="51" w:type="pct"/>
            <w:vAlign w:val="center"/>
            <w:hideMark/>
          </w:tcPr>
          <w:p w14:paraId="3CEB79A8" w14:textId="77777777" w:rsidR="001C57DB" w:rsidRPr="001C57DB" w:rsidRDefault="001C57DB" w:rsidP="001C57DB">
            <w:pPr>
              <w:spacing w:before="0" w:after="0" w:line="240" w:lineRule="auto"/>
              <w:jc w:val="left"/>
              <w:rPr>
                <w:sz w:val="20"/>
                <w:szCs w:val="20"/>
                <w:lang w:val="en-IN"/>
              </w:rPr>
            </w:pPr>
          </w:p>
        </w:tc>
      </w:tr>
      <w:tr w:rsidR="001C57DB" w:rsidRPr="001C57DB" w14:paraId="1B496CB2"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1F3E1DC"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"Accounts Receivable Turnover"</w:t>
            </w:r>
          </w:p>
        </w:tc>
        <w:tc>
          <w:tcPr>
            <w:tcW w:w="1340" w:type="pct"/>
            <w:vMerge/>
            <w:tcBorders>
              <w:top w:val="nil"/>
              <w:left w:val="nil"/>
              <w:bottom w:val="nil"/>
              <w:right w:val="nil"/>
            </w:tcBorders>
            <w:vAlign w:val="center"/>
            <w:hideMark/>
          </w:tcPr>
          <w:p w14:paraId="542C61A7"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45AB2E5E"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w:t>
            </w:r>
          </w:p>
        </w:tc>
        <w:tc>
          <w:tcPr>
            <w:tcW w:w="494" w:type="pct"/>
            <w:tcBorders>
              <w:top w:val="single" w:sz="4" w:space="0" w:color="auto"/>
              <w:left w:val="nil"/>
              <w:bottom w:val="single" w:sz="4" w:space="0" w:color="auto"/>
              <w:right w:val="nil"/>
            </w:tcBorders>
            <w:shd w:val="clear" w:color="000000" w:fill="FFFFFF"/>
            <w:noWrap/>
            <w:vAlign w:val="bottom"/>
            <w:hideMark/>
          </w:tcPr>
          <w:p w14:paraId="531E98CD"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w:t>
            </w:r>
          </w:p>
        </w:tc>
        <w:tc>
          <w:tcPr>
            <w:tcW w:w="494" w:type="pct"/>
            <w:tcBorders>
              <w:top w:val="single" w:sz="4" w:space="0" w:color="auto"/>
              <w:left w:val="nil"/>
              <w:bottom w:val="single" w:sz="4" w:space="0" w:color="auto"/>
              <w:right w:val="nil"/>
            </w:tcBorders>
            <w:shd w:val="clear" w:color="000000" w:fill="FFFFFF"/>
            <w:noWrap/>
            <w:vAlign w:val="bottom"/>
            <w:hideMark/>
          </w:tcPr>
          <w:p w14:paraId="57D8C358"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w:t>
            </w:r>
          </w:p>
        </w:tc>
        <w:tc>
          <w:tcPr>
            <w:tcW w:w="494" w:type="pct"/>
            <w:tcBorders>
              <w:top w:val="single" w:sz="4" w:space="0" w:color="auto"/>
              <w:left w:val="nil"/>
              <w:bottom w:val="single" w:sz="4" w:space="0" w:color="auto"/>
              <w:right w:val="nil"/>
            </w:tcBorders>
            <w:shd w:val="clear" w:color="000000" w:fill="FFFFFF"/>
            <w:noWrap/>
            <w:vAlign w:val="bottom"/>
            <w:hideMark/>
          </w:tcPr>
          <w:p w14:paraId="31CADCC3"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w:t>
            </w:r>
          </w:p>
        </w:tc>
        <w:tc>
          <w:tcPr>
            <w:tcW w:w="494" w:type="pct"/>
            <w:tcBorders>
              <w:top w:val="single" w:sz="4" w:space="0" w:color="auto"/>
              <w:left w:val="nil"/>
              <w:bottom w:val="single" w:sz="4" w:space="0" w:color="auto"/>
              <w:right w:val="nil"/>
            </w:tcBorders>
            <w:shd w:val="clear" w:color="000000" w:fill="FFFFFF"/>
            <w:noWrap/>
            <w:vAlign w:val="bottom"/>
            <w:hideMark/>
          </w:tcPr>
          <w:p w14:paraId="4E83FDDB"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0.06</w:t>
            </w:r>
          </w:p>
        </w:tc>
        <w:tc>
          <w:tcPr>
            <w:tcW w:w="51" w:type="pct"/>
            <w:vAlign w:val="center"/>
            <w:hideMark/>
          </w:tcPr>
          <w:p w14:paraId="38AE8C4E" w14:textId="77777777" w:rsidR="001C57DB" w:rsidRPr="001C57DB" w:rsidRDefault="001C57DB" w:rsidP="001C57DB">
            <w:pPr>
              <w:spacing w:before="0" w:after="0" w:line="240" w:lineRule="auto"/>
              <w:jc w:val="left"/>
              <w:rPr>
                <w:sz w:val="20"/>
                <w:szCs w:val="20"/>
                <w:lang w:val="en-IN"/>
              </w:rPr>
            </w:pPr>
          </w:p>
        </w:tc>
      </w:tr>
      <w:tr w:rsidR="001C57DB" w:rsidRPr="001C57DB" w14:paraId="2875A41F"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6ADBB2C4"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"Inventory Turnover"</w:t>
            </w:r>
          </w:p>
        </w:tc>
        <w:tc>
          <w:tcPr>
            <w:tcW w:w="51" w:type="pct"/>
            <w:vAlign w:val="center"/>
            <w:hideMark/>
          </w:tcPr>
          <w:p w14:paraId="0965FBB2" w14:textId="77777777" w:rsidR="001C57DB" w:rsidRPr="001C57DB" w:rsidRDefault="001C57DB" w:rsidP="001C57DB">
            <w:pPr>
              <w:spacing w:before="0" w:after="0" w:line="240" w:lineRule="auto"/>
              <w:jc w:val="left"/>
              <w:rPr>
                <w:sz w:val="20"/>
                <w:szCs w:val="20"/>
                <w:lang w:val="en-IN"/>
              </w:rPr>
            </w:pPr>
          </w:p>
        </w:tc>
      </w:tr>
      <w:tr w:rsidR="001C57DB" w:rsidRPr="001C57DB" w14:paraId="3E70E014" w14:textId="77777777" w:rsidTr="001C57DB">
        <w:trPr>
          <w:trHeight w:val="288"/>
          <w:jc w:val="center"/>
        </w:trPr>
        <w:tc>
          <w:tcPr>
            <w:tcW w:w="4949" w:type="pct"/>
            <w:gridSpan w:val="7"/>
            <w:vMerge/>
            <w:tcBorders>
              <w:top w:val="nil"/>
              <w:left w:val="nil"/>
              <w:bottom w:val="nil"/>
              <w:right w:val="nil"/>
            </w:tcBorders>
            <w:vAlign w:val="center"/>
            <w:hideMark/>
          </w:tcPr>
          <w:p w14:paraId="4426058A"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01AF5587"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4A6D8526"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0B51366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45A12E24"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5373E64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20572644"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4A63AFB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6D5884A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77E5C29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44674FCF" w14:textId="77777777" w:rsidR="001C57DB" w:rsidRPr="001C57DB" w:rsidRDefault="001C57DB" w:rsidP="001C57DB">
            <w:pPr>
              <w:spacing w:before="0" w:after="0" w:line="240" w:lineRule="auto"/>
              <w:jc w:val="left"/>
              <w:rPr>
                <w:sz w:val="20"/>
                <w:szCs w:val="20"/>
                <w:lang w:val="en-IN"/>
              </w:rPr>
            </w:pPr>
          </w:p>
        </w:tc>
      </w:tr>
      <w:tr w:rsidR="001C57DB" w:rsidRPr="001C57DB" w14:paraId="049531DE"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699F18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"COGS"</w:t>
            </w:r>
          </w:p>
        </w:tc>
        <w:tc>
          <w:tcPr>
            <w:tcW w:w="1340" w:type="pct"/>
            <w:vMerge w:val="restart"/>
            <w:tcBorders>
              <w:top w:val="nil"/>
              <w:left w:val="nil"/>
              <w:bottom w:val="nil"/>
              <w:right w:val="nil"/>
            </w:tcBorders>
            <w:shd w:val="clear" w:color="000000" w:fill="FFFFFF"/>
            <w:vAlign w:val="center"/>
            <w:hideMark/>
          </w:tcPr>
          <w:p w14:paraId="3AD4738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"(COGS / Average Inventory)"</w:t>
            </w:r>
          </w:p>
        </w:tc>
        <w:tc>
          <w:tcPr>
            <w:tcW w:w="494" w:type="pct"/>
            <w:tcBorders>
              <w:top w:val="nil"/>
              <w:left w:val="nil"/>
              <w:bottom w:val="nil"/>
              <w:right w:val="nil"/>
            </w:tcBorders>
            <w:shd w:val="clear" w:color="000000" w:fill="FFFFFF"/>
            <w:noWrap/>
            <w:vAlign w:val="bottom"/>
            <w:hideMark/>
          </w:tcPr>
          <w:p w14:paraId="036102E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13,94,81,946 </w:t>
            </w:r>
          </w:p>
        </w:tc>
        <w:tc>
          <w:tcPr>
            <w:tcW w:w="494" w:type="pct"/>
            <w:tcBorders>
              <w:top w:val="nil"/>
              <w:left w:val="nil"/>
              <w:bottom w:val="nil"/>
              <w:right w:val="nil"/>
            </w:tcBorders>
            <w:shd w:val="clear" w:color="000000" w:fill="FFFFFF"/>
            <w:noWrap/>
            <w:vAlign w:val="bottom"/>
            <w:hideMark/>
          </w:tcPr>
          <w:p w14:paraId="3BB9DB6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12,91,79,183 </w:t>
            </w:r>
          </w:p>
        </w:tc>
        <w:tc>
          <w:tcPr>
            <w:tcW w:w="494" w:type="pct"/>
            <w:tcBorders>
              <w:top w:val="nil"/>
              <w:left w:val="nil"/>
              <w:bottom w:val="nil"/>
              <w:right w:val="nil"/>
            </w:tcBorders>
            <w:shd w:val="clear" w:color="000000" w:fill="FFFFFF"/>
            <w:noWrap/>
            <w:vAlign w:val="bottom"/>
            <w:hideMark/>
          </w:tcPr>
          <w:p w14:paraId="64228C5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11,42,09,483 </w:t>
            </w:r>
          </w:p>
        </w:tc>
        <w:tc>
          <w:tcPr>
            <w:tcW w:w="494" w:type="pct"/>
            <w:tcBorders>
              <w:top w:val="nil"/>
              <w:left w:val="nil"/>
              <w:bottom w:val="nil"/>
              <w:right w:val="nil"/>
            </w:tcBorders>
            <w:shd w:val="clear" w:color="000000" w:fill="FFFFFF"/>
            <w:noWrap/>
            <w:vAlign w:val="bottom"/>
            <w:hideMark/>
          </w:tcPr>
          <w:p w14:paraId="1C6F50A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9,56,80,131 </w:t>
            </w:r>
          </w:p>
        </w:tc>
        <w:tc>
          <w:tcPr>
            <w:tcW w:w="494" w:type="pct"/>
            <w:tcBorders>
              <w:top w:val="nil"/>
              <w:left w:val="nil"/>
              <w:bottom w:val="nil"/>
              <w:right w:val="nil"/>
            </w:tcBorders>
            <w:shd w:val="clear" w:color="000000" w:fill="FFFFFF"/>
            <w:noWrap/>
            <w:vAlign w:val="bottom"/>
            <w:hideMark/>
          </w:tcPr>
          <w:p w14:paraId="75760F7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8,55,15,931 </w:t>
            </w:r>
          </w:p>
        </w:tc>
        <w:tc>
          <w:tcPr>
            <w:tcW w:w="51" w:type="pct"/>
            <w:vAlign w:val="center"/>
            <w:hideMark/>
          </w:tcPr>
          <w:p w14:paraId="4D3BA77D" w14:textId="77777777" w:rsidR="001C57DB" w:rsidRPr="001C57DB" w:rsidRDefault="001C57DB" w:rsidP="001C57DB">
            <w:pPr>
              <w:spacing w:before="0" w:after="0" w:line="240" w:lineRule="auto"/>
              <w:jc w:val="left"/>
              <w:rPr>
                <w:sz w:val="20"/>
                <w:szCs w:val="20"/>
                <w:lang w:val="en-IN"/>
              </w:rPr>
            </w:pPr>
          </w:p>
        </w:tc>
      </w:tr>
      <w:tr w:rsidR="001C57DB" w:rsidRPr="001C57DB" w14:paraId="4B9266C4"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AA6C1C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Average Inventory"</w:t>
            </w:r>
          </w:p>
        </w:tc>
        <w:tc>
          <w:tcPr>
            <w:tcW w:w="1340" w:type="pct"/>
            <w:vMerge/>
            <w:tcBorders>
              <w:top w:val="nil"/>
              <w:left w:val="nil"/>
              <w:bottom w:val="nil"/>
              <w:right w:val="nil"/>
            </w:tcBorders>
            <w:vAlign w:val="center"/>
            <w:hideMark/>
          </w:tcPr>
          <w:p w14:paraId="1A63D41E"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02CD55E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1,85,95,677 </w:t>
            </w:r>
          </w:p>
        </w:tc>
        <w:tc>
          <w:tcPr>
            <w:tcW w:w="494" w:type="pct"/>
            <w:tcBorders>
              <w:top w:val="nil"/>
              <w:left w:val="nil"/>
              <w:bottom w:val="nil"/>
              <w:right w:val="nil"/>
            </w:tcBorders>
            <w:shd w:val="clear" w:color="000000" w:fill="FFFFFF"/>
            <w:noWrap/>
            <w:vAlign w:val="bottom"/>
            <w:hideMark/>
          </w:tcPr>
          <w:p w14:paraId="1A65FC1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1,58,45,781 </w:t>
            </w:r>
          </w:p>
        </w:tc>
        <w:tc>
          <w:tcPr>
            <w:tcW w:w="494" w:type="pct"/>
            <w:tcBorders>
              <w:top w:val="nil"/>
              <w:left w:val="nil"/>
              <w:bottom w:val="nil"/>
              <w:right w:val="nil"/>
            </w:tcBorders>
            <w:shd w:val="clear" w:color="000000" w:fill="FFFFFF"/>
            <w:noWrap/>
            <w:vAlign w:val="bottom"/>
            <w:hideMark/>
          </w:tcPr>
          <w:p w14:paraId="5585423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1,29,68,429 </w:t>
            </w:r>
          </w:p>
        </w:tc>
        <w:tc>
          <w:tcPr>
            <w:tcW w:w="494" w:type="pct"/>
            <w:tcBorders>
              <w:top w:val="nil"/>
              <w:left w:val="nil"/>
              <w:bottom w:val="nil"/>
              <w:right w:val="nil"/>
            </w:tcBorders>
            <w:shd w:val="clear" w:color="000000" w:fill="FFFFFF"/>
            <w:noWrap/>
            <w:vAlign w:val="bottom"/>
            <w:hideMark/>
          </w:tcPr>
          <w:p w14:paraId="744A47D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1,14,89,688 </w:t>
            </w:r>
          </w:p>
        </w:tc>
        <w:tc>
          <w:tcPr>
            <w:tcW w:w="494" w:type="pct"/>
            <w:tcBorders>
              <w:top w:val="nil"/>
              <w:left w:val="nil"/>
              <w:bottom w:val="nil"/>
              <w:right w:val="nil"/>
            </w:tcBorders>
            <w:shd w:val="clear" w:color="000000" w:fill="FFFFFF"/>
            <w:noWrap/>
            <w:vAlign w:val="bottom"/>
            <w:hideMark/>
          </w:tcPr>
          <w:p w14:paraId="60B2F9B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56,66,867 </w:t>
            </w:r>
          </w:p>
        </w:tc>
        <w:tc>
          <w:tcPr>
            <w:tcW w:w="51" w:type="pct"/>
            <w:vAlign w:val="center"/>
            <w:hideMark/>
          </w:tcPr>
          <w:p w14:paraId="4D22D000" w14:textId="77777777" w:rsidR="001C57DB" w:rsidRPr="001C57DB" w:rsidRDefault="001C57DB" w:rsidP="001C57DB">
            <w:pPr>
              <w:spacing w:before="0" w:after="0" w:line="240" w:lineRule="auto"/>
              <w:jc w:val="left"/>
              <w:rPr>
                <w:sz w:val="20"/>
                <w:szCs w:val="20"/>
                <w:lang w:val="en-IN"/>
              </w:rPr>
            </w:pPr>
          </w:p>
        </w:tc>
      </w:tr>
      <w:tr w:rsidR="001C57DB" w:rsidRPr="001C57DB" w14:paraId="224AEA2F"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4A7D5414"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"Inventory Turnover"</w:t>
            </w:r>
          </w:p>
        </w:tc>
        <w:tc>
          <w:tcPr>
            <w:tcW w:w="1340" w:type="pct"/>
            <w:vMerge/>
            <w:tcBorders>
              <w:top w:val="nil"/>
              <w:left w:val="nil"/>
              <w:bottom w:val="nil"/>
              <w:right w:val="nil"/>
            </w:tcBorders>
            <w:vAlign w:val="center"/>
            <w:hideMark/>
          </w:tcPr>
          <w:p w14:paraId="450F6C2A"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7BB56C7C"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7.50</w:t>
            </w:r>
          </w:p>
        </w:tc>
        <w:tc>
          <w:tcPr>
            <w:tcW w:w="494" w:type="pct"/>
            <w:tcBorders>
              <w:top w:val="single" w:sz="4" w:space="0" w:color="auto"/>
              <w:left w:val="nil"/>
              <w:bottom w:val="single" w:sz="4" w:space="0" w:color="auto"/>
              <w:right w:val="nil"/>
            </w:tcBorders>
            <w:shd w:val="clear" w:color="000000" w:fill="FFFFFF"/>
            <w:noWrap/>
            <w:vAlign w:val="bottom"/>
            <w:hideMark/>
          </w:tcPr>
          <w:p w14:paraId="7A0FBA18"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8.15</w:t>
            </w:r>
          </w:p>
        </w:tc>
        <w:tc>
          <w:tcPr>
            <w:tcW w:w="494" w:type="pct"/>
            <w:tcBorders>
              <w:top w:val="single" w:sz="4" w:space="0" w:color="auto"/>
              <w:left w:val="nil"/>
              <w:bottom w:val="single" w:sz="4" w:space="0" w:color="auto"/>
              <w:right w:val="nil"/>
            </w:tcBorders>
            <w:shd w:val="clear" w:color="000000" w:fill="FFFFFF"/>
            <w:noWrap/>
            <w:vAlign w:val="bottom"/>
            <w:hideMark/>
          </w:tcPr>
          <w:p w14:paraId="48631E09"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8.81</w:t>
            </w:r>
          </w:p>
        </w:tc>
        <w:tc>
          <w:tcPr>
            <w:tcW w:w="494" w:type="pct"/>
            <w:tcBorders>
              <w:top w:val="single" w:sz="4" w:space="0" w:color="auto"/>
              <w:left w:val="nil"/>
              <w:bottom w:val="single" w:sz="4" w:space="0" w:color="auto"/>
              <w:right w:val="nil"/>
            </w:tcBorders>
            <w:shd w:val="clear" w:color="000000" w:fill="FFFFFF"/>
            <w:noWrap/>
            <w:vAlign w:val="bottom"/>
            <w:hideMark/>
          </w:tcPr>
          <w:p w14:paraId="1D8407BA"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8.33</w:t>
            </w:r>
          </w:p>
        </w:tc>
        <w:tc>
          <w:tcPr>
            <w:tcW w:w="494" w:type="pct"/>
            <w:tcBorders>
              <w:top w:val="single" w:sz="4" w:space="0" w:color="auto"/>
              <w:left w:val="nil"/>
              <w:bottom w:val="single" w:sz="4" w:space="0" w:color="auto"/>
              <w:right w:val="nil"/>
            </w:tcBorders>
            <w:shd w:val="clear" w:color="000000" w:fill="FFFFFF"/>
            <w:noWrap/>
            <w:vAlign w:val="bottom"/>
            <w:hideMark/>
          </w:tcPr>
          <w:p w14:paraId="6D2936D8"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15.09</w:t>
            </w:r>
          </w:p>
        </w:tc>
        <w:tc>
          <w:tcPr>
            <w:tcW w:w="51" w:type="pct"/>
            <w:vAlign w:val="center"/>
            <w:hideMark/>
          </w:tcPr>
          <w:p w14:paraId="6129F939" w14:textId="77777777" w:rsidR="001C57DB" w:rsidRPr="001C57DB" w:rsidRDefault="001C57DB" w:rsidP="001C57DB">
            <w:pPr>
              <w:spacing w:before="0" w:after="0" w:line="240" w:lineRule="auto"/>
              <w:jc w:val="left"/>
              <w:rPr>
                <w:sz w:val="20"/>
                <w:szCs w:val="20"/>
                <w:lang w:val="en-IN"/>
              </w:rPr>
            </w:pPr>
          </w:p>
        </w:tc>
      </w:tr>
      <w:tr w:rsidR="001C57DB" w:rsidRPr="001C57DB" w14:paraId="362A6859"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2F06C4D2"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"Asset Turnover"</w:t>
            </w:r>
          </w:p>
        </w:tc>
        <w:tc>
          <w:tcPr>
            <w:tcW w:w="51" w:type="pct"/>
            <w:vAlign w:val="center"/>
            <w:hideMark/>
          </w:tcPr>
          <w:p w14:paraId="31B98B86" w14:textId="77777777" w:rsidR="001C57DB" w:rsidRPr="001C57DB" w:rsidRDefault="001C57DB" w:rsidP="001C57DB">
            <w:pPr>
              <w:spacing w:before="0" w:after="0" w:line="240" w:lineRule="auto"/>
              <w:jc w:val="left"/>
              <w:rPr>
                <w:sz w:val="20"/>
                <w:szCs w:val="20"/>
                <w:lang w:val="en-IN"/>
              </w:rPr>
            </w:pPr>
          </w:p>
        </w:tc>
      </w:tr>
      <w:tr w:rsidR="001C57DB" w:rsidRPr="001C57DB" w14:paraId="279EA935" w14:textId="77777777" w:rsidTr="001C57DB">
        <w:trPr>
          <w:trHeight w:val="288"/>
          <w:jc w:val="center"/>
        </w:trPr>
        <w:tc>
          <w:tcPr>
            <w:tcW w:w="4949" w:type="pct"/>
            <w:gridSpan w:val="7"/>
            <w:vMerge/>
            <w:tcBorders>
              <w:top w:val="nil"/>
              <w:left w:val="nil"/>
              <w:bottom w:val="nil"/>
              <w:right w:val="nil"/>
            </w:tcBorders>
            <w:vAlign w:val="center"/>
            <w:hideMark/>
          </w:tcPr>
          <w:p w14:paraId="13F201EA"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464030D8"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767800F4"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0CCE2ED3"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5CE6FC9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2474FF94"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377D989F"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6854ED04"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1D15A9D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632077F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6FA70BAE" w14:textId="77777777" w:rsidR="001C57DB" w:rsidRPr="001C57DB" w:rsidRDefault="001C57DB" w:rsidP="001C57DB">
            <w:pPr>
              <w:spacing w:before="0" w:after="0" w:line="240" w:lineRule="auto"/>
              <w:jc w:val="left"/>
              <w:rPr>
                <w:sz w:val="20"/>
                <w:szCs w:val="20"/>
                <w:lang w:val="en-IN"/>
              </w:rPr>
            </w:pPr>
          </w:p>
        </w:tc>
      </w:tr>
      <w:tr w:rsidR="001C57DB" w:rsidRPr="001C57DB" w14:paraId="28947A9D"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4C97C7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"Sales"</w:t>
            </w:r>
          </w:p>
        </w:tc>
        <w:tc>
          <w:tcPr>
            <w:tcW w:w="1340" w:type="pct"/>
            <w:vMerge w:val="restart"/>
            <w:tcBorders>
              <w:top w:val="nil"/>
              <w:left w:val="nil"/>
              <w:bottom w:val="nil"/>
              <w:right w:val="nil"/>
            </w:tcBorders>
            <w:shd w:val="clear" w:color="000000" w:fill="FFFFFF"/>
            <w:vAlign w:val="center"/>
            <w:hideMark/>
          </w:tcPr>
          <w:p w14:paraId="70B8A364"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"(Sales / Average Total Assets)"</w:t>
            </w:r>
          </w:p>
        </w:tc>
        <w:tc>
          <w:tcPr>
            <w:tcW w:w="494" w:type="pct"/>
            <w:tcBorders>
              <w:top w:val="nil"/>
              <w:left w:val="nil"/>
              <w:bottom w:val="nil"/>
              <w:right w:val="nil"/>
            </w:tcBorders>
            <w:shd w:val="clear" w:color="000000" w:fill="FFFFFF"/>
            <w:noWrap/>
            <w:vAlign w:val="bottom"/>
            <w:hideMark/>
          </w:tcPr>
          <w:p w14:paraId="76611C2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17,52,31,153 </w:t>
            </w:r>
          </w:p>
        </w:tc>
        <w:tc>
          <w:tcPr>
            <w:tcW w:w="494" w:type="pct"/>
            <w:tcBorders>
              <w:top w:val="nil"/>
              <w:left w:val="nil"/>
              <w:bottom w:val="nil"/>
              <w:right w:val="nil"/>
            </w:tcBorders>
            <w:shd w:val="clear" w:color="000000" w:fill="FFFFFF"/>
            <w:noWrap/>
            <w:vAlign w:val="bottom"/>
            <w:hideMark/>
          </w:tcPr>
          <w:p w14:paraId="0681E28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16,26,63,579 </w:t>
            </w:r>
          </w:p>
        </w:tc>
        <w:tc>
          <w:tcPr>
            <w:tcW w:w="494" w:type="pct"/>
            <w:tcBorders>
              <w:top w:val="nil"/>
              <w:left w:val="nil"/>
              <w:bottom w:val="nil"/>
              <w:right w:val="nil"/>
            </w:tcBorders>
            <w:shd w:val="clear" w:color="000000" w:fill="FFFFFF"/>
            <w:noWrap/>
            <w:vAlign w:val="bottom"/>
            <w:hideMark/>
          </w:tcPr>
          <w:p w14:paraId="3FDB3CB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14,25,27,535 </w:t>
            </w:r>
          </w:p>
        </w:tc>
        <w:tc>
          <w:tcPr>
            <w:tcW w:w="494" w:type="pct"/>
            <w:tcBorders>
              <w:top w:val="nil"/>
              <w:left w:val="nil"/>
              <w:bottom w:val="nil"/>
              <w:right w:val="nil"/>
            </w:tcBorders>
            <w:shd w:val="clear" w:color="000000" w:fill="FFFFFF"/>
            <w:noWrap/>
            <w:vAlign w:val="bottom"/>
            <w:hideMark/>
          </w:tcPr>
          <w:p w14:paraId="58B507C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11,76,10,626 </w:t>
            </w:r>
          </w:p>
        </w:tc>
        <w:tc>
          <w:tcPr>
            <w:tcW w:w="494" w:type="pct"/>
            <w:tcBorders>
              <w:top w:val="nil"/>
              <w:left w:val="nil"/>
              <w:bottom w:val="nil"/>
              <w:right w:val="nil"/>
            </w:tcBorders>
            <w:shd w:val="clear" w:color="000000" w:fill="FFFFFF"/>
            <w:noWrap/>
            <w:vAlign w:val="bottom"/>
            <w:hideMark/>
          </w:tcPr>
          <w:p w14:paraId="33F757B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10,39,97,601 </w:t>
            </w:r>
          </w:p>
        </w:tc>
        <w:tc>
          <w:tcPr>
            <w:tcW w:w="51" w:type="pct"/>
            <w:vAlign w:val="center"/>
            <w:hideMark/>
          </w:tcPr>
          <w:p w14:paraId="32EC26AD" w14:textId="77777777" w:rsidR="001C57DB" w:rsidRPr="001C57DB" w:rsidRDefault="001C57DB" w:rsidP="001C57DB">
            <w:pPr>
              <w:spacing w:before="0" w:after="0" w:line="240" w:lineRule="auto"/>
              <w:jc w:val="left"/>
              <w:rPr>
                <w:sz w:val="20"/>
                <w:szCs w:val="20"/>
                <w:lang w:val="en-IN"/>
              </w:rPr>
            </w:pPr>
          </w:p>
        </w:tc>
      </w:tr>
      <w:tr w:rsidR="001C57DB" w:rsidRPr="001C57DB" w14:paraId="16521994"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330A29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Average Total Assets"</w:t>
            </w:r>
          </w:p>
        </w:tc>
        <w:tc>
          <w:tcPr>
            <w:tcW w:w="1340" w:type="pct"/>
            <w:vMerge/>
            <w:tcBorders>
              <w:top w:val="nil"/>
              <w:left w:val="nil"/>
              <w:bottom w:val="nil"/>
              <w:right w:val="nil"/>
            </w:tcBorders>
            <w:vAlign w:val="center"/>
            <w:hideMark/>
          </w:tcPr>
          <w:p w14:paraId="5BDB491C"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06909C7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31,11,30,892 </w:t>
            </w:r>
          </w:p>
        </w:tc>
        <w:tc>
          <w:tcPr>
            <w:tcW w:w="494" w:type="pct"/>
            <w:tcBorders>
              <w:top w:val="nil"/>
              <w:left w:val="nil"/>
              <w:bottom w:val="nil"/>
              <w:right w:val="nil"/>
            </w:tcBorders>
            <w:shd w:val="clear" w:color="000000" w:fill="FFFFFF"/>
            <w:noWrap/>
            <w:vAlign w:val="bottom"/>
            <w:hideMark/>
          </w:tcPr>
          <w:p w14:paraId="74CFBDF9"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26,91,02,909 </w:t>
            </w:r>
          </w:p>
        </w:tc>
        <w:tc>
          <w:tcPr>
            <w:tcW w:w="494" w:type="pct"/>
            <w:tcBorders>
              <w:top w:val="nil"/>
              <w:left w:val="nil"/>
              <w:bottom w:val="nil"/>
              <w:right w:val="nil"/>
            </w:tcBorders>
            <w:shd w:val="clear" w:color="000000" w:fill="FFFFFF"/>
            <w:noWrap/>
            <w:vAlign w:val="bottom"/>
            <w:hideMark/>
          </w:tcPr>
          <w:p w14:paraId="60B7E88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24,48,44,439 </w:t>
            </w:r>
          </w:p>
        </w:tc>
        <w:tc>
          <w:tcPr>
            <w:tcW w:w="494" w:type="pct"/>
            <w:tcBorders>
              <w:top w:val="nil"/>
              <w:left w:val="nil"/>
              <w:bottom w:val="nil"/>
              <w:right w:val="nil"/>
            </w:tcBorders>
            <w:shd w:val="clear" w:color="000000" w:fill="FFFFFF"/>
            <w:noWrap/>
            <w:vAlign w:val="bottom"/>
            <w:hideMark/>
          </w:tcPr>
          <w:p w14:paraId="0A5F57D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22,16,45,314 </w:t>
            </w:r>
          </w:p>
        </w:tc>
        <w:tc>
          <w:tcPr>
            <w:tcW w:w="494" w:type="pct"/>
            <w:tcBorders>
              <w:top w:val="nil"/>
              <w:left w:val="nil"/>
              <w:bottom w:val="nil"/>
              <w:right w:val="nil"/>
            </w:tcBorders>
            <w:shd w:val="clear" w:color="000000" w:fill="FFFFFF"/>
            <w:noWrap/>
            <w:vAlign w:val="bottom"/>
            <w:hideMark/>
          </w:tcPr>
          <w:p w14:paraId="06B95E59"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10,46,72,106 </w:t>
            </w:r>
          </w:p>
        </w:tc>
        <w:tc>
          <w:tcPr>
            <w:tcW w:w="51" w:type="pct"/>
            <w:vAlign w:val="center"/>
            <w:hideMark/>
          </w:tcPr>
          <w:p w14:paraId="10653941" w14:textId="77777777" w:rsidR="001C57DB" w:rsidRPr="001C57DB" w:rsidRDefault="001C57DB" w:rsidP="001C57DB">
            <w:pPr>
              <w:spacing w:before="0" w:after="0" w:line="240" w:lineRule="auto"/>
              <w:jc w:val="left"/>
              <w:rPr>
                <w:sz w:val="20"/>
                <w:szCs w:val="20"/>
                <w:lang w:val="en-IN"/>
              </w:rPr>
            </w:pPr>
          </w:p>
        </w:tc>
      </w:tr>
      <w:tr w:rsidR="001C57DB" w:rsidRPr="001C57DB" w14:paraId="1219756C"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6AC079F"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"Asset Turnover"</w:t>
            </w:r>
          </w:p>
        </w:tc>
        <w:tc>
          <w:tcPr>
            <w:tcW w:w="1340" w:type="pct"/>
            <w:vMerge/>
            <w:tcBorders>
              <w:top w:val="nil"/>
              <w:left w:val="nil"/>
              <w:bottom w:val="nil"/>
              <w:right w:val="nil"/>
            </w:tcBorders>
            <w:vAlign w:val="center"/>
            <w:hideMark/>
          </w:tcPr>
          <w:p w14:paraId="70AD5C30"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45B6A030"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0.56</w:t>
            </w:r>
          </w:p>
        </w:tc>
        <w:tc>
          <w:tcPr>
            <w:tcW w:w="494" w:type="pct"/>
            <w:tcBorders>
              <w:top w:val="single" w:sz="4" w:space="0" w:color="auto"/>
              <w:left w:val="nil"/>
              <w:bottom w:val="single" w:sz="4" w:space="0" w:color="auto"/>
              <w:right w:val="nil"/>
            </w:tcBorders>
            <w:shd w:val="clear" w:color="000000" w:fill="FFFFFF"/>
            <w:noWrap/>
            <w:vAlign w:val="bottom"/>
            <w:hideMark/>
          </w:tcPr>
          <w:p w14:paraId="0A2C29EE"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0.60</w:t>
            </w:r>
          </w:p>
        </w:tc>
        <w:tc>
          <w:tcPr>
            <w:tcW w:w="494" w:type="pct"/>
            <w:tcBorders>
              <w:top w:val="single" w:sz="4" w:space="0" w:color="auto"/>
              <w:left w:val="nil"/>
              <w:bottom w:val="single" w:sz="4" w:space="0" w:color="auto"/>
              <w:right w:val="nil"/>
            </w:tcBorders>
            <w:shd w:val="clear" w:color="000000" w:fill="FFFFFF"/>
            <w:noWrap/>
            <w:vAlign w:val="bottom"/>
            <w:hideMark/>
          </w:tcPr>
          <w:p w14:paraId="5B5156CB"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0.58</w:t>
            </w:r>
          </w:p>
        </w:tc>
        <w:tc>
          <w:tcPr>
            <w:tcW w:w="494" w:type="pct"/>
            <w:tcBorders>
              <w:top w:val="single" w:sz="4" w:space="0" w:color="auto"/>
              <w:left w:val="nil"/>
              <w:bottom w:val="single" w:sz="4" w:space="0" w:color="auto"/>
              <w:right w:val="nil"/>
            </w:tcBorders>
            <w:shd w:val="clear" w:color="000000" w:fill="FFFFFF"/>
            <w:noWrap/>
            <w:vAlign w:val="bottom"/>
            <w:hideMark/>
          </w:tcPr>
          <w:p w14:paraId="5A7B8096"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0.53</w:t>
            </w:r>
          </w:p>
        </w:tc>
        <w:tc>
          <w:tcPr>
            <w:tcW w:w="494" w:type="pct"/>
            <w:tcBorders>
              <w:top w:val="single" w:sz="4" w:space="0" w:color="auto"/>
              <w:left w:val="nil"/>
              <w:bottom w:val="single" w:sz="4" w:space="0" w:color="auto"/>
              <w:right w:val="nil"/>
            </w:tcBorders>
            <w:shd w:val="clear" w:color="000000" w:fill="FFFFFF"/>
            <w:noWrap/>
            <w:vAlign w:val="bottom"/>
            <w:hideMark/>
          </w:tcPr>
          <w:p w14:paraId="4F00E856"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0.99</w:t>
            </w:r>
          </w:p>
        </w:tc>
        <w:tc>
          <w:tcPr>
            <w:tcW w:w="51" w:type="pct"/>
            <w:vAlign w:val="center"/>
            <w:hideMark/>
          </w:tcPr>
          <w:p w14:paraId="70DE1005" w14:textId="77777777" w:rsidR="001C57DB" w:rsidRPr="001C57DB" w:rsidRDefault="001C57DB" w:rsidP="001C57DB">
            <w:pPr>
              <w:spacing w:before="0" w:after="0" w:line="240" w:lineRule="auto"/>
              <w:jc w:val="left"/>
              <w:rPr>
                <w:sz w:val="20"/>
                <w:szCs w:val="20"/>
                <w:lang w:val="en-IN"/>
              </w:rPr>
            </w:pPr>
          </w:p>
        </w:tc>
      </w:tr>
      <w:tr w:rsidR="001C57DB" w:rsidRPr="001C57DB" w14:paraId="067CBBDF" w14:textId="77777777" w:rsidTr="001C57DB">
        <w:trPr>
          <w:trHeight w:val="288"/>
          <w:jc w:val="center"/>
        </w:trPr>
        <w:tc>
          <w:tcPr>
            <w:tcW w:w="4949" w:type="pct"/>
            <w:gridSpan w:val="7"/>
            <w:vMerge w:val="restart"/>
            <w:tcBorders>
              <w:top w:val="nil"/>
              <w:left w:val="nil"/>
              <w:bottom w:val="nil"/>
              <w:right w:val="nil"/>
            </w:tcBorders>
            <w:shd w:val="clear" w:color="000000" w:fill="A6C9EC"/>
            <w:noWrap/>
            <w:vAlign w:val="center"/>
            <w:hideMark/>
          </w:tcPr>
          <w:p w14:paraId="75BA6F6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"Leverage (Gearing) Ratio"</w:t>
            </w:r>
          </w:p>
        </w:tc>
        <w:tc>
          <w:tcPr>
            <w:tcW w:w="51" w:type="pct"/>
            <w:vAlign w:val="center"/>
            <w:hideMark/>
          </w:tcPr>
          <w:p w14:paraId="0C507A9E" w14:textId="77777777" w:rsidR="001C57DB" w:rsidRPr="001C57DB" w:rsidRDefault="001C57DB" w:rsidP="001C57DB">
            <w:pPr>
              <w:spacing w:before="0" w:after="0" w:line="240" w:lineRule="auto"/>
              <w:jc w:val="left"/>
              <w:rPr>
                <w:sz w:val="20"/>
                <w:szCs w:val="20"/>
                <w:lang w:val="en-IN"/>
              </w:rPr>
            </w:pPr>
          </w:p>
        </w:tc>
      </w:tr>
      <w:tr w:rsidR="001C57DB" w:rsidRPr="001C57DB" w14:paraId="5CC15261" w14:textId="77777777" w:rsidTr="001C57DB">
        <w:trPr>
          <w:trHeight w:val="288"/>
          <w:jc w:val="center"/>
        </w:trPr>
        <w:tc>
          <w:tcPr>
            <w:tcW w:w="4949" w:type="pct"/>
            <w:gridSpan w:val="7"/>
            <w:vMerge/>
            <w:tcBorders>
              <w:top w:val="nil"/>
              <w:left w:val="nil"/>
              <w:bottom w:val="nil"/>
              <w:right w:val="nil"/>
            </w:tcBorders>
            <w:vAlign w:val="center"/>
            <w:hideMark/>
          </w:tcPr>
          <w:p w14:paraId="7A3FFD86"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03EE01A2"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42BCE2EF" w14:textId="77777777" w:rsidTr="001C57DB">
        <w:trPr>
          <w:trHeight w:val="312"/>
          <w:jc w:val="center"/>
        </w:trPr>
        <w:tc>
          <w:tcPr>
            <w:tcW w:w="4949" w:type="pct"/>
            <w:gridSpan w:val="7"/>
            <w:tcBorders>
              <w:top w:val="nil"/>
              <w:left w:val="nil"/>
              <w:bottom w:val="nil"/>
              <w:right w:val="nil"/>
            </w:tcBorders>
            <w:shd w:val="clear" w:color="000000" w:fill="DAE9F8"/>
            <w:noWrap/>
            <w:vAlign w:val="bottom"/>
            <w:hideMark/>
          </w:tcPr>
          <w:p w14:paraId="7F824BB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"Debt to Equity Ratio"</w:t>
            </w:r>
          </w:p>
        </w:tc>
        <w:tc>
          <w:tcPr>
            <w:tcW w:w="51" w:type="pct"/>
            <w:vAlign w:val="center"/>
            <w:hideMark/>
          </w:tcPr>
          <w:p w14:paraId="449FD50B" w14:textId="77777777" w:rsidR="001C57DB" w:rsidRPr="001C57DB" w:rsidRDefault="001C57DB" w:rsidP="001C57DB">
            <w:pPr>
              <w:spacing w:before="0" w:after="0" w:line="240" w:lineRule="auto"/>
              <w:jc w:val="left"/>
              <w:rPr>
                <w:sz w:val="20"/>
                <w:szCs w:val="20"/>
                <w:lang w:val="en-IN"/>
              </w:rPr>
            </w:pPr>
          </w:p>
        </w:tc>
      </w:tr>
      <w:tr w:rsidR="001C57DB" w:rsidRPr="001C57DB" w14:paraId="33DCD43E"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35ABFC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2B7CA7D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683F957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6A5585B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6DF89480"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7465E177"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038792E3"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031ABD4D" w14:textId="77777777" w:rsidR="001C57DB" w:rsidRPr="001C57DB" w:rsidRDefault="001C57DB" w:rsidP="001C57DB">
            <w:pPr>
              <w:spacing w:before="0" w:after="0" w:line="240" w:lineRule="auto"/>
              <w:jc w:val="left"/>
              <w:rPr>
                <w:sz w:val="20"/>
                <w:szCs w:val="20"/>
                <w:lang w:val="en-IN"/>
              </w:rPr>
            </w:pPr>
          </w:p>
        </w:tc>
      </w:tr>
      <w:tr w:rsidR="001C57DB" w:rsidRPr="001C57DB" w14:paraId="7C296AC5"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39C71AE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"Total Debt"</w:t>
            </w:r>
          </w:p>
        </w:tc>
        <w:tc>
          <w:tcPr>
            <w:tcW w:w="1340" w:type="pct"/>
            <w:vMerge w:val="restart"/>
            <w:tcBorders>
              <w:top w:val="nil"/>
              <w:left w:val="nil"/>
              <w:bottom w:val="nil"/>
              <w:right w:val="nil"/>
            </w:tcBorders>
            <w:shd w:val="clear" w:color="000000" w:fill="FFFFFF"/>
            <w:vAlign w:val="center"/>
            <w:hideMark/>
          </w:tcPr>
          <w:p w14:paraId="265EF7B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"(Total debt/Total equity)"</w:t>
            </w:r>
          </w:p>
        </w:tc>
        <w:tc>
          <w:tcPr>
            <w:tcW w:w="494" w:type="pct"/>
            <w:tcBorders>
              <w:top w:val="nil"/>
              <w:left w:val="nil"/>
              <w:bottom w:val="nil"/>
              <w:right w:val="nil"/>
            </w:tcBorders>
            <w:shd w:val="clear" w:color="000000" w:fill="FFFFFF"/>
            <w:noWrap/>
            <w:vAlign w:val="bottom"/>
            <w:hideMark/>
          </w:tcPr>
          <w:p w14:paraId="2452EAD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21,95,22,496 </w:t>
            </w:r>
          </w:p>
        </w:tc>
        <w:tc>
          <w:tcPr>
            <w:tcW w:w="494" w:type="pct"/>
            <w:tcBorders>
              <w:top w:val="nil"/>
              <w:left w:val="nil"/>
              <w:bottom w:val="nil"/>
              <w:right w:val="nil"/>
            </w:tcBorders>
            <w:shd w:val="clear" w:color="000000" w:fill="FFFFFF"/>
            <w:noWrap/>
            <w:vAlign w:val="bottom"/>
            <w:hideMark/>
          </w:tcPr>
          <w:p w14:paraId="1C09455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18,06,53,915 </w:t>
            </w:r>
          </w:p>
        </w:tc>
        <w:tc>
          <w:tcPr>
            <w:tcW w:w="494" w:type="pct"/>
            <w:tcBorders>
              <w:top w:val="nil"/>
              <w:left w:val="nil"/>
              <w:bottom w:val="nil"/>
              <w:right w:val="nil"/>
            </w:tcBorders>
            <w:shd w:val="clear" w:color="000000" w:fill="FFFFFF"/>
            <w:noWrap/>
            <w:vAlign w:val="bottom"/>
            <w:hideMark/>
          </w:tcPr>
          <w:p w14:paraId="2AB66D7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16,48,45,917 </w:t>
            </w:r>
          </w:p>
        </w:tc>
        <w:tc>
          <w:tcPr>
            <w:tcW w:w="494" w:type="pct"/>
            <w:tcBorders>
              <w:top w:val="nil"/>
              <w:left w:val="nil"/>
              <w:bottom w:val="nil"/>
              <w:right w:val="nil"/>
            </w:tcBorders>
            <w:shd w:val="clear" w:color="000000" w:fill="FFFFFF"/>
            <w:noWrap/>
            <w:vAlign w:val="bottom"/>
            <w:hideMark/>
          </w:tcPr>
          <w:p w14:paraId="3391DA3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15,13,30,626 </w:t>
            </w:r>
          </w:p>
        </w:tc>
        <w:tc>
          <w:tcPr>
            <w:tcW w:w="494" w:type="pct"/>
            <w:tcBorders>
              <w:top w:val="nil"/>
              <w:left w:val="nil"/>
              <w:bottom w:val="nil"/>
              <w:right w:val="nil"/>
            </w:tcBorders>
            <w:shd w:val="clear" w:color="000000" w:fill="FFFFFF"/>
            <w:noWrap/>
            <w:vAlign w:val="bottom"/>
            <w:hideMark/>
          </w:tcPr>
          <w:p w14:paraId="7D6DA9C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13,30,03,242 </w:t>
            </w:r>
          </w:p>
        </w:tc>
        <w:tc>
          <w:tcPr>
            <w:tcW w:w="51" w:type="pct"/>
            <w:vAlign w:val="center"/>
            <w:hideMark/>
          </w:tcPr>
          <w:p w14:paraId="7318094B" w14:textId="77777777" w:rsidR="001C57DB" w:rsidRPr="001C57DB" w:rsidRDefault="001C57DB" w:rsidP="001C57DB">
            <w:pPr>
              <w:spacing w:before="0" w:after="0" w:line="240" w:lineRule="auto"/>
              <w:jc w:val="left"/>
              <w:rPr>
                <w:sz w:val="20"/>
                <w:szCs w:val="20"/>
                <w:lang w:val="en-IN"/>
              </w:rPr>
            </w:pPr>
          </w:p>
        </w:tc>
      </w:tr>
      <w:tr w:rsidR="001C57DB" w:rsidRPr="001C57DB" w14:paraId="3791D881"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5BF1F06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Total Equity"</w:t>
            </w:r>
          </w:p>
        </w:tc>
        <w:tc>
          <w:tcPr>
            <w:tcW w:w="1340" w:type="pct"/>
            <w:vMerge/>
            <w:tcBorders>
              <w:top w:val="nil"/>
              <w:left w:val="nil"/>
              <w:bottom w:val="nil"/>
              <w:right w:val="nil"/>
            </w:tcBorders>
            <w:vAlign w:val="center"/>
            <w:hideMark/>
          </w:tcPr>
          <w:p w14:paraId="6BA00AA9"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75C5E98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12,02,75,933 </w:t>
            </w:r>
          </w:p>
        </w:tc>
        <w:tc>
          <w:tcPr>
            <w:tcW w:w="494" w:type="pct"/>
            <w:tcBorders>
              <w:top w:val="nil"/>
              <w:left w:val="nil"/>
              <w:bottom w:val="nil"/>
              <w:right w:val="nil"/>
            </w:tcBorders>
            <w:shd w:val="clear" w:color="000000" w:fill="FFFFFF"/>
            <w:noWrap/>
            <w:vAlign w:val="bottom"/>
            <w:hideMark/>
          </w:tcPr>
          <w:p w14:paraId="449CF53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10,18,09,440 </w:t>
            </w:r>
          </w:p>
        </w:tc>
        <w:tc>
          <w:tcPr>
            <w:tcW w:w="494" w:type="pct"/>
            <w:tcBorders>
              <w:top w:val="nil"/>
              <w:left w:val="nil"/>
              <w:bottom w:val="nil"/>
              <w:right w:val="nil"/>
            </w:tcBorders>
            <w:shd w:val="clear" w:color="000000" w:fill="FFFFFF"/>
            <w:noWrap/>
            <w:vAlign w:val="bottom"/>
            <w:hideMark/>
          </w:tcPr>
          <w:p w14:paraId="54787E6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9,08,96,545 </w:t>
            </w:r>
          </w:p>
        </w:tc>
        <w:tc>
          <w:tcPr>
            <w:tcW w:w="494" w:type="pct"/>
            <w:tcBorders>
              <w:top w:val="nil"/>
              <w:left w:val="nil"/>
              <w:bottom w:val="nil"/>
              <w:right w:val="nil"/>
            </w:tcBorders>
            <w:shd w:val="clear" w:color="000000" w:fill="FFFFFF"/>
            <w:noWrap/>
            <w:vAlign w:val="bottom"/>
            <w:hideMark/>
          </w:tcPr>
          <w:p w14:paraId="2D96D299"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8,26,15,789 </w:t>
            </w:r>
          </w:p>
        </w:tc>
        <w:tc>
          <w:tcPr>
            <w:tcW w:w="494" w:type="pct"/>
            <w:tcBorders>
              <w:top w:val="nil"/>
              <w:left w:val="nil"/>
              <w:bottom w:val="nil"/>
              <w:right w:val="nil"/>
            </w:tcBorders>
            <w:shd w:val="clear" w:color="000000" w:fill="FFFFFF"/>
            <w:noWrap/>
            <w:vAlign w:val="bottom"/>
            <w:hideMark/>
          </w:tcPr>
          <w:p w14:paraId="0E19F78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7,63,40,970 </w:t>
            </w:r>
          </w:p>
        </w:tc>
        <w:tc>
          <w:tcPr>
            <w:tcW w:w="51" w:type="pct"/>
            <w:vAlign w:val="center"/>
            <w:hideMark/>
          </w:tcPr>
          <w:p w14:paraId="15389AA8" w14:textId="77777777" w:rsidR="001C57DB" w:rsidRPr="001C57DB" w:rsidRDefault="001C57DB" w:rsidP="001C57DB">
            <w:pPr>
              <w:spacing w:before="0" w:after="0" w:line="240" w:lineRule="auto"/>
              <w:jc w:val="left"/>
              <w:rPr>
                <w:sz w:val="20"/>
                <w:szCs w:val="20"/>
                <w:lang w:val="en-IN"/>
              </w:rPr>
            </w:pPr>
          </w:p>
        </w:tc>
      </w:tr>
      <w:tr w:rsidR="001C57DB" w:rsidRPr="001C57DB" w14:paraId="7776449D"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12B8C8D"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"Debt to Equity Ratio"</w:t>
            </w:r>
          </w:p>
        </w:tc>
        <w:tc>
          <w:tcPr>
            <w:tcW w:w="1340" w:type="pct"/>
            <w:vMerge/>
            <w:tcBorders>
              <w:top w:val="nil"/>
              <w:left w:val="nil"/>
              <w:bottom w:val="nil"/>
              <w:right w:val="nil"/>
            </w:tcBorders>
            <w:vAlign w:val="center"/>
            <w:hideMark/>
          </w:tcPr>
          <w:p w14:paraId="2EBBE633"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797AF86F"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1.83</w:t>
            </w:r>
          </w:p>
        </w:tc>
        <w:tc>
          <w:tcPr>
            <w:tcW w:w="494" w:type="pct"/>
            <w:tcBorders>
              <w:top w:val="single" w:sz="4" w:space="0" w:color="auto"/>
              <w:left w:val="nil"/>
              <w:bottom w:val="single" w:sz="4" w:space="0" w:color="auto"/>
              <w:right w:val="nil"/>
            </w:tcBorders>
            <w:shd w:val="clear" w:color="000000" w:fill="FFFFFF"/>
            <w:noWrap/>
            <w:vAlign w:val="bottom"/>
            <w:hideMark/>
          </w:tcPr>
          <w:p w14:paraId="7D99A638"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1.77</w:t>
            </w:r>
          </w:p>
        </w:tc>
        <w:tc>
          <w:tcPr>
            <w:tcW w:w="494" w:type="pct"/>
            <w:tcBorders>
              <w:top w:val="single" w:sz="4" w:space="0" w:color="auto"/>
              <w:left w:val="nil"/>
              <w:bottom w:val="single" w:sz="4" w:space="0" w:color="auto"/>
              <w:right w:val="nil"/>
            </w:tcBorders>
            <w:shd w:val="clear" w:color="000000" w:fill="FFFFFF"/>
            <w:noWrap/>
            <w:vAlign w:val="bottom"/>
            <w:hideMark/>
          </w:tcPr>
          <w:p w14:paraId="0A8AA1C4"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1.81</w:t>
            </w:r>
          </w:p>
        </w:tc>
        <w:tc>
          <w:tcPr>
            <w:tcW w:w="494" w:type="pct"/>
            <w:tcBorders>
              <w:top w:val="single" w:sz="4" w:space="0" w:color="auto"/>
              <w:left w:val="nil"/>
              <w:bottom w:val="single" w:sz="4" w:space="0" w:color="auto"/>
              <w:right w:val="nil"/>
            </w:tcBorders>
            <w:shd w:val="clear" w:color="000000" w:fill="FFFFFF"/>
            <w:noWrap/>
            <w:vAlign w:val="bottom"/>
            <w:hideMark/>
          </w:tcPr>
          <w:p w14:paraId="036C9394"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1.83</w:t>
            </w:r>
          </w:p>
        </w:tc>
        <w:tc>
          <w:tcPr>
            <w:tcW w:w="494" w:type="pct"/>
            <w:tcBorders>
              <w:top w:val="single" w:sz="4" w:space="0" w:color="auto"/>
              <w:left w:val="nil"/>
              <w:bottom w:val="single" w:sz="4" w:space="0" w:color="auto"/>
              <w:right w:val="nil"/>
            </w:tcBorders>
            <w:shd w:val="clear" w:color="000000" w:fill="FFFFFF"/>
            <w:noWrap/>
            <w:vAlign w:val="bottom"/>
            <w:hideMark/>
          </w:tcPr>
          <w:p w14:paraId="77665128"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1.74</w:t>
            </w:r>
          </w:p>
        </w:tc>
        <w:tc>
          <w:tcPr>
            <w:tcW w:w="51" w:type="pct"/>
            <w:vAlign w:val="center"/>
            <w:hideMark/>
          </w:tcPr>
          <w:p w14:paraId="2B4454CF" w14:textId="77777777" w:rsidR="001C57DB" w:rsidRPr="001C57DB" w:rsidRDefault="001C57DB" w:rsidP="001C57DB">
            <w:pPr>
              <w:spacing w:before="0" w:after="0" w:line="240" w:lineRule="auto"/>
              <w:jc w:val="left"/>
              <w:rPr>
                <w:sz w:val="20"/>
                <w:szCs w:val="20"/>
                <w:lang w:val="en-IN"/>
              </w:rPr>
            </w:pPr>
          </w:p>
        </w:tc>
      </w:tr>
      <w:tr w:rsidR="001C57DB" w:rsidRPr="001C57DB" w14:paraId="0713C87A"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0F333CD0"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"Interest Coverage Ratios"</w:t>
            </w:r>
          </w:p>
        </w:tc>
        <w:tc>
          <w:tcPr>
            <w:tcW w:w="51" w:type="pct"/>
            <w:vAlign w:val="center"/>
            <w:hideMark/>
          </w:tcPr>
          <w:p w14:paraId="3BB0C21E" w14:textId="77777777" w:rsidR="001C57DB" w:rsidRPr="001C57DB" w:rsidRDefault="001C57DB" w:rsidP="001C57DB">
            <w:pPr>
              <w:spacing w:before="0" w:after="0" w:line="240" w:lineRule="auto"/>
              <w:jc w:val="left"/>
              <w:rPr>
                <w:sz w:val="20"/>
                <w:szCs w:val="20"/>
                <w:lang w:val="en-IN"/>
              </w:rPr>
            </w:pPr>
          </w:p>
        </w:tc>
      </w:tr>
      <w:tr w:rsidR="001C57DB" w:rsidRPr="001C57DB" w14:paraId="40241583" w14:textId="77777777" w:rsidTr="001C57DB">
        <w:trPr>
          <w:trHeight w:val="288"/>
          <w:jc w:val="center"/>
        </w:trPr>
        <w:tc>
          <w:tcPr>
            <w:tcW w:w="4949" w:type="pct"/>
            <w:gridSpan w:val="7"/>
            <w:vMerge/>
            <w:tcBorders>
              <w:top w:val="nil"/>
              <w:left w:val="nil"/>
              <w:bottom w:val="nil"/>
              <w:right w:val="nil"/>
            </w:tcBorders>
            <w:vAlign w:val="center"/>
            <w:hideMark/>
          </w:tcPr>
          <w:p w14:paraId="1CFEA00D"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6F4EE13F"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1588AAAE"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435A248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7437EBA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2058C16F"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08018FB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3EF3823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1ED7B2A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53EC8FDF"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35583F7F" w14:textId="77777777" w:rsidR="001C57DB" w:rsidRPr="001C57DB" w:rsidRDefault="001C57DB" w:rsidP="001C57DB">
            <w:pPr>
              <w:spacing w:before="0" w:after="0" w:line="240" w:lineRule="auto"/>
              <w:jc w:val="left"/>
              <w:rPr>
                <w:sz w:val="20"/>
                <w:szCs w:val="20"/>
                <w:lang w:val="en-IN"/>
              </w:rPr>
            </w:pPr>
          </w:p>
        </w:tc>
      </w:tr>
      <w:tr w:rsidR="001C57DB" w:rsidRPr="001C57DB" w14:paraId="18BB97E1"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370889E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"EBIT"</w:t>
            </w:r>
          </w:p>
        </w:tc>
        <w:tc>
          <w:tcPr>
            <w:tcW w:w="1340" w:type="pct"/>
            <w:vMerge w:val="restart"/>
            <w:tcBorders>
              <w:top w:val="nil"/>
              <w:left w:val="nil"/>
              <w:bottom w:val="nil"/>
              <w:right w:val="nil"/>
            </w:tcBorders>
            <w:shd w:val="clear" w:color="000000" w:fill="FFFFFF"/>
            <w:vAlign w:val="center"/>
            <w:hideMark/>
          </w:tcPr>
          <w:p w14:paraId="5D9E978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"(EBIT/ Interest Expenses)"</w:t>
            </w:r>
          </w:p>
        </w:tc>
        <w:tc>
          <w:tcPr>
            <w:tcW w:w="494" w:type="pct"/>
            <w:tcBorders>
              <w:top w:val="nil"/>
              <w:left w:val="nil"/>
              <w:bottom w:val="nil"/>
              <w:right w:val="nil"/>
            </w:tcBorders>
            <w:shd w:val="clear" w:color="000000" w:fill="FFFFFF"/>
            <w:noWrap/>
            <w:vAlign w:val="bottom"/>
            <w:hideMark/>
          </w:tcPr>
          <w:p w14:paraId="28286D5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1,77,81,436 </w:t>
            </w:r>
          </w:p>
        </w:tc>
        <w:tc>
          <w:tcPr>
            <w:tcW w:w="494" w:type="pct"/>
            <w:tcBorders>
              <w:top w:val="nil"/>
              <w:left w:val="nil"/>
              <w:bottom w:val="nil"/>
              <w:right w:val="nil"/>
            </w:tcBorders>
            <w:shd w:val="clear" w:color="000000" w:fill="FFFFFF"/>
            <w:noWrap/>
            <w:vAlign w:val="bottom"/>
            <w:hideMark/>
          </w:tcPr>
          <w:p w14:paraId="31F66A4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1,76,18,662 </w:t>
            </w:r>
          </w:p>
        </w:tc>
        <w:tc>
          <w:tcPr>
            <w:tcW w:w="494" w:type="pct"/>
            <w:tcBorders>
              <w:top w:val="nil"/>
              <w:left w:val="nil"/>
              <w:bottom w:val="nil"/>
              <w:right w:val="nil"/>
            </w:tcBorders>
            <w:shd w:val="clear" w:color="000000" w:fill="FFFFFF"/>
            <w:noWrap/>
            <w:vAlign w:val="bottom"/>
            <w:hideMark/>
          </w:tcPr>
          <w:p w14:paraId="55582C4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1,09,47,943 </w:t>
            </w:r>
          </w:p>
        </w:tc>
        <w:tc>
          <w:tcPr>
            <w:tcW w:w="494" w:type="pct"/>
            <w:tcBorders>
              <w:top w:val="nil"/>
              <w:left w:val="nil"/>
              <w:bottom w:val="nil"/>
              <w:right w:val="nil"/>
            </w:tcBorders>
            <w:shd w:val="clear" w:color="000000" w:fill="FFFFFF"/>
            <w:noWrap/>
            <w:vAlign w:val="bottom"/>
            <w:hideMark/>
          </w:tcPr>
          <w:p w14:paraId="32A7EE7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79,59,562 </w:t>
            </w:r>
          </w:p>
        </w:tc>
        <w:tc>
          <w:tcPr>
            <w:tcW w:w="494" w:type="pct"/>
            <w:tcBorders>
              <w:top w:val="nil"/>
              <w:left w:val="nil"/>
              <w:bottom w:val="nil"/>
              <w:right w:val="nil"/>
            </w:tcBorders>
            <w:shd w:val="clear" w:color="000000" w:fill="FFFFFF"/>
            <w:noWrap/>
            <w:vAlign w:val="bottom"/>
            <w:hideMark/>
          </w:tcPr>
          <w:p w14:paraId="6F7363E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20,93,256 </w:t>
            </w:r>
          </w:p>
        </w:tc>
        <w:tc>
          <w:tcPr>
            <w:tcW w:w="51" w:type="pct"/>
            <w:vAlign w:val="center"/>
            <w:hideMark/>
          </w:tcPr>
          <w:p w14:paraId="38CC829D" w14:textId="77777777" w:rsidR="001C57DB" w:rsidRPr="001C57DB" w:rsidRDefault="001C57DB" w:rsidP="001C57DB">
            <w:pPr>
              <w:spacing w:before="0" w:after="0" w:line="240" w:lineRule="auto"/>
              <w:jc w:val="left"/>
              <w:rPr>
                <w:sz w:val="20"/>
                <w:szCs w:val="20"/>
                <w:lang w:val="en-IN"/>
              </w:rPr>
            </w:pPr>
          </w:p>
        </w:tc>
      </w:tr>
      <w:tr w:rsidR="001C57DB" w:rsidRPr="001C57DB" w14:paraId="7E710418"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FBE5A3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Interest Expense"</w:t>
            </w:r>
          </w:p>
        </w:tc>
        <w:tc>
          <w:tcPr>
            <w:tcW w:w="1340" w:type="pct"/>
            <w:vMerge/>
            <w:tcBorders>
              <w:top w:val="nil"/>
              <w:left w:val="nil"/>
              <w:bottom w:val="nil"/>
              <w:right w:val="nil"/>
            </w:tcBorders>
            <w:vAlign w:val="center"/>
            <w:hideMark/>
          </w:tcPr>
          <w:p w14:paraId="7497FB1F"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0589B9F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22,72,415 </w:t>
            </w:r>
          </w:p>
        </w:tc>
        <w:tc>
          <w:tcPr>
            <w:tcW w:w="494" w:type="pct"/>
            <w:tcBorders>
              <w:top w:val="nil"/>
              <w:left w:val="nil"/>
              <w:bottom w:val="nil"/>
              <w:right w:val="nil"/>
            </w:tcBorders>
            <w:shd w:val="clear" w:color="000000" w:fill="FFFFFF"/>
            <w:noWrap/>
            <w:vAlign w:val="bottom"/>
            <w:hideMark/>
          </w:tcPr>
          <w:p w14:paraId="0FAF18C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23,50,343 </w:t>
            </w:r>
          </w:p>
        </w:tc>
        <w:tc>
          <w:tcPr>
            <w:tcW w:w="494" w:type="pct"/>
            <w:tcBorders>
              <w:top w:val="nil"/>
              <w:left w:val="nil"/>
              <w:bottom w:val="nil"/>
              <w:right w:val="nil"/>
            </w:tcBorders>
            <w:shd w:val="clear" w:color="000000" w:fill="FFFFFF"/>
            <w:noWrap/>
            <w:vAlign w:val="bottom"/>
            <w:hideMark/>
          </w:tcPr>
          <w:p w14:paraId="4B55ABE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28,50,107 </w:t>
            </w:r>
          </w:p>
        </w:tc>
        <w:tc>
          <w:tcPr>
            <w:tcW w:w="494" w:type="pct"/>
            <w:tcBorders>
              <w:top w:val="nil"/>
              <w:left w:val="nil"/>
              <w:bottom w:val="nil"/>
              <w:right w:val="nil"/>
            </w:tcBorders>
            <w:shd w:val="clear" w:color="000000" w:fill="FFFFFF"/>
            <w:noWrap/>
            <w:vAlign w:val="bottom"/>
            <w:hideMark/>
          </w:tcPr>
          <w:p w14:paraId="30AFDC09"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18,34,405 </w:t>
            </w:r>
          </w:p>
        </w:tc>
        <w:tc>
          <w:tcPr>
            <w:tcW w:w="494" w:type="pct"/>
            <w:tcBorders>
              <w:top w:val="nil"/>
              <w:left w:val="nil"/>
              <w:bottom w:val="nil"/>
              <w:right w:val="nil"/>
            </w:tcBorders>
            <w:shd w:val="clear" w:color="000000" w:fill="FFFFFF"/>
            <w:noWrap/>
            <w:vAlign w:val="bottom"/>
            <w:hideMark/>
          </w:tcPr>
          <w:p w14:paraId="6599246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16,30,144 </w:t>
            </w:r>
          </w:p>
        </w:tc>
        <w:tc>
          <w:tcPr>
            <w:tcW w:w="51" w:type="pct"/>
            <w:vAlign w:val="center"/>
            <w:hideMark/>
          </w:tcPr>
          <w:p w14:paraId="3F175DA9" w14:textId="77777777" w:rsidR="001C57DB" w:rsidRPr="001C57DB" w:rsidRDefault="001C57DB" w:rsidP="001C57DB">
            <w:pPr>
              <w:spacing w:before="0" w:after="0" w:line="240" w:lineRule="auto"/>
              <w:jc w:val="left"/>
              <w:rPr>
                <w:sz w:val="20"/>
                <w:szCs w:val="20"/>
                <w:lang w:val="en-IN"/>
              </w:rPr>
            </w:pPr>
          </w:p>
        </w:tc>
      </w:tr>
      <w:tr w:rsidR="001C57DB" w:rsidRPr="001C57DB" w14:paraId="4FF4B7D9"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50B6F58B"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"Interest Coverage Ratios"</w:t>
            </w:r>
          </w:p>
        </w:tc>
        <w:tc>
          <w:tcPr>
            <w:tcW w:w="1340" w:type="pct"/>
            <w:vMerge/>
            <w:tcBorders>
              <w:top w:val="nil"/>
              <w:left w:val="nil"/>
              <w:bottom w:val="nil"/>
              <w:right w:val="nil"/>
            </w:tcBorders>
            <w:vAlign w:val="center"/>
            <w:hideMark/>
          </w:tcPr>
          <w:p w14:paraId="15F6B3D5"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345DC028"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7.82</w:t>
            </w:r>
          </w:p>
        </w:tc>
        <w:tc>
          <w:tcPr>
            <w:tcW w:w="494" w:type="pct"/>
            <w:tcBorders>
              <w:top w:val="single" w:sz="4" w:space="0" w:color="auto"/>
              <w:left w:val="nil"/>
              <w:bottom w:val="single" w:sz="4" w:space="0" w:color="auto"/>
              <w:right w:val="nil"/>
            </w:tcBorders>
            <w:shd w:val="clear" w:color="000000" w:fill="FFFFFF"/>
            <w:noWrap/>
            <w:vAlign w:val="bottom"/>
            <w:hideMark/>
          </w:tcPr>
          <w:p w14:paraId="0BA186D7"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7.50</w:t>
            </w:r>
          </w:p>
        </w:tc>
        <w:tc>
          <w:tcPr>
            <w:tcW w:w="494" w:type="pct"/>
            <w:tcBorders>
              <w:top w:val="single" w:sz="4" w:space="0" w:color="auto"/>
              <w:left w:val="nil"/>
              <w:bottom w:val="single" w:sz="4" w:space="0" w:color="auto"/>
              <w:right w:val="nil"/>
            </w:tcBorders>
            <w:shd w:val="clear" w:color="000000" w:fill="FFFFFF"/>
            <w:noWrap/>
            <w:vAlign w:val="bottom"/>
            <w:hideMark/>
          </w:tcPr>
          <w:p w14:paraId="4EBEA472"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3.84</w:t>
            </w:r>
          </w:p>
        </w:tc>
        <w:tc>
          <w:tcPr>
            <w:tcW w:w="494" w:type="pct"/>
            <w:tcBorders>
              <w:top w:val="single" w:sz="4" w:space="0" w:color="auto"/>
              <w:left w:val="nil"/>
              <w:bottom w:val="single" w:sz="4" w:space="0" w:color="auto"/>
              <w:right w:val="nil"/>
            </w:tcBorders>
            <w:shd w:val="clear" w:color="000000" w:fill="FFFFFF"/>
            <w:noWrap/>
            <w:vAlign w:val="bottom"/>
            <w:hideMark/>
          </w:tcPr>
          <w:p w14:paraId="02B7880D"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4.34</w:t>
            </w:r>
          </w:p>
        </w:tc>
        <w:tc>
          <w:tcPr>
            <w:tcW w:w="494" w:type="pct"/>
            <w:tcBorders>
              <w:top w:val="single" w:sz="4" w:space="0" w:color="auto"/>
              <w:left w:val="nil"/>
              <w:bottom w:val="single" w:sz="4" w:space="0" w:color="auto"/>
              <w:right w:val="nil"/>
            </w:tcBorders>
            <w:shd w:val="clear" w:color="000000" w:fill="FFFFFF"/>
            <w:noWrap/>
            <w:vAlign w:val="bottom"/>
            <w:hideMark/>
          </w:tcPr>
          <w:p w14:paraId="55EB1E02"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1.28</w:t>
            </w:r>
          </w:p>
        </w:tc>
        <w:tc>
          <w:tcPr>
            <w:tcW w:w="51" w:type="pct"/>
            <w:vAlign w:val="center"/>
            <w:hideMark/>
          </w:tcPr>
          <w:p w14:paraId="37EB10EA" w14:textId="77777777" w:rsidR="001C57DB" w:rsidRPr="001C57DB" w:rsidRDefault="001C57DB" w:rsidP="001C57DB">
            <w:pPr>
              <w:spacing w:before="0" w:after="0" w:line="240" w:lineRule="auto"/>
              <w:jc w:val="left"/>
              <w:rPr>
                <w:sz w:val="20"/>
                <w:szCs w:val="20"/>
                <w:lang w:val="en-IN"/>
              </w:rPr>
            </w:pPr>
          </w:p>
        </w:tc>
      </w:tr>
      <w:tr w:rsidR="001C57DB" w:rsidRPr="001C57DB" w14:paraId="40DCE1CE"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7A3DEDAC"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"Debt-to-Capital Ratio "</w:t>
            </w:r>
          </w:p>
        </w:tc>
        <w:tc>
          <w:tcPr>
            <w:tcW w:w="51" w:type="pct"/>
            <w:vAlign w:val="center"/>
            <w:hideMark/>
          </w:tcPr>
          <w:p w14:paraId="34D3EAA1" w14:textId="77777777" w:rsidR="001C57DB" w:rsidRPr="001C57DB" w:rsidRDefault="001C57DB" w:rsidP="001C57DB">
            <w:pPr>
              <w:spacing w:before="0" w:after="0" w:line="240" w:lineRule="auto"/>
              <w:jc w:val="left"/>
              <w:rPr>
                <w:sz w:val="20"/>
                <w:szCs w:val="20"/>
                <w:lang w:val="en-IN"/>
              </w:rPr>
            </w:pPr>
          </w:p>
        </w:tc>
      </w:tr>
      <w:tr w:rsidR="001C57DB" w:rsidRPr="001C57DB" w14:paraId="1954E18A" w14:textId="77777777" w:rsidTr="001C57DB">
        <w:trPr>
          <w:trHeight w:val="288"/>
          <w:jc w:val="center"/>
        </w:trPr>
        <w:tc>
          <w:tcPr>
            <w:tcW w:w="4949" w:type="pct"/>
            <w:gridSpan w:val="7"/>
            <w:vMerge/>
            <w:tcBorders>
              <w:top w:val="nil"/>
              <w:left w:val="nil"/>
              <w:bottom w:val="nil"/>
              <w:right w:val="nil"/>
            </w:tcBorders>
            <w:vAlign w:val="center"/>
            <w:hideMark/>
          </w:tcPr>
          <w:p w14:paraId="74CF61F7"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52EE4188"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4C5D5E63"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85D2A8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593523C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66AA85F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36E284E3"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2B10D3B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3F97698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2EB91E0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0EC23AFB" w14:textId="77777777" w:rsidR="001C57DB" w:rsidRPr="001C57DB" w:rsidRDefault="001C57DB" w:rsidP="001C57DB">
            <w:pPr>
              <w:spacing w:before="0" w:after="0" w:line="240" w:lineRule="auto"/>
              <w:jc w:val="left"/>
              <w:rPr>
                <w:sz w:val="20"/>
                <w:szCs w:val="20"/>
                <w:lang w:val="en-IN"/>
              </w:rPr>
            </w:pPr>
          </w:p>
        </w:tc>
      </w:tr>
      <w:tr w:rsidR="001C57DB" w:rsidRPr="001C57DB" w14:paraId="4B5E5219"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34FAE67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"Total Debt"</w:t>
            </w:r>
          </w:p>
        </w:tc>
        <w:tc>
          <w:tcPr>
            <w:tcW w:w="1340" w:type="pct"/>
            <w:vMerge w:val="restart"/>
            <w:tcBorders>
              <w:top w:val="nil"/>
              <w:left w:val="nil"/>
              <w:bottom w:val="nil"/>
              <w:right w:val="nil"/>
            </w:tcBorders>
            <w:shd w:val="clear" w:color="000000" w:fill="FFFFFF"/>
            <w:vAlign w:val="center"/>
            <w:hideMark/>
          </w:tcPr>
          <w:p w14:paraId="186734C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"Total Debt / (Total Equity + Total Debt)"</w:t>
            </w:r>
          </w:p>
        </w:tc>
        <w:tc>
          <w:tcPr>
            <w:tcW w:w="494" w:type="pct"/>
            <w:tcBorders>
              <w:top w:val="nil"/>
              <w:left w:val="nil"/>
              <w:bottom w:val="nil"/>
              <w:right w:val="nil"/>
            </w:tcBorders>
            <w:shd w:val="clear" w:color="000000" w:fill="FFFFFF"/>
            <w:noWrap/>
            <w:vAlign w:val="bottom"/>
            <w:hideMark/>
          </w:tcPr>
          <w:p w14:paraId="4A61555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21,95,22,496 </w:t>
            </w:r>
          </w:p>
        </w:tc>
        <w:tc>
          <w:tcPr>
            <w:tcW w:w="494" w:type="pct"/>
            <w:tcBorders>
              <w:top w:val="nil"/>
              <w:left w:val="nil"/>
              <w:bottom w:val="nil"/>
              <w:right w:val="nil"/>
            </w:tcBorders>
            <w:shd w:val="clear" w:color="000000" w:fill="FFFFFF"/>
            <w:noWrap/>
            <w:vAlign w:val="bottom"/>
            <w:hideMark/>
          </w:tcPr>
          <w:p w14:paraId="1313E5A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18,06,53,915 </w:t>
            </w:r>
          </w:p>
        </w:tc>
        <w:tc>
          <w:tcPr>
            <w:tcW w:w="494" w:type="pct"/>
            <w:tcBorders>
              <w:top w:val="nil"/>
              <w:left w:val="nil"/>
              <w:bottom w:val="nil"/>
              <w:right w:val="nil"/>
            </w:tcBorders>
            <w:shd w:val="clear" w:color="000000" w:fill="FFFFFF"/>
            <w:noWrap/>
            <w:vAlign w:val="bottom"/>
            <w:hideMark/>
          </w:tcPr>
          <w:p w14:paraId="7D5D81C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16,48,45,917 </w:t>
            </w:r>
          </w:p>
        </w:tc>
        <w:tc>
          <w:tcPr>
            <w:tcW w:w="494" w:type="pct"/>
            <w:tcBorders>
              <w:top w:val="nil"/>
              <w:left w:val="nil"/>
              <w:bottom w:val="nil"/>
              <w:right w:val="nil"/>
            </w:tcBorders>
            <w:shd w:val="clear" w:color="000000" w:fill="FFFFFF"/>
            <w:noWrap/>
            <w:vAlign w:val="bottom"/>
            <w:hideMark/>
          </w:tcPr>
          <w:p w14:paraId="074931F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15,13,30,626 </w:t>
            </w:r>
          </w:p>
        </w:tc>
        <w:tc>
          <w:tcPr>
            <w:tcW w:w="494" w:type="pct"/>
            <w:tcBorders>
              <w:top w:val="nil"/>
              <w:left w:val="nil"/>
              <w:bottom w:val="nil"/>
              <w:right w:val="nil"/>
            </w:tcBorders>
            <w:shd w:val="clear" w:color="000000" w:fill="FFFFFF"/>
            <w:noWrap/>
            <w:vAlign w:val="bottom"/>
            <w:hideMark/>
          </w:tcPr>
          <w:p w14:paraId="1E0DEBA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13,30,03,242 </w:t>
            </w:r>
          </w:p>
        </w:tc>
        <w:tc>
          <w:tcPr>
            <w:tcW w:w="51" w:type="pct"/>
            <w:vAlign w:val="center"/>
            <w:hideMark/>
          </w:tcPr>
          <w:p w14:paraId="17163E3C" w14:textId="77777777" w:rsidR="001C57DB" w:rsidRPr="001C57DB" w:rsidRDefault="001C57DB" w:rsidP="001C57DB">
            <w:pPr>
              <w:spacing w:before="0" w:after="0" w:line="240" w:lineRule="auto"/>
              <w:jc w:val="left"/>
              <w:rPr>
                <w:sz w:val="20"/>
                <w:szCs w:val="20"/>
                <w:lang w:val="en-IN"/>
              </w:rPr>
            </w:pPr>
          </w:p>
        </w:tc>
      </w:tr>
      <w:tr w:rsidR="001C57DB" w:rsidRPr="001C57DB" w14:paraId="7A33E47B"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C805BC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Total Equity"</w:t>
            </w:r>
          </w:p>
        </w:tc>
        <w:tc>
          <w:tcPr>
            <w:tcW w:w="1340" w:type="pct"/>
            <w:vMerge/>
            <w:tcBorders>
              <w:top w:val="nil"/>
              <w:left w:val="nil"/>
              <w:bottom w:val="nil"/>
              <w:right w:val="nil"/>
            </w:tcBorders>
            <w:vAlign w:val="center"/>
            <w:hideMark/>
          </w:tcPr>
          <w:p w14:paraId="634EB5B1"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5D9D28A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12,02,75,933 </w:t>
            </w:r>
          </w:p>
        </w:tc>
        <w:tc>
          <w:tcPr>
            <w:tcW w:w="494" w:type="pct"/>
            <w:tcBorders>
              <w:top w:val="nil"/>
              <w:left w:val="nil"/>
              <w:bottom w:val="nil"/>
              <w:right w:val="nil"/>
            </w:tcBorders>
            <w:shd w:val="clear" w:color="000000" w:fill="FFFFFF"/>
            <w:noWrap/>
            <w:vAlign w:val="bottom"/>
            <w:hideMark/>
          </w:tcPr>
          <w:p w14:paraId="712CA6D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10,18,09,440 </w:t>
            </w:r>
          </w:p>
        </w:tc>
        <w:tc>
          <w:tcPr>
            <w:tcW w:w="494" w:type="pct"/>
            <w:tcBorders>
              <w:top w:val="nil"/>
              <w:left w:val="nil"/>
              <w:bottom w:val="nil"/>
              <w:right w:val="nil"/>
            </w:tcBorders>
            <w:shd w:val="clear" w:color="000000" w:fill="FFFFFF"/>
            <w:noWrap/>
            <w:vAlign w:val="bottom"/>
            <w:hideMark/>
          </w:tcPr>
          <w:p w14:paraId="5908833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9,08,96,545 </w:t>
            </w:r>
          </w:p>
        </w:tc>
        <w:tc>
          <w:tcPr>
            <w:tcW w:w="494" w:type="pct"/>
            <w:tcBorders>
              <w:top w:val="nil"/>
              <w:left w:val="nil"/>
              <w:bottom w:val="nil"/>
              <w:right w:val="nil"/>
            </w:tcBorders>
            <w:shd w:val="clear" w:color="000000" w:fill="FFFFFF"/>
            <w:noWrap/>
            <w:vAlign w:val="bottom"/>
            <w:hideMark/>
          </w:tcPr>
          <w:p w14:paraId="369E55A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8,26,15,789 </w:t>
            </w:r>
          </w:p>
        </w:tc>
        <w:tc>
          <w:tcPr>
            <w:tcW w:w="494" w:type="pct"/>
            <w:tcBorders>
              <w:top w:val="nil"/>
              <w:left w:val="nil"/>
              <w:bottom w:val="nil"/>
              <w:right w:val="nil"/>
            </w:tcBorders>
            <w:shd w:val="clear" w:color="000000" w:fill="FFFFFF"/>
            <w:noWrap/>
            <w:vAlign w:val="bottom"/>
            <w:hideMark/>
          </w:tcPr>
          <w:p w14:paraId="7348D9D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7,63,40,970 </w:t>
            </w:r>
          </w:p>
        </w:tc>
        <w:tc>
          <w:tcPr>
            <w:tcW w:w="51" w:type="pct"/>
            <w:vAlign w:val="center"/>
            <w:hideMark/>
          </w:tcPr>
          <w:p w14:paraId="4CDA9FDE" w14:textId="77777777" w:rsidR="001C57DB" w:rsidRPr="001C57DB" w:rsidRDefault="001C57DB" w:rsidP="001C57DB">
            <w:pPr>
              <w:spacing w:before="0" w:after="0" w:line="240" w:lineRule="auto"/>
              <w:jc w:val="left"/>
              <w:rPr>
                <w:sz w:val="20"/>
                <w:szCs w:val="20"/>
                <w:lang w:val="en-IN"/>
              </w:rPr>
            </w:pPr>
          </w:p>
        </w:tc>
      </w:tr>
      <w:tr w:rsidR="001C57DB" w:rsidRPr="001C57DB" w14:paraId="6EE62489"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33D144E9"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"Debt-to-Capital Ratio "</w:t>
            </w:r>
          </w:p>
        </w:tc>
        <w:tc>
          <w:tcPr>
            <w:tcW w:w="1340" w:type="pct"/>
            <w:vMerge/>
            <w:tcBorders>
              <w:top w:val="nil"/>
              <w:left w:val="nil"/>
              <w:bottom w:val="nil"/>
              <w:right w:val="nil"/>
            </w:tcBorders>
            <w:vAlign w:val="center"/>
            <w:hideMark/>
          </w:tcPr>
          <w:p w14:paraId="7E4D6CCB"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7B5392E4"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0.65</w:t>
            </w:r>
          </w:p>
        </w:tc>
        <w:tc>
          <w:tcPr>
            <w:tcW w:w="494" w:type="pct"/>
            <w:tcBorders>
              <w:top w:val="single" w:sz="4" w:space="0" w:color="auto"/>
              <w:left w:val="nil"/>
              <w:bottom w:val="single" w:sz="4" w:space="0" w:color="auto"/>
              <w:right w:val="nil"/>
            </w:tcBorders>
            <w:shd w:val="clear" w:color="000000" w:fill="FFFFFF"/>
            <w:noWrap/>
            <w:vAlign w:val="bottom"/>
            <w:hideMark/>
          </w:tcPr>
          <w:p w14:paraId="50372B70"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0.64</w:t>
            </w:r>
          </w:p>
        </w:tc>
        <w:tc>
          <w:tcPr>
            <w:tcW w:w="494" w:type="pct"/>
            <w:tcBorders>
              <w:top w:val="single" w:sz="4" w:space="0" w:color="auto"/>
              <w:left w:val="nil"/>
              <w:bottom w:val="single" w:sz="4" w:space="0" w:color="auto"/>
              <w:right w:val="nil"/>
            </w:tcBorders>
            <w:shd w:val="clear" w:color="000000" w:fill="FFFFFF"/>
            <w:noWrap/>
            <w:vAlign w:val="bottom"/>
            <w:hideMark/>
          </w:tcPr>
          <w:p w14:paraId="6F8A5634"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0.64</w:t>
            </w:r>
          </w:p>
        </w:tc>
        <w:tc>
          <w:tcPr>
            <w:tcW w:w="494" w:type="pct"/>
            <w:tcBorders>
              <w:top w:val="single" w:sz="4" w:space="0" w:color="auto"/>
              <w:left w:val="nil"/>
              <w:bottom w:val="single" w:sz="4" w:space="0" w:color="auto"/>
              <w:right w:val="nil"/>
            </w:tcBorders>
            <w:shd w:val="clear" w:color="000000" w:fill="FFFFFF"/>
            <w:noWrap/>
            <w:vAlign w:val="bottom"/>
            <w:hideMark/>
          </w:tcPr>
          <w:p w14:paraId="291A0606"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0.65</w:t>
            </w:r>
          </w:p>
        </w:tc>
        <w:tc>
          <w:tcPr>
            <w:tcW w:w="494" w:type="pct"/>
            <w:tcBorders>
              <w:top w:val="single" w:sz="4" w:space="0" w:color="auto"/>
              <w:left w:val="nil"/>
              <w:bottom w:val="single" w:sz="4" w:space="0" w:color="auto"/>
              <w:right w:val="nil"/>
            </w:tcBorders>
            <w:shd w:val="clear" w:color="000000" w:fill="FFFFFF"/>
            <w:noWrap/>
            <w:vAlign w:val="bottom"/>
            <w:hideMark/>
          </w:tcPr>
          <w:p w14:paraId="6665D4D7"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0.64</w:t>
            </w:r>
          </w:p>
        </w:tc>
        <w:tc>
          <w:tcPr>
            <w:tcW w:w="51" w:type="pct"/>
            <w:vAlign w:val="center"/>
            <w:hideMark/>
          </w:tcPr>
          <w:p w14:paraId="6BA332F0" w14:textId="77777777" w:rsidR="001C57DB" w:rsidRPr="001C57DB" w:rsidRDefault="001C57DB" w:rsidP="001C57DB">
            <w:pPr>
              <w:spacing w:before="0" w:after="0" w:line="240" w:lineRule="auto"/>
              <w:jc w:val="left"/>
              <w:rPr>
                <w:sz w:val="20"/>
                <w:szCs w:val="20"/>
                <w:lang w:val="en-IN"/>
              </w:rPr>
            </w:pPr>
          </w:p>
        </w:tc>
      </w:tr>
      <w:tr w:rsidR="001C57DB" w:rsidRPr="001C57DB" w14:paraId="78FC74D4"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0E1485A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"Equity Multiplier"</w:t>
            </w:r>
          </w:p>
        </w:tc>
        <w:tc>
          <w:tcPr>
            <w:tcW w:w="51" w:type="pct"/>
            <w:vAlign w:val="center"/>
            <w:hideMark/>
          </w:tcPr>
          <w:p w14:paraId="4457D7BE" w14:textId="77777777" w:rsidR="001C57DB" w:rsidRPr="001C57DB" w:rsidRDefault="001C57DB" w:rsidP="001C57DB">
            <w:pPr>
              <w:spacing w:before="0" w:after="0" w:line="240" w:lineRule="auto"/>
              <w:jc w:val="left"/>
              <w:rPr>
                <w:sz w:val="20"/>
                <w:szCs w:val="20"/>
                <w:lang w:val="en-IN"/>
              </w:rPr>
            </w:pPr>
          </w:p>
        </w:tc>
      </w:tr>
      <w:tr w:rsidR="001C57DB" w:rsidRPr="001C57DB" w14:paraId="04D30BA6" w14:textId="77777777" w:rsidTr="001C57DB">
        <w:trPr>
          <w:trHeight w:val="288"/>
          <w:jc w:val="center"/>
        </w:trPr>
        <w:tc>
          <w:tcPr>
            <w:tcW w:w="4949" w:type="pct"/>
            <w:gridSpan w:val="7"/>
            <w:vMerge/>
            <w:tcBorders>
              <w:top w:val="nil"/>
              <w:left w:val="nil"/>
              <w:bottom w:val="nil"/>
              <w:right w:val="nil"/>
            </w:tcBorders>
            <w:vAlign w:val="center"/>
            <w:hideMark/>
          </w:tcPr>
          <w:p w14:paraId="081ADCEF"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099A704E"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190CADF0"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2F72925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5964951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02B8F89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0D24784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4B278FC4"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47C33DB7"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28237923"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73EAFD84" w14:textId="77777777" w:rsidR="001C57DB" w:rsidRPr="001C57DB" w:rsidRDefault="001C57DB" w:rsidP="001C57DB">
            <w:pPr>
              <w:spacing w:before="0" w:after="0" w:line="240" w:lineRule="auto"/>
              <w:jc w:val="left"/>
              <w:rPr>
                <w:sz w:val="20"/>
                <w:szCs w:val="20"/>
                <w:lang w:val="en-IN"/>
              </w:rPr>
            </w:pPr>
          </w:p>
        </w:tc>
      </w:tr>
      <w:tr w:rsidR="001C57DB" w:rsidRPr="001C57DB" w14:paraId="4F4D3CC4"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67982C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"Total Assets"</w:t>
            </w:r>
          </w:p>
        </w:tc>
        <w:tc>
          <w:tcPr>
            <w:tcW w:w="1340" w:type="pct"/>
            <w:vMerge w:val="restart"/>
            <w:tcBorders>
              <w:top w:val="nil"/>
              <w:left w:val="nil"/>
              <w:bottom w:val="nil"/>
              <w:right w:val="nil"/>
            </w:tcBorders>
            <w:shd w:val="clear" w:color="000000" w:fill="FFFFFF"/>
            <w:vAlign w:val="center"/>
            <w:hideMark/>
          </w:tcPr>
          <w:p w14:paraId="4E9A63F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"(Total Assets/Book Value of Equity)"</w:t>
            </w:r>
          </w:p>
        </w:tc>
        <w:tc>
          <w:tcPr>
            <w:tcW w:w="494" w:type="pct"/>
            <w:tcBorders>
              <w:top w:val="nil"/>
              <w:left w:val="nil"/>
              <w:bottom w:val="nil"/>
              <w:right w:val="nil"/>
            </w:tcBorders>
            <w:shd w:val="clear" w:color="000000" w:fill="FFFFFF"/>
            <w:noWrap/>
            <w:vAlign w:val="bottom"/>
            <w:hideMark/>
          </w:tcPr>
          <w:p w14:paraId="13FA78A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33,97,98,429 </w:t>
            </w:r>
          </w:p>
        </w:tc>
        <w:tc>
          <w:tcPr>
            <w:tcW w:w="494" w:type="pct"/>
            <w:tcBorders>
              <w:top w:val="nil"/>
              <w:left w:val="nil"/>
              <w:bottom w:val="nil"/>
              <w:right w:val="nil"/>
            </w:tcBorders>
            <w:shd w:val="clear" w:color="000000" w:fill="FFFFFF"/>
            <w:noWrap/>
            <w:vAlign w:val="bottom"/>
            <w:hideMark/>
          </w:tcPr>
          <w:p w14:paraId="0AF3DB7E"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28,24,63,355 </w:t>
            </w:r>
          </w:p>
        </w:tc>
        <w:tc>
          <w:tcPr>
            <w:tcW w:w="494" w:type="pct"/>
            <w:tcBorders>
              <w:top w:val="nil"/>
              <w:left w:val="nil"/>
              <w:bottom w:val="nil"/>
              <w:right w:val="nil"/>
            </w:tcBorders>
            <w:shd w:val="clear" w:color="000000" w:fill="FFFFFF"/>
            <w:noWrap/>
            <w:vAlign w:val="bottom"/>
            <w:hideMark/>
          </w:tcPr>
          <w:p w14:paraId="48381A0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25,57,42,462 </w:t>
            </w:r>
          </w:p>
        </w:tc>
        <w:tc>
          <w:tcPr>
            <w:tcW w:w="494" w:type="pct"/>
            <w:tcBorders>
              <w:top w:val="nil"/>
              <w:left w:val="nil"/>
              <w:bottom w:val="nil"/>
              <w:right w:val="nil"/>
            </w:tcBorders>
            <w:shd w:val="clear" w:color="000000" w:fill="FFFFFF"/>
            <w:noWrap/>
            <w:vAlign w:val="bottom"/>
            <w:hideMark/>
          </w:tcPr>
          <w:p w14:paraId="2B4C8E8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23,39,46,415 </w:t>
            </w:r>
          </w:p>
        </w:tc>
        <w:tc>
          <w:tcPr>
            <w:tcW w:w="494" w:type="pct"/>
            <w:tcBorders>
              <w:top w:val="nil"/>
              <w:left w:val="nil"/>
              <w:bottom w:val="nil"/>
              <w:right w:val="nil"/>
            </w:tcBorders>
            <w:shd w:val="clear" w:color="000000" w:fill="FFFFFF"/>
            <w:noWrap/>
            <w:vAlign w:val="bottom"/>
            <w:hideMark/>
          </w:tcPr>
          <w:p w14:paraId="330401F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20,93,44,212 </w:t>
            </w:r>
          </w:p>
        </w:tc>
        <w:tc>
          <w:tcPr>
            <w:tcW w:w="51" w:type="pct"/>
            <w:vAlign w:val="center"/>
            <w:hideMark/>
          </w:tcPr>
          <w:p w14:paraId="3BCD5546" w14:textId="77777777" w:rsidR="001C57DB" w:rsidRPr="001C57DB" w:rsidRDefault="001C57DB" w:rsidP="001C57DB">
            <w:pPr>
              <w:spacing w:before="0" w:after="0" w:line="240" w:lineRule="auto"/>
              <w:jc w:val="left"/>
              <w:rPr>
                <w:sz w:val="20"/>
                <w:szCs w:val="20"/>
                <w:lang w:val="en-IN"/>
              </w:rPr>
            </w:pPr>
          </w:p>
        </w:tc>
      </w:tr>
      <w:tr w:rsidR="001C57DB" w:rsidRPr="001C57DB" w14:paraId="2376B2F8"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120F8F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Book Value of Equity"</w:t>
            </w:r>
          </w:p>
        </w:tc>
        <w:tc>
          <w:tcPr>
            <w:tcW w:w="1340" w:type="pct"/>
            <w:vMerge/>
            <w:tcBorders>
              <w:top w:val="nil"/>
              <w:left w:val="nil"/>
              <w:bottom w:val="nil"/>
              <w:right w:val="nil"/>
            </w:tcBorders>
            <w:vAlign w:val="center"/>
            <w:hideMark/>
          </w:tcPr>
          <w:p w14:paraId="48FC7D7D"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1967091E"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12,02,75,933 </w:t>
            </w:r>
          </w:p>
        </w:tc>
        <w:tc>
          <w:tcPr>
            <w:tcW w:w="494" w:type="pct"/>
            <w:tcBorders>
              <w:top w:val="nil"/>
              <w:left w:val="nil"/>
              <w:bottom w:val="nil"/>
              <w:right w:val="nil"/>
            </w:tcBorders>
            <w:shd w:val="clear" w:color="000000" w:fill="FFFFFF"/>
            <w:noWrap/>
            <w:vAlign w:val="bottom"/>
            <w:hideMark/>
          </w:tcPr>
          <w:p w14:paraId="20D57C2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10,18,09,440 </w:t>
            </w:r>
          </w:p>
        </w:tc>
        <w:tc>
          <w:tcPr>
            <w:tcW w:w="494" w:type="pct"/>
            <w:tcBorders>
              <w:top w:val="nil"/>
              <w:left w:val="nil"/>
              <w:bottom w:val="nil"/>
              <w:right w:val="nil"/>
            </w:tcBorders>
            <w:shd w:val="clear" w:color="000000" w:fill="FFFFFF"/>
            <w:noWrap/>
            <w:vAlign w:val="bottom"/>
            <w:hideMark/>
          </w:tcPr>
          <w:p w14:paraId="3909674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9,08,96,545 </w:t>
            </w:r>
          </w:p>
        </w:tc>
        <w:tc>
          <w:tcPr>
            <w:tcW w:w="494" w:type="pct"/>
            <w:tcBorders>
              <w:top w:val="nil"/>
              <w:left w:val="nil"/>
              <w:bottom w:val="nil"/>
              <w:right w:val="nil"/>
            </w:tcBorders>
            <w:shd w:val="clear" w:color="000000" w:fill="FFFFFF"/>
            <w:noWrap/>
            <w:vAlign w:val="bottom"/>
            <w:hideMark/>
          </w:tcPr>
          <w:p w14:paraId="38CBA04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8,26,15,789 </w:t>
            </w:r>
          </w:p>
        </w:tc>
        <w:tc>
          <w:tcPr>
            <w:tcW w:w="494" w:type="pct"/>
            <w:tcBorders>
              <w:top w:val="nil"/>
              <w:left w:val="nil"/>
              <w:bottom w:val="nil"/>
              <w:right w:val="nil"/>
            </w:tcBorders>
            <w:shd w:val="clear" w:color="000000" w:fill="FFFFFF"/>
            <w:noWrap/>
            <w:vAlign w:val="bottom"/>
            <w:hideMark/>
          </w:tcPr>
          <w:p w14:paraId="76CF9D7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7,63,40,970 </w:t>
            </w:r>
          </w:p>
        </w:tc>
        <w:tc>
          <w:tcPr>
            <w:tcW w:w="51" w:type="pct"/>
            <w:vAlign w:val="center"/>
            <w:hideMark/>
          </w:tcPr>
          <w:p w14:paraId="15D83BB1" w14:textId="77777777" w:rsidR="001C57DB" w:rsidRPr="001C57DB" w:rsidRDefault="001C57DB" w:rsidP="001C57DB">
            <w:pPr>
              <w:spacing w:before="0" w:after="0" w:line="240" w:lineRule="auto"/>
              <w:jc w:val="left"/>
              <w:rPr>
                <w:sz w:val="20"/>
                <w:szCs w:val="20"/>
                <w:lang w:val="en-IN"/>
              </w:rPr>
            </w:pPr>
          </w:p>
        </w:tc>
      </w:tr>
      <w:tr w:rsidR="001C57DB" w:rsidRPr="001C57DB" w14:paraId="2EC3AE26"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BBC9A61"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"Equity Multiplier"</w:t>
            </w:r>
          </w:p>
        </w:tc>
        <w:tc>
          <w:tcPr>
            <w:tcW w:w="1340" w:type="pct"/>
            <w:vMerge/>
            <w:tcBorders>
              <w:top w:val="nil"/>
              <w:left w:val="nil"/>
              <w:bottom w:val="nil"/>
              <w:right w:val="nil"/>
            </w:tcBorders>
            <w:vAlign w:val="center"/>
            <w:hideMark/>
          </w:tcPr>
          <w:p w14:paraId="2D7B3D40"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6BE99B10"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2.83</w:t>
            </w:r>
          </w:p>
        </w:tc>
        <w:tc>
          <w:tcPr>
            <w:tcW w:w="494" w:type="pct"/>
            <w:tcBorders>
              <w:top w:val="single" w:sz="4" w:space="0" w:color="auto"/>
              <w:left w:val="nil"/>
              <w:bottom w:val="single" w:sz="4" w:space="0" w:color="auto"/>
              <w:right w:val="nil"/>
            </w:tcBorders>
            <w:shd w:val="clear" w:color="000000" w:fill="FFFFFF"/>
            <w:noWrap/>
            <w:vAlign w:val="bottom"/>
            <w:hideMark/>
          </w:tcPr>
          <w:p w14:paraId="7BEE9458"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2.77</w:t>
            </w:r>
          </w:p>
        </w:tc>
        <w:tc>
          <w:tcPr>
            <w:tcW w:w="494" w:type="pct"/>
            <w:tcBorders>
              <w:top w:val="single" w:sz="4" w:space="0" w:color="auto"/>
              <w:left w:val="nil"/>
              <w:bottom w:val="single" w:sz="4" w:space="0" w:color="auto"/>
              <w:right w:val="nil"/>
            </w:tcBorders>
            <w:shd w:val="clear" w:color="000000" w:fill="FFFFFF"/>
            <w:noWrap/>
            <w:vAlign w:val="bottom"/>
            <w:hideMark/>
          </w:tcPr>
          <w:p w14:paraId="0ABDE497"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2.81</w:t>
            </w:r>
          </w:p>
        </w:tc>
        <w:tc>
          <w:tcPr>
            <w:tcW w:w="494" w:type="pct"/>
            <w:tcBorders>
              <w:top w:val="single" w:sz="4" w:space="0" w:color="auto"/>
              <w:left w:val="nil"/>
              <w:bottom w:val="single" w:sz="4" w:space="0" w:color="auto"/>
              <w:right w:val="nil"/>
            </w:tcBorders>
            <w:shd w:val="clear" w:color="000000" w:fill="FFFFFF"/>
            <w:noWrap/>
            <w:vAlign w:val="bottom"/>
            <w:hideMark/>
          </w:tcPr>
          <w:p w14:paraId="31F728A2"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2.83</w:t>
            </w:r>
          </w:p>
        </w:tc>
        <w:tc>
          <w:tcPr>
            <w:tcW w:w="494" w:type="pct"/>
            <w:tcBorders>
              <w:top w:val="single" w:sz="4" w:space="0" w:color="auto"/>
              <w:left w:val="nil"/>
              <w:bottom w:val="single" w:sz="4" w:space="0" w:color="auto"/>
              <w:right w:val="nil"/>
            </w:tcBorders>
            <w:shd w:val="clear" w:color="000000" w:fill="FFFFFF"/>
            <w:noWrap/>
            <w:vAlign w:val="bottom"/>
            <w:hideMark/>
          </w:tcPr>
          <w:p w14:paraId="71DE9608"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2.74</w:t>
            </w:r>
          </w:p>
        </w:tc>
        <w:tc>
          <w:tcPr>
            <w:tcW w:w="51" w:type="pct"/>
            <w:vAlign w:val="center"/>
            <w:hideMark/>
          </w:tcPr>
          <w:p w14:paraId="032EA02E" w14:textId="77777777" w:rsidR="001C57DB" w:rsidRPr="001C57DB" w:rsidRDefault="001C57DB" w:rsidP="001C57DB">
            <w:pPr>
              <w:spacing w:before="0" w:after="0" w:line="240" w:lineRule="auto"/>
              <w:jc w:val="left"/>
              <w:rPr>
                <w:sz w:val="20"/>
                <w:szCs w:val="20"/>
                <w:lang w:val="en-IN"/>
              </w:rPr>
            </w:pPr>
          </w:p>
        </w:tc>
      </w:tr>
      <w:tr w:rsidR="001C57DB" w:rsidRPr="001C57DB" w14:paraId="00F5D1AB" w14:textId="77777777" w:rsidTr="001C57DB">
        <w:trPr>
          <w:trHeight w:val="288"/>
          <w:jc w:val="center"/>
        </w:trPr>
        <w:tc>
          <w:tcPr>
            <w:tcW w:w="4949" w:type="pct"/>
            <w:gridSpan w:val="7"/>
            <w:vMerge w:val="restart"/>
            <w:tcBorders>
              <w:top w:val="nil"/>
              <w:left w:val="nil"/>
              <w:bottom w:val="nil"/>
              <w:right w:val="nil"/>
            </w:tcBorders>
            <w:shd w:val="clear" w:color="000000" w:fill="A6C9EC"/>
            <w:noWrap/>
            <w:vAlign w:val="center"/>
            <w:hideMark/>
          </w:tcPr>
          <w:p w14:paraId="23FCAC72"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"Investment Ratio"</w:t>
            </w:r>
          </w:p>
        </w:tc>
        <w:tc>
          <w:tcPr>
            <w:tcW w:w="51" w:type="pct"/>
            <w:vAlign w:val="center"/>
            <w:hideMark/>
          </w:tcPr>
          <w:p w14:paraId="2F704437" w14:textId="77777777" w:rsidR="001C57DB" w:rsidRPr="001C57DB" w:rsidRDefault="001C57DB" w:rsidP="001C57DB">
            <w:pPr>
              <w:spacing w:before="0" w:after="0" w:line="240" w:lineRule="auto"/>
              <w:jc w:val="left"/>
              <w:rPr>
                <w:sz w:val="20"/>
                <w:szCs w:val="20"/>
                <w:lang w:val="en-IN"/>
              </w:rPr>
            </w:pPr>
          </w:p>
        </w:tc>
      </w:tr>
      <w:tr w:rsidR="001C57DB" w:rsidRPr="001C57DB" w14:paraId="398CC222" w14:textId="77777777" w:rsidTr="001C57DB">
        <w:trPr>
          <w:trHeight w:val="288"/>
          <w:jc w:val="center"/>
        </w:trPr>
        <w:tc>
          <w:tcPr>
            <w:tcW w:w="4949" w:type="pct"/>
            <w:gridSpan w:val="7"/>
            <w:vMerge/>
            <w:tcBorders>
              <w:top w:val="nil"/>
              <w:left w:val="nil"/>
              <w:bottom w:val="nil"/>
              <w:right w:val="nil"/>
            </w:tcBorders>
            <w:vAlign w:val="center"/>
            <w:hideMark/>
          </w:tcPr>
          <w:p w14:paraId="71793EDF"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536DE23B"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350FAB3B" w14:textId="77777777" w:rsidTr="001C57DB">
        <w:trPr>
          <w:trHeight w:val="312"/>
          <w:jc w:val="center"/>
        </w:trPr>
        <w:tc>
          <w:tcPr>
            <w:tcW w:w="4949" w:type="pct"/>
            <w:gridSpan w:val="7"/>
            <w:tcBorders>
              <w:top w:val="nil"/>
              <w:left w:val="nil"/>
              <w:bottom w:val="nil"/>
              <w:right w:val="nil"/>
            </w:tcBorders>
            <w:shd w:val="clear" w:color="000000" w:fill="DAE9F8"/>
            <w:noWrap/>
            <w:vAlign w:val="bottom"/>
            <w:hideMark/>
          </w:tcPr>
          <w:p w14:paraId="68005DE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"Dividend Payout Ratio "</w:t>
            </w:r>
          </w:p>
        </w:tc>
        <w:tc>
          <w:tcPr>
            <w:tcW w:w="51" w:type="pct"/>
            <w:vAlign w:val="center"/>
            <w:hideMark/>
          </w:tcPr>
          <w:p w14:paraId="711E5E2C" w14:textId="77777777" w:rsidR="001C57DB" w:rsidRPr="001C57DB" w:rsidRDefault="001C57DB" w:rsidP="001C57DB">
            <w:pPr>
              <w:spacing w:before="0" w:after="0" w:line="240" w:lineRule="auto"/>
              <w:jc w:val="left"/>
              <w:rPr>
                <w:sz w:val="20"/>
                <w:szCs w:val="20"/>
                <w:lang w:val="en-IN"/>
              </w:rPr>
            </w:pPr>
          </w:p>
        </w:tc>
      </w:tr>
      <w:tr w:rsidR="001C57DB" w:rsidRPr="001C57DB" w14:paraId="7A6AE87B"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3528C9F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78D969F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47C3030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1F57AC03"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016EB6B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0F64A390"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22E38250"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0D0B027B" w14:textId="77777777" w:rsidR="001C57DB" w:rsidRPr="001C57DB" w:rsidRDefault="001C57DB" w:rsidP="001C57DB">
            <w:pPr>
              <w:spacing w:before="0" w:after="0" w:line="240" w:lineRule="auto"/>
              <w:jc w:val="left"/>
              <w:rPr>
                <w:sz w:val="20"/>
                <w:szCs w:val="20"/>
                <w:lang w:val="en-IN"/>
              </w:rPr>
            </w:pPr>
          </w:p>
        </w:tc>
      </w:tr>
      <w:tr w:rsidR="001C57DB" w:rsidRPr="001C57DB" w14:paraId="7CBED6F5"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265BD4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"Dividend"</w:t>
            </w:r>
          </w:p>
        </w:tc>
        <w:tc>
          <w:tcPr>
            <w:tcW w:w="1340" w:type="pct"/>
            <w:vMerge w:val="restart"/>
            <w:tcBorders>
              <w:top w:val="nil"/>
              <w:left w:val="nil"/>
              <w:bottom w:val="nil"/>
              <w:right w:val="nil"/>
            </w:tcBorders>
            <w:shd w:val="clear" w:color="000000" w:fill="FFFFFF"/>
            <w:vAlign w:val="center"/>
            <w:hideMark/>
          </w:tcPr>
          <w:p w14:paraId="441BB93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"Dividends Paid / Net Income"</w:t>
            </w:r>
          </w:p>
        </w:tc>
        <w:tc>
          <w:tcPr>
            <w:tcW w:w="494" w:type="pct"/>
            <w:tcBorders>
              <w:top w:val="nil"/>
              <w:left w:val="nil"/>
              <w:bottom w:val="nil"/>
              <w:right w:val="nil"/>
            </w:tcBorders>
            <w:shd w:val="clear" w:color="000000" w:fill="FFFFFF"/>
            <w:noWrap/>
            <w:vAlign w:val="bottom"/>
            <w:hideMark/>
          </w:tcPr>
          <w:p w14:paraId="769C69A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39,13,280 </w:t>
            </w:r>
          </w:p>
        </w:tc>
        <w:tc>
          <w:tcPr>
            <w:tcW w:w="494" w:type="pct"/>
            <w:tcBorders>
              <w:top w:val="nil"/>
              <w:left w:val="nil"/>
              <w:bottom w:val="nil"/>
              <w:right w:val="nil"/>
            </w:tcBorders>
            <w:shd w:val="clear" w:color="000000" w:fill="FFFFFF"/>
            <w:noWrap/>
            <w:vAlign w:val="bottom"/>
            <w:hideMark/>
          </w:tcPr>
          <w:p w14:paraId="698D6E1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24,99,050 </w:t>
            </w:r>
          </w:p>
        </w:tc>
        <w:tc>
          <w:tcPr>
            <w:tcW w:w="494" w:type="pct"/>
            <w:tcBorders>
              <w:top w:val="nil"/>
              <w:left w:val="nil"/>
              <w:bottom w:val="nil"/>
              <w:right w:val="nil"/>
            </w:tcBorders>
            <w:shd w:val="clear" w:color="000000" w:fill="FFFFFF"/>
            <w:noWrap/>
            <w:vAlign w:val="bottom"/>
            <w:hideMark/>
          </w:tcPr>
          <w:p w14:paraId="71C4C36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13,54,996 </w:t>
            </w:r>
          </w:p>
        </w:tc>
        <w:tc>
          <w:tcPr>
            <w:tcW w:w="494" w:type="pct"/>
            <w:tcBorders>
              <w:top w:val="nil"/>
              <w:left w:val="nil"/>
              <w:bottom w:val="nil"/>
              <w:right w:val="nil"/>
            </w:tcBorders>
            <w:shd w:val="clear" w:color="000000" w:fill="FFFFFF"/>
            <w:noWrap/>
            <w:vAlign w:val="bottom"/>
            <w:hideMark/>
          </w:tcPr>
          <w:p w14:paraId="2489A4A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11,86,800 </w:t>
            </w:r>
          </w:p>
        </w:tc>
        <w:tc>
          <w:tcPr>
            <w:tcW w:w="494" w:type="pct"/>
            <w:tcBorders>
              <w:top w:val="nil"/>
              <w:left w:val="nil"/>
              <w:bottom w:val="nil"/>
              <w:right w:val="nil"/>
            </w:tcBorders>
            <w:shd w:val="clear" w:color="000000" w:fill="FFFFFF"/>
            <w:noWrap/>
            <w:vAlign w:val="bottom"/>
            <w:hideMark/>
          </w:tcPr>
          <w:p w14:paraId="4F7E914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8,93,769 </w:t>
            </w:r>
          </w:p>
        </w:tc>
        <w:tc>
          <w:tcPr>
            <w:tcW w:w="51" w:type="pct"/>
            <w:vAlign w:val="center"/>
            <w:hideMark/>
          </w:tcPr>
          <w:p w14:paraId="45983F3D" w14:textId="77777777" w:rsidR="001C57DB" w:rsidRPr="001C57DB" w:rsidRDefault="001C57DB" w:rsidP="001C57DB">
            <w:pPr>
              <w:spacing w:before="0" w:after="0" w:line="240" w:lineRule="auto"/>
              <w:jc w:val="left"/>
              <w:rPr>
                <w:sz w:val="20"/>
                <w:szCs w:val="20"/>
                <w:lang w:val="en-IN"/>
              </w:rPr>
            </w:pPr>
          </w:p>
        </w:tc>
      </w:tr>
      <w:tr w:rsidR="001C57DB" w:rsidRPr="001C57DB" w14:paraId="12DD29F9"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4049600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"Net Income"</w:t>
            </w:r>
          </w:p>
        </w:tc>
        <w:tc>
          <w:tcPr>
            <w:tcW w:w="1340" w:type="pct"/>
            <w:vMerge/>
            <w:tcBorders>
              <w:top w:val="nil"/>
              <w:left w:val="nil"/>
              <w:bottom w:val="nil"/>
              <w:right w:val="nil"/>
            </w:tcBorders>
            <w:vAlign w:val="center"/>
            <w:hideMark/>
          </w:tcPr>
          <w:p w14:paraId="59F4C886"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1EBDA56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1,35,49,018 </w:t>
            </w:r>
          </w:p>
        </w:tc>
        <w:tc>
          <w:tcPr>
            <w:tcW w:w="494" w:type="pct"/>
            <w:tcBorders>
              <w:top w:val="nil"/>
              <w:left w:val="nil"/>
              <w:bottom w:val="nil"/>
              <w:right w:val="nil"/>
            </w:tcBorders>
            <w:shd w:val="clear" w:color="000000" w:fill="FFFFFF"/>
            <w:noWrap/>
            <w:vAlign w:val="bottom"/>
            <w:hideMark/>
          </w:tcPr>
          <w:p w14:paraId="6C80444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1,29,92,022 </w:t>
            </w:r>
          </w:p>
        </w:tc>
        <w:tc>
          <w:tcPr>
            <w:tcW w:w="494" w:type="pct"/>
            <w:tcBorders>
              <w:top w:val="nil"/>
              <w:left w:val="nil"/>
              <w:bottom w:val="nil"/>
              <w:right w:val="nil"/>
            </w:tcBorders>
            <w:shd w:val="clear" w:color="000000" w:fill="FFFFFF"/>
            <w:noWrap/>
            <w:vAlign w:val="bottom"/>
            <w:hideMark/>
          </w:tcPr>
          <w:p w14:paraId="0FC73C8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79,83,614 </w:t>
            </w:r>
          </w:p>
        </w:tc>
        <w:tc>
          <w:tcPr>
            <w:tcW w:w="494" w:type="pct"/>
            <w:tcBorders>
              <w:top w:val="nil"/>
              <w:left w:val="nil"/>
              <w:bottom w:val="nil"/>
              <w:right w:val="nil"/>
            </w:tcBorders>
            <w:shd w:val="clear" w:color="000000" w:fill="FFFFFF"/>
            <w:noWrap/>
            <w:vAlign w:val="bottom"/>
            <w:hideMark/>
          </w:tcPr>
          <w:p w14:paraId="696A6C8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56,93,077 </w:t>
            </w:r>
          </w:p>
        </w:tc>
        <w:tc>
          <w:tcPr>
            <w:tcW w:w="494" w:type="pct"/>
            <w:tcBorders>
              <w:top w:val="nil"/>
              <w:left w:val="nil"/>
              <w:bottom w:val="nil"/>
              <w:right w:val="nil"/>
            </w:tcBorders>
            <w:shd w:val="clear" w:color="000000" w:fill="FFFFFF"/>
            <w:noWrap/>
            <w:vAlign w:val="bottom"/>
            <w:hideMark/>
          </w:tcPr>
          <w:p w14:paraId="32D31EB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19,24,553 </w:t>
            </w:r>
          </w:p>
        </w:tc>
        <w:tc>
          <w:tcPr>
            <w:tcW w:w="51" w:type="pct"/>
            <w:vAlign w:val="center"/>
            <w:hideMark/>
          </w:tcPr>
          <w:p w14:paraId="684DFC83" w14:textId="77777777" w:rsidR="001C57DB" w:rsidRPr="001C57DB" w:rsidRDefault="001C57DB" w:rsidP="001C57DB">
            <w:pPr>
              <w:spacing w:before="0" w:after="0" w:line="240" w:lineRule="auto"/>
              <w:jc w:val="left"/>
              <w:rPr>
                <w:sz w:val="20"/>
                <w:szCs w:val="20"/>
                <w:lang w:val="en-IN"/>
              </w:rPr>
            </w:pPr>
          </w:p>
        </w:tc>
      </w:tr>
      <w:tr w:rsidR="001C57DB" w:rsidRPr="001C57DB" w14:paraId="17A563B9"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499FFD03"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"Dividend Payout Ratio "</w:t>
            </w:r>
          </w:p>
        </w:tc>
        <w:tc>
          <w:tcPr>
            <w:tcW w:w="1340" w:type="pct"/>
            <w:vMerge/>
            <w:tcBorders>
              <w:top w:val="nil"/>
              <w:left w:val="nil"/>
              <w:bottom w:val="nil"/>
              <w:right w:val="nil"/>
            </w:tcBorders>
            <w:vAlign w:val="center"/>
            <w:hideMark/>
          </w:tcPr>
          <w:p w14:paraId="19BA47D7"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1A62BE3A"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0.29</w:t>
            </w:r>
          </w:p>
        </w:tc>
        <w:tc>
          <w:tcPr>
            <w:tcW w:w="494" w:type="pct"/>
            <w:tcBorders>
              <w:top w:val="single" w:sz="4" w:space="0" w:color="auto"/>
              <w:left w:val="nil"/>
              <w:bottom w:val="single" w:sz="4" w:space="0" w:color="auto"/>
              <w:right w:val="nil"/>
            </w:tcBorders>
            <w:shd w:val="clear" w:color="000000" w:fill="FFFFFF"/>
            <w:noWrap/>
            <w:vAlign w:val="bottom"/>
            <w:hideMark/>
          </w:tcPr>
          <w:p w14:paraId="5928769C"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0.19</w:t>
            </w:r>
          </w:p>
        </w:tc>
        <w:tc>
          <w:tcPr>
            <w:tcW w:w="494" w:type="pct"/>
            <w:tcBorders>
              <w:top w:val="single" w:sz="4" w:space="0" w:color="auto"/>
              <w:left w:val="nil"/>
              <w:bottom w:val="single" w:sz="4" w:space="0" w:color="auto"/>
              <w:right w:val="nil"/>
            </w:tcBorders>
            <w:shd w:val="clear" w:color="000000" w:fill="FFFFFF"/>
            <w:noWrap/>
            <w:vAlign w:val="bottom"/>
            <w:hideMark/>
          </w:tcPr>
          <w:p w14:paraId="005B19B7"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0.17</w:t>
            </w:r>
          </w:p>
        </w:tc>
        <w:tc>
          <w:tcPr>
            <w:tcW w:w="494" w:type="pct"/>
            <w:tcBorders>
              <w:top w:val="single" w:sz="4" w:space="0" w:color="auto"/>
              <w:left w:val="nil"/>
              <w:bottom w:val="single" w:sz="4" w:space="0" w:color="auto"/>
              <w:right w:val="nil"/>
            </w:tcBorders>
            <w:shd w:val="clear" w:color="000000" w:fill="FFFFFF"/>
            <w:noWrap/>
            <w:vAlign w:val="bottom"/>
            <w:hideMark/>
          </w:tcPr>
          <w:p w14:paraId="41F62931"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0.21</w:t>
            </w:r>
          </w:p>
        </w:tc>
        <w:tc>
          <w:tcPr>
            <w:tcW w:w="494" w:type="pct"/>
            <w:tcBorders>
              <w:top w:val="single" w:sz="4" w:space="0" w:color="auto"/>
              <w:left w:val="nil"/>
              <w:bottom w:val="single" w:sz="4" w:space="0" w:color="auto"/>
              <w:right w:val="nil"/>
            </w:tcBorders>
            <w:shd w:val="clear" w:color="000000" w:fill="FFFFFF"/>
            <w:noWrap/>
            <w:vAlign w:val="bottom"/>
            <w:hideMark/>
          </w:tcPr>
          <w:p w14:paraId="1B9720FC"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0.46</w:t>
            </w:r>
          </w:p>
        </w:tc>
        <w:tc>
          <w:tcPr>
            <w:tcW w:w="51" w:type="pct"/>
            <w:vAlign w:val="center"/>
            <w:hideMark/>
          </w:tcPr>
          <w:p w14:paraId="0FD91FCB" w14:textId="77777777" w:rsidR="001C57DB" w:rsidRPr="001C57DB" w:rsidRDefault="001C57DB" w:rsidP="001C57DB">
            <w:pPr>
              <w:spacing w:before="0" w:after="0" w:line="240" w:lineRule="auto"/>
              <w:jc w:val="left"/>
              <w:rPr>
                <w:sz w:val="20"/>
                <w:szCs w:val="20"/>
                <w:lang w:val="en-IN"/>
              </w:rPr>
            </w:pPr>
          </w:p>
        </w:tc>
      </w:tr>
      <w:tr w:rsidR="001C57DB" w:rsidRPr="001C57DB" w14:paraId="6415F2C4"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3EEF73C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"Return on Equity (ROE)"</w:t>
            </w:r>
          </w:p>
        </w:tc>
        <w:tc>
          <w:tcPr>
            <w:tcW w:w="51" w:type="pct"/>
            <w:vAlign w:val="center"/>
            <w:hideMark/>
          </w:tcPr>
          <w:p w14:paraId="033A0672" w14:textId="77777777" w:rsidR="001C57DB" w:rsidRPr="001C57DB" w:rsidRDefault="001C57DB" w:rsidP="001C57DB">
            <w:pPr>
              <w:spacing w:before="0" w:after="0" w:line="240" w:lineRule="auto"/>
              <w:jc w:val="left"/>
              <w:rPr>
                <w:sz w:val="20"/>
                <w:szCs w:val="20"/>
                <w:lang w:val="en-IN"/>
              </w:rPr>
            </w:pPr>
          </w:p>
        </w:tc>
      </w:tr>
      <w:tr w:rsidR="001C57DB" w:rsidRPr="001C57DB" w14:paraId="6F766B32" w14:textId="77777777" w:rsidTr="001C57DB">
        <w:trPr>
          <w:trHeight w:val="288"/>
          <w:jc w:val="center"/>
        </w:trPr>
        <w:tc>
          <w:tcPr>
            <w:tcW w:w="4949" w:type="pct"/>
            <w:gridSpan w:val="7"/>
            <w:vMerge/>
            <w:tcBorders>
              <w:top w:val="nil"/>
              <w:left w:val="nil"/>
              <w:bottom w:val="nil"/>
              <w:right w:val="nil"/>
            </w:tcBorders>
            <w:vAlign w:val="center"/>
            <w:hideMark/>
          </w:tcPr>
          <w:p w14:paraId="390F419E"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195510E9"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7A82C7EF"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2CFB51F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4084C48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4075422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6D78498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3AA8CA8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786F8A9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6A25B1D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4324EC1C" w14:textId="77777777" w:rsidR="001C57DB" w:rsidRPr="001C57DB" w:rsidRDefault="001C57DB" w:rsidP="001C57DB">
            <w:pPr>
              <w:spacing w:before="0" w:after="0" w:line="240" w:lineRule="auto"/>
              <w:jc w:val="left"/>
              <w:rPr>
                <w:sz w:val="20"/>
                <w:szCs w:val="20"/>
                <w:lang w:val="en-IN"/>
              </w:rPr>
            </w:pPr>
          </w:p>
        </w:tc>
      </w:tr>
      <w:tr w:rsidR="001C57DB" w:rsidRPr="001C57DB" w14:paraId="19E946FF"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063D0CE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"Net Income "</w:t>
            </w:r>
          </w:p>
        </w:tc>
        <w:tc>
          <w:tcPr>
            <w:tcW w:w="1340" w:type="pct"/>
            <w:vMerge w:val="restart"/>
            <w:tcBorders>
              <w:top w:val="nil"/>
              <w:left w:val="nil"/>
              <w:bottom w:val="nil"/>
              <w:right w:val="nil"/>
            </w:tcBorders>
            <w:shd w:val="clear" w:color="000000" w:fill="FFFFFF"/>
            <w:vAlign w:val="center"/>
            <w:hideMark/>
          </w:tcPr>
          <w:p w14:paraId="6F24646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"Net Income / Book Value of Equity (Total Equity)"</w:t>
            </w:r>
          </w:p>
        </w:tc>
        <w:tc>
          <w:tcPr>
            <w:tcW w:w="494" w:type="pct"/>
            <w:tcBorders>
              <w:top w:val="nil"/>
              <w:left w:val="nil"/>
              <w:bottom w:val="nil"/>
              <w:right w:val="nil"/>
            </w:tcBorders>
            <w:shd w:val="clear" w:color="000000" w:fill="FFFFFF"/>
            <w:noWrap/>
            <w:vAlign w:val="bottom"/>
            <w:hideMark/>
          </w:tcPr>
          <w:p w14:paraId="622D0B5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1,35,49,018 </w:t>
            </w:r>
          </w:p>
        </w:tc>
        <w:tc>
          <w:tcPr>
            <w:tcW w:w="494" w:type="pct"/>
            <w:tcBorders>
              <w:top w:val="nil"/>
              <w:left w:val="nil"/>
              <w:bottom w:val="nil"/>
              <w:right w:val="nil"/>
            </w:tcBorders>
            <w:shd w:val="clear" w:color="000000" w:fill="FFFFFF"/>
            <w:noWrap/>
            <w:vAlign w:val="bottom"/>
            <w:hideMark/>
          </w:tcPr>
          <w:p w14:paraId="751860A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1,29,92,022 </w:t>
            </w:r>
          </w:p>
        </w:tc>
        <w:tc>
          <w:tcPr>
            <w:tcW w:w="494" w:type="pct"/>
            <w:tcBorders>
              <w:top w:val="nil"/>
              <w:left w:val="nil"/>
              <w:bottom w:val="nil"/>
              <w:right w:val="nil"/>
            </w:tcBorders>
            <w:shd w:val="clear" w:color="000000" w:fill="FFFFFF"/>
            <w:noWrap/>
            <w:vAlign w:val="bottom"/>
            <w:hideMark/>
          </w:tcPr>
          <w:p w14:paraId="4341611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79,83,614 </w:t>
            </w:r>
          </w:p>
        </w:tc>
        <w:tc>
          <w:tcPr>
            <w:tcW w:w="494" w:type="pct"/>
            <w:tcBorders>
              <w:top w:val="nil"/>
              <w:left w:val="nil"/>
              <w:bottom w:val="nil"/>
              <w:right w:val="nil"/>
            </w:tcBorders>
            <w:shd w:val="clear" w:color="000000" w:fill="FFFFFF"/>
            <w:noWrap/>
            <w:vAlign w:val="bottom"/>
            <w:hideMark/>
          </w:tcPr>
          <w:p w14:paraId="3E3617E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56,93,077 </w:t>
            </w:r>
          </w:p>
        </w:tc>
        <w:tc>
          <w:tcPr>
            <w:tcW w:w="494" w:type="pct"/>
            <w:tcBorders>
              <w:top w:val="nil"/>
              <w:left w:val="nil"/>
              <w:bottom w:val="nil"/>
              <w:right w:val="nil"/>
            </w:tcBorders>
            <w:shd w:val="clear" w:color="000000" w:fill="FFFFFF"/>
            <w:noWrap/>
            <w:vAlign w:val="bottom"/>
            <w:hideMark/>
          </w:tcPr>
          <w:p w14:paraId="3C3FD86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19,24,553 </w:t>
            </w:r>
          </w:p>
        </w:tc>
        <w:tc>
          <w:tcPr>
            <w:tcW w:w="51" w:type="pct"/>
            <w:vAlign w:val="center"/>
            <w:hideMark/>
          </w:tcPr>
          <w:p w14:paraId="785CC472" w14:textId="77777777" w:rsidR="001C57DB" w:rsidRPr="001C57DB" w:rsidRDefault="001C57DB" w:rsidP="001C57DB">
            <w:pPr>
              <w:spacing w:before="0" w:after="0" w:line="240" w:lineRule="auto"/>
              <w:jc w:val="left"/>
              <w:rPr>
                <w:sz w:val="20"/>
                <w:szCs w:val="20"/>
                <w:lang w:val="en-IN"/>
              </w:rPr>
            </w:pPr>
          </w:p>
        </w:tc>
      </w:tr>
      <w:tr w:rsidR="001C57DB" w:rsidRPr="001C57DB" w14:paraId="5C86F5F7"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25556899"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Book Value of Equity"</w:t>
            </w:r>
          </w:p>
        </w:tc>
        <w:tc>
          <w:tcPr>
            <w:tcW w:w="1340" w:type="pct"/>
            <w:vMerge/>
            <w:tcBorders>
              <w:top w:val="nil"/>
              <w:left w:val="nil"/>
              <w:bottom w:val="nil"/>
              <w:right w:val="nil"/>
            </w:tcBorders>
            <w:vAlign w:val="center"/>
            <w:hideMark/>
          </w:tcPr>
          <w:p w14:paraId="589A85C1"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3B0A249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12,02,75,933 </w:t>
            </w:r>
          </w:p>
        </w:tc>
        <w:tc>
          <w:tcPr>
            <w:tcW w:w="494" w:type="pct"/>
            <w:tcBorders>
              <w:top w:val="nil"/>
              <w:left w:val="nil"/>
              <w:bottom w:val="nil"/>
              <w:right w:val="nil"/>
            </w:tcBorders>
            <w:shd w:val="clear" w:color="000000" w:fill="FFFFFF"/>
            <w:noWrap/>
            <w:vAlign w:val="bottom"/>
            <w:hideMark/>
          </w:tcPr>
          <w:p w14:paraId="0F2A88C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10,18,09,440 </w:t>
            </w:r>
          </w:p>
        </w:tc>
        <w:tc>
          <w:tcPr>
            <w:tcW w:w="494" w:type="pct"/>
            <w:tcBorders>
              <w:top w:val="nil"/>
              <w:left w:val="nil"/>
              <w:bottom w:val="nil"/>
              <w:right w:val="nil"/>
            </w:tcBorders>
            <w:shd w:val="clear" w:color="000000" w:fill="FFFFFF"/>
            <w:noWrap/>
            <w:vAlign w:val="bottom"/>
            <w:hideMark/>
          </w:tcPr>
          <w:p w14:paraId="6DCDFE8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9,08,96,545 </w:t>
            </w:r>
          </w:p>
        </w:tc>
        <w:tc>
          <w:tcPr>
            <w:tcW w:w="494" w:type="pct"/>
            <w:tcBorders>
              <w:top w:val="nil"/>
              <w:left w:val="nil"/>
              <w:bottom w:val="nil"/>
              <w:right w:val="nil"/>
            </w:tcBorders>
            <w:shd w:val="clear" w:color="000000" w:fill="FFFFFF"/>
            <w:noWrap/>
            <w:vAlign w:val="bottom"/>
            <w:hideMark/>
          </w:tcPr>
          <w:p w14:paraId="12AB534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8,26,15,789 </w:t>
            </w:r>
          </w:p>
        </w:tc>
        <w:tc>
          <w:tcPr>
            <w:tcW w:w="494" w:type="pct"/>
            <w:tcBorders>
              <w:top w:val="nil"/>
              <w:left w:val="nil"/>
              <w:bottom w:val="nil"/>
              <w:right w:val="nil"/>
            </w:tcBorders>
            <w:shd w:val="clear" w:color="000000" w:fill="FFFFFF"/>
            <w:noWrap/>
            <w:vAlign w:val="bottom"/>
            <w:hideMark/>
          </w:tcPr>
          <w:p w14:paraId="51A6553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7,63,40,970 </w:t>
            </w:r>
          </w:p>
        </w:tc>
        <w:tc>
          <w:tcPr>
            <w:tcW w:w="51" w:type="pct"/>
            <w:vAlign w:val="center"/>
            <w:hideMark/>
          </w:tcPr>
          <w:p w14:paraId="751FB59B" w14:textId="77777777" w:rsidR="001C57DB" w:rsidRPr="001C57DB" w:rsidRDefault="001C57DB" w:rsidP="001C57DB">
            <w:pPr>
              <w:spacing w:before="0" w:after="0" w:line="240" w:lineRule="auto"/>
              <w:jc w:val="left"/>
              <w:rPr>
                <w:sz w:val="20"/>
                <w:szCs w:val="20"/>
                <w:lang w:val="en-IN"/>
              </w:rPr>
            </w:pPr>
          </w:p>
        </w:tc>
      </w:tr>
      <w:tr w:rsidR="001C57DB" w:rsidRPr="001C57DB" w14:paraId="0EBE630F"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4096EBE8"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"Return on Equity (ROE)"</w:t>
            </w:r>
          </w:p>
        </w:tc>
        <w:tc>
          <w:tcPr>
            <w:tcW w:w="1340" w:type="pct"/>
            <w:vMerge/>
            <w:tcBorders>
              <w:top w:val="nil"/>
              <w:left w:val="nil"/>
              <w:bottom w:val="nil"/>
              <w:right w:val="nil"/>
            </w:tcBorders>
            <w:vAlign w:val="center"/>
            <w:hideMark/>
          </w:tcPr>
          <w:p w14:paraId="78E501B0"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047EB80C"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0.11</w:t>
            </w:r>
          </w:p>
        </w:tc>
        <w:tc>
          <w:tcPr>
            <w:tcW w:w="494" w:type="pct"/>
            <w:tcBorders>
              <w:top w:val="single" w:sz="4" w:space="0" w:color="auto"/>
              <w:left w:val="nil"/>
              <w:bottom w:val="single" w:sz="4" w:space="0" w:color="auto"/>
              <w:right w:val="nil"/>
            </w:tcBorders>
            <w:shd w:val="clear" w:color="000000" w:fill="FFFFFF"/>
            <w:noWrap/>
            <w:vAlign w:val="bottom"/>
            <w:hideMark/>
          </w:tcPr>
          <w:p w14:paraId="0C67689F"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0.13</w:t>
            </w:r>
          </w:p>
        </w:tc>
        <w:tc>
          <w:tcPr>
            <w:tcW w:w="494" w:type="pct"/>
            <w:tcBorders>
              <w:top w:val="single" w:sz="4" w:space="0" w:color="auto"/>
              <w:left w:val="nil"/>
              <w:bottom w:val="single" w:sz="4" w:space="0" w:color="auto"/>
              <w:right w:val="nil"/>
            </w:tcBorders>
            <w:shd w:val="clear" w:color="000000" w:fill="FFFFFF"/>
            <w:noWrap/>
            <w:vAlign w:val="bottom"/>
            <w:hideMark/>
          </w:tcPr>
          <w:p w14:paraId="76256171"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0.09</w:t>
            </w:r>
          </w:p>
        </w:tc>
        <w:tc>
          <w:tcPr>
            <w:tcW w:w="494" w:type="pct"/>
            <w:tcBorders>
              <w:top w:val="single" w:sz="4" w:space="0" w:color="auto"/>
              <w:left w:val="nil"/>
              <w:bottom w:val="single" w:sz="4" w:space="0" w:color="auto"/>
              <w:right w:val="nil"/>
            </w:tcBorders>
            <w:shd w:val="clear" w:color="000000" w:fill="FFFFFF"/>
            <w:noWrap/>
            <w:vAlign w:val="bottom"/>
            <w:hideMark/>
          </w:tcPr>
          <w:p w14:paraId="13182969"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0.07</w:t>
            </w:r>
          </w:p>
        </w:tc>
        <w:tc>
          <w:tcPr>
            <w:tcW w:w="494" w:type="pct"/>
            <w:tcBorders>
              <w:top w:val="single" w:sz="4" w:space="0" w:color="auto"/>
              <w:left w:val="nil"/>
              <w:bottom w:val="single" w:sz="4" w:space="0" w:color="auto"/>
              <w:right w:val="nil"/>
            </w:tcBorders>
            <w:shd w:val="clear" w:color="000000" w:fill="FFFFFF"/>
            <w:noWrap/>
            <w:vAlign w:val="bottom"/>
            <w:hideMark/>
          </w:tcPr>
          <w:p w14:paraId="20F95047"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w:t>
            </w:r>
          </w:p>
        </w:tc>
        <w:tc>
          <w:tcPr>
            <w:tcW w:w="51" w:type="pct"/>
            <w:vAlign w:val="center"/>
            <w:hideMark/>
          </w:tcPr>
          <w:p w14:paraId="178970F0" w14:textId="77777777" w:rsidR="001C57DB" w:rsidRPr="001C57DB" w:rsidRDefault="001C57DB" w:rsidP="001C57DB">
            <w:pPr>
              <w:spacing w:before="0" w:after="0" w:line="240" w:lineRule="auto"/>
              <w:jc w:val="left"/>
              <w:rPr>
                <w:sz w:val="20"/>
                <w:szCs w:val="20"/>
                <w:lang w:val="en-IN"/>
              </w:rPr>
            </w:pPr>
          </w:p>
        </w:tc>
      </w:tr>
      <w:tr w:rsidR="001C57DB" w:rsidRPr="001C57DB" w14:paraId="7A3AE7A1"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38EAEEF2"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"Return on Assets (ROA)"</w:t>
            </w:r>
          </w:p>
        </w:tc>
        <w:tc>
          <w:tcPr>
            <w:tcW w:w="51" w:type="pct"/>
            <w:vAlign w:val="center"/>
            <w:hideMark/>
          </w:tcPr>
          <w:p w14:paraId="27DD921B" w14:textId="77777777" w:rsidR="001C57DB" w:rsidRPr="001C57DB" w:rsidRDefault="001C57DB" w:rsidP="001C57DB">
            <w:pPr>
              <w:spacing w:before="0" w:after="0" w:line="240" w:lineRule="auto"/>
              <w:jc w:val="left"/>
              <w:rPr>
                <w:sz w:val="20"/>
                <w:szCs w:val="20"/>
                <w:lang w:val="en-IN"/>
              </w:rPr>
            </w:pPr>
          </w:p>
        </w:tc>
      </w:tr>
      <w:tr w:rsidR="001C57DB" w:rsidRPr="001C57DB" w14:paraId="317CF405" w14:textId="77777777" w:rsidTr="001C57DB">
        <w:trPr>
          <w:trHeight w:val="288"/>
          <w:jc w:val="center"/>
        </w:trPr>
        <w:tc>
          <w:tcPr>
            <w:tcW w:w="4949" w:type="pct"/>
            <w:gridSpan w:val="7"/>
            <w:vMerge/>
            <w:tcBorders>
              <w:top w:val="nil"/>
              <w:left w:val="nil"/>
              <w:bottom w:val="nil"/>
              <w:right w:val="nil"/>
            </w:tcBorders>
            <w:vAlign w:val="center"/>
            <w:hideMark/>
          </w:tcPr>
          <w:p w14:paraId="40D4F2D1"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447401FC"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3C557A9B"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21AA24A2"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174C12E7"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5C7DD64C"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62930C2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3E463F9C"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28031EC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1AC0DA1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737A77DE" w14:textId="77777777" w:rsidR="001C57DB" w:rsidRPr="001C57DB" w:rsidRDefault="001C57DB" w:rsidP="001C57DB">
            <w:pPr>
              <w:spacing w:before="0" w:after="0" w:line="240" w:lineRule="auto"/>
              <w:jc w:val="left"/>
              <w:rPr>
                <w:sz w:val="20"/>
                <w:szCs w:val="20"/>
                <w:lang w:val="en-IN"/>
              </w:rPr>
            </w:pPr>
          </w:p>
        </w:tc>
      </w:tr>
      <w:tr w:rsidR="001C57DB" w:rsidRPr="001C57DB" w14:paraId="07B6B12A"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364D68F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"Net Income "</w:t>
            </w:r>
          </w:p>
        </w:tc>
        <w:tc>
          <w:tcPr>
            <w:tcW w:w="1340" w:type="pct"/>
            <w:vMerge w:val="restart"/>
            <w:tcBorders>
              <w:top w:val="nil"/>
              <w:left w:val="nil"/>
              <w:bottom w:val="nil"/>
              <w:right w:val="nil"/>
            </w:tcBorders>
            <w:shd w:val="clear" w:color="000000" w:fill="FFFFFF"/>
            <w:vAlign w:val="center"/>
            <w:hideMark/>
          </w:tcPr>
          <w:p w14:paraId="52C1CC90"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"Net Income / Total Assets"</w:t>
            </w:r>
          </w:p>
        </w:tc>
        <w:tc>
          <w:tcPr>
            <w:tcW w:w="494" w:type="pct"/>
            <w:tcBorders>
              <w:top w:val="nil"/>
              <w:left w:val="nil"/>
              <w:bottom w:val="nil"/>
              <w:right w:val="nil"/>
            </w:tcBorders>
            <w:shd w:val="clear" w:color="000000" w:fill="FFFFFF"/>
            <w:noWrap/>
            <w:vAlign w:val="bottom"/>
            <w:hideMark/>
          </w:tcPr>
          <w:p w14:paraId="6FD1868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1,35,49,018 </w:t>
            </w:r>
          </w:p>
        </w:tc>
        <w:tc>
          <w:tcPr>
            <w:tcW w:w="494" w:type="pct"/>
            <w:tcBorders>
              <w:top w:val="nil"/>
              <w:left w:val="nil"/>
              <w:bottom w:val="nil"/>
              <w:right w:val="nil"/>
            </w:tcBorders>
            <w:shd w:val="clear" w:color="000000" w:fill="FFFFFF"/>
            <w:noWrap/>
            <w:vAlign w:val="bottom"/>
            <w:hideMark/>
          </w:tcPr>
          <w:p w14:paraId="5423D20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1,29,92,022 </w:t>
            </w:r>
          </w:p>
        </w:tc>
        <w:tc>
          <w:tcPr>
            <w:tcW w:w="494" w:type="pct"/>
            <w:tcBorders>
              <w:top w:val="nil"/>
              <w:left w:val="nil"/>
              <w:bottom w:val="nil"/>
              <w:right w:val="nil"/>
            </w:tcBorders>
            <w:shd w:val="clear" w:color="000000" w:fill="FFFFFF"/>
            <w:noWrap/>
            <w:vAlign w:val="bottom"/>
            <w:hideMark/>
          </w:tcPr>
          <w:p w14:paraId="7D3DF5E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79,83,614 </w:t>
            </w:r>
          </w:p>
        </w:tc>
        <w:tc>
          <w:tcPr>
            <w:tcW w:w="494" w:type="pct"/>
            <w:tcBorders>
              <w:top w:val="nil"/>
              <w:left w:val="nil"/>
              <w:bottom w:val="nil"/>
              <w:right w:val="nil"/>
            </w:tcBorders>
            <w:shd w:val="clear" w:color="000000" w:fill="FFFFFF"/>
            <w:noWrap/>
            <w:vAlign w:val="bottom"/>
            <w:hideMark/>
          </w:tcPr>
          <w:p w14:paraId="4D0F1C5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56,93,077 </w:t>
            </w:r>
          </w:p>
        </w:tc>
        <w:tc>
          <w:tcPr>
            <w:tcW w:w="494" w:type="pct"/>
            <w:tcBorders>
              <w:top w:val="nil"/>
              <w:left w:val="nil"/>
              <w:bottom w:val="nil"/>
              <w:right w:val="nil"/>
            </w:tcBorders>
            <w:shd w:val="clear" w:color="000000" w:fill="FFFFFF"/>
            <w:noWrap/>
            <w:vAlign w:val="bottom"/>
            <w:hideMark/>
          </w:tcPr>
          <w:p w14:paraId="57C03BC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19,24,553 </w:t>
            </w:r>
          </w:p>
        </w:tc>
        <w:tc>
          <w:tcPr>
            <w:tcW w:w="51" w:type="pct"/>
            <w:vAlign w:val="center"/>
            <w:hideMark/>
          </w:tcPr>
          <w:p w14:paraId="04C153C0" w14:textId="77777777" w:rsidR="001C57DB" w:rsidRPr="001C57DB" w:rsidRDefault="001C57DB" w:rsidP="001C57DB">
            <w:pPr>
              <w:spacing w:before="0" w:after="0" w:line="240" w:lineRule="auto"/>
              <w:jc w:val="left"/>
              <w:rPr>
                <w:sz w:val="20"/>
                <w:szCs w:val="20"/>
                <w:lang w:val="en-IN"/>
              </w:rPr>
            </w:pPr>
          </w:p>
        </w:tc>
      </w:tr>
      <w:tr w:rsidR="001C57DB" w:rsidRPr="001C57DB" w14:paraId="017B4430"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06B7458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"Total Assets"</w:t>
            </w:r>
          </w:p>
        </w:tc>
        <w:tc>
          <w:tcPr>
            <w:tcW w:w="1340" w:type="pct"/>
            <w:vMerge/>
            <w:tcBorders>
              <w:top w:val="nil"/>
              <w:left w:val="nil"/>
              <w:bottom w:val="nil"/>
              <w:right w:val="nil"/>
            </w:tcBorders>
            <w:vAlign w:val="center"/>
            <w:hideMark/>
          </w:tcPr>
          <w:p w14:paraId="3FF2A7B4"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5B187A8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33,97,98,429 </w:t>
            </w:r>
          </w:p>
        </w:tc>
        <w:tc>
          <w:tcPr>
            <w:tcW w:w="494" w:type="pct"/>
            <w:tcBorders>
              <w:top w:val="nil"/>
              <w:left w:val="nil"/>
              <w:bottom w:val="nil"/>
              <w:right w:val="nil"/>
            </w:tcBorders>
            <w:shd w:val="clear" w:color="000000" w:fill="FFFFFF"/>
            <w:noWrap/>
            <w:vAlign w:val="bottom"/>
            <w:hideMark/>
          </w:tcPr>
          <w:p w14:paraId="5522957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28,24,63,355 </w:t>
            </w:r>
          </w:p>
        </w:tc>
        <w:tc>
          <w:tcPr>
            <w:tcW w:w="494" w:type="pct"/>
            <w:tcBorders>
              <w:top w:val="nil"/>
              <w:left w:val="nil"/>
              <w:bottom w:val="nil"/>
              <w:right w:val="nil"/>
            </w:tcBorders>
            <w:shd w:val="clear" w:color="000000" w:fill="FFFFFF"/>
            <w:noWrap/>
            <w:vAlign w:val="bottom"/>
            <w:hideMark/>
          </w:tcPr>
          <w:p w14:paraId="2ACBF38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25,57,42,462 </w:t>
            </w:r>
          </w:p>
        </w:tc>
        <w:tc>
          <w:tcPr>
            <w:tcW w:w="494" w:type="pct"/>
            <w:tcBorders>
              <w:top w:val="nil"/>
              <w:left w:val="nil"/>
              <w:bottom w:val="nil"/>
              <w:right w:val="nil"/>
            </w:tcBorders>
            <w:shd w:val="clear" w:color="000000" w:fill="FFFFFF"/>
            <w:noWrap/>
            <w:vAlign w:val="bottom"/>
            <w:hideMark/>
          </w:tcPr>
          <w:p w14:paraId="6D4B70D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23,39,46,415 </w:t>
            </w:r>
          </w:p>
        </w:tc>
        <w:tc>
          <w:tcPr>
            <w:tcW w:w="494" w:type="pct"/>
            <w:tcBorders>
              <w:top w:val="nil"/>
              <w:left w:val="nil"/>
              <w:bottom w:val="nil"/>
              <w:right w:val="nil"/>
            </w:tcBorders>
            <w:shd w:val="clear" w:color="000000" w:fill="FFFFFF"/>
            <w:noWrap/>
            <w:vAlign w:val="bottom"/>
            <w:hideMark/>
          </w:tcPr>
          <w:p w14:paraId="0233E0C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20,93,44,212 </w:t>
            </w:r>
          </w:p>
        </w:tc>
        <w:tc>
          <w:tcPr>
            <w:tcW w:w="51" w:type="pct"/>
            <w:vAlign w:val="center"/>
            <w:hideMark/>
          </w:tcPr>
          <w:p w14:paraId="1B43575D" w14:textId="77777777" w:rsidR="001C57DB" w:rsidRPr="001C57DB" w:rsidRDefault="001C57DB" w:rsidP="001C57DB">
            <w:pPr>
              <w:spacing w:before="0" w:after="0" w:line="240" w:lineRule="auto"/>
              <w:jc w:val="left"/>
              <w:rPr>
                <w:sz w:val="20"/>
                <w:szCs w:val="20"/>
                <w:lang w:val="en-IN"/>
              </w:rPr>
            </w:pPr>
          </w:p>
        </w:tc>
      </w:tr>
      <w:tr w:rsidR="001C57DB" w:rsidRPr="001C57DB" w14:paraId="2C3368B2"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0F38ECC"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"Return on Assets (ROA)"</w:t>
            </w:r>
          </w:p>
        </w:tc>
        <w:tc>
          <w:tcPr>
            <w:tcW w:w="1340" w:type="pct"/>
            <w:vMerge/>
            <w:tcBorders>
              <w:top w:val="nil"/>
              <w:left w:val="nil"/>
              <w:bottom w:val="nil"/>
              <w:right w:val="nil"/>
            </w:tcBorders>
            <w:vAlign w:val="center"/>
            <w:hideMark/>
          </w:tcPr>
          <w:p w14:paraId="4ABA0C24"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5E7092F9"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0.04</w:t>
            </w:r>
          </w:p>
        </w:tc>
        <w:tc>
          <w:tcPr>
            <w:tcW w:w="494" w:type="pct"/>
            <w:tcBorders>
              <w:top w:val="single" w:sz="4" w:space="0" w:color="auto"/>
              <w:left w:val="nil"/>
              <w:bottom w:val="single" w:sz="4" w:space="0" w:color="auto"/>
              <w:right w:val="nil"/>
            </w:tcBorders>
            <w:shd w:val="clear" w:color="000000" w:fill="FFFFFF"/>
            <w:noWrap/>
            <w:vAlign w:val="bottom"/>
            <w:hideMark/>
          </w:tcPr>
          <w:p w14:paraId="1FC348C1"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0.05</w:t>
            </w:r>
          </w:p>
        </w:tc>
        <w:tc>
          <w:tcPr>
            <w:tcW w:w="494" w:type="pct"/>
            <w:tcBorders>
              <w:top w:val="single" w:sz="4" w:space="0" w:color="auto"/>
              <w:left w:val="nil"/>
              <w:bottom w:val="single" w:sz="4" w:space="0" w:color="auto"/>
              <w:right w:val="nil"/>
            </w:tcBorders>
            <w:shd w:val="clear" w:color="000000" w:fill="FFFFFF"/>
            <w:noWrap/>
            <w:vAlign w:val="bottom"/>
            <w:hideMark/>
          </w:tcPr>
          <w:p w14:paraId="21CAD5FA"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w:t>
            </w:r>
          </w:p>
        </w:tc>
        <w:tc>
          <w:tcPr>
            <w:tcW w:w="494" w:type="pct"/>
            <w:tcBorders>
              <w:top w:val="single" w:sz="4" w:space="0" w:color="auto"/>
              <w:left w:val="nil"/>
              <w:bottom w:val="single" w:sz="4" w:space="0" w:color="auto"/>
              <w:right w:val="nil"/>
            </w:tcBorders>
            <w:shd w:val="clear" w:color="000000" w:fill="FFFFFF"/>
            <w:noWrap/>
            <w:vAlign w:val="bottom"/>
            <w:hideMark/>
          </w:tcPr>
          <w:p w14:paraId="7D7FA4B1"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0.02</w:t>
            </w:r>
          </w:p>
        </w:tc>
        <w:tc>
          <w:tcPr>
            <w:tcW w:w="494" w:type="pct"/>
            <w:tcBorders>
              <w:top w:val="single" w:sz="4" w:space="0" w:color="auto"/>
              <w:left w:val="nil"/>
              <w:bottom w:val="single" w:sz="4" w:space="0" w:color="auto"/>
              <w:right w:val="nil"/>
            </w:tcBorders>
            <w:shd w:val="clear" w:color="000000" w:fill="FFFFFF"/>
            <w:noWrap/>
            <w:vAlign w:val="bottom"/>
            <w:hideMark/>
          </w:tcPr>
          <w:p w14:paraId="24DE2871"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0.01</w:t>
            </w:r>
          </w:p>
        </w:tc>
        <w:tc>
          <w:tcPr>
            <w:tcW w:w="51" w:type="pct"/>
            <w:vAlign w:val="center"/>
            <w:hideMark/>
          </w:tcPr>
          <w:p w14:paraId="79C2408D" w14:textId="77777777" w:rsidR="001C57DB" w:rsidRPr="001C57DB" w:rsidRDefault="001C57DB" w:rsidP="001C57DB">
            <w:pPr>
              <w:spacing w:before="0" w:after="0" w:line="240" w:lineRule="auto"/>
              <w:jc w:val="left"/>
              <w:rPr>
                <w:sz w:val="20"/>
                <w:szCs w:val="20"/>
                <w:lang w:val="en-IN"/>
              </w:rPr>
            </w:pPr>
          </w:p>
        </w:tc>
      </w:tr>
      <w:tr w:rsidR="001C57DB" w:rsidRPr="001C57DB" w14:paraId="000CAE67"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4B4437B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"Return on Invested Capital (ROIC)"</w:t>
            </w:r>
          </w:p>
        </w:tc>
        <w:tc>
          <w:tcPr>
            <w:tcW w:w="51" w:type="pct"/>
            <w:vAlign w:val="center"/>
            <w:hideMark/>
          </w:tcPr>
          <w:p w14:paraId="131AA3DA" w14:textId="77777777" w:rsidR="001C57DB" w:rsidRPr="001C57DB" w:rsidRDefault="001C57DB" w:rsidP="001C57DB">
            <w:pPr>
              <w:spacing w:before="0" w:after="0" w:line="240" w:lineRule="auto"/>
              <w:jc w:val="left"/>
              <w:rPr>
                <w:sz w:val="20"/>
                <w:szCs w:val="20"/>
                <w:lang w:val="en-IN"/>
              </w:rPr>
            </w:pPr>
          </w:p>
        </w:tc>
      </w:tr>
      <w:tr w:rsidR="001C57DB" w:rsidRPr="001C57DB" w14:paraId="587DF887" w14:textId="77777777" w:rsidTr="001C57DB">
        <w:trPr>
          <w:trHeight w:val="288"/>
          <w:jc w:val="center"/>
        </w:trPr>
        <w:tc>
          <w:tcPr>
            <w:tcW w:w="4949" w:type="pct"/>
            <w:gridSpan w:val="7"/>
            <w:vMerge/>
            <w:tcBorders>
              <w:top w:val="nil"/>
              <w:left w:val="nil"/>
              <w:bottom w:val="nil"/>
              <w:right w:val="nil"/>
            </w:tcBorders>
            <w:vAlign w:val="center"/>
            <w:hideMark/>
          </w:tcPr>
          <w:p w14:paraId="018B4E7C"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584E8CD7"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0D33357A"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3B428D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618F72C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57324E3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3FEFC11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6BCE7347"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6A295D4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4FEC81F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3F432019" w14:textId="77777777" w:rsidR="001C57DB" w:rsidRPr="001C57DB" w:rsidRDefault="001C57DB" w:rsidP="001C57DB">
            <w:pPr>
              <w:spacing w:before="0" w:after="0" w:line="240" w:lineRule="auto"/>
              <w:jc w:val="left"/>
              <w:rPr>
                <w:sz w:val="20"/>
                <w:szCs w:val="20"/>
                <w:lang w:val="en-IN"/>
              </w:rPr>
            </w:pPr>
          </w:p>
        </w:tc>
      </w:tr>
      <w:tr w:rsidR="001C57DB" w:rsidRPr="001C57DB" w14:paraId="19F238EE"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00974D5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"Net Income "</w:t>
            </w:r>
          </w:p>
        </w:tc>
        <w:tc>
          <w:tcPr>
            <w:tcW w:w="1340" w:type="pct"/>
            <w:vMerge w:val="restart"/>
            <w:tcBorders>
              <w:top w:val="nil"/>
              <w:left w:val="nil"/>
              <w:bottom w:val="nil"/>
              <w:right w:val="nil"/>
            </w:tcBorders>
            <w:shd w:val="clear" w:color="000000" w:fill="FFFFFF"/>
            <w:vAlign w:val="center"/>
            <w:hideMark/>
          </w:tcPr>
          <w:p w14:paraId="477F7333"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"After-tax Profit or (EBIT−Taxation) / (Total Equity + Net Debt)"</w:t>
            </w:r>
          </w:p>
        </w:tc>
        <w:tc>
          <w:tcPr>
            <w:tcW w:w="494" w:type="pct"/>
            <w:tcBorders>
              <w:top w:val="nil"/>
              <w:left w:val="nil"/>
              <w:bottom w:val="nil"/>
              <w:right w:val="nil"/>
            </w:tcBorders>
            <w:shd w:val="clear" w:color="000000" w:fill="FFFFFF"/>
            <w:noWrap/>
            <w:vAlign w:val="bottom"/>
            <w:hideMark/>
          </w:tcPr>
          <w:p w14:paraId="7F734EE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1,35,49,018 </w:t>
            </w:r>
          </w:p>
        </w:tc>
        <w:tc>
          <w:tcPr>
            <w:tcW w:w="494" w:type="pct"/>
            <w:tcBorders>
              <w:top w:val="nil"/>
              <w:left w:val="nil"/>
              <w:bottom w:val="nil"/>
              <w:right w:val="nil"/>
            </w:tcBorders>
            <w:shd w:val="clear" w:color="000000" w:fill="FFFFFF"/>
            <w:noWrap/>
            <w:vAlign w:val="bottom"/>
            <w:hideMark/>
          </w:tcPr>
          <w:p w14:paraId="05A613D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1,29,92,022 </w:t>
            </w:r>
          </w:p>
        </w:tc>
        <w:tc>
          <w:tcPr>
            <w:tcW w:w="494" w:type="pct"/>
            <w:tcBorders>
              <w:top w:val="nil"/>
              <w:left w:val="nil"/>
              <w:bottom w:val="nil"/>
              <w:right w:val="nil"/>
            </w:tcBorders>
            <w:shd w:val="clear" w:color="000000" w:fill="FFFFFF"/>
            <w:noWrap/>
            <w:vAlign w:val="bottom"/>
            <w:hideMark/>
          </w:tcPr>
          <w:p w14:paraId="4F54BE2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79,83,614 </w:t>
            </w:r>
          </w:p>
        </w:tc>
        <w:tc>
          <w:tcPr>
            <w:tcW w:w="494" w:type="pct"/>
            <w:tcBorders>
              <w:top w:val="nil"/>
              <w:left w:val="nil"/>
              <w:bottom w:val="nil"/>
              <w:right w:val="nil"/>
            </w:tcBorders>
            <w:shd w:val="clear" w:color="000000" w:fill="FFFFFF"/>
            <w:noWrap/>
            <w:vAlign w:val="bottom"/>
            <w:hideMark/>
          </w:tcPr>
          <w:p w14:paraId="010FD93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56,93,077 </w:t>
            </w:r>
          </w:p>
        </w:tc>
        <w:tc>
          <w:tcPr>
            <w:tcW w:w="494" w:type="pct"/>
            <w:tcBorders>
              <w:top w:val="nil"/>
              <w:left w:val="nil"/>
              <w:bottom w:val="nil"/>
              <w:right w:val="nil"/>
            </w:tcBorders>
            <w:shd w:val="clear" w:color="000000" w:fill="FFFFFF"/>
            <w:noWrap/>
            <w:vAlign w:val="bottom"/>
            <w:hideMark/>
          </w:tcPr>
          <w:p w14:paraId="580C5D1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19,24,553 </w:t>
            </w:r>
          </w:p>
        </w:tc>
        <w:tc>
          <w:tcPr>
            <w:tcW w:w="51" w:type="pct"/>
            <w:vAlign w:val="center"/>
            <w:hideMark/>
          </w:tcPr>
          <w:p w14:paraId="6D5CBE02" w14:textId="77777777" w:rsidR="001C57DB" w:rsidRPr="001C57DB" w:rsidRDefault="001C57DB" w:rsidP="001C57DB">
            <w:pPr>
              <w:spacing w:before="0" w:after="0" w:line="240" w:lineRule="auto"/>
              <w:jc w:val="left"/>
              <w:rPr>
                <w:sz w:val="20"/>
                <w:szCs w:val="20"/>
                <w:lang w:val="en-IN"/>
              </w:rPr>
            </w:pPr>
          </w:p>
        </w:tc>
      </w:tr>
      <w:tr w:rsidR="001C57DB" w:rsidRPr="001C57DB" w14:paraId="59EFCA6E"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C7ED30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(/):"Total Equity"</w:t>
            </w:r>
          </w:p>
        </w:tc>
        <w:tc>
          <w:tcPr>
            <w:tcW w:w="1340" w:type="pct"/>
            <w:vMerge/>
            <w:tcBorders>
              <w:top w:val="nil"/>
              <w:left w:val="nil"/>
              <w:bottom w:val="nil"/>
              <w:right w:val="nil"/>
            </w:tcBorders>
            <w:vAlign w:val="center"/>
            <w:hideMark/>
          </w:tcPr>
          <w:p w14:paraId="2871D7AF"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326C140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12,02,75,933 </w:t>
            </w:r>
          </w:p>
        </w:tc>
        <w:tc>
          <w:tcPr>
            <w:tcW w:w="494" w:type="pct"/>
            <w:tcBorders>
              <w:top w:val="nil"/>
              <w:left w:val="nil"/>
              <w:bottom w:val="nil"/>
              <w:right w:val="nil"/>
            </w:tcBorders>
            <w:shd w:val="clear" w:color="000000" w:fill="FFFFFF"/>
            <w:noWrap/>
            <w:vAlign w:val="bottom"/>
            <w:hideMark/>
          </w:tcPr>
          <w:p w14:paraId="774997B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10,18,09,440 </w:t>
            </w:r>
          </w:p>
        </w:tc>
        <w:tc>
          <w:tcPr>
            <w:tcW w:w="494" w:type="pct"/>
            <w:tcBorders>
              <w:top w:val="nil"/>
              <w:left w:val="nil"/>
              <w:bottom w:val="nil"/>
              <w:right w:val="nil"/>
            </w:tcBorders>
            <w:shd w:val="clear" w:color="000000" w:fill="FFFFFF"/>
            <w:noWrap/>
            <w:vAlign w:val="bottom"/>
            <w:hideMark/>
          </w:tcPr>
          <w:p w14:paraId="5D4DA69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9,08,96,545 </w:t>
            </w:r>
          </w:p>
        </w:tc>
        <w:tc>
          <w:tcPr>
            <w:tcW w:w="494" w:type="pct"/>
            <w:tcBorders>
              <w:top w:val="nil"/>
              <w:left w:val="nil"/>
              <w:bottom w:val="nil"/>
              <w:right w:val="nil"/>
            </w:tcBorders>
            <w:shd w:val="clear" w:color="000000" w:fill="FFFFFF"/>
            <w:noWrap/>
            <w:vAlign w:val="bottom"/>
            <w:hideMark/>
          </w:tcPr>
          <w:p w14:paraId="06FCAC6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8,26,15,789 </w:t>
            </w:r>
          </w:p>
        </w:tc>
        <w:tc>
          <w:tcPr>
            <w:tcW w:w="494" w:type="pct"/>
            <w:tcBorders>
              <w:top w:val="nil"/>
              <w:left w:val="nil"/>
              <w:bottom w:val="nil"/>
              <w:right w:val="nil"/>
            </w:tcBorders>
            <w:shd w:val="clear" w:color="000000" w:fill="FFFFFF"/>
            <w:noWrap/>
            <w:vAlign w:val="bottom"/>
            <w:hideMark/>
          </w:tcPr>
          <w:p w14:paraId="266D9739"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7,63,40,970 </w:t>
            </w:r>
          </w:p>
        </w:tc>
        <w:tc>
          <w:tcPr>
            <w:tcW w:w="51" w:type="pct"/>
            <w:vAlign w:val="center"/>
            <w:hideMark/>
          </w:tcPr>
          <w:p w14:paraId="554F2FF6" w14:textId="77777777" w:rsidR="001C57DB" w:rsidRPr="001C57DB" w:rsidRDefault="001C57DB" w:rsidP="001C57DB">
            <w:pPr>
              <w:spacing w:before="0" w:after="0" w:line="240" w:lineRule="auto"/>
              <w:jc w:val="left"/>
              <w:rPr>
                <w:sz w:val="20"/>
                <w:szCs w:val="20"/>
                <w:lang w:val="en-IN"/>
              </w:rPr>
            </w:pPr>
          </w:p>
        </w:tc>
      </w:tr>
      <w:tr w:rsidR="001C57DB" w:rsidRPr="001C57DB" w14:paraId="7A70BF13"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5F35C489"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"Net Debt (Total Debt – Cash)"</w:t>
            </w:r>
          </w:p>
        </w:tc>
        <w:tc>
          <w:tcPr>
            <w:tcW w:w="1340" w:type="pct"/>
            <w:vMerge/>
            <w:tcBorders>
              <w:top w:val="nil"/>
              <w:left w:val="nil"/>
              <w:bottom w:val="nil"/>
              <w:right w:val="nil"/>
            </w:tcBorders>
            <w:vAlign w:val="center"/>
            <w:hideMark/>
          </w:tcPr>
          <w:p w14:paraId="2CC1AF29"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1D69873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20,05,07,552 </w:t>
            </w:r>
          </w:p>
        </w:tc>
        <w:tc>
          <w:tcPr>
            <w:tcW w:w="494" w:type="pct"/>
            <w:tcBorders>
              <w:top w:val="nil"/>
              <w:left w:val="nil"/>
              <w:bottom w:val="nil"/>
              <w:right w:val="nil"/>
            </w:tcBorders>
            <w:shd w:val="clear" w:color="000000" w:fill="FFFFFF"/>
            <w:noWrap/>
            <w:vAlign w:val="bottom"/>
            <w:hideMark/>
          </w:tcPr>
          <w:p w14:paraId="74763D1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16,14,87,296 </w:t>
            </w:r>
          </w:p>
        </w:tc>
        <w:tc>
          <w:tcPr>
            <w:tcW w:w="494" w:type="pct"/>
            <w:tcBorders>
              <w:top w:val="nil"/>
              <w:left w:val="nil"/>
              <w:bottom w:val="nil"/>
              <w:right w:val="nil"/>
            </w:tcBorders>
            <w:shd w:val="clear" w:color="000000" w:fill="FFFFFF"/>
            <w:noWrap/>
            <w:vAlign w:val="bottom"/>
            <w:hideMark/>
          </w:tcPr>
          <w:p w14:paraId="7711DCC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14,39,81,038 </w:t>
            </w:r>
          </w:p>
        </w:tc>
        <w:tc>
          <w:tcPr>
            <w:tcW w:w="494" w:type="pct"/>
            <w:tcBorders>
              <w:top w:val="nil"/>
              <w:left w:val="nil"/>
              <w:bottom w:val="nil"/>
              <w:right w:val="nil"/>
            </w:tcBorders>
            <w:shd w:val="clear" w:color="000000" w:fill="FFFFFF"/>
            <w:noWrap/>
            <w:vAlign w:val="bottom"/>
            <w:hideMark/>
          </w:tcPr>
          <w:p w14:paraId="035017F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13,85,35,072 </w:t>
            </w:r>
          </w:p>
        </w:tc>
        <w:tc>
          <w:tcPr>
            <w:tcW w:w="494" w:type="pct"/>
            <w:tcBorders>
              <w:top w:val="nil"/>
              <w:left w:val="nil"/>
              <w:bottom w:val="nil"/>
              <w:right w:val="nil"/>
            </w:tcBorders>
            <w:shd w:val="clear" w:color="000000" w:fill="FFFFFF"/>
            <w:noWrap/>
            <w:vAlign w:val="bottom"/>
            <w:hideMark/>
          </w:tcPr>
          <w:p w14:paraId="32B4057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12,31,41,106 </w:t>
            </w:r>
          </w:p>
        </w:tc>
        <w:tc>
          <w:tcPr>
            <w:tcW w:w="51" w:type="pct"/>
            <w:vAlign w:val="center"/>
            <w:hideMark/>
          </w:tcPr>
          <w:p w14:paraId="3F42A2EA" w14:textId="77777777" w:rsidR="001C57DB" w:rsidRPr="001C57DB" w:rsidRDefault="001C57DB" w:rsidP="001C57DB">
            <w:pPr>
              <w:spacing w:before="0" w:after="0" w:line="240" w:lineRule="auto"/>
              <w:jc w:val="left"/>
              <w:rPr>
                <w:sz w:val="20"/>
                <w:szCs w:val="20"/>
                <w:lang w:val="en-IN"/>
              </w:rPr>
            </w:pPr>
          </w:p>
        </w:tc>
      </w:tr>
      <w:tr w:rsidR="001C57DB" w:rsidRPr="001C57DB" w14:paraId="571576F3"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525F3476"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"Return on Invested Capital (ROIC)"</w:t>
            </w:r>
          </w:p>
        </w:tc>
        <w:tc>
          <w:tcPr>
            <w:tcW w:w="1340" w:type="pct"/>
            <w:vMerge/>
            <w:tcBorders>
              <w:top w:val="nil"/>
              <w:left w:val="nil"/>
              <w:bottom w:val="nil"/>
              <w:right w:val="nil"/>
            </w:tcBorders>
            <w:vAlign w:val="center"/>
            <w:hideMark/>
          </w:tcPr>
          <w:p w14:paraId="296C76C0"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41145C19"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0.04</w:t>
            </w:r>
          </w:p>
        </w:tc>
        <w:tc>
          <w:tcPr>
            <w:tcW w:w="494" w:type="pct"/>
            <w:tcBorders>
              <w:top w:val="single" w:sz="4" w:space="0" w:color="auto"/>
              <w:left w:val="nil"/>
              <w:bottom w:val="single" w:sz="4" w:space="0" w:color="auto"/>
              <w:right w:val="nil"/>
            </w:tcBorders>
            <w:shd w:val="clear" w:color="000000" w:fill="FFFFFF"/>
            <w:noWrap/>
            <w:vAlign w:val="bottom"/>
            <w:hideMark/>
          </w:tcPr>
          <w:p w14:paraId="451DF556"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0.05</w:t>
            </w:r>
          </w:p>
        </w:tc>
        <w:tc>
          <w:tcPr>
            <w:tcW w:w="494" w:type="pct"/>
            <w:tcBorders>
              <w:top w:val="single" w:sz="4" w:space="0" w:color="auto"/>
              <w:left w:val="nil"/>
              <w:bottom w:val="single" w:sz="4" w:space="0" w:color="auto"/>
              <w:right w:val="nil"/>
            </w:tcBorders>
            <w:shd w:val="clear" w:color="000000" w:fill="FFFFFF"/>
            <w:noWrap/>
            <w:vAlign w:val="bottom"/>
            <w:hideMark/>
          </w:tcPr>
          <w:p w14:paraId="2959BE4F"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w:t>
            </w:r>
          </w:p>
        </w:tc>
        <w:tc>
          <w:tcPr>
            <w:tcW w:w="494" w:type="pct"/>
            <w:tcBorders>
              <w:top w:val="single" w:sz="4" w:space="0" w:color="auto"/>
              <w:left w:val="nil"/>
              <w:bottom w:val="single" w:sz="4" w:space="0" w:color="auto"/>
              <w:right w:val="nil"/>
            </w:tcBorders>
            <w:shd w:val="clear" w:color="000000" w:fill="FFFFFF"/>
            <w:noWrap/>
            <w:vAlign w:val="bottom"/>
            <w:hideMark/>
          </w:tcPr>
          <w:p w14:paraId="72E69CE9"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w:t>
            </w:r>
          </w:p>
        </w:tc>
        <w:tc>
          <w:tcPr>
            <w:tcW w:w="494" w:type="pct"/>
            <w:tcBorders>
              <w:top w:val="single" w:sz="4" w:space="0" w:color="auto"/>
              <w:left w:val="nil"/>
              <w:bottom w:val="single" w:sz="4" w:space="0" w:color="auto"/>
              <w:right w:val="nil"/>
            </w:tcBorders>
            <w:shd w:val="clear" w:color="000000" w:fill="FFFFFF"/>
            <w:noWrap/>
            <w:vAlign w:val="bottom"/>
            <w:hideMark/>
          </w:tcPr>
          <w:p w14:paraId="141E8A09"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0.01</w:t>
            </w:r>
          </w:p>
        </w:tc>
        <w:tc>
          <w:tcPr>
            <w:tcW w:w="51" w:type="pct"/>
            <w:vAlign w:val="center"/>
            <w:hideMark/>
          </w:tcPr>
          <w:p w14:paraId="72A24A9E" w14:textId="77777777" w:rsidR="001C57DB" w:rsidRPr="001C57DB" w:rsidRDefault="001C57DB" w:rsidP="001C57DB">
            <w:pPr>
              <w:spacing w:before="0" w:after="0" w:line="240" w:lineRule="auto"/>
              <w:jc w:val="left"/>
              <w:rPr>
                <w:sz w:val="20"/>
                <w:szCs w:val="20"/>
                <w:lang w:val="en-IN"/>
              </w:rPr>
            </w:pPr>
          </w:p>
        </w:tc>
      </w:tr>
      <w:tr w:rsidR="001C57DB" w:rsidRPr="001C57DB" w14:paraId="15311AD5" w14:textId="77777777" w:rsidTr="001C57DB">
        <w:trPr>
          <w:trHeight w:val="288"/>
          <w:jc w:val="center"/>
        </w:trPr>
        <w:tc>
          <w:tcPr>
            <w:tcW w:w="4949" w:type="pct"/>
            <w:gridSpan w:val="7"/>
            <w:vMerge w:val="restart"/>
            <w:tcBorders>
              <w:top w:val="nil"/>
              <w:left w:val="nil"/>
              <w:bottom w:val="nil"/>
              <w:right w:val="nil"/>
            </w:tcBorders>
            <w:shd w:val="clear" w:color="000000" w:fill="A6C9EC"/>
            <w:noWrap/>
            <w:vAlign w:val="center"/>
            <w:hideMark/>
          </w:tcPr>
          <w:p w14:paraId="6D812350"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"Cash Flow Ratios"</w:t>
            </w:r>
          </w:p>
        </w:tc>
        <w:tc>
          <w:tcPr>
            <w:tcW w:w="51" w:type="pct"/>
            <w:vAlign w:val="center"/>
            <w:hideMark/>
          </w:tcPr>
          <w:p w14:paraId="0E34A881" w14:textId="77777777" w:rsidR="001C57DB" w:rsidRPr="001C57DB" w:rsidRDefault="001C57DB" w:rsidP="001C57DB">
            <w:pPr>
              <w:spacing w:before="0" w:after="0" w:line="240" w:lineRule="auto"/>
              <w:jc w:val="left"/>
              <w:rPr>
                <w:sz w:val="20"/>
                <w:szCs w:val="20"/>
                <w:lang w:val="en-IN"/>
              </w:rPr>
            </w:pPr>
          </w:p>
        </w:tc>
      </w:tr>
      <w:tr w:rsidR="001C57DB" w:rsidRPr="001C57DB" w14:paraId="6E5761AF" w14:textId="77777777" w:rsidTr="001C57DB">
        <w:trPr>
          <w:trHeight w:val="288"/>
          <w:jc w:val="center"/>
        </w:trPr>
        <w:tc>
          <w:tcPr>
            <w:tcW w:w="4949" w:type="pct"/>
            <w:gridSpan w:val="7"/>
            <w:vMerge/>
            <w:tcBorders>
              <w:top w:val="nil"/>
              <w:left w:val="nil"/>
              <w:bottom w:val="nil"/>
              <w:right w:val="nil"/>
            </w:tcBorders>
            <w:vAlign w:val="center"/>
            <w:hideMark/>
          </w:tcPr>
          <w:p w14:paraId="17DF192D"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64D584E0"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3B73463D" w14:textId="77777777" w:rsidTr="001C57DB">
        <w:trPr>
          <w:trHeight w:val="312"/>
          <w:jc w:val="center"/>
        </w:trPr>
        <w:tc>
          <w:tcPr>
            <w:tcW w:w="4949" w:type="pct"/>
            <w:gridSpan w:val="7"/>
            <w:tcBorders>
              <w:top w:val="nil"/>
              <w:left w:val="nil"/>
              <w:bottom w:val="nil"/>
              <w:right w:val="nil"/>
            </w:tcBorders>
            <w:shd w:val="clear" w:color="000000" w:fill="DAE9F8"/>
            <w:noWrap/>
            <w:vAlign w:val="bottom"/>
            <w:hideMark/>
          </w:tcPr>
          <w:p w14:paraId="294B6E63"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"Operating Cash Flow Ratio"</w:t>
            </w:r>
          </w:p>
        </w:tc>
        <w:tc>
          <w:tcPr>
            <w:tcW w:w="51" w:type="pct"/>
            <w:vAlign w:val="center"/>
            <w:hideMark/>
          </w:tcPr>
          <w:p w14:paraId="4DD69086" w14:textId="77777777" w:rsidR="001C57DB" w:rsidRPr="001C57DB" w:rsidRDefault="001C57DB" w:rsidP="001C57DB">
            <w:pPr>
              <w:spacing w:before="0" w:after="0" w:line="240" w:lineRule="auto"/>
              <w:jc w:val="left"/>
              <w:rPr>
                <w:sz w:val="20"/>
                <w:szCs w:val="20"/>
                <w:lang w:val="en-IN"/>
              </w:rPr>
            </w:pPr>
          </w:p>
        </w:tc>
      </w:tr>
      <w:tr w:rsidR="001C57DB" w:rsidRPr="001C57DB" w14:paraId="40691896"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505A58A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35086F0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1F98A11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3D688349"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6D816D7F"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1952832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0D7DEC6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32E2C33F" w14:textId="77777777" w:rsidR="001C57DB" w:rsidRPr="001C57DB" w:rsidRDefault="001C57DB" w:rsidP="001C57DB">
            <w:pPr>
              <w:spacing w:before="0" w:after="0" w:line="240" w:lineRule="auto"/>
              <w:jc w:val="left"/>
              <w:rPr>
                <w:sz w:val="20"/>
                <w:szCs w:val="20"/>
                <w:lang w:val="en-IN"/>
              </w:rPr>
            </w:pPr>
          </w:p>
        </w:tc>
      </w:tr>
      <w:tr w:rsidR="001C57DB" w:rsidRPr="001C57DB" w14:paraId="1F3E8A51"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AE0FE0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"Operating Cash Flow"</w:t>
            </w:r>
          </w:p>
        </w:tc>
        <w:tc>
          <w:tcPr>
            <w:tcW w:w="1340" w:type="pct"/>
            <w:vMerge w:val="restart"/>
            <w:tcBorders>
              <w:top w:val="nil"/>
              <w:left w:val="nil"/>
              <w:bottom w:val="nil"/>
              <w:right w:val="nil"/>
            </w:tcBorders>
            <w:shd w:val="clear" w:color="000000" w:fill="FFFFFF"/>
            <w:vAlign w:val="center"/>
            <w:hideMark/>
          </w:tcPr>
          <w:p w14:paraId="447DE34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"(Operating Cash Flow/Current Liabilities)"</w:t>
            </w:r>
          </w:p>
        </w:tc>
        <w:tc>
          <w:tcPr>
            <w:tcW w:w="494" w:type="pct"/>
            <w:tcBorders>
              <w:top w:val="nil"/>
              <w:left w:val="nil"/>
              <w:bottom w:val="nil"/>
              <w:right w:val="nil"/>
            </w:tcBorders>
            <w:shd w:val="clear" w:color="000000" w:fill="FFFFFF"/>
            <w:noWrap/>
            <w:vAlign w:val="bottom"/>
            <w:hideMark/>
          </w:tcPr>
          <w:p w14:paraId="2C83FB7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56,61,641 </w:t>
            </w:r>
          </w:p>
        </w:tc>
        <w:tc>
          <w:tcPr>
            <w:tcW w:w="494" w:type="pct"/>
            <w:tcBorders>
              <w:top w:val="nil"/>
              <w:left w:val="nil"/>
              <w:bottom w:val="nil"/>
              <w:right w:val="nil"/>
            </w:tcBorders>
            <w:shd w:val="clear" w:color="000000" w:fill="FFFFFF"/>
            <w:noWrap/>
            <w:vAlign w:val="bottom"/>
            <w:hideMark/>
          </w:tcPr>
          <w:p w14:paraId="5E540A8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25,18,760 </w:t>
            </w:r>
          </w:p>
        </w:tc>
        <w:tc>
          <w:tcPr>
            <w:tcW w:w="494" w:type="pct"/>
            <w:tcBorders>
              <w:top w:val="nil"/>
              <w:left w:val="nil"/>
              <w:bottom w:val="nil"/>
              <w:right w:val="nil"/>
            </w:tcBorders>
            <w:shd w:val="clear" w:color="000000" w:fill="FFFFFF"/>
            <w:noWrap/>
            <w:vAlign w:val="bottom"/>
            <w:hideMark/>
          </w:tcPr>
          <w:p w14:paraId="5924E39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1,06,27,311 </w:t>
            </w:r>
          </w:p>
        </w:tc>
        <w:tc>
          <w:tcPr>
            <w:tcW w:w="494" w:type="pct"/>
            <w:tcBorders>
              <w:top w:val="nil"/>
              <w:left w:val="nil"/>
              <w:bottom w:val="nil"/>
              <w:right w:val="nil"/>
            </w:tcBorders>
            <w:shd w:val="clear" w:color="000000" w:fill="FFFFFF"/>
            <w:noWrap/>
            <w:vAlign w:val="bottom"/>
            <w:hideMark/>
          </w:tcPr>
          <w:p w14:paraId="773CE09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11,76,416 </w:t>
            </w:r>
          </w:p>
        </w:tc>
        <w:tc>
          <w:tcPr>
            <w:tcW w:w="494" w:type="pct"/>
            <w:tcBorders>
              <w:top w:val="nil"/>
              <w:left w:val="nil"/>
              <w:bottom w:val="nil"/>
              <w:right w:val="nil"/>
            </w:tcBorders>
            <w:shd w:val="clear" w:color="000000" w:fill="FFFFFF"/>
            <w:noWrap/>
            <w:vAlign w:val="bottom"/>
            <w:hideMark/>
          </w:tcPr>
          <w:p w14:paraId="757FEF0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4,09,807 </w:t>
            </w:r>
          </w:p>
        </w:tc>
        <w:tc>
          <w:tcPr>
            <w:tcW w:w="51" w:type="pct"/>
            <w:vAlign w:val="center"/>
            <w:hideMark/>
          </w:tcPr>
          <w:p w14:paraId="48026737" w14:textId="77777777" w:rsidR="001C57DB" w:rsidRPr="001C57DB" w:rsidRDefault="001C57DB" w:rsidP="001C57DB">
            <w:pPr>
              <w:spacing w:before="0" w:after="0" w:line="240" w:lineRule="auto"/>
              <w:jc w:val="left"/>
              <w:rPr>
                <w:sz w:val="20"/>
                <w:szCs w:val="20"/>
                <w:lang w:val="en-IN"/>
              </w:rPr>
            </w:pPr>
          </w:p>
        </w:tc>
      </w:tr>
      <w:tr w:rsidR="001C57DB" w:rsidRPr="001C57DB" w14:paraId="0DB2C4C2"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3D4CF70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Current Liabilities"</w:t>
            </w:r>
          </w:p>
        </w:tc>
        <w:tc>
          <w:tcPr>
            <w:tcW w:w="1340" w:type="pct"/>
            <w:vMerge/>
            <w:tcBorders>
              <w:top w:val="nil"/>
              <w:left w:val="nil"/>
              <w:bottom w:val="nil"/>
              <w:right w:val="nil"/>
            </w:tcBorders>
            <w:vAlign w:val="center"/>
            <w:hideMark/>
          </w:tcPr>
          <w:p w14:paraId="4CADAAD3"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3D7F2DF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7,95,09,643 </w:t>
            </w:r>
          </w:p>
        </w:tc>
        <w:tc>
          <w:tcPr>
            <w:tcW w:w="494" w:type="pct"/>
            <w:tcBorders>
              <w:top w:val="nil"/>
              <w:left w:val="nil"/>
              <w:bottom w:val="nil"/>
              <w:right w:val="nil"/>
            </w:tcBorders>
            <w:shd w:val="clear" w:color="000000" w:fill="FFFFFF"/>
            <w:noWrap/>
            <w:vAlign w:val="bottom"/>
            <w:hideMark/>
          </w:tcPr>
          <w:p w14:paraId="5313BB0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7,33,62,103 </w:t>
            </w:r>
          </w:p>
        </w:tc>
        <w:tc>
          <w:tcPr>
            <w:tcW w:w="494" w:type="pct"/>
            <w:tcBorders>
              <w:top w:val="nil"/>
              <w:left w:val="nil"/>
              <w:bottom w:val="nil"/>
              <w:right w:val="nil"/>
            </w:tcBorders>
            <w:shd w:val="clear" w:color="000000" w:fill="FFFFFF"/>
            <w:noWrap/>
            <w:vAlign w:val="bottom"/>
            <w:hideMark/>
          </w:tcPr>
          <w:p w14:paraId="36FB6C1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7,42,36,472 </w:t>
            </w:r>
          </w:p>
        </w:tc>
        <w:tc>
          <w:tcPr>
            <w:tcW w:w="494" w:type="pct"/>
            <w:tcBorders>
              <w:top w:val="nil"/>
              <w:left w:val="nil"/>
              <w:bottom w:val="nil"/>
              <w:right w:val="nil"/>
            </w:tcBorders>
            <w:shd w:val="clear" w:color="000000" w:fill="FFFFFF"/>
            <w:noWrap/>
            <w:vAlign w:val="bottom"/>
            <w:hideMark/>
          </w:tcPr>
          <w:p w14:paraId="666D7E3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6,42,36,787 </w:t>
            </w:r>
          </w:p>
        </w:tc>
        <w:tc>
          <w:tcPr>
            <w:tcW w:w="494" w:type="pct"/>
            <w:tcBorders>
              <w:top w:val="nil"/>
              <w:left w:val="nil"/>
              <w:bottom w:val="nil"/>
              <w:right w:val="nil"/>
            </w:tcBorders>
            <w:shd w:val="clear" w:color="000000" w:fill="FFFFFF"/>
            <w:noWrap/>
            <w:vAlign w:val="bottom"/>
            <w:hideMark/>
          </w:tcPr>
          <w:p w14:paraId="118F42F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5,94,59,528 </w:t>
            </w:r>
          </w:p>
        </w:tc>
        <w:tc>
          <w:tcPr>
            <w:tcW w:w="51" w:type="pct"/>
            <w:vAlign w:val="center"/>
            <w:hideMark/>
          </w:tcPr>
          <w:p w14:paraId="4007FE47" w14:textId="77777777" w:rsidR="001C57DB" w:rsidRPr="001C57DB" w:rsidRDefault="001C57DB" w:rsidP="001C57DB">
            <w:pPr>
              <w:spacing w:before="0" w:after="0" w:line="240" w:lineRule="auto"/>
              <w:jc w:val="left"/>
              <w:rPr>
                <w:sz w:val="20"/>
                <w:szCs w:val="20"/>
                <w:lang w:val="en-IN"/>
              </w:rPr>
            </w:pPr>
          </w:p>
        </w:tc>
      </w:tr>
      <w:tr w:rsidR="001C57DB" w:rsidRPr="001C57DB" w14:paraId="4FE705E8"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E330D96"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"Operating Cash Flow Ratio"</w:t>
            </w:r>
          </w:p>
        </w:tc>
        <w:tc>
          <w:tcPr>
            <w:tcW w:w="1340" w:type="pct"/>
            <w:vMerge/>
            <w:tcBorders>
              <w:top w:val="nil"/>
              <w:left w:val="nil"/>
              <w:bottom w:val="nil"/>
              <w:right w:val="nil"/>
            </w:tcBorders>
            <w:vAlign w:val="center"/>
            <w:hideMark/>
          </w:tcPr>
          <w:p w14:paraId="279CF56E"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4B8050CE"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-0.07</w:t>
            </w:r>
          </w:p>
        </w:tc>
        <w:tc>
          <w:tcPr>
            <w:tcW w:w="494" w:type="pct"/>
            <w:tcBorders>
              <w:top w:val="single" w:sz="4" w:space="0" w:color="auto"/>
              <w:left w:val="nil"/>
              <w:bottom w:val="single" w:sz="4" w:space="0" w:color="auto"/>
              <w:right w:val="nil"/>
            </w:tcBorders>
            <w:shd w:val="clear" w:color="000000" w:fill="FFFFFF"/>
            <w:noWrap/>
            <w:vAlign w:val="bottom"/>
            <w:hideMark/>
          </w:tcPr>
          <w:p w14:paraId="14A8D27E"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w:t>
            </w:r>
          </w:p>
        </w:tc>
        <w:tc>
          <w:tcPr>
            <w:tcW w:w="494" w:type="pct"/>
            <w:tcBorders>
              <w:top w:val="single" w:sz="4" w:space="0" w:color="auto"/>
              <w:left w:val="nil"/>
              <w:bottom w:val="single" w:sz="4" w:space="0" w:color="auto"/>
              <w:right w:val="nil"/>
            </w:tcBorders>
            <w:shd w:val="clear" w:color="000000" w:fill="FFFFFF"/>
            <w:noWrap/>
            <w:vAlign w:val="bottom"/>
            <w:hideMark/>
          </w:tcPr>
          <w:p w14:paraId="2B9FF594"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0.14</w:t>
            </w:r>
          </w:p>
        </w:tc>
        <w:tc>
          <w:tcPr>
            <w:tcW w:w="494" w:type="pct"/>
            <w:tcBorders>
              <w:top w:val="single" w:sz="4" w:space="0" w:color="auto"/>
              <w:left w:val="nil"/>
              <w:bottom w:val="single" w:sz="4" w:space="0" w:color="auto"/>
              <w:right w:val="nil"/>
            </w:tcBorders>
            <w:shd w:val="clear" w:color="000000" w:fill="FFFFFF"/>
            <w:noWrap/>
            <w:vAlign w:val="bottom"/>
            <w:hideMark/>
          </w:tcPr>
          <w:p w14:paraId="329D0562"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-0.02</w:t>
            </w:r>
          </w:p>
        </w:tc>
        <w:tc>
          <w:tcPr>
            <w:tcW w:w="494" w:type="pct"/>
            <w:tcBorders>
              <w:top w:val="single" w:sz="4" w:space="0" w:color="auto"/>
              <w:left w:val="nil"/>
              <w:bottom w:val="single" w:sz="4" w:space="0" w:color="auto"/>
              <w:right w:val="nil"/>
            </w:tcBorders>
            <w:shd w:val="clear" w:color="000000" w:fill="FFFFFF"/>
            <w:noWrap/>
            <w:vAlign w:val="bottom"/>
            <w:hideMark/>
          </w:tcPr>
          <w:p w14:paraId="4CE4598A"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-0.01</w:t>
            </w:r>
          </w:p>
        </w:tc>
        <w:tc>
          <w:tcPr>
            <w:tcW w:w="51" w:type="pct"/>
            <w:vAlign w:val="center"/>
            <w:hideMark/>
          </w:tcPr>
          <w:p w14:paraId="6F4BF446" w14:textId="77777777" w:rsidR="001C57DB" w:rsidRPr="001C57DB" w:rsidRDefault="001C57DB" w:rsidP="001C57DB">
            <w:pPr>
              <w:spacing w:before="0" w:after="0" w:line="240" w:lineRule="auto"/>
              <w:jc w:val="left"/>
              <w:rPr>
                <w:sz w:val="20"/>
                <w:szCs w:val="20"/>
                <w:lang w:val="en-IN"/>
              </w:rPr>
            </w:pPr>
          </w:p>
        </w:tc>
      </w:tr>
      <w:tr w:rsidR="001C57DB" w:rsidRPr="001C57DB" w14:paraId="7277F2A1"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6CDA8572"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"Cash Flow to Debt Ratio"</w:t>
            </w:r>
          </w:p>
        </w:tc>
        <w:tc>
          <w:tcPr>
            <w:tcW w:w="51" w:type="pct"/>
            <w:vAlign w:val="center"/>
            <w:hideMark/>
          </w:tcPr>
          <w:p w14:paraId="163E6366" w14:textId="77777777" w:rsidR="001C57DB" w:rsidRPr="001C57DB" w:rsidRDefault="001C57DB" w:rsidP="001C57DB">
            <w:pPr>
              <w:spacing w:before="0" w:after="0" w:line="240" w:lineRule="auto"/>
              <w:jc w:val="left"/>
              <w:rPr>
                <w:sz w:val="20"/>
                <w:szCs w:val="20"/>
                <w:lang w:val="en-IN"/>
              </w:rPr>
            </w:pPr>
          </w:p>
        </w:tc>
      </w:tr>
      <w:tr w:rsidR="001C57DB" w:rsidRPr="001C57DB" w14:paraId="3A513AA4" w14:textId="77777777" w:rsidTr="001C57DB">
        <w:trPr>
          <w:trHeight w:val="288"/>
          <w:jc w:val="center"/>
        </w:trPr>
        <w:tc>
          <w:tcPr>
            <w:tcW w:w="4949" w:type="pct"/>
            <w:gridSpan w:val="7"/>
            <w:vMerge/>
            <w:tcBorders>
              <w:top w:val="nil"/>
              <w:left w:val="nil"/>
              <w:bottom w:val="nil"/>
              <w:right w:val="nil"/>
            </w:tcBorders>
            <w:vAlign w:val="center"/>
            <w:hideMark/>
          </w:tcPr>
          <w:p w14:paraId="7EA3FBA0"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73F9341D"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4F0ABD72"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59437407"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0BC71134"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6EEBB781"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63EBB1D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641381F7"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5B6DC54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1D36523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47FCF9DF" w14:textId="77777777" w:rsidR="001C57DB" w:rsidRPr="001C57DB" w:rsidRDefault="001C57DB" w:rsidP="001C57DB">
            <w:pPr>
              <w:spacing w:before="0" w:after="0" w:line="240" w:lineRule="auto"/>
              <w:jc w:val="left"/>
              <w:rPr>
                <w:sz w:val="20"/>
                <w:szCs w:val="20"/>
                <w:lang w:val="en-IN"/>
              </w:rPr>
            </w:pPr>
          </w:p>
        </w:tc>
      </w:tr>
      <w:tr w:rsidR="001C57DB" w:rsidRPr="001C57DB" w14:paraId="47C8DAF1"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6A12ABA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"Operating Cash Flow"</w:t>
            </w:r>
          </w:p>
        </w:tc>
        <w:tc>
          <w:tcPr>
            <w:tcW w:w="1340" w:type="pct"/>
            <w:vMerge w:val="restart"/>
            <w:tcBorders>
              <w:top w:val="nil"/>
              <w:left w:val="nil"/>
              <w:bottom w:val="nil"/>
              <w:right w:val="nil"/>
            </w:tcBorders>
            <w:shd w:val="clear" w:color="000000" w:fill="FFFFFF"/>
            <w:vAlign w:val="center"/>
            <w:hideMark/>
          </w:tcPr>
          <w:p w14:paraId="695045CA"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"(Operating Cash Flow/Total Debt)"</w:t>
            </w:r>
          </w:p>
        </w:tc>
        <w:tc>
          <w:tcPr>
            <w:tcW w:w="494" w:type="pct"/>
            <w:tcBorders>
              <w:top w:val="nil"/>
              <w:left w:val="nil"/>
              <w:bottom w:val="nil"/>
              <w:right w:val="nil"/>
            </w:tcBorders>
            <w:shd w:val="clear" w:color="000000" w:fill="FFFFFF"/>
            <w:noWrap/>
            <w:vAlign w:val="bottom"/>
            <w:hideMark/>
          </w:tcPr>
          <w:p w14:paraId="4792369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56,61,641 </w:t>
            </w:r>
          </w:p>
        </w:tc>
        <w:tc>
          <w:tcPr>
            <w:tcW w:w="494" w:type="pct"/>
            <w:tcBorders>
              <w:top w:val="nil"/>
              <w:left w:val="nil"/>
              <w:bottom w:val="nil"/>
              <w:right w:val="nil"/>
            </w:tcBorders>
            <w:shd w:val="clear" w:color="000000" w:fill="FFFFFF"/>
            <w:noWrap/>
            <w:vAlign w:val="bottom"/>
            <w:hideMark/>
          </w:tcPr>
          <w:p w14:paraId="4F45216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25,18,760 </w:t>
            </w:r>
          </w:p>
        </w:tc>
        <w:tc>
          <w:tcPr>
            <w:tcW w:w="494" w:type="pct"/>
            <w:tcBorders>
              <w:top w:val="nil"/>
              <w:left w:val="nil"/>
              <w:bottom w:val="nil"/>
              <w:right w:val="nil"/>
            </w:tcBorders>
            <w:shd w:val="clear" w:color="000000" w:fill="FFFFFF"/>
            <w:noWrap/>
            <w:vAlign w:val="bottom"/>
            <w:hideMark/>
          </w:tcPr>
          <w:p w14:paraId="2A1EA75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1,06,27,311 </w:t>
            </w:r>
          </w:p>
        </w:tc>
        <w:tc>
          <w:tcPr>
            <w:tcW w:w="494" w:type="pct"/>
            <w:tcBorders>
              <w:top w:val="nil"/>
              <w:left w:val="nil"/>
              <w:bottom w:val="nil"/>
              <w:right w:val="nil"/>
            </w:tcBorders>
            <w:shd w:val="clear" w:color="000000" w:fill="FFFFFF"/>
            <w:noWrap/>
            <w:vAlign w:val="bottom"/>
            <w:hideMark/>
          </w:tcPr>
          <w:p w14:paraId="750655F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11,76,416 </w:t>
            </w:r>
          </w:p>
        </w:tc>
        <w:tc>
          <w:tcPr>
            <w:tcW w:w="494" w:type="pct"/>
            <w:tcBorders>
              <w:top w:val="nil"/>
              <w:left w:val="nil"/>
              <w:bottom w:val="nil"/>
              <w:right w:val="nil"/>
            </w:tcBorders>
            <w:shd w:val="clear" w:color="000000" w:fill="FFFFFF"/>
            <w:noWrap/>
            <w:vAlign w:val="bottom"/>
            <w:hideMark/>
          </w:tcPr>
          <w:p w14:paraId="0F1C1E9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4,09,807 </w:t>
            </w:r>
          </w:p>
        </w:tc>
        <w:tc>
          <w:tcPr>
            <w:tcW w:w="51" w:type="pct"/>
            <w:vAlign w:val="center"/>
            <w:hideMark/>
          </w:tcPr>
          <w:p w14:paraId="44CEACD2" w14:textId="77777777" w:rsidR="001C57DB" w:rsidRPr="001C57DB" w:rsidRDefault="001C57DB" w:rsidP="001C57DB">
            <w:pPr>
              <w:spacing w:before="0" w:after="0" w:line="240" w:lineRule="auto"/>
              <w:jc w:val="left"/>
              <w:rPr>
                <w:sz w:val="20"/>
                <w:szCs w:val="20"/>
                <w:lang w:val="en-IN"/>
              </w:rPr>
            </w:pPr>
          </w:p>
        </w:tc>
      </w:tr>
      <w:tr w:rsidR="001C57DB" w:rsidRPr="001C57DB" w14:paraId="368E07F5"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7F84238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Total Debt"</w:t>
            </w:r>
          </w:p>
        </w:tc>
        <w:tc>
          <w:tcPr>
            <w:tcW w:w="1340" w:type="pct"/>
            <w:vMerge/>
            <w:tcBorders>
              <w:top w:val="nil"/>
              <w:left w:val="nil"/>
              <w:bottom w:val="nil"/>
              <w:right w:val="nil"/>
            </w:tcBorders>
            <w:vAlign w:val="center"/>
            <w:hideMark/>
          </w:tcPr>
          <w:p w14:paraId="0B547D17"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434F9CEB"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21,95,22,496 </w:t>
            </w:r>
          </w:p>
        </w:tc>
        <w:tc>
          <w:tcPr>
            <w:tcW w:w="494" w:type="pct"/>
            <w:tcBorders>
              <w:top w:val="nil"/>
              <w:left w:val="nil"/>
              <w:bottom w:val="nil"/>
              <w:right w:val="nil"/>
            </w:tcBorders>
            <w:shd w:val="clear" w:color="000000" w:fill="FFFFFF"/>
            <w:noWrap/>
            <w:vAlign w:val="bottom"/>
            <w:hideMark/>
          </w:tcPr>
          <w:p w14:paraId="6043BAB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18,06,53,915 </w:t>
            </w:r>
          </w:p>
        </w:tc>
        <w:tc>
          <w:tcPr>
            <w:tcW w:w="494" w:type="pct"/>
            <w:tcBorders>
              <w:top w:val="nil"/>
              <w:left w:val="nil"/>
              <w:bottom w:val="nil"/>
              <w:right w:val="nil"/>
            </w:tcBorders>
            <w:shd w:val="clear" w:color="000000" w:fill="FFFFFF"/>
            <w:noWrap/>
            <w:vAlign w:val="bottom"/>
            <w:hideMark/>
          </w:tcPr>
          <w:p w14:paraId="215FB68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16,48,45,917 </w:t>
            </w:r>
          </w:p>
        </w:tc>
        <w:tc>
          <w:tcPr>
            <w:tcW w:w="494" w:type="pct"/>
            <w:tcBorders>
              <w:top w:val="nil"/>
              <w:left w:val="nil"/>
              <w:bottom w:val="nil"/>
              <w:right w:val="nil"/>
            </w:tcBorders>
            <w:shd w:val="clear" w:color="000000" w:fill="FFFFFF"/>
            <w:noWrap/>
            <w:vAlign w:val="bottom"/>
            <w:hideMark/>
          </w:tcPr>
          <w:p w14:paraId="6FEB53E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15,13,30,626 </w:t>
            </w:r>
          </w:p>
        </w:tc>
        <w:tc>
          <w:tcPr>
            <w:tcW w:w="494" w:type="pct"/>
            <w:tcBorders>
              <w:top w:val="nil"/>
              <w:left w:val="nil"/>
              <w:bottom w:val="nil"/>
              <w:right w:val="nil"/>
            </w:tcBorders>
            <w:shd w:val="clear" w:color="000000" w:fill="FFFFFF"/>
            <w:noWrap/>
            <w:vAlign w:val="bottom"/>
            <w:hideMark/>
          </w:tcPr>
          <w:p w14:paraId="31FDC6F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13,30,03,242 </w:t>
            </w:r>
          </w:p>
        </w:tc>
        <w:tc>
          <w:tcPr>
            <w:tcW w:w="51" w:type="pct"/>
            <w:vAlign w:val="center"/>
            <w:hideMark/>
          </w:tcPr>
          <w:p w14:paraId="6FC6BEAE" w14:textId="77777777" w:rsidR="001C57DB" w:rsidRPr="001C57DB" w:rsidRDefault="001C57DB" w:rsidP="001C57DB">
            <w:pPr>
              <w:spacing w:before="0" w:after="0" w:line="240" w:lineRule="auto"/>
              <w:jc w:val="left"/>
              <w:rPr>
                <w:sz w:val="20"/>
                <w:szCs w:val="20"/>
                <w:lang w:val="en-IN"/>
              </w:rPr>
            </w:pPr>
          </w:p>
        </w:tc>
      </w:tr>
      <w:tr w:rsidR="001C57DB" w:rsidRPr="001C57DB" w14:paraId="51F49A9C"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01D40777"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"Cash Flow to Debt Ratio"</w:t>
            </w:r>
          </w:p>
        </w:tc>
        <w:tc>
          <w:tcPr>
            <w:tcW w:w="1340" w:type="pct"/>
            <w:vMerge/>
            <w:tcBorders>
              <w:top w:val="nil"/>
              <w:left w:val="nil"/>
              <w:bottom w:val="nil"/>
              <w:right w:val="nil"/>
            </w:tcBorders>
            <w:vAlign w:val="center"/>
            <w:hideMark/>
          </w:tcPr>
          <w:p w14:paraId="3E2F2251"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31445F36"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w:t>
            </w:r>
          </w:p>
        </w:tc>
        <w:tc>
          <w:tcPr>
            <w:tcW w:w="494" w:type="pct"/>
            <w:tcBorders>
              <w:top w:val="single" w:sz="4" w:space="0" w:color="auto"/>
              <w:left w:val="nil"/>
              <w:bottom w:val="single" w:sz="4" w:space="0" w:color="auto"/>
              <w:right w:val="nil"/>
            </w:tcBorders>
            <w:shd w:val="clear" w:color="000000" w:fill="FFFFFF"/>
            <w:noWrap/>
            <w:vAlign w:val="bottom"/>
            <w:hideMark/>
          </w:tcPr>
          <w:p w14:paraId="270566AC"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-0.01</w:t>
            </w:r>
          </w:p>
        </w:tc>
        <w:tc>
          <w:tcPr>
            <w:tcW w:w="494" w:type="pct"/>
            <w:tcBorders>
              <w:top w:val="single" w:sz="4" w:space="0" w:color="auto"/>
              <w:left w:val="nil"/>
              <w:bottom w:val="single" w:sz="4" w:space="0" w:color="auto"/>
              <w:right w:val="nil"/>
            </w:tcBorders>
            <w:shd w:val="clear" w:color="000000" w:fill="FFFFFF"/>
            <w:noWrap/>
            <w:vAlign w:val="bottom"/>
            <w:hideMark/>
          </w:tcPr>
          <w:p w14:paraId="154095FA"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0.06</w:t>
            </w:r>
          </w:p>
        </w:tc>
        <w:tc>
          <w:tcPr>
            <w:tcW w:w="494" w:type="pct"/>
            <w:tcBorders>
              <w:top w:val="single" w:sz="4" w:space="0" w:color="auto"/>
              <w:left w:val="nil"/>
              <w:bottom w:val="single" w:sz="4" w:space="0" w:color="auto"/>
              <w:right w:val="nil"/>
            </w:tcBorders>
            <w:shd w:val="clear" w:color="000000" w:fill="FFFFFF"/>
            <w:noWrap/>
            <w:vAlign w:val="bottom"/>
            <w:hideMark/>
          </w:tcPr>
          <w:p w14:paraId="69C641DA"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-0.01</w:t>
            </w:r>
          </w:p>
        </w:tc>
        <w:tc>
          <w:tcPr>
            <w:tcW w:w="494" w:type="pct"/>
            <w:tcBorders>
              <w:top w:val="single" w:sz="4" w:space="0" w:color="auto"/>
              <w:left w:val="nil"/>
              <w:bottom w:val="single" w:sz="4" w:space="0" w:color="auto"/>
              <w:right w:val="nil"/>
            </w:tcBorders>
            <w:shd w:val="clear" w:color="000000" w:fill="FFFFFF"/>
            <w:noWrap/>
            <w:vAlign w:val="bottom"/>
            <w:hideMark/>
          </w:tcPr>
          <w:p w14:paraId="75D94493"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0.00</w:t>
            </w:r>
          </w:p>
        </w:tc>
        <w:tc>
          <w:tcPr>
            <w:tcW w:w="51" w:type="pct"/>
            <w:vAlign w:val="center"/>
            <w:hideMark/>
          </w:tcPr>
          <w:p w14:paraId="2B28A953" w14:textId="77777777" w:rsidR="001C57DB" w:rsidRPr="001C57DB" w:rsidRDefault="001C57DB" w:rsidP="001C57DB">
            <w:pPr>
              <w:spacing w:before="0" w:after="0" w:line="240" w:lineRule="auto"/>
              <w:jc w:val="left"/>
              <w:rPr>
                <w:sz w:val="20"/>
                <w:szCs w:val="20"/>
                <w:lang w:val="en-IN"/>
              </w:rPr>
            </w:pPr>
          </w:p>
        </w:tc>
      </w:tr>
      <w:tr w:rsidR="001C57DB" w:rsidRPr="001C57DB" w14:paraId="3AEFDF69"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2FDC3B20"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"Cash Flow Margin"</w:t>
            </w:r>
          </w:p>
        </w:tc>
        <w:tc>
          <w:tcPr>
            <w:tcW w:w="51" w:type="pct"/>
            <w:vAlign w:val="center"/>
            <w:hideMark/>
          </w:tcPr>
          <w:p w14:paraId="2ED4F60B" w14:textId="77777777" w:rsidR="001C57DB" w:rsidRPr="001C57DB" w:rsidRDefault="001C57DB" w:rsidP="001C57DB">
            <w:pPr>
              <w:spacing w:before="0" w:after="0" w:line="240" w:lineRule="auto"/>
              <w:jc w:val="left"/>
              <w:rPr>
                <w:sz w:val="20"/>
                <w:szCs w:val="20"/>
                <w:lang w:val="en-IN"/>
              </w:rPr>
            </w:pPr>
          </w:p>
        </w:tc>
      </w:tr>
      <w:tr w:rsidR="001C57DB" w:rsidRPr="001C57DB" w14:paraId="06D0550B" w14:textId="77777777" w:rsidTr="001C57DB">
        <w:trPr>
          <w:trHeight w:val="288"/>
          <w:jc w:val="center"/>
        </w:trPr>
        <w:tc>
          <w:tcPr>
            <w:tcW w:w="4949" w:type="pct"/>
            <w:gridSpan w:val="7"/>
            <w:vMerge/>
            <w:tcBorders>
              <w:top w:val="nil"/>
              <w:left w:val="nil"/>
              <w:bottom w:val="nil"/>
              <w:right w:val="nil"/>
            </w:tcBorders>
            <w:vAlign w:val="center"/>
            <w:hideMark/>
          </w:tcPr>
          <w:p w14:paraId="1F5A89B3"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6F616799"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16D74FEF"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015B2F3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222FD90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20A5BF48"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11A7F50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7370C547"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484D3D4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56348E0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393A90F1" w14:textId="77777777" w:rsidR="001C57DB" w:rsidRPr="001C57DB" w:rsidRDefault="001C57DB" w:rsidP="001C57DB">
            <w:pPr>
              <w:spacing w:before="0" w:after="0" w:line="240" w:lineRule="auto"/>
              <w:jc w:val="left"/>
              <w:rPr>
                <w:sz w:val="20"/>
                <w:szCs w:val="20"/>
                <w:lang w:val="en-IN"/>
              </w:rPr>
            </w:pPr>
          </w:p>
        </w:tc>
      </w:tr>
      <w:tr w:rsidR="001C57DB" w:rsidRPr="001C57DB" w14:paraId="066D7613"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5D224A4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"Operating Cash Flow"</w:t>
            </w:r>
          </w:p>
        </w:tc>
        <w:tc>
          <w:tcPr>
            <w:tcW w:w="1340" w:type="pct"/>
            <w:vMerge w:val="restart"/>
            <w:tcBorders>
              <w:top w:val="nil"/>
              <w:left w:val="nil"/>
              <w:bottom w:val="nil"/>
              <w:right w:val="nil"/>
            </w:tcBorders>
            <w:shd w:val="clear" w:color="000000" w:fill="FFFFFF"/>
            <w:vAlign w:val="center"/>
            <w:hideMark/>
          </w:tcPr>
          <w:p w14:paraId="078795EE"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"(Operating Cash Flow/Sales)"</w:t>
            </w:r>
          </w:p>
        </w:tc>
        <w:tc>
          <w:tcPr>
            <w:tcW w:w="494" w:type="pct"/>
            <w:tcBorders>
              <w:top w:val="nil"/>
              <w:left w:val="nil"/>
              <w:bottom w:val="nil"/>
              <w:right w:val="nil"/>
            </w:tcBorders>
            <w:shd w:val="clear" w:color="000000" w:fill="FFFFFF"/>
            <w:noWrap/>
            <w:vAlign w:val="bottom"/>
            <w:hideMark/>
          </w:tcPr>
          <w:p w14:paraId="778F77A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56,61,641 </w:t>
            </w:r>
          </w:p>
        </w:tc>
        <w:tc>
          <w:tcPr>
            <w:tcW w:w="494" w:type="pct"/>
            <w:tcBorders>
              <w:top w:val="nil"/>
              <w:left w:val="nil"/>
              <w:bottom w:val="nil"/>
              <w:right w:val="nil"/>
            </w:tcBorders>
            <w:shd w:val="clear" w:color="000000" w:fill="FFFFFF"/>
            <w:noWrap/>
            <w:vAlign w:val="bottom"/>
            <w:hideMark/>
          </w:tcPr>
          <w:p w14:paraId="55EEBB6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25,18,760 </w:t>
            </w:r>
          </w:p>
        </w:tc>
        <w:tc>
          <w:tcPr>
            <w:tcW w:w="494" w:type="pct"/>
            <w:tcBorders>
              <w:top w:val="nil"/>
              <w:left w:val="nil"/>
              <w:bottom w:val="nil"/>
              <w:right w:val="nil"/>
            </w:tcBorders>
            <w:shd w:val="clear" w:color="000000" w:fill="FFFFFF"/>
            <w:noWrap/>
            <w:vAlign w:val="bottom"/>
            <w:hideMark/>
          </w:tcPr>
          <w:p w14:paraId="429847FE"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1,06,27,311 </w:t>
            </w:r>
          </w:p>
        </w:tc>
        <w:tc>
          <w:tcPr>
            <w:tcW w:w="494" w:type="pct"/>
            <w:tcBorders>
              <w:top w:val="nil"/>
              <w:left w:val="nil"/>
              <w:bottom w:val="nil"/>
              <w:right w:val="nil"/>
            </w:tcBorders>
            <w:shd w:val="clear" w:color="000000" w:fill="FFFFFF"/>
            <w:noWrap/>
            <w:vAlign w:val="bottom"/>
            <w:hideMark/>
          </w:tcPr>
          <w:p w14:paraId="670EB27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11,76,416 </w:t>
            </w:r>
          </w:p>
        </w:tc>
        <w:tc>
          <w:tcPr>
            <w:tcW w:w="494" w:type="pct"/>
            <w:tcBorders>
              <w:top w:val="nil"/>
              <w:left w:val="nil"/>
              <w:bottom w:val="nil"/>
              <w:right w:val="nil"/>
            </w:tcBorders>
            <w:shd w:val="clear" w:color="000000" w:fill="FFFFFF"/>
            <w:noWrap/>
            <w:vAlign w:val="bottom"/>
            <w:hideMark/>
          </w:tcPr>
          <w:p w14:paraId="39E24FB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4,09,807 </w:t>
            </w:r>
          </w:p>
        </w:tc>
        <w:tc>
          <w:tcPr>
            <w:tcW w:w="51" w:type="pct"/>
            <w:vAlign w:val="center"/>
            <w:hideMark/>
          </w:tcPr>
          <w:p w14:paraId="3A19AF79" w14:textId="77777777" w:rsidR="001C57DB" w:rsidRPr="001C57DB" w:rsidRDefault="001C57DB" w:rsidP="001C57DB">
            <w:pPr>
              <w:spacing w:before="0" w:after="0" w:line="240" w:lineRule="auto"/>
              <w:jc w:val="left"/>
              <w:rPr>
                <w:sz w:val="20"/>
                <w:szCs w:val="20"/>
                <w:lang w:val="en-IN"/>
              </w:rPr>
            </w:pPr>
          </w:p>
        </w:tc>
      </w:tr>
      <w:tr w:rsidR="001C57DB" w:rsidRPr="001C57DB" w14:paraId="4CD49979"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3057647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Sales"</w:t>
            </w:r>
          </w:p>
        </w:tc>
        <w:tc>
          <w:tcPr>
            <w:tcW w:w="1340" w:type="pct"/>
            <w:vMerge/>
            <w:tcBorders>
              <w:top w:val="nil"/>
              <w:left w:val="nil"/>
              <w:bottom w:val="nil"/>
              <w:right w:val="nil"/>
            </w:tcBorders>
            <w:vAlign w:val="center"/>
            <w:hideMark/>
          </w:tcPr>
          <w:p w14:paraId="23B5C721"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0FA502A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17,52,31,153 </w:t>
            </w:r>
          </w:p>
        </w:tc>
        <w:tc>
          <w:tcPr>
            <w:tcW w:w="494" w:type="pct"/>
            <w:tcBorders>
              <w:top w:val="nil"/>
              <w:left w:val="nil"/>
              <w:bottom w:val="nil"/>
              <w:right w:val="nil"/>
            </w:tcBorders>
            <w:shd w:val="clear" w:color="000000" w:fill="FFFFFF"/>
            <w:noWrap/>
            <w:vAlign w:val="bottom"/>
            <w:hideMark/>
          </w:tcPr>
          <w:p w14:paraId="4864577A"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16,26,63,579 </w:t>
            </w:r>
          </w:p>
        </w:tc>
        <w:tc>
          <w:tcPr>
            <w:tcW w:w="494" w:type="pct"/>
            <w:tcBorders>
              <w:top w:val="nil"/>
              <w:left w:val="nil"/>
              <w:bottom w:val="nil"/>
              <w:right w:val="nil"/>
            </w:tcBorders>
            <w:shd w:val="clear" w:color="000000" w:fill="FFFFFF"/>
            <w:noWrap/>
            <w:vAlign w:val="bottom"/>
            <w:hideMark/>
          </w:tcPr>
          <w:p w14:paraId="4C7CB8BD"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14,25,27,535 </w:t>
            </w:r>
          </w:p>
        </w:tc>
        <w:tc>
          <w:tcPr>
            <w:tcW w:w="494" w:type="pct"/>
            <w:tcBorders>
              <w:top w:val="nil"/>
              <w:left w:val="nil"/>
              <w:bottom w:val="nil"/>
              <w:right w:val="nil"/>
            </w:tcBorders>
            <w:shd w:val="clear" w:color="000000" w:fill="FFFFFF"/>
            <w:noWrap/>
            <w:vAlign w:val="bottom"/>
            <w:hideMark/>
          </w:tcPr>
          <w:p w14:paraId="67C80732"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11,76,10,626 </w:t>
            </w:r>
          </w:p>
        </w:tc>
        <w:tc>
          <w:tcPr>
            <w:tcW w:w="494" w:type="pct"/>
            <w:tcBorders>
              <w:top w:val="nil"/>
              <w:left w:val="nil"/>
              <w:bottom w:val="nil"/>
              <w:right w:val="nil"/>
            </w:tcBorders>
            <w:shd w:val="clear" w:color="000000" w:fill="FFFFFF"/>
            <w:noWrap/>
            <w:vAlign w:val="bottom"/>
            <w:hideMark/>
          </w:tcPr>
          <w:p w14:paraId="7FC8EF8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10,39,97,601 </w:t>
            </w:r>
          </w:p>
        </w:tc>
        <w:tc>
          <w:tcPr>
            <w:tcW w:w="51" w:type="pct"/>
            <w:vAlign w:val="center"/>
            <w:hideMark/>
          </w:tcPr>
          <w:p w14:paraId="5A997970" w14:textId="77777777" w:rsidR="001C57DB" w:rsidRPr="001C57DB" w:rsidRDefault="001C57DB" w:rsidP="001C57DB">
            <w:pPr>
              <w:spacing w:before="0" w:after="0" w:line="240" w:lineRule="auto"/>
              <w:jc w:val="left"/>
              <w:rPr>
                <w:sz w:val="20"/>
                <w:szCs w:val="20"/>
                <w:lang w:val="en-IN"/>
              </w:rPr>
            </w:pPr>
          </w:p>
        </w:tc>
      </w:tr>
      <w:tr w:rsidR="001C57DB" w:rsidRPr="001C57DB" w14:paraId="4DF2F45A"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1310A45B"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"Cash Flow Margin"</w:t>
            </w:r>
          </w:p>
        </w:tc>
        <w:tc>
          <w:tcPr>
            <w:tcW w:w="1340" w:type="pct"/>
            <w:vMerge/>
            <w:tcBorders>
              <w:top w:val="nil"/>
              <w:left w:val="nil"/>
              <w:bottom w:val="nil"/>
              <w:right w:val="nil"/>
            </w:tcBorders>
            <w:vAlign w:val="center"/>
            <w:hideMark/>
          </w:tcPr>
          <w:p w14:paraId="007DF208"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7ABACE81"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w:t>
            </w:r>
          </w:p>
        </w:tc>
        <w:tc>
          <w:tcPr>
            <w:tcW w:w="494" w:type="pct"/>
            <w:tcBorders>
              <w:top w:val="single" w:sz="4" w:space="0" w:color="auto"/>
              <w:left w:val="nil"/>
              <w:bottom w:val="single" w:sz="4" w:space="0" w:color="auto"/>
              <w:right w:val="nil"/>
            </w:tcBorders>
            <w:shd w:val="clear" w:color="000000" w:fill="FFFFFF"/>
            <w:noWrap/>
            <w:vAlign w:val="bottom"/>
            <w:hideMark/>
          </w:tcPr>
          <w:p w14:paraId="6B913481"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-0.02</w:t>
            </w:r>
          </w:p>
        </w:tc>
        <w:tc>
          <w:tcPr>
            <w:tcW w:w="494" w:type="pct"/>
            <w:tcBorders>
              <w:top w:val="single" w:sz="4" w:space="0" w:color="auto"/>
              <w:left w:val="nil"/>
              <w:bottom w:val="single" w:sz="4" w:space="0" w:color="auto"/>
              <w:right w:val="nil"/>
            </w:tcBorders>
            <w:shd w:val="clear" w:color="000000" w:fill="FFFFFF"/>
            <w:noWrap/>
            <w:vAlign w:val="bottom"/>
            <w:hideMark/>
          </w:tcPr>
          <w:p w14:paraId="3C98382B"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0.07</w:t>
            </w:r>
          </w:p>
        </w:tc>
        <w:tc>
          <w:tcPr>
            <w:tcW w:w="494" w:type="pct"/>
            <w:tcBorders>
              <w:top w:val="single" w:sz="4" w:space="0" w:color="auto"/>
              <w:left w:val="nil"/>
              <w:bottom w:val="single" w:sz="4" w:space="0" w:color="auto"/>
              <w:right w:val="nil"/>
            </w:tcBorders>
            <w:shd w:val="clear" w:color="000000" w:fill="FFFFFF"/>
            <w:noWrap/>
            <w:vAlign w:val="bottom"/>
            <w:hideMark/>
          </w:tcPr>
          <w:p w14:paraId="36AF947A"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-0.01</w:t>
            </w:r>
          </w:p>
        </w:tc>
        <w:tc>
          <w:tcPr>
            <w:tcW w:w="494" w:type="pct"/>
            <w:tcBorders>
              <w:top w:val="single" w:sz="4" w:space="0" w:color="auto"/>
              <w:left w:val="nil"/>
              <w:bottom w:val="single" w:sz="4" w:space="0" w:color="auto"/>
              <w:right w:val="nil"/>
            </w:tcBorders>
            <w:shd w:val="clear" w:color="000000" w:fill="FFFFFF"/>
            <w:noWrap/>
            <w:vAlign w:val="bottom"/>
            <w:hideMark/>
          </w:tcPr>
          <w:p w14:paraId="08DFD168"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0.00</w:t>
            </w:r>
          </w:p>
        </w:tc>
        <w:tc>
          <w:tcPr>
            <w:tcW w:w="51" w:type="pct"/>
            <w:vAlign w:val="center"/>
            <w:hideMark/>
          </w:tcPr>
          <w:p w14:paraId="0D714865" w14:textId="77777777" w:rsidR="001C57DB" w:rsidRPr="001C57DB" w:rsidRDefault="001C57DB" w:rsidP="001C57DB">
            <w:pPr>
              <w:spacing w:before="0" w:after="0" w:line="240" w:lineRule="auto"/>
              <w:jc w:val="left"/>
              <w:rPr>
                <w:sz w:val="20"/>
                <w:szCs w:val="20"/>
                <w:lang w:val="en-IN"/>
              </w:rPr>
            </w:pPr>
          </w:p>
        </w:tc>
      </w:tr>
      <w:tr w:rsidR="001C57DB" w:rsidRPr="001C57DB" w14:paraId="03E1C008" w14:textId="77777777" w:rsidTr="001C57DB">
        <w:trPr>
          <w:trHeight w:val="288"/>
          <w:jc w:val="center"/>
        </w:trPr>
        <w:tc>
          <w:tcPr>
            <w:tcW w:w="4949" w:type="pct"/>
            <w:gridSpan w:val="7"/>
            <w:vMerge w:val="restart"/>
            <w:tcBorders>
              <w:top w:val="nil"/>
              <w:left w:val="nil"/>
              <w:bottom w:val="nil"/>
              <w:right w:val="nil"/>
            </w:tcBorders>
            <w:shd w:val="clear" w:color="000000" w:fill="DAE9F8"/>
            <w:noWrap/>
            <w:vAlign w:val="center"/>
            <w:hideMark/>
          </w:tcPr>
          <w:p w14:paraId="7C94FA3B"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"Free Cash Flow Margin"</w:t>
            </w:r>
          </w:p>
        </w:tc>
        <w:tc>
          <w:tcPr>
            <w:tcW w:w="51" w:type="pct"/>
            <w:vAlign w:val="center"/>
            <w:hideMark/>
          </w:tcPr>
          <w:p w14:paraId="7A50ABF5" w14:textId="77777777" w:rsidR="001C57DB" w:rsidRPr="001C57DB" w:rsidRDefault="001C57DB" w:rsidP="001C57DB">
            <w:pPr>
              <w:spacing w:before="0" w:after="0" w:line="240" w:lineRule="auto"/>
              <w:jc w:val="left"/>
              <w:rPr>
                <w:sz w:val="20"/>
                <w:szCs w:val="20"/>
                <w:lang w:val="en-IN"/>
              </w:rPr>
            </w:pPr>
          </w:p>
        </w:tc>
      </w:tr>
      <w:tr w:rsidR="001C57DB" w:rsidRPr="001C57DB" w14:paraId="00A88083" w14:textId="77777777" w:rsidTr="001C57DB">
        <w:trPr>
          <w:trHeight w:val="288"/>
          <w:jc w:val="center"/>
        </w:trPr>
        <w:tc>
          <w:tcPr>
            <w:tcW w:w="4949" w:type="pct"/>
            <w:gridSpan w:val="7"/>
            <w:vMerge/>
            <w:tcBorders>
              <w:top w:val="nil"/>
              <w:left w:val="nil"/>
              <w:bottom w:val="nil"/>
              <w:right w:val="nil"/>
            </w:tcBorders>
            <w:vAlign w:val="center"/>
            <w:hideMark/>
          </w:tcPr>
          <w:p w14:paraId="0690A749" w14:textId="77777777" w:rsidR="001C57DB" w:rsidRPr="001C57DB" w:rsidRDefault="001C57DB" w:rsidP="001C57DB">
            <w:pPr>
              <w:spacing w:before="0" w:after="0" w:line="240" w:lineRule="auto"/>
              <w:jc w:val="left"/>
              <w:rPr>
                <w:rFonts w:ascii="Arial" w:hAnsi="Arial" w:cs="Arial"/>
                <w:b/>
                <w:bCs/>
                <w:color w:val="000000"/>
                <w:lang w:val="en-IN"/>
              </w:rPr>
            </w:pPr>
          </w:p>
        </w:tc>
        <w:tc>
          <w:tcPr>
            <w:tcW w:w="51" w:type="pct"/>
            <w:tcBorders>
              <w:top w:val="nil"/>
              <w:left w:val="nil"/>
              <w:bottom w:val="nil"/>
              <w:right w:val="nil"/>
            </w:tcBorders>
            <w:noWrap/>
            <w:vAlign w:val="bottom"/>
            <w:hideMark/>
          </w:tcPr>
          <w:p w14:paraId="766E4DB8" w14:textId="77777777" w:rsidR="001C57DB" w:rsidRPr="001C57DB" w:rsidRDefault="001C57DB" w:rsidP="001C57DB">
            <w:pPr>
              <w:spacing w:before="0" w:after="0" w:line="240" w:lineRule="auto"/>
              <w:jc w:val="center"/>
              <w:rPr>
                <w:rFonts w:ascii="Arial" w:hAnsi="Arial" w:cs="Arial"/>
                <w:b/>
                <w:bCs/>
                <w:color w:val="000000"/>
                <w:lang w:val="en-IN"/>
              </w:rPr>
            </w:pPr>
          </w:p>
        </w:tc>
      </w:tr>
      <w:tr w:rsidR="001C57DB" w:rsidRPr="001C57DB" w14:paraId="69416A1E"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5B56CE0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"Financial aspects"</w:t>
            </w:r>
          </w:p>
        </w:tc>
        <w:tc>
          <w:tcPr>
            <w:tcW w:w="1340" w:type="pct"/>
            <w:tcBorders>
              <w:top w:val="nil"/>
              <w:left w:val="nil"/>
              <w:bottom w:val="nil"/>
              <w:right w:val="nil"/>
            </w:tcBorders>
            <w:shd w:val="clear" w:color="000000" w:fill="FFFFFF"/>
            <w:noWrap/>
            <w:vAlign w:val="bottom"/>
            <w:hideMark/>
          </w:tcPr>
          <w:p w14:paraId="2C2A8B02"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"Formula"</w:t>
            </w:r>
          </w:p>
        </w:tc>
        <w:tc>
          <w:tcPr>
            <w:tcW w:w="494" w:type="pct"/>
            <w:tcBorders>
              <w:top w:val="nil"/>
              <w:left w:val="nil"/>
              <w:bottom w:val="nil"/>
              <w:right w:val="nil"/>
            </w:tcBorders>
            <w:shd w:val="clear" w:color="000000" w:fill="FFFFFF"/>
            <w:noWrap/>
            <w:vAlign w:val="bottom"/>
            <w:hideMark/>
          </w:tcPr>
          <w:p w14:paraId="77238DF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2024</w:t>
            </w:r>
          </w:p>
        </w:tc>
        <w:tc>
          <w:tcPr>
            <w:tcW w:w="494" w:type="pct"/>
            <w:tcBorders>
              <w:top w:val="nil"/>
              <w:left w:val="nil"/>
              <w:bottom w:val="nil"/>
              <w:right w:val="nil"/>
            </w:tcBorders>
            <w:shd w:val="clear" w:color="000000" w:fill="FFFFFF"/>
            <w:noWrap/>
            <w:vAlign w:val="bottom"/>
            <w:hideMark/>
          </w:tcPr>
          <w:p w14:paraId="2A0A0616"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2023</w:t>
            </w:r>
          </w:p>
        </w:tc>
        <w:tc>
          <w:tcPr>
            <w:tcW w:w="494" w:type="pct"/>
            <w:tcBorders>
              <w:top w:val="nil"/>
              <w:left w:val="nil"/>
              <w:bottom w:val="nil"/>
              <w:right w:val="nil"/>
            </w:tcBorders>
            <w:shd w:val="clear" w:color="000000" w:fill="FFFFFF"/>
            <w:noWrap/>
            <w:vAlign w:val="bottom"/>
            <w:hideMark/>
          </w:tcPr>
          <w:p w14:paraId="5D984D3C"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2022</w:t>
            </w:r>
          </w:p>
        </w:tc>
        <w:tc>
          <w:tcPr>
            <w:tcW w:w="494" w:type="pct"/>
            <w:tcBorders>
              <w:top w:val="nil"/>
              <w:left w:val="nil"/>
              <w:bottom w:val="nil"/>
              <w:right w:val="nil"/>
            </w:tcBorders>
            <w:shd w:val="clear" w:color="000000" w:fill="FFFFFF"/>
            <w:noWrap/>
            <w:vAlign w:val="bottom"/>
            <w:hideMark/>
          </w:tcPr>
          <w:p w14:paraId="36D7EF6F"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2021</w:t>
            </w:r>
          </w:p>
        </w:tc>
        <w:tc>
          <w:tcPr>
            <w:tcW w:w="494" w:type="pct"/>
            <w:tcBorders>
              <w:top w:val="nil"/>
              <w:left w:val="nil"/>
              <w:bottom w:val="nil"/>
              <w:right w:val="nil"/>
            </w:tcBorders>
            <w:shd w:val="clear" w:color="000000" w:fill="FFFFFF"/>
            <w:noWrap/>
            <w:vAlign w:val="bottom"/>
            <w:hideMark/>
          </w:tcPr>
          <w:p w14:paraId="150939BD"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2020</w:t>
            </w:r>
          </w:p>
        </w:tc>
        <w:tc>
          <w:tcPr>
            <w:tcW w:w="51" w:type="pct"/>
            <w:vAlign w:val="center"/>
            <w:hideMark/>
          </w:tcPr>
          <w:p w14:paraId="1DF8B4EB" w14:textId="77777777" w:rsidR="001C57DB" w:rsidRPr="001C57DB" w:rsidRDefault="001C57DB" w:rsidP="001C57DB">
            <w:pPr>
              <w:spacing w:before="0" w:after="0" w:line="240" w:lineRule="auto"/>
              <w:jc w:val="left"/>
              <w:rPr>
                <w:sz w:val="20"/>
                <w:szCs w:val="20"/>
                <w:lang w:val="en-IN"/>
              </w:rPr>
            </w:pPr>
          </w:p>
        </w:tc>
      </w:tr>
      <w:tr w:rsidR="001C57DB" w:rsidRPr="001C57DB" w14:paraId="2D6C69AF"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0D90FD6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"Operating Cash Flow"</w:t>
            </w:r>
          </w:p>
        </w:tc>
        <w:tc>
          <w:tcPr>
            <w:tcW w:w="1340" w:type="pct"/>
            <w:vMerge w:val="restart"/>
            <w:tcBorders>
              <w:top w:val="nil"/>
              <w:left w:val="nil"/>
              <w:bottom w:val="nil"/>
              <w:right w:val="nil"/>
            </w:tcBorders>
            <w:shd w:val="clear" w:color="000000" w:fill="FFFFFF"/>
            <w:vAlign w:val="center"/>
            <w:hideMark/>
          </w:tcPr>
          <w:p w14:paraId="0E573A75" w14:textId="77777777" w:rsidR="001C57DB" w:rsidRPr="001C57DB" w:rsidRDefault="001C57DB" w:rsidP="001C57DB">
            <w:pPr>
              <w:spacing w:before="0" w:after="0" w:line="240" w:lineRule="auto"/>
              <w:jc w:val="center"/>
              <w:rPr>
                <w:rFonts w:ascii="Arial" w:hAnsi="Arial" w:cs="Arial"/>
                <w:b/>
                <w:bCs/>
                <w:color w:val="000000"/>
                <w:lang w:val="en-IN"/>
              </w:rPr>
            </w:pPr>
            <w:r w:rsidRPr="001C57DB">
              <w:rPr>
                <w:rFonts w:ascii="Arial" w:hAnsi="Arial" w:cs="Arial"/>
                <w:b/>
                <w:bCs/>
                <w:color w:val="000000"/>
                <w:lang w:val="en-IN"/>
              </w:rPr>
              <w:t>"(Operating Cash Flow-Capital Expenditure)/Sales"</w:t>
            </w:r>
          </w:p>
        </w:tc>
        <w:tc>
          <w:tcPr>
            <w:tcW w:w="494" w:type="pct"/>
            <w:tcBorders>
              <w:top w:val="nil"/>
              <w:left w:val="nil"/>
              <w:bottom w:val="nil"/>
              <w:right w:val="nil"/>
            </w:tcBorders>
            <w:shd w:val="clear" w:color="000000" w:fill="FFFFFF"/>
            <w:noWrap/>
            <w:vAlign w:val="bottom"/>
            <w:hideMark/>
          </w:tcPr>
          <w:p w14:paraId="436A57A5"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56,61,641 </w:t>
            </w:r>
          </w:p>
        </w:tc>
        <w:tc>
          <w:tcPr>
            <w:tcW w:w="494" w:type="pct"/>
            <w:tcBorders>
              <w:top w:val="nil"/>
              <w:left w:val="nil"/>
              <w:bottom w:val="nil"/>
              <w:right w:val="nil"/>
            </w:tcBorders>
            <w:shd w:val="clear" w:color="000000" w:fill="FFFFFF"/>
            <w:noWrap/>
            <w:vAlign w:val="bottom"/>
            <w:hideMark/>
          </w:tcPr>
          <w:p w14:paraId="61B1372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25,18,760 </w:t>
            </w:r>
          </w:p>
        </w:tc>
        <w:tc>
          <w:tcPr>
            <w:tcW w:w="494" w:type="pct"/>
            <w:tcBorders>
              <w:top w:val="nil"/>
              <w:left w:val="nil"/>
              <w:bottom w:val="nil"/>
              <w:right w:val="nil"/>
            </w:tcBorders>
            <w:shd w:val="clear" w:color="000000" w:fill="FFFFFF"/>
            <w:noWrap/>
            <w:vAlign w:val="bottom"/>
            <w:hideMark/>
          </w:tcPr>
          <w:p w14:paraId="669E71D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1,06,27,311 </w:t>
            </w:r>
          </w:p>
        </w:tc>
        <w:tc>
          <w:tcPr>
            <w:tcW w:w="494" w:type="pct"/>
            <w:tcBorders>
              <w:top w:val="nil"/>
              <w:left w:val="nil"/>
              <w:bottom w:val="nil"/>
              <w:right w:val="nil"/>
            </w:tcBorders>
            <w:shd w:val="clear" w:color="000000" w:fill="FFFFFF"/>
            <w:noWrap/>
            <w:vAlign w:val="bottom"/>
            <w:hideMark/>
          </w:tcPr>
          <w:p w14:paraId="678243A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11,76,416 </w:t>
            </w:r>
          </w:p>
        </w:tc>
        <w:tc>
          <w:tcPr>
            <w:tcW w:w="494" w:type="pct"/>
            <w:tcBorders>
              <w:top w:val="nil"/>
              <w:left w:val="nil"/>
              <w:bottom w:val="nil"/>
              <w:right w:val="nil"/>
            </w:tcBorders>
            <w:shd w:val="clear" w:color="000000" w:fill="FFFFFF"/>
            <w:noWrap/>
            <w:vAlign w:val="bottom"/>
            <w:hideMark/>
          </w:tcPr>
          <w:p w14:paraId="0B6A7C3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4,09,807 </w:t>
            </w:r>
          </w:p>
        </w:tc>
        <w:tc>
          <w:tcPr>
            <w:tcW w:w="51" w:type="pct"/>
            <w:vAlign w:val="center"/>
            <w:hideMark/>
          </w:tcPr>
          <w:p w14:paraId="0F2C314F" w14:textId="77777777" w:rsidR="001C57DB" w:rsidRPr="001C57DB" w:rsidRDefault="001C57DB" w:rsidP="001C57DB">
            <w:pPr>
              <w:spacing w:before="0" w:after="0" w:line="240" w:lineRule="auto"/>
              <w:jc w:val="left"/>
              <w:rPr>
                <w:sz w:val="20"/>
                <w:szCs w:val="20"/>
                <w:lang w:val="en-IN"/>
              </w:rPr>
            </w:pPr>
          </w:p>
        </w:tc>
      </w:tr>
      <w:tr w:rsidR="001C57DB" w:rsidRPr="001C57DB" w14:paraId="667F319B"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331F2B14"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Capital Expenditure"</w:t>
            </w:r>
          </w:p>
        </w:tc>
        <w:tc>
          <w:tcPr>
            <w:tcW w:w="1340" w:type="pct"/>
            <w:vMerge/>
            <w:tcBorders>
              <w:top w:val="nil"/>
              <w:left w:val="nil"/>
              <w:bottom w:val="nil"/>
              <w:right w:val="nil"/>
            </w:tcBorders>
            <w:vAlign w:val="center"/>
            <w:hideMark/>
          </w:tcPr>
          <w:p w14:paraId="4DC46333"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021E7991"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45,86,447 </w:t>
            </w:r>
          </w:p>
        </w:tc>
        <w:tc>
          <w:tcPr>
            <w:tcW w:w="494" w:type="pct"/>
            <w:tcBorders>
              <w:top w:val="nil"/>
              <w:left w:val="nil"/>
              <w:bottom w:val="nil"/>
              <w:right w:val="nil"/>
            </w:tcBorders>
            <w:shd w:val="clear" w:color="000000" w:fill="FFFFFF"/>
            <w:noWrap/>
            <w:vAlign w:val="bottom"/>
            <w:hideMark/>
          </w:tcPr>
          <w:p w14:paraId="662A619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39,68,864 </w:t>
            </w:r>
          </w:p>
        </w:tc>
        <w:tc>
          <w:tcPr>
            <w:tcW w:w="494" w:type="pct"/>
            <w:tcBorders>
              <w:top w:val="nil"/>
              <w:left w:val="nil"/>
              <w:bottom w:val="nil"/>
              <w:right w:val="nil"/>
            </w:tcBorders>
            <w:shd w:val="clear" w:color="000000" w:fill="FFFFFF"/>
            <w:noWrap/>
            <w:vAlign w:val="bottom"/>
            <w:hideMark/>
          </w:tcPr>
          <w:p w14:paraId="02EE4390"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33,36,573 </w:t>
            </w:r>
          </w:p>
        </w:tc>
        <w:tc>
          <w:tcPr>
            <w:tcW w:w="494" w:type="pct"/>
            <w:tcBorders>
              <w:top w:val="nil"/>
              <w:left w:val="nil"/>
              <w:bottom w:val="nil"/>
              <w:right w:val="nil"/>
            </w:tcBorders>
            <w:shd w:val="clear" w:color="000000" w:fill="FFFFFF"/>
            <w:noWrap/>
            <w:vAlign w:val="bottom"/>
            <w:hideMark/>
          </w:tcPr>
          <w:p w14:paraId="09A298CC"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30,97,897 </w:t>
            </w:r>
          </w:p>
        </w:tc>
        <w:tc>
          <w:tcPr>
            <w:tcW w:w="494" w:type="pct"/>
            <w:tcBorders>
              <w:top w:val="nil"/>
              <w:left w:val="nil"/>
              <w:bottom w:val="nil"/>
              <w:right w:val="nil"/>
            </w:tcBorders>
            <w:shd w:val="clear" w:color="000000" w:fill="FFFFFF"/>
            <w:noWrap/>
            <w:vAlign w:val="bottom"/>
            <w:hideMark/>
          </w:tcPr>
          <w:p w14:paraId="3DCC876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30,97,061 </w:t>
            </w:r>
          </w:p>
        </w:tc>
        <w:tc>
          <w:tcPr>
            <w:tcW w:w="51" w:type="pct"/>
            <w:vAlign w:val="center"/>
            <w:hideMark/>
          </w:tcPr>
          <w:p w14:paraId="6A735B37" w14:textId="77777777" w:rsidR="001C57DB" w:rsidRPr="001C57DB" w:rsidRDefault="001C57DB" w:rsidP="001C57DB">
            <w:pPr>
              <w:spacing w:before="0" w:after="0" w:line="240" w:lineRule="auto"/>
              <w:jc w:val="left"/>
              <w:rPr>
                <w:sz w:val="20"/>
                <w:szCs w:val="20"/>
                <w:lang w:val="en-IN"/>
              </w:rPr>
            </w:pPr>
          </w:p>
        </w:tc>
      </w:tr>
      <w:tr w:rsidR="001C57DB" w:rsidRPr="001C57DB" w14:paraId="6F69FDAC"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389F0557"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Sales"</w:t>
            </w:r>
          </w:p>
        </w:tc>
        <w:tc>
          <w:tcPr>
            <w:tcW w:w="1340" w:type="pct"/>
            <w:vMerge/>
            <w:tcBorders>
              <w:top w:val="nil"/>
              <w:left w:val="nil"/>
              <w:bottom w:val="nil"/>
              <w:right w:val="nil"/>
            </w:tcBorders>
            <w:vAlign w:val="center"/>
            <w:hideMark/>
          </w:tcPr>
          <w:p w14:paraId="479CA203"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nil"/>
              <w:left w:val="nil"/>
              <w:bottom w:val="nil"/>
              <w:right w:val="nil"/>
            </w:tcBorders>
            <w:shd w:val="clear" w:color="000000" w:fill="FFFFFF"/>
            <w:noWrap/>
            <w:vAlign w:val="bottom"/>
            <w:hideMark/>
          </w:tcPr>
          <w:p w14:paraId="5F002AE6"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17,52,31,153 </w:t>
            </w:r>
          </w:p>
        </w:tc>
        <w:tc>
          <w:tcPr>
            <w:tcW w:w="494" w:type="pct"/>
            <w:tcBorders>
              <w:top w:val="nil"/>
              <w:left w:val="nil"/>
              <w:bottom w:val="nil"/>
              <w:right w:val="nil"/>
            </w:tcBorders>
            <w:shd w:val="clear" w:color="000000" w:fill="FFFFFF"/>
            <w:noWrap/>
            <w:vAlign w:val="bottom"/>
            <w:hideMark/>
          </w:tcPr>
          <w:p w14:paraId="247AA348"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16,26,63,579 </w:t>
            </w:r>
          </w:p>
        </w:tc>
        <w:tc>
          <w:tcPr>
            <w:tcW w:w="494" w:type="pct"/>
            <w:tcBorders>
              <w:top w:val="nil"/>
              <w:left w:val="nil"/>
              <w:bottom w:val="nil"/>
              <w:right w:val="nil"/>
            </w:tcBorders>
            <w:shd w:val="clear" w:color="000000" w:fill="FFFFFF"/>
            <w:noWrap/>
            <w:vAlign w:val="bottom"/>
            <w:hideMark/>
          </w:tcPr>
          <w:p w14:paraId="0FD6BFF3"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14,25,27,535 </w:t>
            </w:r>
          </w:p>
        </w:tc>
        <w:tc>
          <w:tcPr>
            <w:tcW w:w="494" w:type="pct"/>
            <w:tcBorders>
              <w:top w:val="nil"/>
              <w:left w:val="nil"/>
              <w:bottom w:val="nil"/>
              <w:right w:val="nil"/>
            </w:tcBorders>
            <w:shd w:val="clear" w:color="000000" w:fill="FFFFFF"/>
            <w:noWrap/>
            <w:vAlign w:val="bottom"/>
            <w:hideMark/>
          </w:tcPr>
          <w:p w14:paraId="3C8E88F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11,76,10,626 </w:t>
            </w:r>
          </w:p>
        </w:tc>
        <w:tc>
          <w:tcPr>
            <w:tcW w:w="494" w:type="pct"/>
            <w:tcBorders>
              <w:top w:val="nil"/>
              <w:left w:val="nil"/>
              <w:bottom w:val="nil"/>
              <w:right w:val="nil"/>
            </w:tcBorders>
            <w:shd w:val="clear" w:color="000000" w:fill="FFFFFF"/>
            <w:noWrap/>
            <w:vAlign w:val="bottom"/>
            <w:hideMark/>
          </w:tcPr>
          <w:p w14:paraId="432A6F8F" w14:textId="77777777" w:rsidR="001C57DB" w:rsidRPr="001C57DB" w:rsidRDefault="001C57DB" w:rsidP="001C57DB">
            <w:pPr>
              <w:spacing w:before="0" w:after="0" w:line="240" w:lineRule="auto"/>
              <w:jc w:val="left"/>
              <w:rPr>
                <w:rFonts w:ascii="Arial" w:hAnsi="Arial" w:cs="Arial"/>
                <w:color w:val="000000"/>
                <w:lang w:val="en-IN"/>
              </w:rPr>
            </w:pPr>
            <w:r w:rsidRPr="001C57DB">
              <w:rPr>
                <w:rFonts w:ascii="Arial" w:hAnsi="Arial" w:cs="Arial"/>
                <w:color w:val="000000"/>
                <w:lang w:val="en-IN"/>
              </w:rPr>
              <w:t xml:space="preserve"> ₩ 10,39,97,601 </w:t>
            </w:r>
          </w:p>
        </w:tc>
        <w:tc>
          <w:tcPr>
            <w:tcW w:w="51" w:type="pct"/>
            <w:vAlign w:val="center"/>
            <w:hideMark/>
          </w:tcPr>
          <w:p w14:paraId="4E06A162" w14:textId="77777777" w:rsidR="001C57DB" w:rsidRPr="001C57DB" w:rsidRDefault="001C57DB" w:rsidP="001C57DB">
            <w:pPr>
              <w:spacing w:before="0" w:after="0" w:line="240" w:lineRule="auto"/>
              <w:jc w:val="left"/>
              <w:rPr>
                <w:sz w:val="20"/>
                <w:szCs w:val="20"/>
                <w:lang w:val="en-IN"/>
              </w:rPr>
            </w:pPr>
          </w:p>
        </w:tc>
      </w:tr>
      <w:tr w:rsidR="001C57DB" w:rsidRPr="001C57DB" w14:paraId="3B8DA285" w14:textId="77777777" w:rsidTr="001C57DB">
        <w:trPr>
          <w:trHeight w:val="312"/>
          <w:jc w:val="center"/>
        </w:trPr>
        <w:tc>
          <w:tcPr>
            <w:tcW w:w="1137" w:type="pct"/>
            <w:tcBorders>
              <w:top w:val="nil"/>
              <w:left w:val="nil"/>
              <w:bottom w:val="nil"/>
              <w:right w:val="nil"/>
            </w:tcBorders>
            <w:shd w:val="clear" w:color="000000" w:fill="FFFFFF"/>
            <w:noWrap/>
            <w:vAlign w:val="bottom"/>
            <w:hideMark/>
          </w:tcPr>
          <w:p w14:paraId="50359DDA" w14:textId="77777777" w:rsidR="001C57DB" w:rsidRPr="001C57DB" w:rsidRDefault="001C57DB" w:rsidP="001C57DB">
            <w:pPr>
              <w:spacing w:before="0" w:after="0" w:line="240" w:lineRule="auto"/>
              <w:jc w:val="left"/>
              <w:rPr>
                <w:rFonts w:ascii="Arial" w:hAnsi="Arial" w:cs="Arial"/>
                <w:b/>
                <w:bCs/>
                <w:color w:val="000000"/>
                <w:lang w:val="en-IN"/>
              </w:rPr>
            </w:pPr>
            <w:r w:rsidRPr="001C57DB">
              <w:rPr>
                <w:rFonts w:ascii="Arial" w:hAnsi="Arial" w:cs="Arial"/>
                <w:b/>
                <w:bCs/>
                <w:color w:val="000000"/>
                <w:lang w:val="en-IN"/>
              </w:rPr>
              <w:t>"Free Cash Flow Margin"</w:t>
            </w:r>
          </w:p>
        </w:tc>
        <w:tc>
          <w:tcPr>
            <w:tcW w:w="1340" w:type="pct"/>
            <w:vMerge/>
            <w:tcBorders>
              <w:top w:val="nil"/>
              <w:left w:val="nil"/>
              <w:bottom w:val="nil"/>
              <w:right w:val="nil"/>
            </w:tcBorders>
            <w:vAlign w:val="center"/>
            <w:hideMark/>
          </w:tcPr>
          <w:p w14:paraId="33F5A377" w14:textId="77777777" w:rsidR="001C57DB" w:rsidRPr="001C57DB" w:rsidRDefault="001C57DB" w:rsidP="001C57DB">
            <w:pPr>
              <w:spacing w:before="0" w:after="0" w:line="240" w:lineRule="auto"/>
              <w:jc w:val="left"/>
              <w:rPr>
                <w:rFonts w:ascii="Arial" w:hAnsi="Arial" w:cs="Arial"/>
                <w:b/>
                <w:bCs/>
                <w:color w:val="000000"/>
                <w:lang w:val="en-IN"/>
              </w:rPr>
            </w:pPr>
          </w:p>
        </w:tc>
        <w:tc>
          <w:tcPr>
            <w:tcW w:w="494" w:type="pct"/>
            <w:tcBorders>
              <w:top w:val="single" w:sz="4" w:space="0" w:color="auto"/>
              <w:left w:val="nil"/>
              <w:bottom w:val="single" w:sz="4" w:space="0" w:color="auto"/>
              <w:right w:val="nil"/>
            </w:tcBorders>
            <w:shd w:val="clear" w:color="000000" w:fill="FFFFFF"/>
            <w:noWrap/>
            <w:vAlign w:val="bottom"/>
            <w:hideMark/>
          </w:tcPr>
          <w:p w14:paraId="718CDBF4"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-0.058</w:t>
            </w:r>
          </w:p>
        </w:tc>
        <w:tc>
          <w:tcPr>
            <w:tcW w:w="494" w:type="pct"/>
            <w:tcBorders>
              <w:top w:val="single" w:sz="4" w:space="0" w:color="auto"/>
              <w:left w:val="nil"/>
              <w:bottom w:val="single" w:sz="4" w:space="0" w:color="auto"/>
              <w:right w:val="nil"/>
            </w:tcBorders>
            <w:shd w:val="clear" w:color="000000" w:fill="FFFFFF"/>
            <w:noWrap/>
            <w:vAlign w:val="bottom"/>
            <w:hideMark/>
          </w:tcPr>
          <w:p w14:paraId="43DF03AC"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-0.040</w:t>
            </w:r>
          </w:p>
        </w:tc>
        <w:tc>
          <w:tcPr>
            <w:tcW w:w="494" w:type="pct"/>
            <w:tcBorders>
              <w:top w:val="single" w:sz="4" w:space="0" w:color="auto"/>
              <w:left w:val="nil"/>
              <w:bottom w:val="single" w:sz="4" w:space="0" w:color="auto"/>
              <w:right w:val="nil"/>
            </w:tcBorders>
            <w:shd w:val="clear" w:color="000000" w:fill="FFFFFF"/>
            <w:noWrap/>
            <w:vAlign w:val="bottom"/>
            <w:hideMark/>
          </w:tcPr>
          <w:p w14:paraId="5D9CA3D7"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0.051</w:t>
            </w:r>
          </w:p>
        </w:tc>
        <w:tc>
          <w:tcPr>
            <w:tcW w:w="494" w:type="pct"/>
            <w:tcBorders>
              <w:top w:val="single" w:sz="4" w:space="0" w:color="auto"/>
              <w:left w:val="nil"/>
              <w:bottom w:val="single" w:sz="4" w:space="0" w:color="auto"/>
              <w:right w:val="nil"/>
            </w:tcBorders>
            <w:shd w:val="clear" w:color="000000" w:fill="FFFFFF"/>
            <w:noWrap/>
            <w:vAlign w:val="bottom"/>
            <w:hideMark/>
          </w:tcPr>
          <w:p w14:paraId="5D465E73"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-0.036</w:t>
            </w:r>
          </w:p>
        </w:tc>
        <w:tc>
          <w:tcPr>
            <w:tcW w:w="494" w:type="pct"/>
            <w:tcBorders>
              <w:top w:val="single" w:sz="4" w:space="0" w:color="auto"/>
              <w:left w:val="nil"/>
              <w:bottom w:val="single" w:sz="4" w:space="0" w:color="auto"/>
              <w:right w:val="nil"/>
            </w:tcBorders>
            <w:shd w:val="clear" w:color="000000" w:fill="FFFFFF"/>
            <w:noWrap/>
            <w:vAlign w:val="bottom"/>
            <w:hideMark/>
          </w:tcPr>
          <w:p w14:paraId="6FA23877" w14:textId="77777777" w:rsidR="001C57DB" w:rsidRPr="001C57DB" w:rsidRDefault="001C57DB" w:rsidP="001C57DB">
            <w:pPr>
              <w:spacing w:before="0" w:after="0" w:line="240" w:lineRule="auto"/>
              <w:jc w:val="right"/>
              <w:rPr>
                <w:rFonts w:ascii="Arial" w:hAnsi="Arial" w:cs="Arial"/>
                <w:b/>
                <w:bCs/>
                <w:color w:val="000000"/>
                <w:lang w:val="en-IN"/>
              </w:rPr>
            </w:pPr>
            <w:r w:rsidRPr="001C57DB">
              <w:rPr>
                <w:rFonts w:ascii="Arial" w:hAnsi="Arial" w:cs="Arial"/>
                <w:b/>
                <w:bCs/>
                <w:color w:val="000000"/>
                <w:lang w:val="en-IN"/>
              </w:rPr>
              <w:t>-0.034</w:t>
            </w:r>
          </w:p>
        </w:tc>
        <w:tc>
          <w:tcPr>
            <w:tcW w:w="51" w:type="pct"/>
            <w:vAlign w:val="center"/>
            <w:hideMark/>
          </w:tcPr>
          <w:p w14:paraId="3D5D3381" w14:textId="77777777" w:rsidR="001C57DB" w:rsidRPr="001C57DB" w:rsidRDefault="001C57DB" w:rsidP="001C57DB">
            <w:pPr>
              <w:spacing w:before="0" w:after="0" w:line="240" w:lineRule="auto"/>
              <w:jc w:val="left"/>
              <w:rPr>
                <w:sz w:val="20"/>
                <w:szCs w:val="20"/>
                <w:lang w:val="en-IN"/>
              </w:rPr>
            </w:pPr>
          </w:p>
        </w:tc>
      </w:tr>
    </w:tbl>
    <w:p w14:paraId="440B2B6C" w14:textId="2416A322" w:rsidR="0082673E" w:rsidRDefault="00CC1805" w:rsidP="001C57DB">
      <w:pPr>
        <w:jc w:val="center"/>
        <w:rPr>
          <w:rFonts w:ascii="Arial" w:eastAsia="Arial" w:hAnsi="Arial" w:cs="Arial"/>
        </w:rPr>
      </w:pPr>
      <w:r>
        <w:rPr>
          <w:rFonts w:ascii="Arial" w:eastAsia="Arial" w:hAnsi="Arial" w:cs="Arial"/>
        </w:rPr>
        <w:t>(Source: Excel)</w:t>
      </w:r>
    </w:p>
    <w:p w14:paraId="7B8DB75B" w14:textId="77777777" w:rsidR="0082673E" w:rsidRDefault="00CC1805">
      <w:pPr>
        <w:pStyle w:val="Heading2"/>
      </w:pPr>
      <w:bookmarkStart w:id="25" w:name="_19ktmbpjyv82" w:colFirst="0" w:colLast="0"/>
      <w:bookmarkStart w:id="26" w:name="_Toc227860378"/>
      <w:bookmarkEnd w:id="25"/>
      <w:r>
        <w:t>Appendix II: Ratio Graphs</w:t>
      </w:r>
      <w:bookmarkEnd w:id="26"/>
    </w:p>
    <w:p w14:paraId="06C01832" w14:textId="77777777" w:rsidR="0082673E" w:rsidRDefault="00CC1805">
      <w:pPr>
        <w:jc w:val="center"/>
        <w:rPr>
          <w:rFonts w:ascii="Arial" w:eastAsia="Arial" w:hAnsi="Arial" w:cs="Arial"/>
        </w:rPr>
      </w:pPr>
      <w:r>
        <w:rPr>
          <w:rFonts w:ascii="Arial" w:eastAsia="Arial" w:hAnsi="Arial" w:cs="Arial"/>
          <w:noProof/>
        </w:rPr>
        <w:drawing>
          <wp:inline distT="114300" distB="114300" distL="114300" distR="114300" wp14:anchorId="7EE4BFD4" wp14:editId="28A0206D">
            <wp:extent cx="5731200" cy="284480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8"/>
                    <a:srcRect/>
                    <a:stretch>
                      <a:fillRect/>
                    </a:stretch>
                  </pic:blipFill>
                  <pic:spPr>
                    <a:xfrm>
                      <a:off x="0" y="0"/>
                      <a:ext cx="5731200" cy="2844800"/>
                    </a:xfrm>
                    <a:prstGeom prst="rect">
                      <a:avLst/>
                    </a:prstGeom>
                    <a:ln/>
                  </pic:spPr>
                </pic:pic>
              </a:graphicData>
            </a:graphic>
          </wp:inline>
        </w:drawing>
      </w:r>
      <w:r>
        <w:rPr>
          <w:rFonts w:ascii="Arial" w:eastAsia="Arial" w:hAnsi="Arial" w:cs="Arial"/>
          <w:noProof/>
        </w:rPr>
        <w:drawing>
          <wp:inline distT="114300" distB="114300" distL="114300" distR="114300" wp14:anchorId="2208CB8B" wp14:editId="46755416">
            <wp:extent cx="5731200" cy="38608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9"/>
                    <a:srcRect/>
                    <a:stretch>
                      <a:fillRect/>
                    </a:stretch>
                  </pic:blipFill>
                  <pic:spPr>
                    <a:xfrm>
                      <a:off x="0" y="0"/>
                      <a:ext cx="5731200" cy="3860800"/>
                    </a:xfrm>
                    <a:prstGeom prst="rect">
                      <a:avLst/>
                    </a:prstGeom>
                    <a:ln/>
                  </pic:spPr>
                </pic:pic>
              </a:graphicData>
            </a:graphic>
          </wp:inline>
        </w:drawing>
      </w:r>
      <w:r>
        <w:rPr>
          <w:rFonts w:ascii="Arial" w:eastAsia="Arial" w:hAnsi="Arial" w:cs="Arial"/>
          <w:noProof/>
        </w:rPr>
        <w:drawing>
          <wp:inline distT="114300" distB="114300" distL="114300" distR="114300" wp14:anchorId="1E279980" wp14:editId="70387E3E">
            <wp:extent cx="5731200" cy="32131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0"/>
                    <a:srcRect/>
                    <a:stretch>
                      <a:fillRect/>
                    </a:stretch>
                  </pic:blipFill>
                  <pic:spPr>
                    <a:xfrm>
                      <a:off x="0" y="0"/>
                      <a:ext cx="5731200" cy="3213100"/>
                    </a:xfrm>
                    <a:prstGeom prst="rect">
                      <a:avLst/>
                    </a:prstGeom>
                    <a:ln/>
                  </pic:spPr>
                </pic:pic>
              </a:graphicData>
            </a:graphic>
          </wp:inline>
        </w:drawing>
      </w:r>
      <w:r>
        <w:rPr>
          <w:rFonts w:ascii="Arial" w:eastAsia="Arial" w:hAnsi="Arial" w:cs="Arial"/>
          <w:noProof/>
        </w:rPr>
        <w:drawing>
          <wp:inline distT="114300" distB="114300" distL="114300" distR="114300" wp14:anchorId="424FF9F3" wp14:editId="1134A8A3">
            <wp:extent cx="5731200" cy="36068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1"/>
                    <a:srcRect/>
                    <a:stretch>
                      <a:fillRect/>
                    </a:stretch>
                  </pic:blipFill>
                  <pic:spPr>
                    <a:xfrm>
                      <a:off x="0" y="0"/>
                      <a:ext cx="5731200" cy="3606800"/>
                    </a:xfrm>
                    <a:prstGeom prst="rect">
                      <a:avLst/>
                    </a:prstGeom>
                    <a:ln/>
                  </pic:spPr>
                </pic:pic>
              </a:graphicData>
            </a:graphic>
          </wp:inline>
        </w:drawing>
      </w:r>
      <w:r>
        <w:rPr>
          <w:rFonts w:ascii="Arial" w:eastAsia="Arial" w:hAnsi="Arial" w:cs="Arial"/>
          <w:noProof/>
        </w:rPr>
        <w:drawing>
          <wp:inline distT="114300" distB="114300" distL="114300" distR="114300" wp14:anchorId="2C362206" wp14:editId="33C40B7C">
            <wp:extent cx="5731200" cy="38989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2"/>
                    <a:srcRect/>
                    <a:stretch>
                      <a:fillRect/>
                    </a:stretch>
                  </pic:blipFill>
                  <pic:spPr>
                    <a:xfrm>
                      <a:off x="0" y="0"/>
                      <a:ext cx="5731200" cy="3898900"/>
                    </a:xfrm>
                    <a:prstGeom prst="rect">
                      <a:avLst/>
                    </a:prstGeom>
                    <a:ln/>
                  </pic:spPr>
                </pic:pic>
              </a:graphicData>
            </a:graphic>
          </wp:inline>
        </w:drawing>
      </w:r>
      <w:r>
        <w:rPr>
          <w:rFonts w:ascii="Arial" w:eastAsia="Arial" w:hAnsi="Arial" w:cs="Arial"/>
          <w:noProof/>
        </w:rPr>
        <w:drawing>
          <wp:inline distT="114300" distB="114300" distL="114300" distR="114300" wp14:anchorId="02F95C95" wp14:editId="33616D03">
            <wp:extent cx="5731200" cy="81026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3"/>
                    <a:srcRect/>
                    <a:stretch>
                      <a:fillRect/>
                    </a:stretch>
                  </pic:blipFill>
                  <pic:spPr>
                    <a:xfrm>
                      <a:off x="0" y="0"/>
                      <a:ext cx="5731200" cy="8102600"/>
                    </a:xfrm>
                    <a:prstGeom prst="rect">
                      <a:avLst/>
                    </a:prstGeom>
                    <a:ln/>
                  </pic:spPr>
                </pic:pic>
              </a:graphicData>
            </a:graphic>
          </wp:inline>
        </w:drawing>
      </w:r>
    </w:p>
    <w:p w14:paraId="126CECA4" w14:textId="77777777" w:rsidR="0082673E" w:rsidRDefault="00CC1805">
      <w:pPr>
        <w:jc w:val="center"/>
        <w:rPr>
          <w:rFonts w:ascii="Arial" w:eastAsia="Arial" w:hAnsi="Arial" w:cs="Arial"/>
        </w:rPr>
      </w:pPr>
      <w:r>
        <w:rPr>
          <w:rFonts w:ascii="Arial" w:eastAsia="Arial" w:hAnsi="Arial" w:cs="Arial"/>
        </w:rPr>
        <w:t>(Source: Excel)</w:t>
      </w:r>
    </w:p>
    <w:p w14:paraId="77BF0513" w14:textId="77777777" w:rsidR="0082673E" w:rsidRDefault="00CC1805">
      <w:pPr>
        <w:pStyle w:val="Heading2"/>
      </w:pPr>
      <w:bookmarkStart w:id="27" w:name="_Toc227860379"/>
      <w:r>
        <w:t>Appendix III: CCC Table and Graphs</w:t>
      </w:r>
      <w:bookmarkEnd w:id="27"/>
    </w:p>
    <w:tbl>
      <w:tblPr>
        <w:tblW w:w="5000" w:type="pct"/>
        <w:jc w:val="center"/>
        <w:tblLook w:val="04A0" w:firstRow="1" w:lastRow="0" w:firstColumn="1" w:lastColumn="0" w:noHBand="0" w:noVBand="1"/>
      </w:tblPr>
      <w:tblGrid>
        <w:gridCol w:w="2385"/>
        <w:gridCol w:w="1509"/>
        <w:gridCol w:w="1025"/>
        <w:gridCol w:w="1025"/>
        <w:gridCol w:w="1025"/>
        <w:gridCol w:w="1025"/>
        <w:gridCol w:w="1025"/>
      </w:tblGrid>
      <w:tr w:rsidR="001C57DB" w:rsidRPr="001C57DB" w14:paraId="115CE518" w14:textId="77777777" w:rsidTr="001C57DB">
        <w:trPr>
          <w:trHeight w:val="312"/>
          <w:jc w:val="center"/>
        </w:trPr>
        <w:tc>
          <w:tcPr>
            <w:tcW w:w="5000" w:type="pct"/>
            <w:gridSpan w:val="7"/>
            <w:tcBorders>
              <w:top w:val="single" w:sz="4" w:space="0" w:color="auto"/>
              <w:left w:val="single" w:sz="4" w:space="0" w:color="auto"/>
              <w:bottom w:val="single" w:sz="4" w:space="0" w:color="auto"/>
              <w:right w:val="single" w:sz="4" w:space="0" w:color="auto"/>
            </w:tcBorders>
            <w:shd w:val="clear" w:color="000000" w:fill="153D64"/>
            <w:noWrap/>
            <w:vAlign w:val="bottom"/>
            <w:hideMark/>
          </w:tcPr>
          <w:p w14:paraId="41AFD3CB" w14:textId="77777777" w:rsidR="001C57DB" w:rsidRPr="001C57DB" w:rsidRDefault="001C57DB" w:rsidP="001C57DB">
            <w:pPr>
              <w:spacing w:before="0" w:after="0" w:line="240" w:lineRule="auto"/>
              <w:jc w:val="center"/>
              <w:rPr>
                <w:rFonts w:ascii="Arial" w:hAnsi="Arial" w:cs="Arial"/>
                <w:b/>
                <w:bCs/>
                <w:color w:val="FFFFFF"/>
                <w:lang w:val="en-IN"/>
              </w:rPr>
            </w:pPr>
            <w:r w:rsidRPr="001C57DB">
              <w:rPr>
                <w:rFonts w:ascii="Arial" w:hAnsi="Arial" w:cs="Arial"/>
                <w:b/>
                <w:bCs/>
                <w:color w:val="FFFFFF"/>
                <w:lang w:val="en-IN"/>
              </w:rPr>
              <w:t>"Cash Operating Cycle (CCC)"</w:t>
            </w:r>
          </w:p>
        </w:tc>
      </w:tr>
      <w:tr w:rsidR="001C57DB" w:rsidRPr="001C57DB" w14:paraId="26F65AFB"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33CD9519" w14:textId="77777777" w:rsidR="001C57DB" w:rsidRPr="001C57DB" w:rsidRDefault="001C57DB" w:rsidP="001C57DB">
            <w:pPr>
              <w:spacing w:before="0" w:after="0" w:line="240" w:lineRule="auto"/>
              <w:jc w:val="center"/>
              <w:rPr>
                <w:rFonts w:ascii="Arial" w:hAnsi="Arial" w:cs="Arial"/>
                <w:b/>
                <w:bCs/>
                <w:lang w:val="en-IN"/>
              </w:rPr>
            </w:pPr>
            <w:r w:rsidRPr="001C57DB">
              <w:rPr>
                <w:rFonts w:ascii="Arial" w:hAnsi="Arial" w:cs="Arial"/>
                <w:b/>
                <w:bCs/>
                <w:lang w:val="en-IN"/>
              </w:rPr>
              <w:t>"Financial aspects"</w:t>
            </w:r>
          </w:p>
        </w:tc>
        <w:tc>
          <w:tcPr>
            <w:tcW w:w="915" w:type="pct"/>
            <w:tcBorders>
              <w:top w:val="nil"/>
              <w:left w:val="nil"/>
              <w:bottom w:val="single" w:sz="4" w:space="0" w:color="auto"/>
              <w:right w:val="single" w:sz="4" w:space="0" w:color="auto"/>
            </w:tcBorders>
            <w:shd w:val="clear" w:color="000000" w:fill="DAE9F8"/>
            <w:noWrap/>
            <w:vAlign w:val="bottom"/>
            <w:hideMark/>
          </w:tcPr>
          <w:p w14:paraId="70DDAF94" w14:textId="77777777" w:rsidR="001C57DB" w:rsidRPr="001C57DB" w:rsidRDefault="001C57DB" w:rsidP="001C57DB">
            <w:pPr>
              <w:spacing w:before="0" w:after="0" w:line="240" w:lineRule="auto"/>
              <w:jc w:val="center"/>
              <w:rPr>
                <w:rFonts w:ascii="Arial" w:hAnsi="Arial" w:cs="Arial"/>
                <w:b/>
                <w:bCs/>
                <w:lang w:val="en-IN"/>
              </w:rPr>
            </w:pPr>
            <w:r w:rsidRPr="001C57DB">
              <w:rPr>
                <w:rFonts w:ascii="Arial" w:hAnsi="Arial" w:cs="Arial"/>
                <w:b/>
                <w:bCs/>
                <w:lang w:val="en-IN"/>
              </w:rPr>
              <w:t>"Formula"</w:t>
            </w:r>
          </w:p>
        </w:tc>
        <w:tc>
          <w:tcPr>
            <w:tcW w:w="542" w:type="pct"/>
            <w:tcBorders>
              <w:top w:val="nil"/>
              <w:left w:val="nil"/>
              <w:bottom w:val="single" w:sz="4" w:space="0" w:color="auto"/>
              <w:right w:val="single" w:sz="4" w:space="0" w:color="auto"/>
            </w:tcBorders>
            <w:shd w:val="clear" w:color="000000" w:fill="DAE9F8"/>
            <w:noWrap/>
            <w:vAlign w:val="bottom"/>
            <w:hideMark/>
          </w:tcPr>
          <w:p w14:paraId="03A5B642" w14:textId="77777777" w:rsidR="001C57DB" w:rsidRPr="001C57DB" w:rsidRDefault="001C57DB" w:rsidP="001C57DB">
            <w:pPr>
              <w:spacing w:before="0" w:after="0" w:line="240" w:lineRule="auto"/>
              <w:jc w:val="center"/>
              <w:rPr>
                <w:rFonts w:ascii="Arial" w:hAnsi="Arial" w:cs="Arial"/>
                <w:b/>
                <w:bCs/>
                <w:lang w:val="en-IN"/>
              </w:rPr>
            </w:pPr>
            <w:r w:rsidRPr="001C57DB">
              <w:rPr>
                <w:rFonts w:ascii="Arial" w:hAnsi="Arial" w:cs="Arial"/>
                <w:b/>
                <w:bCs/>
                <w:lang w:val="en-IN"/>
              </w:rPr>
              <w:t>2024</w:t>
            </w:r>
          </w:p>
        </w:tc>
        <w:tc>
          <w:tcPr>
            <w:tcW w:w="542" w:type="pct"/>
            <w:tcBorders>
              <w:top w:val="nil"/>
              <w:left w:val="nil"/>
              <w:bottom w:val="single" w:sz="4" w:space="0" w:color="auto"/>
              <w:right w:val="single" w:sz="4" w:space="0" w:color="auto"/>
            </w:tcBorders>
            <w:shd w:val="clear" w:color="000000" w:fill="DAE9F8"/>
            <w:noWrap/>
            <w:vAlign w:val="bottom"/>
            <w:hideMark/>
          </w:tcPr>
          <w:p w14:paraId="074DAE43" w14:textId="77777777" w:rsidR="001C57DB" w:rsidRPr="001C57DB" w:rsidRDefault="001C57DB" w:rsidP="001C57DB">
            <w:pPr>
              <w:spacing w:before="0" w:after="0" w:line="240" w:lineRule="auto"/>
              <w:jc w:val="center"/>
              <w:rPr>
                <w:rFonts w:ascii="Arial" w:hAnsi="Arial" w:cs="Arial"/>
                <w:b/>
                <w:bCs/>
                <w:lang w:val="en-IN"/>
              </w:rPr>
            </w:pPr>
            <w:r w:rsidRPr="001C57DB">
              <w:rPr>
                <w:rFonts w:ascii="Arial" w:hAnsi="Arial" w:cs="Arial"/>
                <w:b/>
                <w:bCs/>
                <w:lang w:val="en-IN"/>
              </w:rPr>
              <w:t>2023</w:t>
            </w:r>
          </w:p>
        </w:tc>
        <w:tc>
          <w:tcPr>
            <w:tcW w:w="542" w:type="pct"/>
            <w:tcBorders>
              <w:top w:val="nil"/>
              <w:left w:val="nil"/>
              <w:bottom w:val="single" w:sz="4" w:space="0" w:color="auto"/>
              <w:right w:val="single" w:sz="4" w:space="0" w:color="auto"/>
            </w:tcBorders>
            <w:shd w:val="clear" w:color="000000" w:fill="DAE9F8"/>
            <w:noWrap/>
            <w:vAlign w:val="bottom"/>
            <w:hideMark/>
          </w:tcPr>
          <w:p w14:paraId="4A23013A" w14:textId="77777777" w:rsidR="001C57DB" w:rsidRPr="001C57DB" w:rsidRDefault="001C57DB" w:rsidP="001C57DB">
            <w:pPr>
              <w:spacing w:before="0" w:after="0" w:line="240" w:lineRule="auto"/>
              <w:jc w:val="center"/>
              <w:rPr>
                <w:rFonts w:ascii="Arial" w:hAnsi="Arial" w:cs="Arial"/>
                <w:b/>
                <w:bCs/>
                <w:lang w:val="en-IN"/>
              </w:rPr>
            </w:pPr>
            <w:r w:rsidRPr="001C57DB">
              <w:rPr>
                <w:rFonts w:ascii="Arial" w:hAnsi="Arial" w:cs="Arial"/>
                <w:b/>
                <w:bCs/>
                <w:lang w:val="en-IN"/>
              </w:rPr>
              <w:t>2022</w:t>
            </w:r>
          </w:p>
        </w:tc>
        <w:tc>
          <w:tcPr>
            <w:tcW w:w="542" w:type="pct"/>
            <w:tcBorders>
              <w:top w:val="nil"/>
              <w:left w:val="nil"/>
              <w:bottom w:val="single" w:sz="4" w:space="0" w:color="auto"/>
              <w:right w:val="single" w:sz="4" w:space="0" w:color="auto"/>
            </w:tcBorders>
            <w:shd w:val="clear" w:color="000000" w:fill="DAE9F8"/>
            <w:noWrap/>
            <w:vAlign w:val="bottom"/>
            <w:hideMark/>
          </w:tcPr>
          <w:p w14:paraId="3BF2F373" w14:textId="77777777" w:rsidR="001C57DB" w:rsidRPr="001C57DB" w:rsidRDefault="001C57DB" w:rsidP="001C57DB">
            <w:pPr>
              <w:spacing w:before="0" w:after="0" w:line="240" w:lineRule="auto"/>
              <w:jc w:val="center"/>
              <w:rPr>
                <w:rFonts w:ascii="Arial" w:hAnsi="Arial" w:cs="Arial"/>
                <w:b/>
                <w:bCs/>
                <w:lang w:val="en-IN"/>
              </w:rPr>
            </w:pPr>
            <w:r w:rsidRPr="001C57DB">
              <w:rPr>
                <w:rFonts w:ascii="Arial" w:hAnsi="Arial" w:cs="Arial"/>
                <w:b/>
                <w:bCs/>
                <w:lang w:val="en-IN"/>
              </w:rPr>
              <w:t>2021</w:t>
            </w:r>
          </w:p>
        </w:tc>
        <w:tc>
          <w:tcPr>
            <w:tcW w:w="542" w:type="pct"/>
            <w:tcBorders>
              <w:top w:val="nil"/>
              <w:left w:val="nil"/>
              <w:bottom w:val="single" w:sz="4" w:space="0" w:color="auto"/>
              <w:right w:val="single" w:sz="4" w:space="0" w:color="auto"/>
            </w:tcBorders>
            <w:shd w:val="clear" w:color="000000" w:fill="DAE9F8"/>
            <w:noWrap/>
            <w:vAlign w:val="bottom"/>
            <w:hideMark/>
          </w:tcPr>
          <w:p w14:paraId="72725366" w14:textId="77777777" w:rsidR="001C57DB" w:rsidRPr="001C57DB" w:rsidRDefault="001C57DB" w:rsidP="001C57DB">
            <w:pPr>
              <w:spacing w:before="0" w:after="0" w:line="240" w:lineRule="auto"/>
              <w:jc w:val="center"/>
              <w:rPr>
                <w:rFonts w:ascii="Arial" w:hAnsi="Arial" w:cs="Arial"/>
                <w:b/>
                <w:bCs/>
                <w:lang w:val="en-IN"/>
              </w:rPr>
            </w:pPr>
            <w:r w:rsidRPr="001C57DB">
              <w:rPr>
                <w:rFonts w:ascii="Arial" w:hAnsi="Arial" w:cs="Arial"/>
                <w:b/>
                <w:bCs/>
                <w:lang w:val="en-IN"/>
              </w:rPr>
              <w:t>2020</w:t>
            </w:r>
          </w:p>
        </w:tc>
      </w:tr>
      <w:tr w:rsidR="001C57DB" w:rsidRPr="001C57DB" w14:paraId="18CDE5FE"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540D0A73" w14:textId="000282F6" w:rsidR="001C57DB" w:rsidRPr="001C57DB" w:rsidRDefault="001C57DB" w:rsidP="001C57DB">
            <w:pPr>
              <w:spacing w:before="0" w:after="0" w:line="240" w:lineRule="auto"/>
              <w:jc w:val="left"/>
              <w:rPr>
                <w:rFonts w:ascii="Arial" w:hAnsi="Arial" w:cs="Arial"/>
                <w:b/>
                <w:bCs/>
                <w:lang w:val="en-IN"/>
              </w:rPr>
            </w:pPr>
            <w:r w:rsidRPr="001C57DB">
              <w:rPr>
                <w:rFonts w:ascii="Arial" w:hAnsi="Arial" w:cs="Arial"/>
                <w:b/>
                <w:bCs/>
                <w:lang w:val="en-IN"/>
              </w:rPr>
              <w:t xml:space="preserve">1. </w:t>
            </w:r>
            <w:r w:rsidR="006D24DF">
              <w:rPr>
                <w:rFonts w:ascii="Arial" w:hAnsi="Arial" w:cs="Arial"/>
                <w:b/>
                <w:bCs/>
                <w:lang w:val="en-IN"/>
              </w:rPr>
              <w:t>“</w:t>
            </w:r>
            <w:r w:rsidRPr="001C57DB">
              <w:rPr>
                <w:rFonts w:ascii="Arial" w:hAnsi="Arial" w:cs="Arial"/>
                <w:b/>
                <w:bCs/>
                <w:lang w:val="en-IN"/>
              </w:rPr>
              <w:t>Inventory Days (Inventory Holding Period)</w:t>
            </w:r>
            <w:r w:rsidR="006D24DF">
              <w:rPr>
                <w:rFonts w:ascii="Arial" w:hAnsi="Arial" w:cs="Arial"/>
                <w:b/>
                <w:bCs/>
                <w:lang w:val="en-IN"/>
              </w:rPr>
              <w:t>”</w:t>
            </w:r>
          </w:p>
        </w:tc>
        <w:tc>
          <w:tcPr>
            <w:tcW w:w="915" w:type="pct"/>
            <w:vMerge w:val="restart"/>
            <w:tcBorders>
              <w:top w:val="nil"/>
              <w:left w:val="single" w:sz="4" w:space="0" w:color="auto"/>
              <w:bottom w:val="single" w:sz="4" w:space="0" w:color="auto"/>
              <w:right w:val="single" w:sz="4" w:space="0" w:color="auto"/>
            </w:tcBorders>
            <w:shd w:val="clear" w:color="000000" w:fill="DAE9F8"/>
            <w:vAlign w:val="center"/>
            <w:hideMark/>
          </w:tcPr>
          <w:p w14:paraId="1356D19F" w14:textId="77777777" w:rsidR="001C57DB" w:rsidRPr="001C57DB" w:rsidRDefault="001C57DB" w:rsidP="001C57DB">
            <w:pPr>
              <w:spacing w:before="0" w:after="0" w:line="240" w:lineRule="auto"/>
              <w:jc w:val="center"/>
              <w:rPr>
                <w:rFonts w:ascii="Arial" w:hAnsi="Arial" w:cs="Arial"/>
                <w:lang w:val="en-IN"/>
              </w:rPr>
            </w:pPr>
            <w:r w:rsidRPr="001C57DB">
              <w:rPr>
                <w:rFonts w:ascii="Arial" w:hAnsi="Arial" w:cs="Arial"/>
                <w:lang w:val="en-IN"/>
              </w:rPr>
              <w:t>(Inventory/Sales)*365</w:t>
            </w:r>
          </w:p>
        </w:tc>
        <w:tc>
          <w:tcPr>
            <w:tcW w:w="2708" w:type="pct"/>
            <w:gridSpan w:val="5"/>
            <w:tcBorders>
              <w:top w:val="single" w:sz="4" w:space="0" w:color="auto"/>
              <w:left w:val="nil"/>
              <w:bottom w:val="single" w:sz="4" w:space="0" w:color="auto"/>
              <w:right w:val="single" w:sz="4" w:space="0" w:color="auto"/>
            </w:tcBorders>
            <w:shd w:val="clear" w:color="000000" w:fill="DAE9F8"/>
            <w:noWrap/>
            <w:vAlign w:val="bottom"/>
            <w:hideMark/>
          </w:tcPr>
          <w:p w14:paraId="04B46D33" w14:textId="77777777" w:rsidR="001C57DB" w:rsidRPr="001C57DB" w:rsidRDefault="001C57DB" w:rsidP="001C57DB">
            <w:pPr>
              <w:spacing w:before="0" w:after="0" w:line="240" w:lineRule="auto"/>
              <w:jc w:val="center"/>
              <w:rPr>
                <w:rFonts w:ascii="Arial" w:hAnsi="Arial" w:cs="Arial"/>
                <w:lang w:val="en-IN"/>
              </w:rPr>
            </w:pPr>
            <w:r w:rsidRPr="001C57DB">
              <w:rPr>
                <w:rFonts w:ascii="Arial" w:hAnsi="Arial" w:cs="Arial"/>
                <w:lang w:val="en-IN"/>
              </w:rPr>
              <w:t> </w:t>
            </w:r>
          </w:p>
        </w:tc>
      </w:tr>
      <w:tr w:rsidR="001C57DB" w:rsidRPr="001C57DB" w14:paraId="5521B807"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2DFCF80C"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Inventory</w:t>
            </w:r>
          </w:p>
        </w:tc>
        <w:tc>
          <w:tcPr>
            <w:tcW w:w="915" w:type="pct"/>
            <w:vMerge/>
            <w:tcBorders>
              <w:top w:val="nil"/>
              <w:left w:val="single" w:sz="4" w:space="0" w:color="auto"/>
              <w:bottom w:val="single" w:sz="4" w:space="0" w:color="auto"/>
              <w:right w:val="single" w:sz="4" w:space="0" w:color="auto"/>
            </w:tcBorders>
            <w:vAlign w:val="center"/>
            <w:hideMark/>
          </w:tcPr>
          <w:p w14:paraId="5CC4B5BB" w14:textId="77777777" w:rsidR="001C57DB" w:rsidRPr="001C57DB" w:rsidRDefault="001C57DB" w:rsidP="001C57DB">
            <w:pPr>
              <w:spacing w:before="0" w:after="0" w:line="240" w:lineRule="auto"/>
              <w:jc w:val="left"/>
              <w:rPr>
                <w:rFonts w:ascii="Arial" w:hAnsi="Arial" w:cs="Arial"/>
                <w:lang w:val="en-IN"/>
              </w:rPr>
            </w:pPr>
          </w:p>
        </w:tc>
        <w:tc>
          <w:tcPr>
            <w:tcW w:w="542" w:type="pct"/>
            <w:tcBorders>
              <w:top w:val="nil"/>
              <w:left w:val="nil"/>
              <w:bottom w:val="single" w:sz="4" w:space="0" w:color="auto"/>
              <w:right w:val="single" w:sz="4" w:space="0" w:color="auto"/>
            </w:tcBorders>
            <w:shd w:val="clear" w:color="000000" w:fill="DAE9F8"/>
            <w:noWrap/>
            <w:vAlign w:val="bottom"/>
            <w:hideMark/>
          </w:tcPr>
          <w:p w14:paraId="017CAAD1"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1,97,91,007 </w:t>
            </w:r>
          </w:p>
        </w:tc>
        <w:tc>
          <w:tcPr>
            <w:tcW w:w="542" w:type="pct"/>
            <w:tcBorders>
              <w:top w:val="nil"/>
              <w:left w:val="nil"/>
              <w:bottom w:val="single" w:sz="4" w:space="0" w:color="auto"/>
              <w:right w:val="single" w:sz="4" w:space="0" w:color="auto"/>
            </w:tcBorders>
            <w:shd w:val="clear" w:color="000000" w:fill="DAE9F8"/>
            <w:noWrap/>
            <w:vAlign w:val="bottom"/>
            <w:hideMark/>
          </w:tcPr>
          <w:p w14:paraId="26B1CC46"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1,74,00,346 </w:t>
            </w:r>
          </w:p>
        </w:tc>
        <w:tc>
          <w:tcPr>
            <w:tcW w:w="542" w:type="pct"/>
            <w:tcBorders>
              <w:top w:val="nil"/>
              <w:left w:val="nil"/>
              <w:bottom w:val="single" w:sz="4" w:space="0" w:color="auto"/>
              <w:right w:val="single" w:sz="4" w:space="0" w:color="auto"/>
            </w:tcBorders>
            <w:shd w:val="clear" w:color="000000" w:fill="DAE9F8"/>
            <w:noWrap/>
            <w:vAlign w:val="bottom"/>
            <w:hideMark/>
          </w:tcPr>
          <w:p w14:paraId="0DF663B0"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1,42,91,216 </w:t>
            </w:r>
          </w:p>
        </w:tc>
        <w:tc>
          <w:tcPr>
            <w:tcW w:w="542" w:type="pct"/>
            <w:tcBorders>
              <w:top w:val="nil"/>
              <w:left w:val="nil"/>
              <w:bottom w:val="single" w:sz="4" w:space="0" w:color="auto"/>
              <w:right w:val="single" w:sz="4" w:space="0" w:color="auto"/>
            </w:tcBorders>
            <w:shd w:val="clear" w:color="000000" w:fill="DAE9F8"/>
            <w:noWrap/>
            <w:vAlign w:val="bottom"/>
            <w:hideMark/>
          </w:tcPr>
          <w:p w14:paraId="405B1624"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1,16,45,641 </w:t>
            </w:r>
          </w:p>
        </w:tc>
        <w:tc>
          <w:tcPr>
            <w:tcW w:w="542" w:type="pct"/>
            <w:tcBorders>
              <w:top w:val="nil"/>
              <w:left w:val="nil"/>
              <w:bottom w:val="single" w:sz="4" w:space="0" w:color="auto"/>
              <w:right w:val="single" w:sz="4" w:space="0" w:color="auto"/>
            </w:tcBorders>
            <w:shd w:val="clear" w:color="000000" w:fill="DAE9F8"/>
            <w:noWrap/>
            <w:vAlign w:val="bottom"/>
            <w:hideMark/>
          </w:tcPr>
          <w:p w14:paraId="016D31F2"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1,13,33,734 </w:t>
            </w:r>
          </w:p>
        </w:tc>
      </w:tr>
      <w:tr w:rsidR="001C57DB" w:rsidRPr="001C57DB" w14:paraId="1710FA73"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099DB758"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Sales</w:t>
            </w:r>
          </w:p>
        </w:tc>
        <w:tc>
          <w:tcPr>
            <w:tcW w:w="915" w:type="pct"/>
            <w:vMerge/>
            <w:tcBorders>
              <w:top w:val="nil"/>
              <w:left w:val="single" w:sz="4" w:space="0" w:color="auto"/>
              <w:bottom w:val="single" w:sz="4" w:space="0" w:color="auto"/>
              <w:right w:val="single" w:sz="4" w:space="0" w:color="auto"/>
            </w:tcBorders>
            <w:vAlign w:val="center"/>
            <w:hideMark/>
          </w:tcPr>
          <w:p w14:paraId="028F5EE6" w14:textId="77777777" w:rsidR="001C57DB" w:rsidRPr="001C57DB" w:rsidRDefault="001C57DB" w:rsidP="001C57DB">
            <w:pPr>
              <w:spacing w:before="0" w:after="0" w:line="240" w:lineRule="auto"/>
              <w:jc w:val="left"/>
              <w:rPr>
                <w:rFonts w:ascii="Arial" w:hAnsi="Arial" w:cs="Arial"/>
                <w:lang w:val="en-IN"/>
              </w:rPr>
            </w:pPr>
          </w:p>
        </w:tc>
        <w:tc>
          <w:tcPr>
            <w:tcW w:w="542" w:type="pct"/>
            <w:tcBorders>
              <w:top w:val="nil"/>
              <w:left w:val="nil"/>
              <w:bottom w:val="single" w:sz="4" w:space="0" w:color="auto"/>
              <w:right w:val="single" w:sz="4" w:space="0" w:color="auto"/>
            </w:tcBorders>
            <w:shd w:val="clear" w:color="000000" w:fill="DAE9F8"/>
            <w:noWrap/>
            <w:vAlign w:val="bottom"/>
            <w:hideMark/>
          </w:tcPr>
          <w:p w14:paraId="51384C4F"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17,52,31,153 </w:t>
            </w:r>
          </w:p>
        </w:tc>
        <w:tc>
          <w:tcPr>
            <w:tcW w:w="542" w:type="pct"/>
            <w:tcBorders>
              <w:top w:val="nil"/>
              <w:left w:val="nil"/>
              <w:bottom w:val="single" w:sz="4" w:space="0" w:color="auto"/>
              <w:right w:val="single" w:sz="4" w:space="0" w:color="auto"/>
            </w:tcBorders>
            <w:shd w:val="clear" w:color="000000" w:fill="DAE9F8"/>
            <w:noWrap/>
            <w:vAlign w:val="bottom"/>
            <w:hideMark/>
          </w:tcPr>
          <w:p w14:paraId="77D459BA"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16,26,63,579 </w:t>
            </w:r>
          </w:p>
        </w:tc>
        <w:tc>
          <w:tcPr>
            <w:tcW w:w="542" w:type="pct"/>
            <w:tcBorders>
              <w:top w:val="nil"/>
              <w:left w:val="nil"/>
              <w:bottom w:val="single" w:sz="4" w:space="0" w:color="auto"/>
              <w:right w:val="single" w:sz="4" w:space="0" w:color="auto"/>
            </w:tcBorders>
            <w:shd w:val="clear" w:color="000000" w:fill="DAE9F8"/>
            <w:noWrap/>
            <w:vAlign w:val="bottom"/>
            <w:hideMark/>
          </w:tcPr>
          <w:p w14:paraId="28831C0C"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14,25,27,535 </w:t>
            </w:r>
          </w:p>
        </w:tc>
        <w:tc>
          <w:tcPr>
            <w:tcW w:w="542" w:type="pct"/>
            <w:tcBorders>
              <w:top w:val="nil"/>
              <w:left w:val="nil"/>
              <w:bottom w:val="single" w:sz="4" w:space="0" w:color="auto"/>
              <w:right w:val="single" w:sz="4" w:space="0" w:color="auto"/>
            </w:tcBorders>
            <w:shd w:val="clear" w:color="000000" w:fill="DAE9F8"/>
            <w:noWrap/>
            <w:vAlign w:val="bottom"/>
            <w:hideMark/>
          </w:tcPr>
          <w:p w14:paraId="48D7CC5B"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11,76,10,626 </w:t>
            </w:r>
          </w:p>
        </w:tc>
        <w:tc>
          <w:tcPr>
            <w:tcW w:w="542" w:type="pct"/>
            <w:tcBorders>
              <w:top w:val="nil"/>
              <w:left w:val="nil"/>
              <w:bottom w:val="single" w:sz="4" w:space="0" w:color="auto"/>
              <w:right w:val="single" w:sz="4" w:space="0" w:color="auto"/>
            </w:tcBorders>
            <w:shd w:val="clear" w:color="000000" w:fill="DAE9F8"/>
            <w:noWrap/>
            <w:vAlign w:val="bottom"/>
            <w:hideMark/>
          </w:tcPr>
          <w:p w14:paraId="19C78A4A"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10,39,97,601 </w:t>
            </w:r>
          </w:p>
        </w:tc>
      </w:tr>
      <w:tr w:rsidR="001C57DB" w:rsidRPr="001C57DB" w14:paraId="1BE6245D"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0164BEC9" w14:textId="3C0B13B7" w:rsidR="001C57DB" w:rsidRPr="001C57DB" w:rsidRDefault="006D24DF" w:rsidP="001C57DB">
            <w:pPr>
              <w:spacing w:before="0" w:after="0" w:line="240" w:lineRule="auto"/>
              <w:jc w:val="left"/>
              <w:rPr>
                <w:rFonts w:ascii="Arial" w:hAnsi="Arial" w:cs="Arial"/>
                <w:b/>
                <w:bCs/>
                <w:lang w:val="en-IN"/>
              </w:rPr>
            </w:pPr>
            <w:r>
              <w:rPr>
                <w:rFonts w:ascii="Arial" w:hAnsi="Arial" w:cs="Arial"/>
                <w:b/>
                <w:bCs/>
                <w:lang w:val="en-IN"/>
              </w:rPr>
              <w:t>“</w:t>
            </w:r>
            <w:r w:rsidR="001C57DB" w:rsidRPr="001C57DB">
              <w:rPr>
                <w:rFonts w:ascii="Arial" w:hAnsi="Arial" w:cs="Arial"/>
                <w:b/>
                <w:bCs/>
                <w:lang w:val="en-IN"/>
              </w:rPr>
              <w:t>Inventory Days</w:t>
            </w:r>
            <w:r>
              <w:rPr>
                <w:rFonts w:ascii="Arial" w:hAnsi="Arial" w:cs="Arial"/>
                <w:b/>
                <w:bCs/>
                <w:lang w:val="en-IN"/>
              </w:rPr>
              <w:t>”</w:t>
            </w:r>
          </w:p>
        </w:tc>
        <w:tc>
          <w:tcPr>
            <w:tcW w:w="915" w:type="pct"/>
            <w:vMerge/>
            <w:tcBorders>
              <w:top w:val="nil"/>
              <w:left w:val="single" w:sz="4" w:space="0" w:color="auto"/>
              <w:bottom w:val="single" w:sz="4" w:space="0" w:color="auto"/>
              <w:right w:val="single" w:sz="4" w:space="0" w:color="auto"/>
            </w:tcBorders>
            <w:vAlign w:val="center"/>
            <w:hideMark/>
          </w:tcPr>
          <w:p w14:paraId="10F7D08E" w14:textId="77777777" w:rsidR="001C57DB" w:rsidRPr="001C57DB" w:rsidRDefault="001C57DB" w:rsidP="001C57DB">
            <w:pPr>
              <w:spacing w:before="0" w:after="0" w:line="240" w:lineRule="auto"/>
              <w:jc w:val="left"/>
              <w:rPr>
                <w:rFonts w:ascii="Arial" w:hAnsi="Arial" w:cs="Arial"/>
                <w:lang w:val="en-IN"/>
              </w:rPr>
            </w:pPr>
          </w:p>
        </w:tc>
        <w:tc>
          <w:tcPr>
            <w:tcW w:w="542" w:type="pct"/>
            <w:tcBorders>
              <w:top w:val="nil"/>
              <w:left w:val="nil"/>
              <w:bottom w:val="single" w:sz="4" w:space="0" w:color="auto"/>
              <w:right w:val="single" w:sz="4" w:space="0" w:color="auto"/>
            </w:tcBorders>
            <w:shd w:val="clear" w:color="000000" w:fill="DAE9F8"/>
            <w:noWrap/>
            <w:vAlign w:val="bottom"/>
            <w:hideMark/>
          </w:tcPr>
          <w:p w14:paraId="0E089F86"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41.22</w:t>
            </w:r>
          </w:p>
        </w:tc>
        <w:tc>
          <w:tcPr>
            <w:tcW w:w="542" w:type="pct"/>
            <w:tcBorders>
              <w:top w:val="nil"/>
              <w:left w:val="nil"/>
              <w:bottom w:val="single" w:sz="4" w:space="0" w:color="auto"/>
              <w:right w:val="single" w:sz="4" w:space="0" w:color="auto"/>
            </w:tcBorders>
            <w:shd w:val="clear" w:color="000000" w:fill="DAE9F8"/>
            <w:noWrap/>
            <w:vAlign w:val="bottom"/>
            <w:hideMark/>
          </w:tcPr>
          <w:p w14:paraId="7BDC7EAD"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39.04</w:t>
            </w:r>
          </w:p>
        </w:tc>
        <w:tc>
          <w:tcPr>
            <w:tcW w:w="542" w:type="pct"/>
            <w:tcBorders>
              <w:top w:val="nil"/>
              <w:left w:val="nil"/>
              <w:bottom w:val="single" w:sz="4" w:space="0" w:color="auto"/>
              <w:right w:val="single" w:sz="4" w:space="0" w:color="auto"/>
            </w:tcBorders>
            <w:shd w:val="clear" w:color="000000" w:fill="DAE9F8"/>
            <w:noWrap/>
            <w:vAlign w:val="bottom"/>
            <w:hideMark/>
          </w:tcPr>
          <w:p w14:paraId="54F4B4BC"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36.60</w:t>
            </w:r>
          </w:p>
        </w:tc>
        <w:tc>
          <w:tcPr>
            <w:tcW w:w="542" w:type="pct"/>
            <w:tcBorders>
              <w:top w:val="nil"/>
              <w:left w:val="nil"/>
              <w:bottom w:val="single" w:sz="4" w:space="0" w:color="auto"/>
              <w:right w:val="single" w:sz="4" w:space="0" w:color="auto"/>
            </w:tcBorders>
            <w:shd w:val="clear" w:color="000000" w:fill="DAE9F8"/>
            <w:noWrap/>
            <w:vAlign w:val="bottom"/>
            <w:hideMark/>
          </w:tcPr>
          <w:p w14:paraId="4AC67886"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36.14</w:t>
            </w:r>
          </w:p>
        </w:tc>
        <w:tc>
          <w:tcPr>
            <w:tcW w:w="542" w:type="pct"/>
            <w:tcBorders>
              <w:top w:val="nil"/>
              <w:left w:val="nil"/>
              <w:bottom w:val="single" w:sz="4" w:space="0" w:color="auto"/>
              <w:right w:val="single" w:sz="4" w:space="0" w:color="auto"/>
            </w:tcBorders>
            <w:shd w:val="clear" w:color="000000" w:fill="DAE9F8"/>
            <w:noWrap/>
            <w:vAlign w:val="bottom"/>
            <w:hideMark/>
          </w:tcPr>
          <w:p w14:paraId="3B0A798F"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39.78</w:t>
            </w:r>
          </w:p>
        </w:tc>
      </w:tr>
      <w:tr w:rsidR="001C57DB" w:rsidRPr="001C57DB" w14:paraId="072EF353"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670DCD36" w14:textId="1A5A574C" w:rsidR="001C57DB" w:rsidRPr="001C57DB" w:rsidRDefault="001C57DB" w:rsidP="001C57DB">
            <w:pPr>
              <w:spacing w:before="0" w:after="0" w:line="240" w:lineRule="auto"/>
              <w:jc w:val="left"/>
              <w:rPr>
                <w:rFonts w:ascii="Arial" w:hAnsi="Arial" w:cs="Arial"/>
                <w:b/>
                <w:bCs/>
                <w:lang w:val="en-IN"/>
              </w:rPr>
            </w:pPr>
            <w:r w:rsidRPr="001C57DB">
              <w:rPr>
                <w:rFonts w:ascii="Arial" w:hAnsi="Arial" w:cs="Arial"/>
                <w:b/>
                <w:bCs/>
                <w:lang w:val="en-IN"/>
              </w:rPr>
              <w:t xml:space="preserve">2. </w:t>
            </w:r>
            <w:r w:rsidR="006D24DF">
              <w:rPr>
                <w:rFonts w:ascii="Arial" w:hAnsi="Arial" w:cs="Arial"/>
                <w:b/>
                <w:bCs/>
                <w:lang w:val="en-IN"/>
              </w:rPr>
              <w:t>“</w:t>
            </w:r>
            <w:r w:rsidRPr="001C57DB">
              <w:rPr>
                <w:rFonts w:ascii="Arial" w:hAnsi="Arial" w:cs="Arial"/>
                <w:b/>
                <w:bCs/>
                <w:lang w:val="en-IN"/>
              </w:rPr>
              <w:t>Receivable Days (Debtor Collection Period)</w:t>
            </w:r>
            <w:r w:rsidR="006D24DF">
              <w:rPr>
                <w:rFonts w:ascii="Arial" w:hAnsi="Arial" w:cs="Arial"/>
                <w:b/>
                <w:bCs/>
                <w:lang w:val="en-IN"/>
              </w:rPr>
              <w:t>”</w:t>
            </w:r>
          </w:p>
        </w:tc>
        <w:tc>
          <w:tcPr>
            <w:tcW w:w="915" w:type="pct"/>
            <w:vMerge w:val="restart"/>
            <w:tcBorders>
              <w:top w:val="nil"/>
              <w:left w:val="single" w:sz="4" w:space="0" w:color="auto"/>
              <w:bottom w:val="single" w:sz="4" w:space="0" w:color="auto"/>
              <w:right w:val="single" w:sz="4" w:space="0" w:color="auto"/>
            </w:tcBorders>
            <w:shd w:val="clear" w:color="000000" w:fill="DAE9F8"/>
            <w:vAlign w:val="center"/>
            <w:hideMark/>
          </w:tcPr>
          <w:p w14:paraId="1786911F" w14:textId="77777777" w:rsidR="001C57DB" w:rsidRPr="001C57DB" w:rsidRDefault="001C57DB" w:rsidP="001C57DB">
            <w:pPr>
              <w:spacing w:before="0" w:after="0" w:line="240" w:lineRule="auto"/>
              <w:jc w:val="center"/>
              <w:rPr>
                <w:rFonts w:ascii="Arial" w:hAnsi="Arial" w:cs="Arial"/>
                <w:lang w:val="en-IN"/>
              </w:rPr>
            </w:pPr>
            <w:r w:rsidRPr="001C57DB">
              <w:rPr>
                <w:rFonts w:ascii="Arial" w:hAnsi="Arial" w:cs="Arial"/>
                <w:lang w:val="en-IN"/>
              </w:rPr>
              <w:t>(Accounts Receivable​/Sales)*365</w:t>
            </w:r>
          </w:p>
        </w:tc>
        <w:tc>
          <w:tcPr>
            <w:tcW w:w="2708" w:type="pct"/>
            <w:gridSpan w:val="5"/>
            <w:tcBorders>
              <w:top w:val="single" w:sz="4" w:space="0" w:color="auto"/>
              <w:left w:val="nil"/>
              <w:bottom w:val="single" w:sz="4" w:space="0" w:color="auto"/>
              <w:right w:val="single" w:sz="4" w:space="0" w:color="auto"/>
            </w:tcBorders>
            <w:shd w:val="clear" w:color="000000" w:fill="DAE9F8"/>
            <w:noWrap/>
            <w:vAlign w:val="bottom"/>
            <w:hideMark/>
          </w:tcPr>
          <w:p w14:paraId="207A1972" w14:textId="77777777" w:rsidR="001C57DB" w:rsidRPr="001C57DB" w:rsidRDefault="001C57DB" w:rsidP="001C57DB">
            <w:pPr>
              <w:spacing w:before="0" w:after="0" w:line="240" w:lineRule="auto"/>
              <w:jc w:val="center"/>
              <w:rPr>
                <w:rFonts w:ascii="Arial" w:hAnsi="Arial" w:cs="Arial"/>
                <w:lang w:val="en-IN"/>
              </w:rPr>
            </w:pPr>
            <w:r w:rsidRPr="001C57DB">
              <w:rPr>
                <w:rFonts w:ascii="Arial" w:hAnsi="Arial" w:cs="Arial"/>
                <w:lang w:val="en-IN"/>
              </w:rPr>
              <w:t> </w:t>
            </w:r>
          </w:p>
        </w:tc>
      </w:tr>
      <w:tr w:rsidR="001C57DB" w:rsidRPr="001C57DB" w14:paraId="75C96B24"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2F396084"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Accounts Receivable​</w:t>
            </w:r>
          </w:p>
        </w:tc>
        <w:tc>
          <w:tcPr>
            <w:tcW w:w="915" w:type="pct"/>
            <w:vMerge/>
            <w:tcBorders>
              <w:top w:val="nil"/>
              <w:left w:val="single" w:sz="4" w:space="0" w:color="auto"/>
              <w:bottom w:val="single" w:sz="4" w:space="0" w:color="auto"/>
              <w:right w:val="single" w:sz="4" w:space="0" w:color="auto"/>
            </w:tcBorders>
            <w:vAlign w:val="center"/>
            <w:hideMark/>
          </w:tcPr>
          <w:p w14:paraId="4738659E" w14:textId="77777777" w:rsidR="001C57DB" w:rsidRPr="001C57DB" w:rsidRDefault="001C57DB" w:rsidP="001C57DB">
            <w:pPr>
              <w:spacing w:before="0" w:after="0" w:line="240" w:lineRule="auto"/>
              <w:jc w:val="left"/>
              <w:rPr>
                <w:rFonts w:ascii="Arial" w:hAnsi="Arial" w:cs="Arial"/>
                <w:lang w:val="en-IN"/>
              </w:rPr>
            </w:pPr>
          </w:p>
        </w:tc>
        <w:tc>
          <w:tcPr>
            <w:tcW w:w="542" w:type="pct"/>
            <w:tcBorders>
              <w:top w:val="nil"/>
              <w:left w:val="nil"/>
              <w:bottom w:val="single" w:sz="4" w:space="0" w:color="auto"/>
              <w:right w:val="single" w:sz="4" w:space="0" w:color="auto"/>
            </w:tcBorders>
            <w:shd w:val="clear" w:color="000000" w:fill="DAE9F8"/>
            <w:noWrap/>
            <w:vAlign w:val="bottom"/>
            <w:hideMark/>
          </w:tcPr>
          <w:p w14:paraId="599F4B0B"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59,08,079 </w:t>
            </w:r>
          </w:p>
        </w:tc>
        <w:tc>
          <w:tcPr>
            <w:tcW w:w="542" w:type="pct"/>
            <w:tcBorders>
              <w:top w:val="nil"/>
              <w:left w:val="nil"/>
              <w:bottom w:val="single" w:sz="4" w:space="0" w:color="auto"/>
              <w:right w:val="single" w:sz="4" w:space="0" w:color="auto"/>
            </w:tcBorders>
            <w:shd w:val="clear" w:color="000000" w:fill="DAE9F8"/>
            <w:noWrap/>
            <w:vAlign w:val="bottom"/>
            <w:hideMark/>
          </w:tcPr>
          <w:p w14:paraId="4F0ECD5F"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46,82,182 </w:t>
            </w:r>
          </w:p>
        </w:tc>
        <w:tc>
          <w:tcPr>
            <w:tcW w:w="542" w:type="pct"/>
            <w:tcBorders>
              <w:top w:val="nil"/>
              <w:left w:val="nil"/>
              <w:bottom w:val="single" w:sz="4" w:space="0" w:color="auto"/>
              <w:right w:val="single" w:sz="4" w:space="0" w:color="auto"/>
            </w:tcBorders>
            <w:shd w:val="clear" w:color="000000" w:fill="DAE9F8"/>
            <w:noWrap/>
            <w:vAlign w:val="bottom"/>
            <w:hideMark/>
          </w:tcPr>
          <w:p w14:paraId="05E99054"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42,79,057 </w:t>
            </w:r>
          </w:p>
        </w:tc>
        <w:tc>
          <w:tcPr>
            <w:tcW w:w="542" w:type="pct"/>
            <w:tcBorders>
              <w:top w:val="nil"/>
              <w:left w:val="nil"/>
              <w:bottom w:val="single" w:sz="4" w:space="0" w:color="auto"/>
              <w:right w:val="single" w:sz="4" w:space="0" w:color="auto"/>
            </w:tcBorders>
            <w:shd w:val="clear" w:color="000000" w:fill="DAE9F8"/>
            <w:noWrap/>
            <w:vAlign w:val="bottom"/>
            <w:hideMark/>
          </w:tcPr>
          <w:p w14:paraId="6C529FAF"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31,47,296 </w:t>
            </w:r>
          </w:p>
        </w:tc>
        <w:tc>
          <w:tcPr>
            <w:tcW w:w="542" w:type="pct"/>
            <w:tcBorders>
              <w:top w:val="nil"/>
              <w:left w:val="nil"/>
              <w:bottom w:val="single" w:sz="4" w:space="0" w:color="auto"/>
              <w:right w:val="single" w:sz="4" w:space="0" w:color="auto"/>
            </w:tcBorders>
            <w:shd w:val="clear" w:color="000000" w:fill="DAE9F8"/>
            <w:noWrap/>
            <w:vAlign w:val="bottom"/>
            <w:hideMark/>
          </w:tcPr>
          <w:p w14:paraId="38C4ED1E"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32,83,972 </w:t>
            </w:r>
          </w:p>
        </w:tc>
      </w:tr>
      <w:tr w:rsidR="001C57DB" w:rsidRPr="001C57DB" w14:paraId="00EE9698"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4B203CB6"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Sales</w:t>
            </w:r>
          </w:p>
        </w:tc>
        <w:tc>
          <w:tcPr>
            <w:tcW w:w="915" w:type="pct"/>
            <w:vMerge/>
            <w:tcBorders>
              <w:top w:val="nil"/>
              <w:left w:val="single" w:sz="4" w:space="0" w:color="auto"/>
              <w:bottom w:val="single" w:sz="4" w:space="0" w:color="auto"/>
              <w:right w:val="single" w:sz="4" w:space="0" w:color="auto"/>
            </w:tcBorders>
            <w:vAlign w:val="center"/>
            <w:hideMark/>
          </w:tcPr>
          <w:p w14:paraId="2EC5FD0B" w14:textId="77777777" w:rsidR="001C57DB" w:rsidRPr="001C57DB" w:rsidRDefault="001C57DB" w:rsidP="001C57DB">
            <w:pPr>
              <w:spacing w:before="0" w:after="0" w:line="240" w:lineRule="auto"/>
              <w:jc w:val="left"/>
              <w:rPr>
                <w:rFonts w:ascii="Arial" w:hAnsi="Arial" w:cs="Arial"/>
                <w:lang w:val="en-IN"/>
              </w:rPr>
            </w:pPr>
          </w:p>
        </w:tc>
        <w:tc>
          <w:tcPr>
            <w:tcW w:w="542" w:type="pct"/>
            <w:tcBorders>
              <w:top w:val="nil"/>
              <w:left w:val="nil"/>
              <w:bottom w:val="single" w:sz="4" w:space="0" w:color="auto"/>
              <w:right w:val="single" w:sz="4" w:space="0" w:color="auto"/>
            </w:tcBorders>
            <w:shd w:val="clear" w:color="000000" w:fill="DAE9F8"/>
            <w:noWrap/>
            <w:vAlign w:val="bottom"/>
            <w:hideMark/>
          </w:tcPr>
          <w:p w14:paraId="7C894A30"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17,52,31,153 </w:t>
            </w:r>
          </w:p>
        </w:tc>
        <w:tc>
          <w:tcPr>
            <w:tcW w:w="542" w:type="pct"/>
            <w:tcBorders>
              <w:top w:val="nil"/>
              <w:left w:val="nil"/>
              <w:bottom w:val="single" w:sz="4" w:space="0" w:color="auto"/>
              <w:right w:val="single" w:sz="4" w:space="0" w:color="auto"/>
            </w:tcBorders>
            <w:shd w:val="clear" w:color="000000" w:fill="DAE9F8"/>
            <w:noWrap/>
            <w:vAlign w:val="bottom"/>
            <w:hideMark/>
          </w:tcPr>
          <w:p w14:paraId="39F0004F"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16,26,63,579 </w:t>
            </w:r>
          </w:p>
        </w:tc>
        <w:tc>
          <w:tcPr>
            <w:tcW w:w="542" w:type="pct"/>
            <w:tcBorders>
              <w:top w:val="nil"/>
              <w:left w:val="nil"/>
              <w:bottom w:val="single" w:sz="4" w:space="0" w:color="auto"/>
              <w:right w:val="single" w:sz="4" w:space="0" w:color="auto"/>
            </w:tcBorders>
            <w:shd w:val="clear" w:color="000000" w:fill="DAE9F8"/>
            <w:noWrap/>
            <w:vAlign w:val="bottom"/>
            <w:hideMark/>
          </w:tcPr>
          <w:p w14:paraId="4748ADB1"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14,25,27,535 </w:t>
            </w:r>
          </w:p>
        </w:tc>
        <w:tc>
          <w:tcPr>
            <w:tcW w:w="542" w:type="pct"/>
            <w:tcBorders>
              <w:top w:val="nil"/>
              <w:left w:val="nil"/>
              <w:bottom w:val="single" w:sz="4" w:space="0" w:color="auto"/>
              <w:right w:val="single" w:sz="4" w:space="0" w:color="auto"/>
            </w:tcBorders>
            <w:shd w:val="clear" w:color="000000" w:fill="DAE9F8"/>
            <w:noWrap/>
            <w:vAlign w:val="bottom"/>
            <w:hideMark/>
          </w:tcPr>
          <w:p w14:paraId="4A3C34B8"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11,76,10,626 </w:t>
            </w:r>
          </w:p>
        </w:tc>
        <w:tc>
          <w:tcPr>
            <w:tcW w:w="542" w:type="pct"/>
            <w:tcBorders>
              <w:top w:val="nil"/>
              <w:left w:val="nil"/>
              <w:bottom w:val="single" w:sz="4" w:space="0" w:color="auto"/>
              <w:right w:val="single" w:sz="4" w:space="0" w:color="auto"/>
            </w:tcBorders>
            <w:shd w:val="clear" w:color="000000" w:fill="DAE9F8"/>
            <w:noWrap/>
            <w:vAlign w:val="bottom"/>
            <w:hideMark/>
          </w:tcPr>
          <w:p w14:paraId="02BF5362"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10,39,97,601 </w:t>
            </w:r>
          </w:p>
        </w:tc>
      </w:tr>
      <w:tr w:rsidR="001C57DB" w:rsidRPr="001C57DB" w14:paraId="499E5D6B"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5C13FD57" w14:textId="68415259" w:rsidR="001C57DB" w:rsidRPr="001C57DB" w:rsidRDefault="006D24DF" w:rsidP="001C57DB">
            <w:pPr>
              <w:spacing w:before="0" w:after="0" w:line="240" w:lineRule="auto"/>
              <w:jc w:val="left"/>
              <w:rPr>
                <w:rFonts w:ascii="Arial" w:hAnsi="Arial" w:cs="Arial"/>
                <w:b/>
                <w:bCs/>
                <w:lang w:val="en-IN"/>
              </w:rPr>
            </w:pPr>
            <w:r>
              <w:rPr>
                <w:rFonts w:ascii="Arial" w:hAnsi="Arial" w:cs="Arial"/>
                <w:b/>
                <w:bCs/>
                <w:lang w:val="en-IN"/>
              </w:rPr>
              <w:t>“</w:t>
            </w:r>
            <w:r w:rsidR="001C57DB" w:rsidRPr="001C57DB">
              <w:rPr>
                <w:rFonts w:ascii="Arial" w:hAnsi="Arial" w:cs="Arial"/>
                <w:b/>
                <w:bCs/>
                <w:lang w:val="en-IN"/>
              </w:rPr>
              <w:t>Receivable Days</w:t>
            </w:r>
            <w:r>
              <w:rPr>
                <w:rFonts w:ascii="Arial" w:hAnsi="Arial" w:cs="Arial"/>
                <w:b/>
                <w:bCs/>
                <w:lang w:val="en-IN"/>
              </w:rPr>
              <w:t>”</w:t>
            </w:r>
          </w:p>
        </w:tc>
        <w:tc>
          <w:tcPr>
            <w:tcW w:w="915" w:type="pct"/>
            <w:vMerge/>
            <w:tcBorders>
              <w:top w:val="nil"/>
              <w:left w:val="single" w:sz="4" w:space="0" w:color="auto"/>
              <w:bottom w:val="single" w:sz="4" w:space="0" w:color="auto"/>
              <w:right w:val="single" w:sz="4" w:space="0" w:color="auto"/>
            </w:tcBorders>
            <w:vAlign w:val="center"/>
            <w:hideMark/>
          </w:tcPr>
          <w:p w14:paraId="05EAE552" w14:textId="77777777" w:rsidR="001C57DB" w:rsidRPr="001C57DB" w:rsidRDefault="001C57DB" w:rsidP="001C57DB">
            <w:pPr>
              <w:spacing w:before="0" w:after="0" w:line="240" w:lineRule="auto"/>
              <w:jc w:val="left"/>
              <w:rPr>
                <w:rFonts w:ascii="Arial" w:hAnsi="Arial" w:cs="Arial"/>
                <w:lang w:val="en-IN"/>
              </w:rPr>
            </w:pPr>
          </w:p>
        </w:tc>
        <w:tc>
          <w:tcPr>
            <w:tcW w:w="542" w:type="pct"/>
            <w:tcBorders>
              <w:top w:val="nil"/>
              <w:left w:val="nil"/>
              <w:bottom w:val="single" w:sz="4" w:space="0" w:color="auto"/>
              <w:right w:val="single" w:sz="4" w:space="0" w:color="auto"/>
            </w:tcBorders>
            <w:shd w:val="clear" w:color="000000" w:fill="DAE9F8"/>
            <w:noWrap/>
            <w:vAlign w:val="bottom"/>
            <w:hideMark/>
          </w:tcPr>
          <w:p w14:paraId="1F6C1EAF"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12.31</w:t>
            </w:r>
          </w:p>
        </w:tc>
        <w:tc>
          <w:tcPr>
            <w:tcW w:w="542" w:type="pct"/>
            <w:tcBorders>
              <w:top w:val="nil"/>
              <w:left w:val="nil"/>
              <w:bottom w:val="single" w:sz="4" w:space="0" w:color="auto"/>
              <w:right w:val="single" w:sz="4" w:space="0" w:color="auto"/>
            </w:tcBorders>
            <w:shd w:val="clear" w:color="000000" w:fill="DAE9F8"/>
            <w:noWrap/>
            <w:vAlign w:val="bottom"/>
            <w:hideMark/>
          </w:tcPr>
          <w:p w14:paraId="11E1D347"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10.51</w:t>
            </w:r>
          </w:p>
        </w:tc>
        <w:tc>
          <w:tcPr>
            <w:tcW w:w="542" w:type="pct"/>
            <w:tcBorders>
              <w:top w:val="nil"/>
              <w:left w:val="nil"/>
              <w:bottom w:val="single" w:sz="4" w:space="0" w:color="auto"/>
              <w:right w:val="single" w:sz="4" w:space="0" w:color="auto"/>
            </w:tcBorders>
            <w:shd w:val="clear" w:color="000000" w:fill="DAE9F8"/>
            <w:noWrap/>
            <w:vAlign w:val="bottom"/>
            <w:hideMark/>
          </w:tcPr>
          <w:p w14:paraId="1F730B02"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10.96</w:t>
            </w:r>
          </w:p>
        </w:tc>
        <w:tc>
          <w:tcPr>
            <w:tcW w:w="542" w:type="pct"/>
            <w:tcBorders>
              <w:top w:val="nil"/>
              <w:left w:val="nil"/>
              <w:bottom w:val="single" w:sz="4" w:space="0" w:color="auto"/>
              <w:right w:val="single" w:sz="4" w:space="0" w:color="auto"/>
            </w:tcBorders>
            <w:shd w:val="clear" w:color="000000" w:fill="DAE9F8"/>
            <w:noWrap/>
            <w:vAlign w:val="bottom"/>
            <w:hideMark/>
          </w:tcPr>
          <w:p w14:paraId="1B7A18C1"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9.77</w:t>
            </w:r>
          </w:p>
        </w:tc>
        <w:tc>
          <w:tcPr>
            <w:tcW w:w="542" w:type="pct"/>
            <w:tcBorders>
              <w:top w:val="nil"/>
              <w:left w:val="nil"/>
              <w:bottom w:val="single" w:sz="4" w:space="0" w:color="auto"/>
              <w:right w:val="single" w:sz="4" w:space="0" w:color="auto"/>
            </w:tcBorders>
            <w:shd w:val="clear" w:color="000000" w:fill="DAE9F8"/>
            <w:noWrap/>
            <w:vAlign w:val="bottom"/>
            <w:hideMark/>
          </w:tcPr>
          <w:p w14:paraId="36147377"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11.53</w:t>
            </w:r>
          </w:p>
        </w:tc>
      </w:tr>
      <w:tr w:rsidR="001C57DB" w:rsidRPr="001C57DB" w14:paraId="72BF28FE"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5B72ACC2" w14:textId="14D8C842" w:rsidR="001C57DB" w:rsidRPr="001C57DB" w:rsidRDefault="001C57DB" w:rsidP="001C57DB">
            <w:pPr>
              <w:spacing w:before="0" w:after="0" w:line="240" w:lineRule="auto"/>
              <w:jc w:val="left"/>
              <w:rPr>
                <w:rFonts w:ascii="Arial" w:hAnsi="Arial" w:cs="Arial"/>
                <w:b/>
                <w:bCs/>
                <w:lang w:val="en-IN"/>
              </w:rPr>
            </w:pPr>
            <w:r w:rsidRPr="001C57DB">
              <w:rPr>
                <w:rFonts w:ascii="Arial" w:hAnsi="Arial" w:cs="Arial"/>
                <w:b/>
                <w:bCs/>
                <w:lang w:val="en-IN"/>
              </w:rPr>
              <w:t xml:space="preserve">3. </w:t>
            </w:r>
            <w:r w:rsidR="006D24DF">
              <w:rPr>
                <w:rFonts w:ascii="Arial" w:hAnsi="Arial" w:cs="Arial"/>
                <w:b/>
                <w:bCs/>
                <w:lang w:val="en-IN"/>
              </w:rPr>
              <w:t>“</w:t>
            </w:r>
            <w:r w:rsidRPr="001C57DB">
              <w:rPr>
                <w:rFonts w:ascii="Arial" w:hAnsi="Arial" w:cs="Arial"/>
                <w:b/>
                <w:bCs/>
                <w:lang w:val="en-IN"/>
              </w:rPr>
              <w:t>Payable Days (Creditor Payment Period)</w:t>
            </w:r>
            <w:r w:rsidR="006D24DF">
              <w:rPr>
                <w:rFonts w:ascii="Arial" w:hAnsi="Arial" w:cs="Arial"/>
                <w:b/>
                <w:bCs/>
                <w:lang w:val="en-IN"/>
              </w:rPr>
              <w:t>”</w:t>
            </w:r>
          </w:p>
        </w:tc>
        <w:tc>
          <w:tcPr>
            <w:tcW w:w="915" w:type="pct"/>
            <w:vMerge w:val="restart"/>
            <w:tcBorders>
              <w:top w:val="nil"/>
              <w:left w:val="single" w:sz="4" w:space="0" w:color="auto"/>
              <w:bottom w:val="single" w:sz="4" w:space="0" w:color="auto"/>
              <w:right w:val="single" w:sz="4" w:space="0" w:color="auto"/>
            </w:tcBorders>
            <w:shd w:val="clear" w:color="000000" w:fill="DAE9F8"/>
            <w:noWrap/>
            <w:vAlign w:val="center"/>
            <w:hideMark/>
          </w:tcPr>
          <w:p w14:paraId="595A74FA" w14:textId="77777777" w:rsidR="001C57DB" w:rsidRPr="001C57DB" w:rsidRDefault="001C57DB" w:rsidP="001C57DB">
            <w:pPr>
              <w:spacing w:before="0" w:after="0" w:line="240" w:lineRule="auto"/>
              <w:jc w:val="center"/>
              <w:rPr>
                <w:rFonts w:ascii="Arial" w:hAnsi="Arial" w:cs="Arial"/>
                <w:lang w:val="en-IN"/>
              </w:rPr>
            </w:pPr>
            <w:r w:rsidRPr="001C57DB">
              <w:rPr>
                <w:rFonts w:ascii="Arial" w:hAnsi="Arial" w:cs="Arial"/>
                <w:lang w:val="en-IN"/>
              </w:rPr>
              <w:t>(Accounts Payable​/Sales)*365</w:t>
            </w:r>
          </w:p>
        </w:tc>
        <w:tc>
          <w:tcPr>
            <w:tcW w:w="2708" w:type="pct"/>
            <w:gridSpan w:val="5"/>
            <w:tcBorders>
              <w:top w:val="single" w:sz="4" w:space="0" w:color="auto"/>
              <w:left w:val="nil"/>
              <w:bottom w:val="single" w:sz="4" w:space="0" w:color="auto"/>
              <w:right w:val="single" w:sz="4" w:space="0" w:color="auto"/>
            </w:tcBorders>
            <w:shd w:val="clear" w:color="000000" w:fill="DAE9F8"/>
            <w:noWrap/>
            <w:vAlign w:val="bottom"/>
            <w:hideMark/>
          </w:tcPr>
          <w:p w14:paraId="7E46873D" w14:textId="77777777" w:rsidR="001C57DB" w:rsidRPr="001C57DB" w:rsidRDefault="001C57DB" w:rsidP="001C57DB">
            <w:pPr>
              <w:spacing w:before="0" w:after="0" w:line="240" w:lineRule="auto"/>
              <w:jc w:val="center"/>
              <w:rPr>
                <w:rFonts w:ascii="Arial" w:hAnsi="Arial" w:cs="Arial"/>
                <w:lang w:val="en-IN"/>
              </w:rPr>
            </w:pPr>
            <w:r w:rsidRPr="001C57DB">
              <w:rPr>
                <w:rFonts w:ascii="Arial" w:hAnsi="Arial" w:cs="Arial"/>
                <w:lang w:val="en-IN"/>
              </w:rPr>
              <w:t> </w:t>
            </w:r>
          </w:p>
        </w:tc>
      </w:tr>
      <w:tr w:rsidR="001C57DB" w:rsidRPr="001C57DB" w14:paraId="1CEED31A"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2A947F9A"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Accounts Payable​</w:t>
            </w:r>
          </w:p>
        </w:tc>
        <w:tc>
          <w:tcPr>
            <w:tcW w:w="915" w:type="pct"/>
            <w:vMerge/>
            <w:tcBorders>
              <w:top w:val="nil"/>
              <w:left w:val="single" w:sz="4" w:space="0" w:color="auto"/>
              <w:bottom w:val="single" w:sz="4" w:space="0" w:color="auto"/>
              <w:right w:val="single" w:sz="4" w:space="0" w:color="auto"/>
            </w:tcBorders>
            <w:vAlign w:val="center"/>
            <w:hideMark/>
          </w:tcPr>
          <w:p w14:paraId="1DEFFD01" w14:textId="77777777" w:rsidR="001C57DB" w:rsidRPr="001C57DB" w:rsidRDefault="001C57DB" w:rsidP="001C57DB">
            <w:pPr>
              <w:spacing w:before="0" w:after="0" w:line="240" w:lineRule="auto"/>
              <w:jc w:val="left"/>
              <w:rPr>
                <w:rFonts w:ascii="Arial" w:hAnsi="Arial" w:cs="Arial"/>
                <w:lang w:val="en-IN"/>
              </w:rPr>
            </w:pPr>
          </w:p>
        </w:tc>
        <w:tc>
          <w:tcPr>
            <w:tcW w:w="542" w:type="pct"/>
            <w:tcBorders>
              <w:top w:val="nil"/>
              <w:left w:val="nil"/>
              <w:bottom w:val="single" w:sz="4" w:space="0" w:color="auto"/>
              <w:right w:val="single" w:sz="4" w:space="0" w:color="auto"/>
            </w:tcBorders>
            <w:shd w:val="clear" w:color="000000" w:fill="DAE9F8"/>
            <w:noWrap/>
            <w:vAlign w:val="bottom"/>
            <w:hideMark/>
          </w:tcPr>
          <w:p w14:paraId="1AC9E2D6"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95,32,876 </w:t>
            </w:r>
          </w:p>
        </w:tc>
        <w:tc>
          <w:tcPr>
            <w:tcW w:w="542" w:type="pct"/>
            <w:tcBorders>
              <w:top w:val="nil"/>
              <w:left w:val="nil"/>
              <w:bottom w:val="single" w:sz="4" w:space="0" w:color="auto"/>
              <w:right w:val="single" w:sz="4" w:space="0" w:color="auto"/>
            </w:tcBorders>
            <w:shd w:val="clear" w:color="000000" w:fill="DAE9F8"/>
            <w:noWrap/>
            <w:vAlign w:val="bottom"/>
            <w:hideMark/>
          </w:tcPr>
          <w:p w14:paraId="4E0FEC8E"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86,42,808 </w:t>
            </w:r>
          </w:p>
        </w:tc>
        <w:tc>
          <w:tcPr>
            <w:tcW w:w="542" w:type="pct"/>
            <w:tcBorders>
              <w:top w:val="nil"/>
              <w:left w:val="nil"/>
              <w:bottom w:val="single" w:sz="4" w:space="0" w:color="auto"/>
              <w:right w:val="single" w:sz="4" w:space="0" w:color="auto"/>
            </w:tcBorders>
            <w:shd w:val="clear" w:color="000000" w:fill="DAE9F8"/>
            <w:noWrap/>
            <w:vAlign w:val="bottom"/>
            <w:hideMark/>
          </w:tcPr>
          <w:p w14:paraId="53F2E1FF"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1,07,97,065 </w:t>
            </w:r>
          </w:p>
        </w:tc>
        <w:tc>
          <w:tcPr>
            <w:tcW w:w="542" w:type="pct"/>
            <w:tcBorders>
              <w:top w:val="nil"/>
              <w:left w:val="nil"/>
              <w:bottom w:val="single" w:sz="4" w:space="0" w:color="auto"/>
              <w:right w:val="single" w:sz="4" w:space="0" w:color="auto"/>
            </w:tcBorders>
            <w:shd w:val="clear" w:color="000000" w:fill="DAE9F8"/>
            <w:noWrap/>
            <w:vAlign w:val="bottom"/>
            <w:hideMark/>
          </w:tcPr>
          <w:p w14:paraId="27D4C862"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91,55,255 </w:t>
            </w:r>
          </w:p>
        </w:tc>
        <w:tc>
          <w:tcPr>
            <w:tcW w:w="542" w:type="pct"/>
            <w:tcBorders>
              <w:top w:val="nil"/>
              <w:left w:val="nil"/>
              <w:bottom w:val="single" w:sz="4" w:space="0" w:color="auto"/>
              <w:right w:val="single" w:sz="4" w:space="0" w:color="auto"/>
            </w:tcBorders>
            <w:shd w:val="clear" w:color="000000" w:fill="DAE9F8"/>
            <w:noWrap/>
            <w:vAlign w:val="bottom"/>
            <w:hideMark/>
          </w:tcPr>
          <w:p w14:paraId="29181BCA"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87,93,179 </w:t>
            </w:r>
          </w:p>
        </w:tc>
      </w:tr>
      <w:tr w:rsidR="001C57DB" w:rsidRPr="001C57DB" w14:paraId="020F0BAA"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11254133"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Sales</w:t>
            </w:r>
          </w:p>
        </w:tc>
        <w:tc>
          <w:tcPr>
            <w:tcW w:w="915" w:type="pct"/>
            <w:vMerge/>
            <w:tcBorders>
              <w:top w:val="nil"/>
              <w:left w:val="single" w:sz="4" w:space="0" w:color="auto"/>
              <w:bottom w:val="single" w:sz="4" w:space="0" w:color="auto"/>
              <w:right w:val="single" w:sz="4" w:space="0" w:color="auto"/>
            </w:tcBorders>
            <w:vAlign w:val="center"/>
            <w:hideMark/>
          </w:tcPr>
          <w:p w14:paraId="5D42F035" w14:textId="77777777" w:rsidR="001C57DB" w:rsidRPr="001C57DB" w:rsidRDefault="001C57DB" w:rsidP="001C57DB">
            <w:pPr>
              <w:spacing w:before="0" w:after="0" w:line="240" w:lineRule="auto"/>
              <w:jc w:val="left"/>
              <w:rPr>
                <w:rFonts w:ascii="Arial" w:hAnsi="Arial" w:cs="Arial"/>
                <w:lang w:val="en-IN"/>
              </w:rPr>
            </w:pPr>
          </w:p>
        </w:tc>
        <w:tc>
          <w:tcPr>
            <w:tcW w:w="542" w:type="pct"/>
            <w:tcBorders>
              <w:top w:val="nil"/>
              <w:left w:val="nil"/>
              <w:bottom w:val="single" w:sz="4" w:space="0" w:color="auto"/>
              <w:right w:val="single" w:sz="4" w:space="0" w:color="auto"/>
            </w:tcBorders>
            <w:shd w:val="clear" w:color="000000" w:fill="DAE9F8"/>
            <w:noWrap/>
            <w:vAlign w:val="bottom"/>
            <w:hideMark/>
          </w:tcPr>
          <w:p w14:paraId="6C06014F"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17,52,31,153 </w:t>
            </w:r>
          </w:p>
        </w:tc>
        <w:tc>
          <w:tcPr>
            <w:tcW w:w="542" w:type="pct"/>
            <w:tcBorders>
              <w:top w:val="nil"/>
              <w:left w:val="nil"/>
              <w:bottom w:val="single" w:sz="4" w:space="0" w:color="auto"/>
              <w:right w:val="single" w:sz="4" w:space="0" w:color="auto"/>
            </w:tcBorders>
            <w:shd w:val="clear" w:color="000000" w:fill="DAE9F8"/>
            <w:noWrap/>
            <w:vAlign w:val="bottom"/>
            <w:hideMark/>
          </w:tcPr>
          <w:p w14:paraId="3D6D2EA8"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16,26,63,579 </w:t>
            </w:r>
          </w:p>
        </w:tc>
        <w:tc>
          <w:tcPr>
            <w:tcW w:w="542" w:type="pct"/>
            <w:tcBorders>
              <w:top w:val="nil"/>
              <w:left w:val="nil"/>
              <w:bottom w:val="single" w:sz="4" w:space="0" w:color="auto"/>
              <w:right w:val="single" w:sz="4" w:space="0" w:color="auto"/>
            </w:tcBorders>
            <w:shd w:val="clear" w:color="000000" w:fill="DAE9F8"/>
            <w:noWrap/>
            <w:vAlign w:val="bottom"/>
            <w:hideMark/>
          </w:tcPr>
          <w:p w14:paraId="20A3BFB8"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14,25,27,535 </w:t>
            </w:r>
          </w:p>
        </w:tc>
        <w:tc>
          <w:tcPr>
            <w:tcW w:w="542" w:type="pct"/>
            <w:tcBorders>
              <w:top w:val="nil"/>
              <w:left w:val="nil"/>
              <w:bottom w:val="single" w:sz="4" w:space="0" w:color="auto"/>
              <w:right w:val="single" w:sz="4" w:space="0" w:color="auto"/>
            </w:tcBorders>
            <w:shd w:val="clear" w:color="000000" w:fill="DAE9F8"/>
            <w:noWrap/>
            <w:vAlign w:val="bottom"/>
            <w:hideMark/>
          </w:tcPr>
          <w:p w14:paraId="44FEC3C5"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11,76,10,626 </w:t>
            </w:r>
          </w:p>
        </w:tc>
        <w:tc>
          <w:tcPr>
            <w:tcW w:w="542" w:type="pct"/>
            <w:tcBorders>
              <w:top w:val="nil"/>
              <w:left w:val="nil"/>
              <w:bottom w:val="single" w:sz="4" w:space="0" w:color="auto"/>
              <w:right w:val="single" w:sz="4" w:space="0" w:color="auto"/>
            </w:tcBorders>
            <w:shd w:val="clear" w:color="000000" w:fill="DAE9F8"/>
            <w:noWrap/>
            <w:vAlign w:val="bottom"/>
            <w:hideMark/>
          </w:tcPr>
          <w:p w14:paraId="7CA932CE" w14:textId="77777777" w:rsidR="001C57DB" w:rsidRPr="001C57DB" w:rsidRDefault="001C57DB" w:rsidP="001C57DB">
            <w:pPr>
              <w:spacing w:before="0" w:after="0" w:line="240" w:lineRule="auto"/>
              <w:jc w:val="left"/>
              <w:rPr>
                <w:rFonts w:ascii="Arial" w:hAnsi="Arial" w:cs="Arial"/>
                <w:lang w:val="en-IN"/>
              </w:rPr>
            </w:pPr>
            <w:r w:rsidRPr="001C57DB">
              <w:rPr>
                <w:rFonts w:ascii="Arial" w:hAnsi="Arial" w:cs="Arial"/>
                <w:lang w:val="en-IN"/>
              </w:rPr>
              <w:t xml:space="preserve"> ₩     10,39,97,601 </w:t>
            </w:r>
          </w:p>
        </w:tc>
      </w:tr>
      <w:tr w:rsidR="001C57DB" w:rsidRPr="001C57DB" w14:paraId="010EE4C4" w14:textId="77777777" w:rsidTr="001C57DB">
        <w:trPr>
          <w:trHeight w:val="312"/>
          <w:jc w:val="center"/>
        </w:trPr>
        <w:tc>
          <w:tcPr>
            <w:tcW w:w="1377" w:type="pct"/>
            <w:tcBorders>
              <w:top w:val="nil"/>
              <w:left w:val="single" w:sz="4" w:space="0" w:color="auto"/>
              <w:bottom w:val="single" w:sz="4" w:space="0" w:color="auto"/>
              <w:right w:val="single" w:sz="4" w:space="0" w:color="auto"/>
            </w:tcBorders>
            <w:shd w:val="clear" w:color="000000" w:fill="DAE9F8"/>
            <w:noWrap/>
            <w:vAlign w:val="bottom"/>
            <w:hideMark/>
          </w:tcPr>
          <w:p w14:paraId="163F31EE" w14:textId="71AC32DA" w:rsidR="001C57DB" w:rsidRPr="001C57DB" w:rsidRDefault="006D24DF" w:rsidP="001C57DB">
            <w:pPr>
              <w:spacing w:before="0" w:after="0" w:line="240" w:lineRule="auto"/>
              <w:jc w:val="left"/>
              <w:rPr>
                <w:rFonts w:ascii="Arial" w:hAnsi="Arial" w:cs="Arial"/>
                <w:b/>
                <w:bCs/>
                <w:lang w:val="en-IN"/>
              </w:rPr>
            </w:pPr>
            <w:r>
              <w:rPr>
                <w:rFonts w:ascii="Arial" w:hAnsi="Arial" w:cs="Arial"/>
                <w:b/>
                <w:bCs/>
                <w:lang w:val="en-IN"/>
              </w:rPr>
              <w:t>“</w:t>
            </w:r>
            <w:r w:rsidR="001C57DB" w:rsidRPr="001C57DB">
              <w:rPr>
                <w:rFonts w:ascii="Arial" w:hAnsi="Arial" w:cs="Arial"/>
                <w:b/>
                <w:bCs/>
                <w:lang w:val="en-IN"/>
              </w:rPr>
              <w:t>Payable Days</w:t>
            </w:r>
            <w:r>
              <w:rPr>
                <w:rFonts w:ascii="Arial" w:hAnsi="Arial" w:cs="Arial"/>
                <w:b/>
                <w:bCs/>
                <w:lang w:val="en-IN"/>
              </w:rPr>
              <w:t>”</w:t>
            </w:r>
          </w:p>
        </w:tc>
        <w:tc>
          <w:tcPr>
            <w:tcW w:w="915" w:type="pct"/>
            <w:vMerge/>
            <w:tcBorders>
              <w:top w:val="nil"/>
              <w:left w:val="single" w:sz="4" w:space="0" w:color="auto"/>
              <w:bottom w:val="single" w:sz="4" w:space="0" w:color="auto"/>
              <w:right w:val="single" w:sz="4" w:space="0" w:color="auto"/>
            </w:tcBorders>
            <w:vAlign w:val="center"/>
            <w:hideMark/>
          </w:tcPr>
          <w:p w14:paraId="116B41A5" w14:textId="77777777" w:rsidR="001C57DB" w:rsidRPr="001C57DB" w:rsidRDefault="001C57DB" w:rsidP="001C57DB">
            <w:pPr>
              <w:spacing w:before="0" w:after="0" w:line="240" w:lineRule="auto"/>
              <w:jc w:val="left"/>
              <w:rPr>
                <w:rFonts w:ascii="Arial" w:hAnsi="Arial" w:cs="Arial"/>
                <w:lang w:val="en-IN"/>
              </w:rPr>
            </w:pPr>
          </w:p>
        </w:tc>
        <w:tc>
          <w:tcPr>
            <w:tcW w:w="542" w:type="pct"/>
            <w:tcBorders>
              <w:top w:val="nil"/>
              <w:left w:val="nil"/>
              <w:bottom w:val="single" w:sz="4" w:space="0" w:color="auto"/>
              <w:right w:val="single" w:sz="4" w:space="0" w:color="auto"/>
            </w:tcBorders>
            <w:shd w:val="clear" w:color="000000" w:fill="DAE9F8"/>
            <w:noWrap/>
            <w:vAlign w:val="bottom"/>
            <w:hideMark/>
          </w:tcPr>
          <w:p w14:paraId="5AC21AAD"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19.86</w:t>
            </w:r>
          </w:p>
        </w:tc>
        <w:tc>
          <w:tcPr>
            <w:tcW w:w="542" w:type="pct"/>
            <w:tcBorders>
              <w:top w:val="nil"/>
              <w:left w:val="nil"/>
              <w:bottom w:val="single" w:sz="4" w:space="0" w:color="auto"/>
              <w:right w:val="single" w:sz="4" w:space="0" w:color="auto"/>
            </w:tcBorders>
            <w:shd w:val="clear" w:color="000000" w:fill="DAE9F8"/>
            <w:noWrap/>
            <w:vAlign w:val="bottom"/>
            <w:hideMark/>
          </w:tcPr>
          <w:p w14:paraId="6386407A"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19.39</w:t>
            </w:r>
          </w:p>
        </w:tc>
        <w:tc>
          <w:tcPr>
            <w:tcW w:w="542" w:type="pct"/>
            <w:tcBorders>
              <w:top w:val="nil"/>
              <w:left w:val="nil"/>
              <w:bottom w:val="single" w:sz="4" w:space="0" w:color="auto"/>
              <w:right w:val="single" w:sz="4" w:space="0" w:color="auto"/>
            </w:tcBorders>
            <w:shd w:val="clear" w:color="000000" w:fill="DAE9F8"/>
            <w:noWrap/>
            <w:vAlign w:val="bottom"/>
            <w:hideMark/>
          </w:tcPr>
          <w:p w14:paraId="30647C29"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27.65</w:t>
            </w:r>
          </w:p>
        </w:tc>
        <w:tc>
          <w:tcPr>
            <w:tcW w:w="542" w:type="pct"/>
            <w:tcBorders>
              <w:top w:val="nil"/>
              <w:left w:val="nil"/>
              <w:bottom w:val="single" w:sz="4" w:space="0" w:color="auto"/>
              <w:right w:val="single" w:sz="4" w:space="0" w:color="auto"/>
            </w:tcBorders>
            <w:shd w:val="clear" w:color="000000" w:fill="DAE9F8"/>
            <w:noWrap/>
            <w:vAlign w:val="bottom"/>
            <w:hideMark/>
          </w:tcPr>
          <w:p w14:paraId="19FC03B1"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28.41</w:t>
            </w:r>
          </w:p>
        </w:tc>
        <w:tc>
          <w:tcPr>
            <w:tcW w:w="542" w:type="pct"/>
            <w:tcBorders>
              <w:top w:val="nil"/>
              <w:left w:val="nil"/>
              <w:bottom w:val="single" w:sz="4" w:space="0" w:color="auto"/>
              <w:right w:val="single" w:sz="4" w:space="0" w:color="auto"/>
            </w:tcBorders>
            <w:shd w:val="clear" w:color="000000" w:fill="DAE9F8"/>
            <w:noWrap/>
            <w:vAlign w:val="bottom"/>
            <w:hideMark/>
          </w:tcPr>
          <w:p w14:paraId="74266C1F" w14:textId="77777777" w:rsidR="001C57DB" w:rsidRPr="001C57DB" w:rsidRDefault="001C57DB" w:rsidP="001C57DB">
            <w:pPr>
              <w:spacing w:before="0" w:after="0" w:line="240" w:lineRule="auto"/>
              <w:jc w:val="right"/>
              <w:rPr>
                <w:rFonts w:ascii="Arial" w:hAnsi="Arial" w:cs="Arial"/>
                <w:b/>
                <w:bCs/>
                <w:lang w:val="en-IN"/>
              </w:rPr>
            </w:pPr>
            <w:r w:rsidRPr="001C57DB">
              <w:rPr>
                <w:rFonts w:ascii="Arial" w:hAnsi="Arial" w:cs="Arial"/>
                <w:b/>
                <w:bCs/>
                <w:lang w:val="en-IN"/>
              </w:rPr>
              <w:t>30.86</w:t>
            </w:r>
          </w:p>
        </w:tc>
      </w:tr>
      <w:tr w:rsidR="001C57DB" w:rsidRPr="001C57DB" w14:paraId="14B41A7B" w14:textId="77777777" w:rsidTr="001C57DB">
        <w:trPr>
          <w:trHeight w:val="600"/>
          <w:jc w:val="center"/>
        </w:trPr>
        <w:tc>
          <w:tcPr>
            <w:tcW w:w="1377" w:type="pct"/>
            <w:tcBorders>
              <w:top w:val="nil"/>
              <w:left w:val="single" w:sz="4" w:space="0" w:color="auto"/>
              <w:bottom w:val="single" w:sz="4" w:space="0" w:color="auto"/>
              <w:right w:val="single" w:sz="4" w:space="0" w:color="auto"/>
            </w:tcBorders>
            <w:shd w:val="clear" w:color="000000" w:fill="153D64"/>
            <w:noWrap/>
            <w:vAlign w:val="center"/>
            <w:hideMark/>
          </w:tcPr>
          <w:p w14:paraId="336ADE4A" w14:textId="42AA21DB" w:rsidR="001C57DB" w:rsidRPr="001C57DB" w:rsidRDefault="001C57DB" w:rsidP="001C57DB">
            <w:pPr>
              <w:spacing w:before="0" w:after="0" w:line="240" w:lineRule="auto"/>
              <w:jc w:val="left"/>
              <w:rPr>
                <w:rFonts w:ascii="Arial" w:hAnsi="Arial" w:cs="Arial"/>
                <w:b/>
                <w:bCs/>
                <w:color w:val="FFFFFF"/>
                <w:lang w:val="en-IN"/>
              </w:rPr>
            </w:pPr>
            <w:r w:rsidRPr="001C57DB">
              <w:rPr>
                <w:rFonts w:ascii="Arial" w:hAnsi="Arial" w:cs="Arial"/>
                <w:b/>
                <w:bCs/>
                <w:color w:val="FFFFFF"/>
                <w:lang w:val="en-IN"/>
              </w:rPr>
              <w:t xml:space="preserve">Calculate </w:t>
            </w:r>
            <w:r w:rsidR="006D24DF">
              <w:rPr>
                <w:rFonts w:ascii="Arial" w:hAnsi="Arial" w:cs="Arial"/>
                <w:b/>
                <w:bCs/>
                <w:color w:val="FFFFFF"/>
                <w:lang w:val="en-IN"/>
              </w:rPr>
              <w:t>“</w:t>
            </w:r>
            <w:r w:rsidRPr="001C57DB">
              <w:rPr>
                <w:rFonts w:ascii="Arial" w:hAnsi="Arial" w:cs="Arial"/>
                <w:b/>
                <w:bCs/>
                <w:color w:val="FFFFFF"/>
                <w:lang w:val="en-IN"/>
              </w:rPr>
              <w:t>Cash Operating Cycle (CCC)</w:t>
            </w:r>
            <w:r w:rsidR="006D24DF">
              <w:rPr>
                <w:rFonts w:ascii="Arial" w:hAnsi="Arial" w:cs="Arial"/>
                <w:b/>
                <w:bCs/>
                <w:color w:val="FFFFFF"/>
                <w:lang w:val="en-IN"/>
              </w:rPr>
              <w:t>”</w:t>
            </w:r>
          </w:p>
        </w:tc>
        <w:tc>
          <w:tcPr>
            <w:tcW w:w="915" w:type="pct"/>
            <w:tcBorders>
              <w:top w:val="nil"/>
              <w:left w:val="nil"/>
              <w:bottom w:val="single" w:sz="4" w:space="0" w:color="auto"/>
              <w:right w:val="single" w:sz="4" w:space="0" w:color="auto"/>
            </w:tcBorders>
            <w:shd w:val="clear" w:color="000000" w:fill="DAE9F8"/>
            <w:vAlign w:val="center"/>
            <w:hideMark/>
          </w:tcPr>
          <w:p w14:paraId="25DE815F" w14:textId="77777777" w:rsidR="001C57DB" w:rsidRPr="001C57DB" w:rsidRDefault="001C57DB" w:rsidP="001C57DB">
            <w:pPr>
              <w:spacing w:before="0" w:after="0" w:line="240" w:lineRule="auto"/>
              <w:jc w:val="center"/>
              <w:rPr>
                <w:rFonts w:ascii="Arial" w:hAnsi="Arial" w:cs="Arial"/>
                <w:lang w:val="en-IN"/>
              </w:rPr>
            </w:pPr>
            <w:r w:rsidRPr="001C57DB">
              <w:rPr>
                <w:rFonts w:ascii="Arial" w:hAnsi="Arial" w:cs="Arial"/>
                <w:lang w:val="en-IN"/>
              </w:rPr>
              <w:t>Inventory Days+Receivable Days−Payable Days</w:t>
            </w:r>
          </w:p>
        </w:tc>
        <w:tc>
          <w:tcPr>
            <w:tcW w:w="542" w:type="pct"/>
            <w:tcBorders>
              <w:top w:val="nil"/>
              <w:left w:val="nil"/>
              <w:bottom w:val="single" w:sz="4" w:space="0" w:color="auto"/>
              <w:right w:val="single" w:sz="4" w:space="0" w:color="auto"/>
            </w:tcBorders>
            <w:shd w:val="clear" w:color="000000" w:fill="153D64"/>
            <w:noWrap/>
            <w:vAlign w:val="center"/>
            <w:hideMark/>
          </w:tcPr>
          <w:p w14:paraId="6415D93D" w14:textId="77777777" w:rsidR="001C57DB" w:rsidRPr="001C57DB" w:rsidRDefault="001C57DB" w:rsidP="001C57DB">
            <w:pPr>
              <w:spacing w:before="0" w:after="0" w:line="240" w:lineRule="auto"/>
              <w:jc w:val="right"/>
              <w:rPr>
                <w:rFonts w:ascii="Arial" w:hAnsi="Arial" w:cs="Arial"/>
                <w:b/>
                <w:bCs/>
                <w:color w:val="FFFFFF"/>
                <w:lang w:val="en-IN"/>
              </w:rPr>
            </w:pPr>
            <w:r w:rsidRPr="001C57DB">
              <w:rPr>
                <w:rFonts w:ascii="Arial" w:hAnsi="Arial" w:cs="Arial"/>
                <w:b/>
                <w:bCs/>
                <w:color w:val="FFFFFF"/>
                <w:lang w:val="en-IN"/>
              </w:rPr>
              <w:t>33.67</w:t>
            </w:r>
          </w:p>
        </w:tc>
        <w:tc>
          <w:tcPr>
            <w:tcW w:w="542" w:type="pct"/>
            <w:tcBorders>
              <w:top w:val="nil"/>
              <w:left w:val="nil"/>
              <w:bottom w:val="single" w:sz="4" w:space="0" w:color="auto"/>
              <w:right w:val="single" w:sz="4" w:space="0" w:color="auto"/>
            </w:tcBorders>
            <w:shd w:val="clear" w:color="000000" w:fill="153D64"/>
            <w:noWrap/>
            <w:vAlign w:val="center"/>
            <w:hideMark/>
          </w:tcPr>
          <w:p w14:paraId="353BD270" w14:textId="77777777" w:rsidR="001C57DB" w:rsidRPr="001C57DB" w:rsidRDefault="001C57DB" w:rsidP="001C57DB">
            <w:pPr>
              <w:spacing w:before="0" w:after="0" w:line="240" w:lineRule="auto"/>
              <w:jc w:val="right"/>
              <w:rPr>
                <w:rFonts w:ascii="Arial" w:hAnsi="Arial" w:cs="Arial"/>
                <w:b/>
                <w:bCs/>
                <w:color w:val="FFFFFF"/>
                <w:lang w:val="en-IN"/>
              </w:rPr>
            </w:pPr>
            <w:r w:rsidRPr="001C57DB">
              <w:rPr>
                <w:rFonts w:ascii="Arial" w:hAnsi="Arial" w:cs="Arial"/>
                <w:b/>
                <w:bCs/>
                <w:color w:val="FFFFFF"/>
                <w:lang w:val="en-IN"/>
              </w:rPr>
              <w:t>30.16</w:t>
            </w:r>
          </w:p>
        </w:tc>
        <w:tc>
          <w:tcPr>
            <w:tcW w:w="542" w:type="pct"/>
            <w:tcBorders>
              <w:top w:val="nil"/>
              <w:left w:val="nil"/>
              <w:bottom w:val="single" w:sz="4" w:space="0" w:color="auto"/>
              <w:right w:val="single" w:sz="4" w:space="0" w:color="auto"/>
            </w:tcBorders>
            <w:shd w:val="clear" w:color="000000" w:fill="153D64"/>
            <w:noWrap/>
            <w:vAlign w:val="center"/>
            <w:hideMark/>
          </w:tcPr>
          <w:p w14:paraId="5304E99A" w14:textId="77777777" w:rsidR="001C57DB" w:rsidRPr="001C57DB" w:rsidRDefault="001C57DB" w:rsidP="001C57DB">
            <w:pPr>
              <w:spacing w:before="0" w:after="0" w:line="240" w:lineRule="auto"/>
              <w:jc w:val="right"/>
              <w:rPr>
                <w:rFonts w:ascii="Arial" w:hAnsi="Arial" w:cs="Arial"/>
                <w:b/>
                <w:bCs/>
                <w:color w:val="FFFFFF"/>
                <w:lang w:val="en-IN"/>
              </w:rPr>
            </w:pPr>
            <w:r w:rsidRPr="001C57DB">
              <w:rPr>
                <w:rFonts w:ascii="Arial" w:hAnsi="Arial" w:cs="Arial"/>
                <w:b/>
                <w:bCs/>
                <w:color w:val="FFFFFF"/>
                <w:lang w:val="en-IN"/>
              </w:rPr>
              <w:t>19.91</w:t>
            </w:r>
          </w:p>
        </w:tc>
        <w:tc>
          <w:tcPr>
            <w:tcW w:w="542" w:type="pct"/>
            <w:tcBorders>
              <w:top w:val="nil"/>
              <w:left w:val="nil"/>
              <w:bottom w:val="single" w:sz="4" w:space="0" w:color="auto"/>
              <w:right w:val="single" w:sz="4" w:space="0" w:color="auto"/>
            </w:tcBorders>
            <w:shd w:val="clear" w:color="000000" w:fill="153D64"/>
            <w:noWrap/>
            <w:vAlign w:val="center"/>
            <w:hideMark/>
          </w:tcPr>
          <w:p w14:paraId="7E82ADC1" w14:textId="77777777" w:rsidR="001C57DB" w:rsidRPr="001C57DB" w:rsidRDefault="001C57DB" w:rsidP="001C57DB">
            <w:pPr>
              <w:spacing w:before="0" w:after="0" w:line="240" w:lineRule="auto"/>
              <w:jc w:val="right"/>
              <w:rPr>
                <w:rFonts w:ascii="Arial" w:hAnsi="Arial" w:cs="Arial"/>
                <w:b/>
                <w:bCs/>
                <w:color w:val="FFFFFF"/>
                <w:lang w:val="en-IN"/>
              </w:rPr>
            </w:pPr>
            <w:r w:rsidRPr="001C57DB">
              <w:rPr>
                <w:rFonts w:ascii="Arial" w:hAnsi="Arial" w:cs="Arial"/>
                <w:b/>
                <w:bCs/>
                <w:color w:val="FFFFFF"/>
                <w:lang w:val="en-IN"/>
              </w:rPr>
              <w:t>17.50</w:t>
            </w:r>
          </w:p>
        </w:tc>
        <w:tc>
          <w:tcPr>
            <w:tcW w:w="542" w:type="pct"/>
            <w:tcBorders>
              <w:top w:val="nil"/>
              <w:left w:val="nil"/>
              <w:bottom w:val="single" w:sz="4" w:space="0" w:color="auto"/>
              <w:right w:val="single" w:sz="4" w:space="0" w:color="auto"/>
            </w:tcBorders>
            <w:shd w:val="clear" w:color="000000" w:fill="153D64"/>
            <w:noWrap/>
            <w:vAlign w:val="center"/>
            <w:hideMark/>
          </w:tcPr>
          <w:p w14:paraId="7650CC22" w14:textId="77777777" w:rsidR="001C57DB" w:rsidRPr="001C57DB" w:rsidRDefault="001C57DB" w:rsidP="001C57DB">
            <w:pPr>
              <w:spacing w:before="0" w:after="0" w:line="240" w:lineRule="auto"/>
              <w:jc w:val="right"/>
              <w:rPr>
                <w:rFonts w:ascii="Arial" w:hAnsi="Arial" w:cs="Arial"/>
                <w:b/>
                <w:bCs/>
                <w:color w:val="FFFFFF"/>
                <w:lang w:val="en-IN"/>
              </w:rPr>
            </w:pPr>
            <w:r w:rsidRPr="001C57DB">
              <w:rPr>
                <w:rFonts w:ascii="Arial" w:hAnsi="Arial" w:cs="Arial"/>
                <w:b/>
                <w:bCs/>
                <w:color w:val="FFFFFF"/>
                <w:lang w:val="en-IN"/>
              </w:rPr>
              <w:t>20.44</w:t>
            </w:r>
          </w:p>
        </w:tc>
      </w:tr>
    </w:tbl>
    <w:p w14:paraId="0EEE73FE" w14:textId="77777777" w:rsidR="0082673E" w:rsidRDefault="00CC1805">
      <w:pPr>
        <w:jc w:val="center"/>
        <w:rPr>
          <w:rFonts w:ascii="Arial" w:eastAsia="Arial" w:hAnsi="Arial" w:cs="Arial"/>
        </w:rPr>
      </w:pPr>
      <w:r>
        <w:rPr>
          <w:rFonts w:ascii="Arial" w:eastAsia="Arial" w:hAnsi="Arial" w:cs="Arial"/>
        </w:rPr>
        <w:t>(Source: Excel)</w:t>
      </w:r>
    </w:p>
    <w:p w14:paraId="6CE4904B" w14:textId="77777777" w:rsidR="0082673E" w:rsidRDefault="00CC1805">
      <w:pPr>
        <w:jc w:val="center"/>
        <w:rPr>
          <w:rFonts w:ascii="Arial" w:eastAsia="Arial" w:hAnsi="Arial" w:cs="Arial"/>
        </w:rPr>
      </w:pPr>
      <w:r>
        <w:rPr>
          <w:rFonts w:ascii="Arial" w:eastAsia="Arial" w:hAnsi="Arial" w:cs="Arial"/>
          <w:noProof/>
        </w:rPr>
        <w:drawing>
          <wp:inline distT="114300" distB="114300" distL="114300" distR="114300" wp14:anchorId="3B9FDE5D" wp14:editId="7F227132">
            <wp:extent cx="5731200" cy="24765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4"/>
                    <a:srcRect/>
                    <a:stretch>
                      <a:fillRect/>
                    </a:stretch>
                  </pic:blipFill>
                  <pic:spPr>
                    <a:xfrm>
                      <a:off x="0" y="0"/>
                      <a:ext cx="5731200" cy="2476500"/>
                    </a:xfrm>
                    <a:prstGeom prst="rect">
                      <a:avLst/>
                    </a:prstGeom>
                    <a:ln/>
                  </pic:spPr>
                </pic:pic>
              </a:graphicData>
            </a:graphic>
          </wp:inline>
        </w:drawing>
      </w:r>
    </w:p>
    <w:p w14:paraId="17806FDB" w14:textId="77777777" w:rsidR="0082673E" w:rsidRDefault="00CC1805">
      <w:pPr>
        <w:jc w:val="center"/>
        <w:rPr>
          <w:rFonts w:ascii="Arial" w:eastAsia="Arial" w:hAnsi="Arial" w:cs="Arial"/>
        </w:rPr>
      </w:pPr>
      <w:r>
        <w:rPr>
          <w:rFonts w:ascii="Arial" w:eastAsia="Arial" w:hAnsi="Arial" w:cs="Arial"/>
        </w:rPr>
        <w:t>(Source: Excel)</w:t>
      </w:r>
    </w:p>
    <w:p w14:paraId="354FD989" w14:textId="77777777" w:rsidR="0082673E" w:rsidRDefault="00CC1805">
      <w:pPr>
        <w:pStyle w:val="Heading2"/>
      </w:pPr>
      <w:bookmarkStart w:id="28" w:name="_Toc227860380"/>
      <w:r>
        <w:t>Appendix IV: Investment Appraisal</w:t>
      </w:r>
      <w:bookmarkEnd w:id="28"/>
      <w:r>
        <w:t xml:space="preserve"> </w:t>
      </w:r>
    </w:p>
    <w:tbl>
      <w:tblPr>
        <w:tblW w:w="5000" w:type="pct"/>
        <w:jc w:val="center"/>
        <w:tblLook w:val="04A0" w:firstRow="1" w:lastRow="0" w:firstColumn="1" w:lastColumn="0" w:noHBand="0" w:noVBand="1"/>
      </w:tblPr>
      <w:tblGrid>
        <w:gridCol w:w="1030"/>
        <w:gridCol w:w="1594"/>
        <w:gridCol w:w="1341"/>
        <w:gridCol w:w="1945"/>
        <w:gridCol w:w="1327"/>
        <w:gridCol w:w="1782"/>
      </w:tblGrid>
      <w:tr w:rsidR="001C57DB" w:rsidRPr="001C57DB" w14:paraId="51F74392" w14:textId="77777777" w:rsidTr="006F7D3D">
        <w:trPr>
          <w:trHeight w:val="312"/>
          <w:jc w:val="center"/>
        </w:trPr>
        <w:tc>
          <w:tcPr>
            <w:tcW w:w="519" w:type="pct"/>
            <w:tcBorders>
              <w:top w:val="single" w:sz="4" w:space="0" w:color="000000"/>
              <w:left w:val="single" w:sz="4" w:space="0" w:color="000000"/>
              <w:bottom w:val="single" w:sz="4" w:space="0" w:color="000000"/>
              <w:right w:val="single" w:sz="4" w:space="0" w:color="000000"/>
            </w:tcBorders>
            <w:shd w:val="clear" w:color="000000" w:fill="153D64"/>
            <w:vAlign w:val="center"/>
            <w:hideMark/>
          </w:tcPr>
          <w:p w14:paraId="40FBACFE" w14:textId="77777777" w:rsidR="001C57DB" w:rsidRPr="001C57DB" w:rsidRDefault="001C57DB" w:rsidP="006F7D3D">
            <w:pPr>
              <w:spacing w:before="0" w:after="0" w:line="240" w:lineRule="auto"/>
              <w:jc w:val="center"/>
              <w:rPr>
                <w:rFonts w:ascii="Arial" w:hAnsi="Arial" w:cs="Arial"/>
                <w:b/>
                <w:bCs/>
                <w:color w:val="FFFFFF"/>
                <w:lang w:val="en-IN"/>
              </w:rPr>
            </w:pPr>
            <w:r w:rsidRPr="001C57DB">
              <w:rPr>
                <w:rFonts w:ascii="Arial" w:hAnsi="Arial" w:cs="Arial"/>
                <w:b/>
                <w:bCs/>
                <w:color w:val="FFFFFF"/>
                <w:lang w:val="en-IN"/>
              </w:rPr>
              <w:t>Project</w:t>
            </w:r>
          </w:p>
        </w:tc>
        <w:tc>
          <w:tcPr>
            <w:tcW w:w="894" w:type="pct"/>
            <w:tcBorders>
              <w:top w:val="single" w:sz="4" w:space="0" w:color="000000"/>
              <w:left w:val="nil"/>
              <w:bottom w:val="single" w:sz="4" w:space="0" w:color="000000"/>
              <w:right w:val="single" w:sz="4" w:space="0" w:color="000000"/>
            </w:tcBorders>
            <w:shd w:val="clear" w:color="000000" w:fill="153D64"/>
            <w:vAlign w:val="center"/>
            <w:hideMark/>
          </w:tcPr>
          <w:p w14:paraId="12287327" w14:textId="28C3AC18" w:rsidR="001C57DB" w:rsidRPr="001C57DB" w:rsidRDefault="001C57DB" w:rsidP="006F7D3D">
            <w:pPr>
              <w:spacing w:before="0" w:after="0" w:line="240" w:lineRule="auto"/>
              <w:jc w:val="center"/>
              <w:rPr>
                <w:rFonts w:ascii="Arial" w:hAnsi="Arial" w:cs="Arial"/>
                <w:b/>
                <w:bCs/>
                <w:color w:val="FFFFFF"/>
                <w:lang w:val="en-IN"/>
              </w:rPr>
            </w:pPr>
            <w:r>
              <w:rPr>
                <w:rFonts w:ascii="Arial" w:hAnsi="Arial" w:cs="Arial"/>
                <w:b/>
                <w:bCs/>
                <w:color w:val="FFFFFF"/>
                <w:lang w:val="en-IN"/>
              </w:rPr>
              <w:t>“</w:t>
            </w:r>
            <w:r w:rsidRPr="001C57DB">
              <w:rPr>
                <w:rFonts w:ascii="Arial" w:hAnsi="Arial" w:cs="Arial"/>
                <w:b/>
                <w:bCs/>
                <w:color w:val="FFFFFF"/>
                <w:lang w:val="en-IN"/>
              </w:rPr>
              <w:t>NPV</w:t>
            </w:r>
            <w:r>
              <w:rPr>
                <w:rFonts w:ascii="Arial" w:hAnsi="Arial" w:cs="Arial"/>
                <w:b/>
                <w:bCs/>
                <w:color w:val="FFFFFF"/>
                <w:lang w:val="en-IN"/>
              </w:rPr>
              <w:t>”</w:t>
            </w:r>
          </w:p>
        </w:tc>
        <w:tc>
          <w:tcPr>
            <w:tcW w:w="754" w:type="pct"/>
            <w:tcBorders>
              <w:top w:val="single" w:sz="4" w:space="0" w:color="000000"/>
              <w:left w:val="nil"/>
              <w:bottom w:val="single" w:sz="4" w:space="0" w:color="000000"/>
              <w:right w:val="single" w:sz="4" w:space="0" w:color="000000"/>
            </w:tcBorders>
            <w:shd w:val="clear" w:color="000000" w:fill="153D64"/>
            <w:vAlign w:val="center"/>
            <w:hideMark/>
          </w:tcPr>
          <w:p w14:paraId="34D661B5" w14:textId="62905B57" w:rsidR="001C57DB" w:rsidRPr="001C57DB" w:rsidRDefault="001C57DB" w:rsidP="006F7D3D">
            <w:pPr>
              <w:spacing w:before="0" w:after="0" w:line="240" w:lineRule="auto"/>
              <w:jc w:val="center"/>
              <w:rPr>
                <w:rFonts w:ascii="Arial" w:hAnsi="Arial" w:cs="Arial"/>
                <w:b/>
                <w:bCs/>
                <w:color w:val="FFFFFF"/>
                <w:lang w:val="en-IN"/>
              </w:rPr>
            </w:pPr>
            <w:r>
              <w:rPr>
                <w:rFonts w:ascii="Arial" w:hAnsi="Arial" w:cs="Arial"/>
                <w:b/>
                <w:bCs/>
                <w:color w:val="FFFFFF"/>
                <w:lang w:val="en-IN"/>
              </w:rPr>
              <w:t>“</w:t>
            </w:r>
            <w:r w:rsidRPr="001C57DB">
              <w:rPr>
                <w:rFonts w:ascii="Arial" w:hAnsi="Arial" w:cs="Arial"/>
                <w:b/>
                <w:bCs/>
                <w:color w:val="FFFFFF"/>
                <w:lang w:val="en-IN"/>
              </w:rPr>
              <w:t>PI</w:t>
            </w:r>
            <w:r>
              <w:rPr>
                <w:rFonts w:ascii="Arial" w:hAnsi="Arial" w:cs="Arial"/>
                <w:b/>
                <w:bCs/>
                <w:color w:val="FFFFFF"/>
                <w:lang w:val="en-IN"/>
              </w:rPr>
              <w:t>”</w:t>
            </w:r>
          </w:p>
        </w:tc>
        <w:tc>
          <w:tcPr>
            <w:tcW w:w="1089" w:type="pct"/>
            <w:tcBorders>
              <w:top w:val="single" w:sz="4" w:space="0" w:color="000000"/>
              <w:left w:val="nil"/>
              <w:bottom w:val="single" w:sz="4" w:space="0" w:color="000000"/>
              <w:right w:val="single" w:sz="4" w:space="0" w:color="000000"/>
            </w:tcBorders>
            <w:shd w:val="clear" w:color="000000" w:fill="153D64"/>
            <w:vAlign w:val="center"/>
            <w:hideMark/>
          </w:tcPr>
          <w:p w14:paraId="1F6F1B9F" w14:textId="19C72BB5" w:rsidR="001C57DB" w:rsidRPr="001C57DB" w:rsidRDefault="001C57DB" w:rsidP="006F7D3D">
            <w:pPr>
              <w:spacing w:before="0" w:after="0" w:line="240" w:lineRule="auto"/>
              <w:jc w:val="center"/>
              <w:rPr>
                <w:rFonts w:ascii="Arial" w:hAnsi="Arial" w:cs="Arial"/>
                <w:b/>
                <w:bCs/>
                <w:color w:val="FFFFFF"/>
                <w:lang w:val="en-IN"/>
              </w:rPr>
            </w:pPr>
            <w:r>
              <w:rPr>
                <w:rFonts w:ascii="Arial" w:hAnsi="Arial" w:cs="Arial"/>
                <w:b/>
                <w:bCs/>
                <w:color w:val="FFFFFF"/>
                <w:lang w:val="en-IN"/>
              </w:rPr>
              <w:t>“</w:t>
            </w:r>
            <w:r w:rsidRPr="001C57DB">
              <w:rPr>
                <w:rFonts w:ascii="Arial" w:hAnsi="Arial" w:cs="Arial"/>
                <w:b/>
                <w:bCs/>
                <w:color w:val="FFFFFF"/>
                <w:lang w:val="en-IN"/>
              </w:rPr>
              <w:t>PBP</w:t>
            </w:r>
            <w:r>
              <w:rPr>
                <w:rFonts w:ascii="Arial" w:hAnsi="Arial" w:cs="Arial"/>
                <w:b/>
                <w:bCs/>
                <w:color w:val="FFFFFF"/>
                <w:lang w:val="en-IN"/>
              </w:rPr>
              <w:t>”</w:t>
            </w:r>
          </w:p>
        </w:tc>
        <w:tc>
          <w:tcPr>
            <w:tcW w:w="746" w:type="pct"/>
            <w:tcBorders>
              <w:top w:val="single" w:sz="4" w:space="0" w:color="000000"/>
              <w:left w:val="nil"/>
              <w:bottom w:val="single" w:sz="4" w:space="0" w:color="000000"/>
              <w:right w:val="single" w:sz="4" w:space="0" w:color="000000"/>
            </w:tcBorders>
            <w:shd w:val="clear" w:color="000000" w:fill="153D64"/>
            <w:vAlign w:val="center"/>
            <w:hideMark/>
          </w:tcPr>
          <w:p w14:paraId="04836574" w14:textId="063F60F0" w:rsidR="001C57DB" w:rsidRPr="001C57DB" w:rsidRDefault="001C57DB" w:rsidP="006F7D3D">
            <w:pPr>
              <w:spacing w:before="0" w:after="0" w:line="240" w:lineRule="auto"/>
              <w:jc w:val="center"/>
              <w:rPr>
                <w:rFonts w:ascii="Arial" w:hAnsi="Arial" w:cs="Arial"/>
                <w:b/>
                <w:bCs/>
                <w:color w:val="FFFFFF"/>
                <w:lang w:val="en-IN"/>
              </w:rPr>
            </w:pPr>
            <w:r>
              <w:rPr>
                <w:rFonts w:ascii="Arial" w:hAnsi="Arial" w:cs="Arial"/>
                <w:b/>
                <w:bCs/>
                <w:color w:val="FFFFFF"/>
                <w:lang w:val="en-IN"/>
              </w:rPr>
              <w:t>“</w:t>
            </w:r>
            <w:r w:rsidRPr="001C57DB">
              <w:rPr>
                <w:rFonts w:ascii="Arial" w:hAnsi="Arial" w:cs="Arial"/>
                <w:b/>
                <w:bCs/>
                <w:color w:val="FFFFFF"/>
                <w:lang w:val="en-IN"/>
              </w:rPr>
              <w:t>IRR</w:t>
            </w:r>
            <w:r>
              <w:rPr>
                <w:rFonts w:ascii="Arial" w:hAnsi="Arial" w:cs="Arial"/>
                <w:b/>
                <w:bCs/>
                <w:color w:val="FFFFFF"/>
                <w:lang w:val="en-IN"/>
              </w:rPr>
              <w:t>”</w:t>
            </w:r>
          </w:p>
        </w:tc>
        <w:tc>
          <w:tcPr>
            <w:tcW w:w="998" w:type="pct"/>
            <w:tcBorders>
              <w:top w:val="single" w:sz="4" w:space="0" w:color="000000"/>
              <w:left w:val="nil"/>
              <w:bottom w:val="single" w:sz="4" w:space="0" w:color="000000"/>
              <w:right w:val="single" w:sz="4" w:space="0" w:color="000000"/>
            </w:tcBorders>
            <w:shd w:val="clear" w:color="000000" w:fill="153D64"/>
            <w:vAlign w:val="center"/>
            <w:hideMark/>
          </w:tcPr>
          <w:p w14:paraId="3FD7B994" w14:textId="50BE1483" w:rsidR="001C57DB" w:rsidRPr="001C57DB" w:rsidRDefault="001C57DB" w:rsidP="006F7D3D">
            <w:pPr>
              <w:spacing w:before="0" w:after="0" w:line="240" w:lineRule="auto"/>
              <w:jc w:val="center"/>
              <w:rPr>
                <w:rFonts w:ascii="Arial" w:hAnsi="Arial" w:cs="Arial"/>
                <w:b/>
                <w:bCs/>
                <w:color w:val="FFFFFF"/>
                <w:lang w:val="en-IN"/>
              </w:rPr>
            </w:pPr>
            <w:r>
              <w:rPr>
                <w:rFonts w:ascii="Arial" w:hAnsi="Arial" w:cs="Arial"/>
                <w:b/>
                <w:bCs/>
                <w:color w:val="FFFFFF"/>
                <w:lang w:val="en-IN"/>
              </w:rPr>
              <w:t>“</w:t>
            </w:r>
            <w:r w:rsidRPr="001C57DB">
              <w:rPr>
                <w:rFonts w:ascii="Arial" w:hAnsi="Arial" w:cs="Arial"/>
                <w:b/>
                <w:bCs/>
                <w:color w:val="FFFFFF"/>
                <w:lang w:val="en-IN"/>
              </w:rPr>
              <w:t>ARR</w:t>
            </w:r>
            <w:r>
              <w:rPr>
                <w:rFonts w:ascii="Arial" w:hAnsi="Arial" w:cs="Arial"/>
                <w:b/>
                <w:bCs/>
                <w:color w:val="FFFFFF"/>
                <w:lang w:val="en-IN"/>
              </w:rPr>
              <w:t>”</w:t>
            </w:r>
          </w:p>
        </w:tc>
      </w:tr>
      <w:tr w:rsidR="001C57DB" w:rsidRPr="001C57DB" w14:paraId="47904544" w14:textId="77777777" w:rsidTr="006F7D3D">
        <w:trPr>
          <w:trHeight w:val="300"/>
          <w:jc w:val="center"/>
        </w:trPr>
        <w:tc>
          <w:tcPr>
            <w:tcW w:w="519" w:type="pct"/>
            <w:tcBorders>
              <w:top w:val="nil"/>
              <w:left w:val="single" w:sz="4" w:space="0" w:color="000000"/>
              <w:bottom w:val="single" w:sz="4" w:space="0" w:color="000000"/>
              <w:right w:val="single" w:sz="4" w:space="0" w:color="000000"/>
            </w:tcBorders>
            <w:shd w:val="clear" w:color="000000" w:fill="153D64"/>
            <w:vAlign w:val="center"/>
            <w:hideMark/>
          </w:tcPr>
          <w:p w14:paraId="15E82BF5" w14:textId="77777777" w:rsidR="001C57DB" w:rsidRPr="001C57DB" w:rsidRDefault="001C57DB" w:rsidP="006F7D3D">
            <w:pPr>
              <w:spacing w:before="0" w:after="0" w:line="240" w:lineRule="auto"/>
              <w:jc w:val="center"/>
              <w:rPr>
                <w:rFonts w:ascii="Arial" w:hAnsi="Arial" w:cs="Arial"/>
                <w:color w:val="FFFFFF"/>
                <w:lang w:val="en-IN"/>
              </w:rPr>
            </w:pPr>
            <w:r w:rsidRPr="001C57DB">
              <w:rPr>
                <w:rFonts w:ascii="Arial" w:hAnsi="Arial" w:cs="Arial"/>
                <w:color w:val="FFFFFF"/>
                <w:lang w:val="en-IN"/>
              </w:rPr>
              <w:t>A</w:t>
            </w:r>
          </w:p>
        </w:tc>
        <w:tc>
          <w:tcPr>
            <w:tcW w:w="894" w:type="pct"/>
            <w:tcBorders>
              <w:top w:val="nil"/>
              <w:left w:val="nil"/>
              <w:bottom w:val="single" w:sz="4" w:space="0" w:color="000000"/>
              <w:right w:val="single" w:sz="4" w:space="0" w:color="000000"/>
            </w:tcBorders>
            <w:shd w:val="clear" w:color="000000" w:fill="DAE9F8"/>
            <w:vAlign w:val="center"/>
            <w:hideMark/>
          </w:tcPr>
          <w:p w14:paraId="06EB0969"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 xml:space="preserve">-£               8.7 </w:t>
            </w:r>
          </w:p>
        </w:tc>
        <w:tc>
          <w:tcPr>
            <w:tcW w:w="754" w:type="pct"/>
            <w:tcBorders>
              <w:top w:val="nil"/>
              <w:left w:val="nil"/>
              <w:bottom w:val="single" w:sz="4" w:space="0" w:color="000000"/>
              <w:right w:val="single" w:sz="4" w:space="0" w:color="000000"/>
            </w:tcBorders>
            <w:shd w:val="clear" w:color="000000" w:fill="DAE9F8"/>
            <w:vAlign w:val="center"/>
            <w:hideMark/>
          </w:tcPr>
          <w:p w14:paraId="01D4A57D"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1.2</w:t>
            </w:r>
          </w:p>
        </w:tc>
        <w:tc>
          <w:tcPr>
            <w:tcW w:w="1089" w:type="pct"/>
            <w:tcBorders>
              <w:top w:val="nil"/>
              <w:left w:val="nil"/>
              <w:bottom w:val="single" w:sz="4" w:space="0" w:color="000000"/>
              <w:right w:val="single" w:sz="4" w:space="0" w:color="000000"/>
            </w:tcBorders>
            <w:shd w:val="clear" w:color="000000" w:fill="DAE9F8"/>
            <w:noWrap/>
            <w:vAlign w:val="center"/>
            <w:hideMark/>
          </w:tcPr>
          <w:p w14:paraId="55DD638E"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Not Recovered</w:t>
            </w:r>
          </w:p>
        </w:tc>
        <w:tc>
          <w:tcPr>
            <w:tcW w:w="746" w:type="pct"/>
            <w:tcBorders>
              <w:top w:val="nil"/>
              <w:left w:val="nil"/>
              <w:bottom w:val="single" w:sz="4" w:space="0" w:color="000000"/>
              <w:right w:val="single" w:sz="4" w:space="0" w:color="000000"/>
            </w:tcBorders>
            <w:shd w:val="clear" w:color="000000" w:fill="DAE9F8"/>
            <w:noWrap/>
            <w:vAlign w:val="center"/>
            <w:hideMark/>
          </w:tcPr>
          <w:p w14:paraId="294132CE"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2.7%</w:t>
            </w:r>
          </w:p>
        </w:tc>
        <w:tc>
          <w:tcPr>
            <w:tcW w:w="998" w:type="pct"/>
            <w:tcBorders>
              <w:top w:val="nil"/>
              <w:left w:val="nil"/>
              <w:bottom w:val="single" w:sz="4" w:space="0" w:color="000000"/>
              <w:right w:val="single" w:sz="4" w:space="0" w:color="000000"/>
            </w:tcBorders>
            <w:shd w:val="clear" w:color="000000" w:fill="DAE9F8"/>
            <w:noWrap/>
            <w:vAlign w:val="center"/>
            <w:hideMark/>
          </w:tcPr>
          <w:p w14:paraId="4546C8C0"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1.6%</w:t>
            </w:r>
          </w:p>
        </w:tc>
      </w:tr>
      <w:tr w:rsidR="001C57DB" w:rsidRPr="001C57DB" w14:paraId="2277B52E" w14:textId="77777777" w:rsidTr="006F7D3D">
        <w:trPr>
          <w:trHeight w:val="300"/>
          <w:jc w:val="center"/>
        </w:trPr>
        <w:tc>
          <w:tcPr>
            <w:tcW w:w="519" w:type="pct"/>
            <w:tcBorders>
              <w:top w:val="nil"/>
              <w:left w:val="single" w:sz="4" w:space="0" w:color="000000"/>
              <w:bottom w:val="single" w:sz="4" w:space="0" w:color="000000"/>
              <w:right w:val="single" w:sz="4" w:space="0" w:color="000000"/>
            </w:tcBorders>
            <w:shd w:val="clear" w:color="000000" w:fill="153D64"/>
            <w:vAlign w:val="center"/>
            <w:hideMark/>
          </w:tcPr>
          <w:p w14:paraId="04BE218A" w14:textId="77777777" w:rsidR="001C57DB" w:rsidRPr="001C57DB" w:rsidRDefault="001C57DB" w:rsidP="006F7D3D">
            <w:pPr>
              <w:spacing w:before="0" w:after="0" w:line="240" w:lineRule="auto"/>
              <w:jc w:val="center"/>
              <w:rPr>
                <w:rFonts w:ascii="Arial" w:hAnsi="Arial" w:cs="Arial"/>
                <w:color w:val="FFFFFF"/>
                <w:lang w:val="en-IN"/>
              </w:rPr>
            </w:pPr>
            <w:r w:rsidRPr="001C57DB">
              <w:rPr>
                <w:rFonts w:ascii="Arial" w:hAnsi="Arial" w:cs="Arial"/>
                <w:color w:val="FFFFFF"/>
                <w:lang w:val="en-IN"/>
              </w:rPr>
              <w:t>B</w:t>
            </w:r>
          </w:p>
        </w:tc>
        <w:tc>
          <w:tcPr>
            <w:tcW w:w="894" w:type="pct"/>
            <w:tcBorders>
              <w:top w:val="nil"/>
              <w:left w:val="nil"/>
              <w:bottom w:val="single" w:sz="4" w:space="0" w:color="000000"/>
              <w:right w:val="single" w:sz="4" w:space="0" w:color="000000"/>
            </w:tcBorders>
            <w:shd w:val="clear" w:color="000000" w:fill="DAE9F8"/>
            <w:vAlign w:val="center"/>
            <w:hideMark/>
          </w:tcPr>
          <w:p w14:paraId="0D196AD3"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 xml:space="preserve">-£               8.3 </w:t>
            </w:r>
          </w:p>
        </w:tc>
        <w:tc>
          <w:tcPr>
            <w:tcW w:w="754" w:type="pct"/>
            <w:tcBorders>
              <w:top w:val="nil"/>
              <w:left w:val="nil"/>
              <w:bottom w:val="single" w:sz="4" w:space="0" w:color="000000"/>
              <w:right w:val="single" w:sz="4" w:space="0" w:color="000000"/>
            </w:tcBorders>
            <w:shd w:val="clear" w:color="000000" w:fill="DAE9F8"/>
            <w:vAlign w:val="center"/>
            <w:hideMark/>
          </w:tcPr>
          <w:p w14:paraId="2323E344"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1.2</w:t>
            </w:r>
          </w:p>
        </w:tc>
        <w:tc>
          <w:tcPr>
            <w:tcW w:w="1089" w:type="pct"/>
            <w:tcBorders>
              <w:top w:val="nil"/>
              <w:left w:val="nil"/>
              <w:bottom w:val="single" w:sz="4" w:space="0" w:color="000000"/>
              <w:right w:val="single" w:sz="4" w:space="0" w:color="000000"/>
            </w:tcBorders>
            <w:shd w:val="clear" w:color="000000" w:fill="DAE9F8"/>
            <w:noWrap/>
            <w:vAlign w:val="center"/>
            <w:hideMark/>
          </w:tcPr>
          <w:p w14:paraId="32D26D8A"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Not Recovered</w:t>
            </w:r>
          </w:p>
        </w:tc>
        <w:tc>
          <w:tcPr>
            <w:tcW w:w="746" w:type="pct"/>
            <w:tcBorders>
              <w:top w:val="nil"/>
              <w:left w:val="nil"/>
              <w:bottom w:val="single" w:sz="4" w:space="0" w:color="000000"/>
              <w:right w:val="single" w:sz="4" w:space="0" w:color="000000"/>
            </w:tcBorders>
            <w:shd w:val="clear" w:color="000000" w:fill="DAE9F8"/>
            <w:noWrap/>
            <w:vAlign w:val="center"/>
            <w:hideMark/>
          </w:tcPr>
          <w:p w14:paraId="4DC105B3"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3.3%</w:t>
            </w:r>
          </w:p>
        </w:tc>
        <w:tc>
          <w:tcPr>
            <w:tcW w:w="998" w:type="pct"/>
            <w:tcBorders>
              <w:top w:val="nil"/>
              <w:left w:val="nil"/>
              <w:bottom w:val="single" w:sz="4" w:space="0" w:color="000000"/>
              <w:right w:val="single" w:sz="4" w:space="0" w:color="000000"/>
            </w:tcBorders>
            <w:shd w:val="clear" w:color="000000" w:fill="DAE9F8"/>
            <w:noWrap/>
            <w:vAlign w:val="center"/>
            <w:hideMark/>
          </w:tcPr>
          <w:p w14:paraId="01047135"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2.0%</w:t>
            </w:r>
          </w:p>
        </w:tc>
      </w:tr>
      <w:tr w:rsidR="001C57DB" w:rsidRPr="001C57DB" w14:paraId="578D1308" w14:textId="77777777" w:rsidTr="006F7D3D">
        <w:trPr>
          <w:trHeight w:val="300"/>
          <w:jc w:val="center"/>
        </w:trPr>
        <w:tc>
          <w:tcPr>
            <w:tcW w:w="519" w:type="pct"/>
            <w:tcBorders>
              <w:top w:val="nil"/>
              <w:left w:val="single" w:sz="4" w:space="0" w:color="000000"/>
              <w:bottom w:val="single" w:sz="4" w:space="0" w:color="000000"/>
              <w:right w:val="single" w:sz="4" w:space="0" w:color="000000"/>
            </w:tcBorders>
            <w:shd w:val="clear" w:color="000000" w:fill="153D64"/>
            <w:vAlign w:val="center"/>
            <w:hideMark/>
          </w:tcPr>
          <w:p w14:paraId="656E5EA8" w14:textId="77777777" w:rsidR="001C57DB" w:rsidRPr="001C57DB" w:rsidRDefault="001C57DB" w:rsidP="006F7D3D">
            <w:pPr>
              <w:spacing w:before="0" w:after="0" w:line="240" w:lineRule="auto"/>
              <w:jc w:val="center"/>
              <w:rPr>
                <w:rFonts w:ascii="Arial" w:hAnsi="Arial" w:cs="Arial"/>
                <w:color w:val="FFFFFF"/>
                <w:lang w:val="en-IN"/>
              </w:rPr>
            </w:pPr>
            <w:r w:rsidRPr="001C57DB">
              <w:rPr>
                <w:rFonts w:ascii="Arial" w:hAnsi="Arial" w:cs="Arial"/>
                <w:color w:val="FFFFFF"/>
                <w:lang w:val="en-IN"/>
              </w:rPr>
              <w:t>C</w:t>
            </w:r>
          </w:p>
        </w:tc>
        <w:tc>
          <w:tcPr>
            <w:tcW w:w="894" w:type="pct"/>
            <w:tcBorders>
              <w:top w:val="nil"/>
              <w:left w:val="nil"/>
              <w:bottom w:val="single" w:sz="4" w:space="0" w:color="000000"/>
              <w:right w:val="single" w:sz="4" w:space="0" w:color="000000"/>
            </w:tcBorders>
            <w:shd w:val="clear" w:color="000000" w:fill="DAE9F8"/>
            <w:vAlign w:val="center"/>
            <w:hideMark/>
          </w:tcPr>
          <w:p w14:paraId="56323A2B"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 xml:space="preserve">-£               2.0 </w:t>
            </w:r>
          </w:p>
        </w:tc>
        <w:tc>
          <w:tcPr>
            <w:tcW w:w="754" w:type="pct"/>
            <w:tcBorders>
              <w:top w:val="nil"/>
              <w:left w:val="nil"/>
              <w:bottom w:val="single" w:sz="4" w:space="0" w:color="000000"/>
              <w:right w:val="single" w:sz="4" w:space="0" w:color="000000"/>
            </w:tcBorders>
            <w:shd w:val="clear" w:color="000000" w:fill="DAE9F8"/>
            <w:vAlign w:val="center"/>
            <w:hideMark/>
          </w:tcPr>
          <w:p w14:paraId="5FEE71C4"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1.0</w:t>
            </w:r>
          </w:p>
        </w:tc>
        <w:tc>
          <w:tcPr>
            <w:tcW w:w="1089" w:type="pct"/>
            <w:tcBorders>
              <w:top w:val="nil"/>
              <w:left w:val="nil"/>
              <w:bottom w:val="single" w:sz="4" w:space="0" w:color="000000"/>
              <w:right w:val="single" w:sz="4" w:space="0" w:color="000000"/>
            </w:tcBorders>
            <w:shd w:val="clear" w:color="000000" w:fill="DAE9F8"/>
            <w:noWrap/>
            <w:vAlign w:val="center"/>
            <w:hideMark/>
          </w:tcPr>
          <w:p w14:paraId="598F467E"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Not Recovered</w:t>
            </w:r>
          </w:p>
        </w:tc>
        <w:tc>
          <w:tcPr>
            <w:tcW w:w="746" w:type="pct"/>
            <w:tcBorders>
              <w:top w:val="nil"/>
              <w:left w:val="nil"/>
              <w:bottom w:val="single" w:sz="4" w:space="0" w:color="000000"/>
              <w:right w:val="single" w:sz="4" w:space="0" w:color="000000"/>
            </w:tcBorders>
            <w:shd w:val="clear" w:color="000000" w:fill="DAE9F8"/>
            <w:noWrap/>
            <w:vAlign w:val="center"/>
            <w:hideMark/>
          </w:tcPr>
          <w:p w14:paraId="689024E4"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8.6%</w:t>
            </w:r>
          </w:p>
        </w:tc>
        <w:tc>
          <w:tcPr>
            <w:tcW w:w="998" w:type="pct"/>
            <w:tcBorders>
              <w:top w:val="nil"/>
              <w:left w:val="nil"/>
              <w:bottom w:val="single" w:sz="4" w:space="0" w:color="000000"/>
              <w:right w:val="single" w:sz="4" w:space="0" w:color="000000"/>
            </w:tcBorders>
            <w:shd w:val="clear" w:color="000000" w:fill="DAE9F8"/>
            <w:noWrap/>
            <w:vAlign w:val="center"/>
            <w:hideMark/>
          </w:tcPr>
          <w:p w14:paraId="7CE425DA" w14:textId="77777777" w:rsidR="001C57DB" w:rsidRPr="001C57DB" w:rsidRDefault="001C57DB" w:rsidP="006F7D3D">
            <w:pPr>
              <w:spacing w:before="0" w:after="0" w:line="240" w:lineRule="auto"/>
              <w:jc w:val="center"/>
              <w:rPr>
                <w:rFonts w:ascii="Arial" w:hAnsi="Arial" w:cs="Arial"/>
                <w:color w:val="000000"/>
                <w:lang w:val="en-IN"/>
              </w:rPr>
            </w:pPr>
            <w:r w:rsidRPr="001C57DB">
              <w:rPr>
                <w:rFonts w:ascii="Arial" w:hAnsi="Arial" w:cs="Arial"/>
                <w:color w:val="000000"/>
                <w:lang w:val="en-IN"/>
              </w:rPr>
              <w:t>6.0%</w:t>
            </w:r>
          </w:p>
        </w:tc>
      </w:tr>
    </w:tbl>
    <w:p w14:paraId="1D3B16C2" w14:textId="3A7A2407" w:rsidR="0082673E" w:rsidRDefault="001C57DB" w:rsidP="001C57DB">
      <w:pPr>
        <w:jc w:val="center"/>
        <w:rPr>
          <w:rFonts w:ascii="Arial" w:eastAsia="Arial" w:hAnsi="Arial" w:cs="Arial"/>
        </w:rPr>
      </w:pPr>
      <w:r>
        <w:rPr>
          <w:rFonts w:ascii="Arial" w:eastAsia="Arial" w:hAnsi="Arial" w:cs="Arial"/>
        </w:rPr>
        <w:t>(Source: Excel)</w:t>
      </w:r>
    </w:p>
    <w:sectPr w:rsidR="0082673E" w:rsidSect="001C57DB">
      <w:footerReference w:type="default" r:id="rId35"/>
      <w:footerReference w:type="first" r:id="rId3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C6BDF0" w14:textId="77777777" w:rsidR="00FF16D6" w:rsidRDefault="00FF16D6">
      <w:pPr>
        <w:spacing w:before="0" w:after="0" w:line="240" w:lineRule="auto"/>
      </w:pPr>
      <w:r>
        <w:separator/>
      </w:r>
    </w:p>
  </w:endnote>
  <w:endnote w:type="continuationSeparator" w:id="0">
    <w:p w14:paraId="77CEE782" w14:textId="77777777" w:rsidR="00FF16D6" w:rsidRDefault="00FF16D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3A629F45-A876-4471-9960-09835F751E3B}"/>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B1694B" w14:textId="77777777" w:rsidR="0082673E" w:rsidRDefault="00CC1805">
    <w:pPr>
      <w:jc w:val="right"/>
      <w:rPr>
        <w:rFonts w:ascii="Arial" w:eastAsia="Arial" w:hAnsi="Arial" w:cs="Arial"/>
        <w:sz w:val="20"/>
        <w:szCs w:val="20"/>
      </w:rPr>
    </w:pPr>
    <w:r>
      <w:rPr>
        <w:rFonts w:ascii="Arial" w:eastAsia="Arial" w:hAnsi="Arial" w:cs="Arial"/>
        <w:sz w:val="20"/>
        <w:szCs w:val="20"/>
      </w:rPr>
      <w:fldChar w:fldCharType="begin"/>
    </w:r>
    <w:r>
      <w:rPr>
        <w:rFonts w:ascii="Arial" w:eastAsia="Arial" w:hAnsi="Arial" w:cs="Arial"/>
        <w:sz w:val="20"/>
        <w:szCs w:val="20"/>
      </w:rPr>
      <w:instrText>PAGE</w:instrText>
    </w:r>
    <w:r>
      <w:rPr>
        <w:rFonts w:ascii="Arial" w:eastAsia="Arial" w:hAnsi="Arial" w:cs="Arial"/>
        <w:sz w:val="20"/>
        <w:szCs w:val="20"/>
      </w:rPr>
      <w:fldChar w:fldCharType="separate"/>
    </w:r>
    <w:r w:rsidR="001C57DB">
      <w:rPr>
        <w:rFonts w:ascii="Arial" w:eastAsia="Arial" w:hAnsi="Arial" w:cs="Arial"/>
        <w:noProof/>
        <w:sz w:val="20"/>
        <w:szCs w:val="20"/>
      </w:rPr>
      <w:t>1</w:t>
    </w:r>
    <w:r>
      <w:rPr>
        <w:rFonts w:ascii="Arial" w:eastAsia="Arial" w:hAnsi="Arial" w:cs="Arial"/>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14B38" w14:textId="77777777" w:rsidR="0082673E" w:rsidRDefault="0082673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86AF9" w14:textId="77777777" w:rsidR="00FF16D6" w:rsidRDefault="00FF16D6">
      <w:pPr>
        <w:spacing w:before="0" w:after="0" w:line="240" w:lineRule="auto"/>
      </w:pPr>
      <w:r>
        <w:separator/>
      </w:r>
    </w:p>
  </w:footnote>
  <w:footnote w:type="continuationSeparator" w:id="0">
    <w:p w14:paraId="1F1C9865" w14:textId="77777777" w:rsidR="00FF16D6" w:rsidRDefault="00FF16D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352116"/>
    <w:multiLevelType w:val="hybridMultilevel"/>
    <w:tmpl w:val="09A209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55226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673E"/>
    <w:rsid w:val="00036B97"/>
    <w:rsid w:val="00045AF0"/>
    <w:rsid w:val="000E4A34"/>
    <w:rsid w:val="001941B6"/>
    <w:rsid w:val="001C57DB"/>
    <w:rsid w:val="001E2DD5"/>
    <w:rsid w:val="0063002F"/>
    <w:rsid w:val="00644DBC"/>
    <w:rsid w:val="006D24DF"/>
    <w:rsid w:val="00752784"/>
    <w:rsid w:val="0082673E"/>
    <w:rsid w:val="009A2168"/>
    <w:rsid w:val="00BE5A5A"/>
    <w:rsid w:val="00C51BC8"/>
    <w:rsid w:val="00CC1805"/>
    <w:rsid w:val="00D463D8"/>
    <w:rsid w:val="00FF16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B42A9"/>
  <w15:docId w15:val="{87496754-4EFF-4725-9CDC-FFFC1DCC4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Arial" w:eastAsia="Arial" w:hAnsi="Arial" w:cs="Arial"/>
      <w:b/>
      <w:bCs/>
      <w:sz w:val="28"/>
      <w:szCs w:val="28"/>
    </w:rPr>
  </w:style>
  <w:style w:type="paragraph" w:styleId="Heading2">
    <w:name w:val="heading 2"/>
    <w:basedOn w:val="Normal"/>
    <w:next w:val="Normal"/>
    <w:uiPriority w:val="9"/>
    <w:unhideWhenUsed/>
    <w:qFormat/>
    <w:pPr>
      <w:keepNext/>
      <w:keepLines/>
      <w:outlineLvl w:val="1"/>
    </w:pPr>
    <w:rPr>
      <w:rFonts w:ascii="Arial" w:eastAsia="Arial" w:hAnsi="Arial" w:cs="Arial"/>
      <w:b/>
      <w:bCs/>
      <w:sz w:val="26"/>
      <w:szCs w:val="26"/>
    </w:rPr>
  </w:style>
  <w:style w:type="paragraph" w:styleId="Heading3">
    <w:name w:val="heading 3"/>
    <w:basedOn w:val="Normal"/>
    <w:next w:val="Normal"/>
    <w:uiPriority w:val="9"/>
    <w:semiHidden/>
    <w:unhideWhenUsed/>
    <w:qFormat/>
    <w:pPr>
      <w:keepNext/>
      <w:keepLines/>
      <w:spacing w:before="280" w:after="80"/>
      <w:outlineLvl w:val="2"/>
    </w:pPr>
    <w:rPr>
      <w:b/>
      <w:bCs/>
    </w:rPr>
  </w:style>
  <w:style w:type="paragraph" w:styleId="Heading4">
    <w:name w:val="heading 4"/>
    <w:basedOn w:val="Normal"/>
    <w:next w:val="Normal"/>
    <w:uiPriority w:val="9"/>
    <w:semiHidden/>
    <w:unhideWhenUsed/>
    <w:qFormat/>
    <w:pPr>
      <w:keepNext/>
      <w:keepLines/>
      <w:outlineLvl w:val="3"/>
    </w:pPr>
    <w:rPr>
      <w:b/>
      <w:bCs/>
    </w:rPr>
  </w:style>
  <w:style w:type="paragraph" w:styleId="Heading5">
    <w:name w:val="heading 5"/>
    <w:basedOn w:val="Normal"/>
    <w:next w:val="Normal"/>
    <w:uiPriority w:val="9"/>
    <w:semiHidden/>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1C57DB"/>
    <w:pPr>
      <w:spacing w:after="100"/>
    </w:pPr>
  </w:style>
  <w:style w:type="paragraph" w:styleId="TOC2">
    <w:name w:val="toc 2"/>
    <w:basedOn w:val="Normal"/>
    <w:next w:val="Normal"/>
    <w:autoRedefine/>
    <w:uiPriority w:val="39"/>
    <w:unhideWhenUsed/>
    <w:rsid w:val="001C57DB"/>
    <w:pPr>
      <w:spacing w:after="100"/>
      <w:ind w:left="240"/>
    </w:pPr>
  </w:style>
  <w:style w:type="character" w:styleId="Hyperlink">
    <w:name w:val="Hyperlink"/>
    <w:basedOn w:val="DefaultParagraphFont"/>
    <w:uiPriority w:val="99"/>
    <w:unhideWhenUsed/>
    <w:rsid w:val="001C57DB"/>
    <w:rPr>
      <w:color w:val="0000FF" w:themeColor="hyperlink"/>
      <w:u w:val="single"/>
    </w:rPr>
  </w:style>
  <w:style w:type="character" w:styleId="FollowedHyperlink">
    <w:name w:val="FollowedHyperlink"/>
    <w:basedOn w:val="DefaultParagraphFont"/>
    <w:uiPriority w:val="99"/>
    <w:semiHidden/>
    <w:unhideWhenUsed/>
    <w:rsid w:val="001C57DB"/>
    <w:rPr>
      <w:color w:val="96607D"/>
      <w:u w:val="single"/>
    </w:rPr>
  </w:style>
  <w:style w:type="paragraph" w:customStyle="1" w:styleId="msonormal0">
    <w:name w:val="msonormal"/>
    <w:basedOn w:val="Normal"/>
    <w:rsid w:val="001C57DB"/>
    <w:pPr>
      <w:spacing w:before="100" w:beforeAutospacing="1" w:after="100" w:afterAutospacing="1" w:line="240" w:lineRule="auto"/>
      <w:jc w:val="left"/>
    </w:pPr>
    <w:rPr>
      <w:lang w:val="en-IN"/>
    </w:rPr>
  </w:style>
  <w:style w:type="paragraph" w:customStyle="1" w:styleId="xl65">
    <w:name w:val="xl65"/>
    <w:basedOn w:val="Normal"/>
    <w:rsid w:val="001C57DB"/>
    <w:pPr>
      <w:shd w:val="clear" w:color="000000" w:fill="FFFFFF"/>
      <w:spacing w:before="100" w:beforeAutospacing="1" w:after="100" w:afterAutospacing="1" w:line="240" w:lineRule="auto"/>
      <w:jc w:val="left"/>
    </w:pPr>
    <w:rPr>
      <w:lang w:val="en-IN"/>
    </w:rPr>
  </w:style>
  <w:style w:type="paragraph" w:customStyle="1" w:styleId="xl66">
    <w:name w:val="xl66"/>
    <w:basedOn w:val="Normal"/>
    <w:rsid w:val="001C57DB"/>
    <w:pPr>
      <w:shd w:val="clear" w:color="000000" w:fill="FFFFFF"/>
      <w:spacing w:before="100" w:beforeAutospacing="1" w:after="100" w:afterAutospacing="1" w:line="240" w:lineRule="auto"/>
      <w:jc w:val="center"/>
    </w:pPr>
    <w:rPr>
      <w:rFonts w:ascii="Arial" w:hAnsi="Arial" w:cs="Arial"/>
      <w:b/>
      <w:bCs/>
      <w:lang w:val="en-IN"/>
    </w:rPr>
  </w:style>
  <w:style w:type="paragraph" w:customStyle="1" w:styleId="xl67">
    <w:name w:val="xl67"/>
    <w:basedOn w:val="Normal"/>
    <w:rsid w:val="001C57DB"/>
    <w:pPr>
      <w:shd w:val="clear" w:color="000000" w:fill="FFFFFF"/>
      <w:spacing w:before="100" w:beforeAutospacing="1" w:after="100" w:afterAutospacing="1" w:line="240" w:lineRule="auto"/>
      <w:jc w:val="left"/>
    </w:pPr>
    <w:rPr>
      <w:rFonts w:ascii="Arial" w:hAnsi="Arial" w:cs="Arial"/>
      <w:lang w:val="en-IN"/>
    </w:rPr>
  </w:style>
  <w:style w:type="paragraph" w:customStyle="1" w:styleId="xl68">
    <w:name w:val="xl68"/>
    <w:basedOn w:val="Normal"/>
    <w:rsid w:val="001C57DB"/>
    <w:pPr>
      <w:shd w:val="clear" w:color="000000" w:fill="FFFFFF"/>
      <w:spacing w:before="100" w:beforeAutospacing="1" w:after="100" w:afterAutospacing="1" w:line="240" w:lineRule="auto"/>
      <w:jc w:val="left"/>
    </w:pPr>
    <w:rPr>
      <w:rFonts w:ascii="Arial" w:hAnsi="Arial" w:cs="Arial"/>
      <w:lang w:val="en-IN"/>
    </w:rPr>
  </w:style>
  <w:style w:type="paragraph" w:customStyle="1" w:styleId="xl69">
    <w:name w:val="xl69"/>
    <w:basedOn w:val="Normal"/>
    <w:rsid w:val="001C57DB"/>
    <w:pP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0">
    <w:name w:val="xl70"/>
    <w:basedOn w:val="Normal"/>
    <w:rsid w:val="001C57DB"/>
    <w:pPr>
      <w:shd w:val="clear" w:color="000000" w:fill="FFFFFF"/>
      <w:spacing w:before="100" w:beforeAutospacing="1" w:after="100" w:afterAutospacing="1" w:line="240" w:lineRule="auto"/>
      <w:jc w:val="center"/>
      <w:textAlignment w:val="center"/>
    </w:pPr>
    <w:rPr>
      <w:rFonts w:ascii="Arial" w:hAnsi="Arial" w:cs="Arial"/>
      <w:b/>
      <w:bCs/>
      <w:lang w:val="en-IN"/>
    </w:rPr>
  </w:style>
  <w:style w:type="paragraph" w:customStyle="1" w:styleId="xl71">
    <w:name w:val="xl71"/>
    <w:basedOn w:val="Normal"/>
    <w:rsid w:val="001C57DB"/>
    <w:pPr>
      <w:shd w:val="clear" w:color="000000" w:fill="DAE9F8"/>
      <w:spacing w:before="100" w:beforeAutospacing="1" w:after="100" w:afterAutospacing="1" w:line="240" w:lineRule="auto"/>
      <w:jc w:val="center"/>
      <w:textAlignment w:val="center"/>
    </w:pPr>
    <w:rPr>
      <w:rFonts w:ascii="Arial" w:hAnsi="Arial" w:cs="Arial"/>
      <w:b/>
      <w:bCs/>
      <w:lang w:val="en-IN"/>
    </w:rPr>
  </w:style>
  <w:style w:type="paragraph" w:customStyle="1" w:styleId="xl72">
    <w:name w:val="xl72"/>
    <w:basedOn w:val="Normal"/>
    <w:rsid w:val="001C57DB"/>
    <w:pPr>
      <w:shd w:val="clear" w:color="000000" w:fill="A6C9EC"/>
      <w:spacing w:before="100" w:beforeAutospacing="1" w:after="100" w:afterAutospacing="1" w:line="240" w:lineRule="auto"/>
      <w:jc w:val="center"/>
      <w:textAlignment w:val="center"/>
    </w:pPr>
    <w:rPr>
      <w:rFonts w:ascii="Arial" w:hAnsi="Arial" w:cs="Arial"/>
      <w:b/>
      <w:bCs/>
      <w:lang w:val="en-IN"/>
    </w:rPr>
  </w:style>
  <w:style w:type="paragraph" w:customStyle="1" w:styleId="xl73">
    <w:name w:val="xl73"/>
    <w:basedOn w:val="Normal"/>
    <w:rsid w:val="001C57DB"/>
    <w:pPr>
      <w:shd w:val="clear" w:color="000000" w:fill="DAE9F8"/>
      <w:spacing w:before="100" w:beforeAutospacing="1" w:after="100" w:afterAutospacing="1" w:line="240" w:lineRule="auto"/>
      <w:jc w:val="center"/>
    </w:pPr>
    <w:rPr>
      <w:rFonts w:ascii="Arial" w:hAnsi="Arial" w:cs="Arial"/>
      <w:b/>
      <w:bCs/>
      <w:lang w:val="en-IN"/>
    </w:rPr>
  </w:style>
  <w:style w:type="paragraph" w:customStyle="1" w:styleId="xl74">
    <w:name w:val="xl74"/>
    <w:basedOn w:val="Normal"/>
    <w:rsid w:val="001C57DB"/>
    <w:pPr>
      <w:pBdr>
        <w:top w:val="single" w:sz="4" w:space="0" w:color="auto"/>
        <w:bottom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5">
    <w:name w:val="xl75"/>
    <w:basedOn w:val="Normal"/>
    <w:rsid w:val="001C57DB"/>
    <w:pPr>
      <w:pBdr>
        <w:top w:val="single" w:sz="4" w:space="0" w:color="auto"/>
        <w:bottom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6">
    <w:name w:val="xl76"/>
    <w:basedOn w:val="Normal"/>
    <w:rsid w:val="001C57DB"/>
    <w:pPr>
      <w:pBdr>
        <w:top w:val="single" w:sz="4" w:space="0" w:color="auto"/>
        <w:bottom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customStyle="1" w:styleId="xl77">
    <w:name w:val="xl77"/>
    <w:basedOn w:val="Normal"/>
    <w:rsid w:val="001C57DB"/>
    <w:pPr>
      <w:pBdr>
        <w:top w:val="single" w:sz="4" w:space="0" w:color="auto"/>
        <w:bottom w:val="single" w:sz="4" w:space="0" w:color="auto"/>
      </w:pBdr>
      <w:shd w:val="clear" w:color="000000" w:fill="FFFFFF"/>
      <w:spacing w:before="100" w:beforeAutospacing="1" w:after="100" w:afterAutospacing="1" w:line="240" w:lineRule="auto"/>
      <w:jc w:val="left"/>
    </w:pPr>
    <w:rPr>
      <w:rFonts w:ascii="Arial" w:hAnsi="Arial" w:cs="Arial"/>
      <w:b/>
      <w:bCs/>
      <w:lang w:val="en-IN"/>
    </w:rPr>
  </w:style>
  <w:style w:type="paragraph" w:styleId="ListParagraph">
    <w:name w:val="List Paragraph"/>
    <w:basedOn w:val="Normal"/>
    <w:uiPriority w:val="34"/>
    <w:qFormat/>
    <w:rsid w:val="00036B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emerald.com/jmb/article-pdf/2/1/70/1618176/jmb-08-2021-0032.pdf" TargetMode="External" /><Relationship Id="rId13" Type="http://schemas.openxmlformats.org/officeDocument/2006/relationships/hyperlink" Target="https://jurnal.ibik.ac.id/index.php/jimkes/article/download/2742/1966" TargetMode="External" /><Relationship Id="rId18" Type="http://schemas.openxmlformats.org/officeDocument/2006/relationships/hyperlink" Target="https://www.annualreports.com/HostedData/AnnualReportArchive/h/OTC_HYMTF_2023.pdf" TargetMode="External" /><Relationship Id="rId26" Type="http://schemas.openxmlformats.org/officeDocument/2006/relationships/hyperlink" Target="https://irjems.org/Volume-4-Issue-11/IRJEMS-V4I11P113.pdf" TargetMode="External" /><Relationship Id="rId3" Type="http://schemas.openxmlformats.org/officeDocument/2006/relationships/settings" Target="settings.xml" /><Relationship Id="rId21" Type="http://schemas.openxmlformats.org/officeDocument/2006/relationships/hyperlink" Target="https://link.springer.com/chapter/10.1007/978-3-031-36453-2_8" TargetMode="External" /><Relationship Id="rId34" Type="http://schemas.openxmlformats.org/officeDocument/2006/relationships/image" Target="media/image8.png" /><Relationship Id="rId7" Type="http://schemas.openxmlformats.org/officeDocument/2006/relationships/image" Target="media/image1.gif" /><Relationship Id="rId12" Type="http://schemas.openxmlformats.org/officeDocument/2006/relationships/hyperlink" Target="https://sciendo.com/2/v2/download/article/10.21272/fmir.63.18-25.2022.pdf" TargetMode="External" /><Relationship Id="rId17" Type="http://schemas.openxmlformats.org/officeDocument/2006/relationships/hyperlink" Target="https://www.annualreports.com/HostedData/AnnualReportArchive/h/OTC_HYMTF_2022.pdf" TargetMode="External" /><Relationship Id="rId25" Type="http://schemas.openxmlformats.org/officeDocument/2006/relationships/hyperlink" Target="https://ejournal.seaninstitute.or.id/index.php/JMS/article/download/7114/5403" TargetMode="External" /><Relationship Id="rId33" Type="http://schemas.openxmlformats.org/officeDocument/2006/relationships/image" Target="media/image7.png" /><Relationship Id="rId38"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www.annualreports.com/HostedData/AnnualReportArchive/h/OTC_HYMTF_2021.pdf" TargetMode="External" /><Relationship Id="rId20" Type="http://schemas.openxmlformats.org/officeDocument/2006/relationships/hyperlink" Target="https://www.hyundai.com/in/en/investor-relations/corporate-governance/committees" TargetMode="External" /><Relationship Id="rId29" Type="http://schemas.openxmlformats.org/officeDocument/2006/relationships/image" Target="media/image3.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tebmr.com/index.php/ojs/article/download/29/27" TargetMode="External" /><Relationship Id="rId24" Type="http://schemas.openxmlformats.org/officeDocument/2006/relationships/hyperlink" Target="https://www.mdpi.com/2076-3417/13/7/4174" TargetMode="External" /><Relationship Id="rId32" Type="http://schemas.openxmlformats.org/officeDocument/2006/relationships/image" Target="media/image6.png" /><Relationship Id="rId37"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www.annualreports.com/HostedData/AnnualReportArchive/h/OTC_HYMTF_2020.pdf" TargetMode="External" /><Relationship Id="rId23" Type="http://schemas.openxmlformats.org/officeDocument/2006/relationships/hyperlink" Target="https://www.shs-conferences.org/articles/shsconf/pdf/2024/01/shsconf_icdeba2023_02019.pdf" TargetMode="External" /><Relationship Id="rId28" Type="http://schemas.openxmlformats.org/officeDocument/2006/relationships/image" Target="media/image2.png" /><Relationship Id="rId36" Type="http://schemas.openxmlformats.org/officeDocument/2006/relationships/footer" Target="footer2.xml" /><Relationship Id="rId10" Type="http://schemas.openxmlformats.org/officeDocument/2006/relationships/hyperlink" Target="https://www.mdpi.com/1911-8074/18/6/297" TargetMode="External" /><Relationship Id="rId19" Type="http://schemas.openxmlformats.org/officeDocument/2006/relationships/hyperlink" Target="https://www.annualreports.com/HostedData/AnnualReports/PDF/OTC_HYMTF_2024.pdf" TargetMode="External" /><Relationship Id="rId31" Type="http://schemas.openxmlformats.org/officeDocument/2006/relationships/image" Target="media/image5.png" /><Relationship Id="rId4" Type="http://schemas.openxmlformats.org/officeDocument/2006/relationships/webSettings" Target="webSettings.xml" /><Relationship Id="rId9" Type="http://schemas.openxmlformats.org/officeDocument/2006/relationships/hyperlink" Target="https://onlinelibrary.wiley.com/doi/pdfdirect/10.1111/acfi.13185" TargetMode="External" /><Relationship Id="rId14" Type="http://schemas.openxmlformats.org/officeDocument/2006/relationships/hyperlink" Target="https://papers.ssrn.com/sol3/Delivery.cfm?abstractid=4116810" TargetMode="External" /><Relationship Id="rId22" Type="http://schemas.openxmlformats.org/officeDocument/2006/relationships/hyperlink" Target="https://www.emerald.com/jaar/article-pdf/26/6/205/9873185/jaar-12-2022-0325.pdf" TargetMode="External" /><Relationship Id="rId27" Type="http://schemas.openxmlformats.org/officeDocument/2006/relationships/hyperlink" Target="https://www.sciencedirect.com/science/article/pii/S0313592622001230" TargetMode="External" /><Relationship Id="rId30" Type="http://schemas.openxmlformats.org/officeDocument/2006/relationships/image" Target="media/image4.png" /><Relationship Id="rId35" Type="http://schemas.openxmlformats.org/officeDocument/2006/relationships/footer" Target="footer1.xml"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8388</Words>
  <Characters>47814</Characters>
  <Application>Microsoft Office Word</Application>
  <DocSecurity>0</DocSecurity>
  <Lines>398</Lines>
  <Paragraphs>112</Paragraphs>
  <ScaleCrop>false</ScaleCrop>
  <Company/>
  <LinksUpToDate>false</LinksUpToDate>
  <CharactersWithSpaces>56090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Leelu 26</cp:lastModifiedBy>
  <cp:revision>2</cp:revision>
  <dcterms:created xsi:type="dcterms:W3CDTF">2026-04-23T20:58:00Z</dcterms:created>
  <dcterms:modified xsi:type="dcterms:W3CDTF">2026-04-23T20:58:00Z</dcterms:modified>
</cp:coreProperties>
</file>