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577507338"/>
        <w:docPartObj>
          <w:docPartGallery w:val="Cover Pages"/>
          <w:docPartUnique/>
        </w:docPartObj>
      </w:sdtPr>
      <w:sdtEndPr>
        <w:rPr>
          <w:rFonts w:ascii="Arial" w:hAnsi="Arial" w:cs="Arial"/>
          <w:color w:val="auto"/>
          <w:sz w:val="24"/>
          <w:szCs w:val="24"/>
        </w:rPr>
      </w:sdtEndPr>
      <w:sdtContent>
        <w:p w14:paraId="5C0F7F3F" w14:textId="5C3DFC17" w:rsidR="00D445BE" w:rsidRDefault="00D445BE">
          <w:pPr>
            <w:pStyle w:val="NoSpacing"/>
            <w:spacing w:before="1540" w:after="240"/>
            <w:jc w:val="center"/>
            <w:rPr>
              <w:color w:val="4472C4" w:themeColor="accent1"/>
            </w:rPr>
          </w:pPr>
          <w:r>
            <w:rPr>
              <w:noProof/>
              <w:color w:val="4472C4" w:themeColor="accent1"/>
            </w:rPr>
            <w:drawing>
              <wp:inline distT="0" distB="0" distL="0" distR="0" wp14:anchorId="6A7D60DC" wp14:editId="66F9B5C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theme="majorBidi"/>
              <w:caps/>
              <w:color w:val="4472C4" w:themeColor="accent1"/>
              <w:sz w:val="72"/>
              <w:szCs w:val="72"/>
            </w:rPr>
            <w:alias w:val="Title"/>
            <w:tag w:val=""/>
            <w:id w:val="1735040861"/>
            <w:placeholder>
              <w:docPart w:val="FB7681926DCA4171A4B2E523BC8E89FA"/>
            </w:placeholder>
            <w:dataBinding w:prefixMappings="xmlns:ns0='http://purl.org/dc/elements/1.1/' xmlns:ns1='http://schemas.openxmlformats.org/package/2006/metadata/core-properties' " w:xpath="/ns1:coreProperties[1]/ns0:title[1]" w:storeItemID="{6C3C8BC8-F283-45AE-878A-BAB7291924A1}"/>
            <w:text/>
          </w:sdtPr>
          <w:sdtContent>
            <w:p w14:paraId="599173DE" w14:textId="5228F27E" w:rsidR="00D445BE" w:rsidRPr="00A111E1" w:rsidRDefault="00A111E1">
              <w:pPr>
                <w:pStyle w:val="NoSpacing"/>
                <w:pBdr>
                  <w:top w:val="single" w:sz="6" w:space="6" w:color="4472C4" w:themeColor="accent1"/>
                  <w:bottom w:val="single" w:sz="6" w:space="6" w:color="4472C4" w:themeColor="accent1"/>
                </w:pBdr>
                <w:spacing w:after="240"/>
                <w:jc w:val="center"/>
                <w:rPr>
                  <w:rFonts w:ascii="Arial Black" w:eastAsiaTheme="majorEastAsia" w:hAnsi="Arial Black" w:cstheme="majorBidi"/>
                  <w:caps/>
                  <w:color w:val="4472C4" w:themeColor="accent1"/>
                  <w:sz w:val="80"/>
                  <w:szCs w:val="80"/>
                </w:rPr>
              </w:pPr>
              <w:r w:rsidRPr="00A111E1">
                <w:rPr>
                  <w:rFonts w:ascii="Arial Black" w:eastAsiaTheme="majorEastAsia" w:hAnsi="Arial Black" w:cstheme="majorBidi"/>
                  <w:caps/>
                  <w:color w:val="4472C4" w:themeColor="accent1"/>
                  <w:sz w:val="72"/>
                  <w:szCs w:val="72"/>
                </w:rPr>
                <w:t>Our Neighbourhood Digital Support Project</w:t>
              </w:r>
            </w:p>
          </w:sdtContent>
        </w:sdt>
        <w:sdt>
          <w:sdtPr>
            <w:rPr>
              <w:rFonts w:ascii="Arial Black" w:hAnsi="Arial Black"/>
              <w:color w:val="4472C4" w:themeColor="accent1"/>
              <w:sz w:val="28"/>
              <w:szCs w:val="28"/>
            </w:rPr>
            <w:alias w:val="Subtitle"/>
            <w:tag w:val=""/>
            <w:id w:val="328029620"/>
            <w:placeholder>
              <w:docPart w:val="5D69D34AD94746A8B2F81F315A653CD2"/>
            </w:placeholder>
            <w:dataBinding w:prefixMappings="xmlns:ns0='http://purl.org/dc/elements/1.1/' xmlns:ns1='http://schemas.openxmlformats.org/package/2006/metadata/core-properties' " w:xpath="/ns1:coreProperties[1]/ns0:subject[1]" w:storeItemID="{6C3C8BC8-F283-45AE-878A-BAB7291924A1}"/>
            <w:text/>
          </w:sdtPr>
          <w:sdtContent>
            <w:p w14:paraId="3C16FFA3" w14:textId="6A446B28" w:rsidR="00D445BE" w:rsidRPr="00A111E1" w:rsidRDefault="00D445BE">
              <w:pPr>
                <w:pStyle w:val="NoSpacing"/>
                <w:jc w:val="center"/>
                <w:rPr>
                  <w:rFonts w:ascii="Arial Black" w:hAnsi="Arial Black"/>
                  <w:color w:val="4472C4" w:themeColor="accent1"/>
                  <w:sz w:val="28"/>
                  <w:szCs w:val="28"/>
                </w:rPr>
              </w:pPr>
              <w:r w:rsidRPr="00A111E1">
                <w:rPr>
                  <w:rFonts w:ascii="Arial Black" w:hAnsi="Arial Black"/>
                  <w:color w:val="4472C4" w:themeColor="accent1"/>
                  <w:sz w:val="28"/>
                  <w:szCs w:val="28"/>
                </w:rPr>
                <w:t>Assignment 2</w:t>
              </w:r>
            </w:p>
          </w:sdtContent>
        </w:sdt>
        <w:p w14:paraId="5959F0F2" w14:textId="77777777" w:rsidR="00D445BE" w:rsidRDefault="00D445B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4C09088" wp14:editId="3A756C1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B24C0A" w14:textId="33C929BC" w:rsidR="00D445BE" w:rsidRPr="00A111E1" w:rsidRDefault="00000000">
                                <w:pPr>
                                  <w:pStyle w:val="NoSpacing"/>
                                  <w:jc w:val="center"/>
                                  <w:rPr>
                                    <w:rFonts w:ascii="Arial Black" w:hAnsi="Arial Black"/>
                                    <w:color w:val="4472C4" w:themeColor="accent1"/>
                                  </w:rPr>
                                </w:pPr>
                                <w:sdt>
                                  <w:sdtPr>
                                    <w:rPr>
                                      <w:rFonts w:ascii="Arial Black" w:hAnsi="Arial Black"/>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111E1" w:rsidRPr="00A111E1">
                                      <w:rPr>
                                        <w:rFonts w:ascii="Arial Black" w:hAnsi="Arial Black"/>
                                        <w:caps/>
                                        <w:color w:val="4472C4" w:themeColor="accent1"/>
                                      </w:rPr>
                                      <w:t>Adrian sovinschi</w:t>
                                    </w:r>
                                  </w:sdtContent>
                                </w:sdt>
                              </w:p>
                              <w:p w14:paraId="541C195D" w14:textId="73450BB3" w:rsidR="00D445BE" w:rsidRPr="00A111E1" w:rsidRDefault="00000000">
                                <w:pPr>
                                  <w:pStyle w:val="NoSpacing"/>
                                  <w:jc w:val="center"/>
                                  <w:rPr>
                                    <w:rFonts w:ascii="Arial Black" w:hAnsi="Arial Black"/>
                                    <w:color w:val="4472C4" w:themeColor="accent1"/>
                                  </w:rPr>
                                </w:pPr>
                                <w:sdt>
                                  <w:sdtPr>
                                    <w:rPr>
                                      <w:rFonts w:ascii="Arial Black" w:hAnsi="Arial Black"/>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111E1" w:rsidRPr="00A111E1">
                                      <w:rPr>
                                        <w:rFonts w:ascii="Arial Black" w:hAnsi="Arial Black"/>
                                        <w:color w:val="4472C4" w:themeColor="accent1"/>
                                      </w:rPr>
                                      <w:t>Community Development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C0908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5B24C0A" w14:textId="33C929BC" w:rsidR="00D445BE" w:rsidRPr="00A111E1" w:rsidRDefault="00D445BE">
                          <w:pPr>
                            <w:pStyle w:val="NoSpacing"/>
                            <w:jc w:val="center"/>
                            <w:rPr>
                              <w:rFonts w:ascii="Arial Black" w:hAnsi="Arial Black"/>
                              <w:color w:val="4472C4" w:themeColor="accent1"/>
                            </w:rPr>
                          </w:pPr>
                          <w:sdt>
                            <w:sdtPr>
                              <w:rPr>
                                <w:rFonts w:ascii="Arial Black" w:hAnsi="Arial Black"/>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111E1" w:rsidRPr="00A111E1">
                                <w:rPr>
                                  <w:rFonts w:ascii="Arial Black" w:hAnsi="Arial Black"/>
                                  <w:caps/>
                                  <w:color w:val="4472C4" w:themeColor="accent1"/>
                                </w:rPr>
                                <w:t>Adrian sovinschi</w:t>
                              </w:r>
                            </w:sdtContent>
                          </w:sdt>
                        </w:p>
                        <w:p w14:paraId="541C195D" w14:textId="73450BB3" w:rsidR="00D445BE" w:rsidRPr="00A111E1" w:rsidRDefault="00A111E1">
                          <w:pPr>
                            <w:pStyle w:val="NoSpacing"/>
                            <w:jc w:val="center"/>
                            <w:rPr>
                              <w:rFonts w:ascii="Arial Black" w:hAnsi="Arial Black"/>
                              <w:color w:val="4472C4" w:themeColor="accent1"/>
                            </w:rPr>
                          </w:pPr>
                          <w:sdt>
                            <w:sdtPr>
                              <w:rPr>
                                <w:rFonts w:ascii="Arial Black" w:hAnsi="Arial Black"/>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A111E1">
                                <w:rPr>
                                  <w:rFonts w:ascii="Arial Black" w:hAnsi="Arial Black"/>
                                  <w:color w:val="4472C4" w:themeColor="accent1"/>
                                </w:rPr>
                                <w:t>Community Development</w:t>
                              </w:r>
                            </w:sdtContent>
                          </w:sdt>
                        </w:p>
                      </w:txbxContent>
                    </v:textbox>
                    <w10:wrap anchorx="margin" anchory="page"/>
                  </v:shape>
                </w:pict>
              </mc:Fallback>
            </mc:AlternateContent>
          </w:r>
          <w:r>
            <w:rPr>
              <w:noProof/>
              <w:color w:val="4472C4" w:themeColor="accent1"/>
            </w:rPr>
            <w:drawing>
              <wp:inline distT="0" distB="0" distL="0" distR="0" wp14:anchorId="45BFF75C" wp14:editId="708151D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039791" w14:textId="622869AE" w:rsidR="00D445BE" w:rsidRDefault="00D445BE">
          <w:pPr>
            <w:rPr>
              <w:rFonts w:ascii="Arial" w:hAnsi="Arial" w:cs="Arial"/>
              <w:sz w:val="24"/>
              <w:szCs w:val="24"/>
            </w:rPr>
          </w:pPr>
          <w:r>
            <w:rPr>
              <w:rFonts w:ascii="Arial" w:hAnsi="Arial" w:cs="Arial"/>
              <w:sz w:val="24"/>
              <w:szCs w:val="24"/>
            </w:rPr>
            <w:br w:type="page"/>
          </w:r>
        </w:p>
      </w:sdtContent>
    </w:sdt>
    <w:p w14:paraId="52855500" w14:textId="507B51F2" w:rsidR="00D445BE" w:rsidRPr="00D445BE" w:rsidRDefault="00D445BE" w:rsidP="00480D92">
      <w:pPr>
        <w:rPr>
          <w:rFonts w:ascii="Arial Black" w:hAnsi="Arial Black" w:cs="Arial"/>
          <w:sz w:val="24"/>
          <w:szCs w:val="24"/>
        </w:rPr>
      </w:pPr>
      <w:r w:rsidRPr="00D445BE">
        <w:rPr>
          <w:rFonts w:ascii="Arial Black" w:hAnsi="Arial Black" w:cs="Arial"/>
          <w:sz w:val="24"/>
          <w:szCs w:val="24"/>
        </w:rPr>
        <w:lastRenderedPageBreak/>
        <w:t xml:space="preserve">Introduction </w:t>
      </w:r>
    </w:p>
    <w:p w14:paraId="4C921B0D" w14:textId="6BCA7F5F" w:rsidR="003A2F4E" w:rsidRDefault="00480D92" w:rsidP="00480D92">
      <w:pPr>
        <w:rPr>
          <w:rFonts w:ascii="Arial" w:hAnsi="Arial" w:cs="Arial"/>
          <w:sz w:val="24"/>
          <w:szCs w:val="24"/>
        </w:rPr>
      </w:pPr>
      <w:r w:rsidRPr="00480D92">
        <w:rPr>
          <w:rFonts w:ascii="Arial" w:hAnsi="Arial" w:cs="Arial"/>
          <w:sz w:val="24"/>
          <w:szCs w:val="24"/>
        </w:rPr>
        <w:t>Our world has undergone a tremendous transition in an era defined by digitization. Technology has transformed our daily lives, from how we communicate to how we obtain information and conduct business. Digital literacy and access to technology have emerged as critical conditions for personal growth and community development in this quickly changing context</w:t>
      </w:r>
      <w:r>
        <w:rPr>
          <w:rFonts w:ascii="Arial" w:hAnsi="Arial" w:cs="Arial"/>
          <w:sz w:val="24"/>
          <w:szCs w:val="24"/>
        </w:rPr>
        <w:t xml:space="preserve">.                                                                                                                      </w:t>
      </w:r>
      <w:r w:rsidRPr="00480D92">
        <w:rPr>
          <w:rFonts w:ascii="Arial" w:hAnsi="Arial" w:cs="Arial"/>
          <w:sz w:val="24"/>
          <w:szCs w:val="24"/>
        </w:rPr>
        <w:t>However, as we embrace the potential that the digital age provides, we must simultaneously address the stark reality of a digital gap. Everyone does not have equal access to the tools, resources, and skills needed to navigate this digital environment. This digital divide, which typically runs along socioeconomic and geographical lines, has the potential to worsen existing disparities and disadvantage marginalised people.</w:t>
      </w:r>
      <w:r w:rsidRPr="00480D92">
        <w:t xml:space="preserve"> </w:t>
      </w:r>
      <w:r>
        <w:t xml:space="preserve">                                                                                                                                                                            </w:t>
      </w:r>
      <w:r w:rsidRPr="00480D92">
        <w:rPr>
          <w:rFonts w:ascii="Arial" w:hAnsi="Arial" w:cs="Arial"/>
          <w:sz w:val="24"/>
          <w:szCs w:val="24"/>
        </w:rPr>
        <w:t>In the middle of this, the "Our Neighbourhood Digital Support Project" shines as a beacon of hope and empowerment. Through digital literacy, this revolutionary effort aims to bridge the digital divide and support community development. This initiative aims to empower inhabitants to fully engage in our increasingly digitalized society by providing individuals and communities with the skills and resources needed to harness the power of technology.</w:t>
      </w:r>
      <w:r>
        <w:rPr>
          <w:rFonts w:ascii="Arial" w:hAnsi="Arial" w:cs="Arial"/>
          <w:sz w:val="24"/>
          <w:szCs w:val="24"/>
        </w:rPr>
        <w:t xml:space="preserve">                                                                                                                                                 </w:t>
      </w:r>
      <w:r w:rsidRPr="00480D92">
        <w:t xml:space="preserve"> </w:t>
      </w:r>
      <w:r w:rsidRPr="00480D92">
        <w:rPr>
          <w:rFonts w:ascii="Arial" w:hAnsi="Arial" w:cs="Arial"/>
          <w:sz w:val="24"/>
          <w:szCs w:val="24"/>
        </w:rPr>
        <w:t xml:space="preserve">In this </w:t>
      </w:r>
      <w:r>
        <w:rPr>
          <w:rFonts w:ascii="Arial" w:hAnsi="Arial" w:cs="Arial"/>
          <w:sz w:val="24"/>
          <w:szCs w:val="24"/>
        </w:rPr>
        <w:t>report</w:t>
      </w:r>
      <w:r w:rsidRPr="00480D92">
        <w:rPr>
          <w:rFonts w:ascii="Arial" w:hAnsi="Arial" w:cs="Arial"/>
          <w:sz w:val="24"/>
          <w:szCs w:val="24"/>
        </w:rPr>
        <w:t>, we go deep into the tactics and approaches employed by the "Our Neighbourhood Digital Support Project." We will look at the project's main goals, which include developing digital literacy, giving access to technology, encouraging community engagement, improving employability prospects, and assuring digital inclusion for all members. We hope to uncover the transformative influence of digital literacy on personal and community development by investigating the various ways used.</w:t>
      </w:r>
      <w:r>
        <w:rPr>
          <w:rFonts w:ascii="Arial" w:hAnsi="Arial" w:cs="Arial"/>
          <w:sz w:val="24"/>
          <w:szCs w:val="24"/>
        </w:rPr>
        <w:t xml:space="preserve">                                                                                                                                                               </w:t>
      </w:r>
      <w:r w:rsidRPr="00480D92">
        <w:rPr>
          <w:rFonts w:ascii="Arial" w:hAnsi="Arial" w:cs="Arial"/>
          <w:sz w:val="24"/>
          <w:szCs w:val="24"/>
        </w:rPr>
        <w:t>While noting the difficulties, such as the continuing digital divide and access and sustainability issues, we will emphasise the significance of reviewing community development processes.</w:t>
      </w:r>
      <w:r w:rsidRPr="00480D92">
        <w:t xml:space="preserve"> </w:t>
      </w:r>
      <w:r w:rsidRPr="00480D92">
        <w:rPr>
          <w:rFonts w:ascii="Arial" w:hAnsi="Arial" w:cs="Arial"/>
          <w:sz w:val="24"/>
          <w:szCs w:val="24"/>
        </w:rPr>
        <w:t>We will evaluate the impact of this effort in developing digital literacy, promoting community involvement, improving employability prospects, and ensuring long-term digital inclusion via the lens of key performance indicators (KPIs).</w:t>
      </w:r>
      <w:r>
        <w:rPr>
          <w:rFonts w:ascii="Arial" w:hAnsi="Arial" w:cs="Arial"/>
          <w:sz w:val="24"/>
          <w:szCs w:val="24"/>
        </w:rPr>
        <w:t xml:space="preserve">                                                                                                                                                                                                 </w:t>
      </w:r>
      <w:r w:rsidRPr="00480D92">
        <w:rPr>
          <w:rFonts w:ascii="Arial" w:hAnsi="Arial" w:cs="Arial"/>
          <w:sz w:val="24"/>
          <w:szCs w:val="24"/>
        </w:rPr>
        <w:t xml:space="preserve"> The "Our Neighbourhood Digital Support Project" exemplifies the power of digital literacy as a transformation and empowerment catalyst. This initiative offers as an inspiring example of how communities may use technology to bridge gaps, promote equity, and develop inclusive and thriving neighbourhoods as we traverse the digital age.</w:t>
      </w:r>
    </w:p>
    <w:p w14:paraId="35EF0DB4" w14:textId="70345CBA" w:rsidR="00525FA7" w:rsidRPr="006817C6" w:rsidRDefault="00525FA7" w:rsidP="00480D92">
      <w:pPr>
        <w:rPr>
          <w:rFonts w:ascii="Arial Black" w:hAnsi="Arial Black" w:cs="Arial"/>
          <w:sz w:val="24"/>
          <w:szCs w:val="24"/>
        </w:rPr>
      </w:pPr>
      <w:r w:rsidRPr="006817C6">
        <w:rPr>
          <w:rFonts w:ascii="Arial Black" w:hAnsi="Arial Black" w:cs="Arial"/>
          <w:sz w:val="24"/>
          <w:szCs w:val="24"/>
        </w:rPr>
        <w:t>Defining a Digital Support Community</w:t>
      </w:r>
    </w:p>
    <w:p w14:paraId="6BA2053A" w14:textId="3BF3CE96" w:rsidR="00525FA7" w:rsidRDefault="00525FA7" w:rsidP="004E6FC0">
      <w:pPr>
        <w:rPr>
          <w:rFonts w:ascii="Arial" w:hAnsi="Arial" w:cs="Arial"/>
          <w:sz w:val="24"/>
          <w:szCs w:val="24"/>
        </w:rPr>
      </w:pPr>
      <w:r w:rsidRPr="00525FA7">
        <w:rPr>
          <w:rFonts w:ascii="Arial" w:hAnsi="Arial" w:cs="Arial"/>
          <w:sz w:val="24"/>
          <w:szCs w:val="24"/>
        </w:rPr>
        <w:t>A digital support community is a living, breathing network of people who are all interested in developing digital literacy and providing fair access to technology. This community spans geographical boundaries and includes a varied spectrum of individuals, each of whom contributes their unique experiences and viewpoints to the overall objective of improving digital inclusion.</w:t>
      </w:r>
      <w:r>
        <w:rPr>
          <w:rFonts w:ascii="Arial" w:hAnsi="Arial" w:cs="Arial"/>
          <w:sz w:val="24"/>
          <w:szCs w:val="24"/>
        </w:rPr>
        <w:t xml:space="preserve">                                                                                                                  </w:t>
      </w:r>
      <w:r w:rsidRPr="00525FA7">
        <w:rPr>
          <w:rFonts w:ascii="Arial" w:hAnsi="Arial" w:cs="Arial"/>
          <w:sz w:val="24"/>
          <w:szCs w:val="24"/>
        </w:rPr>
        <w:t xml:space="preserve">A digital support group is defined at its foundation by a shared commitment to closing the digital gap and addressing disparities in access to technology and digital skills. </w:t>
      </w:r>
      <w:r w:rsidRPr="00525FA7">
        <w:rPr>
          <w:rFonts w:ascii="Arial" w:hAnsi="Arial" w:cs="Arial"/>
          <w:sz w:val="24"/>
          <w:szCs w:val="24"/>
        </w:rPr>
        <w:lastRenderedPageBreak/>
        <w:t>Members of this community frequently share traits such as a love of technology, a desire to empower others through digital literacy, and an understanding of the transformative power of digital inclusion.</w:t>
      </w:r>
      <w:r w:rsidRPr="00525FA7">
        <w:t xml:space="preserve"> </w:t>
      </w:r>
      <w:r w:rsidRPr="00525FA7">
        <w:rPr>
          <w:rFonts w:ascii="Arial" w:hAnsi="Arial" w:cs="Arial"/>
          <w:sz w:val="24"/>
          <w:szCs w:val="24"/>
        </w:rPr>
        <w:t>Individuals join a digital support network to interact, assist one another, and strive towards common goals. These goals could include offering training and tools to improve digital skills, making technology devices and infrastructure more accessible, organising community participation projects, and pushing for policies that promote digital inclusion.</w:t>
      </w:r>
      <w:r w:rsidR="004E6FC0">
        <w:rPr>
          <w:rFonts w:ascii="Arial" w:hAnsi="Arial" w:cs="Arial"/>
          <w:sz w:val="24"/>
          <w:szCs w:val="24"/>
        </w:rPr>
        <w:t xml:space="preserve">                                                                                                        </w:t>
      </w:r>
      <w:r w:rsidR="004E6FC0" w:rsidRPr="004E6FC0">
        <w:t xml:space="preserve"> </w:t>
      </w:r>
      <w:r w:rsidR="004E6FC0" w:rsidRPr="004E6FC0">
        <w:rPr>
          <w:rFonts w:ascii="Arial" w:hAnsi="Arial" w:cs="Arial"/>
          <w:sz w:val="24"/>
          <w:szCs w:val="24"/>
        </w:rPr>
        <w:t>A digital support network is distinguished by its proactive approach to solving the issues created by the digital divide. Members actively participate in programmes that empower individuals to confidently traverse the digital terrain, providing them with the skills and tools required to fully participate in today's digital society.</w:t>
      </w:r>
      <w:r w:rsidR="004E6FC0">
        <w:rPr>
          <w:rFonts w:ascii="Arial" w:hAnsi="Arial" w:cs="Arial"/>
          <w:sz w:val="24"/>
          <w:szCs w:val="24"/>
        </w:rPr>
        <w:t xml:space="preserve">                                                                      </w:t>
      </w:r>
      <w:r w:rsidR="004E6FC0" w:rsidRPr="004E6FC0">
        <w:rPr>
          <w:rFonts w:ascii="Arial" w:hAnsi="Arial" w:cs="Arial"/>
          <w:sz w:val="24"/>
          <w:szCs w:val="24"/>
        </w:rPr>
        <w:t>A digital support group plays a critical role in ensuring that no one is left behind in the digital era through educational programmes, seminars, lobbying initiatives, and the sharing of knowledge and skills. It is a community that believes that digital literacy and access to technology are critical pillars for personal development, community development, and social equity.</w:t>
      </w:r>
    </w:p>
    <w:p w14:paraId="79656AFD" w14:textId="624BCC98" w:rsidR="004E6FC0" w:rsidRPr="006817C6" w:rsidRDefault="004E6FC0" w:rsidP="004E6FC0">
      <w:pPr>
        <w:rPr>
          <w:rFonts w:ascii="Arial Black" w:hAnsi="Arial Black" w:cs="Arial"/>
          <w:sz w:val="24"/>
          <w:szCs w:val="24"/>
        </w:rPr>
      </w:pPr>
      <w:r w:rsidRPr="006817C6">
        <w:rPr>
          <w:rFonts w:ascii="Arial Black" w:hAnsi="Arial Black" w:cs="Arial"/>
          <w:sz w:val="24"/>
          <w:szCs w:val="24"/>
        </w:rPr>
        <w:t>Our Neighbourhood Digital Support Project</w:t>
      </w:r>
    </w:p>
    <w:p w14:paraId="2F82CDEE" w14:textId="77777777" w:rsidR="00926F51" w:rsidRDefault="004E6FC0" w:rsidP="004E6FC0">
      <w:r w:rsidRPr="004E6FC0">
        <w:rPr>
          <w:rFonts w:ascii="Arial" w:hAnsi="Arial" w:cs="Arial"/>
          <w:sz w:val="24"/>
          <w:szCs w:val="24"/>
        </w:rPr>
        <w:t xml:space="preserve">The "Our Neighbourhood Digital Support Project" is a game-changing programme aimed at empowering communities through digital literacy. Access to technology and digital skills </w:t>
      </w:r>
      <w:r>
        <w:rPr>
          <w:rFonts w:ascii="Arial" w:hAnsi="Arial" w:cs="Arial"/>
          <w:sz w:val="24"/>
          <w:szCs w:val="24"/>
        </w:rPr>
        <w:t>is</w:t>
      </w:r>
      <w:r w:rsidRPr="004E6FC0">
        <w:rPr>
          <w:rFonts w:ascii="Arial" w:hAnsi="Arial" w:cs="Arial"/>
          <w:sz w:val="24"/>
          <w:szCs w:val="24"/>
        </w:rPr>
        <w:t xml:space="preserve"> critical for personal development, community development, and social inclusion in an increasingly digitalized society. With its five key aims, this initiative plays a critical role in bridging the digital gap and ensuring that people from all backgrounds have the opportunity to prosper in the digital era.</w:t>
      </w:r>
      <w:r>
        <w:rPr>
          <w:rFonts w:ascii="Arial" w:hAnsi="Arial" w:cs="Arial"/>
          <w:sz w:val="24"/>
          <w:szCs w:val="24"/>
        </w:rPr>
        <w:t xml:space="preserve">                                                                                                      </w:t>
      </w:r>
      <w:r w:rsidRPr="004E6FC0">
        <w:t xml:space="preserve"> </w:t>
      </w:r>
    </w:p>
    <w:p w14:paraId="614140F7" w14:textId="1F663819" w:rsidR="00926F51" w:rsidRPr="006817C6" w:rsidRDefault="004E6FC0" w:rsidP="006817C6">
      <w:pPr>
        <w:pStyle w:val="ListParagraph"/>
        <w:numPr>
          <w:ilvl w:val="0"/>
          <w:numId w:val="2"/>
        </w:numPr>
        <w:rPr>
          <w:rFonts w:ascii="Arial" w:hAnsi="Arial" w:cs="Arial"/>
          <w:sz w:val="24"/>
          <w:szCs w:val="24"/>
        </w:rPr>
      </w:pPr>
      <w:r w:rsidRPr="006817C6">
        <w:rPr>
          <w:rFonts w:ascii="Arial" w:hAnsi="Arial" w:cs="Arial"/>
          <w:sz w:val="24"/>
          <w:szCs w:val="24"/>
        </w:rPr>
        <w:t>Promoting Digital Literacy: One of the project's fundamental pillars is the promotion of digital literacy. Digital literacy includes a variety of skills, such as the ability to utilise digital devices, traverse the internet, critically analyse online content, and effectively engage in online communication. The initiative provides community members with the knowledge and skills they need to become effective digital citizens by conducting training programmes and workshops. These programmes are intended for people of all ages and backgrounds, with the understanding that digital literacy is a lifelong learning journey.</w:t>
      </w:r>
    </w:p>
    <w:p w14:paraId="45CCD15B" w14:textId="565342B7" w:rsidR="00926F51" w:rsidRPr="006817C6" w:rsidRDefault="00926F51" w:rsidP="006817C6">
      <w:pPr>
        <w:pStyle w:val="ListParagraph"/>
        <w:numPr>
          <w:ilvl w:val="0"/>
          <w:numId w:val="2"/>
        </w:numPr>
        <w:rPr>
          <w:rFonts w:ascii="Arial" w:hAnsi="Arial" w:cs="Arial"/>
          <w:sz w:val="24"/>
          <w:szCs w:val="24"/>
        </w:rPr>
      </w:pPr>
      <w:r w:rsidRPr="006817C6">
        <w:rPr>
          <w:rFonts w:ascii="Arial" w:hAnsi="Arial" w:cs="Arial"/>
          <w:sz w:val="24"/>
          <w:szCs w:val="24"/>
        </w:rPr>
        <w:t>Providing Technology Access: Access to technology is a crucial requirement for digital inclusion. The project recognises the necessity of providing community members with the required tools and resources. This includes providing computers and internet connection at community centres, as well as building physical venues where people can access technology, learn about it, and explore the digital world. By removing access hurdles, the project makes a substantial contribution to narrowing the digital divide.</w:t>
      </w:r>
    </w:p>
    <w:p w14:paraId="5468C5D4" w14:textId="77777777" w:rsidR="00926F51" w:rsidRPr="006817C6" w:rsidRDefault="00926F51" w:rsidP="006817C6">
      <w:pPr>
        <w:pStyle w:val="ListParagraph"/>
        <w:numPr>
          <w:ilvl w:val="0"/>
          <w:numId w:val="2"/>
        </w:numPr>
        <w:rPr>
          <w:rFonts w:ascii="Arial" w:hAnsi="Arial" w:cs="Arial"/>
          <w:sz w:val="24"/>
          <w:szCs w:val="24"/>
        </w:rPr>
      </w:pPr>
      <w:r w:rsidRPr="006817C6">
        <w:rPr>
          <w:rFonts w:ascii="Arial" w:hAnsi="Arial" w:cs="Arial"/>
          <w:sz w:val="24"/>
          <w:szCs w:val="24"/>
        </w:rPr>
        <w:t xml:space="preserve">Promoting Community Engagement: Digital literacy enables people to interact more effectively with their communities and the larger society. Community members can become engaged and informed citizens by learning how to access information, interact with others, and participate in online debates. The project promotes community involvement and civic participation, recognising </w:t>
      </w:r>
      <w:r w:rsidRPr="006817C6">
        <w:rPr>
          <w:rFonts w:ascii="Arial" w:hAnsi="Arial" w:cs="Arial"/>
          <w:sz w:val="24"/>
          <w:szCs w:val="24"/>
        </w:rPr>
        <w:lastRenderedPageBreak/>
        <w:t>that persons who are digitally literate are better suited to contribute to their communities and advocate for good change.</w:t>
      </w:r>
    </w:p>
    <w:p w14:paraId="081819E1" w14:textId="77777777" w:rsidR="00926F51" w:rsidRPr="006817C6" w:rsidRDefault="00926F51" w:rsidP="006817C6">
      <w:pPr>
        <w:pStyle w:val="ListParagraph"/>
        <w:numPr>
          <w:ilvl w:val="0"/>
          <w:numId w:val="2"/>
        </w:numPr>
        <w:rPr>
          <w:rFonts w:ascii="Arial" w:hAnsi="Arial" w:cs="Arial"/>
          <w:sz w:val="24"/>
          <w:szCs w:val="24"/>
        </w:rPr>
      </w:pPr>
      <w:r w:rsidRPr="006817C6">
        <w:rPr>
          <w:rFonts w:ascii="Arial" w:hAnsi="Arial" w:cs="Arial"/>
          <w:sz w:val="24"/>
          <w:szCs w:val="24"/>
        </w:rPr>
        <w:t>Improving Employability: Digital skills are becoming increasingly important in the employment market. Many employers require digital ability, and digital literacy can greatly improve job prospects. The project provides job preparedness programmes that emphasise the development of digital skills required for success in today's workplace. These programmes not only promote employability but also help to community economic empowerment.</w:t>
      </w:r>
    </w:p>
    <w:p w14:paraId="1B4A347D" w14:textId="1FA58264" w:rsidR="004E6FC0" w:rsidRPr="006817C6" w:rsidRDefault="00926F51" w:rsidP="006817C6">
      <w:pPr>
        <w:pStyle w:val="ListParagraph"/>
        <w:numPr>
          <w:ilvl w:val="0"/>
          <w:numId w:val="2"/>
        </w:numPr>
        <w:rPr>
          <w:rFonts w:ascii="Arial" w:hAnsi="Arial" w:cs="Arial"/>
          <w:sz w:val="24"/>
          <w:szCs w:val="24"/>
        </w:rPr>
      </w:pPr>
      <w:r w:rsidRPr="006817C6">
        <w:rPr>
          <w:rFonts w:ascii="Arial" w:hAnsi="Arial" w:cs="Arial"/>
          <w:sz w:val="24"/>
          <w:szCs w:val="24"/>
        </w:rPr>
        <w:t>Ensuring Digital Inclusion: Ensuring digital inclusion is a fundamental tenet of the "Our Neighbourhood Digital Support Project". The project's goal is to leave no one behind since it understands that everyone, regardless of age, background, or ability, should be able to benefit from digital literacy. The inclusive programmes of the project, which are made to fit a variety of needs and learning styles, are a testament to this dedication.</w:t>
      </w:r>
    </w:p>
    <w:p w14:paraId="1871D1E4" w14:textId="0E8745FD" w:rsidR="00926F51" w:rsidRPr="006817C6" w:rsidRDefault="00926F51" w:rsidP="004E6FC0">
      <w:pPr>
        <w:rPr>
          <w:rFonts w:ascii="Arial Black" w:hAnsi="Arial Black" w:cs="Arial"/>
          <w:sz w:val="24"/>
          <w:szCs w:val="24"/>
        </w:rPr>
      </w:pPr>
      <w:r w:rsidRPr="006817C6">
        <w:rPr>
          <w:rFonts w:ascii="Arial Black" w:hAnsi="Arial Black" w:cs="Arial"/>
          <w:sz w:val="24"/>
          <w:szCs w:val="24"/>
        </w:rPr>
        <w:t>Evaluation of Community Development Processes</w:t>
      </w:r>
    </w:p>
    <w:p w14:paraId="184F48C4" w14:textId="77777777" w:rsidR="00926F51" w:rsidRDefault="00926F51" w:rsidP="004E6FC0">
      <w:r w:rsidRPr="00926F51">
        <w:rPr>
          <w:rFonts w:ascii="Arial" w:hAnsi="Arial" w:cs="Arial"/>
          <w:sz w:val="24"/>
          <w:szCs w:val="24"/>
        </w:rPr>
        <w:t>It is vital to assess the efficacy of community development procedures to guarantee that endeavours such as the "Our Neighbourhood Digital Support Project" are accomplishing their targeted objectives and yielding favourable outcomes for the community. Key performance indicators (KPIs) offer a methodical and quantifiable means of evaluating the advancement and accomplishment of said endeavours. Several key performance indicators (KPIs) are used in the context of this project to assess its efficacy and contribution to community development.</w:t>
      </w:r>
      <w:r w:rsidRPr="00926F51">
        <w:t xml:space="preserve"> </w:t>
      </w:r>
    </w:p>
    <w:p w14:paraId="3FCACAF5" w14:textId="0D860244" w:rsidR="00926F51" w:rsidRPr="006817C6" w:rsidRDefault="00926F51" w:rsidP="006817C6">
      <w:pPr>
        <w:pStyle w:val="ListParagraph"/>
        <w:numPr>
          <w:ilvl w:val="0"/>
          <w:numId w:val="1"/>
        </w:numPr>
        <w:rPr>
          <w:rFonts w:ascii="Arial" w:hAnsi="Arial" w:cs="Arial"/>
          <w:sz w:val="24"/>
          <w:szCs w:val="24"/>
        </w:rPr>
      </w:pPr>
      <w:r w:rsidRPr="006817C6">
        <w:rPr>
          <w:rFonts w:ascii="Arial" w:hAnsi="Arial" w:cs="Arial"/>
          <w:sz w:val="24"/>
          <w:szCs w:val="24"/>
        </w:rPr>
        <w:t>Enhanced Digital Literacy: Measuring the community members' heightened proficiency in digital literacy is one of the main Key Performance Indicators. Digital literacy is a multifaceted concept that includes critical information evaluation, online communication, internet navigation, and fundamental computer abilities. Pre- and post-assessments can be used to gauge how much digital literacy abilities have improved in order to assess this component. Practical tasks including using software programs, doing internet research, and taking part in online discussions might be included in these examinations. As people get better at using digital tools and resources for a variety of purposes, there is a positive correlation between an increase in digital literacy abilities and community growth and development.</w:t>
      </w:r>
    </w:p>
    <w:p w14:paraId="719168B3" w14:textId="77777777" w:rsidR="006817C6" w:rsidRDefault="00EC1861" w:rsidP="006817C6">
      <w:pPr>
        <w:pStyle w:val="ListParagraph"/>
        <w:numPr>
          <w:ilvl w:val="0"/>
          <w:numId w:val="1"/>
        </w:numPr>
      </w:pPr>
      <w:r w:rsidRPr="006817C6">
        <w:rPr>
          <w:rFonts w:ascii="Arial" w:hAnsi="Arial" w:cs="Arial"/>
          <w:sz w:val="24"/>
          <w:szCs w:val="24"/>
        </w:rPr>
        <w:t xml:space="preserve">Community Engagement: One other essential KPI for evaluating the project's impact is community engagement. It entails gauging the degree of community members' engagement and participation in project-related activities as well as their </w:t>
      </w:r>
      <w:r w:rsidR="006817C6" w:rsidRPr="006817C6">
        <w:rPr>
          <w:rFonts w:ascii="Arial" w:hAnsi="Arial" w:cs="Arial"/>
          <w:sz w:val="24"/>
          <w:szCs w:val="24"/>
        </w:rPr>
        <w:t>feelings</w:t>
      </w:r>
      <w:r w:rsidRPr="006817C6">
        <w:rPr>
          <w:rFonts w:ascii="Arial" w:hAnsi="Arial" w:cs="Arial"/>
          <w:sz w:val="24"/>
          <w:szCs w:val="24"/>
        </w:rPr>
        <w:t xml:space="preserve"> of trust and belonging. Residents' opinions on their participation in the project's community projects, workshops, and digital literacy programmes can be gathered through surveys and other feedback channels. Furthermore, qualitative information like firsthand accounts and accounts of community members who have increased their level of participation as a result of the initiative might offer insightful information. A rise in community involvement indicates that people are actively contributing to the growth and development of their community and feel more connected to it.</w:t>
      </w:r>
      <w:r w:rsidR="006817C6" w:rsidRPr="006817C6">
        <w:t xml:space="preserve"> </w:t>
      </w:r>
    </w:p>
    <w:p w14:paraId="2E603E73" w14:textId="7B4880D7" w:rsidR="00EC1861" w:rsidRPr="006817C6" w:rsidRDefault="006817C6" w:rsidP="006817C6">
      <w:pPr>
        <w:pStyle w:val="ListParagraph"/>
        <w:numPr>
          <w:ilvl w:val="0"/>
          <w:numId w:val="1"/>
        </w:numPr>
        <w:rPr>
          <w:rFonts w:ascii="Arial" w:hAnsi="Arial" w:cs="Arial"/>
          <w:sz w:val="24"/>
          <w:szCs w:val="24"/>
        </w:rPr>
      </w:pPr>
      <w:r w:rsidRPr="006817C6">
        <w:rPr>
          <w:rFonts w:ascii="Arial" w:hAnsi="Arial" w:cs="Arial"/>
          <w:sz w:val="24"/>
          <w:szCs w:val="24"/>
        </w:rPr>
        <w:lastRenderedPageBreak/>
        <w:t>Community Engagement: One other essential KPI for evaluating the project's impact is community engagement. It entails gauging the degree of community members' engagement and participation in project-related activities as well as their feelings of trust and belonging. Residents' opinions on their participation in the project's community projects, workshops, and digital literacy programmes can be gathered through surveys and other feedback channels. Furthermore, qualitative information like firsthand accounts and accounts of community members who have increased their level of participation as a result of the initiative might offer insightful information. A rise in community involvement indicates that people are actively contributing to the growth and development of their community and feel more connected to it.</w:t>
      </w:r>
    </w:p>
    <w:p w14:paraId="02458BD5" w14:textId="2958E939" w:rsidR="006817C6" w:rsidRPr="006817C6" w:rsidRDefault="006817C6" w:rsidP="006817C6">
      <w:pPr>
        <w:pStyle w:val="ListParagraph"/>
        <w:numPr>
          <w:ilvl w:val="0"/>
          <w:numId w:val="1"/>
        </w:numPr>
        <w:rPr>
          <w:rFonts w:ascii="Arial" w:hAnsi="Arial" w:cs="Arial"/>
          <w:sz w:val="24"/>
          <w:szCs w:val="24"/>
        </w:rPr>
      </w:pPr>
      <w:r w:rsidRPr="006817C6">
        <w:rPr>
          <w:rFonts w:ascii="Arial" w:hAnsi="Arial" w:cs="Arial"/>
          <w:sz w:val="24"/>
          <w:szCs w:val="24"/>
        </w:rPr>
        <w:t>Sustainable Digital Inclusion: Ensuring that digital inclusion activities are long-term and accessible to all communities is a critical component of determining project success. Community members can continue to receive digital resources and help even after the project's early phases are completed. Continuous monitoring and review are required to assess this. This includes monitoring community members' long-term engagement in digital literacy programmes, evaluating the upkeep of technological resources in community centres, and ensuring that digital inclusion remains a priority for the community and key partners. A long-term digital inclusion strategy guarantees that the project's advantages are sustained and that residents continue to have fair access to digital resources and opportunities.</w:t>
      </w:r>
    </w:p>
    <w:p w14:paraId="3254E34A" w14:textId="77777777" w:rsidR="00AE4EB8" w:rsidRDefault="006817C6" w:rsidP="004E6FC0">
      <w:pPr>
        <w:rPr>
          <w:rFonts w:ascii="Arial" w:hAnsi="Arial" w:cs="Arial"/>
          <w:sz w:val="24"/>
          <w:szCs w:val="24"/>
        </w:rPr>
      </w:pPr>
      <w:r w:rsidRPr="006817C6">
        <w:rPr>
          <w:rFonts w:ascii="Arial" w:hAnsi="Arial" w:cs="Arial"/>
          <w:sz w:val="24"/>
          <w:szCs w:val="24"/>
        </w:rPr>
        <w:t>These key performance metrics are used by the "Our Neighbourhood Digital Support Project" to assess its efficacy in supporting community development. The initiative may analyse its impact on the community and make informed decisions for continual improvement by evaluating increased digital literacy, increased community participation, improved employability, and sustainable digital inclusion. These KPIs provide a comprehensive framework for assessing the project's success and ensuring that it is on track to achieve its aims of empowering communities through digital literacy.</w:t>
      </w:r>
    </w:p>
    <w:p w14:paraId="0DBBD241" w14:textId="7503E58D" w:rsidR="006817C6" w:rsidRDefault="00AE4EB8" w:rsidP="004E6FC0">
      <w:pPr>
        <w:rPr>
          <w:rFonts w:ascii="Arial" w:hAnsi="Arial" w:cs="Arial"/>
          <w:sz w:val="24"/>
          <w:szCs w:val="24"/>
        </w:rPr>
      </w:pPr>
      <w:r w:rsidRPr="00AE4EB8">
        <w:rPr>
          <w:rFonts w:ascii="Arial" w:hAnsi="Arial" w:cs="Arial"/>
          <w:sz w:val="24"/>
          <w:szCs w:val="24"/>
        </w:rPr>
        <w:t>To sum up, the "Our Neighbourhood Digital Support Project" is proof of the transforming potential of digital literacy and community involvement in promoting community development. Through the use of technology, this effort aims to close the digital divide and equip locals with the fundamental digital skills they need, regardless of their age, background, or ability. The project has developed a model for community development in the digital age by taking a comprehensive strategy that encompasses assuring digital inclusion, building community participation, enabling access to technology, and boosting digital literacy.</w:t>
      </w:r>
      <w:r>
        <w:rPr>
          <w:rFonts w:ascii="Arial" w:hAnsi="Arial" w:cs="Arial"/>
          <w:sz w:val="24"/>
          <w:szCs w:val="24"/>
        </w:rPr>
        <w:t xml:space="preserve">                                                                                                                 </w:t>
      </w:r>
      <w:r w:rsidRPr="00AE4EB8">
        <w:t xml:space="preserve"> </w:t>
      </w:r>
      <w:r w:rsidRPr="00AE4EB8">
        <w:rPr>
          <w:rFonts w:ascii="Arial" w:hAnsi="Arial" w:cs="Arial"/>
          <w:sz w:val="24"/>
          <w:szCs w:val="24"/>
        </w:rPr>
        <w:t>Members of the community now possess higher levels of digital literacy, which is indicative of progress and development as people learn how to use digital tools and resources effectively. A more cohesive and lively community has also been facilitated by the increased levels of community engagement, which are marked by a greater sense of belonging and active participation. The project's emphasis on employability has enhanced residents' employment opportunities, supporting their financial security and independence.</w:t>
      </w:r>
      <w:r>
        <w:rPr>
          <w:rFonts w:ascii="Arial" w:hAnsi="Arial" w:cs="Arial"/>
          <w:sz w:val="24"/>
          <w:szCs w:val="24"/>
        </w:rPr>
        <w:t xml:space="preserve">                                                                                                                                                  </w:t>
      </w:r>
      <w:r w:rsidRPr="00AE4EB8">
        <w:t xml:space="preserve"> </w:t>
      </w:r>
      <w:r w:rsidRPr="00AE4EB8">
        <w:rPr>
          <w:rFonts w:ascii="Arial" w:hAnsi="Arial" w:cs="Arial"/>
          <w:sz w:val="24"/>
          <w:szCs w:val="24"/>
        </w:rPr>
        <w:lastRenderedPageBreak/>
        <w:t>Most importantly, the project's dedication to sustainable digital inclusion guarantees that its advantages will last for years to come, empowering communities. The success of the project is determined not just by financial gains but also by the positive impact it has had on people's lives and the community as a whole.</w:t>
      </w:r>
      <w:r>
        <w:rPr>
          <w:rFonts w:ascii="Arial" w:hAnsi="Arial" w:cs="Arial"/>
          <w:sz w:val="24"/>
          <w:szCs w:val="24"/>
        </w:rPr>
        <w:t xml:space="preserve">                                                                                 </w:t>
      </w:r>
      <w:r w:rsidRPr="00AE4EB8">
        <w:t xml:space="preserve"> </w:t>
      </w:r>
      <w:r w:rsidRPr="00AE4EB8">
        <w:rPr>
          <w:rFonts w:ascii="Arial" w:hAnsi="Arial" w:cs="Arial"/>
          <w:sz w:val="24"/>
          <w:szCs w:val="24"/>
        </w:rPr>
        <w:t xml:space="preserve">In the future, the "Our Neighbourhood Digital Support Project" will serve as a model of inspiration for </w:t>
      </w:r>
      <w:r>
        <w:rPr>
          <w:rFonts w:ascii="Arial" w:hAnsi="Arial" w:cs="Arial"/>
          <w:sz w:val="24"/>
          <w:szCs w:val="24"/>
        </w:rPr>
        <w:t>neighbourhood-based</w:t>
      </w:r>
      <w:r w:rsidRPr="00AE4EB8">
        <w:rPr>
          <w:rFonts w:ascii="Arial" w:hAnsi="Arial" w:cs="Arial"/>
          <w:sz w:val="24"/>
          <w:szCs w:val="24"/>
        </w:rPr>
        <w:t xml:space="preserve"> projects across the globe. It highlights the significance of digital literacy as a necessary ability in the contemporary world and illustrates how technology can act as a catalyst for progress. This project has benefited lives and enhanced the neighbourhood's social fabric by tackling the digital divide and promoting community development. The insights gained from this initiative are crucial for creating inclusive and empowered communities in a world where connections are growing.</w:t>
      </w:r>
    </w:p>
    <w:p w14:paraId="202D4C81" w14:textId="77777777" w:rsidR="00AE4EB8" w:rsidRDefault="00AE4EB8" w:rsidP="004E6FC0">
      <w:pPr>
        <w:rPr>
          <w:rFonts w:ascii="Arial" w:hAnsi="Arial" w:cs="Arial"/>
          <w:sz w:val="24"/>
          <w:szCs w:val="24"/>
        </w:rPr>
      </w:pPr>
    </w:p>
    <w:p w14:paraId="23C99F0A" w14:textId="77777777" w:rsidR="00AE4EB8" w:rsidRDefault="00AE4EB8" w:rsidP="004E6FC0">
      <w:pPr>
        <w:rPr>
          <w:rFonts w:ascii="Arial" w:hAnsi="Arial" w:cs="Arial"/>
          <w:sz w:val="24"/>
          <w:szCs w:val="24"/>
        </w:rPr>
      </w:pPr>
    </w:p>
    <w:p w14:paraId="24C644EF" w14:textId="77777777" w:rsidR="00AE4EB8" w:rsidRDefault="00AE4EB8" w:rsidP="004E6FC0">
      <w:pPr>
        <w:rPr>
          <w:rFonts w:ascii="Arial" w:hAnsi="Arial" w:cs="Arial"/>
          <w:sz w:val="24"/>
          <w:szCs w:val="24"/>
        </w:rPr>
      </w:pPr>
    </w:p>
    <w:p w14:paraId="2D7179A7" w14:textId="77777777" w:rsidR="00AE4EB8" w:rsidRDefault="00AE4EB8" w:rsidP="004E6FC0">
      <w:pPr>
        <w:rPr>
          <w:rFonts w:ascii="Arial" w:hAnsi="Arial" w:cs="Arial"/>
          <w:sz w:val="24"/>
          <w:szCs w:val="24"/>
        </w:rPr>
      </w:pPr>
    </w:p>
    <w:p w14:paraId="4F1775DC" w14:textId="77777777" w:rsidR="00AE4EB8" w:rsidRDefault="00AE4EB8" w:rsidP="004E6FC0">
      <w:pPr>
        <w:rPr>
          <w:rFonts w:ascii="Arial" w:hAnsi="Arial" w:cs="Arial"/>
          <w:sz w:val="24"/>
          <w:szCs w:val="24"/>
        </w:rPr>
      </w:pPr>
    </w:p>
    <w:p w14:paraId="7EAF085A" w14:textId="77777777" w:rsidR="00AE4EB8" w:rsidRDefault="00AE4EB8" w:rsidP="004E6FC0">
      <w:pPr>
        <w:rPr>
          <w:rFonts w:ascii="Arial" w:hAnsi="Arial" w:cs="Arial"/>
          <w:sz w:val="24"/>
          <w:szCs w:val="24"/>
        </w:rPr>
      </w:pPr>
    </w:p>
    <w:p w14:paraId="09EAA48C" w14:textId="77777777" w:rsidR="00AE4EB8" w:rsidRDefault="00AE4EB8" w:rsidP="004E6FC0">
      <w:pPr>
        <w:rPr>
          <w:rFonts w:ascii="Arial" w:hAnsi="Arial" w:cs="Arial"/>
          <w:sz w:val="24"/>
          <w:szCs w:val="24"/>
        </w:rPr>
      </w:pPr>
    </w:p>
    <w:p w14:paraId="5789C2A1" w14:textId="77777777" w:rsidR="00AE4EB8" w:rsidRDefault="00AE4EB8" w:rsidP="004E6FC0">
      <w:pPr>
        <w:rPr>
          <w:rFonts w:ascii="Arial" w:hAnsi="Arial" w:cs="Arial"/>
          <w:sz w:val="24"/>
          <w:szCs w:val="24"/>
        </w:rPr>
      </w:pPr>
    </w:p>
    <w:p w14:paraId="20C87A8B" w14:textId="77777777" w:rsidR="00AE4EB8" w:rsidRDefault="00AE4EB8" w:rsidP="004E6FC0">
      <w:pPr>
        <w:rPr>
          <w:rFonts w:ascii="Arial" w:hAnsi="Arial" w:cs="Arial"/>
          <w:sz w:val="24"/>
          <w:szCs w:val="24"/>
        </w:rPr>
      </w:pPr>
    </w:p>
    <w:p w14:paraId="3B225ABC" w14:textId="77777777" w:rsidR="00AE4EB8" w:rsidRDefault="00AE4EB8" w:rsidP="004E6FC0">
      <w:pPr>
        <w:rPr>
          <w:rFonts w:ascii="Arial" w:hAnsi="Arial" w:cs="Arial"/>
          <w:sz w:val="24"/>
          <w:szCs w:val="24"/>
        </w:rPr>
      </w:pPr>
    </w:p>
    <w:p w14:paraId="7F425427" w14:textId="77777777" w:rsidR="00AE4EB8" w:rsidRDefault="00AE4EB8" w:rsidP="004E6FC0">
      <w:pPr>
        <w:rPr>
          <w:rFonts w:ascii="Arial" w:hAnsi="Arial" w:cs="Arial"/>
          <w:sz w:val="24"/>
          <w:szCs w:val="24"/>
        </w:rPr>
      </w:pPr>
    </w:p>
    <w:p w14:paraId="4ABFA9FB" w14:textId="77777777" w:rsidR="00AE4EB8" w:rsidRDefault="00AE4EB8" w:rsidP="004E6FC0">
      <w:pPr>
        <w:rPr>
          <w:rFonts w:ascii="Arial" w:hAnsi="Arial" w:cs="Arial"/>
          <w:sz w:val="24"/>
          <w:szCs w:val="24"/>
        </w:rPr>
      </w:pPr>
    </w:p>
    <w:p w14:paraId="43502CB4" w14:textId="77777777" w:rsidR="00AE4EB8" w:rsidRDefault="00AE4EB8" w:rsidP="004E6FC0">
      <w:pPr>
        <w:rPr>
          <w:rFonts w:ascii="Arial" w:hAnsi="Arial" w:cs="Arial"/>
          <w:sz w:val="24"/>
          <w:szCs w:val="24"/>
        </w:rPr>
      </w:pPr>
    </w:p>
    <w:p w14:paraId="3EEC4C03" w14:textId="77777777" w:rsidR="00AE4EB8" w:rsidRDefault="00AE4EB8" w:rsidP="004E6FC0">
      <w:pPr>
        <w:rPr>
          <w:rFonts w:ascii="Arial" w:hAnsi="Arial" w:cs="Arial"/>
          <w:sz w:val="24"/>
          <w:szCs w:val="24"/>
        </w:rPr>
      </w:pPr>
    </w:p>
    <w:p w14:paraId="791BB6AE" w14:textId="77777777" w:rsidR="00AE4EB8" w:rsidRDefault="00AE4EB8" w:rsidP="004E6FC0">
      <w:pPr>
        <w:rPr>
          <w:rFonts w:ascii="Arial" w:hAnsi="Arial" w:cs="Arial"/>
          <w:sz w:val="24"/>
          <w:szCs w:val="24"/>
        </w:rPr>
      </w:pPr>
    </w:p>
    <w:p w14:paraId="1A324D6A" w14:textId="77777777" w:rsidR="00AE4EB8" w:rsidRDefault="00AE4EB8" w:rsidP="004E6FC0">
      <w:pPr>
        <w:rPr>
          <w:rFonts w:ascii="Arial" w:hAnsi="Arial" w:cs="Arial"/>
          <w:sz w:val="24"/>
          <w:szCs w:val="24"/>
        </w:rPr>
      </w:pPr>
    </w:p>
    <w:p w14:paraId="5B93F980" w14:textId="77777777" w:rsidR="00AE4EB8" w:rsidRDefault="00AE4EB8" w:rsidP="004E6FC0">
      <w:pPr>
        <w:rPr>
          <w:rFonts w:ascii="Arial" w:hAnsi="Arial" w:cs="Arial"/>
          <w:sz w:val="24"/>
          <w:szCs w:val="24"/>
        </w:rPr>
      </w:pPr>
    </w:p>
    <w:p w14:paraId="257FD24E" w14:textId="77777777" w:rsidR="00AE4EB8" w:rsidRDefault="00AE4EB8" w:rsidP="004E6FC0">
      <w:pPr>
        <w:rPr>
          <w:rFonts w:ascii="Arial" w:hAnsi="Arial" w:cs="Arial"/>
          <w:sz w:val="24"/>
          <w:szCs w:val="24"/>
        </w:rPr>
      </w:pPr>
    </w:p>
    <w:p w14:paraId="0F73327D" w14:textId="77777777" w:rsidR="00AE4EB8" w:rsidRDefault="00AE4EB8" w:rsidP="004E6FC0">
      <w:pPr>
        <w:rPr>
          <w:rFonts w:ascii="Arial" w:hAnsi="Arial" w:cs="Arial"/>
          <w:sz w:val="24"/>
          <w:szCs w:val="24"/>
        </w:rPr>
      </w:pPr>
    </w:p>
    <w:p w14:paraId="1A8F368C" w14:textId="77777777" w:rsidR="00AE4EB8" w:rsidRDefault="00AE4EB8" w:rsidP="004E6FC0">
      <w:pPr>
        <w:rPr>
          <w:rFonts w:ascii="Arial" w:hAnsi="Arial" w:cs="Arial"/>
          <w:sz w:val="24"/>
          <w:szCs w:val="24"/>
        </w:rPr>
      </w:pPr>
    </w:p>
    <w:p w14:paraId="554E32DA" w14:textId="77777777" w:rsidR="00AE4EB8" w:rsidRDefault="00AE4EB8" w:rsidP="004E6FC0">
      <w:pPr>
        <w:rPr>
          <w:rFonts w:ascii="Arial" w:hAnsi="Arial" w:cs="Arial"/>
          <w:sz w:val="24"/>
          <w:szCs w:val="24"/>
        </w:rPr>
      </w:pPr>
    </w:p>
    <w:p w14:paraId="43174D3E" w14:textId="77777777" w:rsidR="00AE4EB8" w:rsidRDefault="00AE4EB8" w:rsidP="004E6FC0">
      <w:pPr>
        <w:rPr>
          <w:rFonts w:ascii="Arial" w:hAnsi="Arial" w:cs="Arial"/>
          <w:sz w:val="24"/>
          <w:szCs w:val="24"/>
        </w:rPr>
      </w:pPr>
    </w:p>
    <w:p w14:paraId="0E54D976" w14:textId="77777777" w:rsidR="00AE4EB8" w:rsidRDefault="00AE4EB8" w:rsidP="004E6FC0">
      <w:pPr>
        <w:rPr>
          <w:rFonts w:ascii="Arial" w:hAnsi="Arial" w:cs="Arial"/>
          <w:sz w:val="24"/>
          <w:szCs w:val="24"/>
        </w:rPr>
      </w:pPr>
    </w:p>
    <w:p w14:paraId="461DDEA3" w14:textId="77777777" w:rsidR="00AE4EB8" w:rsidRDefault="00AE4EB8" w:rsidP="004E6FC0">
      <w:pPr>
        <w:rPr>
          <w:rFonts w:ascii="Arial" w:hAnsi="Arial" w:cs="Arial"/>
          <w:sz w:val="24"/>
          <w:szCs w:val="24"/>
        </w:rPr>
      </w:pPr>
    </w:p>
    <w:p w14:paraId="07E19239" w14:textId="1949484A" w:rsidR="00AE4EB8" w:rsidRPr="00D445BE" w:rsidRDefault="00AE4EB8" w:rsidP="004E6FC0">
      <w:pPr>
        <w:rPr>
          <w:rFonts w:ascii="Arial Black" w:hAnsi="Arial Black" w:cs="Arial"/>
          <w:sz w:val="24"/>
          <w:szCs w:val="24"/>
        </w:rPr>
      </w:pPr>
      <w:r w:rsidRPr="00D445BE">
        <w:rPr>
          <w:rFonts w:ascii="Arial Black" w:hAnsi="Arial Black" w:cs="Arial"/>
          <w:sz w:val="24"/>
          <w:szCs w:val="24"/>
        </w:rPr>
        <w:t>Reference</w:t>
      </w:r>
    </w:p>
    <w:p w14:paraId="63B5EC1B"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Boyd, D., &amp; Crawford, K. (2012). Critical questions for big data: Provocations for a cultural, technological, and scholarly phenomenon. Information, Communication &amp; Society, 15(5), 662-679.</w:t>
      </w:r>
    </w:p>
    <w:p w14:paraId="552FB37B" w14:textId="77777777" w:rsidR="00D445BE" w:rsidRPr="00D445BE" w:rsidRDefault="00D445BE" w:rsidP="00D445BE">
      <w:pPr>
        <w:ind w:left="720" w:right="284" w:hanging="720"/>
        <w:rPr>
          <w:rFonts w:ascii="Arial" w:hAnsi="Arial" w:cs="Arial"/>
          <w:sz w:val="24"/>
          <w:szCs w:val="24"/>
        </w:rPr>
      </w:pPr>
    </w:p>
    <w:p w14:paraId="22055033"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Castells, M. (1996). The rise of the network society: The information age: Economy, society, and culture (Vol. 1). Blackwell.</w:t>
      </w:r>
    </w:p>
    <w:p w14:paraId="40E27830" w14:textId="77777777" w:rsidR="00D445BE" w:rsidRPr="00D445BE" w:rsidRDefault="00D445BE" w:rsidP="00D445BE">
      <w:pPr>
        <w:ind w:left="720" w:right="284" w:hanging="720"/>
        <w:rPr>
          <w:rFonts w:ascii="Arial" w:hAnsi="Arial" w:cs="Arial"/>
          <w:sz w:val="24"/>
          <w:szCs w:val="24"/>
        </w:rPr>
      </w:pPr>
    </w:p>
    <w:p w14:paraId="4B29A41A"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Cohen, B., &amp; Kietzmann, J. (2014). Ride on! Mobility business models for the sharing economy. Organization &amp; Environment, 27(3), 279-296.</w:t>
      </w:r>
    </w:p>
    <w:p w14:paraId="17894B0C" w14:textId="77777777" w:rsidR="00D445BE" w:rsidRPr="00D445BE" w:rsidRDefault="00D445BE" w:rsidP="00D445BE">
      <w:pPr>
        <w:ind w:left="720" w:right="284" w:hanging="720"/>
        <w:rPr>
          <w:rFonts w:ascii="Arial" w:hAnsi="Arial" w:cs="Arial"/>
          <w:sz w:val="24"/>
          <w:szCs w:val="24"/>
        </w:rPr>
      </w:pPr>
    </w:p>
    <w:p w14:paraId="0910B76C"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Giddens, A. (1991). Modernity and self-identity: Self and society in the late modern age. Stanford University Press.</w:t>
      </w:r>
    </w:p>
    <w:p w14:paraId="61595637" w14:textId="77777777" w:rsidR="00D445BE" w:rsidRPr="00D445BE" w:rsidRDefault="00D445BE" w:rsidP="00D445BE">
      <w:pPr>
        <w:ind w:left="720" w:right="284" w:hanging="720"/>
        <w:rPr>
          <w:rFonts w:ascii="Arial" w:hAnsi="Arial" w:cs="Arial"/>
          <w:sz w:val="24"/>
          <w:szCs w:val="24"/>
        </w:rPr>
      </w:pPr>
    </w:p>
    <w:p w14:paraId="3B4D6DB9"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 xml:space="preserve">Jansen, B. J., Zhang, M., Sobel, K., &amp; </w:t>
      </w:r>
      <w:proofErr w:type="spellStart"/>
      <w:r w:rsidRPr="00D445BE">
        <w:rPr>
          <w:rFonts w:ascii="Arial" w:hAnsi="Arial" w:cs="Arial"/>
          <w:sz w:val="24"/>
          <w:szCs w:val="24"/>
        </w:rPr>
        <w:t>Chowdury</w:t>
      </w:r>
      <w:proofErr w:type="spellEnd"/>
      <w:r w:rsidRPr="00D445BE">
        <w:rPr>
          <w:rFonts w:ascii="Arial" w:hAnsi="Arial" w:cs="Arial"/>
          <w:sz w:val="24"/>
          <w:szCs w:val="24"/>
        </w:rPr>
        <w:t>, A. (2009). Twitter power: Tweets as electronic word of mouth. Journal of the American Society for Information Science and Technology, 60(11), 2169-2188.</w:t>
      </w:r>
    </w:p>
    <w:p w14:paraId="247721B5" w14:textId="77777777" w:rsidR="00D445BE" w:rsidRPr="00D445BE" w:rsidRDefault="00D445BE" w:rsidP="00D445BE">
      <w:pPr>
        <w:ind w:left="720" w:right="284" w:hanging="720"/>
        <w:rPr>
          <w:rFonts w:ascii="Arial" w:hAnsi="Arial" w:cs="Arial"/>
          <w:sz w:val="24"/>
          <w:szCs w:val="24"/>
        </w:rPr>
      </w:pPr>
    </w:p>
    <w:p w14:paraId="0954EBE2"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Jenkins, H. (2006). Convergence culture: Where old and new media collide. NYU Press.</w:t>
      </w:r>
    </w:p>
    <w:p w14:paraId="19E9E963" w14:textId="77777777" w:rsidR="00D445BE" w:rsidRPr="00D445BE" w:rsidRDefault="00D445BE" w:rsidP="00D445BE">
      <w:pPr>
        <w:ind w:left="720" w:right="284" w:hanging="720"/>
        <w:rPr>
          <w:rFonts w:ascii="Arial" w:hAnsi="Arial" w:cs="Arial"/>
          <w:sz w:val="24"/>
          <w:szCs w:val="24"/>
        </w:rPr>
      </w:pPr>
    </w:p>
    <w:p w14:paraId="3DAB3BDA"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 xml:space="preserve">Jones, P. H., &amp; Comfort, D. (2011). Child's play: Facilitating the normalisation of mobile phone technologies in the primary school. Learning, </w:t>
      </w:r>
      <w:proofErr w:type="gramStart"/>
      <w:r w:rsidRPr="00D445BE">
        <w:rPr>
          <w:rFonts w:ascii="Arial" w:hAnsi="Arial" w:cs="Arial"/>
          <w:sz w:val="24"/>
          <w:szCs w:val="24"/>
        </w:rPr>
        <w:t>Media</w:t>
      </w:r>
      <w:proofErr w:type="gramEnd"/>
      <w:r w:rsidRPr="00D445BE">
        <w:rPr>
          <w:rFonts w:ascii="Arial" w:hAnsi="Arial" w:cs="Arial"/>
          <w:sz w:val="24"/>
          <w:szCs w:val="24"/>
        </w:rPr>
        <w:t xml:space="preserve"> and Technology, 36(2), 111-129.</w:t>
      </w:r>
    </w:p>
    <w:p w14:paraId="6D23FF92" w14:textId="77777777" w:rsidR="00D445BE" w:rsidRPr="00D445BE" w:rsidRDefault="00D445BE" w:rsidP="00D445BE">
      <w:pPr>
        <w:ind w:left="720" w:right="284" w:hanging="720"/>
        <w:rPr>
          <w:rFonts w:ascii="Arial" w:hAnsi="Arial" w:cs="Arial"/>
          <w:sz w:val="24"/>
          <w:szCs w:val="24"/>
        </w:rPr>
      </w:pPr>
    </w:p>
    <w:p w14:paraId="13E0ACF4" w14:textId="77777777" w:rsidR="00D445BE" w:rsidRDefault="00D445BE" w:rsidP="00D445BE">
      <w:pPr>
        <w:ind w:left="720" w:right="284" w:hanging="720"/>
        <w:rPr>
          <w:rFonts w:ascii="Arial" w:hAnsi="Arial" w:cs="Arial"/>
          <w:sz w:val="24"/>
          <w:szCs w:val="24"/>
        </w:rPr>
      </w:pPr>
      <w:r w:rsidRPr="00D445BE">
        <w:rPr>
          <w:rFonts w:ascii="Arial" w:hAnsi="Arial" w:cs="Arial"/>
          <w:sz w:val="24"/>
          <w:szCs w:val="24"/>
        </w:rPr>
        <w:t>Katz, E., Blumler, J. G., &amp; Gurevitch, M. (1973). Uses and gratifications research. The Public Opinion Quarterly, 37(4), 509-523.</w:t>
      </w:r>
    </w:p>
    <w:p w14:paraId="1A5551DE" w14:textId="77777777" w:rsidR="00D445BE" w:rsidRDefault="00D445BE" w:rsidP="00D445BE">
      <w:pPr>
        <w:ind w:left="720" w:right="284" w:hanging="720"/>
        <w:rPr>
          <w:rFonts w:ascii="Arial" w:hAnsi="Arial" w:cs="Arial"/>
          <w:sz w:val="24"/>
          <w:szCs w:val="24"/>
        </w:rPr>
      </w:pPr>
    </w:p>
    <w:p w14:paraId="4C181D4A" w14:textId="2D57BF5E" w:rsidR="00D445BE" w:rsidRPr="00D445BE" w:rsidRDefault="00D445BE" w:rsidP="00D445BE">
      <w:pPr>
        <w:ind w:left="720" w:right="284" w:hanging="720"/>
        <w:rPr>
          <w:rFonts w:ascii="Arial" w:hAnsi="Arial" w:cs="Arial"/>
          <w:sz w:val="24"/>
          <w:szCs w:val="24"/>
        </w:rPr>
      </w:pPr>
      <w:r w:rsidRPr="00D445BE">
        <w:t xml:space="preserve"> </w:t>
      </w:r>
      <w:r w:rsidRPr="00D445BE">
        <w:rPr>
          <w:rFonts w:ascii="Arial" w:hAnsi="Arial" w:cs="Arial"/>
          <w:sz w:val="24"/>
          <w:szCs w:val="24"/>
        </w:rPr>
        <w:t>Kietzmann, J. H., Hermkens, K., McCarthy, I. P., &amp; Silvestre, B. S. (2011). Social media? Get serious! Understanding the functional building blocks of social media. Business Horizons, 54(3), 241-251.</w:t>
      </w:r>
    </w:p>
    <w:p w14:paraId="54288C74" w14:textId="77777777" w:rsidR="00D445BE" w:rsidRPr="00D445BE" w:rsidRDefault="00D445BE" w:rsidP="00D445BE">
      <w:pPr>
        <w:ind w:left="720" w:right="284" w:hanging="720"/>
        <w:rPr>
          <w:rFonts w:ascii="Arial" w:hAnsi="Arial" w:cs="Arial"/>
          <w:sz w:val="24"/>
          <w:szCs w:val="24"/>
        </w:rPr>
      </w:pPr>
    </w:p>
    <w:p w14:paraId="32A11F8C"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lastRenderedPageBreak/>
        <w:t>Lévy, P. (1997). Collective intelligence: Mankind's emerging world in cyberspace. Basic Books.</w:t>
      </w:r>
    </w:p>
    <w:p w14:paraId="6A441CCB" w14:textId="77777777" w:rsidR="00D445BE" w:rsidRPr="00D445BE" w:rsidRDefault="00D445BE" w:rsidP="00D445BE">
      <w:pPr>
        <w:ind w:left="720" w:right="284" w:hanging="720"/>
        <w:rPr>
          <w:rFonts w:ascii="Arial" w:hAnsi="Arial" w:cs="Arial"/>
          <w:sz w:val="24"/>
          <w:szCs w:val="24"/>
        </w:rPr>
      </w:pPr>
    </w:p>
    <w:p w14:paraId="521176E7"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Lin, N. (2001). Social capital: A theory of social structure and action. Cambridge University Press.</w:t>
      </w:r>
    </w:p>
    <w:p w14:paraId="030B6FFC" w14:textId="77777777" w:rsidR="00D445BE" w:rsidRPr="00D445BE" w:rsidRDefault="00D445BE" w:rsidP="00D445BE">
      <w:pPr>
        <w:ind w:left="720" w:right="284" w:hanging="720"/>
        <w:rPr>
          <w:rFonts w:ascii="Arial" w:hAnsi="Arial" w:cs="Arial"/>
          <w:sz w:val="24"/>
          <w:szCs w:val="24"/>
        </w:rPr>
      </w:pPr>
    </w:p>
    <w:p w14:paraId="0AD71BCB" w14:textId="77777777" w:rsidR="00A111E1" w:rsidRDefault="00D445BE" w:rsidP="00A111E1">
      <w:pPr>
        <w:ind w:left="720" w:right="284" w:hanging="720"/>
      </w:pPr>
      <w:r w:rsidRPr="00D445BE">
        <w:rPr>
          <w:rFonts w:ascii="Arial" w:hAnsi="Arial" w:cs="Arial"/>
          <w:sz w:val="24"/>
          <w:szCs w:val="24"/>
        </w:rPr>
        <w:t>McLuhan, M. (1964). Understanding media: The extensions of man. McGraw-Hill.</w:t>
      </w:r>
      <w:r w:rsidR="00A111E1" w:rsidRPr="00A111E1">
        <w:t xml:space="preserve"> </w:t>
      </w:r>
    </w:p>
    <w:p w14:paraId="56B417CF" w14:textId="77777777" w:rsidR="00A111E1" w:rsidRDefault="00A111E1" w:rsidP="00A111E1">
      <w:pPr>
        <w:ind w:left="720" w:right="284" w:hanging="720"/>
      </w:pPr>
    </w:p>
    <w:p w14:paraId="73725D76" w14:textId="7951EB12" w:rsidR="00A111E1" w:rsidRPr="00A111E1" w:rsidRDefault="00A111E1" w:rsidP="00A111E1">
      <w:pPr>
        <w:ind w:left="720" w:right="284" w:hanging="720"/>
        <w:rPr>
          <w:rFonts w:ascii="Arial" w:hAnsi="Arial" w:cs="Arial"/>
          <w:sz w:val="24"/>
          <w:szCs w:val="24"/>
        </w:rPr>
      </w:pPr>
      <w:r w:rsidRPr="00A111E1">
        <w:rPr>
          <w:rFonts w:ascii="Arial" w:hAnsi="Arial" w:cs="Arial"/>
          <w:sz w:val="24"/>
          <w:szCs w:val="24"/>
        </w:rPr>
        <w:t>Maslow, A. H. (1943). A theory of human motivation. Psychological Review, 50 (4), 370-96.</w:t>
      </w:r>
    </w:p>
    <w:p w14:paraId="05787214" w14:textId="77777777" w:rsidR="00A111E1" w:rsidRPr="00A111E1" w:rsidRDefault="00A111E1" w:rsidP="00A111E1">
      <w:pPr>
        <w:ind w:left="720" w:right="284" w:hanging="720"/>
        <w:rPr>
          <w:rFonts w:ascii="Arial" w:hAnsi="Arial" w:cs="Arial"/>
          <w:sz w:val="24"/>
          <w:szCs w:val="24"/>
        </w:rPr>
      </w:pPr>
    </w:p>
    <w:p w14:paraId="78BD26A1" w14:textId="77777777" w:rsidR="00A111E1" w:rsidRPr="00A111E1" w:rsidRDefault="00A111E1" w:rsidP="00A111E1">
      <w:pPr>
        <w:ind w:left="720" w:right="284" w:hanging="720"/>
        <w:rPr>
          <w:rFonts w:ascii="Arial" w:hAnsi="Arial" w:cs="Arial"/>
          <w:sz w:val="24"/>
          <w:szCs w:val="24"/>
        </w:rPr>
      </w:pPr>
      <w:r w:rsidRPr="00A111E1">
        <w:rPr>
          <w:rFonts w:ascii="Arial" w:hAnsi="Arial" w:cs="Arial"/>
          <w:sz w:val="24"/>
          <w:szCs w:val="24"/>
        </w:rPr>
        <w:t>Maslow, A. H. (1954). Motivation and personality. New York: Harper and Row.</w:t>
      </w:r>
    </w:p>
    <w:p w14:paraId="0B7FE5A1" w14:textId="77777777" w:rsidR="00A111E1" w:rsidRPr="00A111E1" w:rsidRDefault="00A111E1" w:rsidP="00A111E1">
      <w:pPr>
        <w:ind w:left="720" w:right="284" w:hanging="720"/>
        <w:rPr>
          <w:rFonts w:ascii="Arial" w:hAnsi="Arial" w:cs="Arial"/>
          <w:sz w:val="24"/>
          <w:szCs w:val="24"/>
        </w:rPr>
      </w:pPr>
    </w:p>
    <w:p w14:paraId="4498FDC5" w14:textId="77777777" w:rsidR="00A111E1" w:rsidRPr="00A111E1" w:rsidRDefault="00A111E1" w:rsidP="00A111E1">
      <w:pPr>
        <w:ind w:left="720" w:right="284" w:hanging="720"/>
        <w:rPr>
          <w:rFonts w:ascii="Arial" w:hAnsi="Arial" w:cs="Arial"/>
          <w:sz w:val="24"/>
          <w:szCs w:val="24"/>
        </w:rPr>
      </w:pPr>
      <w:r w:rsidRPr="00A111E1">
        <w:rPr>
          <w:rFonts w:ascii="Arial" w:hAnsi="Arial" w:cs="Arial"/>
          <w:sz w:val="24"/>
          <w:szCs w:val="24"/>
        </w:rPr>
        <w:t>Maslow, A. H. (1962). Toward a psychology of being. Princeton: D. Van Nostrand Company.</w:t>
      </w:r>
    </w:p>
    <w:p w14:paraId="3C4C55D1" w14:textId="77777777" w:rsidR="00A111E1" w:rsidRPr="00A111E1" w:rsidRDefault="00A111E1" w:rsidP="00A111E1">
      <w:pPr>
        <w:ind w:left="720" w:right="284" w:hanging="720"/>
        <w:rPr>
          <w:rFonts w:ascii="Arial" w:hAnsi="Arial" w:cs="Arial"/>
          <w:sz w:val="24"/>
          <w:szCs w:val="24"/>
        </w:rPr>
      </w:pPr>
    </w:p>
    <w:p w14:paraId="5785184D" w14:textId="77777777" w:rsidR="00A111E1" w:rsidRPr="00A111E1" w:rsidRDefault="00A111E1" w:rsidP="00A111E1">
      <w:pPr>
        <w:ind w:left="720" w:right="284" w:hanging="720"/>
        <w:rPr>
          <w:rFonts w:ascii="Arial" w:hAnsi="Arial" w:cs="Arial"/>
          <w:sz w:val="24"/>
          <w:szCs w:val="24"/>
        </w:rPr>
      </w:pPr>
      <w:r w:rsidRPr="00A111E1">
        <w:rPr>
          <w:rFonts w:ascii="Arial" w:hAnsi="Arial" w:cs="Arial"/>
          <w:sz w:val="24"/>
          <w:szCs w:val="24"/>
        </w:rPr>
        <w:t>Maslow, A. H. (1970a). Motivation and personality. New York: Harper &amp; Row.</w:t>
      </w:r>
    </w:p>
    <w:p w14:paraId="280238F6" w14:textId="77777777" w:rsidR="00A111E1" w:rsidRPr="00A111E1" w:rsidRDefault="00A111E1" w:rsidP="00A111E1">
      <w:pPr>
        <w:ind w:left="720" w:right="284" w:hanging="720"/>
        <w:rPr>
          <w:rFonts w:ascii="Arial" w:hAnsi="Arial" w:cs="Arial"/>
          <w:sz w:val="24"/>
          <w:szCs w:val="24"/>
        </w:rPr>
      </w:pPr>
    </w:p>
    <w:p w14:paraId="784FF9EC" w14:textId="77777777" w:rsidR="00A111E1" w:rsidRPr="00A111E1" w:rsidRDefault="00A111E1" w:rsidP="00A111E1">
      <w:pPr>
        <w:ind w:left="720" w:right="284" w:hanging="720"/>
        <w:rPr>
          <w:rFonts w:ascii="Arial" w:hAnsi="Arial" w:cs="Arial"/>
          <w:sz w:val="24"/>
          <w:szCs w:val="24"/>
        </w:rPr>
      </w:pPr>
      <w:r w:rsidRPr="00A111E1">
        <w:rPr>
          <w:rFonts w:ascii="Arial" w:hAnsi="Arial" w:cs="Arial"/>
          <w:sz w:val="24"/>
          <w:szCs w:val="24"/>
        </w:rPr>
        <w:t>Maslow, A. H. (1970b). Religions, values, and peak experiences. New York: Penguin. (Original work published 1966)</w:t>
      </w:r>
    </w:p>
    <w:p w14:paraId="2F33DAA8" w14:textId="77777777" w:rsidR="00A111E1" w:rsidRPr="00A111E1" w:rsidRDefault="00A111E1" w:rsidP="00A111E1">
      <w:pPr>
        <w:ind w:left="720" w:right="284" w:hanging="720"/>
        <w:rPr>
          <w:rFonts w:ascii="Arial" w:hAnsi="Arial" w:cs="Arial"/>
          <w:sz w:val="24"/>
          <w:szCs w:val="24"/>
        </w:rPr>
      </w:pPr>
    </w:p>
    <w:p w14:paraId="68D3D7E2" w14:textId="735825B0" w:rsidR="00D445BE" w:rsidRPr="00D445BE" w:rsidRDefault="00A111E1" w:rsidP="00A111E1">
      <w:pPr>
        <w:ind w:left="720" w:right="284" w:hanging="720"/>
        <w:rPr>
          <w:rFonts w:ascii="Arial" w:hAnsi="Arial" w:cs="Arial"/>
          <w:sz w:val="24"/>
          <w:szCs w:val="24"/>
        </w:rPr>
      </w:pPr>
      <w:r w:rsidRPr="00A111E1">
        <w:rPr>
          <w:rFonts w:ascii="Arial" w:hAnsi="Arial" w:cs="Arial"/>
          <w:sz w:val="24"/>
          <w:szCs w:val="24"/>
        </w:rPr>
        <w:t>Maslow, A. H. (1987). Motivation and personality (3rd ed.). Delhi, India: Pearson Education.</w:t>
      </w:r>
    </w:p>
    <w:p w14:paraId="220DE1EE" w14:textId="77777777" w:rsidR="00D445BE" w:rsidRPr="00D445BE" w:rsidRDefault="00D445BE" w:rsidP="00D445BE">
      <w:pPr>
        <w:ind w:left="720" w:right="284" w:hanging="720"/>
        <w:rPr>
          <w:rFonts w:ascii="Arial" w:hAnsi="Arial" w:cs="Arial"/>
          <w:sz w:val="24"/>
          <w:szCs w:val="24"/>
        </w:rPr>
      </w:pPr>
    </w:p>
    <w:p w14:paraId="09A1365D"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Rheingold, H. (1993). The virtual community: Homesteading on the electronic frontier. MIT Press.</w:t>
      </w:r>
    </w:p>
    <w:p w14:paraId="08AF4B88" w14:textId="77777777" w:rsidR="00D445BE" w:rsidRPr="00D445BE" w:rsidRDefault="00D445BE" w:rsidP="00D445BE">
      <w:pPr>
        <w:ind w:left="720" w:right="284" w:hanging="720"/>
        <w:rPr>
          <w:rFonts w:ascii="Arial" w:hAnsi="Arial" w:cs="Arial"/>
          <w:sz w:val="24"/>
          <w:szCs w:val="24"/>
        </w:rPr>
      </w:pPr>
    </w:p>
    <w:p w14:paraId="47F1474B"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Shirky, C. (2008). Here comes everybody: The power of organizing without organizations. Penguin.</w:t>
      </w:r>
    </w:p>
    <w:p w14:paraId="0E48EC81" w14:textId="77777777" w:rsidR="00D445BE" w:rsidRPr="00D445BE" w:rsidRDefault="00D445BE" w:rsidP="00D445BE">
      <w:pPr>
        <w:ind w:left="720" w:right="284" w:hanging="720"/>
        <w:rPr>
          <w:rFonts w:ascii="Arial" w:hAnsi="Arial" w:cs="Arial"/>
          <w:sz w:val="24"/>
          <w:szCs w:val="24"/>
        </w:rPr>
      </w:pPr>
    </w:p>
    <w:p w14:paraId="24B63F6B" w14:textId="56326785" w:rsidR="00AE4EB8" w:rsidRDefault="00D445BE" w:rsidP="00D445BE">
      <w:pPr>
        <w:ind w:left="720" w:right="284" w:hanging="720"/>
        <w:rPr>
          <w:rFonts w:ascii="Arial" w:hAnsi="Arial" w:cs="Arial"/>
          <w:sz w:val="24"/>
          <w:szCs w:val="24"/>
        </w:rPr>
      </w:pPr>
      <w:r w:rsidRPr="00D445BE">
        <w:rPr>
          <w:rFonts w:ascii="Arial" w:hAnsi="Arial" w:cs="Arial"/>
          <w:sz w:val="24"/>
          <w:szCs w:val="24"/>
        </w:rPr>
        <w:t>Tönnies, F. (1887). Community and society (Gemeinschaft und Gesellschaft). Reprinted by Courier Dover Publications, 2002.</w:t>
      </w:r>
      <w:r>
        <w:rPr>
          <w:rFonts w:ascii="Arial" w:hAnsi="Arial" w:cs="Arial"/>
          <w:sz w:val="24"/>
          <w:szCs w:val="24"/>
        </w:rPr>
        <w:t xml:space="preserve"> </w:t>
      </w:r>
    </w:p>
    <w:p w14:paraId="13BBCF81" w14:textId="77777777" w:rsidR="00D445BE" w:rsidRDefault="00D445BE" w:rsidP="00D445BE">
      <w:pPr>
        <w:ind w:left="720" w:right="284" w:hanging="720"/>
        <w:rPr>
          <w:rFonts w:ascii="Arial" w:hAnsi="Arial" w:cs="Arial"/>
          <w:sz w:val="24"/>
          <w:szCs w:val="24"/>
        </w:rPr>
      </w:pPr>
    </w:p>
    <w:p w14:paraId="3FEB654E"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lastRenderedPageBreak/>
        <w:t>Turkle, S. (2012). Alone together: Why we expect more from technology and less from each other. Basic Books.</w:t>
      </w:r>
    </w:p>
    <w:p w14:paraId="449A30D6" w14:textId="77777777" w:rsidR="00D445BE" w:rsidRPr="00D445BE" w:rsidRDefault="00D445BE" w:rsidP="00D445BE">
      <w:pPr>
        <w:ind w:left="720" w:right="284" w:hanging="720"/>
        <w:rPr>
          <w:rFonts w:ascii="Arial" w:hAnsi="Arial" w:cs="Arial"/>
          <w:sz w:val="24"/>
          <w:szCs w:val="24"/>
        </w:rPr>
      </w:pPr>
    </w:p>
    <w:p w14:paraId="6A5050DD"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Wellman, B. (2001). Computer networks as social networks. Science, 293(5537), 2031-2034.</w:t>
      </w:r>
    </w:p>
    <w:p w14:paraId="263B274C" w14:textId="77777777" w:rsidR="00D445BE" w:rsidRPr="00D445BE" w:rsidRDefault="00D445BE" w:rsidP="00D445BE">
      <w:pPr>
        <w:ind w:left="720" w:right="284" w:hanging="720"/>
        <w:rPr>
          <w:rFonts w:ascii="Arial" w:hAnsi="Arial" w:cs="Arial"/>
          <w:sz w:val="24"/>
          <w:szCs w:val="24"/>
        </w:rPr>
      </w:pPr>
    </w:p>
    <w:p w14:paraId="465F4F7F"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Wenger, E. (1998). Communities of practice: Learning, meaning, and identity. Cambridge University Press.</w:t>
      </w:r>
    </w:p>
    <w:p w14:paraId="5179A084" w14:textId="77777777" w:rsidR="00D445BE" w:rsidRPr="00D445BE" w:rsidRDefault="00D445BE" w:rsidP="00D445BE">
      <w:pPr>
        <w:ind w:left="720" w:right="284" w:hanging="720"/>
        <w:rPr>
          <w:rFonts w:ascii="Arial" w:hAnsi="Arial" w:cs="Arial"/>
          <w:sz w:val="24"/>
          <w:szCs w:val="24"/>
        </w:rPr>
      </w:pPr>
    </w:p>
    <w:p w14:paraId="420FB893" w14:textId="77777777" w:rsidR="00D445BE" w:rsidRPr="00D445BE" w:rsidRDefault="00D445BE" w:rsidP="00D445BE">
      <w:pPr>
        <w:ind w:left="720" w:right="284" w:hanging="720"/>
        <w:rPr>
          <w:rFonts w:ascii="Arial" w:hAnsi="Arial" w:cs="Arial"/>
          <w:sz w:val="24"/>
          <w:szCs w:val="24"/>
        </w:rPr>
      </w:pPr>
      <w:r w:rsidRPr="00D445BE">
        <w:rPr>
          <w:rFonts w:ascii="Arial" w:hAnsi="Arial" w:cs="Arial"/>
          <w:sz w:val="24"/>
          <w:szCs w:val="24"/>
        </w:rPr>
        <w:t>Wirtz, B. W., Schilke, O., &amp; Ullrich, S. (2010). Strategic development of business models: Implications of the Web 2.0 for creating value on the internet. Long Range Planning, 43(2-3), 272-290.</w:t>
      </w:r>
    </w:p>
    <w:p w14:paraId="7028CA53" w14:textId="77777777" w:rsidR="00D445BE" w:rsidRPr="00D445BE" w:rsidRDefault="00D445BE" w:rsidP="00D445BE">
      <w:pPr>
        <w:ind w:left="720" w:right="284" w:hanging="720"/>
        <w:rPr>
          <w:rFonts w:ascii="Arial" w:hAnsi="Arial" w:cs="Arial"/>
          <w:sz w:val="24"/>
          <w:szCs w:val="24"/>
        </w:rPr>
      </w:pPr>
    </w:p>
    <w:p w14:paraId="4E43A9A1" w14:textId="67E6B3B5" w:rsidR="00D445BE" w:rsidRPr="00480D92" w:rsidRDefault="00D445BE" w:rsidP="00D445BE">
      <w:pPr>
        <w:ind w:left="720" w:right="284" w:hanging="720"/>
        <w:rPr>
          <w:rFonts w:ascii="Arial" w:hAnsi="Arial" w:cs="Arial"/>
          <w:sz w:val="24"/>
          <w:szCs w:val="24"/>
        </w:rPr>
      </w:pPr>
      <w:r w:rsidRPr="00D445BE">
        <w:rPr>
          <w:rFonts w:ascii="Arial" w:hAnsi="Arial" w:cs="Arial"/>
          <w:sz w:val="24"/>
          <w:szCs w:val="24"/>
        </w:rPr>
        <w:t>Zuckerman, E. (2013). Rewire: Digital cosmopolitans in the age of connection. W. W. Norton &amp; Company.</w:t>
      </w:r>
    </w:p>
    <w:sectPr w:rsidR="00D445BE" w:rsidRPr="00480D92" w:rsidSect="00D445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C5189"/>
    <w:multiLevelType w:val="hybridMultilevel"/>
    <w:tmpl w:val="91B8C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E852FA"/>
    <w:multiLevelType w:val="hybridMultilevel"/>
    <w:tmpl w:val="FCA0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8151342">
    <w:abstractNumId w:val="1"/>
  </w:num>
  <w:num w:numId="2" w16cid:durableId="129788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D92"/>
    <w:rsid w:val="000D31DB"/>
    <w:rsid w:val="003A2F4E"/>
    <w:rsid w:val="00480D92"/>
    <w:rsid w:val="004E6FC0"/>
    <w:rsid w:val="00525FA7"/>
    <w:rsid w:val="006817C6"/>
    <w:rsid w:val="00926F51"/>
    <w:rsid w:val="00A111E1"/>
    <w:rsid w:val="00AE4EB8"/>
    <w:rsid w:val="00D445BE"/>
    <w:rsid w:val="00EC1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0EF962"/>
  <w15:chartTrackingRefBased/>
  <w15:docId w15:val="{CD43145A-6A9F-453A-948B-B329E9421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17C6"/>
    <w:pPr>
      <w:ind w:left="720"/>
      <w:contextualSpacing/>
    </w:pPr>
  </w:style>
  <w:style w:type="paragraph" w:styleId="NoSpacing">
    <w:name w:val="No Spacing"/>
    <w:link w:val="NoSpacingChar"/>
    <w:uiPriority w:val="1"/>
    <w:qFormat/>
    <w:rsid w:val="00D445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445B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7681926DCA4171A4B2E523BC8E89FA"/>
        <w:category>
          <w:name w:val="General"/>
          <w:gallery w:val="placeholder"/>
        </w:category>
        <w:types>
          <w:type w:val="bbPlcHdr"/>
        </w:types>
        <w:behaviors>
          <w:behavior w:val="content"/>
        </w:behaviors>
        <w:guid w:val="{724215A5-C3B7-491B-BAE9-3550E7AF0321}"/>
      </w:docPartPr>
      <w:docPartBody>
        <w:p w:rsidR="002E5914" w:rsidRDefault="006530F9" w:rsidP="006530F9">
          <w:pPr>
            <w:pStyle w:val="FB7681926DCA4171A4B2E523BC8E89FA"/>
          </w:pPr>
          <w:r>
            <w:rPr>
              <w:rFonts w:asciiTheme="majorHAnsi" w:eastAsiaTheme="majorEastAsia" w:hAnsiTheme="majorHAnsi" w:cstheme="majorBidi"/>
              <w:caps/>
              <w:color w:val="4472C4" w:themeColor="accent1"/>
              <w:sz w:val="80"/>
              <w:szCs w:val="80"/>
            </w:rPr>
            <w:t>[Document title]</w:t>
          </w:r>
        </w:p>
      </w:docPartBody>
    </w:docPart>
    <w:docPart>
      <w:docPartPr>
        <w:name w:val="5D69D34AD94746A8B2F81F315A653CD2"/>
        <w:category>
          <w:name w:val="General"/>
          <w:gallery w:val="placeholder"/>
        </w:category>
        <w:types>
          <w:type w:val="bbPlcHdr"/>
        </w:types>
        <w:behaviors>
          <w:behavior w:val="content"/>
        </w:behaviors>
        <w:guid w:val="{802EAF31-7453-44F3-8698-F3E8001C7FCF}"/>
      </w:docPartPr>
      <w:docPartBody>
        <w:p w:rsidR="002E5914" w:rsidRDefault="006530F9" w:rsidP="006530F9">
          <w:pPr>
            <w:pStyle w:val="5D69D34AD94746A8B2F81F315A653C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0F9"/>
    <w:rsid w:val="002E5914"/>
    <w:rsid w:val="006530F9"/>
    <w:rsid w:val="00B426C9"/>
    <w:rsid w:val="00EF0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7681926DCA4171A4B2E523BC8E89FA">
    <w:name w:val="FB7681926DCA4171A4B2E523BC8E89FA"/>
    <w:rsid w:val="006530F9"/>
  </w:style>
  <w:style w:type="paragraph" w:customStyle="1" w:styleId="5D69D34AD94746A8B2F81F315A653CD2">
    <w:name w:val="5D69D34AD94746A8B2F81F315A653CD2"/>
    <w:rsid w:val="006530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Community Development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2422</Words>
  <Characters>14643</Characters>
  <Application>Microsoft Office Word</Application>
  <DocSecurity>0</DocSecurity>
  <Lines>301</Lines>
  <Paragraphs>48</Paragraphs>
  <ScaleCrop>false</ScaleCrop>
  <HeadingPairs>
    <vt:vector size="2" baseType="variant">
      <vt:variant>
        <vt:lpstr>Title</vt:lpstr>
      </vt:variant>
      <vt:variant>
        <vt:i4>1</vt:i4>
      </vt:variant>
    </vt:vector>
  </HeadingPairs>
  <TitlesOfParts>
    <vt:vector size="1" baseType="lpstr">
      <vt:lpstr/>
    </vt:vector>
  </TitlesOfParts>
  <Company>Adrian sovinschi</Company>
  <LinksUpToDate>false</LinksUpToDate>
  <CharactersWithSpaces>18546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Our Neighbourhood Digital Support Project</dc:title>
  <dc:subject>Assignment 2</dc:subject>
  <dc:creator>Mirabela Voican (1907947)</dc:creator>
  <cp:keywords/>
  <dc:description/>
  <cp:lastModifiedBy>Mirabela Voican (1907947)</cp:lastModifiedBy>
  <cp:revision>3</cp:revision>
  <dcterms:created xsi:type="dcterms:W3CDTF">2023-11-12T02:16:00Z</dcterms:created>
  <dcterms:modified xsi:type="dcterms:W3CDTF">2023-11-14T19:41:00Z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8cde6eb6-7b51-4fd5-8715-109c68193bd3</vt:lpwstr>
  </property>
</Properties>
</file>