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CA5D72" w14:textId="77777777" w:rsidR="00D30FD0" w:rsidRDefault="00D30FD0" w:rsidP="00D30FD0">
      <w:pPr>
        <w:jc w:val="center"/>
      </w:pPr>
    </w:p>
    <w:p w14:paraId="4D6FDEEA" w14:textId="77777777" w:rsidR="00D30FD0" w:rsidRDefault="00D30FD0" w:rsidP="00D30FD0">
      <w:pPr>
        <w:jc w:val="center"/>
      </w:pPr>
    </w:p>
    <w:p w14:paraId="57C7A4A0" w14:textId="77777777" w:rsidR="00D30FD0" w:rsidRDefault="00D30FD0" w:rsidP="00D30FD0">
      <w:pPr>
        <w:jc w:val="center"/>
      </w:pPr>
    </w:p>
    <w:p w14:paraId="2103845D" w14:textId="77777777" w:rsidR="00D30FD0" w:rsidRDefault="00D30FD0" w:rsidP="00D30FD0">
      <w:pPr>
        <w:jc w:val="center"/>
      </w:pPr>
    </w:p>
    <w:p w14:paraId="1EF9AF64" w14:textId="77777777" w:rsidR="00D30FD0" w:rsidRDefault="00D30FD0" w:rsidP="00D30FD0">
      <w:pPr>
        <w:jc w:val="center"/>
      </w:pPr>
    </w:p>
    <w:p w14:paraId="6BCA4D5E" w14:textId="77777777" w:rsidR="00D30FD0" w:rsidRDefault="00D30FD0" w:rsidP="00D30FD0">
      <w:pPr>
        <w:jc w:val="center"/>
      </w:pPr>
    </w:p>
    <w:p w14:paraId="4B06F846" w14:textId="77777777" w:rsidR="00D30FD0" w:rsidRDefault="00D30FD0" w:rsidP="00D30FD0">
      <w:pPr>
        <w:jc w:val="center"/>
      </w:pPr>
    </w:p>
    <w:p w14:paraId="656F6946" w14:textId="77777777" w:rsidR="00D30FD0" w:rsidRDefault="00D30FD0" w:rsidP="00D30FD0">
      <w:pPr>
        <w:jc w:val="center"/>
      </w:pPr>
    </w:p>
    <w:p w14:paraId="7E268615" w14:textId="77777777" w:rsidR="00D30FD0" w:rsidRDefault="00D30FD0" w:rsidP="00D30FD0">
      <w:pPr>
        <w:jc w:val="center"/>
      </w:pPr>
    </w:p>
    <w:p w14:paraId="26F2C3CC" w14:textId="77777777" w:rsidR="00D30FD0" w:rsidRDefault="00D30FD0" w:rsidP="00D30FD0">
      <w:pPr>
        <w:jc w:val="center"/>
      </w:pPr>
    </w:p>
    <w:p w14:paraId="4A4E3FCD" w14:textId="77777777" w:rsidR="00D30FD0" w:rsidRDefault="00D30FD0" w:rsidP="00D30FD0">
      <w:pPr>
        <w:jc w:val="center"/>
      </w:pPr>
    </w:p>
    <w:p w14:paraId="36F27B62" w14:textId="77777777" w:rsidR="00D30FD0" w:rsidRDefault="00D30FD0" w:rsidP="00D30FD0">
      <w:pPr>
        <w:jc w:val="center"/>
      </w:pPr>
    </w:p>
    <w:p w14:paraId="0F742543" w14:textId="77777777" w:rsidR="00D30FD0" w:rsidRDefault="00D30FD0" w:rsidP="00D30FD0">
      <w:pPr>
        <w:jc w:val="center"/>
      </w:pPr>
    </w:p>
    <w:p w14:paraId="75C639D4" w14:textId="77777777" w:rsidR="00D30FD0" w:rsidRDefault="00D30FD0" w:rsidP="00D30FD0">
      <w:pPr>
        <w:jc w:val="center"/>
      </w:pPr>
    </w:p>
    <w:p w14:paraId="50A56696" w14:textId="77777777" w:rsidR="00D30FD0" w:rsidRDefault="00D30FD0" w:rsidP="00D30FD0">
      <w:pPr>
        <w:jc w:val="center"/>
      </w:pPr>
      <w:r>
        <w:t>The Presence of Hysteria in Euripides and Seneca’s Medea</w:t>
      </w:r>
    </w:p>
    <w:p w14:paraId="745D69F9" w14:textId="77777777" w:rsidR="00D30FD0" w:rsidRDefault="00D30FD0" w:rsidP="00D30FD0">
      <w:pPr>
        <w:jc w:val="center"/>
      </w:pPr>
      <w:r>
        <w:t>Elizabeth Jean Hoskins</w:t>
      </w:r>
    </w:p>
    <w:p w14:paraId="3EB75B5C" w14:textId="77777777" w:rsidR="00D30FD0" w:rsidRDefault="00D30FD0" w:rsidP="00D30FD0">
      <w:pPr>
        <w:jc w:val="center"/>
      </w:pPr>
      <w:r>
        <w:t>150027</w:t>
      </w:r>
    </w:p>
    <w:p w14:paraId="1B38B376" w14:textId="0AEDE09A" w:rsidR="00D30FD0" w:rsidRDefault="00D30FD0" w:rsidP="00D30FD0">
      <w:pPr>
        <w:jc w:val="center"/>
      </w:pPr>
      <w:r>
        <w:t>Word Count:</w:t>
      </w:r>
      <w:r w:rsidR="001126E3">
        <w:t xml:space="preserve"> 9,149</w:t>
      </w:r>
      <w:bookmarkStart w:id="0" w:name="_GoBack"/>
      <w:bookmarkEnd w:id="0"/>
    </w:p>
    <w:p w14:paraId="694983F1" w14:textId="77777777" w:rsidR="00D30FD0" w:rsidRDefault="00D30FD0" w:rsidP="00D30FD0">
      <w:pPr>
        <w:jc w:val="center"/>
      </w:pPr>
    </w:p>
    <w:p w14:paraId="445798BB" w14:textId="77777777" w:rsidR="00D30FD0" w:rsidRDefault="00D30FD0" w:rsidP="00D30FD0">
      <w:pPr>
        <w:jc w:val="center"/>
      </w:pPr>
    </w:p>
    <w:p w14:paraId="6F8B1227" w14:textId="77777777" w:rsidR="00D30FD0" w:rsidRDefault="00D30FD0" w:rsidP="00D30FD0">
      <w:pPr>
        <w:jc w:val="center"/>
      </w:pPr>
    </w:p>
    <w:p w14:paraId="4544424D" w14:textId="77777777" w:rsidR="00D30FD0" w:rsidRDefault="00D30FD0" w:rsidP="00D30FD0">
      <w:pPr>
        <w:jc w:val="center"/>
      </w:pPr>
    </w:p>
    <w:p w14:paraId="66B05F9C" w14:textId="77777777" w:rsidR="00D30FD0" w:rsidRDefault="00D30FD0" w:rsidP="00D30FD0">
      <w:pPr>
        <w:jc w:val="center"/>
      </w:pPr>
    </w:p>
    <w:p w14:paraId="1750C322" w14:textId="77777777" w:rsidR="00D30FD0" w:rsidRDefault="00D30FD0" w:rsidP="00D30FD0">
      <w:pPr>
        <w:jc w:val="center"/>
      </w:pPr>
    </w:p>
    <w:p w14:paraId="105AB291" w14:textId="77777777" w:rsidR="00D30FD0" w:rsidRDefault="00D30FD0" w:rsidP="00D30FD0">
      <w:pPr>
        <w:jc w:val="center"/>
      </w:pPr>
    </w:p>
    <w:p w14:paraId="02811588" w14:textId="77777777" w:rsidR="00D30FD0" w:rsidRDefault="00D30FD0" w:rsidP="00D30FD0">
      <w:pPr>
        <w:jc w:val="center"/>
      </w:pPr>
    </w:p>
    <w:p w14:paraId="2D23C65E" w14:textId="77777777" w:rsidR="00D30FD0" w:rsidRDefault="00D30FD0" w:rsidP="00D30FD0">
      <w:pPr>
        <w:jc w:val="center"/>
      </w:pPr>
    </w:p>
    <w:p w14:paraId="507DD453" w14:textId="45EB3441" w:rsidR="00D30FD0" w:rsidRDefault="009F4EC8" w:rsidP="00D30FD0">
      <w:pPr>
        <w:jc w:val="center"/>
      </w:pPr>
      <w:r>
        <w:t>Dissertation submitted in partial fulfilment of a BA (Hons) In Classical Civilisation.</w:t>
      </w:r>
    </w:p>
    <w:p w14:paraId="6B407EAC" w14:textId="16F0D4D4" w:rsidR="009F4EC8" w:rsidRDefault="009F4EC8" w:rsidP="00D30FD0">
      <w:pPr>
        <w:jc w:val="center"/>
      </w:pPr>
      <w:r>
        <w:t>University of Wales Trinity Saint David</w:t>
      </w:r>
    </w:p>
    <w:p w14:paraId="30217453" w14:textId="1E6487B5" w:rsidR="009F4EC8" w:rsidRDefault="009F4EC8" w:rsidP="00D30FD0">
      <w:pPr>
        <w:jc w:val="center"/>
      </w:pPr>
      <w:r>
        <w:t>May 2018</w:t>
      </w:r>
    </w:p>
    <w:p w14:paraId="06474C46" w14:textId="77777777" w:rsidR="00D30FD0" w:rsidRDefault="00D30FD0">
      <w:r>
        <w:br w:type="page"/>
      </w:r>
    </w:p>
    <w:p w14:paraId="7845BDEB" w14:textId="77777777" w:rsidR="00377107" w:rsidRDefault="00377107" w:rsidP="00D30FD0">
      <w:pPr>
        <w:jc w:val="center"/>
        <w:rPr>
          <w:sz w:val="28"/>
          <w:szCs w:val="24"/>
          <w:u w:val="single"/>
        </w:rPr>
        <w:sectPr w:rsidR="00377107" w:rsidSect="00377107">
          <w:footerReference w:type="default" r:id="rId7"/>
          <w:pgSz w:w="11906" w:h="16838"/>
          <w:pgMar w:top="1440" w:right="1440" w:bottom="1440" w:left="1440" w:header="708" w:footer="708" w:gutter="0"/>
          <w:cols w:space="708"/>
          <w:titlePg/>
          <w:docGrid w:linePitch="360"/>
        </w:sectPr>
      </w:pPr>
    </w:p>
    <w:p w14:paraId="2693CBD2" w14:textId="77777777" w:rsidR="00D30FD0" w:rsidRPr="00377107" w:rsidRDefault="00D30FD0" w:rsidP="00377107">
      <w:pPr>
        <w:pStyle w:val="Heading1"/>
        <w:jc w:val="center"/>
        <w:rPr>
          <w:sz w:val="28"/>
          <w:u w:val="single"/>
        </w:rPr>
      </w:pPr>
      <w:bookmarkStart w:id="1" w:name="_Toc513747775"/>
      <w:r w:rsidRPr="00377107">
        <w:rPr>
          <w:sz w:val="28"/>
          <w:u w:val="single"/>
        </w:rPr>
        <w:lastRenderedPageBreak/>
        <w:t>Acknowledgements</w:t>
      </w:r>
      <w:bookmarkEnd w:id="1"/>
    </w:p>
    <w:p w14:paraId="0EFEFD0D" w14:textId="77777777" w:rsidR="00D30FD0" w:rsidRPr="00642072" w:rsidRDefault="00D30FD0" w:rsidP="00D30FD0">
      <w:pPr>
        <w:rPr>
          <w:sz w:val="24"/>
          <w:szCs w:val="24"/>
        </w:rPr>
      </w:pPr>
    </w:p>
    <w:p w14:paraId="673E9351" w14:textId="77777777" w:rsidR="00D30FD0" w:rsidRDefault="00D30FD0" w:rsidP="00D30FD0">
      <w:pPr>
        <w:rPr>
          <w:sz w:val="24"/>
          <w:szCs w:val="24"/>
        </w:rPr>
      </w:pPr>
      <w:r w:rsidRPr="00642072">
        <w:rPr>
          <w:sz w:val="24"/>
          <w:szCs w:val="24"/>
        </w:rPr>
        <w:t xml:space="preserve">Firstly, I would like to thank my </w:t>
      </w:r>
      <w:r>
        <w:rPr>
          <w:sz w:val="24"/>
          <w:szCs w:val="24"/>
        </w:rPr>
        <w:t>mam</w:t>
      </w:r>
      <w:r w:rsidRPr="00642072">
        <w:rPr>
          <w:sz w:val="24"/>
          <w:szCs w:val="24"/>
        </w:rPr>
        <w:t xml:space="preserve"> for supporting me in my endeavours at university, for listening to my complaints of how much work I had been ignoring and encouraging me to keep going when at times it felt to</w:t>
      </w:r>
      <w:r>
        <w:rPr>
          <w:sz w:val="24"/>
          <w:szCs w:val="24"/>
        </w:rPr>
        <w:t>o</w:t>
      </w:r>
      <w:r w:rsidRPr="00642072">
        <w:rPr>
          <w:sz w:val="24"/>
          <w:szCs w:val="24"/>
        </w:rPr>
        <w:t xml:space="preserve"> difficult </w:t>
      </w:r>
      <w:r>
        <w:rPr>
          <w:sz w:val="24"/>
          <w:szCs w:val="24"/>
        </w:rPr>
        <w:t xml:space="preserve">to </w:t>
      </w:r>
      <w:r w:rsidRPr="00642072">
        <w:rPr>
          <w:sz w:val="24"/>
          <w:szCs w:val="24"/>
        </w:rPr>
        <w:t>move forward and complete my dream of graduating university. For encouraging me when all hope felt lost</w:t>
      </w:r>
      <w:r>
        <w:rPr>
          <w:sz w:val="24"/>
          <w:szCs w:val="24"/>
        </w:rPr>
        <w:t xml:space="preserve">, </w:t>
      </w:r>
      <w:r w:rsidRPr="00642072">
        <w:rPr>
          <w:sz w:val="24"/>
          <w:szCs w:val="24"/>
        </w:rPr>
        <w:t>for refusing to let me accept my defeat even when I felt it best to bow out</w:t>
      </w:r>
      <w:r>
        <w:rPr>
          <w:sz w:val="24"/>
          <w:szCs w:val="24"/>
        </w:rPr>
        <w:t xml:space="preserve"> and for showing me how there is no easy way to get what you want. She encouraged me to barrel on and prove to everyone who doubted me that I was by no means someone who should be glanced over. </w:t>
      </w:r>
    </w:p>
    <w:p w14:paraId="66A68216" w14:textId="77777777" w:rsidR="00D30FD0" w:rsidRPr="00642072" w:rsidRDefault="00D30FD0" w:rsidP="00D30FD0">
      <w:pPr>
        <w:rPr>
          <w:sz w:val="24"/>
          <w:szCs w:val="24"/>
        </w:rPr>
      </w:pPr>
      <w:r>
        <w:rPr>
          <w:sz w:val="24"/>
          <w:szCs w:val="24"/>
        </w:rPr>
        <w:t xml:space="preserve">To my wonderful and beautiful </w:t>
      </w:r>
      <w:proofErr w:type="spellStart"/>
      <w:r>
        <w:rPr>
          <w:sz w:val="24"/>
          <w:szCs w:val="24"/>
        </w:rPr>
        <w:t>Mamgu</w:t>
      </w:r>
      <w:proofErr w:type="spellEnd"/>
      <w:r>
        <w:rPr>
          <w:sz w:val="24"/>
          <w:szCs w:val="24"/>
        </w:rPr>
        <w:t xml:space="preserve">, who sadly passed away before she could see me complete my university education. Words cannot express how thankful I am in all that you have done for me. How strong you taught me to be in the face of adversity, how to keep pushing on when it seems like everything is telling you to stop and step away. Thank you for showing me how to be a better me. </w:t>
      </w:r>
    </w:p>
    <w:p w14:paraId="1CD962E8" w14:textId="77777777" w:rsidR="00D30FD0" w:rsidRPr="00642072" w:rsidRDefault="00D30FD0" w:rsidP="00D30FD0">
      <w:pPr>
        <w:rPr>
          <w:sz w:val="24"/>
          <w:szCs w:val="24"/>
        </w:rPr>
      </w:pPr>
      <w:r w:rsidRPr="00642072">
        <w:rPr>
          <w:sz w:val="24"/>
          <w:szCs w:val="24"/>
        </w:rPr>
        <w:t xml:space="preserve">I would also like to thank my dissertation supervisor Dr Brenda Llewellyn </w:t>
      </w:r>
      <w:proofErr w:type="spellStart"/>
      <w:r w:rsidRPr="00642072">
        <w:rPr>
          <w:sz w:val="24"/>
          <w:szCs w:val="24"/>
        </w:rPr>
        <w:t>Ihssen</w:t>
      </w:r>
      <w:proofErr w:type="spellEnd"/>
      <w:r w:rsidRPr="00642072">
        <w:rPr>
          <w:sz w:val="24"/>
          <w:szCs w:val="24"/>
        </w:rPr>
        <w:t xml:space="preserve"> for listening to my rambles as I have tried to make sense of my work, and for providing me with some well needed guidance so that I would be able to complete my dissertation. </w:t>
      </w:r>
    </w:p>
    <w:p w14:paraId="5AB41ABF" w14:textId="77777777" w:rsidR="00D30FD0" w:rsidRPr="00642072" w:rsidRDefault="00D30FD0" w:rsidP="00D30FD0">
      <w:pPr>
        <w:rPr>
          <w:sz w:val="24"/>
          <w:szCs w:val="24"/>
        </w:rPr>
      </w:pPr>
      <w:r>
        <w:rPr>
          <w:sz w:val="24"/>
          <w:szCs w:val="24"/>
        </w:rPr>
        <w:t xml:space="preserve">To my </w:t>
      </w:r>
      <w:r w:rsidRPr="00642072">
        <w:rPr>
          <w:sz w:val="24"/>
          <w:szCs w:val="24"/>
        </w:rPr>
        <w:t>friend Rebecca for believing in me every step of the way, and never doubting that I wouldn’t get to where I am now.</w:t>
      </w:r>
    </w:p>
    <w:p w14:paraId="4A7301A1" w14:textId="77777777" w:rsidR="00D30FD0" w:rsidRPr="00642072" w:rsidRDefault="00D30FD0" w:rsidP="00D30FD0">
      <w:pPr>
        <w:rPr>
          <w:sz w:val="24"/>
          <w:szCs w:val="24"/>
        </w:rPr>
      </w:pPr>
      <w:r w:rsidRPr="00642072">
        <w:rPr>
          <w:sz w:val="24"/>
          <w:szCs w:val="24"/>
        </w:rPr>
        <w:t>To my dear flatmates, Hannah, Katie, and Ellie, who I have had the privilege to live with for the last three years, thank you for helping me through the mounds of coursework I felt I would never finish and for guiding me out of my shell to make me who I am today. To Hannah, thank you for helping me through my darkest times and keeping me level headed when things never seemed to make sense. To Katie, thank you for making me smile and keeping me motivated to keep moving when I wanted to stop. To Ellie, thank you for making me laugh and showing me that anything was possible if worked hard enough for it. I honestly could not have asked for better flatmates and am so thankful that we got loaded together in first year.</w:t>
      </w:r>
    </w:p>
    <w:p w14:paraId="39125B13" w14:textId="77777777" w:rsidR="00D30FD0" w:rsidRPr="00BF4791" w:rsidRDefault="00D30FD0" w:rsidP="00D30FD0">
      <w:proofErr w:type="spellStart"/>
      <w:r w:rsidRPr="00642072">
        <w:rPr>
          <w:sz w:val="24"/>
          <w:szCs w:val="24"/>
        </w:rPr>
        <w:t>Diolch</w:t>
      </w:r>
      <w:proofErr w:type="spellEnd"/>
      <w:r w:rsidRPr="00642072">
        <w:rPr>
          <w:sz w:val="24"/>
          <w:szCs w:val="24"/>
        </w:rPr>
        <w:t xml:space="preserve"> </w:t>
      </w:r>
      <w:proofErr w:type="spellStart"/>
      <w:r w:rsidRPr="00642072">
        <w:rPr>
          <w:sz w:val="24"/>
          <w:szCs w:val="24"/>
        </w:rPr>
        <w:t>i</w:t>
      </w:r>
      <w:proofErr w:type="spellEnd"/>
      <w:r w:rsidRPr="00642072">
        <w:rPr>
          <w:sz w:val="24"/>
          <w:szCs w:val="24"/>
        </w:rPr>
        <w:t xml:space="preserve"> </w:t>
      </w:r>
      <w:proofErr w:type="spellStart"/>
      <w:r w:rsidRPr="00642072">
        <w:rPr>
          <w:sz w:val="24"/>
          <w:szCs w:val="24"/>
        </w:rPr>
        <w:t>bawb</w:t>
      </w:r>
      <w:proofErr w:type="spellEnd"/>
      <w:r w:rsidRPr="00642072">
        <w:rPr>
          <w:sz w:val="24"/>
          <w:szCs w:val="24"/>
        </w:rPr>
        <w:t xml:space="preserve"> am </w:t>
      </w:r>
      <w:proofErr w:type="spellStart"/>
      <w:r w:rsidRPr="00642072">
        <w:rPr>
          <w:sz w:val="24"/>
          <w:szCs w:val="24"/>
        </w:rPr>
        <w:t>fy</w:t>
      </w:r>
      <w:proofErr w:type="spellEnd"/>
      <w:r w:rsidRPr="00642072">
        <w:rPr>
          <w:sz w:val="24"/>
          <w:szCs w:val="24"/>
        </w:rPr>
        <w:t xml:space="preserve"> </w:t>
      </w:r>
      <w:proofErr w:type="spellStart"/>
      <w:r w:rsidRPr="00642072">
        <w:rPr>
          <w:sz w:val="24"/>
          <w:szCs w:val="24"/>
        </w:rPr>
        <w:t>nghefnogi</w:t>
      </w:r>
      <w:proofErr w:type="spellEnd"/>
      <w:r w:rsidRPr="00642072">
        <w:rPr>
          <w:sz w:val="24"/>
          <w:szCs w:val="24"/>
        </w:rPr>
        <w:t xml:space="preserve"> </w:t>
      </w:r>
      <w:proofErr w:type="spellStart"/>
      <w:r w:rsidRPr="00642072">
        <w:rPr>
          <w:sz w:val="24"/>
          <w:szCs w:val="24"/>
        </w:rPr>
        <w:t>i</w:t>
      </w:r>
      <w:proofErr w:type="spellEnd"/>
      <w:r w:rsidRPr="00642072">
        <w:rPr>
          <w:sz w:val="24"/>
          <w:szCs w:val="24"/>
        </w:rPr>
        <w:t xml:space="preserve"> </w:t>
      </w:r>
      <w:proofErr w:type="spellStart"/>
      <w:r w:rsidRPr="00642072">
        <w:rPr>
          <w:sz w:val="24"/>
          <w:szCs w:val="24"/>
        </w:rPr>
        <w:t>dros</w:t>
      </w:r>
      <w:proofErr w:type="spellEnd"/>
      <w:r w:rsidRPr="00642072">
        <w:rPr>
          <w:sz w:val="24"/>
          <w:szCs w:val="24"/>
        </w:rPr>
        <w:t xml:space="preserve"> </w:t>
      </w:r>
      <w:proofErr w:type="spellStart"/>
      <w:r w:rsidRPr="00642072">
        <w:rPr>
          <w:sz w:val="24"/>
          <w:szCs w:val="24"/>
        </w:rPr>
        <w:t>fy</w:t>
      </w:r>
      <w:proofErr w:type="spellEnd"/>
      <w:r w:rsidRPr="00642072">
        <w:rPr>
          <w:sz w:val="24"/>
          <w:szCs w:val="24"/>
        </w:rPr>
        <w:t xml:space="preserve"> </w:t>
      </w:r>
      <w:proofErr w:type="spellStart"/>
      <w:r w:rsidRPr="00642072">
        <w:rPr>
          <w:sz w:val="24"/>
          <w:szCs w:val="24"/>
        </w:rPr>
        <w:t>mlynyddoedd</w:t>
      </w:r>
      <w:proofErr w:type="spellEnd"/>
      <w:r w:rsidRPr="00642072">
        <w:rPr>
          <w:sz w:val="24"/>
          <w:szCs w:val="24"/>
        </w:rPr>
        <w:t xml:space="preserve"> </w:t>
      </w:r>
      <w:proofErr w:type="spellStart"/>
      <w:r w:rsidRPr="00642072">
        <w:rPr>
          <w:sz w:val="24"/>
          <w:szCs w:val="24"/>
        </w:rPr>
        <w:t>yma</w:t>
      </w:r>
      <w:proofErr w:type="spellEnd"/>
      <w:r w:rsidRPr="00642072">
        <w:rPr>
          <w:sz w:val="24"/>
          <w:szCs w:val="24"/>
        </w:rPr>
        <w:t xml:space="preserve"> </w:t>
      </w:r>
      <w:proofErr w:type="spellStart"/>
      <w:r w:rsidRPr="00642072">
        <w:rPr>
          <w:sz w:val="24"/>
          <w:szCs w:val="24"/>
        </w:rPr>
        <w:t>yn</w:t>
      </w:r>
      <w:proofErr w:type="spellEnd"/>
      <w:r w:rsidRPr="00642072">
        <w:rPr>
          <w:sz w:val="24"/>
          <w:szCs w:val="24"/>
        </w:rPr>
        <w:t xml:space="preserve"> </w:t>
      </w:r>
      <w:proofErr w:type="spellStart"/>
      <w:r w:rsidRPr="00642072">
        <w:rPr>
          <w:sz w:val="24"/>
          <w:szCs w:val="24"/>
        </w:rPr>
        <w:t>Brifysgol</w:t>
      </w:r>
      <w:proofErr w:type="spellEnd"/>
      <w:r w:rsidRPr="00642072">
        <w:rPr>
          <w:sz w:val="24"/>
          <w:szCs w:val="24"/>
        </w:rPr>
        <w:t xml:space="preserve"> Y </w:t>
      </w:r>
      <w:proofErr w:type="spellStart"/>
      <w:r w:rsidRPr="00642072">
        <w:rPr>
          <w:sz w:val="24"/>
          <w:szCs w:val="24"/>
        </w:rPr>
        <w:t>Drindod</w:t>
      </w:r>
      <w:proofErr w:type="spellEnd"/>
      <w:r w:rsidRPr="00642072">
        <w:rPr>
          <w:sz w:val="24"/>
          <w:szCs w:val="24"/>
        </w:rPr>
        <w:t xml:space="preserve"> </w:t>
      </w:r>
      <w:proofErr w:type="spellStart"/>
      <w:r w:rsidRPr="00642072">
        <w:rPr>
          <w:sz w:val="24"/>
          <w:szCs w:val="24"/>
        </w:rPr>
        <w:t>Dewi</w:t>
      </w:r>
      <w:proofErr w:type="spellEnd"/>
      <w:r w:rsidRPr="00642072">
        <w:rPr>
          <w:sz w:val="24"/>
          <w:szCs w:val="24"/>
        </w:rPr>
        <w:t xml:space="preserve"> Sant. </w:t>
      </w:r>
      <w:proofErr w:type="spellStart"/>
      <w:r w:rsidRPr="00642072">
        <w:rPr>
          <w:sz w:val="24"/>
          <w:szCs w:val="24"/>
        </w:rPr>
        <w:t>Fyddwn</w:t>
      </w:r>
      <w:proofErr w:type="spellEnd"/>
      <w:r w:rsidRPr="00642072">
        <w:rPr>
          <w:sz w:val="24"/>
          <w:szCs w:val="24"/>
        </w:rPr>
        <w:t xml:space="preserve"> </w:t>
      </w:r>
      <w:proofErr w:type="spellStart"/>
      <w:r w:rsidRPr="00642072">
        <w:rPr>
          <w:sz w:val="24"/>
          <w:szCs w:val="24"/>
        </w:rPr>
        <w:t>i</w:t>
      </w:r>
      <w:proofErr w:type="spellEnd"/>
      <w:r w:rsidRPr="00642072">
        <w:rPr>
          <w:sz w:val="24"/>
          <w:szCs w:val="24"/>
        </w:rPr>
        <w:t xml:space="preserve"> </w:t>
      </w:r>
      <w:proofErr w:type="spellStart"/>
      <w:r w:rsidRPr="00642072">
        <w:rPr>
          <w:sz w:val="24"/>
          <w:szCs w:val="24"/>
        </w:rPr>
        <w:t>ddim</w:t>
      </w:r>
      <w:proofErr w:type="spellEnd"/>
      <w:r w:rsidRPr="00642072">
        <w:rPr>
          <w:sz w:val="24"/>
          <w:szCs w:val="24"/>
        </w:rPr>
        <w:t xml:space="preserve"> </w:t>
      </w:r>
      <w:proofErr w:type="spellStart"/>
      <w:r w:rsidRPr="00642072">
        <w:rPr>
          <w:sz w:val="24"/>
          <w:szCs w:val="24"/>
        </w:rPr>
        <w:t>wedi</w:t>
      </w:r>
      <w:proofErr w:type="spellEnd"/>
      <w:r w:rsidRPr="00642072">
        <w:rPr>
          <w:sz w:val="24"/>
          <w:szCs w:val="24"/>
        </w:rPr>
        <w:t xml:space="preserve"> </w:t>
      </w:r>
      <w:proofErr w:type="spellStart"/>
      <w:r w:rsidRPr="00642072">
        <w:rPr>
          <w:sz w:val="24"/>
          <w:szCs w:val="24"/>
        </w:rPr>
        <w:t>dod</w:t>
      </w:r>
      <w:proofErr w:type="spellEnd"/>
      <w:r w:rsidRPr="00642072">
        <w:rPr>
          <w:sz w:val="24"/>
          <w:szCs w:val="24"/>
        </w:rPr>
        <w:t xml:space="preserve"> </w:t>
      </w:r>
      <w:proofErr w:type="spellStart"/>
      <w:r w:rsidRPr="00642072">
        <w:rPr>
          <w:sz w:val="24"/>
          <w:szCs w:val="24"/>
        </w:rPr>
        <w:t>mor</w:t>
      </w:r>
      <w:proofErr w:type="spellEnd"/>
      <w:r w:rsidRPr="00642072">
        <w:rPr>
          <w:sz w:val="24"/>
          <w:szCs w:val="24"/>
        </w:rPr>
        <w:t xml:space="preserve"> bell </w:t>
      </w:r>
      <w:proofErr w:type="spellStart"/>
      <w:r w:rsidRPr="00642072">
        <w:rPr>
          <w:sz w:val="24"/>
          <w:szCs w:val="24"/>
        </w:rPr>
        <w:t>heb</w:t>
      </w:r>
      <w:proofErr w:type="spellEnd"/>
      <w:r w:rsidRPr="00642072">
        <w:rPr>
          <w:sz w:val="24"/>
          <w:szCs w:val="24"/>
        </w:rPr>
        <w:t xml:space="preserve"> </w:t>
      </w:r>
      <w:proofErr w:type="spellStart"/>
      <w:r w:rsidRPr="00642072">
        <w:rPr>
          <w:sz w:val="24"/>
          <w:szCs w:val="24"/>
        </w:rPr>
        <w:t>eich</w:t>
      </w:r>
      <w:proofErr w:type="spellEnd"/>
      <w:r w:rsidRPr="00642072">
        <w:rPr>
          <w:sz w:val="24"/>
          <w:szCs w:val="24"/>
        </w:rPr>
        <w:t xml:space="preserve"> </w:t>
      </w:r>
      <w:proofErr w:type="spellStart"/>
      <w:r w:rsidRPr="00642072">
        <w:rPr>
          <w:sz w:val="24"/>
          <w:szCs w:val="24"/>
        </w:rPr>
        <w:t>adnabod</w:t>
      </w:r>
      <w:proofErr w:type="spellEnd"/>
      <w:r w:rsidRPr="00642072">
        <w:rPr>
          <w:sz w:val="24"/>
          <w:szCs w:val="24"/>
        </w:rPr>
        <w:t xml:space="preserve"> chi </w:t>
      </w:r>
      <w:proofErr w:type="spellStart"/>
      <w:r w:rsidRPr="00642072">
        <w:rPr>
          <w:sz w:val="24"/>
          <w:szCs w:val="24"/>
        </w:rPr>
        <w:t>i</w:t>
      </w:r>
      <w:proofErr w:type="spellEnd"/>
      <w:r w:rsidRPr="00642072">
        <w:rPr>
          <w:sz w:val="24"/>
          <w:szCs w:val="24"/>
        </w:rPr>
        <w:t xml:space="preserve"> </w:t>
      </w:r>
      <w:proofErr w:type="spellStart"/>
      <w:r w:rsidRPr="00642072">
        <w:rPr>
          <w:sz w:val="24"/>
          <w:szCs w:val="24"/>
        </w:rPr>
        <w:t>gyd</w:t>
      </w:r>
      <w:proofErr w:type="spellEnd"/>
      <w:r w:rsidRPr="00642072">
        <w:rPr>
          <w:sz w:val="24"/>
          <w:szCs w:val="24"/>
        </w:rPr>
        <w:t>.</w:t>
      </w:r>
    </w:p>
    <w:p w14:paraId="103CBCB9" w14:textId="77777777" w:rsidR="00D30FD0" w:rsidRPr="00642072" w:rsidRDefault="00D30FD0" w:rsidP="00D30FD0">
      <w:pPr>
        <w:rPr>
          <w:sz w:val="24"/>
          <w:szCs w:val="24"/>
        </w:rPr>
      </w:pPr>
    </w:p>
    <w:p w14:paraId="0520D05D" w14:textId="77777777" w:rsidR="00D30FD0" w:rsidRDefault="00D30FD0" w:rsidP="00D30FD0">
      <w:pPr>
        <w:rPr>
          <w:sz w:val="28"/>
          <w:u w:val="single"/>
        </w:rPr>
      </w:pPr>
      <w:r>
        <w:rPr>
          <w:sz w:val="28"/>
          <w:u w:val="single"/>
        </w:rPr>
        <w:t xml:space="preserve"> </w:t>
      </w:r>
      <w:r>
        <w:rPr>
          <w:sz w:val="28"/>
          <w:u w:val="single"/>
        </w:rPr>
        <w:br w:type="page"/>
      </w:r>
    </w:p>
    <w:p w14:paraId="56E63A61" w14:textId="77777777" w:rsidR="00D30FD0" w:rsidRPr="00642072" w:rsidRDefault="00D30FD0" w:rsidP="00D30FD0">
      <w:pPr>
        <w:rPr>
          <w:sz w:val="28"/>
          <w:u w:val="single"/>
        </w:rPr>
      </w:pPr>
    </w:p>
    <w:sdt>
      <w:sdtPr>
        <w:id w:val="2044483815"/>
        <w:docPartObj>
          <w:docPartGallery w:val="Table of Contents"/>
          <w:docPartUnique/>
        </w:docPartObj>
      </w:sdtPr>
      <w:sdtEndPr>
        <w:rPr>
          <w:rFonts w:ascii="Times New Roman" w:eastAsiaTheme="minorHAnsi" w:hAnsi="Times New Roman" w:cs="Times New Roman"/>
          <w:b/>
          <w:bCs/>
          <w:noProof/>
          <w:color w:val="auto"/>
          <w:sz w:val="20"/>
          <w:szCs w:val="20"/>
          <w:lang w:val="en-GB"/>
        </w:rPr>
      </w:sdtEndPr>
      <w:sdtContent>
        <w:p w14:paraId="595A76B9" w14:textId="77777777" w:rsidR="00D30FD0" w:rsidRDefault="00D30FD0" w:rsidP="00305C69">
          <w:pPr>
            <w:pStyle w:val="TOCHeading"/>
            <w:jc w:val="center"/>
          </w:pPr>
          <w:r w:rsidRPr="00305C69">
            <w:rPr>
              <w:rFonts w:ascii="Times New Roman" w:hAnsi="Times New Roman" w:cs="Times New Roman"/>
              <w:color w:val="auto"/>
              <w:sz w:val="28"/>
              <w:u w:val="single"/>
            </w:rPr>
            <w:t>Table of Contents</w:t>
          </w:r>
        </w:p>
        <w:p w14:paraId="4068F1EA" w14:textId="2E8337B2" w:rsidR="00DF7FC5" w:rsidRPr="00305C69" w:rsidRDefault="00D30FD0">
          <w:pPr>
            <w:pStyle w:val="TOC1"/>
            <w:tabs>
              <w:tab w:val="right" w:leader="dot" w:pos="9016"/>
            </w:tabs>
            <w:rPr>
              <w:rFonts w:ascii="Times New Roman" w:eastAsiaTheme="minorEastAsia" w:hAnsi="Times New Roman" w:cs="Times New Roman"/>
              <w:noProof/>
              <w:sz w:val="24"/>
              <w:szCs w:val="24"/>
              <w:lang w:eastAsia="en-GB"/>
            </w:rPr>
          </w:pPr>
          <w:r w:rsidRPr="00305C69">
            <w:rPr>
              <w:rFonts w:ascii="Times New Roman" w:hAnsi="Times New Roman" w:cs="Times New Roman"/>
              <w:sz w:val="24"/>
              <w:szCs w:val="24"/>
            </w:rPr>
            <w:fldChar w:fldCharType="begin"/>
          </w:r>
          <w:r w:rsidRPr="00305C69">
            <w:rPr>
              <w:rFonts w:ascii="Times New Roman" w:hAnsi="Times New Roman" w:cs="Times New Roman"/>
              <w:sz w:val="24"/>
              <w:szCs w:val="24"/>
            </w:rPr>
            <w:instrText xml:space="preserve"> TOC \o "1-3" \h \z \u </w:instrText>
          </w:r>
          <w:r w:rsidRPr="00305C69">
            <w:rPr>
              <w:rFonts w:ascii="Times New Roman" w:hAnsi="Times New Roman" w:cs="Times New Roman"/>
              <w:sz w:val="24"/>
              <w:szCs w:val="24"/>
            </w:rPr>
            <w:fldChar w:fldCharType="separate"/>
          </w:r>
          <w:hyperlink w:anchor="_Toc513747775" w:history="1">
            <w:r w:rsidR="00DF7FC5" w:rsidRPr="00305C69">
              <w:rPr>
                <w:rStyle w:val="Hyperlink"/>
                <w:rFonts w:ascii="Times New Roman" w:hAnsi="Times New Roman" w:cs="Times New Roman"/>
                <w:noProof/>
                <w:sz w:val="24"/>
                <w:szCs w:val="24"/>
              </w:rPr>
              <w:t>Acknowledgements</w:t>
            </w:r>
            <w:r w:rsidR="00DF7FC5" w:rsidRPr="00305C69">
              <w:rPr>
                <w:rFonts w:ascii="Times New Roman" w:hAnsi="Times New Roman" w:cs="Times New Roman"/>
                <w:noProof/>
                <w:webHidden/>
                <w:sz w:val="24"/>
                <w:szCs w:val="24"/>
              </w:rPr>
              <w:tab/>
            </w:r>
            <w:r w:rsidR="00DF7FC5" w:rsidRPr="00305C69">
              <w:rPr>
                <w:rFonts w:ascii="Times New Roman" w:hAnsi="Times New Roman" w:cs="Times New Roman"/>
                <w:noProof/>
                <w:webHidden/>
                <w:sz w:val="24"/>
                <w:szCs w:val="24"/>
              </w:rPr>
              <w:fldChar w:fldCharType="begin"/>
            </w:r>
            <w:r w:rsidR="00DF7FC5" w:rsidRPr="00305C69">
              <w:rPr>
                <w:rFonts w:ascii="Times New Roman" w:hAnsi="Times New Roman" w:cs="Times New Roman"/>
                <w:noProof/>
                <w:webHidden/>
                <w:sz w:val="24"/>
                <w:szCs w:val="24"/>
              </w:rPr>
              <w:instrText xml:space="preserve"> PAGEREF _Toc513747775 \h </w:instrText>
            </w:r>
            <w:r w:rsidR="00DF7FC5" w:rsidRPr="00305C69">
              <w:rPr>
                <w:rFonts w:ascii="Times New Roman" w:hAnsi="Times New Roman" w:cs="Times New Roman"/>
                <w:noProof/>
                <w:webHidden/>
                <w:sz w:val="24"/>
                <w:szCs w:val="24"/>
              </w:rPr>
            </w:r>
            <w:r w:rsidR="00DF7FC5" w:rsidRPr="00305C69">
              <w:rPr>
                <w:rFonts w:ascii="Times New Roman" w:hAnsi="Times New Roman" w:cs="Times New Roman"/>
                <w:noProof/>
                <w:webHidden/>
                <w:sz w:val="24"/>
                <w:szCs w:val="24"/>
              </w:rPr>
              <w:fldChar w:fldCharType="separate"/>
            </w:r>
            <w:r w:rsidR="00DF7FC5" w:rsidRPr="00305C69">
              <w:rPr>
                <w:rFonts w:ascii="Times New Roman" w:hAnsi="Times New Roman" w:cs="Times New Roman"/>
                <w:noProof/>
                <w:webHidden/>
                <w:sz w:val="24"/>
                <w:szCs w:val="24"/>
              </w:rPr>
              <w:t>1</w:t>
            </w:r>
            <w:r w:rsidR="00DF7FC5" w:rsidRPr="00305C69">
              <w:rPr>
                <w:rFonts w:ascii="Times New Roman" w:hAnsi="Times New Roman" w:cs="Times New Roman"/>
                <w:noProof/>
                <w:webHidden/>
                <w:sz w:val="24"/>
                <w:szCs w:val="24"/>
              </w:rPr>
              <w:fldChar w:fldCharType="end"/>
            </w:r>
          </w:hyperlink>
        </w:p>
        <w:p w14:paraId="151573E1" w14:textId="616F1321" w:rsidR="00DF7FC5" w:rsidRPr="00305C69" w:rsidRDefault="00DF7FC5">
          <w:pPr>
            <w:pStyle w:val="TOC1"/>
            <w:tabs>
              <w:tab w:val="right" w:leader="dot" w:pos="9016"/>
            </w:tabs>
            <w:rPr>
              <w:rFonts w:ascii="Times New Roman" w:eastAsiaTheme="minorEastAsia" w:hAnsi="Times New Roman" w:cs="Times New Roman"/>
              <w:noProof/>
              <w:sz w:val="24"/>
              <w:szCs w:val="24"/>
              <w:lang w:eastAsia="en-GB"/>
            </w:rPr>
          </w:pPr>
          <w:hyperlink w:anchor="_Toc513747776" w:history="1">
            <w:r w:rsidRPr="00305C69">
              <w:rPr>
                <w:rStyle w:val="Hyperlink"/>
                <w:rFonts w:ascii="Times New Roman" w:hAnsi="Times New Roman" w:cs="Times New Roman"/>
                <w:noProof/>
                <w:sz w:val="24"/>
                <w:szCs w:val="24"/>
              </w:rPr>
              <w:t>Table of Figures</w:t>
            </w:r>
            <w:r w:rsidRPr="00305C69">
              <w:rPr>
                <w:rFonts w:ascii="Times New Roman" w:hAnsi="Times New Roman" w:cs="Times New Roman"/>
                <w:noProof/>
                <w:webHidden/>
                <w:sz w:val="24"/>
                <w:szCs w:val="24"/>
              </w:rPr>
              <w:tab/>
            </w:r>
            <w:r w:rsidRPr="00305C69">
              <w:rPr>
                <w:rFonts w:ascii="Times New Roman" w:hAnsi="Times New Roman" w:cs="Times New Roman"/>
                <w:noProof/>
                <w:webHidden/>
                <w:sz w:val="24"/>
                <w:szCs w:val="24"/>
              </w:rPr>
              <w:fldChar w:fldCharType="begin"/>
            </w:r>
            <w:r w:rsidRPr="00305C69">
              <w:rPr>
                <w:rFonts w:ascii="Times New Roman" w:hAnsi="Times New Roman" w:cs="Times New Roman"/>
                <w:noProof/>
                <w:webHidden/>
                <w:sz w:val="24"/>
                <w:szCs w:val="24"/>
              </w:rPr>
              <w:instrText xml:space="preserve"> PAGEREF _Toc513747776 \h </w:instrText>
            </w:r>
            <w:r w:rsidRPr="00305C69">
              <w:rPr>
                <w:rFonts w:ascii="Times New Roman" w:hAnsi="Times New Roman" w:cs="Times New Roman"/>
                <w:noProof/>
                <w:webHidden/>
                <w:sz w:val="24"/>
                <w:szCs w:val="24"/>
              </w:rPr>
            </w:r>
            <w:r w:rsidRPr="00305C69">
              <w:rPr>
                <w:rFonts w:ascii="Times New Roman" w:hAnsi="Times New Roman" w:cs="Times New Roman"/>
                <w:noProof/>
                <w:webHidden/>
                <w:sz w:val="24"/>
                <w:szCs w:val="24"/>
              </w:rPr>
              <w:fldChar w:fldCharType="separate"/>
            </w:r>
            <w:r w:rsidRPr="00305C69">
              <w:rPr>
                <w:rFonts w:ascii="Times New Roman" w:hAnsi="Times New Roman" w:cs="Times New Roman"/>
                <w:noProof/>
                <w:webHidden/>
                <w:sz w:val="24"/>
                <w:szCs w:val="24"/>
              </w:rPr>
              <w:t>3</w:t>
            </w:r>
            <w:r w:rsidRPr="00305C69">
              <w:rPr>
                <w:rFonts w:ascii="Times New Roman" w:hAnsi="Times New Roman" w:cs="Times New Roman"/>
                <w:noProof/>
                <w:webHidden/>
                <w:sz w:val="24"/>
                <w:szCs w:val="24"/>
              </w:rPr>
              <w:fldChar w:fldCharType="end"/>
            </w:r>
          </w:hyperlink>
        </w:p>
        <w:p w14:paraId="730B385B" w14:textId="252A65A1" w:rsidR="00DF7FC5" w:rsidRPr="00305C69" w:rsidRDefault="00DF7FC5">
          <w:pPr>
            <w:pStyle w:val="TOC1"/>
            <w:tabs>
              <w:tab w:val="right" w:leader="dot" w:pos="9016"/>
            </w:tabs>
            <w:rPr>
              <w:rFonts w:ascii="Times New Roman" w:eastAsiaTheme="minorEastAsia" w:hAnsi="Times New Roman" w:cs="Times New Roman"/>
              <w:noProof/>
              <w:sz w:val="24"/>
              <w:szCs w:val="24"/>
              <w:lang w:eastAsia="en-GB"/>
            </w:rPr>
          </w:pPr>
          <w:hyperlink w:anchor="_Toc513747777" w:history="1">
            <w:r w:rsidRPr="00305C69">
              <w:rPr>
                <w:rStyle w:val="Hyperlink"/>
                <w:rFonts w:ascii="Times New Roman" w:hAnsi="Times New Roman" w:cs="Times New Roman"/>
                <w:noProof/>
                <w:sz w:val="24"/>
                <w:szCs w:val="24"/>
              </w:rPr>
              <w:t>Introduction</w:t>
            </w:r>
            <w:r w:rsidRPr="00305C69">
              <w:rPr>
                <w:rFonts w:ascii="Times New Roman" w:hAnsi="Times New Roman" w:cs="Times New Roman"/>
                <w:noProof/>
                <w:webHidden/>
                <w:sz w:val="24"/>
                <w:szCs w:val="24"/>
              </w:rPr>
              <w:tab/>
            </w:r>
            <w:r w:rsidRPr="00305C69">
              <w:rPr>
                <w:rFonts w:ascii="Times New Roman" w:hAnsi="Times New Roman" w:cs="Times New Roman"/>
                <w:noProof/>
                <w:webHidden/>
                <w:sz w:val="24"/>
                <w:szCs w:val="24"/>
              </w:rPr>
              <w:fldChar w:fldCharType="begin"/>
            </w:r>
            <w:r w:rsidRPr="00305C69">
              <w:rPr>
                <w:rFonts w:ascii="Times New Roman" w:hAnsi="Times New Roman" w:cs="Times New Roman"/>
                <w:noProof/>
                <w:webHidden/>
                <w:sz w:val="24"/>
                <w:szCs w:val="24"/>
              </w:rPr>
              <w:instrText xml:space="preserve"> PAGEREF _Toc513747777 \h </w:instrText>
            </w:r>
            <w:r w:rsidRPr="00305C69">
              <w:rPr>
                <w:rFonts w:ascii="Times New Roman" w:hAnsi="Times New Roman" w:cs="Times New Roman"/>
                <w:noProof/>
                <w:webHidden/>
                <w:sz w:val="24"/>
                <w:szCs w:val="24"/>
              </w:rPr>
            </w:r>
            <w:r w:rsidRPr="00305C69">
              <w:rPr>
                <w:rFonts w:ascii="Times New Roman" w:hAnsi="Times New Roman" w:cs="Times New Roman"/>
                <w:noProof/>
                <w:webHidden/>
                <w:sz w:val="24"/>
                <w:szCs w:val="24"/>
              </w:rPr>
              <w:fldChar w:fldCharType="separate"/>
            </w:r>
            <w:r w:rsidRPr="00305C69">
              <w:rPr>
                <w:rFonts w:ascii="Times New Roman" w:hAnsi="Times New Roman" w:cs="Times New Roman"/>
                <w:noProof/>
                <w:webHidden/>
                <w:sz w:val="24"/>
                <w:szCs w:val="24"/>
              </w:rPr>
              <w:t>4</w:t>
            </w:r>
            <w:r w:rsidRPr="00305C69">
              <w:rPr>
                <w:rFonts w:ascii="Times New Roman" w:hAnsi="Times New Roman" w:cs="Times New Roman"/>
                <w:noProof/>
                <w:webHidden/>
                <w:sz w:val="24"/>
                <w:szCs w:val="24"/>
              </w:rPr>
              <w:fldChar w:fldCharType="end"/>
            </w:r>
          </w:hyperlink>
        </w:p>
        <w:p w14:paraId="107DEF0D" w14:textId="50E5DBE2" w:rsidR="00DF7FC5" w:rsidRPr="00305C69" w:rsidRDefault="00DF7FC5">
          <w:pPr>
            <w:pStyle w:val="TOC1"/>
            <w:tabs>
              <w:tab w:val="right" w:leader="dot" w:pos="9016"/>
            </w:tabs>
            <w:rPr>
              <w:rFonts w:ascii="Times New Roman" w:eastAsiaTheme="minorEastAsia" w:hAnsi="Times New Roman" w:cs="Times New Roman"/>
              <w:noProof/>
              <w:sz w:val="24"/>
              <w:szCs w:val="24"/>
              <w:lang w:eastAsia="en-GB"/>
            </w:rPr>
          </w:pPr>
          <w:hyperlink w:anchor="_Toc513747778" w:history="1">
            <w:r w:rsidRPr="00305C69">
              <w:rPr>
                <w:rStyle w:val="Hyperlink"/>
                <w:rFonts w:ascii="Times New Roman" w:hAnsi="Times New Roman" w:cs="Times New Roman"/>
                <w:noProof/>
                <w:sz w:val="24"/>
                <w:szCs w:val="24"/>
              </w:rPr>
              <w:t>Chapter One: Women in Ancient Greece</w:t>
            </w:r>
            <w:r w:rsidRPr="00305C69">
              <w:rPr>
                <w:rFonts w:ascii="Times New Roman" w:hAnsi="Times New Roman" w:cs="Times New Roman"/>
                <w:noProof/>
                <w:webHidden/>
                <w:sz w:val="24"/>
                <w:szCs w:val="24"/>
              </w:rPr>
              <w:tab/>
            </w:r>
            <w:r w:rsidRPr="00305C69">
              <w:rPr>
                <w:rFonts w:ascii="Times New Roman" w:hAnsi="Times New Roman" w:cs="Times New Roman"/>
                <w:noProof/>
                <w:webHidden/>
                <w:sz w:val="24"/>
                <w:szCs w:val="24"/>
              </w:rPr>
              <w:fldChar w:fldCharType="begin"/>
            </w:r>
            <w:r w:rsidRPr="00305C69">
              <w:rPr>
                <w:rFonts w:ascii="Times New Roman" w:hAnsi="Times New Roman" w:cs="Times New Roman"/>
                <w:noProof/>
                <w:webHidden/>
                <w:sz w:val="24"/>
                <w:szCs w:val="24"/>
              </w:rPr>
              <w:instrText xml:space="preserve"> PAGEREF _Toc513747778 \h </w:instrText>
            </w:r>
            <w:r w:rsidRPr="00305C69">
              <w:rPr>
                <w:rFonts w:ascii="Times New Roman" w:hAnsi="Times New Roman" w:cs="Times New Roman"/>
                <w:noProof/>
                <w:webHidden/>
                <w:sz w:val="24"/>
                <w:szCs w:val="24"/>
              </w:rPr>
            </w:r>
            <w:r w:rsidRPr="00305C69">
              <w:rPr>
                <w:rFonts w:ascii="Times New Roman" w:hAnsi="Times New Roman" w:cs="Times New Roman"/>
                <w:noProof/>
                <w:webHidden/>
                <w:sz w:val="24"/>
                <w:szCs w:val="24"/>
              </w:rPr>
              <w:fldChar w:fldCharType="separate"/>
            </w:r>
            <w:r w:rsidRPr="00305C69">
              <w:rPr>
                <w:rFonts w:ascii="Times New Roman" w:hAnsi="Times New Roman" w:cs="Times New Roman"/>
                <w:noProof/>
                <w:webHidden/>
                <w:sz w:val="24"/>
                <w:szCs w:val="24"/>
              </w:rPr>
              <w:t>8</w:t>
            </w:r>
            <w:r w:rsidRPr="00305C69">
              <w:rPr>
                <w:rFonts w:ascii="Times New Roman" w:hAnsi="Times New Roman" w:cs="Times New Roman"/>
                <w:noProof/>
                <w:webHidden/>
                <w:sz w:val="24"/>
                <w:szCs w:val="24"/>
              </w:rPr>
              <w:fldChar w:fldCharType="end"/>
            </w:r>
          </w:hyperlink>
        </w:p>
        <w:p w14:paraId="4A488017" w14:textId="6EF4E469" w:rsidR="00DF7FC5" w:rsidRPr="00305C69" w:rsidRDefault="00DF7FC5">
          <w:pPr>
            <w:pStyle w:val="TOC2"/>
            <w:tabs>
              <w:tab w:val="right" w:leader="dot" w:pos="9016"/>
            </w:tabs>
            <w:rPr>
              <w:rFonts w:ascii="Times New Roman" w:hAnsi="Times New Roman"/>
              <w:noProof/>
              <w:sz w:val="24"/>
              <w:szCs w:val="24"/>
              <w:lang w:val="en-GB" w:eastAsia="en-GB"/>
            </w:rPr>
          </w:pPr>
          <w:hyperlink w:anchor="_Toc513747779" w:history="1">
            <w:r w:rsidRPr="00305C69">
              <w:rPr>
                <w:rStyle w:val="Hyperlink"/>
                <w:rFonts w:ascii="Times New Roman" w:hAnsi="Times New Roman"/>
                <w:noProof/>
                <w:sz w:val="24"/>
                <w:szCs w:val="24"/>
              </w:rPr>
              <w:t>Social Perceptions of Ancient Women</w:t>
            </w:r>
            <w:r w:rsidRPr="00305C69">
              <w:rPr>
                <w:rFonts w:ascii="Times New Roman" w:hAnsi="Times New Roman"/>
                <w:noProof/>
                <w:webHidden/>
                <w:sz w:val="24"/>
                <w:szCs w:val="24"/>
              </w:rPr>
              <w:tab/>
            </w:r>
            <w:r w:rsidRPr="00305C69">
              <w:rPr>
                <w:rFonts w:ascii="Times New Roman" w:hAnsi="Times New Roman"/>
                <w:noProof/>
                <w:webHidden/>
                <w:sz w:val="24"/>
                <w:szCs w:val="24"/>
              </w:rPr>
              <w:fldChar w:fldCharType="begin"/>
            </w:r>
            <w:r w:rsidRPr="00305C69">
              <w:rPr>
                <w:rFonts w:ascii="Times New Roman" w:hAnsi="Times New Roman"/>
                <w:noProof/>
                <w:webHidden/>
                <w:sz w:val="24"/>
                <w:szCs w:val="24"/>
              </w:rPr>
              <w:instrText xml:space="preserve"> PAGEREF _Toc513747779 \h </w:instrText>
            </w:r>
            <w:r w:rsidRPr="00305C69">
              <w:rPr>
                <w:rFonts w:ascii="Times New Roman" w:hAnsi="Times New Roman"/>
                <w:noProof/>
                <w:webHidden/>
                <w:sz w:val="24"/>
                <w:szCs w:val="24"/>
              </w:rPr>
            </w:r>
            <w:r w:rsidRPr="00305C69">
              <w:rPr>
                <w:rFonts w:ascii="Times New Roman" w:hAnsi="Times New Roman"/>
                <w:noProof/>
                <w:webHidden/>
                <w:sz w:val="24"/>
                <w:szCs w:val="24"/>
              </w:rPr>
              <w:fldChar w:fldCharType="separate"/>
            </w:r>
            <w:r w:rsidRPr="00305C69">
              <w:rPr>
                <w:rFonts w:ascii="Times New Roman" w:hAnsi="Times New Roman"/>
                <w:noProof/>
                <w:webHidden/>
                <w:sz w:val="24"/>
                <w:szCs w:val="24"/>
              </w:rPr>
              <w:t>8</w:t>
            </w:r>
            <w:r w:rsidRPr="00305C69">
              <w:rPr>
                <w:rFonts w:ascii="Times New Roman" w:hAnsi="Times New Roman"/>
                <w:noProof/>
                <w:webHidden/>
                <w:sz w:val="24"/>
                <w:szCs w:val="24"/>
              </w:rPr>
              <w:fldChar w:fldCharType="end"/>
            </w:r>
          </w:hyperlink>
        </w:p>
        <w:p w14:paraId="5A66DF4D" w14:textId="5114947A" w:rsidR="00DF7FC5" w:rsidRPr="00305C69" w:rsidRDefault="00DF7FC5">
          <w:pPr>
            <w:pStyle w:val="TOC2"/>
            <w:tabs>
              <w:tab w:val="right" w:leader="dot" w:pos="9016"/>
            </w:tabs>
            <w:rPr>
              <w:rFonts w:ascii="Times New Roman" w:hAnsi="Times New Roman"/>
              <w:noProof/>
              <w:sz w:val="24"/>
              <w:szCs w:val="24"/>
              <w:lang w:val="en-GB" w:eastAsia="en-GB"/>
            </w:rPr>
          </w:pPr>
          <w:hyperlink w:anchor="_Toc513747780" w:history="1">
            <w:r w:rsidRPr="00305C69">
              <w:rPr>
                <w:rStyle w:val="Hyperlink"/>
                <w:rFonts w:ascii="Times New Roman" w:hAnsi="Times New Roman"/>
                <w:noProof/>
                <w:sz w:val="24"/>
                <w:szCs w:val="24"/>
              </w:rPr>
              <w:t>Women in the Home and in Law</w:t>
            </w:r>
            <w:r w:rsidRPr="00305C69">
              <w:rPr>
                <w:rFonts w:ascii="Times New Roman" w:hAnsi="Times New Roman"/>
                <w:noProof/>
                <w:webHidden/>
                <w:sz w:val="24"/>
                <w:szCs w:val="24"/>
              </w:rPr>
              <w:tab/>
            </w:r>
            <w:r w:rsidRPr="00305C69">
              <w:rPr>
                <w:rFonts w:ascii="Times New Roman" w:hAnsi="Times New Roman"/>
                <w:noProof/>
                <w:webHidden/>
                <w:sz w:val="24"/>
                <w:szCs w:val="24"/>
              </w:rPr>
              <w:fldChar w:fldCharType="begin"/>
            </w:r>
            <w:r w:rsidRPr="00305C69">
              <w:rPr>
                <w:rFonts w:ascii="Times New Roman" w:hAnsi="Times New Roman"/>
                <w:noProof/>
                <w:webHidden/>
                <w:sz w:val="24"/>
                <w:szCs w:val="24"/>
              </w:rPr>
              <w:instrText xml:space="preserve"> PAGEREF _Toc513747780 \h </w:instrText>
            </w:r>
            <w:r w:rsidRPr="00305C69">
              <w:rPr>
                <w:rFonts w:ascii="Times New Roman" w:hAnsi="Times New Roman"/>
                <w:noProof/>
                <w:webHidden/>
                <w:sz w:val="24"/>
                <w:szCs w:val="24"/>
              </w:rPr>
            </w:r>
            <w:r w:rsidRPr="00305C69">
              <w:rPr>
                <w:rFonts w:ascii="Times New Roman" w:hAnsi="Times New Roman"/>
                <w:noProof/>
                <w:webHidden/>
                <w:sz w:val="24"/>
                <w:szCs w:val="24"/>
              </w:rPr>
              <w:fldChar w:fldCharType="separate"/>
            </w:r>
            <w:r w:rsidRPr="00305C69">
              <w:rPr>
                <w:rFonts w:ascii="Times New Roman" w:hAnsi="Times New Roman"/>
                <w:noProof/>
                <w:webHidden/>
                <w:sz w:val="24"/>
                <w:szCs w:val="24"/>
              </w:rPr>
              <w:t>10</w:t>
            </w:r>
            <w:r w:rsidRPr="00305C69">
              <w:rPr>
                <w:rFonts w:ascii="Times New Roman" w:hAnsi="Times New Roman"/>
                <w:noProof/>
                <w:webHidden/>
                <w:sz w:val="24"/>
                <w:szCs w:val="24"/>
              </w:rPr>
              <w:fldChar w:fldCharType="end"/>
            </w:r>
          </w:hyperlink>
        </w:p>
        <w:p w14:paraId="37916ADC" w14:textId="2F9767A7" w:rsidR="00DF7FC5" w:rsidRPr="00305C69" w:rsidRDefault="00DF7FC5">
          <w:pPr>
            <w:pStyle w:val="TOC1"/>
            <w:tabs>
              <w:tab w:val="right" w:leader="dot" w:pos="9016"/>
            </w:tabs>
            <w:rPr>
              <w:rFonts w:ascii="Times New Roman" w:eastAsiaTheme="minorEastAsia" w:hAnsi="Times New Roman" w:cs="Times New Roman"/>
              <w:noProof/>
              <w:sz w:val="24"/>
              <w:szCs w:val="24"/>
              <w:lang w:eastAsia="en-GB"/>
            </w:rPr>
          </w:pPr>
          <w:hyperlink w:anchor="_Toc513747781" w:history="1">
            <w:r w:rsidRPr="00305C69">
              <w:rPr>
                <w:rStyle w:val="Hyperlink"/>
                <w:rFonts w:ascii="Times New Roman" w:hAnsi="Times New Roman" w:cs="Times New Roman"/>
                <w:noProof/>
                <w:sz w:val="24"/>
                <w:szCs w:val="24"/>
              </w:rPr>
              <w:t>Chapter Two: The Representation of Medea in Myth, Art and in Literature</w:t>
            </w:r>
            <w:r w:rsidRPr="00305C69">
              <w:rPr>
                <w:rFonts w:ascii="Times New Roman" w:hAnsi="Times New Roman" w:cs="Times New Roman"/>
                <w:noProof/>
                <w:webHidden/>
                <w:sz w:val="24"/>
                <w:szCs w:val="24"/>
              </w:rPr>
              <w:tab/>
            </w:r>
            <w:r w:rsidRPr="00305C69">
              <w:rPr>
                <w:rFonts w:ascii="Times New Roman" w:hAnsi="Times New Roman" w:cs="Times New Roman"/>
                <w:noProof/>
                <w:webHidden/>
                <w:sz w:val="24"/>
                <w:szCs w:val="24"/>
              </w:rPr>
              <w:fldChar w:fldCharType="begin"/>
            </w:r>
            <w:r w:rsidRPr="00305C69">
              <w:rPr>
                <w:rFonts w:ascii="Times New Roman" w:hAnsi="Times New Roman" w:cs="Times New Roman"/>
                <w:noProof/>
                <w:webHidden/>
                <w:sz w:val="24"/>
                <w:szCs w:val="24"/>
              </w:rPr>
              <w:instrText xml:space="preserve"> PAGEREF _Toc513747781 \h </w:instrText>
            </w:r>
            <w:r w:rsidRPr="00305C69">
              <w:rPr>
                <w:rFonts w:ascii="Times New Roman" w:hAnsi="Times New Roman" w:cs="Times New Roman"/>
                <w:noProof/>
                <w:webHidden/>
                <w:sz w:val="24"/>
                <w:szCs w:val="24"/>
              </w:rPr>
            </w:r>
            <w:r w:rsidRPr="00305C69">
              <w:rPr>
                <w:rFonts w:ascii="Times New Roman" w:hAnsi="Times New Roman" w:cs="Times New Roman"/>
                <w:noProof/>
                <w:webHidden/>
                <w:sz w:val="24"/>
                <w:szCs w:val="24"/>
              </w:rPr>
              <w:fldChar w:fldCharType="separate"/>
            </w:r>
            <w:r w:rsidRPr="00305C69">
              <w:rPr>
                <w:rFonts w:ascii="Times New Roman" w:hAnsi="Times New Roman" w:cs="Times New Roman"/>
                <w:noProof/>
                <w:webHidden/>
                <w:sz w:val="24"/>
                <w:szCs w:val="24"/>
              </w:rPr>
              <w:t>15</w:t>
            </w:r>
            <w:r w:rsidRPr="00305C69">
              <w:rPr>
                <w:rFonts w:ascii="Times New Roman" w:hAnsi="Times New Roman" w:cs="Times New Roman"/>
                <w:noProof/>
                <w:webHidden/>
                <w:sz w:val="24"/>
                <w:szCs w:val="24"/>
              </w:rPr>
              <w:fldChar w:fldCharType="end"/>
            </w:r>
          </w:hyperlink>
        </w:p>
        <w:p w14:paraId="60BD4440" w14:textId="155A28AA" w:rsidR="00DF7FC5" w:rsidRPr="00305C69" w:rsidRDefault="00DF7FC5">
          <w:pPr>
            <w:pStyle w:val="TOC2"/>
            <w:tabs>
              <w:tab w:val="right" w:leader="dot" w:pos="9016"/>
            </w:tabs>
            <w:rPr>
              <w:rFonts w:ascii="Times New Roman" w:hAnsi="Times New Roman"/>
              <w:noProof/>
              <w:sz w:val="24"/>
              <w:szCs w:val="24"/>
              <w:lang w:val="en-GB" w:eastAsia="en-GB"/>
            </w:rPr>
          </w:pPr>
          <w:hyperlink w:anchor="_Toc513747782" w:history="1">
            <w:r w:rsidRPr="00305C69">
              <w:rPr>
                <w:rStyle w:val="Hyperlink"/>
                <w:rFonts w:ascii="Times New Roman" w:hAnsi="Times New Roman"/>
                <w:noProof/>
                <w:sz w:val="24"/>
                <w:szCs w:val="24"/>
              </w:rPr>
              <w:t>Medea in Art</w:t>
            </w:r>
            <w:r w:rsidRPr="00305C69">
              <w:rPr>
                <w:rFonts w:ascii="Times New Roman" w:hAnsi="Times New Roman"/>
                <w:noProof/>
                <w:webHidden/>
                <w:sz w:val="24"/>
                <w:szCs w:val="24"/>
              </w:rPr>
              <w:tab/>
            </w:r>
            <w:r w:rsidRPr="00305C69">
              <w:rPr>
                <w:rFonts w:ascii="Times New Roman" w:hAnsi="Times New Roman"/>
                <w:noProof/>
                <w:webHidden/>
                <w:sz w:val="24"/>
                <w:szCs w:val="24"/>
              </w:rPr>
              <w:fldChar w:fldCharType="begin"/>
            </w:r>
            <w:r w:rsidRPr="00305C69">
              <w:rPr>
                <w:rFonts w:ascii="Times New Roman" w:hAnsi="Times New Roman"/>
                <w:noProof/>
                <w:webHidden/>
                <w:sz w:val="24"/>
                <w:szCs w:val="24"/>
              </w:rPr>
              <w:instrText xml:space="preserve"> PAGEREF _Toc513747782 \h </w:instrText>
            </w:r>
            <w:r w:rsidRPr="00305C69">
              <w:rPr>
                <w:rFonts w:ascii="Times New Roman" w:hAnsi="Times New Roman"/>
                <w:noProof/>
                <w:webHidden/>
                <w:sz w:val="24"/>
                <w:szCs w:val="24"/>
              </w:rPr>
            </w:r>
            <w:r w:rsidRPr="00305C69">
              <w:rPr>
                <w:rFonts w:ascii="Times New Roman" w:hAnsi="Times New Roman"/>
                <w:noProof/>
                <w:webHidden/>
                <w:sz w:val="24"/>
                <w:szCs w:val="24"/>
              </w:rPr>
              <w:fldChar w:fldCharType="separate"/>
            </w:r>
            <w:r w:rsidRPr="00305C69">
              <w:rPr>
                <w:rFonts w:ascii="Times New Roman" w:hAnsi="Times New Roman"/>
                <w:noProof/>
                <w:webHidden/>
                <w:sz w:val="24"/>
                <w:szCs w:val="24"/>
              </w:rPr>
              <w:t>15</w:t>
            </w:r>
            <w:r w:rsidRPr="00305C69">
              <w:rPr>
                <w:rFonts w:ascii="Times New Roman" w:hAnsi="Times New Roman"/>
                <w:noProof/>
                <w:webHidden/>
                <w:sz w:val="24"/>
                <w:szCs w:val="24"/>
              </w:rPr>
              <w:fldChar w:fldCharType="end"/>
            </w:r>
          </w:hyperlink>
        </w:p>
        <w:p w14:paraId="57F02C48" w14:textId="224AD799" w:rsidR="00DF7FC5" w:rsidRPr="00305C69" w:rsidRDefault="00DF7FC5">
          <w:pPr>
            <w:pStyle w:val="TOC2"/>
            <w:tabs>
              <w:tab w:val="right" w:leader="dot" w:pos="9016"/>
            </w:tabs>
            <w:rPr>
              <w:rFonts w:ascii="Times New Roman" w:hAnsi="Times New Roman"/>
              <w:noProof/>
              <w:sz w:val="24"/>
              <w:szCs w:val="24"/>
              <w:lang w:val="en-GB" w:eastAsia="en-GB"/>
            </w:rPr>
          </w:pPr>
          <w:hyperlink w:anchor="_Toc513747783" w:history="1">
            <w:r w:rsidRPr="00305C69">
              <w:rPr>
                <w:rStyle w:val="Hyperlink"/>
                <w:rFonts w:ascii="Times New Roman" w:hAnsi="Times New Roman"/>
                <w:noProof/>
                <w:sz w:val="24"/>
                <w:szCs w:val="24"/>
              </w:rPr>
              <w:t>Medea in Myth</w:t>
            </w:r>
            <w:r w:rsidRPr="00305C69">
              <w:rPr>
                <w:rFonts w:ascii="Times New Roman" w:hAnsi="Times New Roman"/>
                <w:noProof/>
                <w:webHidden/>
                <w:sz w:val="24"/>
                <w:szCs w:val="24"/>
              </w:rPr>
              <w:tab/>
            </w:r>
            <w:r w:rsidRPr="00305C69">
              <w:rPr>
                <w:rFonts w:ascii="Times New Roman" w:hAnsi="Times New Roman"/>
                <w:noProof/>
                <w:webHidden/>
                <w:sz w:val="24"/>
                <w:szCs w:val="24"/>
              </w:rPr>
              <w:fldChar w:fldCharType="begin"/>
            </w:r>
            <w:r w:rsidRPr="00305C69">
              <w:rPr>
                <w:rFonts w:ascii="Times New Roman" w:hAnsi="Times New Roman"/>
                <w:noProof/>
                <w:webHidden/>
                <w:sz w:val="24"/>
                <w:szCs w:val="24"/>
              </w:rPr>
              <w:instrText xml:space="preserve"> PAGEREF _Toc513747783 \h </w:instrText>
            </w:r>
            <w:r w:rsidRPr="00305C69">
              <w:rPr>
                <w:rFonts w:ascii="Times New Roman" w:hAnsi="Times New Roman"/>
                <w:noProof/>
                <w:webHidden/>
                <w:sz w:val="24"/>
                <w:szCs w:val="24"/>
              </w:rPr>
            </w:r>
            <w:r w:rsidRPr="00305C69">
              <w:rPr>
                <w:rFonts w:ascii="Times New Roman" w:hAnsi="Times New Roman"/>
                <w:noProof/>
                <w:webHidden/>
                <w:sz w:val="24"/>
                <w:szCs w:val="24"/>
              </w:rPr>
              <w:fldChar w:fldCharType="separate"/>
            </w:r>
            <w:r w:rsidRPr="00305C69">
              <w:rPr>
                <w:rFonts w:ascii="Times New Roman" w:hAnsi="Times New Roman"/>
                <w:noProof/>
                <w:webHidden/>
                <w:sz w:val="24"/>
                <w:szCs w:val="24"/>
              </w:rPr>
              <w:t>17</w:t>
            </w:r>
            <w:r w:rsidRPr="00305C69">
              <w:rPr>
                <w:rFonts w:ascii="Times New Roman" w:hAnsi="Times New Roman"/>
                <w:noProof/>
                <w:webHidden/>
                <w:sz w:val="24"/>
                <w:szCs w:val="24"/>
              </w:rPr>
              <w:fldChar w:fldCharType="end"/>
            </w:r>
          </w:hyperlink>
        </w:p>
        <w:p w14:paraId="33DFA89D" w14:textId="4E7FB3D1" w:rsidR="00DF7FC5" w:rsidRPr="00305C69" w:rsidRDefault="00DF7FC5">
          <w:pPr>
            <w:pStyle w:val="TOC2"/>
            <w:tabs>
              <w:tab w:val="right" w:leader="dot" w:pos="9016"/>
            </w:tabs>
            <w:rPr>
              <w:rFonts w:ascii="Times New Roman" w:hAnsi="Times New Roman"/>
              <w:noProof/>
              <w:sz w:val="24"/>
              <w:szCs w:val="24"/>
              <w:lang w:val="en-GB" w:eastAsia="en-GB"/>
            </w:rPr>
          </w:pPr>
          <w:hyperlink w:anchor="_Toc513747784" w:history="1">
            <w:r w:rsidRPr="00305C69">
              <w:rPr>
                <w:rStyle w:val="Hyperlink"/>
                <w:rFonts w:ascii="Times New Roman" w:hAnsi="Times New Roman"/>
                <w:noProof/>
                <w:sz w:val="24"/>
                <w:szCs w:val="24"/>
              </w:rPr>
              <w:t>Medea in Literature</w:t>
            </w:r>
            <w:r w:rsidRPr="00305C69">
              <w:rPr>
                <w:rFonts w:ascii="Times New Roman" w:hAnsi="Times New Roman"/>
                <w:noProof/>
                <w:webHidden/>
                <w:sz w:val="24"/>
                <w:szCs w:val="24"/>
              </w:rPr>
              <w:tab/>
            </w:r>
            <w:r w:rsidRPr="00305C69">
              <w:rPr>
                <w:rFonts w:ascii="Times New Roman" w:hAnsi="Times New Roman"/>
                <w:noProof/>
                <w:webHidden/>
                <w:sz w:val="24"/>
                <w:szCs w:val="24"/>
              </w:rPr>
              <w:fldChar w:fldCharType="begin"/>
            </w:r>
            <w:r w:rsidRPr="00305C69">
              <w:rPr>
                <w:rFonts w:ascii="Times New Roman" w:hAnsi="Times New Roman"/>
                <w:noProof/>
                <w:webHidden/>
                <w:sz w:val="24"/>
                <w:szCs w:val="24"/>
              </w:rPr>
              <w:instrText xml:space="preserve"> PAGEREF _Toc513747784 \h </w:instrText>
            </w:r>
            <w:r w:rsidRPr="00305C69">
              <w:rPr>
                <w:rFonts w:ascii="Times New Roman" w:hAnsi="Times New Roman"/>
                <w:noProof/>
                <w:webHidden/>
                <w:sz w:val="24"/>
                <w:szCs w:val="24"/>
              </w:rPr>
            </w:r>
            <w:r w:rsidRPr="00305C69">
              <w:rPr>
                <w:rFonts w:ascii="Times New Roman" w:hAnsi="Times New Roman"/>
                <w:noProof/>
                <w:webHidden/>
                <w:sz w:val="24"/>
                <w:szCs w:val="24"/>
              </w:rPr>
              <w:fldChar w:fldCharType="separate"/>
            </w:r>
            <w:r w:rsidRPr="00305C69">
              <w:rPr>
                <w:rFonts w:ascii="Times New Roman" w:hAnsi="Times New Roman"/>
                <w:noProof/>
                <w:webHidden/>
                <w:sz w:val="24"/>
                <w:szCs w:val="24"/>
              </w:rPr>
              <w:t>19</w:t>
            </w:r>
            <w:r w:rsidRPr="00305C69">
              <w:rPr>
                <w:rFonts w:ascii="Times New Roman" w:hAnsi="Times New Roman"/>
                <w:noProof/>
                <w:webHidden/>
                <w:sz w:val="24"/>
                <w:szCs w:val="24"/>
              </w:rPr>
              <w:fldChar w:fldCharType="end"/>
            </w:r>
          </w:hyperlink>
        </w:p>
        <w:p w14:paraId="26545C70" w14:textId="5A2BBBCB" w:rsidR="00DF7FC5" w:rsidRPr="00305C69" w:rsidRDefault="00DF7FC5">
          <w:pPr>
            <w:pStyle w:val="TOC1"/>
            <w:tabs>
              <w:tab w:val="right" w:leader="dot" w:pos="9016"/>
            </w:tabs>
            <w:rPr>
              <w:rFonts w:ascii="Times New Roman" w:eastAsiaTheme="minorEastAsia" w:hAnsi="Times New Roman" w:cs="Times New Roman"/>
              <w:noProof/>
              <w:sz w:val="24"/>
              <w:szCs w:val="24"/>
              <w:lang w:eastAsia="en-GB"/>
            </w:rPr>
          </w:pPr>
          <w:hyperlink w:anchor="_Toc513747785" w:history="1">
            <w:r w:rsidRPr="00305C69">
              <w:rPr>
                <w:rStyle w:val="Hyperlink"/>
                <w:rFonts w:ascii="Times New Roman" w:hAnsi="Times New Roman" w:cs="Times New Roman"/>
                <w:noProof/>
                <w:sz w:val="24"/>
                <w:szCs w:val="24"/>
              </w:rPr>
              <w:t>Chapter Three: Hysteria</w:t>
            </w:r>
            <w:r w:rsidRPr="00305C69">
              <w:rPr>
                <w:rFonts w:ascii="Times New Roman" w:hAnsi="Times New Roman" w:cs="Times New Roman"/>
                <w:noProof/>
                <w:webHidden/>
                <w:sz w:val="24"/>
                <w:szCs w:val="24"/>
              </w:rPr>
              <w:tab/>
            </w:r>
            <w:r w:rsidRPr="00305C69">
              <w:rPr>
                <w:rFonts w:ascii="Times New Roman" w:hAnsi="Times New Roman" w:cs="Times New Roman"/>
                <w:noProof/>
                <w:webHidden/>
                <w:sz w:val="24"/>
                <w:szCs w:val="24"/>
              </w:rPr>
              <w:fldChar w:fldCharType="begin"/>
            </w:r>
            <w:r w:rsidRPr="00305C69">
              <w:rPr>
                <w:rFonts w:ascii="Times New Roman" w:hAnsi="Times New Roman" w:cs="Times New Roman"/>
                <w:noProof/>
                <w:webHidden/>
                <w:sz w:val="24"/>
                <w:szCs w:val="24"/>
              </w:rPr>
              <w:instrText xml:space="preserve"> PAGEREF _Toc513747785 \h </w:instrText>
            </w:r>
            <w:r w:rsidRPr="00305C69">
              <w:rPr>
                <w:rFonts w:ascii="Times New Roman" w:hAnsi="Times New Roman" w:cs="Times New Roman"/>
                <w:noProof/>
                <w:webHidden/>
                <w:sz w:val="24"/>
                <w:szCs w:val="24"/>
              </w:rPr>
            </w:r>
            <w:r w:rsidRPr="00305C69">
              <w:rPr>
                <w:rFonts w:ascii="Times New Roman" w:hAnsi="Times New Roman" w:cs="Times New Roman"/>
                <w:noProof/>
                <w:webHidden/>
                <w:sz w:val="24"/>
                <w:szCs w:val="24"/>
              </w:rPr>
              <w:fldChar w:fldCharType="separate"/>
            </w:r>
            <w:r w:rsidRPr="00305C69">
              <w:rPr>
                <w:rFonts w:ascii="Times New Roman" w:hAnsi="Times New Roman" w:cs="Times New Roman"/>
                <w:noProof/>
                <w:webHidden/>
                <w:sz w:val="24"/>
                <w:szCs w:val="24"/>
              </w:rPr>
              <w:t>23</w:t>
            </w:r>
            <w:r w:rsidRPr="00305C69">
              <w:rPr>
                <w:rFonts w:ascii="Times New Roman" w:hAnsi="Times New Roman" w:cs="Times New Roman"/>
                <w:noProof/>
                <w:webHidden/>
                <w:sz w:val="24"/>
                <w:szCs w:val="24"/>
              </w:rPr>
              <w:fldChar w:fldCharType="end"/>
            </w:r>
          </w:hyperlink>
        </w:p>
        <w:p w14:paraId="0D6B0085" w14:textId="5718EE23" w:rsidR="00DF7FC5" w:rsidRPr="00305C69" w:rsidRDefault="00DF7FC5">
          <w:pPr>
            <w:pStyle w:val="TOC2"/>
            <w:tabs>
              <w:tab w:val="right" w:leader="dot" w:pos="9016"/>
            </w:tabs>
            <w:rPr>
              <w:rFonts w:ascii="Times New Roman" w:hAnsi="Times New Roman"/>
              <w:noProof/>
              <w:sz w:val="24"/>
              <w:szCs w:val="24"/>
              <w:lang w:val="en-GB" w:eastAsia="en-GB"/>
            </w:rPr>
          </w:pPr>
          <w:hyperlink w:anchor="_Toc513747786" w:history="1">
            <w:r w:rsidRPr="00305C69">
              <w:rPr>
                <w:rStyle w:val="Hyperlink"/>
                <w:rFonts w:ascii="Times New Roman" w:hAnsi="Times New Roman"/>
                <w:noProof/>
                <w:sz w:val="24"/>
                <w:szCs w:val="24"/>
              </w:rPr>
              <w:t>The Wandering Womb</w:t>
            </w:r>
            <w:r w:rsidRPr="00305C69">
              <w:rPr>
                <w:rFonts w:ascii="Times New Roman" w:hAnsi="Times New Roman"/>
                <w:noProof/>
                <w:webHidden/>
                <w:sz w:val="24"/>
                <w:szCs w:val="24"/>
              </w:rPr>
              <w:tab/>
            </w:r>
            <w:r w:rsidRPr="00305C69">
              <w:rPr>
                <w:rFonts w:ascii="Times New Roman" w:hAnsi="Times New Roman"/>
                <w:noProof/>
                <w:webHidden/>
                <w:sz w:val="24"/>
                <w:szCs w:val="24"/>
              </w:rPr>
              <w:fldChar w:fldCharType="begin"/>
            </w:r>
            <w:r w:rsidRPr="00305C69">
              <w:rPr>
                <w:rFonts w:ascii="Times New Roman" w:hAnsi="Times New Roman"/>
                <w:noProof/>
                <w:webHidden/>
                <w:sz w:val="24"/>
                <w:szCs w:val="24"/>
              </w:rPr>
              <w:instrText xml:space="preserve"> PAGEREF _Toc513747786 \h </w:instrText>
            </w:r>
            <w:r w:rsidRPr="00305C69">
              <w:rPr>
                <w:rFonts w:ascii="Times New Roman" w:hAnsi="Times New Roman"/>
                <w:noProof/>
                <w:webHidden/>
                <w:sz w:val="24"/>
                <w:szCs w:val="24"/>
              </w:rPr>
            </w:r>
            <w:r w:rsidRPr="00305C69">
              <w:rPr>
                <w:rFonts w:ascii="Times New Roman" w:hAnsi="Times New Roman"/>
                <w:noProof/>
                <w:webHidden/>
                <w:sz w:val="24"/>
                <w:szCs w:val="24"/>
              </w:rPr>
              <w:fldChar w:fldCharType="separate"/>
            </w:r>
            <w:r w:rsidRPr="00305C69">
              <w:rPr>
                <w:rFonts w:ascii="Times New Roman" w:hAnsi="Times New Roman"/>
                <w:noProof/>
                <w:webHidden/>
                <w:sz w:val="24"/>
                <w:szCs w:val="24"/>
              </w:rPr>
              <w:t>23</w:t>
            </w:r>
            <w:r w:rsidRPr="00305C69">
              <w:rPr>
                <w:rFonts w:ascii="Times New Roman" w:hAnsi="Times New Roman"/>
                <w:noProof/>
                <w:webHidden/>
                <w:sz w:val="24"/>
                <w:szCs w:val="24"/>
              </w:rPr>
              <w:fldChar w:fldCharType="end"/>
            </w:r>
          </w:hyperlink>
        </w:p>
        <w:p w14:paraId="5CFF9AE6" w14:textId="00D7D35B" w:rsidR="00DF7FC5" w:rsidRPr="00305C69" w:rsidRDefault="00DF7FC5">
          <w:pPr>
            <w:pStyle w:val="TOC2"/>
            <w:tabs>
              <w:tab w:val="right" w:leader="dot" w:pos="9016"/>
            </w:tabs>
            <w:rPr>
              <w:rFonts w:ascii="Times New Roman" w:hAnsi="Times New Roman"/>
              <w:noProof/>
              <w:sz w:val="24"/>
              <w:szCs w:val="24"/>
              <w:lang w:val="en-GB" w:eastAsia="en-GB"/>
            </w:rPr>
          </w:pPr>
          <w:hyperlink w:anchor="_Toc513747787" w:history="1">
            <w:r w:rsidRPr="00305C69">
              <w:rPr>
                <w:rStyle w:val="Hyperlink"/>
                <w:rFonts w:ascii="Times New Roman" w:hAnsi="Times New Roman"/>
                <w:noProof/>
                <w:sz w:val="24"/>
                <w:szCs w:val="24"/>
              </w:rPr>
              <w:t>Hysteria and Sex</w:t>
            </w:r>
            <w:r w:rsidRPr="00305C69">
              <w:rPr>
                <w:rFonts w:ascii="Times New Roman" w:hAnsi="Times New Roman"/>
                <w:noProof/>
                <w:webHidden/>
                <w:sz w:val="24"/>
                <w:szCs w:val="24"/>
              </w:rPr>
              <w:tab/>
            </w:r>
            <w:r w:rsidRPr="00305C69">
              <w:rPr>
                <w:rFonts w:ascii="Times New Roman" w:hAnsi="Times New Roman"/>
                <w:noProof/>
                <w:webHidden/>
                <w:sz w:val="24"/>
                <w:szCs w:val="24"/>
              </w:rPr>
              <w:fldChar w:fldCharType="begin"/>
            </w:r>
            <w:r w:rsidRPr="00305C69">
              <w:rPr>
                <w:rFonts w:ascii="Times New Roman" w:hAnsi="Times New Roman"/>
                <w:noProof/>
                <w:webHidden/>
                <w:sz w:val="24"/>
                <w:szCs w:val="24"/>
              </w:rPr>
              <w:instrText xml:space="preserve"> PAGEREF _Toc513747787 \h </w:instrText>
            </w:r>
            <w:r w:rsidRPr="00305C69">
              <w:rPr>
                <w:rFonts w:ascii="Times New Roman" w:hAnsi="Times New Roman"/>
                <w:noProof/>
                <w:webHidden/>
                <w:sz w:val="24"/>
                <w:szCs w:val="24"/>
              </w:rPr>
            </w:r>
            <w:r w:rsidRPr="00305C69">
              <w:rPr>
                <w:rFonts w:ascii="Times New Roman" w:hAnsi="Times New Roman"/>
                <w:noProof/>
                <w:webHidden/>
                <w:sz w:val="24"/>
                <w:szCs w:val="24"/>
              </w:rPr>
              <w:fldChar w:fldCharType="separate"/>
            </w:r>
            <w:r w:rsidRPr="00305C69">
              <w:rPr>
                <w:rFonts w:ascii="Times New Roman" w:hAnsi="Times New Roman"/>
                <w:noProof/>
                <w:webHidden/>
                <w:sz w:val="24"/>
                <w:szCs w:val="24"/>
              </w:rPr>
              <w:t>25</w:t>
            </w:r>
            <w:r w:rsidRPr="00305C69">
              <w:rPr>
                <w:rFonts w:ascii="Times New Roman" w:hAnsi="Times New Roman"/>
                <w:noProof/>
                <w:webHidden/>
                <w:sz w:val="24"/>
                <w:szCs w:val="24"/>
              </w:rPr>
              <w:fldChar w:fldCharType="end"/>
            </w:r>
          </w:hyperlink>
        </w:p>
        <w:p w14:paraId="54E64651" w14:textId="52F4F13D" w:rsidR="00DF7FC5" w:rsidRPr="00305C69" w:rsidRDefault="00DF7FC5">
          <w:pPr>
            <w:pStyle w:val="TOC2"/>
            <w:tabs>
              <w:tab w:val="right" w:leader="dot" w:pos="9016"/>
            </w:tabs>
            <w:rPr>
              <w:rFonts w:ascii="Times New Roman" w:hAnsi="Times New Roman"/>
              <w:noProof/>
              <w:sz w:val="24"/>
              <w:szCs w:val="24"/>
              <w:lang w:val="en-GB" w:eastAsia="en-GB"/>
            </w:rPr>
          </w:pPr>
          <w:hyperlink w:anchor="_Toc513747788" w:history="1">
            <w:r w:rsidRPr="00305C69">
              <w:rPr>
                <w:rStyle w:val="Hyperlink"/>
                <w:rFonts w:ascii="Times New Roman" w:hAnsi="Times New Roman"/>
                <w:noProof/>
                <w:sz w:val="24"/>
                <w:szCs w:val="24"/>
              </w:rPr>
              <w:t>Hysteria and Illness</w:t>
            </w:r>
            <w:r w:rsidRPr="00305C69">
              <w:rPr>
                <w:rFonts w:ascii="Times New Roman" w:hAnsi="Times New Roman"/>
                <w:noProof/>
                <w:webHidden/>
                <w:sz w:val="24"/>
                <w:szCs w:val="24"/>
              </w:rPr>
              <w:tab/>
            </w:r>
            <w:r w:rsidRPr="00305C69">
              <w:rPr>
                <w:rFonts w:ascii="Times New Roman" w:hAnsi="Times New Roman"/>
                <w:noProof/>
                <w:webHidden/>
                <w:sz w:val="24"/>
                <w:szCs w:val="24"/>
              </w:rPr>
              <w:fldChar w:fldCharType="begin"/>
            </w:r>
            <w:r w:rsidRPr="00305C69">
              <w:rPr>
                <w:rFonts w:ascii="Times New Roman" w:hAnsi="Times New Roman"/>
                <w:noProof/>
                <w:webHidden/>
                <w:sz w:val="24"/>
                <w:szCs w:val="24"/>
              </w:rPr>
              <w:instrText xml:space="preserve"> PAGEREF _Toc513747788 \h </w:instrText>
            </w:r>
            <w:r w:rsidRPr="00305C69">
              <w:rPr>
                <w:rFonts w:ascii="Times New Roman" w:hAnsi="Times New Roman"/>
                <w:noProof/>
                <w:webHidden/>
                <w:sz w:val="24"/>
                <w:szCs w:val="24"/>
              </w:rPr>
            </w:r>
            <w:r w:rsidRPr="00305C69">
              <w:rPr>
                <w:rFonts w:ascii="Times New Roman" w:hAnsi="Times New Roman"/>
                <w:noProof/>
                <w:webHidden/>
                <w:sz w:val="24"/>
                <w:szCs w:val="24"/>
              </w:rPr>
              <w:fldChar w:fldCharType="separate"/>
            </w:r>
            <w:r w:rsidRPr="00305C69">
              <w:rPr>
                <w:rFonts w:ascii="Times New Roman" w:hAnsi="Times New Roman"/>
                <w:noProof/>
                <w:webHidden/>
                <w:sz w:val="24"/>
                <w:szCs w:val="24"/>
              </w:rPr>
              <w:t>27</w:t>
            </w:r>
            <w:r w:rsidRPr="00305C69">
              <w:rPr>
                <w:rFonts w:ascii="Times New Roman" w:hAnsi="Times New Roman"/>
                <w:noProof/>
                <w:webHidden/>
                <w:sz w:val="24"/>
                <w:szCs w:val="24"/>
              </w:rPr>
              <w:fldChar w:fldCharType="end"/>
            </w:r>
          </w:hyperlink>
        </w:p>
        <w:p w14:paraId="21246652" w14:textId="3033FE0D" w:rsidR="00DF7FC5" w:rsidRPr="00305C69" w:rsidRDefault="00DF7FC5">
          <w:pPr>
            <w:pStyle w:val="TOC1"/>
            <w:tabs>
              <w:tab w:val="right" w:leader="dot" w:pos="9016"/>
            </w:tabs>
            <w:rPr>
              <w:rFonts w:ascii="Times New Roman" w:eastAsiaTheme="minorEastAsia" w:hAnsi="Times New Roman" w:cs="Times New Roman"/>
              <w:noProof/>
              <w:sz w:val="24"/>
              <w:szCs w:val="24"/>
              <w:lang w:eastAsia="en-GB"/>
            </w:rPr>
          </w:pPr>
          <w:hyperlink w:anchor="_Toc513747789" w:history="1">
            <w:r w:rsidRPr="00305C69">
              <w:rPr>
                <w:rStyle w:val="Hyperlink"/>
                <w:rFonts w:ascii="Times New Roman" w:hAnsi="Times New Roman" w:cs="Times New Roman"/>
                <w:noProof/>
                <w:sz w:val="24"/>
                <w:szCs w:val="24"/>
              </w:rPr>
              <w:t>Image Citations</w:t>
            </w:r>
            <w:r w:rsidRPr="00305C69">
              <w:rPr>
                <w:rFonts w:ascii="Times New Roman" w:hAnsi="Times New Roman" w:cs="Times New Roman"/>
                <w:noProof/>
                <w:webHidden/>
                <w:sz w:val="24"/>
                <w:szCs w:val="24"/>
              </w:rPr>
              <w:tab/>
            </w:r>
            <w:r w:rsidRPr="00305C69">
              <w:rPr>
                <w:rFonts w:ascii="Times New Roman" w:hAnsi="Times New Roman" w:cs="Times New Roman"/>
                <w:noProof/>
                <w:webHidden/>
                <w:sz w:val="24"/>
                <w:szCs w:val="24"/>
              </w:rPr>
              <w:fldChar w:fldCharType="begin"/>
            </w:r>
            <w:r w:rsidRPr="00305C69">
              <w:rPr>
                <w:rFonts w:ascii="Times New Roman" w:hAnsi="Times New Roman" w:cs="Times New Roman"/>
                <w:noProof/>
                <w:webHidden/>
                <w:sz w:val="24"/>
                <w:szCs w:val="24"/>
              </w:rPr>
              <w:instrText xml:space="preserve"> PAGEREF _Toc513747789 \h </w:instrText>
            </w:r>
            <w:r w:rsidRPr="00305C69">
              <w:rPr>
                <w:rFonts w:ascii="Times New Roman" w:hAnsi="Times New Roman" w:cs="Times New Roman"/>
                <w:noProof/>
                <w:webHidden/>
                <w:sz w:val="24"/>
                <w:szCs w:val="24"/>
              </w:rPr>
            </w:r>
            <w:r w:rsidRPr="00305C69">
              <w:rPr>
                <w:rFonts w:ascii="Times New Roman" w:hAnsi="Times New Roman" w:cs="Times New Roman"/>
                <w:noProof/>
                <w:webHidden/>
                <w:sz w:val="24"/>
                <w:szCs w:val="24"/>
              </w:rPr>
              <w:fldChar w:fldCharType="separate"/>
            </w:r>
            <w:r w:rsidRPr="00305C69">
              <w:rPr>
                <w:rFonts w:ascii="Times New Roman" w:hAnsi="Times New Roman" w:cs="Times New Roman"/>
                <w:noProof/>
                <w:webHidden/>
                <w:sz w:val="24"/>
                <w:szCs w:val="24"/>
              </w:rPr>
              <w:t>34</w:t>
            </w:r>
            <w:r w:rsidRPr="00305C69">
              <w:rPr>
                <w:rFonts w:ascii="Times New Roman" w:hAnsi="Times New Roman" w:cs="Times New Roman"/>
                <w:noProof/>
                <w:webHidden/>
                <w:sz w:val="24"/>
                <w:szCs w:val="24"/>
              </w:rPr>
              <w:fldChar w:fldCharType="end"/>
            </w:r>
          </w:hyperlink>
        </w:p>
        <w:p w14:paraId="0C7629EA" w14:textId="0D018E28" w:rsidR="00DF7FC5" w:rsidRPr="00305C69" w:rsidRDefault="00DF7FC5">
          <w:pPr>
            <w:pStyle w:val="TOC1"/>
            <w:tabs>
              <w:tab w:val="right" w:leader="dot" w:pos="9016"/>
            </w:tabs>
            <w:rPr>
              <w:rFonts w:ascii="Times New Roman" w:eastAsiaTheme="minorEastAsia" w:hAnsi="Times New Roman" w:cs="Times New Roman"/>
              <w:noProof/>
              <w:sz w:val="24"/>
              <w:szCs w:val="24"/>
              <w:lang w:eastAsia="en-GB"/>
            </w:rPr>
          </w:pPr>
          <w:hyperlink w:anchor="_Toc513747790" w:history="1">
            <w:r w:rsidRPr="00305C69">
              <w:rPr>
                <w:rStyle w:val="Hyperlink"/>
                <w:rFonts w:ascii="Times New Roman" w:hAnsi="Times New Roman" w:cs="Times New Roman"/>
                <w:noProof/>
                <w:sz w:val="24"/>
                <w:szCs w:val="24"/>
              </w:rPr>
              <w:t>Bibliography</w:t>
            </w:r>
            <w:r w:rsidRPr="00305C69">
              <w:rPr>
                <w:rFonts w:ascii="Times New Roman" w:hAnsi="Times New Roman" w:cs="Times New Roman"/>
                <w:noProof/>
                <w:webHidden/>
                <w:sz w:val="24"/>
                <w:szCs w:val="24"/>
              </w:rPr>
              <w:tab/>
            </w:r>
            <w:r w:rsidRPr="00305C69">
              <w:rPr>
                <w:rFonts w:ascii="Times New Roman" w:hAnsi="Times New Roman" w:cs="Times New Roman"/>
                <w:noProof/>
                <w:webHidden/>
                <w:sz w:val="24"/>
                <w:szCs w:val="24"/>
              </w:rPr>
              <w:fldChar w:fldCharType="begin"/>
            </w:r>
            <w:r w:rsidRPr="00305C69">
              <w:rPr>
                <w:rFonts w:ascii="Times New Roman" w:hAnsi="Times New Roman" w:cs="Times New Roman"/>
                <w:noProof/>
                <w:webHidden/>
                <w:sz w:val="24"/>
                <w:szCs w:val="24"/>
              </w:rPr>
              <w:instrText xml:space="preserve"> PAGEREF _Toc513747790 \h </w:instrText>
            </w:r>
            <w:r w:rsidRPr="00305C69">
              <w:rPr>
                <w:rFonts w:ascii="Times New Roman" w:hAnsi="Times New Roman" w:cs="Times New Roman"/>
                <w:noProof/>
                <w:webHidden/>
                <w:sz w:val="24"/>
                <w:szCs w:val="24"/>
              </w:rPr>
            </w:r>
            <w:r w:rsidRPr="00305C69">
              <w:rPr>
                <w:rFonts w:ascii="Times New Roman" w:hAnsi="Times New Roman" w:cs="Times New Roman"/>
                <w:noProof/>
                <w:webHidden/>
                <w:sz w:val="24"/>
                <w:szCs w:val="24"/>
              </w:rPr>
              <w:fldChar w:fldCharType="separate"/>
            </w:r>
            <w:r w:rsidRPr="00305C69">
              <w:rPr>
                <w:rFonts w:ascii="Times New Roman" w:hAnsi="Times New Roman" w:cs="Times New Roman"/>
                <w:noProof/>
                <w:webHidden/>
                <w:sz w:val="24"/>
                <w:szCs w:val="24"/>
              </w:rPr>
              <w:t>35</w:t>
            </w:r>
            <w:r w:rsidRPr="00305C69">
              <w:rPr>
                <w:rFonts w:ascii="Times New Roman" w:hAnsi="Times New Roman" w:cs="Times New Roman"/>
                <w:noProof/>
                <w:webHidden/>
                <w:sz w:val="24"/>
                <w:szCs w:val="24"/>
              </w:rPr>
              <w:fldChar w:fldCharType="end"/>
            </w:r>
          </w:hyperlink>
        </w:p>
        <w:p w14:paraId="1CB829BD" w14:textId="44CB2576" w:rsidR="00D30FD0" w:rsidRDefault="00D30FD0" w:rsidP="00D30FD0">
          <w:r w:rsidRPr="00305C69">
            <w:rPr>
              <w:b/>
              <w:bCs/>
              <w:noProof/>
              <w:sz w:val="24"/>
              <w:szCs w:val="24"/>
            </w:rPr>
            <w:fldChar w:fldCharType="end"/>
          </w:r>
        </w:p>
      </w:sdtContent>
    </w:sdt>
    <w:p w14:paraId="602609EE" w14:textId="683C8E46" w:rsidR="00D30FD0" w:rsidRDefault="00D30FD0" w:rsidP="00D30FD0">
      <w:pPr>
        <w:pStyle w:val="Heading1"/>
        <w:jc w:val="center"/>
        <w:rPr>
          <w:sz w:val="28"/>
          <w:u w:val="single"/>
        </w:rPr>
      </w:pPr>
      <w:r w:rsidRPr="00642072">
        <w:br w:type="page"/>
      </w:r>
      <w:bookmarkStart w:id="2" w:name="_Toc513747776"/>
      <w:r w:rsidRPr="00B03481">
        <w:rPr>
          <w:sz w:val="28"/>
          <w:u w:val="single"/>
        </w:rPr>
        <w:lastRenderedPageBreak/>
        <w:t>Table of Figures</w:t>
      </w:r>
      <w:bookmarkEnd w:id="2"/>
    </w:p>
    <w:p w14:paraId="762AEFAA" w14:textId="77777777" w:rsidR="00305C69" w:rsidRPr="00305C69" w:rsidRDefault="00305C69" w:rsidP="00305C69"/>
    <w:p w14:paraId="5F52BA1D" w14:textId="74E2D239" w:rsidR="00F55F64" w:rsidRDefault="00D30FD0">
      <w:pPr>
        <w:pStyle w:val="TableofFigures"/>
        <w:tabs>
          <w:tab w:val="right" w:leader="dot" w:pos="9016"/>
        </w:tabs>
        <w:rPr>
          <w:rFonts w:eastAsiaTheme="minorEastAsia"/>
          <w:noProof/>
          <w:lang w:eastAsia="en-GB"/>
        </w:rPr>
      </w:pPr>
      <w:r>
        <w:rPr>
          <w:rFonts w:ascii="Times New Roman" w:hAnsi="Times New Roman" w:cs="Times New Roman"/>
          <w:sz w:val="28"/>
          <w:u w:val="single"/>
        </w:rPr>
        <w:fldChar w:fldCharType="begin"/>
      </w:r>
      <w:r>
        <w:rPr>
          <w:rFonts w:ascii="Times New Roman" w:hAnsi="Times New Roman" w:cs="Times New Roman"/>
          <w:sz w:val="28"/>
          <w:u w:val="single"/>
        </w:rPr>
        <w:instrText xml:space="preserve"> TOC \h \z \c "Figure" </w:instrText>
      </w:r>
      <w:r>
        <w:rPr>
          <w:rFonts w:ascii="Times New Roman" w:hAnsi="Times New Roman" w:cs="Times New Roman"/>
          <w:sz w:val="28"/>
          <w:u w:val="single"/>
        </w:rPr>
        <w:fldChar w:fldCharType="separate"/>
      </w:r>
      <w:hyperlink r:id="rId8" w:anchor="_Toc513742725" w:history="1">
        <w:r w:rsidR="00F55F64" w:rsidRPr="005A3C77">
          <w:rPr>
            <w:rStyle w:val="Hyperlink"/>
            <w:rFonts w:ascii="Times New Roman" w:hAnsi="Times New Roman" w:cs="Times New Roman"/>
            <w:noProof/>
          </w:rPr>
          <w:t>Figure 1: Medea watches over her sons, looking mournful as she waits to kill them</w:t>
        </w:r>
        <w:r w:rsidR="00F55F64">
          <w:rPr>
            <w:noProof/>
            <w:webHidden/>
          </w:rPr>
          <w:tab/>
        </w:r>
        <w:r w:rsidR="00F55F64">
          <w:rPr>
            <w:noProof/>
            <w:webHidden/>
          </w:rPr>
          <w:fldChar w:fldCharType="begin"/>
        </w:r>
        <w:r w:rsidR="00F55F64">
          <w:rPr>
            <w:noProof/>
            <w:webHidden/>
          </w:rPr>
          <w:instrText xml:space="preserve"> PAGEREF _Toc513742725 \h </w:instrText>
        </w:r>
        <w:r w:rsidR="00F55F64">
          <w:rPr>
            <w:noProof/>
            <w:webHidden/>
          </w:rPr>
        </w:r>
        <w:r w:rsidR="00F55F64">
          <w:rPr>
            <w:noProof/>
            <w:webHidden/>
          </w:rPr>
          <w:fldChar w:fldCharType="separate"/>
        </w:r>
        <w:r w:rsidR="00F55F64">
          <w:rPr>
            <w:noProof/>
            <w:webHidden/>
          </w:rPr>
          <w:t>16</w:t>
        </w:r>
        <w:r w:rsidR="00F55F64">
          <w:rPr>
            <w:noProof/>
            <w:webHidden/>
          </w:rPr>
          <w:fldChar w:fldCharType="end"/>
        </w:r>
      </w:hyperlink>
    </w:p>
    <w:p w14:paraId="03BAE5CC" w14:textId="798049DB" w:rsidR="00F55F64" w:rsidRDefault="00F55F64">
      <w:pPr>
        <w:pStyle w:val="TableofFigures"/>
        <w:tabs>
          <w:tab w:val="right" w:leader="dot" w:pos="9016"/>
        </w:tabs>
        <w:rPr>
          <w:rFonts w:eastAsiaTheme="minorEastAsia"/>
          <w:noProof/>
          <w:lang w:eastAsia="en-GB"/>
        </w:rPr>
      </w:pPr>
      <w:hyperlink r:id="rId9" w:anchor="_Toc513742726" w:history="1">
        <w:r w:rsidRPr="005A3C77">
          <w:rPr>
            <w:rStyle w:val="Hyperlink"/>
            <w:rFonts w:ascii="Times New Roman" w:hAnsi="Times New Roman" w:cs="Times New Roman"/>
            <w:noProof/>
          </w:rPr>
          <w:t>Figure 2: Medea keeping her sons close as she readies herself to kill them</w:t>
        </w:r>
        <w:r>
          <w:rPr>
            <w:noProof/>
            <w:webHidden/>
          </w:rPr>
          <w:tab/>
        </w:r>
        <w:r>
          <w:rPr>
            <w:noProof/>
            <w:webHidden/>
          </w:rPr>
          <w:fldChar w:fldCharType="begin"/>
        </w:r>
        <w:r>
          <w:rPr>
            <w:noProof/>
            <w:webHidden/>
          </w:rPr>
          <w:instrText xml:space="preserve"> PAGEREF _Toc513742726 \h </w:instrText>
        </w:r>
        <w:r>
          <w:rPr>
            <w:noProof/>
            <w:webHidden/>
          </w:rPr>
        </w:r>
        <w:r>
          <w:rPr>
            <w:noProof/>
            <w:webHidden/>
          </w:rPr>
          <w:fldChar w:fldCharType="separate"/>
        </w:r>
        <w:r>
          <w:rPr>
            <w:noProof/>
            <w:webHidden/>
          </w:rPr>
          <w:t>16</w:t>
        </w:r>
        <w:r>
          <w:rPr>
            <w:noProof/>
            <w:webHidden/>
          </w:rPr>
          <w:fldChar w:fldCharType="end"/>
        </w:r>
      </w:hyperlink>
    </w:p>
    <w:p w14:paraId="13FBEEA0" w14:textId="34EF6717" w:rsidR="00D30FD0" w:rsidRDefault="00D30FD0" w:rsidP="00D30FD0">
      <w:pPr>
        <w:rPr>
          <w:sz w:val="28"/>
          <w:u w:val="single"/>
        </w:rPr>
      </w:pPr>
      <w:r>
        <w:rPr>
          <w:sz w:val="28"/>
          <w:u w:val="single"/>
        </w:rPr>
        <w:fldChar w:fldCharType="end"/>
      </w:r>
      <w:r>
        <w:rPr>
          <w:sz w:val="28"/>
          <w:u w:val="single"/>
        </w:rPr>
        <w:br w:type="page"/>
      </w:r>
    </w:p>
    <w:p w14:paraId="42FE2001" w14:textId="77777777" w:rsidR="00D30FD0" w:rsidRPr="00642072" w:rsidRDefault="00D30FD0" w:rsidP="00D30FD0">
      <w:pPr>
        <w:pStyle w:val="Heading1"/>
        <w:spacing w:line="480" w:lineRule="auto"/>
        <w:jc w:val="center"/>
        <w:rPr>
          <w:rFonts w:cs="Times New Roman"/>
          <w:sz w:val="32"/>
          <w:u w:val="single"/>
        </w:rPr>
      </w:pPr>
      <w:bookmarkStart w:id="3" w:name="_Hlk513730412"/>
      <w:bookmarkStart w:id="4" w:name="_Toc513747777"/>
      <w:r w:rsidRPr="00642072">
        <w:rPr>
          <w:rFonts w:cs="Times New Roman"/>
          <w:sz w:val="32"/>
          <w:u w:val="single"/>
        </w:rPr>
        <w:lastRenderedPageBreak/>
        <w:t>Introductio</w:t>
      </w:r>
      <w:r w:rsidRPr="00642072">
        <w:rPr>
          <w:rFonts w:cs="Times New Roman"/>
          <w:sz w:val="28"/>
          <w:u w:val="single"/>
        </w:rPr>
        <w:t>n</w:t>
      </w:r>
      <w:bookmarkEnd w:id="4"/>
    </w:p>
    <w:p w14:paraId="2A1EA2D4" w14:textId="77777777" w:rsidR="00D30FD0" w:rsidRPr="00642072" w:rsidRDefault="00D30FD0" w:rsidP="00D30FD0">
      <w:pPr>
        <w:spacing w:line="480" w:lineRule="auto"/>
        <w:rPr>
          <w:sz w:val="24"/>
          <w:szCs w:val="24"/>
        </w:rPr>
      </w:pPr>
      <w:r w:rsidRPr="00642072">
        <w:rPr>
          <w:sz w:val="24"/>
          <w:szCs w:val="24"/>
        </w:rPr>
        <w:t xml:space="preserve">The term </w:t>
      </w:r>
      <w:r w:rsidRPr="00642072">
        <w:rPr>
          <w:i/>
          <w:sz w:val="24"/>
          <w:szCs w:val="24"/>
        </w:rPr>
        <w:t>Hysteria</w:t>
      </w:r>
      <w:r w:rsidRPr="00642072">
        <w:rPr>
          <w:sz w:val="24"/>
          <w:szCs w:val="24"/>
        </w:rPr>
        <w:t xml:space="preserve"> has been used countless of times, even within today’s society, to define a </w:t>
      </w:r>
      <w:proofErr w:type="gramStart"/>
      <w:r w:rsidRPr="00642072">
        <w:rPr>
          <w:sz w:val="24"/>
          <w:szCs w:val="24"/>
        </w:rPr>
        <w:t>particular symptom</w:t>
      </w:r>
      <w:proofErr w:type="gramEnd"/>
      <w:r>
        <w:rPr>
          <w:sz w:val="24"/>
          <w:szCs w:val="24"/>
        </w:rPr>
        <w:t xml:space="preserve"> or reaction</w:t>
      </w:r>
      <w:r w:rsidRPr="00642072">
        <w:rPr>
          <w:sz w:val="24"/>
          <w:szCs w:val="24"/>
        </w:rPr>
        <w:t xml:space="preserve"> to various illnesses</w:t>
      </w:r>
      <w:r>
        <w:rPr>
          <w:sz w:val="24"/>
          <w:szCs w:val="24"/>
        </w:rPr>
        <w:t>, maladies, and disorders.</w:t>
      </w:r>
      <w:r w:rsidRPr="00642072">
        <w:rPr>
          <w:sz w:val="24"/>
          <w:szCs w:val="24"/>
        </w:rPr>
        <w:t xml:space="preserve"> That generally includes a particularly </w:t>
      </w:r>
      <w:proofErr w:type="gramStart"/>
      <w:r w:rsidRPr="00642072">
        <w:rPr>
          <w:sz w:val="24"/>
          <w:szCs w:val="24"/>
        </w:rPr>
        <w:t>violent explosion</w:t>
      </w:r>
      <w:proofErr w:type="gramEnd"/>
      <w:r w:rsidRPr="00642072">
        <w:rPr>
          <w:sz w:val="24"/>
          <w:szCs w:val="24"/>
        </w:rPr>
        <w:t xml:space="preserve"> of emotion</w:t>
      </w:r>
      <w:r>
        <w:rPr>
          <w:sz w:val="24"/>
          <w:szCs w:val="24"/>
        </w:rPr>
        <w:t>, that comes upon a person so suddenly they have great difficulty processing it.</w:t>
      </w:r>
      <w:r w:rsidRPr="00642072">
        <w:rPr>
          <w:sz w:val="24"/>
          <w:szCs w:val="24"/>
        </w:rPr>
        <w:t xml:space="preserve"> However, this is only true from a modern viewpoint. In past centuries, hysteria has been linked solely to women</w:t>
      </w:r>
      <w:r>
        <w:rPr>
          <w:sz w:val="24"/>
          <w:szCs w:val="24"/>
        </w:rPr>
        <w:t>, or more specifically her uterus,</w:t>
      </w:r>
      <w:r w:rsidRPr="00642072">
        <w:rPr>
          <w:sz w:val="24"/>
          <w:szCs w:val="24"/>
        </w:rPr>
        <w:t xml:space="preserve"> as an attempt to explain female reactions to what we now know as sexual frustration</w:t>
      </w:r>
      <w:r>
        <w:rPr>
          <w:sz w:val="24"/>
          <w:szCs w:val="24"/>
        </w:rPr>
        <w:t>, and to give a name to the distressing event in a woman’s life known as the Wandering Womb.</w:t>
      </w:r>
      <w:r w:rsidRPr="00642072">
        <w:rPr>
          <w:rStyle w:val="FootnoteReference"/>
          <w:szCs w:val="24"/>
        </w:rPr>
        <w:footnoteReference w:id="1"/>
      </w:r>
      <w:r>
        <w:rPr>
          <w:sz w:val="24"/>
          <w:szCs w:val="24"/>
        </w:rPr>
        <w:t xml:space="preserve"> </w:t>
      </w:r>
    </w:p>
    <w:p w14:paraId="74595808" w14:textId="77777777" w:rsidR="00D30FD0" w:rsidRPr="00642072" w:rsidRDefault="00D30FD0" w:rsidP="00D30FD0">
      <w:pPr>
        <w:spacing w:line="480" w:lineRule="auto"/>
        <w:rPr>
          <w:sz w:val="24"/>
          <w:szCs w:val="24"/>
        </w:rPr>
      </w:pPr>
      <w:r w:rsidRPr="00642072">
        <w:rPr>
          <w:sz w:val="24"/>
          <w:szCs w:val="24"/>
        </w:rPr>
        <w:t xml:space="preserve">While hysteria, or rather </w:t>
      </w:r>
      <w:proofErr w:type="spellStart"/>
      <w:r w:rsidRPr="00642072">
        <w:rPr>
          <w:sz w:val="24"/>
          <w:szCs w:val="24"/>
        </w:rPr>
        <w:t>hysterikos</w:t>
      </w:r>
      <w:proofErr w:type="spellEnd"/>
      <w:r w:rsidRPr="00642072">
        <w:rPr>
          <w:sz w:val="24"/>
          <w:szCs w:val="24"/>
        </w:rPr>
        <w:t xml:space="preserve">, as a word is not seen until the arrival of the Hippocratic Corpus, evidence of a similar disease, one which the corpus describes treating, has been seen within an Egyptian Papyrus known as the </w:t>
      </w:r>
      <w:proofErr w:type="spellStart"/>
      <w:r w:rsidRPr="00642072">
        <w:rPr>
          <w:sz w:val="24"/>
          <w:szCs w:val="24"/>
        </w:rPr>
        <w:t>Lahun</w:t>
      </w:r>
      <w:proofErr w:type="spellEnd"/>
      <w:r w:rsidRPr="00642072">
        <w:rPr>
          <w:sz w:val="24"/>
          <w:szCs w:val="24"/>
        </w:rPr>
        <w:t xml:space="preserve"> Papyrus.</w:t>
      </w:r>
      <w:r w:rsidRPr="00642072">
        <w:rPr>
          <w:rStyle w:val="FootnoteReference"/>
          <w:szCs w:val="24"/>
        </w:rPr>
        <w:footnoteReference w:id="2"/>
      </w:r>
      <w:r w:rsidRPr="00642072">
        <w:rPr>
          <w:sz w:val="24"/>
          <w:szCs w:val="24"/>
        </w:rPr>
        <w:t xml:space="preserve"> However, </w:t>
      </w:r>
      <w:r>
        <w:rPr>
          <w:sz w:val="24"/>
          <w:szCs w:val="24"/>
        </w:rPr>
        <w:t>the term</w:t>
      </w:r>
      <w:r w:rsidRPr="00642072">
        <w:rPr>
          <w:sz w:val="24"/>
          <w:szCs w:val="24"/>
        </w:rPr>
        <w:t xml:space="preserve"> is not used as much as it once was. The term </w:t>
      </w:r>
      <w:r>
        <w:rPr>
          <w:sz w:val="24"/>
          <w:szCs w:val="24"/>
        </w:rPr>
        <w:t xml:space="preserve">Hysteria </w:t>
      </w:r>
      <w:r w:rsidRPr="00642072">
        <w:rPr>
          <w:sz w:val="24"/>
          <w:szCs w:val="24"/>
        </w:rPr>
        <w:t>was given frequently</w:t>
      </w:r>
      <w:r>
        <w:rPr>
          <w:sz w:val="24"/>
          <w:szCs w:val="24"/>
        </w:rPr>
        <w:t xml:space="preserve"> by physicians</w:t>
      </w:r>
      <w:r w:rsidRPr="00642072">
        <w:rPr>
          <w:sz w:val="24"/>
          <w:szCs w:val="24"/>
        </w:rPr>
        <w:t xml:space="preserve"> as a diagnostic for women right up into the 19</w:t>
      </w:r>
      <w:r w:rsidRPr="00642072">
        <w:rPr>
          <w:sz w:val="24"/>
          <w:szCs w:val="24"/>
          <w:vertAlign w:val="superscript"/>
        </w:rPr>
        <w:t>th</w:t>
      </w:r>
      <w:r w:rsidRPr="00642072">
        <w:rPr>
          <w:sz w:val="24"/>
          <w:szCs w:val="24"/>
        </w:rPr>
        <w:t xml:space="preserve"> century, when women frequently sought the aid of doctors to “cure”</w:t>
      </w:r>
      <w:r>
        <w:rPr>
          <w:sz w:val="24"/>
          <w:szCs w:val="24"/>
        </w:rPr>
        <w:t xml:space="preserve"> what we now know to be </w:t>
      </w:r>
      <w:r w:rsidRPr="00642072">
        <w:rPr>
          <w:sz w:val="24"/>
          <w:szCs w:val="24"/>
        </w:rPr>
        <w:t>sexual frustration.</w:t>
      </w:r>
      <w:r w:rsidRPr="00642072">
        <w:rPr>
          <w:rStyle w:val="FootnoteReference"/>
          <w:szCs w:val="24"/>
        </w:rPr>
        <w:footnoteReference w:id="3"/>
      </w:r>
    </w:p>
    <w:p w14:paraId="229333E1" w14:textId="77777777" w:rsidR="00D30FD0" w:rsidRPr="00642072" w:rsidRDefault="00D30FD0" w:rsidP="00D30FD0">
      <w:pPr>
        <w:spacing w:line="480" w:lineRule="auto"/>
        <w:rPr>
          <w:sz w:val="24"/>
          <w:szCs w:val="24"/>
        </w:rPr>
      </w:pPr>
      <w:r w:rsidRPr="00642072">
        <w:rPr>
          <w:sz w:val="24"/>
          <w:szCs w:val="24"/>
        </w:rPr>
        <w:t>Although the history of hysteria is</w:t>
      </w:r>
      <w:r>
        <w:rPr>
          <w:sz w:val="24"/>
          <w:szCs w:val="24"/>
        </w:rPr>
        <w:t xml:space="preserve"> </w:t>
      </w:r>
      <w:proofErr w:type="gramStart"/>
      <w:r>
        <w:rPr>
          <w:sz w:val="24"/>
          <w:szCs w:val="24"/>
        </w:rPr>
        <w:t>in itself</w:t>
      </w:r>
      <w:r w:rsidRPr="00642072">
        <w:rPr>
          <w:sz w:val="24"/>
          <w:szCs w:val="24"/>
        </w:rPr>
        <w:t xml:space="preserve"> fascinating</w:t>
      </w:r>
      <w:proofErr w:type="gramEnd"/>
      <w:r w:rsidRPr="00642072">
        <w:rPr>
          <w:sz w:val="24"/>
          <w:szCs w:val="24"/>
        </w:rPr>
        <w:t>, the purpose of this dissertation is to identify the connection between Medea and Hysteria</w:t>
      </w:r>
      <w:r>
        <w:rPr>
          <w:sz w:val="24"/>
          <w:szCs w:val="24"/>
        </w:rPr>
        <w:t xml:space="preserve"> and by who such a link could have been made. Be it either modern scholars or ancient.</w:t>
      </w:r>
      <w:r w:rsidRPr="00642072">
        <w:rPr>
          <w:sz w:val="24"/>
          <w:szCs w:val="24"/>
        </w:rPr>
        <w:t xml:space="preserve"> </w:t>
      </w:r>
    </w:p>
    <w:p w14:paraId="0439F3B7" w14:textId="77777777" w:rsidR="00D30FD0" w:rsidRPr="00642072" w:rsidRDefault="00D30FD0" w:rsidP="00D30FD0">
      <w:pPr>
        <w:spacing w:line="480" w:lineRule="auto"/>
        <w:rPr>
          <w:sz w:val="24"/>
          <w:szCs w:val="24"/>
        </w:rPr>
      </w:pPr>
      <w:r w:rsidRPr="00642072">
        <w:rPr>
          <w:sz w:val="24"/>
          <w:szCs w:val="24"/>
        </w:rPr>
        <w:t>By looking at the lives of the women of Ancient Greece, I hope to be able to understand what the public reception</w:t>
      </w:r>
      <w:r>
        <w:rPr>
          <w:sz w:val="24"/>
          <w:szCs w:val="24"/>
        </w:rPr>
        <w:t xml:space="preserve"> might have been</w:t>
      </w:r>
      <w:r w:rsidRPr="00642072">
        <w:rPr>
          <w:sz w:val="24"/>
          <w:szCs w:val="24"/>
        </w:rPr>
        <w:t xml:space="preserve"> of Medea’s presentation in </w:t>
      </w:r>
      <w:r>
        <w:rPr>
          <w:sz w:val="24"/>
          <w:szCs w:val="24"/>
        </w:rPr>
        <w:t xml:space="preserve">the plays of </w:t>
      </w:r>
      <w:r w:rsidRPr="00642072">
        <w:rPr>
          <w:sz w:val="24"/>
          <w:szCs w:val="24"/>
        </w:rPr>
        <w:t>Euripides</w:t>
      </w:r>
      <w:r>
        <w:rPr>
          <w:sz w:val="24"/>
          <w:szCs w:val="24"/>
        </w:rPr>
        <w:t xml:space="preserve"> and Seneca</w:t>
      </w:r>
      <w:r w:rsidRPr="00642072">
        <w:rPr>
          <w:sz w:val="24"/>
          <w:szCs w:val="24"/>
        </w:rPr>
        <w:t xml:space="preserve">. </w:t>
      </w:r>
      <w:r>
        <w:rPr>
          <w:sz w:val="24"/>
          <w:szCs w:val="24"/>
        </w:rPr>
        <w:t>W</w:t>
      </w:r>
      <w:r w:rsidRPr="00642072">
        <w:rPr>
          <w:sz w:val="24"/>
          <w:szCs w:val="24"/>
        </w:rPr>
        <w:t xml:space="preserve">hether </w:t>
      </w:r>
      <w:r>
        <w:rPr>
          <w:sz w:val="24"/>
          <w:szCs w:val="24"/>
        </w:rPr>
        <w:t xml:space="preserve">it may have been possible that </w:t>
      </w:r>
      <w:r w:rsidRPr="00642072">
        <w:rPr>
          <w:sz w:val="24"/>
          <w:szCs w:val="24"/>
        </w:rPr>
        <w:t xml:space="preserve">her actions and temperament could have </w:t>
      </w:r>
      <w:proofErr w:type="gramStart"/>
      <w:r w:rsidRPr="00642072">
        <w:rPr>
          <w:sz w:val="24"/>
          <w:szCs w:val="24"/>
        </w:rPr>
        <w:t>been seen as</w:t>
      </w:r>
      <w:proofErr w:type="gramEnd"/>
      <w:r w:rsidRPr="00642072">
        <w:rPr>
          <w:sz w:val="24"/>
          <w:szCs w:val="24"/>
        </w:rPr>
        <w:t xml:space="preserve"> some form of warning or lesson for </w:t>
      </w:r>
      <w:r>
        <w:rPr>
          <w:sz w:val="24"/>
          <w:szCs w:val="24"/>
        </w:rPr>
        <w:t>the target</w:t>
      </w:r>
      <w:r w:rsidRPr="00642072">
        <w:rPr>
          <w:sz w:val="24"/>
          <w:szCs w:val="24"/>
        </w:rPr>
        <w:t xml:space="preserve"> audience</w:t>
      </w:r>
      <w:r>
        <w:rPr>
          <w:sz w:val="24"/>
          <w:szCs w:val="24"/>
        </w:rPr>
        <w:t>s</w:t>
      </w:r>
      <w:r w:rsidRPr="00642072">
        <w:rPr>
          <w:sz w:val="24"/>
          <w:szCs w:val="24"/>
        </w:rPr>
        <w:t xml:space="preserve">. By looking into the lives of the women of the ancient world, we will be given an inside view as to how shocking </w:t>
      </w:r>
      <w:r w:rsidRPr="00642072">
        <w:rPr>
          <w:sz w:val="24"/>
          <w:szCs w:val="24"/>
        </w:rPr>
        <w:lastRenderedPageBreak/>
        <w:t xml:space="preserve">Medea’s actions would have been perceived, </w:t>
      </w:r>
      <w:r>
        <w:rPr>
          <w:sz w:val="24"/>
          <w:szCs w:val="24"/>
        </w:rPr>
        <w:t>based on similarities and/or contrasts of the lives women were expected to lead</w:t>
      </w:r>
      <w:r w:rsidRPr="00642072">
        <w:rPr>
          <w:sz w:val="24"/>
          <w:szCs w:val="24"/>
        </w:rPr>
        <w:t>.</w:t>
      </w:r>
      <w:r w:rsidRPr="00642072">
        <w:rPr>
          <w:rStyle w:val="FootnoteReference"/>
          <w:szCs w:val="24"/>
        </w:rPr>
        <w:footnoteReference w:id="4"/>
      </w:r>
    </w:p>
    <w:p w14:paraId="3E477711" w14:textId="77777777" w:rsidR="00D30FD0" w:rsidRPr="00642072" w:rsidRDefault="00D30FD0" w:rsidP="00D30FD0">
      <w:pPr>
        <w:spacing w:line="480" w:lineRule="auto"/>
        <w:rPr>
          <w:sz w:val="24"/>
          <w:szCs w:val="24"/>
        </w:rPr>
      </w:pPr>
      <w:r w:rsidRPr="00642072">
        <w:rPr>
          <w:sz w:val="24"/>
          <w:szCs w:val="24"/>
        </w:rPr>
        <w:t>Towards the beginning of his play, Euripides’ seems to attempt to make the audience (who undoubtedly already know what will occur within her story</w:t>
      </w:r>
      <w:r>
        <w:rPr>
          <w:sz w:val="24"/>
          <w:szCs w:val="24"/>
        </w:rPr>
        <w:t xml:space="preserve"> based on the existing myth</w:t>
      </w:r>
      <w:r w:rsidRPr="00642072">
        <w:rPr>
          <w:sz w:val="24"/>
          <w:szCs w:val="24"/>
        </w:rPr>
        <w:t xml:space="preserve">) feel far more sympathetic towards Medea during </w:t>
      </w:r>
      <w:r>
        <w:rPr>
          <w:sz w:val="24"/>
          <w:szCs w:val="24"/>
        </w:rPr>
        <w:t xml:space="preserve">her </w:t>
      </w:r>
      <w:r w:rsidRPr="00642072">
        <w:rPr>
          <w:sz w:val="24"/>
          <w:szCs w:val="24"/>
        </w:rPr>
        <w:t>address</w:t>
      </w:r>
      <w:r>
        <w:rPr>
          <w:sz w:val="24"/>
          <w:szCs w:val="24"/>
        </w:rPr>
        <w:t xml:space="preserve"> to</w:t>
      </w:r>
      <w:r w:rsidRPr="00642072">
        <w:rPr>
          <w:sz w:val="24"/>
          <w:szCs w:val="24"/>
        </w:rPr>
        <w:t xml:space="preserve"> the women of Corinth, by showcasing Medea’s struggles not only as a woman, but as a married woman in a foreign land who was now facing divorce:</w:t>
      </w:r>
    </w:p>
    <w:p w14:paraId="56AF9ADF" w14:textId="77777777" w:rsidR="00D30FD0" w:rsidRDefault="00D30FD0" w:rsidP="00D30FD0">
      <w:pPr>
        <w:spacing w:line="240" w:lineRule="auto"/>
        <w:jc w:val="center"/>
        <w:rPr>
          <w:sz w:val="24"/>
          <w:szCs w:val="24"/>
        </w:rPr>
      </w:pPr>
      <w:r>
        <w:rPr>
          <w:i/>
          <w:sz w:val="24"/>
          <w:szCs w:val="24"/>
        </w:rPr>
        <w:t>“</w:t>
      </w:r>
      <w:r w:rsidRPr="00642072">
        <w:rPr>
          <w:i/>
          <w:sz w:val="24"/>
          <w:szCs w:val="24"/>
        </w:rPr>
        <w:t xml:space="preserve">This sudden blow that has struck me has destroyed my life. I </w:t>
      </w:r>
      <w:r w:rsidRPr="00642072">
        <w:rPr>
          <w:i/>
          <w:sz w:val="24"/>
          <w:szCs w:val="24"/>
        </w:rPr>
        <w:br/>
        <w:t xml:space="preserve">am undone, I have resigned all joy in life, and I want to </w:t>
      </w:r>
      <w:r w:rsidRPr="00642072">
        <w:rPr>
          <w:i/>
          <w:sz w:val="24"/>
          <w:szCs w:val="24"/>
        </w:rPr>
        <w:br/>
        <w:t xml:space="preserve">die. For the man in whom all I had was bound up, as I well </w:t>
      </w:r>
      <w:r w:rsidRPr="00642072">
        <w:rPr>
          <w:i/>
          <w:sz w:val="24"/>
          <w:szCs w:val="24"/>
        </w:rPr>
        <w:br/>
        <w:t xml:space="preserve">know – my husband – has proved the basest of men. </w:t>
      </w:r>
      <w:r w:rsidRPr="00642072">
        <w:rPr>
          <w:i/>
          <w:sz w:val="24"/>
          <w:szCs w:val="24"/>
        </w:rPr>
        <w:br/>
        <w:t xml:space="preserve">Of all creatures that have breath and sensation, we </w:t>
      </w:r>
      <w:r w:rsidRPr="00642072">
        <w:rPr>
          <w:i/>
          <w:sz w:val="24"/>
          <w:szCs w:val="24"/>
        </w:rPr>
        <w:br/>
        <w:t xml:space="preserve">women are the most unfortunate. First an exorbitant </w:t>
      </w:r>
      <w:r w:rsidRPr="00642072">
        <w:rPr>
          <w:i/>
          <w:sz w:val="24"/>
          <w:szCs w:val="24"/>
        </w:rPr>
        <w:br/>
        <w:t xml:space="preserve">price we must buy a husband and take a master for our </w:t>
      </w:r>
      <w:r w:rsidRPr="00642072">
        <w:rPr>
          <w:i/>
          <w:sz w:val="24"/>
          <w:szCs w:val="24"/>
        </w:rPr>
        <w:br/>
        <w:t xml:space="preserve">bodies. For this is what makes one misfortune even more </w:t>
      </w:r>
      <w:r w:rsidRPr="00642072">
        <w:rPr>
          <w:i/>
          <w:sz w:val="24"/>
          <w:szCs w:val="24"/>
        </w:rPr>
        <w:br/>
        <w:t xml:space="preserve">galling than another, to suffer loss and be insulted to </w:t>
      </w:r>
      <w:r w:rsidRPr="00642072">
        <w:rPr>
          <w:i/>
          <w:sz w:val="24"/>
          <w:szCs w:val="24"/>
        </w:rPr>
        <w:br/>
        <w:t xml:space="preserve">boot. The outcome of our life’s striving hangs on this, </w:t>
      </w:r>
      <w:r w:rsidRPr="00642072">
        <w:rPr>
          <w:i/>
          <w:sz w:val="24"/>
          <w:szCs w:val="24"/>
        </w:rPr>
        <w:br/>
        <w:t xml:space="preserve">whether we take a bad or a good husband. For divorce is </w:t>
      </w:r>
      <w:r w:rsidRPr="00642072">
        <w:rPr>
          <w:i/>
          <w:sz w:val="24"/>
          <w:szCs w:val="24"/>
        </w:rPr>
        <w:br/>
        <w:t xml:space="preserve">discreditable for women and it is not possible to refuse </w:t>
      </w:r>
      <w:r w:rsidRPr="00642072">
        <w:rPr>
          <w:i/>
          <w:sz w:val="24"/>
          <w:szCs w:val="24"/>
        </w:rPr>
        <w:br/>
        <w:t xml:space="preserve">wedlock. When a woman comes into the new customs and </w:t>
      </w:r>
      <w:r w:rsidRPr="00642072">
        <w:rPr>
          <w:i/>
          <w:sz w:val="24"/>
          <w:szCs w:val="24"/>
        </w:rPr>
        <w:br/>
        <w:t>practices of her husband’s house, she must somehow</w:t>
      </w:r>
      <w:r w:rsidRPr="00642072">
        <w:rPr>
          <w:i/>
          <w:sz w:val="24"/>
          <w:szCs w:val="24"/>
        </w:rPr>
        <w:br/>
        <w:t>divine, since she has not learned it at home, how she shall</w:t>
      </w:r>
      <w:r w:rsidRPr="00642072">
        <w:rPr>
          <w:i/>
          <w:sz w:val="24"/>
          <w:szCs w:val="24"/>
        </w:rPr>
        <w:br/>
        <w:t>best deal with her husband.</w:t>
      </w:r>
      <w:r w:rsidRPr="00642072">
        <w:rPr>
          <w:i/>
          <w:sz w:val="24"/>
          <w:szCs w:val="24"/>
        </w:rPr>
        <w:br/>
        <w:t>……</w:t>
      </w:r>
      <w:r w:rsidRPr="00642072">
        <w:rPr>
          <w:i/>
          <w:sz w:val="24"/>
          <w:szCs w:val="24"/>
        </w:rPr>
        <w:br/>
        <w:t xml:space="preserve">Men say we live a life free from danger at </w:t>
      </w:r>
      <w:r w:rsidRPr="00642072">
        <w:rPr>
          <w:i/>
          <w:sz w:val="24"/>
          <w:szCs w:val="24"/>
        </w:rPr>
        <w:br/>
        <w:t xml:space="preserve">home while </w:t>
      </w:r>
      <w:r w:rsidRPr="00642072">
        <w:rPr>
          <w:sz w:val="24"/>
          <w:szCs w:val="24"/>
        </w:rPr>
        <w:t>they</w:t>
      </w:r>
      <w:r w:rsidRPr="00642072">
        <w:rPr>
          <w:i/>
          <w:sz w:val="24"/>
          <w:szCs w:val="24"/>
        </w:rPr>
        <w:t xml:space="preserve"> fight with the spear. How wrong they </w:t>
      </w:r>
      <w:r w:rsidRPr="00642072">
        <w:rPr>
          <w:i/>
          <w:sz w:val="24"/>
          <w:szCs w:val="24"/>
        </w:rPr>
        <w:br/>
        <w:t xml:space="preserve">are! I would rather stand three times with a shield in battle </w:t>
      </w:r>
      <w:r w:rsidRPr="00642072">
        <w:rPr>
          <w:i/>
          <w:sz w:val="24"/>
          <w:szCs w:val="24"/>
        </w:rPr>
        <w:br/>
        <w:t>than give birth once.</w:t>
      </w:r>
      <w:r>
        <w:rPr>
          <w:i/>
          <w:sz w:val="24"/>
          <w:szCs w:val="24"/>
        </w:rPr>
        <w:t>”</w:t>
      </w:r>
      <w:r w:rsidRPr="00642072">
        <w:rPr>
          <w:sz w:val="24"/>
          <w:szCs w:val="24"/>
        </w:rPr>
        <w:t xml:space="preserve"> </w:t>
      </w:r>
      <w:r w:rsidRPr="00642072">
        <w:rPr>
          <w:rStyle w:val="FootnoteReference"/>
          <w:szCs w:val="24"/>
        </w:rPr>
        <w:footnoteReference w:id="5"/>
      </w:r>
    </w:p>
    <w:p w14:paraId="29D532BB" w14:textId="77777777" w:rsidR="00D30FD0" w:rsidRPr="00642072" w:rsidRDefault="00D30FD0" w:rsidP="00D30FD0">
      <w:pPr>
        <w:spacing w:line="480" w:lineRule="auto"/>
        <w:jc w:val="center"/>
        <w:rPr>
          <w:sz w:val="24"/>
          <w:szCs w:val="24"/>
        </w:rPr>
      </w:pPr>
      <w:r w:rsidRPr="00642072">
        <w:rPr>
          <w:sz w:val="24"/>
          <w:szCs w:val="24"/>
        </w:rPr>
        <w:t>[Euripides, Medea 215-251]</w:t>
      </w:r>
    </w:p>
    <w:p w14:paraId="730801FA" w14:textId="77777777" w:rsidR="00D30FD0" w:rsidRDefault="00D30FD0" w:rsidP="00D30FD0">
      <w:pPr>
        <w:spacing w:line="480" w:lineRule="auto"/>
        <w:rPr>
          <w:sz w:val="24"/>
          <w:szCs w:val="24"/>
        </w:rPr>
      </w:pPr>
      <w:r w:rsidRPr="00642072">
        <w:rPr>
          <w:sz w:val="24"/>
          <w:szCs w:val="24"/>
        </w:rPr>
        <w:t>Such feelings were likely to be common amongst the women of Greece</w:t>
      </w:r>
      <w:r>
        <w:rPr>
          <w:sz w:val="24"/>
          <w:szCs w:val="24"/>
        </w:rPr>
        <w:t xml:space="preserve"> as they were moved from their fathers’ house, to their new husbands.</w:t>
      </w:r>
      <w:r w:rsidRPr="00642072">
        <w:rPr>
          <w:sz w:val="24"/>
          <w:szCs w:val="24"/>
        </w:rPr>
        <w:t xml:space="preserve"> However, as women were unlikely to have </w:t>
      </w:r>
      <w:r>
        <w:rPr>
          <w:sz w:val="24"/>
          <w:szCs w:val="24"/>
        </w:rPr>
        <w:t xml:space="preserve">had </w:t>
      </w:r>
      <w:r w:rsidRPr="00642072">
        <w:rPr>
          <w:sz w:val="24"/>
          <w:szCs w:val="24"/>
        </w:rPr>
        <w:t xml:space="preserve">their own voice within both the city and household, hearing a loud spoken woman such a </w:t>
      </w:r>
      <w:r w:rsidRPr="00642072">
        <w:rPr>
          <w:sz w:val="24"/>
          <w:szCs w:val="24"/>
        </w:rPr>
        <w:lastRenderedPageBreak/>
        <w:t>Medea speaking without restraint of how she truly feels of her position</w:t>
      </w:r>
      <w:r>
        <w:rPr>
          <w:sz w:val="24"/>
          <w:szCs w:val="24"/>
        </w:rPr>
        <w:t>,</w:t>
      </w:r>
      <w:r w:rsidRPr="00642072">
        <w:rPr>
          <w:sz w:val="24"/>
          <w:szCs w:val="24"/>
        </w:rPr>
        <w:t xml:space="preserve"> may have been a shock for the men of the audience to hear</w:t>
      </w:r>
      <w:r>
        <w:rPr>
          <w:sz w:val="24"/>
          <w:szCs w:val="24"/>
        </w:rPr>
        <w:t xml:space="preserve"> as such a thing may have likely been unheard of. </w:t>
      </w:r>
    </w:p>
    <w:p w14:paraId="1540D00E" w14:textId="77777777" w:rsidR="00D30FD0" w:rsidRDefault="00D30FD0" w:rsidP="00D30FD0">
      <w:pPr>
        <w:spacing w:line="480" w:lineRule="auto"/>
        <w:rPr>
          <w:sz w:val="24"/>
          <w:szCs w:val="24"/>
        </w:rPr>
      </w:pPr>
      <w:r>
        <w:rPr>
          <w:sz w:val="24"/>
          <w:szCs w:val="24"/>
        </w:rPr>
        <w:t>Likewise, with Seneca, Medea is heard begging the gods to punish Jason for his disloyalty, and is actively speaking out against the royal family:</w:t>
      </w:r>
    </w:p>
    <w:p w14:paraId="727A62DA" w14:textId="77777777" w:rsidR="00D30FD0" w:rsidRPr="001B62A5" w:rsidRDefault="00D30FD0" w:rsidP="00D30FD0">
      <w:pPr>
        <w:spacing w:line="240" w:lineRule="auto"/>
        <w:jc w:val="center"/>
        <w:rPr>
          <w:sz w:val="24"/>
        </w:rPr>
      </w:pPr>
      <w:r>
        <w:rPr>
          <w:i/>
          <w:sz w:val="24"/>
        </w:rPr>
        <w:t>“</w:t>
      </w:r>
      <w:r w:rsidRPr="001B62A5">
        <w:rPr>
          <w:i/>
          <w:sz w:val="24"/>
        </w:rPr>
        <w:t>Gods of marriage: and you, protector of the ancestral wedding-couch,</w:t>
      </w:r>
      <w:r w:rsidRPr="001B62A5">
        <w:rPr>
          <w:i/>
          <w:sz w:val="24"/>
        </w:rPr>
        <w:br/>
        <w:t xml:space="preserve">Lucina: you who taught </w:t>
      </w:r>
      <w:proofErr w:type="spellStart"/>
      <w:r w:rsidRPr="001B62A5">
        <w:rPr>
          <w:i/>
          <w:sz w:val="24"/>
        </w:rPr>
        <w:t>Tiphys</w:t>
      </w:r>
      <w:proofErr w:type="spellEnd"/>
      <w:r w:rsidRPr="001B62A5">
        <w:rPr>
          <w:i/>
          <w:sz w:val="24"/>
        </w:rPr>
        <w:t xml:space="preserve"> to bridle</w:t>
      </w:r>
      <w:r w:rsidRPr="001B62A5">
        <w:rPr>
          <w:i/>
          <w:sz w:val="24"/>
        </w:rPr>
        <w:br/>
        <w:t>the new ship that was to tame the ocean;</w:t>
      </w:r>
      <w:r w:rsidRPr="001B62A5">
        <w:rPr>
          <w:i/>
          <w:sz w:val="24"/>
        </w:rPr>
        <w:br/>
        <w:t>you, cruel master of the deep sea;</w:t>
      </w:r>
      <w:r w:rsidRPr="001B62A5">
        <w:rPr>
          <w:i/>
          <w:sz w:val="24"/>
        </w:rPr>
        <w:br/>
        <w:t>you, Titan, who ration bright daylight for the earth;</w:t>
      </w:r>
      <w:r w:rsidRPr="001B62A5">
        <w:rPr>
          <w:i/>
          <w:sz w:val="24"/>
        </w:rPr>
        <w:br/>
        <w:t>you who provide conspiratorial radiance for hushed rituals,</w:t>
      </w:r>
      <w:r w:rsidRPr="001B62A5">
        <w:rPr>
          <w:i/>
          <w:sz w:val="24"/>
        </w:rPr>
        <w:br/>
        <w:t>triple-formed Hecate; gods by whom Jason</w:t>
      </w:r>
      <w:r w:rsidRPr="001B62A5">
        <w:rPr>
          <w:i/>
          <w:sz w:val="24"/>
        </w:rPr>
        <w:br/>
        <w:t>swore to me; and those to whom Medea more</w:t>
      </w:r>
      <w:r w:rsidRPr="001B62A5">
        <w:rPr>
          <w:i/>
          <w:sz w:val="24"/>
        </w:rPr>
        <w:br/>
        <w:t>rightfully prays: Chaos of endless night;</w:t>
      </w:r>
      <w:r w:rsidRPr="001B62A5">
        <w:rPr>
          <w:i/>
          <w:sz w:val="24"/>
        </w:rPr>
        <w:br/>
        <w:t>realms opposed to the gods of heaven; unholy spirits of the dead;</w:t>
      </w:r>
      <w:r w:rsidRPr="001B62A5">
        <w:rPr>
          <w:i/>
          <w:sz w:val="24"/>
        </w:rPr>
        <w:br/>
        <w:t>master if the grim realm, and mistress carried off</w:t>
      </w:r>
      <w:r w:rsidRPr="001B62A5">
        <w:rPr>
          <w:i/>
          <w:sz w:val="24"/>
        </w:rPr>
        <w:br/>
        <w:t>with greater faithfulness than I – to you all I pray with inauspicious words!</w:t>
      </w:r>
      <w:r w:rsidRPr="001B62A5">
        <w:rPr>
          <w:i/>
          <w:sz w:val="24"/>
        </w:rPr>
        <w:br/>
        <w:t>Now, now, come to help me, goddesses who avenge wickedness,</w:t>
      </w:r>
      <w:r w:rsidRPr="001B62A5">
        <w:rPr>
          <w:i/>
          <w:sz w:val="24"/>
        </w:rPr>
        <w:br/>
        <w:t>your hair defiled with dishevelled serpent;</w:t>
      </w:r>
      <w:r w:rsidRPr="001B62A5">
        <w:rPr>
          <w:i/>
          <w:sz w:val="24"/>
        </w:rPr>
        <w:br/>
        <w:t>grasping black torches in bloodstained hands,</w:t>
      </w:r>
      <w:r w:rsidRPr="001B62A5">
        <w:rPr>
          <w:i/>
          <w:sz w:val="24"/>
        </w:rPr>
        <w:br/>
        <w:t>come to help me, as grim as you were when you stood</w:t>
      </w:r>
      <w:r w:rsidRPr="001B62A5">
        <w:rPr>
          <w:i/>
          <w:sz w:val="24"/>
        </w:rPr>
        <w:br/>
        <w:t>outside my wedding chamber.</w:t>
      </w:r>
      <w:r>
        <w:rPr>
          <w:i/>
          <w:sz w:val="24"/>
        </w:rPr>
        <w:t>”</w:t>
      </w:r>
      <w:r>
        <w:rPr>
          <w:rStyle w:val="FootnoteReference"/>
          <w:i/>
        </w:rPr>
        <w:footnoteReference w:id="6"/>
      </w:r>
    </w:p>
    <w:p w14:paraId="5C2F471F" w14:textId="77777777" w:rsidR="00D30FD0" w:rsidRPr="001B62A5" w:rsidRDefault="00D30FD0" w:rsidP="00D30FD0">
      <w:pPr>
        <w:spacing w:line="240" w:lineRule="auto"/>
        <w:jc w:val="center"/>
        <w:rPr>
          <w:sz w:val="24"/>
          <w:szCs w:val="22"/>
        </w:rPr>
      </w:pPr>
      <w:r>
        <w:rPr>
          <w:sz w:val="24"/>
        </w:rPr>
        <w:t>[Seneca, Medea 1-17]</w:t>
      </w:r>
    </w:p>
    <w:p w14:paraId="1CC848E8" w14:textId="77777777" w:rsidR="00D30FD0" w:rsidRPr="00642072" w:rsidRDefault="00D30FD0" w:rsidP="00FA029C">
      <w:pPr>
        <w:spacing w:line="480" w:lineRule="auto"/>
        <w:rPr>
          <w:sz w:val="24"/>
          <w:szCs w:val="24"/>
        </w:rPr>
      </w:pPr>
      <w:r w:rsidRPr="00642072">
        <w:rPr>
          <w:sz w:val="24"/>
          <w:szCs w:val="24"/>
        </w:rPr>
        <w:t>However, before we can best understand Medea and her role as a woman, we first need to have a fundamental knowledge of the women of Ancient Greece, and their role in society. What was expected of them, and how they fit into societies political views and laws. Likewise, in being able to understand Medea at her most basic form, we must also look at how Medea could possibly have formed a connection with hysteria</w:t>
      </w:r>
      <w:r>
        <w:rPr>
          <w:sz w:val="24"/>
          <w:szCs w:val="24"/>
        </w:rPr>
        <w:t>, by looking at her in myth, text, and art whilst possessing an understanding of what hysteria is.</w:t>
      </w:r>
    </w:p>
    <w:p w14:paraId="4AA19B30" w14:textId="77777777" w:rsidR="00BD359F" w:rsidRDefault="00D30FD0" w:rsidP="00FA029C">
      <w:pPr>
        <w:spacing w:line="480" w:lineRule="auto"/>
        <w:rPr>
          <w:sz w:val="24"/>
          <w:szCs w:val="24"/>
        </w:rPr>
      </w:pPr>
      <w:r w:rsidRPr="00642072">
        <w:rPr>
          <w:sz w:val="24"/>
          <w:szCs w:val="24"/>
        </w:rPr>
        <w:t xml:space="preserve">Throughout this dissertation what will be investigated is how Medea and hysteria have become so intrinsically linked. The scholarship used each provide the necessary information required piece together how Medea and hysteria have come to be synonymous with each other, and whether it is possible to say that the pairing have come together based on accurate </w:t>
      </w:r>
      <w:r w:rsidRPr="00642072">
        <w:rPr>
          <w:sz w:val="24"/>
          <w:szCs w:val="24"/>
        </w:rPr>
        <w:lastRenderedPageBreak/>
        <w:t xml:space="preserve">representation and diagnostics. Or </w:t>
      </w:r>
      <w:r>
        <w:rPr>
          <w:sz w:val="24"/>
          <w:szCs w:val="24"/>
        </w:rPr>
        <w:t xml:space="preserve">could it be </w:t>
      </w:r>
      <w:r w:rsidRPr="00642072">
        <w:rPr>
          <w:sz w:val="24"/>
          <w:szCs w:val="24"/>
        </w:rPr>
        <w:t>that Medea ha</w:t>
      </w:r>
      <w:r>
        <w:rPr>
          <w:sz w:val="24"/>
          <w:szCs w:val="24"/>
        </w:rPr>
        <w:t>d</w:t>
      </w:r>
      <w:r w:rsidRPr="00642072">
        <w:rPr>
          <w:sz w:val="24"/>
          <w:szCs w:val="24"/>
        </w:rPr>
        <w:t xml:space="preserve"> been miss-diagnosed based on modern ideology</w:t>
      </w:r>
      <w:r>
        <w:rPr>
          <w:sz w:val="24"/>
          <w:szCs w:val="24"/>
        </w:rPr>
        <w:t xml:space="preserve"> and concepts.</w:t>
      </w:r>
      <w:r w:rsidRPr="00642072">
        <w:rPr>
          <w:sz w:val="24"/>
          <w:szCs w:val="24"/>
        </w:rPr>
        <w:t xml:space="preserve"> Alongside this, the possibly that Medea’s connection to Hysteria could possibly be a concept created by modern scholars using modern psychoanalytic techniques and diagnostics, resulting in modern </w:t>
      </w:r>
      <w:r>
        <w:rPr>
          <w:sz w:val="24"/>
          <w:szCs w:val="24"/>
        </w:rPr>
        <w:t>ideals</w:t>
      </w:r>
      <w:r w:rsidRPr="00642072">
        <w:rPr>
          <w:sz w:val="24"/>
          <w:szCs w:val="24"/>
        </w:rPr>
        <w:t xml:space="preserve"> getting lost in translation within an ancient myth.</w:t>
      </w:r>
      <w:bookmarkEnd w:id="3"/>
    </w:p>
    <w:p w14:paraId="34CB4F0A" w14:textId="77777777" w:rsidR="00BD359F" w:rsidRDefault="00BD359F">
      <w:pPr>
        <w:rPr>
          <w:sz w:val="24"/>
          <w:szCs w:val="24"/>
        </w:rPr>
      </w:pPr>
      <w:r>
        <w:rPr>
          <w:sz w:val="24"/>
          <w:szCs w:val="24"/>
        </w:rPr>
        <w:br w:type="page"/>
      </w:r>
    </w:p>
    <w:p w14:paraId="76A3FADC" w14:textId="77777777" w:rsidR="00BD359F" w:rsidRPr="00642072" w:rsidRDefault="00BD359F" w:rsidP="00BD359F">
      <w:pPr>
        <w:pStyle w:val="Heading1"/>
        <w:spacing w:line="480" w:lineRule="auto"/>
        <w:jc w:val="center"/>
        <w:rPr>
          <w:rFonts w:cs="Times New Roman"/>
          <w:u w:val="single"/>
        </w:rPr>
      </w:pPr>
      <w:bookmarkStart w:id="5" w:name="_Toc513747778"/>
      <w:r w:rsidRPr="00642072">
        <w:rPr>
          <w:rFonts w:cs="Times New Roman"/>
          <w:sz w:val="28"/>
          <w:u w:val="single"/>
        </w:rPr>
        <w:lastRenderedPageBreak/>
        <w:t>Chapter One: Women in Ancient Greece</w:t>
      </w:r>
      <w:bookmarkEnd w:id="5"/>
    </w:p>
    <w:p w14:paraId="0BDBCE06" w14:textId="77777777" w:rsidR="00BD359F" w:rsidRPr="00642072" w:rsidRDefault="00BD359F" w:rsidP="00BD359F">
      <w:pPr>
        <w:spacing w:line="480" w:lineRule="auto"/>
        <w:rPr>
          <w:sz w:val="24"/>
        </w:rPr>
      </w:pPr>
      <w:r w:rsidRPr="00642072">
        <w:rPr>
          <w:sz w:val="24"/>
        </w:rPr>
        <w:t>As previously stated, to better understand Medea and her connection to hysteria, what must be considered first is her gender, and how perception of gender ideal could affect prognosis.</w:t>
      </w:r>
    </w:p>
    <w:p w14:paraId="0A7B78A7" w14:textId="77777777" w:rsidR="00BD359F" w:rsidRPr="00642072" w:rsidRDefault="00BD359F" w:rsidP="00BD359F">
      <w:pPr>
        <w:spacing w:line="480" w:lineRule="auto"/>
        <w:rPr>
          <w:sz w:val="24"/>
        </w:rPr>
      </w:pPr>
      <w:r w:rsidRPr="00642072">
        <w:rPr>
          <w:sz w:val="24"/>
        </w:rPr>
        <w:t>Our knowledge of the lives of ancient women tend to come from the male scholars of the time, and as such the image of these women that we are then presented, are given to us from the belief and view point of these men.</w:t>
      </w:r>
      <w:r w:rsidRPr="00642072">
        <w:rPr>
          <w:rStyle w:val="FootnoteReference"/>
        </w:rPr>
        <w:footnoteReference w:id="7"/>
      </w:r>
      <w:r w:rsidRPr="00642072">
        <w:rPr>
          <w:sz w:val="24"/>
        </w:rPr>
        <w:t xml:space="preserve"> However, what little information we can gather from these sources </w:t>
      </w:r>
      <w:r>
        <w:rPr>
          <w:sz w:val="24"/>
        </w:rPr>
        <w:t xml:space="preserve">of </w:t>
      </w:r>
      <w:r w:rsidRPr="00642072">
        <w:rPr>
          <w:sz w:val="24"/>
        </w:rPr>
        <w:t xml:space="preserve">how exactly these women fit into the laws and societal expectations of their times, and how their male counterparts then </w:t>
      </w:r>
      <w:r>
        <w:rPr>
          <w:sz w:val="24"/>
        </w:rPr>
        <w:t>expected them to then act in response.</w:t>
      </w:r>
    </w:p>
    <w:p w14:paraId="3DD0422F" w14:textId="77777777" w:rsidR="00BD359F" w:rsidRPr="00642072" w:rsidRDefault="00BD359F" w:rsidP="00BD359F">
      <w:pPr>
        <w:spacing w:line="480" w:lineRule="auto"/>
        <w:rPr>
          <w:sz w:val="24"/>
        </w:rPr>
      </w:pPr>
      <w:r w:rsidRPr="00642072">
        <w:rPr>
          <w:sz w:val="24"/>
        </w:rPr>
        <w:t xml:space="preserve">The purpose of this chapter is to understand how a woman, such as Medea, was expected to behave and how she was expected to live her life. A woman of Medea’s stature and disposition would perhaps find it difficult to accept the expectancies of her gender, even if it meant causing insult to her person which would mean that in no way would she </w:t>
      </w:r>
      <w:r>
        <w:rPr>
          <w:sz w:val="24"/>
        </w:rPr>
        <w:t>–</w:t>
      </w:r>
      <w:r w:rsidRPr="00642072">
        <w:rPr>
          <w:sz w:val="24"/>
        </w:rPr>
        <w:t xml:space="preserve"> </w:t>
      </w:r>
      <w:r>
        <w:rPr>
          <w:sz w:val="24"/>
        </w:rPr>
        <w:t xml:space="preserve">the daughter of a king and </w:t>
      </w:r>
      <w:r w:rsidRPr="00642072">
        <w:rPr>
          <w:sz w:val="24"/>
        </w:rPr>
        <w:t>a woman of considerable power and ties to the gods – accept such blatant betrayal from a man who swore to remain by her side.</w:t>
      </w:r>
      <w:r w:rsidRPr="00642072">
        <w:rPr>
          <w:rStyle w:val="FootnoteReference"/>
        </w:rPr>
        <w:footnoteReference w:id="8"/>
      </w:r>
      <w:r w:rsidRPr="00642072">
        <w:rPr>
          <w:sz w:val="24"/>
        </w:rPr>
        <w:t xml:space="preserve"> To what extent her anger may reach, as well as possible audience reception to the horror that followed Jason’s betrayal, shall be discussed in the </w:t>
      </w:r>
      <w:r>
        <w:rPr>
          <w:sz w:val="24"/>
        </w:rPr>
        <w:t>next</w:t>
      </w:r>
      <w:r w:rsidRPr="00642072">
        <w:rPr>
          <w:sz w:val="24"/>
        </w:rPr>
        <w:t xml:space="preserve"> chapter.</w:t>
      </w:r>
    </w:p>
    <w:p w14:paraId="7987E2A8" w14:textId="77777777" w:rsidR="00BD359F" w:rsidRPr="00642072" w:rsidRDefault="00BD359F" w:rsidP="00BD359F">
      <w:pPr>
        <w:pStyle w:val="Heading2"/>
        <w:spacing w:line="480" w:lineRule="auto"/>
        <w:rPr>
          <w:rFonts w:cs="Times New Roman"/>
        </w:rPr>
      </w:pPr>
      <w:bookmarkStart w:id="6" w:name="_Toc513747779"/>
      <w:r w:rsidRPr="00642072">
        <w:rPr>
          <w:rFonts w:cs="Times New Roman"/>
        </w:rPr>
        <w:t>Social Perceptions of Ancient Women</w:t>
      </w:r>
      <w:bookmarkEnd w:id="6"/>
    </w:p>
    <w:p w14:paraId="6D0F4236" w14:textId="77777777" w:rsidR="00BD359F" w:rsidRPr="00642072" w:rsidRDefault="00BD359F" w:rsidP="00BD359F">
      <w:pPr>
        <w:spacing w:line="480" w:lineRule="auto"/>
        <w:rPr>
          <w:sz w:val="24"/>
          <w:szCs w:val="24"/>
        </w:rPr>
      </w:pPr>
      <w:r w:rsidRPr="00642072">
        <w:rPr>
          <w:sz w:val="24"/>
          <w:szCs w:val="24"/>
        </w:rPr>
        <w:t xml:space="preserve">Plato, within his Republic, argues for the better treatment of women, </w:t>
      </w:r>
      <w:r>
        <w:rPr>
          <w:sz w:val="24"/>
          <w:szCs w:val="24"/>
        </w:rPr>
        <w:t>by</w:t>
      </w:r>
      <w:r w:rsidRPr="00642072">
        <w:rPr>
          <w:sz w:val="24"/>
          <w:szCs w:val="24"/>
        </w:rPr>
        <w:t xml:space="preserve"> arguing that animals are treated the same way</w:t>
      </w:r>
      <w:r>
        <w:rPr>
          <w:sz w:val="24"/>
          <w:szCs w:val="24"/>
        </w:rPr>
        <w:t xml:space="preserve"> regardless</w:t>
      </w:r>
      <w:r w:rsidRPr="00642072">
        <w:rPr>
          <w:sz w:val="24"/>
          <w:szCs w:val="24"/>
        </w:rPr>
        <w:t xml:space="preserve">, and are expected to complete the same tasks </w:t>
      </w:r>
      <w:r>
        <w:rPr>
          <w:sz w:val="24"/>
          <w:szCs w:val="24"/>
        </w:rPr>
        <w:t>without doubting the capabilities of their gender</w:t>
      </w:r>
      <w:r w:rsidRPr="00642072">
        <w:rPr>
          <w:sz w:val="24"/>
          <w:szCs w:val="24"/>
        </w:rPr>
        <w:t xml:space="preserve">, so why is </w:t>
      </w:r>
      <w:r>
        <w:rPr>
          <w:sz w:val="24"/>
          <w:szCs w:val="24"/>
        </w:rPr>
        <w:t xml:space="preserve">this not the case when dealing with genders amongst </w:t>
      </w:r>
      <w:r w:rsidRPr="00642072">
        <w:rPr>
          <w:sz w:val="24"/>
          <w:szCs w:val="24"/>
        </w:rPr>
        <w:t>humans.</w:t>
      </w:r>
      <w:r w:rsidRPr="00642072">
        <w:rPr>
          <w:rStyle w:val="FootnoteReference"/>
          <w:szCs w:val="24"/>
        </w:rPr>
        <w:footnoteReference w:id="9"/>
      </w:r>
      <w:r w:rsidRPr="00642072">
        <w:rPr>
          <w:sz w:val="24"/>
          <w:szCs w:val="24"/>
        </w:rPr>
        <w:t xml:space="preserve"> In essence, Plato is asking how it is possible that i</w:t>
      </w:r>
      <w:r>
        <w:rPr>
          <w:sz w:val="24"/>
          <w:szCs w:val="24"/>
        </w:rPr>
        <w:t>t</w:t>
      </w:r>
      <w:r w:rsidRPr="00642072">
        <w:rPr>
          <w:sz w:val="24"/>
          <w:szCs w:val="24"/>
        </w:rPr>
        <w:t xml:space="preserve"> does not matter </w:t>
      </w:r>
      <w:r w:rsidRPr="00642072">
        <w:rPr>
          <w:sz w:val="24"/>
          <w:szCs w:val="24"/>
        </w:rPr>
        <w:lastRenderedPageBreak/>
        <w:t>whether a male dog or a female dog is guarding a Shepard’s flock</w:t>
      </w:r>
      <w:r>
        <w:rPr>
          <w:sz w:val="24"/>
          <w:szCs w:val="24"/>
        </w:rPr>
        <w:t>,</w:t>
      </w:r>
      <w:r w:rsidRPr="00642072">
        <w:rPr>
          <w:sz w:val="24"/>
          <w:szCs w:val="24"/>
        </w:rPr>
        <w:t xml:space="preserve"> as they </w:t>
      </w:r>
      <w:r>
        <w:rPr>
          <w:sz w:val="24"/>
          <w:szCs w:val="24"/>
        </w:rPr>
        <w:t xml:space="preserve">are </w:t>
      </w:r>
      <w:r w:rsidRPr="00642072">
        <w:rPr>
          <w:sz w:val="24"/>
          <w:szCs w:val="24"/>
        </w:rPr>
        <w:t>both</w:t>
      </w:r>
      <w:r>
        <w:rPr>
          <w:sz w:val="24"/>
          <w:szCs w:val="24"/>
        </w:rPr>
        <w:t xml:space="preserve"> equally capable of</w:t>
      </w:r>
      <w:r w:rsidRPr="00642072">
        <w:rPr>
          <w:sz w:val="24"/>
          <w:szCs w:val="24"/>
        </w:rPr>
        <w:t xml:space="preserve"> accomplish</w:t>
      </w:r>
      <w:r>
        <w:rPr>
          <w:sz w:val="24"/>
          <w:szCs w:val="24"/>
        </w:rPr>
        <w:t>ing</w:t>
      </w:r>
      <w:r w:rsidRPr="00642072">
        <w:rPr>
          <w:sz w:val="24"/>
          <w:szCs w:val="24"/>
        </w:rPr>
        <w:t xml:space="preserve"> the job </w:t>
      </w:r>
      <w:r>
        <w:rPr>
          <w:sz w:val="24"/>
          <w:szCs w:val="24"/>
        </w:rPr>
        <w:t>after receiving the proper training</w:t>
      </w:r>
      <w:r w:rsidRPr="00642072">
        <w:rPr>
          <w:sz w:val="24"/>
          <w:szCs w:val="24"/>
        </w:rPr>
        <w:t xml:space="preserve">, but </w:t>
      </w:r>
      <w:r>
        <w:rPr>
          <w:sz w:val="24"/>
          <w:szCs w:val="24"/>
        </w:rPr>
        <w:t>t</w:t>
      </w:r>
      <w:r w:rsidRPr="00642072">
        <w:rPr>
          <w:sz w:val="24"/>
          <w:szCs w:val="24"/>
        </w:rPr>
        <w:t xml:space="preserve">o </w:t>
      </w:r>
      <w:r>
        <w:rPr>
          <w:sz w:val="24"/>
          <w:szCs w:val="24"/>
        </w:rPr>
        <w:t xml:space="preserve">then </w:t>
      </w:r>
      <w:r w:rsidRPr="00642072">
        <w:rPr>
          <w:sz w:val="24"/>
          <w:szCs w:val="24"/>
        </w:rPr>
        <w:t>suggest that</w:t>
      </w:r>
      <w:r>
        <w:rPr>
          <w:sz w:val="24"/>
          <w:szCs w:val="24"/>
        </w:rPr>
        <w:t xml:space="preserve"> this is not true of humans</w:t>
      </w:r>
      <w:r w:rsidRPr="00642072">
        <w:rPr>
          <w:sz w:val="24"/>
          <w:szCs w:val="24"/>
        </w:rPr>
        <w:t>,</w:t>
      </w:r>
      <w:r>
        <w:rPr>
          <w:sz w:val="24"/>
          <w:szCs w:val="24"/>
        </w:rPr>
        <w:t xml:space="preserve"> </w:t>
      </w:r>
      <w:r w:rsidRPr="00642072">
        <w:rPr>
          <w:sz w:val="24"/>
          <w:szCs w:val="24"/>
        </w:rPr>
        <w:t xml:space="preserve">who are placed above animals on the </w:t>
      </w:r>
      <w:r w:rsidRPr="00642072">
        <w:rPr>
          <w:i/>
          <w:sz w:val="24"/>
          <w:szCs w:val="24"/>
        </w:rPr>
        <w:t>‘hierarchy of being’</w:t>
      </w:r>
      <w:r w:rsidRPr="00642072">
        <w:rPr>
          <w:rStyle w:val="FootnoteReference"/>
          <w:i/>
          <w:szCs w:val="24"/>
        </w:rPr>
        <w:footnoteReference w:id="10"/>
      </w:r>
      <w:r>
        <w:rPr>
          <w:sz w:val="24"/>
          <w:szCs w:val="24"/>
        </w:rPr>
        <w:t xml:space="preserve">. A belief which is rather bewildering if one if to think further on it. </w:t>
      </w:r>
      <w:r w:rsidRPr="00642072">
        <w:rPr>
          <w:sz w:val="24"/>
          <w:szCs w:val="24"/>
        </w:rPr>
        <w:t xml:space="preserve">Although it </w:t>
      </w:r>
      <w:r>
        <w:rPr>
          <w:sz w:val="24"/>
          <w:szCs w:val="24"/>
        </w:rPr>
        <w:t xml:space="preserve">appears </w:t>
      </w:r>
      <w:r w:rsidRPr="00642072">
        <w:rPr>
          <w:sz w:val="24"/>
          <w:szCs w:val="24"/>
        </w:rPr>
        <w:t xml:space="preserve">that Plato and his company seem to </w:t>
      </w:r>
      <w:r>
        <w:rPr>
          <w:sz w:val="24"/>
          <w:szCs w:val="24"/>
        </w:rPr>
        <w:t xml:space="preserve">come to an </w:t>
      </w:r>
      <w:r w:rsidRPr="00642072">
        <w:rPr>
          <w:sz w:val="24"/>
          <w:szCs w:val="24"/>
        </w:rPr>
        <w:t>agree</w:t>
      </w:r>
      <w:r>
        <w:rPr>
          <w:sz w:val="24"/>
          <w:szCs w:val="24"/>
        </w:rPr>
        <w:t>ment</w:t>
      </w:r>
      <w:r w:rsidRPr="00642072">
        <w:rPr>
          <w:sz w:val="24"/>
          <w:szCs w:val="24"/>
        </w:rPr>
        <w:t xml:space="preserve"> that females are the weaker of the two genders amongst animals, </w:t>
      </w:r>
      <w:r>
        <w:rPr>
          <w:sz w:val="24"/>
          <w:szCs w:val="24"/>
        </w:rPr>
        <w:t xml:space="preserve">leading to </w:t>
      </w:r>
      <w:r w:rsidRPr="00642072">
        <w:rPr>
          <w:sz w:val="24"/>
          <w:szCs w:val="24"/>
        </w:rPr>
        <w:t xml:space="preserve">Plato </w:t>
      </w:r>
      <w:r>
        <w:rPr>
          <w:sz w:val="24"/>
          <w:szCs w:val="24"/>
        </w:rPr>
        <w:t xml:space="preserve">to </w:t>
      </w:r>
      <w:r w:rsidRPr="00642072">
        <w:rPr>
          <w:sz w:val="24"/>
          <w:szCs w:val="24"/>
        </w:rPr>
        <w:t>argue</w:t>
      </w:r>
      <w:r>
        <w:rPr>
          <w:sz w:val="24"/>
          <w:szCs w:val="24"/>
        </w:rPr>
        <w:t xml:space="preserve"> they are still treated as equal to their male partners.</w:t>
      </w:r>
      <w:r>
        <w:rPr>
          <w:rStyle w:val="FootnoteReference"/>
          <w:szCs w:val="24"/>
        </w:rPr>
        <w:footnoteReference w:id="11"/>
      </w:r>
      <w:r w:rsidRPr="00642072">
        <w:rPr>
          <w:sz w:val="24"/>
          <w:szCs w:val="24"/>
        </w:rPr>
        <w:t xml:space="preserve"> </w:t>
      </w:r>
      <w:r>
        <w:rPr>
          <w:sz w:val="24"/>
          <w:szCs w:val="24"/>
        </w:rPr>
        <w:t>He argues that this may also be possible for women, as they have not been tested nor taught as men have, so it is entirely possible that males and females amongst humans are of the same standing and abilities and should be treated as such.</w:t>
      </w:r>
      <w:r>
        <w:rPr>
          <w:rStyle w:val="FootnoteReference"/>
          <w:szCs w:val="24"/>
        </w:rPr>
        <w:footnoteReference w:id="12"/>
      </w:r>
      <w:r>
        <w:rPr>
          <w:sz w:val="24"/>
          <w:szCs w:val="24"/>
        </w:rPr>
        <w:t xml:space="preserve"> Unless women are given similar responsibilities as men, it is impossible to judge whether they capable or incapable in all that men do.</w:t>
      </w:r>
      <w:r w:rsidRPr="00642072">
        <w:rPr>
          <w:sz w:val="24"/>
          <w:szCs w:val="24"/>
        </w:rPr>
        <w:t xml:space="preserve"> It seems that such a belief travels throughout his works, as Swearingen [1992] states </w:t>
      </w:r>
      <w:r>
        <w:rPr>
          <w:sz w:val="24"/>
          <w:szCs w:val="24"/>
        </w:rPr>
        <w:t xml:space="preserve">this </w:t>
      </w:r>
      <w:r w:rsidRPr="00642072">
        <w:rPr>
          <w:sz w:val="24"/>
          <w:szCs w:val="24"/>
        </w:rPr>
        <w:t xml:space="preserve">of Plato’s Socrates </w:t>
      </w:r>
      <w:r w:rsidRPr="00642072">
        <w:rPr>
          <w:i/>
          <w:sz w:val="24"/>
          <w:szCs w:val="24"/>
        </w:rPr>
        <w:t xml:space="preserve">‘He challenges the conventions that assigned to men their roles in war and the </w:t>
      </w:r>
      <w:proofErr w:type="spellStart"/>
      <w:r w:rsidRPr="00642072">
        <w:rPr>
          <w:i/>
          <w:sz w:val="24"/>
          <w:szCs w:val="24"/>
        </w:rPr>
        <w:t>agon</w:t>
      </w:r>
      <w:proofErr w:type="spellEnd"/>
      <w:r w:rsidRPr="00642072">
        <w:rPr>
          <w:i/>
          <w:sz w:val="24"/>
          <w:szCs w:val="24"/>
        </w:rPr>
        <w:t xml:space="preserve"> of the polis, and to women the role of reproduction in the home.’</w:t>
      </w:r>
      <w:r w:rsidRPr="00642072">
        <w:rPr>
          <w:rStyle w:val="FootnoteReference"/>
          <w:i/>
          <w:szCs w:val="24"/>
        </w:rPr>
        <w:footnoteReference w:id="13"/>
      </w:r>
      <w:r w:rsidRPr="00642072">
        <w:rPr>
          <w:sz w:val="24"/>
          <w:szCs w:val="24"/>
        </w:rPr>
        <w:t xml:space="preserve"> </w:t>
      </w:r>
    </w:p>
    <w:p w14:paraId="7D6C0321" w14:textId="77777777" w:rsidR="00BD359F" w:rsidRPr="00254D6C" w:rsidRDefault="00BD359F" w:rsidP="00BD359F">
      <w:pPr>
        <w:spacing w:line="480" w:lineRule="auto"/>
        <w:rPr>
          <w:sz w:val="24"/>
          <w:szCs w:val="24"/>
        </w:rPr>
      </w:pPr>
      <w:r w:rsidRPr="00642072">
        <w:rPr>
          <w:sz w:val="24"/>
          <w:szCs w:val="24"/>
        </w:rPr>
        <w:t>However</w:t>
      </w:r>
      <w:r>
        <w:rPr>
          <w:sz w:val="24"/>
          <w:szCs w:val="24"/>
        </w:rPr>
        <w:t>, in contrast</w:t>
      </w:r>
      <w:r w:rsidRPr="00642072">
        <w:rPr>
          <w:sz w:val="24"/>
          <w:szCs w:val="24"/>
        </w:rPr>
        <w:t xml:space="preserve"> Aristotle’s view on women appears to be far more scathing as he considers </w:t>
      </w:r>
      <w:r>
        <w:rPr>
          <w:sz w:val="24"/>
          <w:szCs w:val="24"/>
        </w:rPr>
        <w:t>the female gender</w:t>
      </w:r>
      <w:r w:rsidRPr="00642072">
        <w:rPr>
          <w:sz w:val="24"/>
          <w:szCs w:val="24"/>
        </w:rPr>
        <w:t xml:space="preserve"> to be a </w:t>
      </w:r>
      <w:r w:rsidRPr="00642072">
        <w:rPr>
          <w:i/>
          <w:sz w:val="24"/>
          <w:szCs w:val="24"/>
        </w:rPr>
        <w:t>‘deformity’</w:t>
      </w:r>
      <w:r w:rsidRPr="00642072">
        <w:rPr>
          <w:sz w:val="24"/>
          <w:szCs w:val="24"/>
        </w:rPr>
        <w:t xml:space="preserve"> of nature, and as such considers women to be an imperfect version of men.</w:t>
      </w:r>
      <w:r w:rsidRPr="00642072">
        <w:rPr>
          <w:rStyle w:val="FootnoteReference"/>
          <w:szCs w:val="24"/>
        </w:rPr>
        <w:footnoteReference w:id="14"/>
      </w:r>
      <w:r w:rsidRPr="00642072">
        <w:rPr>
          <w:sz w:val="24"/>
          <w:szCs w:val="24"/>
        </w:rPr>
        <w:t xml:space="preserve"> </w:t>
      </w:r>
      <w:r>
        <w:rPr>
          <w:sz w:val="24"/>
          <w:szCs w:val="24"/>
        </w:rPr>
        <w:t xml:space="preserve">As though they had not formed correctly within the womb. </w:t>
      </w:r>
      <w:r w:rsidRPr="00642072">
        <w:rPr>
          <w:sz w:val="24"/>
          <w:szCs w:val="24"/>
        </w:rPr>
        <w:t xml:space="preserve">The opinion that Aristotle gives here, seems to stem from </w:t>
      </w:r>
      <w:r>
        <w:rPr>
          <w:sz w:val="24"/>
          <w:szCs w:val="24"/>
        </w:rPr>
        <w:t xml:space="preserve">his theory on </w:t>
      </w:r>
      <w:r w:rsidRPr="00642072">
        <w:rPr>
          <w:sz w:val="24"/>
          <w:szCs w:val="24"/>
        </w:rPr>
        <w:t>the creation of life,</w:t>
      </w:r>
      <w:r>
        <w:rPr>
          <w:sz w:val="24"/>
          <w:szCs w:val="24"/>
        </w:rPr>
        <w:t xml:space="preserve"> in that</w:t>
      </w:r>
      <w:r w:rsidRPr="00642072">
        <w:rPr>
          <w:sz w:val="24"/>
          <w:szCs w:val="24"/>
        </w:rPr>
        <w:t xml:space="preserve"> before a baby has even been born</w:t>
      </w:r>
      <w:r>
        <w:rPr>
          <w:sz w:val="24"/>
          <w:szCs w:val="24"/>
        </w:rPr>
        <w:t xml:space="preserve"> </w:t>
      </w:r>
      <w:r w:rsidRPr="00642072">
        <w:rPr>
          <w:i/>
          <w:sz w:val="24"/>
          <w:szCs w:val="24"/>
        </w:rPr>
        <w:t>‘the perfecting of female embryos is inferior to that of male ones.’</w:t>
      </w:r>
      <w:r w:rsidRPr="00642072">
        <w:rPr>
          <w:rStyle w:val="FootnoteReference"/>
          <w:szCs w:val="24"/>
        </w:rPr>
        <w:footnoteReference w:id="15"/>
      </w:r>
      <w:r>
        <w:rPr>
          <w:i/>
          <w:sz w:val="24"/>
          <w:szCs w:val="24"/>
        </w:rPr>
        <w:t xml:space="preserve"> </w:t>
      </w:r>
      <w:r>
        <w:rPr>
          <w:sz w:val="24"/>
          <w:szCs w:val="24"/>
        </w:rPr>
        <w:t xml:space="preserve">Women are essentially considered a disappointment to their family and society </w:t>
      </w:r>
      <w:r>
        <w:rPr>
          <w:sz w:val="24"/>
          <w:szCs w:val="24"/>
        </w:rPr>
        <w:lastRenderedPageBreak/>
        <w:t xml:space="preserve">before they are even born, however, due to the necessity of them in ensuring the survival of humanity, we must be tolerant of them. </w:t>
      </w:r>
    </w:p>
    <w:p w14:paraId="33C11063" w14:textId="77777777" w:rsidR="00BD359F" w:rsidRPr="00642072" w:rsidRDefault="00BD359F" w:rsidP="00BD359F">
      <w:pPr>
        <w:spacing w:line="480" w:lineRule="auto"/>
        <w:rPr>
          <w:sz w:val="24"/>
          <w:szCs w:val="24"/>
        </w:rPr>
      </w:pPr>
      <w:proofErr w:type="spellStart"/>
      <w:r w:rsidRPr="00642072">
        <w:rPr>
          <w:sz w:val="24"/>
          <w:szCs w:val="24"/>
        </w:rPr>
        <w:t>Tuana</w:t>
      </w:r>
      <w:proofErr w:type="spellEnd"/>
      <w:r w:rsidRPr="00642072">
        <w:rPr>
          <w:sz w:val="24"/>
          <w:szCs w:val="24"/>
        </w:rPr>
        <w:t xml:space="preserve"> [1993] hypothesises that in order to understand a culture’s view on women, it is best to first look the creation </w:t>
      </w:r>
      <w:r>
        <w:rPr>
          <w:sz w:val="24"/>
          <w:szCs w:val="24"/>
        </w:rPr>
        <w:t xml:space="preserve">of women in </w:t>
      </w:r>
      <w:r w:rsidRPr="00642072">
        <w:rPr>
          <w:sz w:val="24"/>
          <w:szCs w:val="24"/>
        </w:rPr>
        <w:t>myths, or whatever equivalent there may be.</w:t>
      </w:r>
      <w:r w:rsidRPr="00642072">
        <w:rPr>
          <w:rStyle w:val="FootnoteReference"/>
          <w:szCs w:val="24"/>
        </w:rPr>
        <w:footnoteReference w:id="16"/>
      </w:r>
      <w:r w:rsidRPr="00642072">
        <w:rPr>
          <w:sz w:val="24"/>
          <w:szCs w:val="24"/>
        </w:rPr>
        <w:t xml:space="preserve"> If this theory is to be taken into account, women generally come into being second after man just as Eve after Adam, and Pandora after Prometheus.</w:t>
      </w:r>
      <w:r w:rsidRPr="00642072">
        <w:rPr>
          <w:rStyle w:val="FootnoteReference"/>
          <w:szCs w:val="24"/>
        </w:rPr>
        <w:footnoteReference w:id="17"/>
      </w:r>
      <w:r w:rsidRPr="00642072">
        <w:rPr>
          <w:sz w:val="24"/>
          <w:szCs w:val="24"/>
        </w:rPr>
        <w:t xml:space="preserve"> </w:t>
      </w:r>
      <w:proofErr w:type="spellStart"/>
      <w:r w:rsidRPr="00642072">
        <w:rPr>
          <w:sz w:val="24"/>
          <w:szCs w:val="24"/>
        </w:rPr>
        <w:t>Tuana</w:t>
      </w:r>
      <w:proofErr w:type="spellEnd"/>
      <w:r w:rsidRPr="00642072">
        <w:rPr>
          <w:sz w:val="24"/>
          <w:szCs w:val="24"/>
        </w:rPr>
        <w:t xml:space="preserve"> believes that, regardless of how long this belief was retained, as women were created after men, they were, in essence, believed to be lesser beings to men</w:t>
      </w:r>
      <w:r>
        <w:rPr>
          <w:sz w:val="24"/>
          <w:szCs w:val="24"/>
        </w:rPr>
        <w:t>.</w:t>
      </w:r>
      <w:r w:rsidRPr="00642072">
        <w:rPr>
          <w:rStyle w:val="FootnoteReference"/>
          <w:szCs w:val="24"/>
        </w:rPr>
        <w:footnoteReference w:id="18"/>
      </w:r>
      <w:r>
        <w:rPr>
          <w:sz w:val="24"/>
          <w:szCs w:val="24"/>
        </w:rPr>
        <w:t xml:space="preserve"> This results in them being considered lesser beings in the eyes of societal laws and customs.</w:t>
      </w:r>
    </w:p>
    <w:p w14:paraId="109E6223" w14:textId="77777777" w:rsidR="00BD359F" w:rsidRPr="00642072" w:rsidRDefault="00BD359F" w:rsidP="00BD359F">
      <w:pPr>
        <w:pStyle w:val="Heading2"/>
        <w:spacing w:line="480" w:lineRule="auto"/>
        <w:rPr>
          <w:rFonts w:cs="Times New Roman"/>
        </w:rPr>
      </w:pPr>
      <w:bookmarkStart w:id="7" w:name="_Toc513747780"/>
      <w:r w:rsidRPr="00642072">
        <w:rPr>
          <w:rFonts w:cs="Times New Roman"/>
        </w:rPr>
        <w:t>Women in the Home and in Law</w:t>
      </w:r>
      <w:bookmarkEnd w:id="7"/>
    </w:p>
    <w:p w14:paraId="272786B9" w14:textId="77777777" w:rsidR="00BD359F" w:rsidRDefault="00BD359F" w:rsidP="00BD359F">
      <w:pPr>
        <w:spacing w:line="480" w:lineRule="auto"/>
        <w:rPr>
          <w:sz w:val="24"/>
          <w:szCs w:val="24"/>
        </w:rPr>
      </w:pPr>
      <w:r w:rsidRPr="00642072">
        <w:rPr>
          <w:sz w:val="24"/>
          <w:szCs w:val="24"/>
        </w:rPr>
        <w:t xml:space="preserve">Within the household, women </w:t>
      </w:r>
      <w:r>
        <w:rPr>
          <w:sz w:val="24"/>
          <w:szCs w:val="24"/>
        </w:rPr>
        <w:t xml:space="preserve">were expected to </w:t>
      </w:r>
      <w:r w:rsidRPr="00642072">
        <w:rPr>
          <w:sz w:val="24"/>
          <w:szCs w:val="24"/>
        </w:rPr>
        <w:t>live in relative seclusion.</w:t>
      </w:r>
      <w:r w:rsidRPr="00642072">
        <w:rPr>
          <w:rStyle w:val="FootnoteReference"/>
          <w:szCs w:val="24"/>
        </w:rPr>
        <w:footnoteReference w:id="19"/>
      </w:r>
      <w:r w:rsidRPr="00642072">
        <w:rPr>
          <w:sz w:val="24"/>
          <w:szCs w:val="24"/>
        </w:rPr>
        <w:t xml:space="preserve"> This, of course, was the case </w:t>
      </w:r>
      <w:r>
        <w:rPr>
          <w:sz w:val="24"/>
          <w:szCs w:val="24"/>
        </w:rPr>
        <w:t xml:space="preserve">only </w:t>
      </w:r>
      <w:r w:rsidRPr="00642072">
        <w:rPr>
          <w:sz w:val="24"/>
          <w:szCs w:val="24"/>
        </w:rPr>
        <w:t xml:space="preserve">if they were able to secure a marriage, which, as there were very little options </w:t>
      </w:r>
      <w:r>
        <w:rPr>
          <w:sz w:val="24"/>
          <w:szCs w:val="24"/>
        </w:rPr>
        <w:t xml:space="preserve">for an unmarried woman </w:t>
      </w:r>
      <w:r w:rsidRPr="00642072">
        <w:rPr>
          <w:sz w:val="24"/>
          <w:szCs w:val="24"/>
        </w:rPr>
        <w:t>(very little desirable options at the very least</w:t>
      </w:r>
      <w:r>
        <w:rPr>
          <w:sz w:val="24"/>
          <w:szCs w:val="24"/>
        </w:rPr>
        <w:t>, if any at all</w:t>
      </w:r>
      <w:r w:rsidRPr="00642072">
        <w:rPr>
          <w:sz w:val="24"/>
          <w:szCs w:val="24"/>
        </w:rPr>
        <w:t xml:space="preserve">), </w:t>
      </w:r>
      <w:r>
        <w:rPr>
          <w:sz w:val="24"/>
          <w:szCs w:val="24"/>
        </w:rPr>
        <w:t xml:space="preserve">marriage </w:t>
      </w:r>
      <w:r w:rsidRPr="00642072">
        <w:rPr>
          <w:sz w:val="24"/>
          <w:szCs w:val="24"/>
        </w:rPr>
        <w:t>was what many women hoped for</w:t>
      </w:r>
      <w:r>
        <w:rPr>
          <w:sz w:val="24"/>
          <w:szCs w:val="24"/>
        </w:rPr>
        <w:t>, and was realistically the safe option.</w:t>
      </w:r>
      <w:r w:rsidRPr="00642072">
        <w:rPr>
          <w:rStyle w:val="FootnoteReference"/>
          <w:szCs w:val="24"/>
        </w:rPr>
        <w:footnoteReference w:id="20"/>
      </w:r>
      <w:r w:rsidRPr="00642072">
        <w:rPr>
          <w:sz w:val="24"/>
          <w:szCs w:val="24"/>
        </w:rPr>
        <w:t xml:space="preserve"> If she were able to secure a marriage</w:t>
      </w:r>
      <w:r>
        <w:rPr>
          <w:sz w:val="24"/>
          <w:szCs w:val="24"/>
        </w:rPr>
        <w:t xml:space="preserve"> (arranged for her by her </w:t>
      </w:r>
      <w:proofErr w:type="spellStart"/>
      <w:r w:rsidRPr="000B2E8F">
        <w:rPr>
          <w:i/>
          <w:sz w:val="24"/>
          <w:szCs w:val="24"/>
        </w:rPr>
        <w:t>kyrios</w:t>
      </w:r>
      <w:proofErr w:type="spellEnd"/>
      <w:r>
        <w:rPr>
          <w:sz w:val="24"/>
          <w:szCs w:val="24"/>
        </w:rPr>
        <w:t>)</w:t>
      </w:r>
      <w:r w:rsidRPr="00642072">
        <w:rPr>
          <w:sz w:val="24"/>
          <w:szCs w:val="24"/>
        </w:rPr>
        <w:t xml:space="preserve">, for her to then be deemed to be a </w:t>
      </w:r>
      <w:r w:rsidRPr="00642072">
        <w:rPr>
          <w:i/>
          <w:sz w:val="24"/>
          <w:szCs w:val="24"/>
        </w:rPr>
        <w:t>“proper Athenian Wife”</w:t>
      </w:r>
      <w:r w:rsidRPr="00642072">
        <w:rPr>
          <w:sz w:val="24"/>
          <w:szCs w:val="24"/>
        </w:rPr>
        <w:t xml:space="preserve"> she was to spend most of her time in</w:t>
      </w:r>
      <w:r>
        <w:rPr>
          <w:sz w:val="24"/>
          <w:szCs w:val="24"/>
        </w:rPr>
        <w:t>side the walls of her husband’s home.</w:t>
      </w:r>
      <w:r w:rsidRPr="00642072">
        <w:rPr>
          <w:rStyle w:val="FootnoteReference"/>
          <w:szCs w:val="24"/>
        </w:rPr>
        <w:footnoteReference w:id="21"/>
      </w:r>
      <w:r w:rsidRPr="00642072">
        <w:rPr>
          <w:sz w:val="24"/>
          <w:szCs w:val="24"/>
        </w:rPr>
        <w:t xml:space="preserve"> </w:t>
      </w:r>
    </w:p>
    <w:p w14:paraId="32682EEA" w14:textId="77777777" w:rsidR="00BD359F" w:rsidRPr="00642072" w:rsidRDefault="00BD359F" w:rsidP="00BD359F">
      <w:pPr>
        <w:spacing w:line="480" w:lineRule="auto"/>
        <w:rPr>
          <w:sz w:val="24"/>
          <w:szCs w:val="24"/>
        </w:rPr>
      </w:pPr>
      <w:r w:rsidRPr="00642072">
        <w:rPr>
          <w:sz w:val="24"/>
          <w:szCs w:val="24"/>
        </w:rPr>
        <w:t xml:space="preserve">Whilst indoors, she would spend most of her time within the </w:t>
      </w:r>
      <w:r w:rsidRPr="00642072">
        <w:rPr>
          <w:i/>
          <w:sz w:val="24"/>
          <w:szCs w:val="24"/>
        </w:rPr>
        <w:t>“woman’s quarters”</w:t>
      </w:r>
      <w:r w:rsidRPr="00642072">
        <w:rPr>
          <w:sz w:val="24"/>
          <w:szCs w:val="24"/>
        </w:rPr>
        <w:t xml:space="preserve"> of her husband’s house, where she would spend her time mostly caring for her children, her</w:t>
      </w:r>
      <w:r>
        <w:rPr>
          <w:sz w:val="24"/>
          <w:szCs w:val="24"/>
        </w:rPr>
        <w:t xml:space="preserve"> </w:t>
      </w:r>
      <w:r w:rsidRPr="00642072">
        <w:rPr>
          <w:sz w:val="24"/>
          <w:szCs w:val="24"/>
        </w:rPr>
        <w:t xml:space="preserve">husband’s </w:t>
      </w:r>
      <w:r>
        <w:rPr>
          <w:i/>
          <w:sz w:val="24"/>
          <w:szCs w:val="24"/>
        </w:rPr>
        <w:t xml:space="preserve">legitimate </w:t>
      </w:r>
      <w:r w:rsidRPr="00642072">
        <w:rPr>
          <w:sz w:val="24"/>
          <w:szCs w:val="24"/>
        </w:rPr>
        <w:t>heirs, as was her duty</w:t>
      </w:r>
      <w:r>
        <w:rPr>
          <w:sz w:val="24"/>
          <w:szCs w:val="24"/>
        </w:rPr>
        <w:t xml:space="preserve">, raising them to the standard of her husband’s </w:t>
      </w:r>
      <w:r>
        <w:rPr>
          <w:sz w:val="24"/>
          <w:szCs w:val="24"/>
        </w:rPr>
        <w:lastRenderedPageBreak/>
        <w:t>family.</w:t>
      </w:r>
      <w:r w:rsidRPr="00642072">
        <w:rPr>
          <w:rStyle w:val="FootnoteReference"/>
          <w:szCs w:val="24"/>
        </w:rPr>
        <w:footnoteReference w:id="22"/>
      </w:r>
      <w:r w:rsidRPr="00642072">
        <w:rPr>
          <w:sz w:val="24"/>
          <w:szCs w:val="24"/>
        </w:rPr>
        <w:t xml:space="preserve"> When not occupied with the children, a wife would then care for her husband’s household ensuring that both it, and its occupants prospered under her care.</w:t>
      </w:r>
      <w:r w:rsidRPr="00642072">
        <w:rPr>
          <w:rStyle w:val="FootnoteReference"/>
          <w:szCs w:val="24"/>
        </w:rPr>
        <w:footnoteReference w:id="23"/>
      </w:r>
    </w:p>
    <w:p w14:paraId="61DC9A54" w14:textId="77777777" w:rsidR="00BD359F" w:rsidRPr="00642072" w:rsidRDefault="00BD359F" w:rsidP="00BD359F">
      <w:pPr>
        <w:spacing w:line="480" w:lineRule="auto"/>
        <w:rPr>
          <w:sz w:val="24"/>
          <w:szCs w:val="24"/>
        </w:rPr>
      </w:pPr>
      <w:r w:rsidRPr="00642072">
        <w:rPr>
          <w:sz w:val="24"/>
          <w:szCs w:val="24"/>
        </w:rPr>
        <w:t xml:space="preserve">It is possible to argue that women were ideally meant to be seen and not heard. Such requirements would likely ensure that a woman was meant to dress accordingly, and hardly (if ever at all) raise her voice above the appropriate level. Essentially, women </w:t>
      </w:r>
      <w:proofErr w:type="gramStart"/>
      <w:r w:rsidRPr="00642072">
        <w:rPr>
          <w:sz w:val="24"/>
          <w:szCs w:val="24"/>
        </w:rPr>
        <w:t>were seen as</w:t>
      </w:r>
      <w:proofErr w:type="gramEnd"/>
      <w:r w:rsidRPr="00642072">
        <w:rPr>
          <w:sz w:val="24"/>
          <w:szCs w:val="24"/>
        </w:rPr>
        <w:t xml:space="preserve"> living objects, whose sole reason for existing was to provide heirs for her husband, whilst caring </w:t>
      </w:r>
      <w:r>
        <w:rPr>
          <w:sz w:val="24"/>
          <w:szCs w:val="24"/>
        </w:rPr>
        <w:t xml:space="preserve">to the needs of his </w:t>
      </w:r>
      <w:r w:rsidRPr="00642072">
        <w:rPr>
          <w:sz w:val="24"/>
          <w:szCs w:val="24"/>
        </w:rPr>
        <w:t>household</w:t>
      </w:r>
      <w:r>
        <w:rPr>
          <w:sz w:val="24"/>
          <w:szCs w:val="24"/>
        </w:rPr>
        <w:t xml:space="preserve">, </w:t>
      </w:r>
      <w:r w:rsidRPr="00642072">
        <w:rPr>
          <w:sz w:val="24"/>
          <w:szCs w:val="24"/>
        </w:rPr>
        <w:t>staff</w:t>
      </w:r>
      <w:r>
        <w:rPr>
          <w:sz w:val="24"/>
          <w:szCs w:val="24"/>
        </w:rPr>
        <w:t>/slaves, and property</w:t>
      </w:r>
      <w:r w:rsidRPr="00642072">
        <w:rPr>
          <w:sz w:val="24"/>
          <w:szCs w:val="24"/>
        </w:rPr>
        <w:t xml:space="preserve">. </w:t>
      </w:r>
    </w:p>
    <w:p w14:paraId="671961C1" w14:textId="77777777" w:rsidR="00BD359F" w:rsidRDefault="00BD359F" w:rsidP="00BD359F">
      <w:pPr>
        <w:spacing w:line="480" w:lineRule="auto"/>
        <w:rPr>
          <w:sz w:val="24"/>
          <w:szCs w:val="24"/>
        </w:rPr>
      </w:pPr>
      <w:r w:rsidRPr="00642072">
        <w:rPr>
          <w:sz w:val="24"/>
          <w:szCs w:val="24"/>
        </w:rPr>
        <w:t xml:space="preserve">The social standing of the women of Athens seem to corroborate with </w:t>
      </w:r>
      <w:proofErr w:type="spellStart"/>
      <w:r w:rsidRPr="00642072">
        <w:rPr>
          <w:sz w:val="24"/>
          <w:szCs w:val="24"/>
        </w:rPr>
        <w:t>Tuanna’s</w:t>
      </w:r>
      <w:proofErr w:type="spellEnd"/>
      <w:r w:rsidRPr="00642072">
        <w:rPr>
          <w:sz w:val="24"/>
          <w:szCs w:val="24"/>
        </w:rPr>
        <w:t xml:space="preserve"> </w:t>
      </w:r>
      <w:r>
        <w:rPr>
          <w:sz w:val="24"/>
          <w:szCs w:val="24"/>
        </w:rPr>
        <w:t>that</w:t>
      </w:r>
      <w:r w:rsidRPr="00642072">
        <w:rPr>
          <w:sz w:val="24"/>
          <w:szCs w:val="24"/>
        </w:rPr>
        <w:t xml:space="preserve"> women</w:t>
      </w:r>
      <w:r>
        <w:rPr>
          <w:sz w:val="24"/>
          <w:szCs w:val="24"/>
        </w:rPr>
        <w:t xml:space="preserve"> were</w:t>
      </w:r>
      <w:r w:rsidRPr="00642072">
        <w:rPr>
          <w:sz w:val="24"/>
          <w:szCs w:val="24"/>
        </w:rPr>
        <w:t xml:space="preserve"> treated as lesser beings to their male counterparts</w:t>
      </w:r>
      <w:r>
        <w:rPr>
          <w:sz w:val="24"/>
          <w:szCs w:val="24"/>
        </w:rPr>
        <w:t>, should their creation myths state that women arrived on earth after men.</w:t>
      </w:r>
      <w:r w:rsidRPr="00642072">
        <w:rPr>
          <w:rStyle w:val="FootnoteReference"/>
          <w:szCs w:val="24"/>
        </w:rPr>
        <w:footnoteReference w:id="24"/>
      </w:r>
      <w:r w:rsidRPr="00642072">
        <w:rPr>
          <w:sz w:val="24"/>
          <w:szCs w:val="24"/>
        </w:rPr>
        <w:t xml:space="preserve"> Just [1989] states that women were believed to be legally incompetent and unable to determine what is best for her</w:t>
      </w:r>
      <w:r>
        <w:rPr>
          <w:sz w:val="24"/>
          <w:szCs w:val="24"/>
        </w:rPr>
        <w:t xml:space="preserve"> in all that she did</w:t>
      </w:r>
      <w:r w:rsidRPr="00642072">
        <w:rPr>
          <w:sz w:val="24"/>
          <w:szCs w:val="24"/>
        </w:rPr>
        <w:t>.</w:t>
      </w:r>
      <w:r w:rsidRPr="00642072">
        <w:rPr>
          <w:rStyle w:val="FootnoteReference"/>
          <w:szCs w:val="24"/>
        </w:rPr>
        <w:footnoteReference w:id="25"/>
      </w:r>
      <w:r w:rsidRPr="00642072">
        <w:rPr>
          <w:sz w:val="24"/>
          <w:szCs w:val="24"/>
        </w:rPr>
        <w:t xml:space="preserve"> It is with this belief that placed women under the protection of a </w:t>
      </w:r>
      <w:proofErr w:type="spellStart"/>
      <w:r w:rsidRPr="00642072">
        <w:rPr>
          <w:i/>
          <w:sz w:val="24"/>
          <w:szCs w:val="24"/>
        </w:rPr>
        <w:t>kyrios</w:t>
      </w:r>
      <w:proofErr w:type="spellEnd"/>
      <w:r w:rsidRPr="00642072">
        <w:rPr>
          <w:sz w:val="24"/>
          <w:szCs w:val="24"/>
        </w:rPr>
        <w:t xml:space="preserve">, her </w:t>
      </w:r>
      <w:r>
        <w:rPr>
          <w:sz w:val="24"/>
          <w:szCs w:val="24"/>
        </w:rPr>
        <w:t xml:space="preserve">male </w:t>
      </w:r>
      <w:r w:rsidRPr="00642072">
        <w:rPr>
          <w:sz w:val="24"/>
          <w:szCs w:val="24"/>
        </w:rPr>
        <w:t>guardian.</w:t>
      </w:r>
      <w:r w:rsidRPr="00642072">
        <w:rPr>
          <w:rStyle w:val="FootnoteReference"/>
          <w:szCs w:val="24"/>
        </w:rPr>
        <w:footnoteReference w:id="26"/>
      </w:r>
      <w:r w:rsidRPr="00642072">
        <w:rPr>
          <w:sz w:val="24"/>
          <w:szCs w:val="24"/>
        </w:rPr>
        <w:t xml:space="preserve"> The </w:t>
      </w:r>
      <w:proofErr w:type="spellStart"/>
      <w:r w:rsidRPr="00642072">
        <w:rPr>
          <w:sz w:val="24"/>
          <w:szCs w:val="24"/>
        </w:rPr>
        <w:t>kyrios</w:t>
      </w:r>
      <w:proofErr w:type="spellEnd"/>
      <w:r w:rsidRPr="00642072">
        <w:rPr>
          <w:sz w:val="24"/>
          <w:szCs w:val="24"/>
        </w:rPr>
        <w:t xml:space="preserve"> was responsible for every aspect of the woman’s life; where she lived, her upbringing, ensuring she had the necessities </w:t>
      </w:r>
      <w:r>
        <w:rPr>
          <w:sz w:val="24"/>
          <w:szCs w:val="24"/>
        </w:rPr>
        <w:t xml:space="preserve">needed </w:t>
      </w:r>
      <w:r w:rsidRPr="00642072">
        <w:rPr>
          <w:sz w:val="24"/>
          <w:szCs w:val="24"/>
        </w:rPr>
        <w:t>to survive, and representing her in court should it</w:t>
      </w:r>
      <w:r>
        <w:rPr>
          <w:sz w:val="24"/>
          <w:szCs w:val="24"/>
        </w:rPr>
        <w:t xml:space="preserve"> ever</w:t>
      </w:r>
      <w:r w:rsidRPr="00642072">
        <w:rPr>
          <w:sz w:val="24"/>
          <w:szCs w:val="24"/>
        </w:rPr>
        <w:t xml:space="preserve"> be necessary.</w:t>
      </w:r>
      <w:r w:rsidRPr="00642072">
        <w:rPr>
          <w:rStyle w:val="FootnoteReference"/>
          <w:szCs w:val="24"/>
        </w:rPr>
        <w:footnoteReference w:id="27"/>
      </w:r>
      <w:r w:rsidRPr="00642072">
        <w:rPr>
          <w:sz w:val="24"/>
          <w:szCs w:val="24"/>
        </w:rPr>
        <w:t xml:space="preserve"> Before marriage, a woman’s </w:t>
      </w:r>
      <w:proofErr w:type="spellStart"/>
      <w:r w:rsidRPr="00642072">
        <w:rPr>
          <w:sz w:val="24"/>
          <w:szCs w:val="24"/>
        </w:rPr>
        <w:t>kyrios</w:t>
      </w:r>
      <w:proofErr w:type="spellEnd"/>
      <w:r w:rsidRPr="00642072">
        <w:rPr>
          <w:sz w:val="24"/>
          <w:szCs w:val="24"/>
        </w:rPr>
        <w:t xml:space="preserve"> would first be her father, </w:t>
      </w:r>
      <w:r>
        <w:rPr>
          <w:sz w:val="24"/>
          <w:szCs w:val="24"/>
        </w:rPr>
        <w:t xml:space="preserve">and </w:t>
      </w:r>
      <w:r w:rsidRPr="00642072">
        <w:rPr>
          <w:sz w:val="24"/>
          <w:szCs w:val="24"/>
        </w:rPr>
        <w:t>should her father die</w:t>
      </w:r>
      <w:r>
        <w:rPr>
          <w:sz w:val="24"/>
          <w:szCs w:val="24"/>
        </w:rPr>
        <w:t xml:space="preserve"> before she is passed to the care of a husband</w:t>
      </w:r>
      <w:r w:rsidRPr="00642072">
        <w:rPr>
          <w:sz w:val="24"/>
          <w:szCs w:val="24"/>
        </w:rPr>
        <w:t xml:space="preserve">, her </w:t>
      </w:r>
      <w:proofErr w:type="spellStart"/>
      <w:r w:rsidRPr="00642072">
        <w:rPr>
          <w:sz w:val="24"/>
          <w:szCs w:val="24"/>
        </w:rPr>
        <w:t>kyrios</w:t>
      </w:r>
      <w:proofErr w:type="spellEnd"/>
      <w:r w:rsidRPr="00642072">
        <w:rPr>
          <w:sz w:val="24"/>
          <w:szCs w:val="24"/>
        </w:rPr>
        <w:t xml:space="preserve"> would either be her brother, or paternal grandfather</w:t>
      </w:r>
      <w:r>
        <w:rPr>
          <w:sz w:val="24"/>
          <w:szCs w:val="24"/>
        </w:rPr>
        <w:t>.</w:t>
      </w:r>
      <w:r>
        <w:rPr>
          <w:rStyle w:val="FootnoteReference"/>
          <w:szCs w:val="24"/>
        </w:rPr>
        <w:footnoteReference w:id="28"/>
      </w:r>
      <w:r w:rsidRPr="00642072">
        <w:rPr>
          <w:sz w:val="24"/>
          <w:szCs w:val="24"/>
        </w:rPr>
        <w:t xml:space="preserve"> </w:t>
      </w:r>
      <w:r>
        <w:rPr>
          <w:sz w:val="24"/>
          <w:szCs w:val="24"/>
        </w:rPr>
        <w:t>A</w:t>
      </w:r>
      <w:r w:rsidRPr="00642072">
        <w:rPr>
          <w:sz w:val="24"/>
          <w:szCs w:val="24"/>
        </w:rPr>
        <w:t xml:space="preserve">fter </w:t>
      </w:r>
      <w:r>
        <w:rPr>
          <w:sz w:val="24"/>
          <w:szCs w:val="24"/>
        </w:rPr>
        <w:t xml:space="preserve">she is </w:t>
      </w:r>
      <w:r w:rsidRPr="00642072">
        <w:rPr>
          <w:sz w:val="24"/>
          <w:szCs w:val="24"/>
        </w:rPr>
        <w:t>marri</w:t>
      </w:r>
      <w:r>
        <w:rPr>
          <w:sz w:val="24"/>
          <w:szCs w:val="24"/>
        </w:rPr>
        <w:t>ed</w:t>
      </w:r>
      <w:r w:rsidRPr="00642072">
        <w:rPr>
          <w:sz w:val="24"/>
          <w:szCs w:val="24"/>
        </w:rPr>
        <w:t>, her husband would, naturally, become her guardian.</w:t>
      </w:r>
      <w:r w:rsidRPr="00642072">
        <w:rPr>
          <w:rStyle w:val="FootnoteReference"/>
          <w:szCs w:val="24"/>
        </w:rPr>
        <w:footnoteReference w:id="29"/>
      </w:r>
      <w:r w:rsidRPr="00642072">
        <w:rPr>
          <w:sz w:val="24"/>
          <w:szCs w:val="24"/>
        </w:rPr>
        <w:t xml:space="preserve"> </w:t>
      </w:r>
      <w:r>
        <w:rPr>
          <w:sz w:val="24"/>
          <w:szCs w:val="24"/>
        </w:rPr>
        <w:t xml:space="preserve">A women would only return to the care of her original </w:t>
      </w:r>
      <w:proofErr w:type="spellStart"/>
      <w:r>
        <w:rPr>
          <w:sz w:val="24"/>
          <w:szCs w:val="24"/>
        </w:rPr>
        <w:t>kyrios</w:t>
      </w:r>
      <w:proofErr w:type="spellEnd"/>
      <w:r>
        <w:rPr>
          <w:sz w:val="24"/>
          <w:szCs w:val="24"/>
        </w:rPr>
        <w:t>, if she were widowed with no children, or in the event either she or her husband files for divorce.</w:t>
      </w:r>
      <w:r>
        <w:rPr>
          <w:rStyle w:val="FootnoteReference"/>
          <w:szCs w:val="24"/>
        </w:rPr>
        <w:footnoteReference w:id="30"/>
      </w:r>
    </w:p>
    <w:p w14:paraId="53C80FC4" w14:textId="77777777" w:rsidR="00BD359F" w:rsidRPr="00642072" w:rsidRDefault="00BD359F" w:rsidP="00BD359F">
      <w:pPr>
        <w:spacing w:line="480" w:lineRule="auto"/>
        <w:rPr>
          <w:sz w:val="24"/>
          <w:szCs w:val="24"/>
        </w:rPr>
      </w:pPr>
      <w:r w:rsidRPr="00642072">
        <w:rPr>
          <w:sz w:val="24"/>
          <w:szCs w:val="24"/>
        </w:rPr>
        <w:lastRenderedPageBreak/>
        <w:t>In the event that a woman’s husband has passed away, and should she have no male children, she would return to the care of her birth family</w:t>
      </w:r>
      <w:r>
        <w:rPr>
          <w:sz w:val="24"/>
          <w:szCs w:val="24"/>
        </w:rPr>
        <w:t>.</w:t>
      </w:r>
      <w:r>
        <w:rPr>
          <w:rStyle w:val="FootnoteReference"/>
          <w:szCs w:val="24"/>
        </w:rPr>
        <w:footnoteReference w:id="31"/>
      </w:r>
      <w:r w:rsidRPr="00642072">
        <w:rPr>
          <w:sz w:val="24"/>
          <w:szCs w:val="24"/>
        </w:rPr>
        <w:t xml:space="preserve"> </w:t>
      </w:r>
      <w:r>
        <w:rPr>
          <w:sz w:val="24"/>
          <w:szCs w:val="24"/>
        </w:rPr>
        <w:t>H</w:t>
      </w:r>
      <w:r w:rsidRPr="00642072">
        <w:rPr>
          <w:sz w:val="24"/>
          <w:szCs w:val="24"/>
        </w:rPr>
        <w:t>owever, should she be pregnant when her husband passes, she would remain under the guardianship of her husband’s heir until her child is born.</w:t>
      </w:r>
      <w:r w:rsidRPr="00642072">
        <w:rPr>
          <w:rStyle w:val="FootnoteReference"/>
          <w:szCs w:val="24"/>
        </w:rPr>
        <w:footnoteReference w:id="32"/>
      </w:r>
      <w:r w:rsidRPr="00642072">
        <w:rPr>
          <w:sz w:val="24"/>
          <w:szCs w:val="24"/>
        </w:rPr>
        <w:t xml:space="preserve"> If her husband dies, and she is left with a son who has yet to come of age, her son’s guardian will take on the role of </w:t>
      </w:r>
      <w:r>
        <w:rPr>
          <w:sz w:val="24"/>
          <w:szCs w:val="24"/>
        </w:rPr>
        <w:t xml:space="preserve">her </w:t>
      </w:r>
      <w:proofErr w:type="spellStart"/>
      <w:r w:rsidRPr="00642072">
        <w:rPr>
          <w:sz w:val="24"/>
          <w:szCs w:val="24"/>
        </w:rPr>
        <w:t>kyrios</w:t>
      </w:r>
      <w:proofErr w:type="spellEnd"/>
      <w:r w:rsidRPr="00642072">
        <w:rPr>
          <w:sz w:val="24"/>
          <w:szCs w:val="24"/>
        </w:rPr>
        <w:t xml:space="preserve">, until her son is old enough </w:t>
      </w:r>
      <w:r>
        <w:rPr>
          <w:sz w:val="24"/>
          <w:szCs w:val="24"/>
        </w:rPr>
        <w:t xml:space="preserve">and capable </w:t>
      </w:r>
      <w:r w:rsidRPr="00642072">
        <w:rPr>
          <w:sz w:val="24"/>
          <w:szCs w:val="24"/>
        </w:rPr>
        <w:t>to do so himself.</w:t>
      </w:r>
      <w:r w:rsidRPr="00642072">
        <w:rPr>
          <w:rStyle w:val="FootnoteReference"/>
          <w:szCs w:val="24"/>
        </w:rPr>
        <w:footnoteReference w:id="33"/>
      </w:r>
      <w:r w:rsidRPr="00642072">
        <w:rPr>
          <w:sz w:val="24"/>
          <w:szCs w:val="24"/>
        </w:rPr>
        <w:t xml:space="preserve"> At its essence, a woman had no say in what she did or when she did it, she was moved around by her family in a way that suited them, even during legal proceedings she would not be allowed to represent herself and would not be able to give her own </w:t>
      </w:r>
      <w:r>
        <w:rPr>
          <w:sz w:val="24"/>
          <w:szCs w:val="24"/>
        </w:rPr>
        <w:t xml:space="preserve">thoughts </w:t>
      </w:r>
      <w:r w:rsidRPr="00642072">
        <w:rPr>
          <w:sz w:val="24"/>
          <w:szCs w:val="24"/>
        </w:rPr>
        <w:t>regarding issues that primarily affected her.</w:t>
      </w:r>
      <w:r w:rsidRPr="00642072">
        <w:rPr>
          <w:rStyle w:val="FootnoteReference"/>
          <w:szCs w:val="24"/>
        </w:rPr>
        <w:footnoteReference w:id="34"/>
      </w:r>
    </w:p>
    <w:p w14:paraId="3D11A633" w14:textId="77777777" w:rsidR="00BD359F" w:rsidRPr="00642072" w:rsidRDefault="00BD359F" w:rsidP="00BD359F">
      <w:pPr>
        <w:spacing w:line="480" w:lineRule="auto"/>
        <w:rPr>
          <w:sz w:val="24"/>
          <w:szCs w:val="24"/>
        </w:rPr>
      </w:pPr>
      <w:r w:rsidRPr="00642072">
        <w:rPr>
          <w:sz w:val="24"/>
          <w:szCs w:val="24"/>
        </w:rPr>
        <w:t>6</w:t>
      </w:r>
      <w:r w:rsidRPr="00642072">
        <w:rPr>
          <w:sz w:val="24"/>
          <w:szCs w:val="24"/>
          <w:vertAlign w:val="superscript"/>
        </w:rPr>
        <w:t>th</w:t>
      </w:r>
      <w:r w:rsidRPr="00642072">
        <w:rPr>
          <w:sz w:val="24"/>
          <w:szCs w:val="24"/>
        </w:rPr>
        <w:t xml:space="preserve"> century B.C.</w:t>
      </w:r>
      <w:r>
        <w:rPr>
          <w:sz w:val="24"/>
          <w:szCs w:val="24"/>
        </w:rPr>
        <w:t>E.</w:t>
      </w:r>
      <w:r w:rsidRPr="00642072">
        <w:rPr>
          <w:sz w:val="24"/>
          <w:szCs w:val="24"/>
        </w:rPr>
        <w:t xml:space="preserve"> saw Solon, an Athenian lawgiver institutionalise the </w:t>
      </w:r>
      <w:r w:rsidRPr="00642072">
        <w:rPr>
          <w:i/>
          <w:sz w:val="24"/>
          <w:szCs w:val="24"/>
        </w:rPr>
        <w:t>‘distinction between good women and whores’.</w:t>
      </w:r>
      <w:r w:rsidRPr="00642072">
        <w:rPr>
          <w:rStyle w:val="FootnoteReference"/>
          <w:i/>
          <w:szCs w:val="24"/>
        </w:rPr>
        <w:footnoteReference w:id="35"/>
      </w:r>
      <w:r w:rsidRPr="00642072">
        <w:rPr>
          <w:i/>
          <w:sz w:val="24"/>
          <w:szCs w:val="24"/>
        </w:rPr>
        <w:t xml:space="preserve"> </w:t>
      </w:r>
      <w:r w:rsidRPr="00642072">
        <w:rPr>
          <w:sz w:val="24"/>
          <w:szCs w:val="24"/>
        </w:rPr>
        <w:t>He abolished the rulings that allowed the ability to sell oneself and one’s children into slavery, with an exception that allowed male guardians to sell their female charges if they had lost their virginity before they were able to be married off</w:t>
      </w:r>
      <w:r>
        <w:rPr>
          <w:sz w:val="24"/>
          <w:szCs w:val="24"/>
        </w:rPr>
        <w:t>, thus making her unsuitable for a beneficial marital match.</w:t>
      </w:r>
      <w:r w:rsidRPr="00642072">
        <w:rPr>
          <w:rStyle w:val="FootnoteReference"/>
          <w:szCs w:val="24"/>
        </w:rPr>
        <w:footnoteReference w:id="36"/>
      </w:r>
      <w:r w:rsidRPr="00642072">
        <w:rPr>
          <w:sz w:val="24"/>
          <w:szCs w:val="24"/>
        </w:rPr>
        <w:t xml:space="preserve"> </w:t>
      </w:r>
    </w:p>
    <w:p w14:paraId="6921BDC1" w14:textId="77777777" w:rsidR="00BD359F" w:rsidRPr="00642072" w:rsidRDefault="00BD359F" w:rsidP="00BD359F">
      <w:pPr>
        <w:spacing w:line="480" w:lineRule="auto"/>
        <w:rPr>
          <w:sz w:val="24"/>
          <w:szCs w:val="24"/>
        </w:rPr>
      </w:pPr>
      <w:r w:rsidRPr="00642072">
        <w:rPr>
          <w:sz w:val="24"/>
          <w:szCs w:val="24"/>
        </w:rPr>
        <w:t xml:space="preserve">During legal procedures, a woman’s name would not be heard whilst discussing her in court, but rather she would be known only as her father’s daughter, and her husband’s wife, just as in the court proceedings regarding the estates of </w:t>
      </w:r>
      <w:proofErr w:type="spellStart"/>
      <w:r w:rsidRPr="00642072">
        <w:rPr>
          <w:sz w:val="24"/>
          <w:szCs w:val="24"/>
        </w:rPr>
        <w:t>Philoctemon</w:t>
      </w:r>
      <w:proofErr w:type="spellEnd"/>
      <w:r w:rsidRPr="00642072">
        <w:rPr>
          <w:sz w:val="24"/>
          <w:szCs w:val="24"/>
        </w:rPr>
        <w:t xml:space="preserve"> and Apollodorus.</w:t>
      </w:r>
      <w:r w:rsidRPr="00642072">
        <w:rPr>
          <w:rStyle w:val="FootnoteReference"/>
          <w:szCs w:val="24"/>
        </w:rPr>
        <w:footnoteReference w:id="37"/>
      </w:r>
      <w:r w:rsidRPr="00642072">
        <w:rPr>
          <w:sz w:val="24"/>
          <w:szCs w:val="24"/>
        </w:rPr>
        <w:t xml:space="preserve"> The women discussed for the </w:t>
      </w:r>
      <w:proofErr w:type="spellStart"/>
      <w:r w:rsidRPr="00642072">
        <w:rPr>
          <w:sz w:val="24"/>
          <w:szCs w:val="24"/>
        </w:rPr>
        <w:t>Philoctemon</w:t>
      </w:r>
      <w:proofErr w:type="spellEnd"/>
      <w:r w:rsidRPr="00642072">
        <w:rPr>
          <w:sz w:val="24"/>
          <w:szCs w:val="24"/>
        </w:rPr>
        <w:t xml:space="preserve"> estate are </w:t>
      </w:r>
      <w:proofErr w:type="spellStart"/>
      <w:r w:rsidRPr="00642072">
        <w:rPr>
          <w:sz w:val="24"/>
          <w:szCs w:val="24"/>
        </w:rPr>
        <w:t>know</w:t>
      </w:r>
      <w:proofErr w:type="spellEnd"/>
      <w:r w:rsidRPr="00642072">
        <w:rPr>
          <w:sz w:val="24"/>
          <w:szCs w:val="24"/>
        </w:rPr>
        <w:t xml:space="preserve"> only as: </w:t>
      </w:r>
      <w:r w:rsidRPr="00642072">
        <w:rPr>
          <w:i/>
          <w:sz w:val="24"/>
          <w:szCs w:val="24"/>
        </w:rPr>
        <w:t xml:space="preserve">“two daughters and their mother, </w:t>
      </w:r>
      <w:proofErr w:type="spellStart"/>
      <w:r w:rsidRPr="00642072">
        <w:rPr>
          <w:i/>
          <w:sz w:val="24"/>
          <w:szCs w:val="24"/>
        </w:rPr>
        <w:t>Euctemon’s</w:t>
      </w:r>
      <w:proofErr w:type="spellEnd"/>
      <w:r w:rsidRPr="00642072">
        <w:rPr>
          <w:i/>
          <w:sz w:val="24"/>
          <w:szCs w:val="24"/>
        </w:rPr>
        <w:t xml:space="preserve"> wife, the daughter of </w:t>
      </w:r>
      <w:proofErr w:type="spellStart"/>
      <w:r w:rsidRPr="00642072">
        <w:rPr>
          <w:i/>
          <w:sz w:val="24"/>
          <w:szCs w:val="24"/>
        </w:rPr>
        <w:t>Meixiades</w:t>
      </w:r>
      <w:proofErr w:type="spellEnd"/>
      <w:r w:rsidRPr="00642072">
        <w:rPr>
          <w:i/>
          <w:sz w:val="24"/>
          <w:szCs w:val="24"/>
        </w:rPr>
        <w:t xml:space="preserve"> of </w:t>
      </w:r>
      <w:proofErr w:type="spellStart"/>
      <w:r w:rsidRPr="00642072">
        <w:rPr>
          <w:i/>
          <w:sz w:val="24"/>
          <w:szCs w:val="24"/>
        </w:rPr>
        <w:t>Cephisia</w:t>
      </w:r>
      <w:proofErr w:type="spellEnd"/>
      <w:r w:rsidRPr="00642072">
        <w:rPr>
          <w:i/>
          <w:sz w:val="24"/>
          <w:szCs w:val="24"/>
        </w:rPr>
        <w:t>”</w:t>
      </w:r>
      <w:r w:rsidRPr="00642072">
        <w:rPr>
          <w:rStyle w:val="FootnoteReference"/>
          <w:i/>
          <w:szCs w:val="24"/>
        </w:rPr>
        <w:footnoteReference w:id="38"/>
      </w:r>
      <w:r w:rsidRPr="00642072">
        <w:rPr>
          <w:sz w:val="24"/>
          <w:szCs w:val="24"/>
        </w:rPr>
        <w:t xml:space="preserve">, and likewise in regarding the Apollodorus estate, the woman discussed is known thusly as: </w:t>
      </w:r>
      <w:r w:rsidRPr="00642072">
        <w:rPr>
          <w:i/>
          <w:sz w:val="24"/>
          <w:szCs w:val="24"/>
        </w:rPr>
        <w:t>‘</w:t>
      </w:r>
      <w:proofErr w:type="spellStart"/>
      <w:r w:rsidRPr="00642072">
        <w:rPr>
          <w:i/>
          <w:sz w:val="24"/>
          <w:szCs w:val="24"/>
        </w:rPr>
        <w:t>Archedamus’s</w:t>
      </w:r>
      <w:proofErr w:type="spellEnd"/>
      <w:r w:rsidRPr="00642072">
        <w:rPr>
          <w:i/>
          <w:sz w:val="24"/>
          <w:szCs w:val="24"/>
        </w:rPr>
        <w:t xml:space="preserve"> daughter, his </w:t>
      </w:r>
      <w:r w:rsidRPr="00642072">
        <w:rPr>
          <w:i/>
          <w:sz w:val="24"/>
          <w:szCs w:val="24"/>
        </w:rPr>
        <w:lastRenderedPageBreak/>
        <w:t>own sister, and my mother’</w:t>
      </w:r>
      <w:r w:rsidRPr="00642072">
        <w:rPr>
          <w:sz w:val="24"/>
          <w:szCs w:val="24"/>
        </w:rPr>
        <w:t>.</w:t>
      </w:r>
      <w:r w:rsidRPr="00642072">
        <w:rPr>
          <w:rStyle w:val="FootnoteReference"/>
          <w:szCs w:val="24"/>
        </w:rPr>
        <w:footnoteReference w:id="39"/>
      </w:r>
      <w:r w:rsidRPr="00642072">
        <w:rPr>
          <w:sz w:val="24"/>
          <w:szCs w:val="24"/>
        </w:rPr>
        <w:t xml:space="preserve"> Just [1989] describes women in these cases as being a </w:t>
      </w:r>
      <w:r w:rsidRPr="00642072">
        <w:rPr>
          <w:i/>
          <w:sz w:val="24"/>
          <w:szCs w:val="24"/>
        </w:rPr>
        <w:t>‘Passive victim of male ambitions’</w:t>
      </w:r>
      <w:r w:rsidRPr="00642072">
        <w:rPr>
          <w:rStyle w:val="FootnoteReference"/>
          <w:i/>
          <w:szCs w:val="24"/>
        </w:rPr>
        <w:footnoteReference w:id="40"/>
      </w:r>
      <w:r>
        <w:rPr>
          <w:sz w:val="24"/>
          <w:szCs w:val="24"/>
        </w:rPr>
        <w:t>.</w:t>
      </w:r>
      <w:r w:rsidRPr="00642072">
        <w:rPr>
          <w:sz w:val="24"/>
          <w:szCs w:val="24"/>
        </w:rPr>
        <w:t xml:space="preserve"> </w:t>
      </w:r>
      <w:r>
        <w:rPr>
          <w:sz w:val="24"/>
          <w:szCs w:val="24"/>
        </w:rPr>
        <w:t xml:space="preserve">This goes further than cutting out her name from legal cases, for example, </w:t>
      </w:r>
      <w:r w:rsidRPr="00642072">
        <w:rPr>
          <w:sz w:val="24"/>
          <w:szCs w:val="24"/>
        </w:rPr>
        <w:t>if a woman were to inherit an estate from a male relative, she would still have no legal capabilities and would still have to answer to her husband, who would be able to claim her inheritance for himself</w:t>
      </w:r>
      <w:r>
        <w:rPr>
          <w:sz w:val="24"/>
          <w:szCs w:val="24"/>
        </w:rPr>
        <w:t>, if he so chose to do so.</w:t>
      </w:r>
      <w:r w:rsidRPr="00642072">
        <w:rPr>
          <w:rStyle w:val="FootnoteReference"/>
          <w:szCs w:val="24"/>
        </w:rPr>
        <w:footnoteReference w:id="41"/>
      </w:r>
    </w:p>
    <w:p w14:paraId="4E797D0A" w14:textId="77777777" w:rsidR="00BD359F" w:rsidRPr="00642072" w:rsidRDefault="00BD359F" w:rsidP="00BD359F">
      <w:pPr>
        <w:spacing w:line="480" w:lineRule="auto"/>
        <w:rPr>
          <w:sz w:val="24"/>
          <w:szCs w:val="24"/>
        </w:rPr>
      </w:pPr>
      <w:r w:rsidRPr="00642072">
        <w:rPr>
          <w:sz w:val="24"/>
          <w:szCs w:val="24"/>
        </w:rPr>
        <w:t>Even within their marriage, a woman would still have no rights unless it was through their immediate guardian.</w:t>
      </w:r>
      <w:r w:rsidRPr="00642072">
        <w:rPr>
          <w:rStyle w:val="FootnoteReference"/>
          <w:szCs w:val="24"/>
        </w:rPr>
        <w:footnoteReference w:id="42"/>
      </w:r>
      <w:r w:rsidRPr="00642072">
        <w:rPr>
          <w:sz w:val="24"/>
          <w:szCs w:val="24"/>
        </w:rPr>
        <w:t xml:space="preserve"> It is </w:t>
      </w:r>
      <w:proofErr w:type="spellStart"/>
      <w:r w:rsidRPr="00642072">
        <w:rPr>
          <w:sz w:val="24"/>
          <w:szCs w:val="24"/>
        </w:rPr>
        <w:t>Keuls</w:t>
      </w:r>
      <w:proofErr w:type="spellEnd"/>
      <w:r w:rsidRPr="00642072">
        <w:rPr>
          <w:sz w:val="24"/>
          <w:szCs w:val="24"/>
        </w:rPr>
        <w:t xml:space="preserve">’ [1985] belief, that the only leverage a woman from Classical Athens would have </w:t>
      </w:r>
      <w:r>
        <w:rPr>
          <w:sz w:val="24"/>
          <w:szCs w:val="24"/>
        </w:rPr>
        <w:t xml:space="preserve">had </w:t>
      </w:r>
      <w:r w:rsidRPr="00642072">
        <w:rPr>
          <w:sz w:val="24"/>
          <w:szCs w:val="24"/>
        </w:rPr>
        <w:t>in her marriage was her dowry, a requirement for all marriages to be legal, paid to the groom by the bride’s guardian.</w:t>
      </w:r>
      <w:r w:rsidRPr="00642072">
        <w:rPr>
          <w:rStyle w:val="FootnoteReference"/>
          <w:szCs w:val="24"/>
        </w:rPr>
        <w:footnoteReference w:id="43"/>
      </w:r>
      <w:r w:rsidRPr="00642072">
        <w:rPr>
          <w:sz w:val="24"/>
          <w:szCs w:val="24"/>
        </w:rPr>
        <w:t xml:space="preserve"> If the dowry was quite </w:t>
      </w:r>
      <w:r>
        <w:rPr>
          <w:sz w:val="24"/>
          <w:szCs w:val="24"/>
        </w:rPr>
        <w:t>substantial in size</w:t>
      </w:r>
      <w:r w:rsidRPr="00642072">
        <w:rPr>
          <w:sz w:val="24"/>
          <w:szCs w:val="24"/>
        </w:rPr>
        <w:t xml:space="preserve">, the husband would have </w:t>
      </w:r>
      <w:r>
        <w:rPr>
          <w:sz w:val="24"/>
          <w:szCs w:val="24"/>
        </w:rPr>
        <w:t xml:space="preserve">had </w:t>
      </w:r>
      <w:r w:rsidRPr="00642072">
        <w:rPr>
          <w:sz w:val="24"/>
          <w:szCs w:val="24"/>
        </w:rPr>
        <w:t>to pay back the dowry to the bride’s guardian, plus interest in the event of divorce.</w:t>
      </w:r>
      <w:r w:rsidRPr="00642072">
        <w:rPr>
          <w:rStyle w:val="FootnoteReference"/>
          <w:szCs w:val="24"/>
        </w:rPr>
        <w:footnoteReference w:id="44"/>
      </w:r>
      <w:r w:rsidRPr="00642072">
        <w:rPr>
          <w:sz w:val="24"/>
          <w:szCs w:val="24"/>
        </w:rPr>
        <w:t xml:space="preserve"> </w:t>
      </w:r>
      <w:r>
        <w:rPr>
          <w:sz w:val="24"/>
          <w:szCs w:val="24"/>
        </w:rPr>
        <w:t>However, d</w:t>
      </w:r>
      <w:r w:rsidRPr="00642072">
        <w:rPr>
          <w:sz w:val="24"/>
          <w:szCs w:val="24"/>
        </w:rPr>
        <w:t xml:space="preserve">ue to having no legal or political power, </w:t>
      </w:r>
      <w:r>
        <w:rPr>
          <w:sz w:val="24"/>
          <w:szCs w:val="24"/>
        </w:rPr>
        <w:t xml:space="preserve">should a woman wish to ask for divorce, </w:t>
      </w:r>
      <w:r w:rsidRPr="00642072">
        <w:rPr>
          <w:sz w:val="24"/>
          <w:szCs w:val="24"/>
        </w:rPr>
        <w:t xml:space="preserve">the woman would have to return to her guardian prior to having been married, and convince </w:t>
      </w:r>
      <w:r w:rsidRPr="00FD7B70">
        <w:rPr>
          <w:i/>
          <w:sz w:val="24"/>
          <w:szCs w:val="24"/>
        </w:rPr>
        <w:t>him</w:t>
      </w:r>
      <w:r w:rsidRPr="00642072">
        <w:rPr>
          <w:sz w:val="24"/>
          <w:szCs w:val="24"/>
        </w:rPr>
        <w:t xml:space="preserve"> to represent her in court which would have </w:t>
      </w:r>
      <w:r>
        <w:rPr>
          <w:sz w:val="24"/>
          <w:szCs w:val="24"/>
        </w:rPr>
        <w:t xml:space="preserve">likely </w:t>
      </w:r>
      <w:r w:rsidRPr="00642072">
        <w:rPr>
          <w:sz w:val="24"/>
          <w:szCs w:val="24"/>
        </w:rPr>
        <w:t>been no easy task</w:t>
      </w:r>
      <w:r>
        <w:rPr>
          <w:sz w:val="24"/>
          <w:szCs w:val="24"/>
        </w:rPr>
        <w:t>.</w:t>
      </w:r>
      <w:r>
        <w:rPr>
          <w:rStyle w:val="FootnoteReference"/>
          <w:szCs w:val="24"/>
        </w:rPr>
        <w:footnoteReference w:id="45"/>
      </w:r>
      <w:r w:rsidRPr="00642072">
        <w:rPr>
          <w:sz w:val="24"/>
          <w:szCs w:val="24"/>
        </w:rPr>
        <w:t xml:space="preserve"> </w:t>
      </w:r>
      <w:r>
        <w:rPr>
          <w:sz w:val="24"/>
          <w:szCs w:val="24"/>
        </w:rPr>
        <w:t>I</w:t>
      </w:r>
      <w:r w:rsidRPr="00642072">
        <w:rPr>
          <w:sz w:val="24"/>
          <w:szCs w:val="24"/>
        </w:rPr>
        <w:t>t would have been unlikely her guardian would have wished her return as he would then have to find a second, suitable husband for his charge</w:t>
      </w:r>
      <w:r>
        <w:rPr>
          <w:sz w:val="24"/>
          <w:szCs w:val="24"/>
        </w:rPr>
        <w:t xml:space="preserve"> as she would have already been married, and likely already have children of her own.</w:t>
      </w:r>
      <w:r w:rsidRPr="00642072">
        <w:rPr>
          <w:rStyle w:val="FootnoteReference"/>
          <w:szCs w:val="24"/>
        </w:rPr>
        <w:footnoteReference w:id="46"/>
      </w:r>
      <w:r>
        <w:rPr>
          <w:sz w:val="24"/>
          <w:szCs w:val="24"/>
        </w:rPr>
        <w:t xml:space="preserve"> Likely to be an undesirable trait in any potential suitors.</w:t>
      </w:r>
    </w:p>
    <w:p w14:paraId="25BEC000" w14:textId="77777777" w:rsidR="00F5401E" w:rsidRDefault="00BD359F" w:rsidP="00F5401E">
      <w:pPr>
        <w:spacing w:line="480" w:lineRule="auto"/>
        <w:rPr>
          <w:sz w:val="24"/>
          <w:szCs w:val="24"/>
        </w:rPr>
      </w:pPr>
      <w:r w:rsidRPr="00642072">
        <w:rPr>
          <w:sz w:val="24"/>
          <w:szCs w:val="24"/>
        </w:rPr>
        <w:t xml:space="preserve">Women of Classical Athens were considered inferior to men politically and legally, however Pomeroy [1975] </w:t>
      </w:r>
      <w:r>
        <w:rPr>
          <w:sz w:val="24"/>
          <w:szCs w:val="24"/>
        </w:rPr>
        <w:t>states</w:t>
      </w:r>
      <w:r w:rsidRPr="00642072">
        <w:rPr>
          <w:sz w:val="24"/>
          <w:szCs w:val="24"/>
        </w:rPr>
        <w:t xml:space="preserve"> that the </w:t>
      </w:r>
      <w:r>
        <w:rPr>
          <w:sz w:val="24"/>
          <w:szCs w:val="24"/>
        </w:rPr>
        <w:t>actual</w:t>
      </w:r>
      <w:r w:rsidRPr="00642072">
        <w:rPr>
          <w:sz w:val="24"/>
          <w:szCs w:val="24"/>
        </w:rPr>
        <w:t xml:space="preserve"> status of women </w:t>
      </w:r>
      <w:r>
        <w:rPr>
          <w:sz w:val="24"/>
          <w:szCs w:val="24"/>
        </w:rPr>
        <w:t xml:space="preserve">in society </w:t>
      </w:r>
      <w:r w:rsidRPr="00642072">
        <w:rPr>
          <w:sz w:val="24"/>
          <w:szCs w:val="24"/>
        </w:rPr>
        <w:t>is split between scholars, with some believing that women were kept at a distance and hidden away</w:t>
      </w:r>
      <w:r>
        <w:rPr>
          <w:sz w:val="24"/>
          <w:szCs w:val="24"/>
        </w:rPr>
        <w:t xml:space="preserve"> as they were not of </w:t>
      </w:r>
      <w:r>
        <w:rPr>
          <w:sz w:val="24"/>
          <w:szCs w:val="24"/>
        </w:rPr>
        <w:lastRenderedPageBreak/>
        <w:t>popular standing with the rest of society.</w:t>
      </w:r>
      <w:r w:rsidRPr="00642072">
        <w:rPr>
          <w:rStyle w:val="FootnoteReference"/>
          <w:szCs w:val="24"/>
        </w:rPr>
        <w:footnoteReference w:id="47"/>
      </w:r>
      <w:r w:rsidRPr="00642072">
        <w:rPr>
          <w:sz w:val="24"/>
          <w:szCs w:val="24"/>
        </w:rPr>
        <w:t xml:space="preserve"> Whilst other scholars seem to prefer the idea that women held </w:t>
      </w:r>
      <w:r>
        <w:rPr>
          <w:sz w:val="24"/>
          <w:szCs w:val="24"/>
        </w:rPr>
        <w:t xml:space="preserve">considerably </w:t>
      </w:r>
      <w:r w:rsidRPr="00642072">
        <w:rPr>
          <w:sz w:val="24"/>
          <w:szCs w:val="24"/>
        </w:rPr>
        <w:t>more freedom than the first argument suggests, and that they had the same freedom to go about their day just as the women from later centuries had.</w:t>
      </w:r>
      <w:r w:rsidRPr="00642072">
        <w:rPr>
          <w:rStyle w:val="FootnoteReference"/>
          <w:szCs w:val="24"/>
        </w:rPr>
        <w:footnoteReference w:id="48"/>
      </w:r>
    </w:p>
    <w:p w14:paraId="21D891E6" w14:textId="77777777" w:rsidR="00F5401E" w:rsidRDefault="00F5401E">
      <w:pPr>
        <w:rPr>
          <w:sz w:val="24"/>
          <w:szCs w:val="24"/>
        </w:rPr>
      </w:pPr>
      <w:r>
        <w:rPr>
          <w:sz w:val="24"/>
          <w:szCs w:val="24"/>
        </w:rPr>
        <w:br w:type="page"/>
      </w:r>
    </w:p>
    <w:p w14:paraId="0C61EC7D" w14:textId="77777777" w:rsidR="00F5401E" w:rsidRPr="00642072" w:rsidRDefault="00F5401E" w:rsidP="00F5401E">
      <w:pPr>
        <w:pStyle w:val="Heading1"/>
        <w:spacing w:line="480" w:lineRule="auto"/>
        <w:jc w:val="center"/>
        <w:rPr>
          <w:rFonts w:cs="Times New Roman"/>
          <w:sz w:val="28"/>
          <w:u w:val="single"/>
        </w:rPr>
      </w:pPr>
      <w:bookmarkStart w:id="8" w:name="_Toc513747781"/>
      <w:r w:rsidRPr="00642072">
        <w:rPr>
          <w:rFonts w:cs="Times New Roman"/>
          <w:sz w:val="28"/>
          <w:u w:val="single"/>
        </w:rPr>
        <w:lastRenderedPageBreak/>
        <w:t>Chapter Two: The Representation of Medea in Myth, Art and in Literature</w:t>
      </w:r>
      <w:bookmarkEnd w:id="8"/>
    </w:p>
    <w:p w14:paraId="23BA3946" w14:textId="77777777" w:rsidR="00F5401E" w:rsidRPr="00642072" w:rsidRDefault="00F5401E" w:rsidP="00F5401E">
      <w:pPr>
        <w:spacing w:line="240" w:lineRule="auto"/>
        <w:jc w:val="center"/>
        <w:rPr>
          <w:sz w:val="24"/>
          <w:szCs w:val="24"/>
        </w:rPr>
      </w:pPr>
      <w:r w:rsidRPr="00642072">
        <w:rPr>
          <w:i/>
          <w:sz w:val="24"/>
          <w:szCs w:val="24"/>
        </w:rPr>
        <w:t xml:space="preserve">She loathes the children and takes no joy in looking at </w:t>
      </w:r>
      <w:r w:rsidRPr="00642072">
        <w:rPr>
          <w:i/>
          <w:sz w:val="24"/>
          <w:szCs w:val="24"/>
        </w:rPr>
        <w:br/>
        <w:t>them. I am afraid that she will hatch some sinister plan.</w:t>
      </w:r>
      <w:r w:rsidRPr="00642072">
        <w:rPr>
          <w:i/>
          <w:sz w:val="24"/>
          <w:szCs w:val="24"/>
        </w:rPr>
        <w:br/>
        <w:t xml:space="preserve">She has a terrible temper and will not put up with bad </w:t>
      </w:r>
      <w:r w:rsidRPr="00642072">
        <w:rPr>
          <w:i/>
          <w:sz w:val="24"/>
          <w:szCs w:val="24"/>
        </w:rPr>
        <w:br/>
        <w:t>treatment (I know her), and I fear she may thrust a whetted</w:t>
      </w:r>
      <w:r w:rsidRPr="00642072">
        <w:rPr>
          <w:i/>
          <w:sz w:val="24"/>
          <w:szCs w:val="24"/>
        </w:rPr>
        <w:br/>
        <w:t>sword through her vitals, [slipping quietly into the</w:t>
      </w:r>
      <w:r w:rsidRPr="00642072">
        <w:rPr>
          <w:i/>
          <w:sz w:val="24"/>
          <w:szCs w:val="24"/>
        </w:rPr>
        <w:br/>
        <w:t xml:space="preserve">house where the bed is laid out,] or kill the royal family </w:t>
      </w:r>
      <w:r w:rsidRPr="00642072">
        <w:rPr>
          <w:i/>
          <w:sz w:val="24"/>
          <w:szCs w:val="24"/>
        </w:rPr>
        <w:br/>
        <w:t>and the bridegroom and then with some greater calamity.</w:t>
      </w:r>
      <w:r w:rsidRPr="00642072">
        <w:rPr>
          <w:i/>
          <w:sz w:val="24"/>
          <w:szCs w:val="24"/>
        </w:rPr>
        <w:br/>
        <w:t xml:space="preserve">For she is dangerous. I tell you, no one clashes with </w:t>
      </w:r>
      <w:r w:rsidRPr="00642072">
        <w:rPr>
          <w:i/>
          <w:sz w:val="24"/>
          <w:szCs w:val="24"/>
        </w:rPr>
        <w:br/>
        <w:t>her will find it easy to crow in victory.</w:t>
      </w:r>
      <w:r w:rsidRPr="00642072">
        <w:rPr>
          <w:rStyle w:val="FootnoteReference"/>
          <w:szCs w:val="24"/>
        </w:rPr>
        <w:footnoteReference w:id="49"/>
      </w:r>
      <w:r w:rsidRPr="00642072">
        <w:rPr>
          <w:sz w:val="24"/>
          <w:szCs w:val="24"/>
        </w:rPr>
        <w:t xml:space="preserve"> </w:t>
      </w:r>
      <w:r w:rsidRPr="00642072">
        <w:rPr>
          <w:sz w:val="24"/>
          <w:szCs w:val="24"/>
        </w:rPr>
        <w:br/>
        <w:t>[Euripides, Medea 36-48]</w:t>
      </w:r>
    </w:p>
    <w:p w14:paraId="3A33FF4F" w14:textId="77777777" w:rsidR="00F5401E" w:rsidRPr="00642072" w:rsidRDefault="00F5401E" w:rsidP="00F5401E">
      <w:pPr>
        <w:spacing w:line="480" w:lineRule="auto"/>
        <w:rPr>
          <w:sz w:val="24"/>
          <w:szCs w:val="24"/>
        </w:rPr>
      </w:pPr>
      <w:r w:rsidRPr="00642072">
        <w:rPr>
          <w:sz w:val="24"/>
          <w:szCs w:val="24"/>
        </w:rPr>
        <w:t>Despite looking at the possibility of Euripides attempting to make his audience seem far more sympathetic towards Medea’s character</w:t>
      </w:r>
      <w:r>
        <w:rPr>
          <w:sz w:val="24"/>
          <w:szCs w:val="24"/>
        </w:rPr>
        <w:t>,</w:t>
      </w:r>
      <w:r w:rsidRPr="00642072">
        <w:rPr>
          <w:sz w:val="24"/>
          <w:szCs w:val="24"/>
        </w:rPr>
        <w:t xml:space="preserve"> </w:t>
      </w:r>
      <w:r>
        <w:rPr>
          <w:sz w:val="24"/>
          <w:szCs w:val="24"/>
        </w:rPr>
        <w:t xml:space="preserve">as discussed </w:t>
      </w:r>
      <w:r w:rsidRPr="00642072">
        <w:rPr>
          <w:sz w:val="24"/>
          <w:szCs w:val="24"/>
        </w:rPr>
        <w:t>within this dissertation’s introduction, which could possibly be disputed by scholar’s and critics alike, Euripides’ seems to make it a point to also remind audiences that she is also a very dangerous woman, made more dangerous given the fact her husband has left her for a new woman</w:t>
      </w:r>
      <w:r>
        <w:rPr>
          <w:sz w:val="24"/>
          <w:szCs w:val="24"/>
        </w:rPr>
        <w:t>.</w:t>
      </w:r>
      <w:r w:rsidRPr="00642072">
        <w:rPr>
          <w:rStyle w:val="FootnoteReference"/>
          <w:szCs w:val="24"/>
        </w:rPr>
        <w:footnoteReference w:id="50"/>
      </w:r>
      <w:r>
        <w:rPr>
          <w:sz w:val="24"/>
          <w:szCs w:val="24"/>
        </w:rPr>
        <w:t xml:space="preserve"> However, he does make it a point to remind us that although she is dangerous, she is still a woman. </w:t>
      </w:r>
      <w:r w:rsidRPr="00642072">
        <w:rPr>
          <w:sz w:val="24"/>
          <w:szCs w:val="24"/>
        </w:rPr>
        <w:t xml:space="preserve">Medea “the Sorceress”, is one of the </w:t>
      </w:r>
      <w:r>
        <w:rPr>
          <w:sz w:val="24"/>
          <w:szCs w:val="24"/>
        </w:rPr>
        <w:t xml:space="preserve">many </w:t>
      </w:r>
      <w:r w:rsidRPr="00642072">
        <w:rPr>
          <w:sz w:val="24"/>
          <w:szCs w:val="24"/>
        </w:rPr>
        <w:t xml:space="preserve">names of which she has been given, and one of her most famous as she is seen using magic </w:t>
      </w:r>
      <w:r>
        <w:rPr>
          <w:sz w:val="24"/>
          <w:szCs w:val="24"/>
        </w:rPr>
        <w:t xml:space="preserve">several times </w:t>
      </w:r>
      <w:r w:rsidRPr="00642072">
        <w:rPr>
          <w:sz w:val="24"/>
          <w:szCs w:val="24"/>
        </w:rPr>
        <w:t xml:space="preserve">during </w:t>
      </w:r>
      <w:r>
        <w:rPr>
          <w:sz w:val="24"/>
          <w:szCs w:val="24"/>
        </w:rPr>
        <w:t xml:space="preserve">and after </w:t>
      </w:r>
      <w:r w:rsidRPr="00642072">
        <w:rPr>
          <w:sz w:val="24"/>
          <w:szCs w:val="24"/>
        </w:rPr>
        <w:t>her travels with Jason.</w:t>
      </w:r>
      <w:r w:rsidRPr="00642072">
        <w:rPr>
          <w:rStyle w:val="FootnoteReference"/>
          <w:szCs w:val="24"/>
        </w:rPr>
        <w:footnoteReference w:id="51"/>
      </w:r>
    </w:p>
    <w:p w14:paraId="77D63B1C" w14:textId="77777777" w:rsidR="00F5401E" w:rsidRPr="00642072" w:rsidRDefault="00F5401E" w:rsidP="00F5401E">
      <w:pPr>
        <w:pStyle w:val="Heading2"/>
        <w:spacing w:line="480" w:lineRule="auto"/>
        <w:rPr>
          <w:rFonts w:cs="Times New Roman"/>
        </w:rPr>
      </w:pPr>
      <w:bookmarkStart w:id="9" w:name="_Toc513747782"/>
      <w:r w:rsidRPr="00642072">
        <w:rPr>
          <w:rFonts w:cs="Times New Roman"/>
        </w:rPr>
        <w:t>Medea in Art</w:t>
      </w:r>
      <w:bookmarkEnd w:id="9"/>
    </w:p>
    <w:p w14:paraId="70A690F6" w14:textId="77777777" w:rsidR="00F5401E" w:rsidRPr="00642072" w:rsidRDefault="00F5401E" w:rsidP="00F5401E">
      <w:pPr>
        <w:spacing w:line="480" w:lineRule="auto"/>
        <w:rPr>
          <w:sz w:val="24"/>
          <w:szCs w:val="24"/>
        </w:rPr>
      </w:pPr>
      <w:r w:rsidRPr="00642072">
        <w:rPr>
          <w:sz w:val="24"/>
          <w:szCs w:val="24"/>
        </w:rPr>
        <w:t>There have been several depictions of Medea in art throughout the centuries, from ceramics, mosaics, and paintings as will be shown below.</w:t>
      </w:r>
    </w:p>
    <w:p w14:paraId="41142DDF" w14:textId="77777777" w:rsidR="00F5401E" w:rsidRPr="00642072" w:rsidRDefault="00F5401E" w:rsidP="00F5401E">
      <w:pPr>
        <w:spacing w:line="480" w:lineRule="auto"/>
        <w:rPr>
          <w:sz w:val="24"/>
          <w:szCs w:val="24"/>
        </w:rPr>
      </w:pPr>
      <w:r w:rsidRPr="00642072">
        <w:rPr>
          <w:sz w:val="24"/>
          <w:szCs w:val="24"/>
        </w:rPr>
        <w:t>In figure 1, Medea looks mournful as though dreading the impending deaths of her sons</w:t>
      </w:r>
      <w:r>
        <w:rPr>
          <w:sz w:val="24"/>
          <w:szCs w:val="24"/>
        </w:rPr>
        <w:t xml:space="preserve">, </w:t>
      </w:r>
      <w:proofErr w:type="gramStart"/>
      <w:r>
        <w:rPr>
          <w:sz w:val="24"/>
          <w:szCs w:val="24"/>
        </w:rPr>
        <w:t>despite the fact that</w:t>
      </w:r>
      <w:proofErr w:type="gramEnd"/>
      <w:r>
        <w:rPr>
          <w:sz w:val="24"/>
          <w:szCs w:val="24"/>
        </w:rPr>
        <w:t xml:space="preserve"> their deaths would occur by</w:t>
      </w:r>
      <w:r w:rsidRPr="00642072">
        <w:rPr>
          <w:sz w:val="24"/>
          <w:szCs w:val="24"/>
        </w:rPr>
        <w:t xml:space="preserve"> her </w:t>
      </w:r>
      <w:r>
        <w:rPr>
          <w:sz w:val="24"/>
          <w:szCs w:val="24"/>
        </w:rPr>
        <w:t xml:space="preserve">own </w:t>
      </w:r>
      <w:r w:rsidRPr="00642072">
        <w:rPr>
          <w:sz w:val="24"/>
          <w:szCs w:val="24"/>
        </w:rPr>
        <w:t>hand</w:t>
      </w:r>
      <w:r>
        <w:rPr>
          <w:sz w:val="24"/>
          <w:szCs w:val="24"/>
        </w:rPr>
        <w:t>.</w:t>
      </w:r>
      <w:r w:rsidRPr="00642072">
        <w:rPr>
          <w:sz w:val="24"/>
          <w:szCs w:val="24"/>
        </w:rPr>
        <w:t xml:space="preserve"> </w:t>
      </w:r>
      <w:r>
        <w:rPr>
          <w:sz w:val="24"/>
          <w:szCs w:val="24"/>
        </w:rPr>
        <w:t>Y</w:t>
      </w:r>
      <w:r w:rsidRPr="00642072">
        <w:rPr>
          <w:sz w:val="24"/>
          <w:szCs w:val="24"/>
        </w:rPr>
        <w:t>et</w:t>
      </w:r>
      <w:r>
        <w:rPr>
          <w:sz w:val="24"/>
          <w:szCs w:val="24"/>
        </w:rPr>
        <w:t xml:space="preserve"> she also appears</w:t>
      </w:r>
      <w:r w:rsidRPr="00642072">
        <w:rPr>
          <w:sz w:val="24"/>
          <w:szCs w:val="24"/>
        </w:rPr>
        <w:t xml:space="preserve"> </w:t>
      </w:r>
      <w:r>
        <w:rPr>
          <w:sz w:val="24"/>
          <w:szCs w:val="24"/>
        </w:rPr>
        <w:t xml:space="preserve">to be </w:t>
      </w:r>
      <w:r w:rsidRPr="00642072">
        <w:rPr>
          <w:sz w:val="24"/>
          <w:szCs w:val="24"/>
        </w:rPr>
        <w:t xml:space="preserve">readying herself to complete the deed. </w:t>
      </w:r>
      <w:r>
        <w:rPr>
          <w:sz w:val="24"/>
          <w:szCs w:val="24"/>
        </w:rPr>
        <w:t xml:space="preserve">Her appearance in this figure appears to be one </w:t>
      </w:r>
      <w:r w:rsidRPr="00642072">
        <w:rPr>
          <w:sz w:val="24"/>
          <w:szCs w:val="24"/>
        </w:rPr>
        <w:t xml:space="preserve">of a doting mother, and not at all </w:t>
      </w:r>
      <w:r>
        <w:rPr>
          <w:sz w:val="24"/>
          <w:szCs w:val="24"/>
        </w:rPr>
        <w:t>di</w:t>
      </w:r>
      <w:r w:rsidRPr="00642072">
        <w:rPr>
          <w:sz w:val="24"/>
          <w:szCs w:val="24"/>
        </w:rPr>
        <w:t>s</w:t>
      </w:r>
      <w:r>
        <w:rPr>
          <w:sz w:val="24"/>
          <w:szCs w:val="24"/>
        </w:rPr>
        <w:t>s</w:t>
      </w:r>
      <w:r w:rsidRPr="00642072">
        <w:rPr>
          <w:sz w:val="24"/>
          <w:szCs w:val="24"/>
        </w:rPr>
        <w:t xml:space="preserve">imilar to the imagery presented by Euripides. If it </w:t>
      </w:r>
      <w:r>
        <w:rPr>
          <w:sz w:val="24"/>
          <w:szCs w:val="24"/>
        </w:rPr>
        <w:t xml:space="preserve">was </w:t>
      </w:r>
      <w:r w:rsidRPr="00642072">
        <w:rPr>
          <w:sz w:val="24"/>
          <w:szCs w:val="24"/>
        </w:rPr>
        <w:t xml:space="preserve">not for the knife in her hand, and the mournful expression </w:t>
      </w:r>
      <w:r>
        <w:rPr>
          <w:sz w:val="24"/>
          <w:szCs w:val="24"/>
        </w:rPr>
        <w:t>on</w:t>
      </w:r>
      <w:r w:rsidRPr="00642072">
        <w:rPr>
          <w:sz w:val="24"/>
          <w:szCs w:val="24"/>
        </w:rPr>
        <w:t xml:space="preserve"> her face, she may have been able to </w:t>
      </w:r>
      <w:r w:rsidRPr="00642072">
        <w:rPr>
          <w:sz w:val="24"/>
          <w:szCs w:val="24"/>
        </w:rPr>
        <w:lastRenderedPageBreak/>
        <w:t xml:space="preserve">pass as any </w:t>
      </w:r>
      <w:r>
        <w:rPr>
          <w:sz w:val="24"/>
          <w:szCs w:val="24"/>
        </w:rPr>
        <w:t xml:space="preserve">normal </w:t>
      </w:r>
      <w:r w:rsidRPr="00642072">
        <w:rPr>
          <w:sz w:val="24"/>
          <w:szCs w:val="24"/>
        </w:rPr>
        <w:t>mother</w:t>
      </w:r>
      <w:r>
        <w:rPr>
          <w:sz w:val="24"/>
          <w:szCs w:val="24"/>
        </w:rPr>
        <w:t>, simply</w:t>
      </w:r>
      <w:r w:rsidRPr="00642072">
        <w:rPr>
          <w:sz w:val="24"/>
          <w:szCs w:val="24"/>
        </w:rPr>
        <w:t xml:space="preserve"> watching over her sons as they play. Her demure appearance, her perfectly kept hair, and her fine </w:t>
      </w:r>
      <w:r>
        <w:rPr>
          <w:noProof/>
        </w:rPr>
        <mc:AlternateContent>
          <mc:Choice Requires="wps">
            <w:drawing>
              <wp:anchor distT="0" distB="0" distL="114300" distR="114300" simplePos="0" relativeHeight="251661312" behindDoc="1" locked="0" layoutInCell="1" allowOverlap="1" wp14:anchorId="706CA087" wp14:editId="12573D6D">
                <wp:simplePos x="0" y="0"/>
                <wp:positionH relativeFrom="column">
                  <wp:posOffset>0</wp:posOffset>
                </wp:positionH>
                <wp:positionV relativeFrom="paragraph">
                  <wp:posOffset>4296410</wp:posOffset>
                </wp:positionV>
                <wp:extent cx="423672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4236720" cy="635"/>
                        </a:xfrm>
                        <a:prstGeom prst="rect">
                          <a:avLst/>
                        </a:prstGeom>
                        <a:solidFill>
                          <a:prstClr val="white"/>
                        </a:solidFill>
                        <a:ln>
                          <a:noFill/>
                        </a:ln>
                      </wps:spPr>
                      <wps:txbx>
                        <w:txbxContent>
                          <w:p w14:paraId="55909E2E" w14:textId="77777777" w:rsidR="00FA029C" w:rsidRPr="00243FCD" w:rsidRDefault="00FA029C" w:rsidP="00F5401E">
                            <w:pPr>
                              <w:pStyle w:val="Caption"/>
                              <w:rPr>
                                <w:rFonts w:ascii="Times New Roman" w:hAnsi="Times New Roman" w:cs="Times New Roman"/>
                                <w:color w:val="auto"/>
                                <w:sz w:val="24"/>
                                <w:szCs w:val="24"/>
                              </w:rPr>
                            </w:pPr>
                            <w:bookmarkStart w:id="10" w:name="_Toc513742725"/>
                            <w:r w:rsidRPr="00243FCD">
                              <w:rPr>
                                <w:rFonts w:ascii="Times New Roman" w:hAnsi="Times New Roman" w:cs="Times New Roman"/>
                                <w:color w:val="auto"/>
                              </w:rPr>
                              <w:t xml:space="preserve">Figure </w:t>
                            </w:r>
                            <w:r w:rsidRPr="00243FCD">
                              <w:rPr>
                                <w:rFonts w:ascii="Times New Roman" w:hAnsi="Times New Roman" w:cs="Times New Roman"/>
                                <w:color w:val="auto"/>
                              </w:rPr>
                              <w:fldChar w:fldCharType="begin"/>
                            </w:r>
                            <w:r w:rsidRPr="00243FCD">
                              <w:rPr>
                                <w:rFonts w:ascii="Times New Roman" w:hAnsi="Times New Roman" w:cs="Times New Roman"/>
                                <w:color w:val="auto"/>
                              </w:rPr>
                              <w:instrText xml:space="preserve"> SEQ Figure \* ARABIC </w:instrText>
                            </w:r>
                            <w:r w:rsidRPr="00243FCD">
                              <w:rPr>
                                <w:rFonts w:ascii="Times New Roman" w:hAnsi="Times New Roman" w:cs="Times New Roman"/>
                                <w:color w:val="auto"/>
                              </w:rPr>
                              <w:fldChar w:fldCharType="separate"/>
                            </w:r>
                            <w:r>
                              <w:rPr>
                                <w:rFonts w:ascii="Times New Roman" w:hAnsi="Times New Roman" w:cs="Times New Roman"/>
                                <w:noProof/>
                                <w:color w:val="auto"/>
                              </w:rPr>
                              <w:t>1</w:t>
                            </w:r>
                            <w:r w:rsidRPr="00243FCD">
                              <w:rPr>
                                <w:rFonts w:ascii="Times New Roman" w:hAnsi="Times New Roman" w:cs="Times New Roman"/>
                                <w:color w:val="auto"/>
                              </w:rPr>
                              <w:fldChar w:fldCharType="end"/>
                            </w:r>
                            <w:r w:rsidRPr="00243FCD">
                              <w:rPr>
                                <w:rFonts w:ascii="Times New Roman" w:hAnsi="Times New Roman" w:cs="Times New Roman"/>
                                <w:color w:val="auto"/>
                              </w:rPr>
                              <w:t>: Medea watches over her sons, looking mournful as she waits to kill them</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06CA087" id="_x0000_t202" coordsize="21600,21600" o:spt="202" path="m,l,21600r21600,l21600,xe">
                <v:stroke joinstyle="miter"/>
                <v:path gradientshapeok="t" o:connecttype="rect"/>
              </v:shapetype>
              <v:shape id="Text Box 1" o:spid="_x0000_s1026" type="#_x0000_t202" style="position:absolute;margin-left:0;margin-top:338.3pt;width:333.6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" stroked="f">
                <v:textbox style="mso-fit-shape-to-text:t" inset="0,0,0,0">
                  <w:txbxContent>
                    <w:p w14:paraId="55909E2E" w14:textId="77777777" w:rsidR="00FA029C" w:rsidRPr="00243FCD" w:rsidRDefault="00FA029C" w:rsidP="00F5401E">
                      <w:pPr>
                        <w:pStyle w:val="Caption"/>
                        <w:rPr>
                          <w:rFonts w:ascii="Times New Roman" w:hAnsi="Times New Roman" w:cs="Times New Roman"/>
                          <w:color w:val="auto"/>
                          <w:sz w:val="24"/>
                          <w:szCs w:val="24"/>
                        </w:rPr>
                      </w:pPr>
                      <w:bookmarkStart w:id="11" w:name="_Toc513742725"/>
                      <w:r w:rsidRPr="00243FCD">
                        <w:rPr>
                          <w:rFonts w:ascii="Times New Roman" w:hAnsi="Times New Roman" w:cs="Times New Roman"/>
                          <w:color w:val="auto"/>
                        </w:rPr>
                        <w:t xml:space="preserve">Figure </w:t>
                      </w:r>
                      <w:r w:rsidRPr="00243FCD">
                        <w:rPr>
                          <w:rFonts w:ascii="Times New Roman" w:hAnsi="Times New Roman" w:cs="Times New Roman"/>
                          <w:color w:val="auto"/>
                        </w:rPr>
                        <w:fldChar w:fldCharType="begin"/>
                      </w:r>
                      <w:r w:rsidRPr="00243FCD">
                        <w:rPr>
                          <w:rFonts w:ascii="Times New Roman" w:hAnsi="Times New Roman" w:cs="Times New Roman"/>
                          <w:color w:val="auto"/>
                        </w:rPr>
                        <w:instrText xml:space="preserve"> SEQ Figure \* ARABIC </w:instrText>
                      </w:r>
                      <w:r w:rsidRPr="00243FCD">
                        <w:rPr>
                          <w:rFonts w:ascii="Times New Roman" w:hAnsi="Times New Roman" w:cs="Times New Roman"/>
                          <w:color w:val="auto"/>
                        </w:rPr>
                        <w:fldChar w:fldCharType="separate"/>
                      </w:r>
                      <w:r>
                        <w:rPr>
                          <w:rFonts w:ascii="Times New Roman" w:hAnsi="Times New Roman" w:cs="Times New Roman"/>
                          <w:noProof/>
                          <w:color w:val="auto"/>
                        </w:rPr>
                        <w:t>1</w:t>
                      </w:r>
                      <w:r w:rsidRPr="00243FCD">
                        <w:rPr>
                          <w:rFonts w:ascii="Times New Roman" w:hAnsi="Times New Roman" w:cs="Times New Roman"/>
                          <w:color w:val="auto"/>
                        </w:rPr>
                        <w:fldChar w:fldCharType="end"/>
                      </w:r>
                      <w:r w:rsidRPr="00243FCD">
                        <w:rPr>
                          <w:rFonts w:ascii="Times New Roman" w:hAnsi="Times New Roman" w:cs="Times New Roman"/>
                          <w:color w:val="auto"/>
                        </w:rPr>
                        <w:t>: Medea watches over her sons, looking mournful as she waits to kill them</w:t>
                      </w:r>
                      <w:bookmarkEnd w:id="11"/>
                    </w:p>
                  </w:txbxContent>
                </v:textbox>
                <w10:wrap type="tight"/>
              </v:shape>
            </w:pict>
          </mc:Fallback>
        </mc:AlternateContent>
      </w:r>
      <w:r w:rsidRPr="00642072">
        <w:rPr>
          <w:noProof/>
          <w:sz w:val="24"/>
          <w:szCs w:val="24"/>
        </w:rPr>
        <w:drawing>
          <wp:anchor distT="0" distB="0" distL="114300" distR="114300" simplePos="0" relativeHeight="251659264" behindDoc="1" locked="0" layoutInCell="1" allowOverlap="1" wp14:anchorId="37DC451B" wp14:editId="1853F3BA">
            <wp:simplePos x="0" y="0"/>
            <wp:positionH relativeFrom="margin">
              <wp:align>left</wp:align>
            </wp:positionH>
            <wp:positionV relativeFrom="paragraph">
              <wp:posOffset>2540</wp:posOffset>
            </wp:positionV>
            <wp:extent cx="4236720" cy="4236720"/>
            <wp:effectExtent l="0" t="0" r="0" b="0"/>
            <wp:wrapTight wrapText="bothSides">
              <wp:wrapPolygon edited="0">
                <wp:start x="0" y="0"/>
                <wp:lineTo x="0" y="21464"/>
                <wp:lineTo x="21464" y="21464"/>
                <wp:lineTo x="21464" y="0"/>
                <wp:lineTo x="0" y="0"/>
              </wp:wrapPolygon>
            </wp:wrapTight>
            <wp:docPr id="5" name="Picture 4">
              <a:extLst xmlns:a="http://schemas.openxmlformats.org/drawingml/2006/main">
                <a:ext uri="{FF2B5EF4-FFF2-40B4-BE49-F238E27FC236}">
                  <a16:creationId xmlns:a16="http://schemas.microsoft.com/office/drawing/2014/main" id="{8E780D1D-124C-40B7-951C-0A8D19B3D4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E780D1D-124C-40B7-951C-0A8D19B3D408}"/>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236720" cy="4236720"/>
                    </a:xfrm>
                    <a:prstGeom prst="rect">
                      <a:avLst/>
                    </a:prstGeom>
                  </pic:spPr>
                </pic:pic>
              </a:graphicData>
            </a:graphic>
            <wp14:sizeRelH relativeFrom="margin">
              <wp14:pctWidth>0</wp14:pctWidth>
            </wp14:sizeRelH>
            <wp14:sizeRelV relativeFrom="margin">
              <wp14:pctHeight>0</wp14:pctHeight>
            </wp14:sizeRelV>
          </wp:anchor>
        </w:drawing>
      </w:r>
      <w:r w:rsidRPr="00642072">
        <w:rPr>
          <w:sz w:val="24"/>
          <w:szCs w:val="24"/>
        </w:rPr>
        <w:t>clothing</w:t>
      </w:r>
      <w:r>
        <w:rPr>
          <w:sz w:val="24"/>
          <w:szCs w:val="24"/>
        </w:rPr>
        <w:t xml:space="preserve"> do not suggest that she is about to do the unthinkable.</w:t>
      </w:r>
      <w:r w:rsidRPr="00642072">
        <w:rPr>
          <w:sz w:val="24"/>
          <w:szCs w:val="24"/>
        </w:rPr>
        <w:t xml:space="preserve"> </w:t>
      </w:r>
      <w:r>
        <w:rPr>
          <w:sz w:val="24"/>
          <w:szCs w:val="24"/>
        </w:rPr>
        <w:t>I</w:t>
      </w:r>
      <w:r w:rsidRPr="00642072">
        <w:rPr>
          <w:sz w:val="24"/>
          <w:szCs w:val="24"/>
        </w:rPr>
        <w:t xml:space="preserve">f it were not for the knife held in her hand, Medea </w:t>
      </w:r>
      <w:r>
        <w:rPr>
          <w:sz w:val="24"/>
          <w:szCs w:val="24"/>
        </w:rPr>
        <w:t xml:space="preserve">might have been able to pass as a “proper” woman of society as was discussed in the previous chapter.            </w:t>
      </w:r>
      <w:r>
        <w:rPr>
          <w:sz w:val="24"/>
          <w:szCs w:val="24"/>
        </w:rPr>
        <w:tab/>
      </w:r>
      <w:r w:rsidRPr="00642072">
        <w:rPr>
          <w:noProof/>
        </w:rPr>
        <w:drawing>
          <wp:anchor distT="0" distB="0" distL="114300" distR="114300" simplePos="0" relativeHeight="251660288" behindDoc="1" locked="0" layoutInCell="1" allowOverlap="1" wp14:anchorId="67B9F505" wp14:editId="63F9A179">
            <wp:simplePos x="0" y="0"/>
            <wp:positionH relativeFrom="margin">
              <wp:align>left</wp:align>
            </wp:positionH>
            <wp:positionV relativeFrom="paragraph">
              <wp:posOffset>5012055</wp:posOffset>
            </wp:positionV>
            <wp:extent cx="2760980" cy="3846195"/>
            <wp:effectExtent l="0" t="0" r="127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760980" cy="3846195"/>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ab/>
      </w:r>
      <w:r>
        <w:rPr>
          <w:sz w:val="24"/>
          <w:szCs w:val="24"/>
        </w:rPr>
        <w:tab/>
      </w:r>
      <w:r>
        <w:rPr>
          <w:sz w:val="24"/>
          <w:szCs w:val="24"/>
        </w:rPr>
        <w:tab/>
      </w:r>
      <w:r>
        <w:rPr>
          <w:sz w:val="24"/>
          <w:szCs w:val="24"/>
        </w:rPr>
        <w:tab/>
      </w:r>
      <w:r>
        <w:rPr>
          <w:sz w:val="24"/>
          <w:szCs w:val="24"/>
        </w:rPr>
        <w:tab/>
        <w:t xml:space="preserve">         S</w:t>
      </w:r>
      <w:r w:rsidRPr="00642072">
        <w:rPr>
          <w:sz w:val="24"/>
          <w:szCs w:val="24"/>
        </w:rPr>
        <w:t xml:space="preserve">imilar imagery can be seen here in figure 2, where Medea is seen to be glancing out of a cave, with her sons clutched </w:t>
      </w:r>
      <w:r>
        <w:rPr>
          <w:sz w:val="24"/>
          <w:szCs w:val="24"/>
        </w:rPr>
        <w:t xml:space="preserve">securely </w:t>
      </w:r>
      <w:r w:rsidRPr="00642072">
        <w:rPr>
          <w:sz w:val="24"/>
          <w:szCs w:val="24"/>
        </w:rPr>
        <w:t xml:space="preserve">to her body and far </w:t>
      </w:r>
      <w:r>
        <w:rPr>
          <w:sz w:val="24"/>
          <w:szCs w:val="24"/>
        </w:rPr>
        <w:t xml:space="preserve">from view from </w:t>
      </w:r>
      <w:r w:rsidRPr="00642072">
        <w:rPr>
          <w:sz w:val="24"/>
          <w:szCs w:val="24"/>
        </w:rPr>
        <w:t>whatever may be lurking outside. And yet, a knife is held just as firmly as the two boys and instead of mournful resignation, she seems almost angry as she keeps watch</w:t>
      </w:r>
      <w:r>
        <w:rPr>
          <w:sz w:val="24"/>
          <w:szCs w:val="24"/>
        </w:rPr>
        <w:t xml:space="preserve"> and attempts to keep hold of her two struggling sons.</w:t>
      </w:r>
      <w:r w:rsidRPr="00642072">
        <w:rPr>
          <w:sz w:val="24"/>
          <w:szCs w:val="24"/>
        </w:rPr>
        <w:t xml:space="preserve"> Regardless of the artists reasoning, Medea </w:t>
      </w:r>
      <w:r>
        <w:rPr>
          <w:noProof/>
        </w:rPr>
        <mc:AlternateContent>
          <mc:Choice Requires="wps">
            <w:drawing>
              <wp:anchor distT="0" distB="0" distL="114300" distR="114300" simplePos="0" relativeHeight="251662336" behindDoc="1" locked="0" layoutInCell="1" allowOverlap="1" wp14:anchorId="7AB484EE" wp14:editId="7A5CA6D4">
                <wp:simplePos x="0" y="0"/>
                <wp:positionH relativeFrom="margin">
                  <wp:align>left</wp:align>
                </wp:positionH>
                <wp:positionV relativeFrom="paragraph">
                  <wp:posOffset>8470265</wp:posOffset>
                </wp:positionV>
                <wp:extent cx="2788920" cy="635"/>
                <wp:effectExtent l="0" t="0" r="0" b="0"/>
                <wp:wrapTight wrapText="bothSides">
                  <wp:wrapPolygon edited="0">
                    <wp:start x="0" y="0"/>
                    <wp:lineTo x="0" y="20052"/>
                    <wp:lineTo x="21393" y="20052"/>
                    <wp:lineTo x="21393"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788920" cy="635"/>
                        </a:xfrm>
                        <a:prstGeom prst="rect">
                          <a:avLst/>
                        </a:prstGeom>
                        <a:solidFill>
                          <a:prstClr val="white"/>
                        </a:solidFill>
                        <a:ln>
                          <a:noFill/>
                        </a:ln>
                      </wps:spPr>
                      <wps:txbx>
                        <w:txbxContent>
                          <w:p w14:paraId="3DD1AE52" w14:textId="77777777" w:rsidR="00FA029C" w:rsidRPr="00B03481" w:rsidRDefault="00FA029C" w:rsidP="00F5401E">
                            <w:pPr>
                              <w:pStyle w:val="Caption"/>
                              <w:rPr>
                                <w:rFonts w:ascii="Times New Roman" w:hAnsi="Times New Roman" w:cs="Times New Roman"/>
                                <w:noProof/>
                                <w:color w:val="auto"/>
                                <w:sz w:val="24"/>
                                <w:szCs w:val="24"/>
                              </w:rPr>
                            </w:pPr>
                            <w:bookmarkStart w:id="12" w:name="_Toc513742726"/>
                            <w:r w:rsidRPr="00B03481">
                              <w:rPr>
                                <w:rFonts w:ascii="Times New Roman" w:hAnsi="Times New Roman" w:cs="Times New Roman"/>
                                <w:color w:val="auto"/>
                              </w:rPr>
                              <w:t xml:space="preserve">Figure </w:t>
                            </w:r>
                            <w:r w:rsidRPr="00B03481">
                              <w:rPr>
                                <w:rFonts w:ascii="Times New Roman" w:hAnsi="Times New Roman" w:cs="Times New Roman"/>
                                <w:color w:val="auto"/>
                              </w:rPr>
                              <w:fldChar w:fldCharType="begin"/>
                            </w:r>
                            <w:r w:rsidRPr="00B03481">
                              <w:rPr>
                                <w:rFonts w:ascii="Times New Roman" w:hAnsi="Times New Roman" w:cs="Times New Roman"/>
                                <w:color w:val="auto"/>
                              </w:rPr>
                              <w:instrText xml:space="preserve"> SEQ Figure \* ARABIC </w:instrText>
                            </w:r>
                            <w:r w:rsidRPr="00B03481">
                              <w:rPr>
                                <w:rFonts w:ascii="Times New Roman" w:hAnsi="Times New Roman" w:cs="Times New Roman"/>
                                <w:color w:val="auto"/>
                              </w:rPr>
                              <w:fldChar w:fldCharType="separate"/>
                            </w:r>
                            <w:r w:rsidRPr="00B03481">
                              <w:rPr>
                                <w:rFonts w:ascii="Times New Roman" w:hAnsi="Times New Roman" w:cs="Times New Roman"/>
                                <w:noProof/>
                                <w:color w:val="auto"/>
                              </w:rPr>
                              <w:t>2</w:t>
                            </w:r>
                            <w:r w:rsidRPr="00B03481">
                              <w:rPr>
                                <w:rFonts w:ascii="Times New Roman" w:hAnsi="Times New Roman" w:cs="Times New Roman"/>
                                <w:color w:val="auto"/>
                              </w:rPr>
                              <w:fldChar w:fldCharType="end"/>
                            </w:r>
                            <w:r w:rsidRPr="00B03481">
                              <w:rPr>
                                <w:rFonts w:ascii="Times New Roman" w:hAnsi="Times New Roman" w:cs="Times New Roman"/>
                                <w:color w:val="auto"/>
                              </w:rPr>
                              <w:t>: Medea keeping her sons close as she readies herself to kill them</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AB484EE" id="Text Box 3" o:spid="_x0000_s1027" type="#_x0000_t202" style="position:absolute;margin-left:0;margin-top:666.95pt;width:219.6pt;height:.05pt;z-index:-25165414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" stroked="f">
                <v:textbox style="mso-fit-shape-to-text:t" inset="0,0,0,0">
                  <w:txbxContent>
                    <w:p w14:paraId="3DD1AE52" w14:textId="77777777" w:rsidR="00FA029C" w:rsidRPr="00B03481" w:rsidRDefault="00FA029C" w:rsidP="00F5401E">
                      <w:pPr>
                        <w:pStyle w:val="Caption"/>
                        <w:rPr>
                          <w:rFonts w:ascii="Times New Roman" w:hAnsi="Times New Roman" w:cs="Times New Roman"/>
                          <w:noProof/>
                          <w:color w:val="auto"/>
                          <w:sz w:val="24"/>
                          <w:szCs w:val="24"/>
                        </w:rPr>
                      </w:pPr>
                      <w:bookmarkStart w:id="13" w:name="_Toc513742726"/>
                      <w:r w:rsidRPr="00B03481">
                        <w:rPr>
                          <w:rFonts w:ascii="Times New Roman" w:hAnsi="Times New Roman" w:cs="Times New Roman"/>
                          <w:color w:val="auto"/>
                        </w:rPr>
                        <w:t xml:space="preserve">Figure </w:t>
                      </w:r>
                      <w:r w:rsidRPr="00B03481">
                        <w:rPr>
                          <w:rFonts w:ascii="Times New Roman" w:hAnsi="Times New Roman" w:cs="Times New Roman"/>
                          <w:color w:val="auto"/>
                        </w:rPr>
                        <w:fldChar w:fldCharType="begin"/>
                      </w:r>
                      <w:r w:rsidRPr="00B03481">
                        <w:rPr>
                          <w:rFonts w:ascii="Times New Roman" w:hAnsi="Times New Roman" w:cs="Times New Roman"/>
                          <w:color w:val="auto"/>
                        </w:rPr>
                        <w:instrText xml:space="preserve"> SEQ Figure \* ARABIC </w:instrText>
                      </w:r>
                      <w:r w:rsidRPr="00B03481">
                        <w:rPr>
                          <w:rFonts w:ascii="Times New Roman" w:hAnsi="Times New Roman" w:cs="Times New Roman"/>
                          <w:color w:val="auto"/>
                        </w:rPr>
                        <w:fldChar w:fldCharType="separate"/>
                      </w:r>
                      <w:r w:rsidRPr="00B03481">
                        <w:rPr>
                          <w:rFonts w:ascii="Times New Roman" w:hAnsi="Times New Roman" w:cs="Times New Roman"/>
                          <w:noProof/>
                          <w:color w:val="auto"/>
                        </w:rPr>
                        <w:t>2</w:t>
                      </w:r>
                      <w:r w:rsidRPr="00B03481">
                        <w:rPr>
                          <w:rFonts w:ascii="Times New Roman" w:hAnsi="Times New Roman" w:cs="Times New Roman"/>
                          <w:color w:val="auto"/>
                        </w:rPr>
                        <w:fldChar w:fldCharType="end"/>
                      </w:r>
                      <w:r w:rsidRPr="00B03481">
                        <w:rPr>
                          <w:rFonts w:ascii="Times New Roman" w:hAnsi="Times New Roman" w:cs="Times New Roman"/>
                          <w:color w:val="auto"/>
                        </w:rPr>
                        <w:t>: Medea keeping her sons close as she readies herself to kill them</w:t>
                      </w:r>
                      <w:bookmarkEnd w:id="13"/>
                    </w:p>
                  </w:txbxContent>
                </v:textbox>
                <w10:wrap type="tight" anchorx="margin"/>
              </v:shape>
            </w:pict>
          </mc:Fallback>
        </mc:AlternateContent>
      </w:r>
      <w:r w:rsidRPr="00642072">
        <w:rPr>
          <w:sz w:val="24"/>
          <w:szCs w:val="24"/>
        </w:rPr>
        <w:t xml:space="preserve">in this depiction </w:t>
      </w:r>
      <w:r>
        <w:rPr>
          <w:sz w:val="24"/>
          <w:szCs w:val="24"/>
        </w:rPr>
        <w:lastRenderedPageBreak/>
        <w:t xml:space="preserve">somehow </w:t>
      </w:r>
      <w:r w:rsidRPr="00642072">
        <w:rPr>
          <w:sz w:val="24"/>
          <w:szCs w:val="24"/>
        </w:rPr>
        <w:t xml:space="preserve">manages to retain </w:t>
      </w:r>
      <w:r>
        <w:rPr>
          <w:sz w:val="24"/>
          <w:szCs w:val="24"/>
        </w:rPr>
        <w:t>even the smallest amount of</w:t>
      </w:r>
      <w:r w:rsidRPr="00642072">
        <w:rPr>
          <w:sz w:val="24"/>
          <w:szCs w:val="24"/>
        </w:rPr>
        <w:t xml:space="preserve"> motherly nature whilst clutching her children to her body. Unlike with figure 2, the Medea here is considerably more unkept prior to the murder of her children, as though she had left her home in a rush and had been unable to pin her hair</w:t>
      </w:r>
      <w:r>
        <w:rPr>
          <w:sz w:val="24"/>
          <w:szCs w:val="24"/>
        </w:rPr>
        <w:t>, nor tie her clothes securely to her body.</w:t>
      </w:r>
      <w:r w:rsidRPr="00642072">
        <w:rPr>
          <w:sz w:val="24"/>
          <w:szCs w:val="24"/>
        </w:rPr>
        <w:t xml:space="preserve"> With her unkept appearance however, she manages to fit into the image of a mad and dangerous woman as presented by </w:t>
      </w:r>
      <w:r>
        <w:rPr>
          <w:sz w:val="24"/>
          <w:szCs w:val="24"/>
        </w:rPr>
        <w:t>Seneca</w:t>
      </w:r>
      <w:r w:rsidRPr="00642072">
        <w:rPr>
          <w:sz w:val="24"/>
          <w:szCs w:val="24"/>
        </w:rPr>
        <w:t xml:space="preserve"> than she would have, had her hair been </w:t>
      </w:r>
      <w:r>
        <w:rPr>
          <w:sz w:val="24"/>
          <w:szCs w:val="24"/>
        </w:rPr>
        <w:t>and clothing been kept in their perfect condition as</w:t>
      </w:r>
      <w:r w:rsidRPr="00642072">
        <w:rPr>
          <w:sz w:val="24"/>
          <w:szCs w:val="24"/>
        </w:rPr>
        <w:t xml:space="preserve"> is the case in figure 1.  </w:t>
      </w:r>
    </w:p>
    <w:p w14:paraId="3E308B45" w14:textId="77777777" w:rsidR="00F5401E" w:rsidRPr="00642072" w:rsidRDefault="00F5401E" w:rsidP="00F5401E">
      <w:pPr>
        <w:pStyle w:val="Heading2"/>
        <w:spacing w:line="480" w:lineRule="auto"/>
        <w:rPr>
          <w:rFonts w:cs="Times New Roman"/>
        </w:rPr>
      </w:pPr>
      <w:bookmarkStart w:id="14" w:name="_Toc513747783"/>
      <w:r w:rsidRPr="00642072">
        <w:rPr>
          <w:rFonts w:cs="Times New Roman"/>
        </w:rPr>
        <w:t>Medea in Myth</w:t>
      </w:r>
      <w:bookmarkEnd w:id="14"/>
    </w:p>
    <w:p w14:paraId="675BA5F0" w14:textId="77777777" w:rsidR="00F5401E" w:rsidRDefault="00F5401E" w:rsidP="00F5401E">
      <w:pPr>
        <w:spacing w:line="480" w:lineRule="auto"/>
        <w:rPr>
          <w:sz w:val="24"/>
          <w:szCs w:val="24"/>
        </w:rPr>
      </w:pPr>
      <w:r w:rsidRPr="00642072">
        <w:rPr>
          <w:sz w:val="24"/>
          <w:szCs w:val="24"/>
        </w:rPr>
        <w:t>Medea first encounters her husband during his quest to retrieve the Golden Fleece</w:t>
      </w:r>
      <w:r>
        <w:rPr>
          <w:sz w:val="24"/>
          <w:szCs w:val="24"/>
        </w:rPr>
        <w:t xml:space="preserve"> from her father, </w:t>
      </w:r>
      <w:proofErr w:type="spellStart"/>
      <w:r>
        <w:rPr>
          <w:sz w:val="24"/>
          <w:szCs w:val="24"/>
        </w:rPr>
        <w:t>Aietes</w:t>
      </w:r>
      <w:proofErr w:type="spellEnd"/>
      <w:r w:rsidRPr="00642072">
        <w:rPr>
          <w:sz w:val="24"/>
          <w:szCs w:val="24"/>
        </w:rPr>
        <w:t>.</w:t>
      </w:r>
      <w:r w:rsidRPr="00642072">
        <w:rPr>
          <w:rStyle w:val="FootnoteReference"/>
          <w:szCs w:val="24"/>
        </w:rPr>
        <w:footnoteReference w:id="52"/>
      </w:r>
      <w:r w:rsidRPr="00642072">
        <w:rPr>
          <w:sz w:val="24"/>
          <w:szCs w:val="24"/>
        </w:rPr>
        <w:t xml:space="preserve"> Jason had come to Colchis, </w:t>
      </w:r>
      <w:r>
        <w:rPr>
          <w:sz w:val="24"/>
          <w:szCs w:val="24"/>
        </w:rPr>
        <w:t>the</w:t>
      </w:r>
      <w:r w:rsidRPr="00642072">
        <w:rPr>
          <w:sz w:val="24"/>
          <w:szCs w:val="24"/>
        </w:rPr>
        <w:t xml:space="preserve"> land ruled by Medea’s father, and told that should he kill the </w:t>
      </w:r>
      <w:r w:rsidRPr="00642072">
        <w:rPr>
          <w:i/>
          <w:sz w:val="24"/>
          <w:szCs w:val="24"/>
        </w:rPr>
        <w:t>bronze-footed bulls</w:t>
      </w:r>
      <w:r w:rsidRPr="00642072">
        <w:rPr>
          <w:rStyle w:val="FootnoteReference"/>
          <w:i/>
          <w:szCs w:val="24"/>
        </w:rPr>
        <w:footnoteReference w:id="53"/>
      </w:r>
      <w:r w:rsidRPr="00642072">
        <w:rPr>
          <w:i/>
          <w:sz w:val="24"/>
          <w:szCs w:val="24"/>
        </w:rPr>
        <w:t xml:space="preserve"> </w:t>
      </w:r>
      <w:r w:rsidRPr="00642072">
        <w:rPr>
          <w:sz w:val="24"/>
          <w:szCs w:val="24"/>
        </w:rPr>
        <w:t xml:space="preserve">and sow the Dragon’s teeth that </w:t>
      </w:r>
      <w:proofErr w:type="spellStart"/>
      <w:r w:rsidRPr="00642072">
        <w:rPr>
          <w:sz w:val="24"/>
          <w:szCs w:val="24"/>
        </w:rPr>
        <w:t>Aietes</w:t>
      </w:r>
      <w:proofErr w:type="spellEnd"/>
      <w:r w:rsidRPr="00642072">
        <w:rPr>
          <w:sz w:val="24"/>
          <w:szCs w:val="24"/>
        </w:rPr>
        <w:t xml:space="preserve"> had received from Athene, Jason </w:t>
      </w:r>
      <w:r>
        <w:rPr>
          <w:sz w:val="24"/>
          <w:szCs w:val="24"/>
        </w:rPr>
        <w:t xml:space="preserve">make away with the golden fleece and leave </w:t>
      </w:r>
      <w:r w:rsidRPr="00642072">
        <w:rPr>
          <w:sz w:val="24"/>
          <w:szCs w:val="24"/>
        </w:rPr>
        <w:t xml:space="preserve">Colchis </w:t>
      </w:r>
      <w:r>
        <w:rPr>
          <w:sz w:val="24"/>
          <w:szCs w:val="24"/>
        </w:rPr>
        <w:t>unharmed and unchallenged</w:t>
      </w:r>
      <w:r w:rsidRPr="00642072">
        <w:rPr>
          <w:sz w:val="24"/>
          <w:szCs w:val="24"/>
        </w:rPr>
        <w:t>.</w:t>
      </w:r>
      <w:r w:rsidRPr="00642072">
        <w:rPr>
          <w:rStyle w:val="FootnoteReference"/>
          <w:szCs w:val="24"/>
        </w:rPr>
        <w:footnoteReference w:id="54"/>
      </w:r>
      <w:r w:rsidRPr="00642072">
        <w:rPr>
          <w:sz w:val="24"/>
          <w:szCs w:val="24"/>
        </w:rPr>
        <w:t xml:space="preserve"> </w:t>
      </w:r>
      <w:r>
        <w:rPr>
          <w:sz w:val="24"/>
          <w:szCs w:val="24"/>
        </w:rPr>
        <w:t xml:space="preserve">Upon first seeing Jason, </w:t>
      </w:r>
      <w:r w:rsidRPr="00642072">
        <w:rPr>
          <w:sz w:val="24"/>
          <w:szCs w:val="24"/>
        </w:rPr>
        <w:t xml:space="preserve">Medea had fallen, and </w:t>
      </w:r>
      <w:r>
        <w:rPr>
          <w:sz w:val="24"/>
          <w:szCs w:val="24"/>
        </w:rPr>
        <w:t xml:space="preserve">when hearing of her father’s promise to Jason, </w:t>
      </w:r>
      <w:r w:rsidRPr="00642072">
        <w:rPr>
          <w:sz w:val="24"/>
          <w:szCs w:val="24"/>
        </w:rPr>
        <w:t xml:space="preserve">offered her </w:t>
      </w:r>
      <w:r>
        <w:rPr>
          <w:sz w:val="24"/>
          <w:szCs w:val="24"/>
        </w:rPr>
        <w:t xml:space="preserve">up </w:t>
      </w:r>
      <w:r w:rsidRPr="00642072">
        <w:rPr>
          <w:sz w:val="24"/>
          <w:szCs w:val="24"/>
        </w:rPr>
        <w:t xml:space="preserve">help to </w:t>
      </w:r>
      <w:r>
        <w:rPr>
          <w:sz w:val="24"/>
          <w:szCs w:val="24"/>
        </w:rPr>
        <w:t xml:space="preserve">him as she was aware that her father’s tasks would be unbeatable without the knowledge of them. </w:t>
      </w:r>
      <w:r>
        <w:rPr>
          <w:rStyle w:val="FootnoteReference"/>
          <w:szCs w:val="24"/>
        </w:rPr>
        <w:footnoteReference w:id="55"/>
      </w:r>
      <w:r>
        <w:rPr>
          <w:sz w:val="24"/>
          <w:szCs w:val="24"/>
        </w:rPr>
        <w:t xml:space="preserve"> However, this offer of help did not come free, as she would only help Jason if </w:t>
      </w:r>
      <w:r w:rsidRPr="00642072">
        <w:rPr>
          <w:sz w:val="24"/>
          <w:szCs w:val="24"/>
        </w:rPr>
        <w:t>he promised that he would take her away from Colchis and marry her.</w:t>
      </w:r>
      <w:r w:rsidRPr="00642072">
        <w:rPr>
          <w:rStyle w:val="FootnoteReference"/>
          <w:szCs w:val="24"/>
        </w:rPr>
        <w:footnoteReference w:id="56"/>
      </w:r>
      <w:r w:rsidRPr="00642072">
        <w:rPr>
          <w:sz w:val="24"/>
          <w:szCs w:val="24"/>
        </w:rPr>
        <w:t xml:space="preserve"> At his promise to do so, Medea aided him in his quest through utilising her abilities as a sorceress allowing Jason to remove the Golden Fleece from its resting place and leave Colchis for </w:t>
      </w:r>
      <w:proofErr w:type="spellStart"/>
      <w:r w:rsidRPr="00642072">
        <w:rPr>
          <w:sz w:val="24"/>
          <w:szCs w:val="24"/>
        </w:rPr>
        <w:t>Iolcos</w:t>
      </w:r>
      <w:proofErr w:type="spellEnd"/>
      <w:r w:rsidRPr="00642072">
        <w:rPr>
          <w:sz w:val="24"/>
          <w:szCs w:val="24"/>
        </w:rPr>
        <w:t>,</w:t>
      </w:r>
      <w:r>
        <w:rPr>
          <w:sz w:val="24"/>
          <w:szCs w:val="24"/>
        </w:rPr>
        <w:t xml:space="preserve"> his home,</w:t>
      </w:r>
      <w:r w:rsidRPr="00642072">
        <w:rPr>
          <w:sz w:val="24"/>
          <w:szCs w:val="24"/>
        </w:rPr>
        <w:t xml:space="preserve"> keeping his promise to Medea and </w:t>
      </w:r>
      <w:r>
        <w:rPr>
          <w:sz w:val="24"/>
          <w:szCs w:val="24"/>
        </w:rPr>
        <w:t xml:space="preserve">in doing so </w:t>
      </w:r>
      <w:r w:rsidRPr="00642072">
        <w:rPr>
          <w:sz w:val="24"/>
          <w:szCs w:val="24"/>
        </w:rPr>
        <w:t>anger</w:t>
      </w:r>
      <w:r>
        <w:rPr>
          <w:sz w:val="24"/>
          <w:szCs w:val="24"/>
        </w:rPr>
        <w:t>ed</w:t>
      </w:r>
      <w:r w:rsidRPr="00642072">
        <w:rPr>
          <w:sz w:val="24"/>
          <w:szCs w:val="24"/>
        </w:rPr>
        <w:t xml:space="preserve"> </w:t>
      </w:r>
      <w:proofErr w:type="spellStart"/>
      <w:r w:rsidRPr="00642072">
        <w:rPr>
          <w:sz w:val="24"/>
          <w:szCs w:val="24"/>
        </w:rPr>
        <w:t>Aietes</w:t>
      </w:r>
      <w:proofErr w:type="spellEnd"/>
      <w:r w:rsidRPr="00642072">
        <w:rPr>
          <w:sz w:val="24"/>
          <w:szCs w:val="24"/>
        </w:rPr>
        <w:t xml:space="preserve"> in the process.</w:t>
      </w:r>
      <w:r w:rsidRPr="00642072">
        <w:rPr>
          <w:rStyle w:val="FootnoteReference"/>
          <w:szCs w:val="24"/>
        </w:rPr>
        <w:footnoteReference w:id="57"/>
      </w:r>
    </w:p>
    <w:p w14:paraId="41F9DA27" w14:textId="77777777" w:rsidR="00F5401E" w:rsidRPr="00642072" w:rsidRDefault="00F5401E" w:rsidP="00F5401E">
      <w:pPr>
        <w:spacing w:line="480" w:lineRule="auto"/>
        <w:rPr>
          <w:sz w:val="24"/>
          <w:szCs w:val="24"/>
        </w:rPr>
      </w:pPr>
      <w:proofErr w:type="spellStart"/>
      <w:r w:rsidRPr="00642072">
        <w:rPr>
          <w:sz w:val="24"/>
          <w:szCs w:val="24"/>
        </w:rPr>
        <w:lastRenderedPageBreak/>
        <w:t>Aietes</w:t>
      </w:r>
      <w:proofErr w:type="spellEnd"/>
      <w:r w:rsidRPr="00642072">
        <w:rPr>
          <w:sz w:val="24"/>
          <w:szCs w:val="24"/>
        </w:rPr>
        <w:t xml:space="preserve"> gave chase upon realising what had occurred.</w:t>
      </w:r>
      <w:r w:rsidRPr="00642072">
        <w:rPr>
          <w:rStyle w:val="FootnoteReference"/>
          <w:szCs w:val="24"/>
        </w:rPr>
        <w:footnoteReference w:id="58"/>
      </w:r>
      <w:r w:rsidRPr="00642072">
        <w:rPr>
          <w:sz w:val="24"/>
          <w:szCs w:val="24"/>
        </w:rPr>
        <w:t xml:space="preserve"> In an effort to stop her father</w:t>
      </w:r>
      <w:r>
        <w:rPr>
          <w:sz w:val="24"/>
          <w:szCs w:val="24"/>
        </w:rPr>
        <w:t xml:space="preserve"> from capturing them</w:t>
      </w:r>
      <w:r w:rsidRPr="00642072">
        <w:rPr>
          <w:sz w:val="24"/>
          <w:szCs w:val="24"/>
        </w:rPr>
        <w:t xml:space="preserve">, Medea murdered her brother </w:t>
      </w:r>
      <w:proofErr w:type="spellStart"/>
      <w:r w:rsidRPr="00642072">
        <w:rPr>
          <w:sz w:val="24"/>
          <w:szCs w:val="24"/>
        </w:rPr>
        <w:t>Apsyrtos</w:t>
      </w:r>
      <w:proofErr w:type="spellEnd"/>
      <w:r w:rsidRPr="00642072">
        <w:rPr>
          <w:sz w:val="24"/>
          <w:szCs w:val="24"/>
        </w:rPr>
        <w:t>, sliced his body into multiple pieces, and threw him into the ocean.</w:t>
      </w:r>
      <w:r w:rsidRPr="00642072">
        <w:rPr>
          <w:rStyle w:val="FootnoteReference"/>
          <w:szCs w:val="24"/>
        </w:rPr>
        <w:footnoteReference w:id="59"/>
      </w:r>
      <w:r w:rsidRPr="00642072">
        <w:rPr>
          <w:sz w:val="24"/>
          <w:szCs w:val="24"/>
        </w:rPr>
        <w:t xml:space="preserve"> </w:t>
      </w:r>
      <w:proofErr w:type="spellStart"/>
      <w:r w:rsidRPr="00642072">
        <w:rPr>
          <w:sz w:val="24"/>
          <w:szCs w:val="24"/>
        </w:rPr>
        <w:t>Aietes</w:t>
      </w:r>
      <w:proofErr w:type="spellEnd"/>
      <w:r w:rsidRPr="00642072">
        <w:rPr>
          <w:sz w:val="24"/>
          <w:szCs w:val="24"/>
        </w:rPr>
        <w:t>, recognising his son, slowed his own ship so that he may gather the pieces of his deceased son so that he may be buried</w:t>
      </w:r>
      <w:r>
        <w:rPr>
          <w:sz w:val="24"/>
          <w:szCs w:val="24"/>
        </w:rPr>
        <w:t xml:space="preserve"> with the proper rites</w:t>
      </w:r>
      <w:r w:rsidRPr="00642072">
        <w:rPr>
          <w:sz w:val="24"/>
          <w:szCs w:val="24"/>
        </w:rPr>
        <w:t>.</w:t>
      </w:r>
      <w:r>
        <w:rPr>
          <w:rStyle w:val="FootnoteReference"/>
          <w:szCs w:val="24"/>
        </w:rPr>
        <w:footnoteReference w:id="60"/>
      </w:r>
      <w:r w:rsidRPr="00642072">
        <w:rPr>
          <w:sz w:val="24"/>
          <w:szCs w:val="24"/>
        </w:rPr>
        <w:t xml:space="preserve"> </w:t>
      </w:r>
      <w:r>
        <w:rPr>
          <w:sz w:val="24"/>
          <w:szCs w:val="24"/>
        </w:rPr>
        <w:t xml:space="preserve">It was </w:t>
      </w:r>
      <w:proofErr w:type="spellStart"/>
      <w:r w:rsidRPr="00642072">
        <w:rPr>
          <w:sz w:val="24"/>
          <w:szCs w:val="24"/>
        </w:rPr>
        <w:t>Aietes</w:t>
      </w:r>
      <w:proofErr w:type="spellEnd"/>
      <w:r w:rsidRPr="00642072">
        <w:rPr>
          <w:sz w:val="24"/>
          <w:szCs w:val="24"/>
        </w:rPr>
        <w:t xml:space="preserve">’ refusal to leave his son behind </w:t>
      </w:r>
      <w:r>
        <w:rPr>
          <w:sz w:val="24"/>
          <w:szCs w:val="24"/>
        </w:rPr>
        <w:t xml:space="preserve">that </w:t>
      </w:r>
      <w:r w:rsidRPr="00642072">
        <w:rPr>
          <w:sz w:val="24"/>
          <w:szCs w:val="24"/>
        </w:rPr>
        <w:t>allowed Medea and Jason to escape.</w:t>
      </w:r>
    </w:p>
    <w:p w14:paraId="2932EE93" w14:textId="77777777" w:rsidR="00F5401E" w:rsidRDefault="00F5401E" w:rsidP="00F5401E">
      <w:pPr>
        <w:spacing w:line="480" w:lineRule="auto"/>
        <w:rPr>
          <w:sz w:val="24"/>
          <w:szCs w:val="24"/>
        </w:rPr>
      </w:pPr>
      <w:r w:rsidRPr="00642072">
        <w:rPr>
          <w:sz w:val="24"/>
          <w:szCs w:val="24"/>
        </w:rPr>
        <w:t xml:space="preserve">In his absence, Pelias, who had originally issued </w:t>
      </w:r>
      <w:r>
        <w:rPr>
          <w:sz w:val="24"/>
          <w:szCs w:val="24"/>
        </w:rPr>
        <w:t xml:space="preserve">Jason with </w:t>
      </w:r>
      <w:r w:rsidRPr="00642072">
        <w:rPr>
          <w:sz w:val="24"/>
          <w:szCs w:val="24"/>
        </w:rPr>
        <w:t xml:space="preserve">the quest </w:t>
      </w:r>
      <w:r>
        <w:rPr>
          <w:sz w:val="24"/>
          <w:szCs w:val="24"/>
        </w:rPr>
        <w:t xml:space="preserve">to retrieve the </w:t>
      </w:r>
      <w:r w:rsidRPr="00642072">
        <w:rPr>
          <w:sz w:val="24"/>
          <w:szCs w:val="24"/>
        </w:rPr>
        <w:t xml:space="preserve">Golden Fleece, had caused the deaths of Jason’s family. </w:t>
      </w:r>
      <w:r>
        <w:rPr>
          <w:sz w:val="24"/>
          <w:szCs w:val="24"/>
        </w:rPr>
        <w:t xml:space="preserve">After hearing of his impending execution, </w:t>
      </w:r>
      <w:proofErr w:type="spellStart"/>
      <w:r w:rsidRPr="00642072">
        <w:rPr>
          <w:sz w:val="24"/>
          <w:szCs w:val="24"/>
        </w:rPr>
        <w:t>Aison</w:t>
      </w:r>
      <w:proofErr w:type="spellEnd"/>
      <w:r w:rsidRPr="00642072">
        <w:rPr>
          <w:sz w:val="24"/>
          <w:szCs w:val="24"/>
        </w:rPr>
        <w:t xml:space="preserve"> (Jason’s father), asked that he may take his own life so that he would not be executed, and died after drinking the blood of </w:t>
      </w:r>
      <w:r>
        <w:rPr>
          <w:sz w:val="24"/>
          <w:szCs w:val="24"/>
        </w:rPr>
        <w:t xml:space="preserve">a </w:t>
      </w:r>
      <w:r w:rsidRPr="00642072">
        <w:rPr>
          <w:sz w:val="24"/>
          <w:szCs w:val="24"/>
        </w:rPr>
        <w:t>bull</w:t>
      </w:r>
      <w:r>
        <w:rPr>
          <w:sz w:val="24"/>
          <w:szCs w:val="24"/>
        </w:rPr>
        <w:t>.</w:t>
      </w:r>
      <w:r w:rsidRPr="00642072">
        <w:rPr>
          <w:rStyle w:val="FootnoteReference"/>
          <w:szCs w:val="24"/>
        </w:rPr>
        <w:footnoteReference w:id="61"/>
      </w:r>
      <w:r w:rsidRPr="00642072">
        <w:rPr>
          <w:sz w:val="24"/>
          <w:szCs w:val="24"/>
        </w:rPr>
        <w:t xml:space="preserve"> Jason’s mother hung herself in her grief, whilst Jason’s young</w:t>
      </w:r>
      <w:r>
        <w:rPr>
          <w:sz w:val="24"/>
          <w:szCs w:val="24"/>
        </w:rPr>
        <w:t>er</w:t>
      </w:r>
      <w:r w:rsidRPr="00642072">
        <w:rPr>
          <w:sz w:val="24"/>
          <w:szCs w:val="24"/>
        </w:rPr>
        <w:t xml:space="preserve"> brother was killed by Pelias himself.</w:t>
      </w:r>
      <w:r w:rsidRPr="00642072">
        <w:rPr>
          <w:rStyle w:val="FootnoteReference"/>
          <w:szCs w:val="24"/>
        </w:rPr>
        <w:footnoteReference w:id="62"/>
      </w:r>
      <w:r w:rsidRPr="00642072">
        <w:rPr>
          <w:sz w:val="24"/>
          <w:szCs w:val="24"/>
        </w:rPr>
        <w:t xml:space="preserve"> Enraged at the deaths of his family, Jason convinced Medea to help him gain revenge on Pelias.</w:t>
      </w:r>
      <w:r w:rsidRPr="00642072">
        <w:rPr>
          <w:rStyle w:val="FootnoteReference"/>
          <w:szCs w:val="24"/>
        </w:rPr>
        <w:footnoteReference w:id="63"/>
      </w:r>
      <w:r w:rsidRPr="00642072">
        <w:rPr>
          <w:sz w:val="24"/>
          <w:szCs w:val="24"/>
        </w:rPr>
        <w:t xml:space="preserve"> And so at her husband’s biding, convinced the daughters of Pelias to </w:t>
      </w:r>
      <w:r w:rsidRPr="00642072">
        <w:rPr>
          <w:i/>
          <w:sz w:val="24"/>
          <w:szCs w:val="24"/>
        </w:rPr>
        <w:t>“chop their father into small pieces and boil him, promising to restore his youth with her drugs.”</w:t>
      </w:r>
      <w:r w:rsidRPr="00642072">
        <w:rPr>
          <w:rStyle w:val="FootnoteReference"/>
          <w:i/>
          <w:szCs w:val="24"/>
        </w:rPr>
        <w:footnoteReference w:id="64"/>
      </w:r>
      <w:r>
        <w:rPr>
          <w:i/>
          <w:sz w:val="24"/>
          <w:szCs w:val="24"/>
        </w:rPr>
        <w:t xml:space="preserve"> </w:t>
      </w:r>
      <w:r>
        <w:rPr>
          <w:sz w:val="24"/>
          <w:szCs w:val="24"/>
        </w:rPr>
        <w:t xml:space="preserve">To ensure that </w:t>
      </w:r>
      <w:r w:rsidRPr="00642072">
        <w:rPr>
          <w:sz w:val="24"/>
          <w:szCs w:val="24"/>
        </w:rPr>
        <w:t>the daughters of Pelias were convinced that such a thing were possible, Medea cut up a ram and boiled it</w:t>
      </w:r>
      <w:r>
        <w:rPr>
          <w:sz w:val="24"/>
          <w:szCs w:val="24"/>
        </w:rPr>
        <w:t xml:space="preserve"> in front of the four girls</w:t>
      </w:r>
      <w:r w:rsidRPr="00642072">
        <w:rPr>
          <w:sz w:val="24"/>
          <w:szCs w:val="24"/>
        </w:rPr>
        <w:t>, displaying her prowess as a sorceress as the ram changed into a lamb</w:t>
      </w:r>
      <w:r>
        <w:rPr>
          <w:sz w:val="24"/>
          <w:szCs w:val="24"/>
        </w:rPr>
        <w:t xml:space="preserve"> before their eyes</w:t>
      </w:r>
      <w:r w:rsidRPr="00642072">
        <w:rPr>
          <w:sz w:val="24"/>
          <w:szCs w:val="24"/>
        </w:rPr>
        <w:t>, successfully convincing the daughters of Pelias that such a feat was possible.</w:t>
      </w:r>
      <w:r w:rsidRPr="00642072">
        <w:rPr>
          <w:rStyle w:val="FootnoteReference"/>
          <w:szCs w:val="24"/>
        </w:rPr>
        <w:footnoteReference w:id="65"/>
      </w:r>
      <w:r>
        <w:rPr>
          <w:sz w:val="24"/>
          <w:szCs w:val="24"/>
        </w:rPr>
        <w:t xml:space="preserve"> However, did not know that they had been tricked until after they had completed their ritual, and their father lay dead in pieces.</w:t>
      </w:r>
      <w:r>
        <w:rPr>
          <w:rStyle w:val="FootnoteReference"/>
          <w:szCs w:val="24"/>
        </w:rPr>
        <w:footnoteReference w:id="66"/>
      </w:r>
      <w:r w:rsidRPr="00642072">
        <w:rPr>
          <w:sz w:val="24"/>
          <w:szCs w:val="24"/>
        </w:rPr>
        <w:t xml:space="preserve"> </w:t>
      </w:r>
    </w:p>
    <w:p w14:paraId="21F7402A" w14:textId="77777777" w:rsidR="00F5401E" w:rsidRPr="00642072" w:rsidRDefault="00F5401E" w:rsidP="00F5401E">
      <w:pPr>
        <w:spacing w:line="480" w:lineRule="auto"/>
        <w:rPr>
          <w:sz w:val="24"/>
          <w:szCs w:val="24"/>
        </w:rPr>
      </w:pPr>
      <w:r>
        <w:rPr>
          <w:sz w:val="24"/>
          <w:szCs w:val="24"/>
        </w:rPr>
        <w:t xml:space="preserve">This version of the myth of Medea shows her to be a cunning woman, with great power capable of achieving what she wants by her own hand. Had it not been for her, it is unlikely </w:t>
      </w:r>
      <w:r>
        <w:rPr>
          <w:sz w:val="24"/>
          <w:szCs w:val="24"/>
        </w:rPr>
        <w:lastRenderedPageBreak/>
        <w:t xml:space="preserve">Jason would have been unable to successfully retrieve the golden fleece and return home. And yet, instead of offering up her help freely, she used this opportunity to enter a marriage of her own choosing instead of waiting for her father to prepare a match for her. Likely with someone she did not find agreeable. The myth shows Medea to be standing on a separate level to other women of Grecian society, as unlike with Medea, they would not have been able to choose their own husbands and would likely have been forced into a loveless match. </w:t>
      </w:r>
    </w:p>
    <w:p w14:paraId="25655F08" w14:textId="77777777" w:rsidR="00F5401E" w:rsidRPr="00642072" w:rsidRDefault="00F5401E" w:rsidP="00F5401E">
      <w:pPr>
        <w:pStyle w:val="Heading2"/>
        <w:spacing w:line="480" w:lineRule="auto"/>
        <w:rPr>
          <w:rFonts w:cs="Times New Roman"/>
        </w:rPr>
      </w:pPr>
      <w:bookmarkStart w:id="15" w:name="_Toc513747784"/>
      <w:r w:rsidRPr="00642072">
        <w:rPr>
          <w:rFonts w:cs="Times New Roman"/>
        </w:rPr>
        <w:t>Medea in Literature</w:t>
      </w:r>
      <w:bookmarkEnd w:id="15"/>
      <w:r w:rsidRPr="00642072">
        <w:rPr>
          <w:rFonts w:cs="Times New Roman"/>
        </w:rPr>
        <w:t xml:space="preserve"> </w:t>
      </w:r>
    </w:p>
    <w:p w14:paraId="3CFB6C3B" w14:textId="77777777" w:rsidR="00F5401E" w:rsidRDefault="00F5401E" w:rsidP="00F5401E">
      <w:pPr>
        <w:spacing w:line="480" w:lineRule="auto"/>
        <w:rPr>
          <w:sz w:val="24"/>
          <w:szCs w:val="24"/>
        </w:rPr>
      </w:pPr>
      <w:r>
        <w:rPr>
          <w:sz w:val="24"/>
          <w:szCs w:val="24"/>
        </w:rPr>
        <w:t xml:space="preserve">Several years after the death of Pelias, where Jason and Medea have been living with their two sons in Corinth. However, Jason has recently accepted a marriage proposal from the king of Corinth, Creon, to his daughter </w:t>
      </w:r>
      <w:proofErr w:type="spellStart"/>
      <w:r>
        <w:rPr>
          <w:sz w:val="24"/>
          <w:szCs w:val="24"/>
        </w:rPr>
        <w:t>Glauce</w:t>
      </w:r>
      <w:proofErr w:type="spellEnd"/>
      <w:r>
        <w:rPr>
          <w:sz w:val="24"/>
          <w:szCs w:val="24"/>
        </w:rPr>
        <w:t>. Both Euripides’ and Seneca’s plays follow what happens next in the myth.</w:t>
      </w:r>
    </w:p>
    <w:p w14:paraId="1473E15D" w14:textId="77777777" w:rsidR="00F5401E" w:rsidRPr="00642072" w:rsidRDefault="00F5401E" w:rsidP="00F5401E">
      <w:pPr>
        <w:spacing w:line="480" w:lineRule="auto"/>
        <w:rPr>
          <w:sz w:val="24"/>
          <w:szCs w:val="24"/>
        </w:rPr>
      </w:pPr>
      <w:r w:rsidRPr="00910701">
        <w:rPr>
          <w:sz w:val="24"/>
          <w:szCs w:val="24"/>
        </w:rPr>
        <w:t xml:space="preserve">Griffiths [2006] explains that </w:t>
      </w:r>
      <w:r w:rsidRPr="00910701">
        <w:rPr>
          <w:i/>
          <w:sz w:val="24"/>
          <w:szCs w:val="24"/>
        </w:rPr>
        <w:t>“the Stoic background of the</w:t>
      </w:r>
      <w:r w:rsidRPr="00642072">
        <w:rPr>
          <w:i/>
          <w:sz w:val="24"/>
          <w:szCs w:val="24"/>
        </w:rPr>
        <w:t xml:space="preserve"> play allows us to read this Medea as an exemplar of the wild passions which needed to be controlled.”</w:t>
      </w:r>
      <w:r w:rsidRPr="00642072">
        <w:rPr>
          <w:rStyle w:val="FootnoteReference"/>
          <w:i/>
          <w:szCs w:val="24"/>
        </w:rPr>
        <w:footnoteReference w:id="67"/>
      </w:r>
      <w:r w:rsidRPr="00642072">
        <w:rPr>
          <w:i/>
          <w:sz w:val="24"/>
          <w:szCs w:val="24"/>
        </w:rPr>
        <w:t xml:space="preserve"> </w:t>
      </w:r>
      <w:r w:rsidRPr="00642072">
        <w:rPr>
          <w:sz w:val="24"/>
          <w:szCs w:val="24"/>
        </w:rPr>
        <w:t xml:space="preserve">As such, the Medea that Seneca presents is considerably more violent in nature than the one presented by Euripides, as Griffiths states, we see Medea expressing violent emotions far more often </w:t>
      </w:r>
      <w:r>
        <w:rPr>
          <w:sz w:val="24"/>
          <w:szCs w:val="24"/>
        </w:rPr>
        <w:t xml:space="preserve">within Seneca’s version of events </w:t>
      </w:r>
      <w:r w:rsidRPr="00642072">
        <w:rPr>
          <w:sz w:val="24"/>
          <w:szCs w:val="24"/>
        </w:rPr>
        <w:t>than we do with Euripides’.</w:t>
      </w:r>
      <w:r w:rsidRPr="00642072">
        <w:rPr>
          <w:rStyle w:val="FootnoteReference"/>
          <w:szCs w:val="24"/>
        </w:rPr>
        <w:footnoteReference w:id="68"/>
      </w:r>
      <w:r w:rsidRPr="00642072">
        <w:rPr>
          <w:sz w:val="24"/>
          <w:szCs w:val="24"/>
        </w:rPr>
        <w:t xml:space="preserve"> Seneca also seems to fixate on the magical abilities Medea holds, instead of her</w:t>
      </w:r>
      <w:r>
        <w:rPr>
          <w:sz w:val="24"/>
          <w:szCs w:val="24"/>
        </w:rPr>
        <w:t xml:space="preserve"> as a</w:t>
      </w:r>
      <w:r w:rsidRPr="00642072">
        <w:rPr>
          <w:sz w:val="24"/>
          <w:szCs w:val="24"/>
        </w:rPr>
        <w:t xml:space="preserve"> person and her reasoning behind her actions.</w:t>
      </w:r>
      <w:r w:rsidRPr="00642072">
        <w:rPr>
          <w:rStyle w:val="FootnoteReference"/>
          <w:szCs w:val="24"/>
        </w:rPr>
        <w:footnoteReference w:id="69"/>
      </w:r>
      <w:r w:rsidRPr="00642072">
        <w:rPr>
          <w:sz w:val="24"/>
          <w:szCs w:val="24"/>
        </w:rPr>
        <w:t xml:space="preserve"> The Medea that I in particular am looking at however, is the one that appears immediately before, during, and after the murder she commits on her own children.</w:t>
      </w:r>
    </w:p>
    <w:p w14:paraId="3C995CAA" w14:textId="77777777" w:rsidR="00F5401E" w:rsidRPr="00642072" w:rsidRDefault="00F5401E" w:rsidP="00F5401E">
      <w:pPr>
        <w:spacing w:line="480" w:lineRule="auto"/>
        <w:rPr>
          <w:sz w:val="24"/>
          <w:szCs w:val="24"/>
        </w:rPr>
      </w:pPr>
      <w:r w:rsidRPr="00642072">
        <w:rPr>
          <w:sz w:val="24"/>
          <w:szCs w:val="24"/>
        </w:rPr>
        <w:lastRenderedPageBreak/>
        <w:t>Firstly, it must be understood that Jason’s betrayal run’s deeper than him leaving Medea for a new woman.</w:t>
      </w:r>
      <w:r w:rsidRPr="00642072">
        <w:rPr>
          <w:rStyle w:val="FootnoteReference"/>
          <w:szCs w:val="24"/>
        </w:rPr>
        <w:footnoteReference w:id="70"/>
      </w:r>
      <w:r w:rsidRPr="00642072">
        <w:rPr>
          <w:sz w:val="24"/>
          <w:szCs w:val="24"/>
        </w:rPr>
        <w:t xml:space="preserve"> For example, without Medea, Jason would have been unable to retrieve the golden fleece, likely perishing before he been able to step anywhere near the fleece:</w:t>
      </w:r>
      <w:r w:rsidRPr="00642072">
        <w:rPr>
          <w:rStyle w:val="FootnoteReference"/>
          <w:szCs w:val="24"/>
        </w:rPr>
        <w:footnoteReference w:id="71"/>
      </w:r>
    </w:p>
    <w:p w14:paraId="6284C238" w14:textId="77777777" w:rsidR="00F5401E" w:rsidRPr="00642072" w:rsidRDefault="00F5401E" w:rsidP="00F5401E">
      <w:pPr>
        <w:spacing w:line="240" w:lineRule="auto"/>
        <w:jc w:val="center"/>
        <w:rPr>
          <w:sz w:val="24"/>
          <w:szCs w:val="24"/>
        </w:rPr>
      </w:pPr>
      <w:r w:rsidRPr="00642072">
        <w:rPr>
          <w:i/>
          <w:sz w:val="24"/>
          <w:szCs w:val="24"/>
        </w:rPr>
        <w:t xml:space="preserve">“I shall begin my speech from the beginning. I saved </w:t>
      </w:r>
      <w:r w:rsidRPr="00642072">
        <w:rPr>
          <w:i/>
          <w:sz w:val="24"/>
          <w:szCs w:val="24"/>
        </w:rPr>
        <w:br/>
        <w:t>your life – as witness all the Greeks who went on board the</w:t>
      </w:r>
      <w:r w:rsidRPr="00642072">
        <w:rPr>
          <w:i/>
          <w:sz w:val="24"/>
          <w:szCs w:val="24"/>
        </w:rPr>
        <w:br/>
        <w:t>Argo with you – when you were sent to master the fire-</w:t>
      </w:r>
      <w:r w:rsidRPr="00642072">
        <w:rPr>
          <w:i/>
          <w:sz w:val="24"/>
          <w:szCs w:val="24"/>
        </w:rPr>
        <w:br/>
        <w:t>breathing bulls with a yoke and to so the field of death.</w:t>
      </w:r>
      <w:r w:rsidRPr="00642072">
        <w:rPr>
          <w:i/>
          <w:sz w:val="24"/>
          <w:szCs w:val="24"/>
        </w:rPr>
        <w:br/>
        <w:t>The dragon who kept watch over the Golden Fleece,</w:t>
      </w:r>
      <w:r w:rsidRPr="00642072">
        <w:rPr>
          <w:i/>
          <w:sz w:val="24"/>
          <w:szCs w:val="24"/>
        </w:rPr>
        <w:br/>
        <w:t>sleeplessly guarding it with his sinuous coils, I killed, and I</w:t>
      </w:r>
      <w:r w:rsidRPr="00642072">
        <w:rPr>
          <w:i/>
          <w:sz w:val="24"/>
          <w:szCs w:val="24"/>
        </w:rPr>
        <w:br/>
        <w:t>raised aloft for you the fair light of escape from death.”</w:t>
      </w:r>
      <w:r w:rsidRPr="00642072">
        <w:rPr>
          <w:rStyle w:val="FootnoteReference"/>
          <w:i/>
          <w:szCs w:val="24"/>
        </w:rPr>
        <w:footnoteReference w:id="72"/>
      </w:r>
      <w:r w:rsidRPr="00642072">
        <w:rPr>
          <w:i/>
          <w:sz w:val="24"/>
          <w:szCs w:val="24"/>
        </w:rPr>
        <w:br/>
      </w:r>
      <w:r w:rsidRPr="00642072">
        <w:rPr>
          <w:sz w:val="24"/>
          <w:szCs w:val="24"/>
        </w:rPr>
        <w:t>[Euripides, Medea 475-482]</w:t>
      </w:r>
    </w:p>
    <w:p w14:paraId="1A1BBDBB" w14:textId="77777777" w:rsidR="00F5401E" w:rsidRPr="00642072" w:rsidRDefault="00F5401E" w:rsidP="00F5401E">
      <w:pPr>
        <w:spacing w:line="480" w:lineRule="auto"/>
        <w:rPr>
          <w:sz w:val="24"/>
          <w:szCs w:val="24"/>
        </w:rPr>
      </w:pPr>
      <w:r w:rsidRPr="00642072">
        <w:rPr>
          <w:sz w:val="24"/>
          <w:szCs w:val="24"/>
        </w:rPr>
        <w:t xml:space="preserve">Then, upon arriving at </w:t>
      </w:r>
      <w:proofErr w:type="spellStart"/>
      <w:r w:rsidRPr="00642072">
        <w:rPr>
          <w:sz w:val="24"/>
          <w:szCs w:val="24"/>
        </w:rPr>
        <w:t>Iolcos</w:t>
      </w:r>
      <w:proofErr w:type="spellEnd"/>
      <w:r w:rsidRPr="00642072">
        <w:rPr>
          <w:sz w:val="24"/>
          <w:szCs w:val="24"/>
        </w:rPr>
        <w:t xml:space="preserve"> and learning of the deaths of Jason’s family at the hands of Pelias, Medea provides Jason with a means </w:t>
      </w:r>
      <w:r>
        <w:rPr>
          <w:sz w:val="24"/>
          <w:szCs w:val="24"/>
        </w:rPr>
        <w:t>for</w:t>
      </w:r>
      <w:r w:rsidRPr="00642072">
        <w:rPr>
          <w:sz w:val="24"/>
          <w:szCs w:val="24"/>
        </w:rPr>
        <w:t xml:space="preserve"> revenge, and ultimately the death of Pelias himself.</w:t>
      </w:r>
      <w:r w:rsidRPr="00642072">
        <w:rPr>
          <w:rStyle w:val="FootnoteReference"/>
          <w:szCs w:val="24"/>
        </w:rPr>
        <w:footnoteReference w:id="73"/>
      </w:r>
      <w:r w:rsidRPr="00642072">
        <w:rPr>
          <w:sz w:val="24"/>
          <w:szCs w:val="24"/>
        </w:rPr>
        <w:t xml:space="preserve"> Such an act as the one performed </w:t>
      </w:r>
      <w:r>
        <w:rPr>
          <w:sz w:val="24"/>
          <w:szCs w:val="24"/>
        </w:rPr>
        <w:t xml:space="preserve">by Medea </w:t>
      </w:r>
      <w:r w:rsidRPr="00642072">
        <w:rPr>
          <w:sz w:val="24"/>
          <w:szCs w:val="24"/>
        </w:rPr>
        <w:t xml:space="preserve">cost </w:t>
      </w:r>
      <w:r>
        <w:rPr>
          <w:sz w:val="24"/>
          <w:szCs w:val="24"/>
        </w:rPr>
        <w:t>her</w:t>
      </w:r>
      <w:r w:rsidRPr="00642072">
        <w:rPr>
          <w:sz w:val="24"/>
          <w:szCs w:val="24"/>
        </w:rPr>
        <w:t xml:space="preserve"> greatly, as she laments within Seneca and Euripides both.</w:t>
      </w:r>
      <w:r w:rsidRPr="00642072">
        <w:rPr>
          <w:rStyle w:val="FootnoteReference"/>
          <w:szCs w:val="24"/>
        </w:rPr>
        <w:footnoteReference w:id="74"/>
      </w:r>
      <w:r w:rsidRPr="00642072">
        <w:rPr>
          <w:sz w:val="24"/>
          <w:szCs w:val="24"/>
        </w:rPr>
        <w:t xml:space="preserve"> </w:t>
      </w:r>
    </w:p>
    <w:p w14:paraId="354A6B2D" w14:textId="77777777" w:rsidR="00F5401E" w:rsidRPr="00642072" w:rsidRDefault="00F5401E" w:rsidP="00F5401E">
      <w:pPr>
        <w:spacing w:line="240" w:lineRule="auto"/>
        <w:jc w:val="center"/>
        <w:rPr>
          <w:sz w:val="24"/>
          <w:szCs w:val="24"/>
        </w:rPr>
      </w:pPr>
      <w:r w:rsidRPr="00642072">
        <w:rPr>
          <w:i/>
          <w:sz w:val="24"/>
          <w:szCs w:val="24"/>
        </w:rPr>
        <w:t>“But come now – for I shall share my thought with you</w:t>
      </w:r>
      <w:r w:rsidRPr="00642072">
        <w:rPr>
          <w:i/>
          <w:sz w:val="24"/>
          <w:szCs w:val="24"/>
        </w:rPr>
        <w:br/>
        <w:t xml:space="preserve">as a friend (yet what benefit can I expect to get from </w:t>
      </w:r>
      <w:r w:rsidRPr="00642072">
        <w:rPr>
          <w:sz w:val="24"/>
          <w:szCs w:val="24"/>
        </w:rPr>
        <w:t>you</w:t>
      </w:r>
      <w:r w:rsidRPr="00642072">
        <w:rPr>
          <w:i/>
          <w:sz w:val="24"/>
          <w:szCs w:val="24"/>
        </w:rPr>
        <w:t>?</w:t>
      </w:r>
      <w:r w:rsidRPr="00642072">
        <w:rPr>
          <w:i/>
          <w:sz w:val="24"/>
          <w:szCs w:val="24"/>
        </w:rPr>
        <w:br/>
        <w:t>Still I will do it, for you will be shown up in an uglier light</w:t>
      </w:r>
      <w:r w:rsidRPr="00642072">
        <w:rPr>
          <w:i/>
          <w:sz w:val="24"/>
          <w:szCs w:val="24"/>
        </w:rPr>
        <w:br/>
        <w:t xml:space="preserve">by my question) – where am I to turn? To my </w:t>
      </w:r>
      <w:r w:rsidRPr="00642072">
        <w:rPr>
          <w:i/>
          <w:sz w:val="24"/>
          <w:szCs w:val="24"/>
        </w:rPr>
        <w:br/>
        <w:t xml:space="preserve">father’s house, which like my country I betrayed for your </w:t>
      </w:r>
      <w:r w:rsidRPr="00642072">
        <w:rPr>
          <w:i/>
          <w:sz w:val="24"/>
          <w:szCs w:val="24"/>
        </w:rPr>
        <w:br/>
        <w:t xml:space="preserve">sake when I came here? Or to the wretched daughters of </w:t>
      </w:r>
      <w:r w:rsidRPr="00642072">
        <w:rPr>
          <w:i/>
          <w:sz w:val="24"/>
          <w:szCs w:val="24"/>
        </w:rPr>
        <w:br/>
        <w:t>Pelias? A fine reception they would give me in their house</w:t>
      </w:r>
      <w:r w:rsidRPr="00642072">
        <w:rPr>
          <w:i/>
          <w:sz w:val="24"/>
          <w:szCs w:val="24"/>
        </w:rPr>
        <w:br/>
        <w:t xml:space="preserve">since I killed their father! This is how things stand: to my </w:t>
      </w:r>
      <w:r w:rsidRPr="00642072">
        <w:rPr>
          <w:i/>
          <w:sz w:val="24"/>
          <w:szCs w:val="24"/>
        </w:rPr>
        <w:br/>
        <w:t>own kin I have become an enemy, and by my services to</w:t>
      </w:r>
      <w:r w:rsidRPr="00642072">
        <w:rPr>
          <w:i/>
          <w:sz w:val="24"/>
          <w:szCs w:val="24"/>
        </w:rPr>
        <w:br/>
        <w:t>you I have made foes of those I ought not to have harmed.</w:t>
      </w:r>
      <w:r w:rsidRPr="00642072">
        <w:rPr>
          <w:rStyle w:val="FootnoteReference"/>
          <w:i/>
          <w:szCs w:val="24"/>
        </w:rPr>
        <w:footnoteReference w:id="75"/>
      </w:r>
      <w:r w:rsidRPr="00642072">
        <w:rPr>
          <w:i/>
          <w:sz w:val="24"/>
          <w:szCs w:val="24"/>
        </w:rPr>
        <w:br/>
      </w:r>
      <w:r w:rsidRPr="00642072">
        <w:rPr>
          <w:sz w:val="24"/>
          <w:szCs w:val="24"/>
        </w:rPr>
        <w:t>[Euripides, Medea 499ff.]</w:t>
      </w:r>
    </w:p>
    <w:p w14:paraId="02FE78B0" w14:textId="77777777" w:rsidR="00F5401E" w:rsidRPr="00642072" w:rsidRDefault="00F5401E" w:rsidP="00F5401E">
      <w:pPr>
        <w:spacing w:line="240" w:lineRule="auto"/>
        <w:jc w:val="center"/>
        <w:rPr>
          <w:sz w:val="24"/>
          <w:szCs w:val="24"/>
        </w:rPr>
      </w:pPr>
      <w:r w:rsidRPr="00642072">
        <w:rPr>
          <w:i/>
          <w:sz w:val="24"/>
          <w:szCs w:val="24"/>
        </w:rPr>
        <w:t>“What lands do you bid me head for?</w:t>
      </w:r>
      <w:r w:rsidRPr="00642072">
        <w:rPr>
          <w:i/>
          <w:sz w:val="24"/>
          <w:szCs w:val="24"/>
        </w:rPr>
        <w:br/>
        <w:t>….</w:t>
      </w:r>
      <w:r w:rsidRPr="00642072">
        <w:rPr>
          <w:i/>
          <w:sz w:val="24"/>
          <w:szCs w:val="24"/>
        </w:rPr>
        <w:br/>
        <w:t xml:space="preserve">Should I head for your uncle’s </w:t>
      </w:r>
      <w:proofErr w:type="spellStart"/>
      <w:r w:rsidRPr="00642072">
        <w:rPr>
          <w:i/>
          <w:sz w:val="24"/>
          <w:szCs w:val="24"/>
        </w:rPr>
        <w:t>Iolcus</w:t>
      </w:r>
      <w:proofErr w:type="spellEnd"/>
      <w:r w:rsidRPr="00642072">
        <w:rPr>
          <w:i/>
          <w:sz w:val="24"/>
          <w:szCs w:val="24"/>
        </w:rPr>
        <w:t>, or Thessalian Tempe?</w:t>
      </w:r>
      <w:r w:rsidRPr="00642072">
        <w:rPr>
          <w:i/>
          <w:sz w:val="24"/>
          <w:szCs w:val="24"/>
        </w:rPr>
        <w:br/>
        <w:t xml:space="preserve">Every path that I opened up to you, I closed to myself - </w:t>
      </w:r>
      <w:r w:rsidRPr="00642072">
        <w:rPr>
          <w:i/>
          <w:sz w:val="24"/>
          <w:szCs w:val="24"/>
        </w:rPr>
        <w:br/>
        <w:t>where are you sending me? You order and exile into exile,</w:t>
      </w:r>
      <w:r w:rsidRPr="00642072">
        <w:rPr>
          <w:i/>
          <w:sz w:val="24"/>
          <w:szCs w:val="24"/>
        </w:rPr>
        <w:br/>
        <w:t>but provide no destination. Let me be going – the royal son-in-law has commanded it:</w:t>
      </w:r>
      <w:r w:rsidRPr="00642072">
        <w:rPr>
          <w:i/>
          <w:sz w:val="24"/>
          <w:szCs w:val="24"/>
        </w:rPr>
        <w:br/>
        <w:t>….</w:t>
      </w:r>
      <w:r w:rsidRPr="00642072">
        <w:rPr>
          <w:i/>
          <w:sz w:val="24"/>
          <w:szCs w:val="24"/>
        </w:rPr>
        <w:br/>
        <w:t>Ungrateful creature,</w:t>
      </w:r>
      <w:r w:rsidRPr="00642072">
        <w:rPr>
          <w:i/>
          <w:sz w:val="24"/>
          <w:szCs w:val="24"/>
        </w:rPr>
        <w:br/>
        <w:t>let your mind recall the fiery painting of the bull,</w:t>
      </w:r>
      <w:r w:rsidRPr="00642072">
        <w:rPr>
          <w:i/>
          <w:sz w:val="24"/>
          <w:szCs w:val="24"/>
        </w:rPr>
        <w:br/>
      </w:r>
      <w:r w:rsidRPr="00642072">
        <w:rPr>
          <w:i/>
          <w:sz w:val="24"/>
          <w:szCs w:val="24"/>
        </w:rPr>
        <w:lastRenderedPageBreak/>
        <w:t xml:space="preserve">and – among the unconquerable race’s cruel terrors – </w:t>
      </w:r>
      <w:r w:rsidRPr="00642072">
        <w:rPr>
          <w:i/>
          <w:sz w:val="24"/>
          <w:szCs w:val="24"/>
        </w:rPr>
        <w:br/>
        <w:t>the flaming beast of Aeetes in the field that sprouted armed men,</w:t>
      </w:r>
      <w:r w:rsidRPr="00642072">
        <w:rPr>
          <w:i/>
          <w:sz w:val="24"/>
          <w:szCs w:val="24"/>
        </w:rPr>
        <w:br/>
        <w:t>the missiles of the enemy who suddenly appeared, when at my command</w:t>
      </w:r>
      <w:r w:rsidRPr="00642072">
        <w:rPr>
          <w:i/>
          <w:sz w:val="24"/>
          <w:szCs w:val="24"/>
        </w:rPr>
        <w:br/>
        <w:t>the earth-born soldiers fell in mutual carnage;</w:t>
      </w:r>
      <w:r w:rsidRPr="00642072">
        <w:rPr>
          <w:i/>
          <w:sz w:val="24"/>
          <w:szCs w:val="24"/>
        </w:rPr>
        <w:br/>
        <w:t xml:space="preserve">add the spoils of </w:t>
      </w:r>
      <w:proofErr w:type="spellStart"/>
      <w:r w:rsidRPr="00642072">
        <w:rPr>
          <w:i/>
          <w:sz w:val="24"/>
          <w:szCs w:val="24"/>
        </w:rPr>
        <w:t>Phrixus</w:t>
      </w:r>
      <w:proofErr w:type="spellEnd"/>
      <w:r w:rsidRPr="00642072">
        <w:rPr>
          <w:i/>
          <w:sz w:val="24"/>
          <w:szCs w:val="24"/>
        </w:rPr>
        <w:t>’ ram that you had longed for,</w:t>
      </w:r>
      <w:r w:rsidRPr="00642072">
        <w:rPr>
          <w:i/>
          <w:sz w:val="24"/>
          <w:szCs w:val="24"/>
        </w:rPr>
        <w:br/>
        <w:t>and the sleepless monster surrender its eyes</w:t>
      </w:r>
      <w:r w:rsidRPr="00642072">
        <w:rPr>
          <w:i/>
          <w:sz w:val="24"/>
          <w:szCs w:val="24"/>
        </w:rPr>
        <w:br/>
        <w:t>to unfamiliar sleep; my brother treacherously slaughtered,</w:t>
      </w:r>
      <w:r w:rsidRPr="00642072">
        <w:rPr>
          <w:i/>
          <w:sz w:val="24"/>
          <w:szCs w:val="24"/>
        </w:rPr>
        <w:br/>
        <w:t>and, in that single crim, a crime repeated not just once;</w:t>
      </w:r>
      <w:r w:rsidRPr="00642072">
        <w:rPr>
          <w:i/>
          <w:sz w:val="24"/>
          <w:szCs w:val="24"/>
        </w:rPr>
        <w:br/>
        <w:t>and the daughters, taken in by my deceit, emboldened</w:t>
      </w:r>
      <w:r w:rsidRPr="00642072">
        <w:rPr>
          <w:i/>
          <w:sz w:val="24"/>
          <w:szCs w:val="24"/>
        </w:rPr>
        <w:br/>
        <w:t>to hack the limbs of the old man – though he would not live again.”</w:t>
      </w:r>
      <w:r w:rsidRPr="00642072">
        <w:rPr>
          <w:rStyle w:val="FootnoteReference"/>
          <w:i/>
          <w:szCs w:val="24"/>
        </w:rPr>
        <w:footnoteReference w:id="76"/>
      </w:r>
      <w:r w:rsidRPr="00642072">
        <w:rPr>
          <w:i/>
          <w:sz w:val="24"/>
          <w:szCs w:val="24"/>
        </w:rPr>
        <w:br/>
      </w:r>
      <w:r w:rsidRPr="00642072">
        <w:rPr>
          <w:sz w:val="24"/>
          <w:szCs w:val="24"/>
        </w:rPr>
        <w:t>[Seneca, Medea 453ff.]</w:t>
      </w:r>
    </w:p>
    <w:p w14:paraId="7768BB85" w14:textId="77777777" w:rsidR="00F5401E" w:rsidRPr="00642072" w:rsidRDefault="00F5401E" w:rsidP="00F5401E">
      <w:pPr>
        <w:spacing w:line="480" w:lineRule="auto"/>
        <w:rPr>
          <w:sz w:val="24"/>
          <w:szCs w:val="24"/>
        </w:rPr>
      </w:pPr>
      <w:r>
        <w:rPr>
          <w:sz w:val="24"/>
          <w:szCs w:val="24"/>
        </w:rPr>
        <w:t xml:space="preserve">After committing such heinous crimes, Medea has run out of places to escape to where she could live in peace and seclusion. The realisation of this has left Medea vulnerable and desperate, as she tries to find a solution to her </w:t>
      </w:r>
      <w:proofErr w:type="spellStart"/>
      <w:r>
        <w:rPr>
          <w:sz w:val="24"/>
          <w:szCs w:val="24"/>
        </w:rPr>
        <w:t>problems.</w:t>
      </w:r>
      <w:r w:rsidRPr="00642072">
        <w:rPr>
          <w:sz w:val="24"/>
          <w:szCs w:val="24"/>
        </w:rPr>
        <w:t>Secondly</w:t>
      </w:r>
      <w:proofErr w:type="spellEnd"/>
      <w:r w:rsidRPr="00642072">
        <w:rPr>
          <w:sz w:val="24"/>
          <w:szCs w:val="24"/>
        </w:rPr>
        <w:t xml:space="preserve">, Medea does not jump immediately from suffering </w:t>
      </w:r>
      <w:r>
        <w:rPr>
          <w:sz w:val="24"/>
          <w:szCs w:val="24"/>
        </w:rPr>
        <w:t xml:space="preserve">from </w:t>
      </w:r>
      <w:r w:rsidRPr="00642072">
        <w:rPr>
          <w:sz w:val="24"/>
          <w:szCs w:val="24"/>
        </w:rPr>
        <w:t>pain due to her divorce with Jason, instead she does attempt to find ways to leave Colchis, presumably with her sons.</w:t>
      </w:r>
      <w:r w:rsidRPr="00642072">
        <w:rPr>
          <w:rStyle w:val="FootnoteReference"/>
          <w:szCs w:val="24"/>
        </w:rPr>
        <w:footnoteReference w:id="77"/>
      </w:r>
      <w:r w:rsidRPr="00642072">
        <w:rPr>
          <w:sz w:val="24"/>
          <w:szCs w:val="24"/>
        </w:rPr>
        <w:t xml:space="preserve"> However, Jason does not seem to be completely sympathetic to Medea’s cause, nor is he particularly helpful, as she tries to gain</w:t>
      </w:r>
      <w:r>
        <w:rPr>
          <w:sz w:val="24"/>
          <w:szCs w:val="24"/>
        </w:rPr>
        <w:t xml:space="preserve"> his</w:t>
      </w:r>
      <w:r w:rsidRPr="00642072">
        <w:rPr>
          <w:sz w:val="24"/>
          <w:szCs w:val="24"/>
        </w:rPr>
        <w:t xml:space="preserve"> aid in leaving Colchis on her own terms, as seen with the quotes above.</w:t>
      </w:r>
      <w:r w:rsidRPr="00642072">
        <w:rPr>
          <w:rStyle w:val="FootnoteReference"/>
          <w:szCs w:val="24"/>
        </w:rPr>
        <w:footnoteReference w:id="78"/>
      </w:r>
      <w:r w:rsidRPr="00642072">
        <w:rPr>
          <w:sz w:val="24"/>
          <w:szCs w:val="24"/>
        </w:rPr>
        <w:t xml:space="preserve"> </w:t>
      </w:r>
    </w:p>
    <w:p w14:paraId="07EED761" w14:textId="77777777" w:rsidR="00F5401E" w:rsidRPr="00642072" w:rsidRDefault="00F5401E" w:rsidP="00F5401E">
      <w:pPr>
        <w:spacing w:line="480" w:lineRule="auto"/>
        <w:rPr>
          <w:sz w:val="24"/>
          <w:szCs w:val="24"/>
        </w:rPr>
      </w:pPr>
      <w:r w:rsidRPr="00642072">
        <w:rPr>
          <w:sz w:val="24"/>
          <w:szCs w:val="24"/>
        </w:rPr>
        <w:t xml:space="preserve">After her confrontation with Jason, Medea seems to </w:t>
      </w:r>
      <w:r>
        <w:rPr>
          <w:sz w:val="24"/>
          <w:szCs w:val="24"/>
        </w:rPr>
        <w:t>have f</w:t>
      </w:r>
      <w:r w:rsidRPr="00642072">
        <w:rPr>
          <w:sz w:val="24"/>
          <w:szCs w:val="24"/>
        </w:rPr>
        <w:t xml:space="preserve">inally </w:t>
      </w:r>
      <w:r>
        <w:rPr>
          <w:sz w:val="24"/>
          <w:szCs w:val="24"/>
        </w:rPr>
        <w:t xml:space="preserve">reached her </w:t>
      </w:r>
      <w:r w:rsidRPr="00642072">
        <w:rPr>
          <w:sz w:val="24"/>
          <w:szCs w:val="24"/>
        </w:rPr>
        <w:t>wits end</w:t>
      </w:r>
      <w:r>
        <w:rPr>
          <w:sz w:val="24"/>
          <w:szCs w:val="24"/>
        </w:rPr>
        <w:t>, and is now resorting to committing the ultimate revenge on her husband.</w:t>
      </w:r>
      <w:r w:rsidRPr="00642072">
        <w:rPr>
          <w:sz w:val="24"/>
          <w:szCs w:val="24"/>
        </w:rPr>
        <w:t xml:space="preserve"> Whereas before speaking to her ex-husband, her initial idea for revenge had been to kill only Creon, Jason’s new father in law, and his daughter.</w:t>
      </w:r>
      <w:r w:rsidRPr="00642072">
        <w:rPr>
          <w:rStyle w:val="FootnoteReference"/>
          <w:szCs w:val="24"/>
        </w:rPr>
        <w:footnoteReference w:id="79"/>
      </w:r>
      <w:r w:rsidRPr="00642072">
        <w:rPr>
          <w:sz w:val="24"/>
          <w:szCs w:val="24"/>
        </w:rPr>
        <w:t xml:space="preserve"> Medea </w:t>
      </w:r>
      <w:r>
        <w:rPr>
          <w:sz w:val="24"/>
          <w:szCs w:val="24"/>
        </w:rPr>
        <w:t xml:space="preserve">alters her plans to instead include the deaths of </w:t>
      </w:r>
      <w:r w:rsidRPr="00642072">
        <w:rPr>
          <w:sz w:val="24"/>
          <w:szCs w:val="24"/>
        </w:rPr>
        <w:t>her children.</w:t>
      </w:r>
      <w:r w:rsidRPr="00642072">
        <w:rPr>
          <w:rStyle w:val="FootnoteReference"/>
          <w:szCs w:val="24"/>
        </w:rPr>
        <w:footnoteReference w:id="80"/>
      </w:r>
      <w:r w:rsidRPr="00642072">
        <w:rPr>
          <w:sz w:val="24"/>
          <w:szCs w:val="24"/>
        </w:rPr>
        <w:t xml:space="preserve"> Although </w:t>
      </w:r>
      <w:r>
        <w:rPr>
          <w:sz w:val="24"/>
          <w:szCs w:val="24"/>
        </w:rPr>
        <w:t xml:space="preserve">the audience </w:t>
      </w:r>
      <w:r w:rsidRPr="00642072">
        <w:rPr>
          <w:sz w:val="24"/>
          <w:szCs w:val="24"/>
        </w:rPr>
        <w:t>are able to hear the cries of her children</w:t>
      </w:r>
      <w:r>
        <w:rPr>
          <w:sz w:val="24"/>
          <w:szCs w:val="24"/>
        </w:rPr>
        <w:t xml:space="preserve"> in </w:t>
      </w:r>
      <w:r w:rsidRPr="00642072">
        <w:rPr>
          <w:sz w:val="24"/>
          <w:szCs w:val="24"/>
        </w:rPr>
        <w:t>Euripides’ version of the murder</w:t>
      </w:r>
      <w:r>
        <w:rPr>
          <w:sz w:val="24"/>
          <w:szCs w:val="24"/>
        </w:rPr>
        <w:t>, the actual murder</w:t>
      </w:r>
      <w:r w:rsidRPr="00642072">
        <w:rPr>
          <w:sz w:val="24"/>
          <w:szCs w:val="24"/>
        </w:rPr>
        <w:t xml:space="preserve"> occurs off-stage, </w:t>
      </w:r>
      <w:r>
        <w:rPr>
          <w:sz w:val="24"/>
          <w:szCs w:val="24"/>
        </w:rPr>
        <w:t xml:space="preserve">whereas </w:t>
      </w:r>
      <w:r w:rsidRPr="00642072">
        <w:rPr>
          <w:sz w:val="24"/>
          <w:szCs w:val="24"/>
        </w:rPr>
        <w:t xml:space="preserve">Seneca’s occurs on-stage whilst displaying Medea’s spiralling decent into madness suggesting a lack of control from </w:t>
      </w:r>
      <w:r w:rsidRPr="00642072">
        <w:rPr>
          <w:sz w:val="24"/>
          <w:szCs w:val="24"/>
        </w:rPr>
        <w:lastRenderedPageBreak/>
        <w:t>the character as she goes from believing she should escape</w:t>
      </w:r>
      <w:r>
        <w:rPr>
          <w:sz w:val="24"/>
          <w:szCs w:val="24"/>
        </w:rPr>
        <w:t xml:space="preserve"> with her ex-husbands help</w:t>
      </w:r>
      <w:r w:rsidRPr="00642072">
        <w:rPr>
          <w:sz w:val="24"/>
          <w:szCs w:val="24"/>
        </w:rPr>
        <w:t>, to murdering hers and Jason’s sons.</w:t>
      </w:r>
      <w:r w:rsidRPr="00642072">
        <w:rPr>
          <w:rStyle w:val="FootnoteReference"/>
          <w:szCs w:val="24"/>
        </w:rPr>
        <w:footnoteReference w:id="81"/>
      </w:r>
    </w:p>
    <w:p w14:paraId="70C96A98" w14:textId="77777777" w:rsidR="00F5401E" w:rsidRPr="00642072" w:rsidRDefault="00F5401E" w:rsidP="00F5401E">
      <w:pPr>
        <w:spacing w:line="480" w:lineRule="auto"/>
        <w:rPr>
          <w:sz w:val="24"/>
          <w:szCs w:val="24"/>
        </w:rPr>
      </w:pPr>
      <w:r w:rsidRPr="00642072">
        <w:rPr>
          <w:sz w:val="24"/>
          <w:szCs w:val="24"/>
        </w:rPr>
        <w:t>Both Seneca’s and Euripides’ versions of the plays conclude with Medea fleeing from Corinth, and from Jason’s wrath</w:t>
      </w:r>
      <w:r>
        <w:rPr>
          <w:sz w:val="24"/>
          <w:szCs w:val="24"/>
        </w:rPr>
        <w:t xml:space="preserve"> on a chariot, and yet it is only in Euripides’ version that she leaves with the bodies of her children.</w:t>
      </w:r>
      <w:r w:rsidRPr="00642072">
        <w:rPr>
          <w:rStyle w:val="FootnoteReference"/>
          <w:szCs w:val="24"/>
        </w:rPr>
        <w:footnoteReference w:id="82"/>
      </w:r>
    </w:p>
    <w:p w14:paraId="7A0B388F" w14:textId="77777777" w:rsidR="00F5401E" w:rsidRPr="00642072" w:rsidRDefault="00F5401E" w:rsidP="00F5401E">
      <w:pPr>
        <w:spacing w:line="480" w:lineRule="auto"/>
        <w:rPr>
          <w:sz w:val="24"/>
          <w:szCs w:val="24"/>
        </w:rPr>
      </w:pPr>
      <w:r w:rsidRPr="00642072">
        <w:rPr>
          <w:sz w:val="24"/>
          <w:szCs w:val="24"/>
        </w:rPr>
        <w:t>Within Seneca’s play, Medea’s mental health is continuously deteriorating as she delves further into her revenge, whilst Euripides’ Medea mourns the passing of her children just as Jason does.</w:t>
      </w:r>
      <w:r w:rsidRPr="00642072">
        <w:rPr>
          <w:rStyle w:val="FootnoteReference"/>
          <w:szCs w:val="24"/>
        </w:rPr>
        <w:footnoteReference w:id="83"/>
      </w:r>
      <w:r w:rsidRPr="00642072">
        <w:rPr>
          <w:sz w:val="24"/>
          <w:szCs w:val="24"/>
        </w:rPr>
        <w:t xml:space="preserve"> Medea does not, however, see the murder of her children as a misfortune as she is pleased in that her attempts at revenge is seen through with success.</w:t>
      </w:r>
      <w:r w:rsidRPr="00642072">
        <w:rPr>
          <w:rStyle w:val="FootnoteReference"/>
          <w:szCs w:val="24"/>
        </w:rPr>
        <w:footnoteReference w:id="84"/>
      </w:r>
      <w:r w:rsidRPr="00642072">
        <w:rPr>
          <w:sz w:val="24"/>
          <w:szCs w:val="24"/>
        </w:rPr>
        <w:t xml:space="preserve"> Seneca’s Medea is equally as pleased with the result of her crimes.</w:t>
      </w:r>
      <w:r w:rsidRPr="00642072">
        <w:rPr>
          <w:rStyle w:val="FootnoteReference"/>
          <w:szCs w:val="24"/>
        </w:rPr>
        <w:footnoteReference w:id="85"/>
      </w:r>
    </w:p>
    <w:p w14:paraId="1B85C328" w14:textId="4C284C5A" w:rsidR="00F55F64" w:rsidRDefault="00F5401E" w:rsidP="00F5401E">
      <w:pPr>
        <w:spacing w:line="480" w:lineRule="auto"/>
        <w:rPr>
          <w:sz w:val="24"/>
          <w:szCs w:val="24"/>
        </w:rPr>
      </w:pPr>
      <w:r w:rsidRPr="00642072">
        <w:rPr>
          <w:sz w:val="24"/>
          <w:szCs w:val="24"/>
        </w:rPr>
        <w:t>The introduction of the plays shows Medea as she is angry and mournful of Jason’s betrayal: his ignorance of the aid she has provided him, and his leaving her for a new wife. She had originally attempted to play the part of a good wife upon her arrival at her husband’s home, and yet, as he has disregarded her in favour for another, she moves away from the expectations that have been placed onto her by society as a wife, and as a woman, and has instead moved to act in ways she deems appropriate given her current situation. She has chosen to act on her own behest, instead of on the wishes of her husband, or guardian, and that has perhaps led her down a darker and dangerous road than the one she had initially started on.</w:t>
      </w:r>
    </w:p>
    <w:p w14:paraId="4105F622" w14:textId="77777777" w:rsidR="00F55F64" w:rsidRDefault="00F55F64">
      <w:pPr>
        <w:rPr>
          <w:sz w:val="24"/>
          <w:szCs w:val="24"/>
        </w:rPr>
      </w:pPr>
      <w:r>
        <w:rPr>
          <w:sz w:val="24"/>
          <w:szCs w:val="24"/>
        </w:rPr>
        <w:br w:type="page"/>
      </w:r>
    </w:p>
    <w:p w14:paraId="1CC03D3C" w14:textId="77777777" w:rsidR="00F55F64" w:rsidRPr="00F86BA1" w:rsidRDefault="00F55F64" w:rsidP="00F55F64">
      <w:pPr>
        <w:pStyle w:val="Heading1"/>
        <w:spacing w:line="480" w:lineRule="auto"/>
        <w:jc w:val="center"/>
        <w:rPr>
          <w:u w:val="single"/>
        </w:rPr>
      </w:pPr>
      <w:bookmarkStart w:id="16" w:name="_Toc513747785"/>
      <w:r w:rsidRPr="00F86BA1">
        <w:rPr>
          <w:sz w:val="28"/>
          <w:u w:val="single"/>
        </w:rPr>
        <w:lastRenderedPageBreak/>
        <w:t>Chapter Three: Hysteria</w:t>
      </w:r>
      <w:bookmarkEnd w:id="16"/>
    </w:p>
    <w:p w14:paraId="15F9FA32" w14:textId="05556CEF" w:rsidR="00F55F64" w:rsidRPr="00F86BA1" w:rsidRDefault="00F55F64" w:rsidP="00F55F64">
      <w:pPr>
        <w:spacing w:line="480" w:lineRule="auto"/>
        <w:rPr>
          <w:sz w:val="24"/>
        </w:rPr>
      </w:pPr>
      <w:r w:rsidRPr="00F86BA1">
        <w:rPr>
          <w:sz w:val="24"/>
        </w:rPr>
        <w:t xml:space="preserve">Hysteria, as a term and </w:t>
      </w:r>
      <w:r w:rsidR="00A83AD3">
        <w:rPr>
          <w:sz w:val="24"/>
        </w:rPr>
        <w:t xml:space="preserve">a </w:t>
      </w:r>
      <w:r w:rsidRPr="00F86BA1">
        <w:rPr>
          <w:sz w:val="24"/>
        </w:rPr>
        <w:t>concept, has already existed for several centuries and has generally been associated with female disease and illness.</w:t>
      </w:r>
      <w:r w:rsidRPr="00F86BA1">
        <w:rPr>
          <w:rStyle w:val="FootnoteReference"/>
        </w:rPr>
        <w:footnoteReference w:id="86"/>
      </w:r>
      <w:r w:rsidRPr="00F86BA1">
        <w:rPr>
          <w:sz w:val="24"/>
        </w:rPr>
        <w:t xml:space="preserve"> The reasoning for this is likely the term’s origin. At the time of its conception, the term hysteria (or </w:t>
      </w:r>
      <w:proofErr w:type="spellStart"/>
      <w:r w:rsidRPr="00F86BA1">
        <w:rPr>
          <w:i/>
          <w:sz w:val="24"/>
        </w:rPr>
        <w:t>hysterikos</w:t>
      </w:r>
      <w:proofErr w:type="spellEnd"/>
      <w:r w:rsidRPr="00F86BA1">
        <w:rPr>
          <w:sz w:val="24"/>
        </w:rPr>
        <w:t xml:space="preserve"> as it had been known) ha</w:t>
      </w:r>
      <w:r w:rsidR="00A83AD3">
        <w:rPr>
          <w:sz w:val="24"/>
        </w:rPr>
        <w:t>d</w:t>
      </w:r>
      <w:r w:rsidRPr="00F86BA1">
        <w:rPr>
          <w:sz w:val="24"/>
        </w:rPr>
        <w:t xml:space="preserve"> originally meant a disease of the womb.</w:t>
      </w:r>
      <w:r w:rsidRPr="00F86BA1">
        <w:rPr>
          <w:rStyle w:val="FootnoteReference"/>
        </w:rPr>
        <w:footnoteReference w:id="87"/>
      </w:r>
      <w:r w:rsidRPr="00F86BA1">
        <w:rPr>
          <w:sz w:val="24"/>
        </w:rPr>
        <w:t xml:space="preserve"> For the uterus was the cause for all diseases. </w:t>
      </w:r>
      <w:r w:rsidRPr="00F86BA1">
        <w:rPr>
          <w:rStyle w:val="FootnoteReference"/>
        </w:rPr>
        <w:footnoteReference w:id="88"/>
      </w:r>
      <w:r w:rsidR="00A83AD3">
        <w:rPr>
          <w:sz w:val="24"/>
        </w:rPr>
        <w:t xml:space="preserve"> </w:t>
      </w:r>
      <w:r w:rsidRPr="00F86BA1">
        <w:rPr>
          <w:sz w:val="24"/>
        </w:rPr>
        <w:t>Within the Hippocratic corpus, disease of the womb generally involved a woman’s uterus moving about her body and latching onto her various organs.</w:t>
      </w:r>
      <w:r w:rsidRPr="00F86BA1">
        <w:rPr>
          <w:rStyle w:val="FootnoteReference"/>
        </w:rPr>
        <w:footnoteReference w:id="89"/>
      </w:r>
      <w:r w:rsidRPr="00F86BA1">
        <w:rPr>
          <w:sz w:val="24"/>
        </w:rPr>
        <w:t xml:space="preserve"> During the 16</w:t>
      </w:r>
      <w:r w:rsidRPr="00F86BA1">
        <w:rPr>
          <w:sz w:val="24"/>
          <w:vertAlign w:val="superscript"/>
        </w:rPr>
        <w:t>th</w:t>
      </w:r>
      <w:r w:rsidRPr="00F86BA1">
        <w:rPr>
          <w:sz w:val="24"/>
        </w:rPr>
        <w:t xml:space="preserve"> century however, the meaning of hysteria changed becoming considerably sexualised as understanding of the female body grew.</w:t>
      </w:r>
      <w:r w:rsidRPr="00F86BA1">
        <w:rPr>
          <w:rStyle w:val="FootnoteReference"/>
        </w:rPr>
        <w:footnoteReference w:id="90"/>
      </w:r>
      <w:r w:rsidRPr="00F86BA1">
        <w:rPr>
          <w:sz w:val="24"/>
        </w:rPr>
        <w:t xml:space="preserve"> </w:t>
      </w:r>
    </w:p>
    <w:p w14:paraId="32000A03" w14:textId="77777777" w:rsidR="00F55F64" w:rsidRPr="00F86BA1" w:rsidRDefault="00F55F64" w:rsidP="00F55F64">
      <w:pPr>
        <w:spacing w:line="480" w:lineRule="auto"/>
        <w:rPr>
          <w:sz w:val="24"/>
        </w:rPr>
      </w:pPr>
      <w:r w:rsidRPr="00F86BA1">
        <w:rPr>
          <w:sz w:val="24"/>
        </w:rPr>
        <w:t>The purpose of this chapter is to receive a fundamental understanding of the term Hysteria from different perspectives, and its different definitions.</w:t>
      </w:r>
    </w:p>
    <w:p w14:paraId="468CD142" w14:textId="77777777" w:rsidR="00F55F64" w:rsidRPr="00F86BA1" w:rsidRDefault="00F55F64" w:rsidP="00F55F64">
      <w:pPr>
        <w:pStyle w:val="Heading2"/>
        <w:spacing w:line="480" w:lineRule="auto"/>
      </w:pPr>
      <w:bookmarkStart w:id="17" w:name="_Toc513747786"/>
      <w:r w:rsidRPr="00F86BA1">
        <w:t>The Wandering Womb</w:t>
      </w:r>
      <w:bookmarkEnd w:id="17"/>
    </w:p>
    <w:p w14:paraId="2344A559" w14:textId="3C4E35BC" w:rsidR="00F55F64" w:rsidRPr="00F86BA1" w:rsidRDefault="00F55F64" w:rsidP="00F55F64">
      <w:pPr>
        <w:spacing w:line="480" w:lineRule="auto"/>
        <w:rPr>
          <w:sz w:val="24"/>
        </w:rPr>
      </w:pPr>
      <w:r w:rsidRPr="00F86BA1">
        <w:rPr>
          <w:sz w:val="24"/>
        </w:rPr>
        <w:t>Prior to its appearance in Greek texts, hysteria as a gynaecological malady could be found in a gynaecological papyrus written circa 1831-1786 B</w:t>
      </w:r>
      <w:r w:rsidR="00A83AD3">
        <w:rPr>
          <w:sz w:val="24"/>
        </w:rPr>
        <w:t>.</w:t>
      </w:r>
      <w:r w:rsidRPr="00F86BA1">
        <w:rPr>
          <w:sz w:val="24"/>
        </w:rPr>
        <w:t>C</w:t>
      </w:r>
      <w:r w:rsidR="00A83AD3">
        <w:rPr>
          <w:sz w:val="24"/>
        </w:rPr>
        <w:t>.</w:t>
      </w:r>
      <w:r w:rsidRPr="00F86BA1">
        <w:rPr>
          <w:sz w:val="24"/>
        </w:rPr>
        <w:t xml:space="preserve">E in Egypt, known as the </w:t>
      </w:r>
      <w:proofErr w:type="spellStart"/>
      <w:r w:rsidRPr="00F86BA1">
        <w:rPr>
          <w:sz w:val="24"/>
        </w:rPr>
        <w:t>Lahun</w:t>
      </w:r>
      <w:proofErr w:type="spellEnd"/>
      <w:r w:rsidRPr="00F86BA1">
        <w:rPr>
          <w:sz w:val="24"/>
        </w:rPr>
        <w:t xml:space="preserve"> Papyrus.</w:t>
      </w:r>
      <w:r w:rsidRPr="00F86BA1">
        <w:rPr>
          <w:rStyle w:val="FootnoteReference"/>
        </w:rPr>
        <w:footnoteReference w:id="91"/>
      </w:r>
      <w:r w:rsidRPr="00F86BA1">
        <w:rPr>
          <w:sz w:val="24"/>
        </w:rPr>
        <w:t xml:space="preserve"> The Papyrus states that the womb was believed to be the cause for many illnesses amongst women due to its </w:t>
      </w:r>
      <w:r w:rsidRPr="00F86BA1">
        <w:rPr>
          <w:i/>
          <w:sz w:val="24"/>
        </w:rPr>
        <w:t xml:space="preserve">“impure excretory” </w:t>
      </w:r>
      <w:r w:rsidRPr="00F86BA1">
        <w:rPr>
          <w:sz w:val="24"/>
        </w:rPr>
        <w:t>nature, in that blood, babies, and placentas escaped the body via the womb.</w:t>
      </w:r>
      <w:r w:rsidRPr="00F86BA1">
        <w:rPr>
          <w:rStyle w:val="FootnoteReference"/>
        </w:rPr>
        <w:footnoteReference w:id="92"/>
      </w:r>
      <w:r w:rsidRPr="00F86BA1">
        <w:rPr>
          <w:sz w:val="24"/>
        </w:rPr>
        <w:t xml:space="preserve"> The papyrus lends the belief that the womb, for the Egyptians, was considered to be an active and very mobile organ as it was thought to have the ability to move around the female body, causing the woman considerably distress as it </w:t>
      </w:r>
      <w:r w:rsidRPr="00F86BA1">
        <w:rPr>
          <w:sz w:val="24"/>
        </w:rPr>
        <w:lastRenderedPageBreak/>
        <w:t>traversed her inner body.</w:t>
      </w:r>
      <w:r w:rsidRPr="00F86BA1">
        <w:rPr>
          <w:rStyle w:val="FootnoteReference"/>
        </w:rPr>
        <w:footnoteReference w:id="93"/>
      </w:r>
      <w:r w:rsidR="00A83AD3">
        <w:rPr>
          <w:sz w:val="24"/>
        </w:rPr>
        <w:t xml:space="preserve"> A belief that was still agreed upon by the time that Hippocratic medicine was in practice.</w:t>
      </w:r>
      <w:r w:rsidR="00A83AD3">
        <w:rPr>
          <w:rStyle w:val="FootnoteReference"/>
          <w:sz w:val="24"/>
        </w:rPr>
        <w:footnoteReference w:id="94"/>
      </w:r>
    </w:p>
    <w:p w14:paraId="1B880F0A" w14:textId="6926B28A" w:rsidR="00F55F64" w:rsidRPr="00F86BA1" w:rsidRDefault="00F55F64" w:rsidP="00F55F64">
      <w:pPr>
        <w:spacing w:line="480" w:lineRule="auto"/>
        <w:rPr>
          <w:sz w:val="24"/>
        </w:rPr>
      </w:pPr>
      <w:r w:rsidRPr="00F86BA1">
        <w:rPr>
          <w:sz w:val="24"/>
        </w:rPr>
        <w:t>As stated above, the term Hysteria</w:t>
      </w:r>
      <w:r w:rsidR="004457E5">
        <w:rPr>
          <w:sz w:val="24"/>
        </w:rPr>
        <w:t xml:space="preserve"> </w:t>
      </w:r>
      <w:r w:rsidRPr="00F86BA1">
        <w:rPr>
          <w:sz w:val="24"/>
        </w:rPr>
        <w:t>(</w:t>
      </w:r>
      <w:proofErr w:type="spellStart"/>
      <w:r w:rsidRPr="00F86BA1">
        <w:rPr>
          <w:i/>
          <w:sz w:val="24"/>
        </w:rPr>
        <w:t>Hysterikos</w:t>
      </w:r>
      <w:proofErr w:type="spellEnd"/>
      <w:r w:rsidRPr="00F86BA1">
        <w:rPr>
          <w:i/>
          <w:sz w:val="24"/>
        </w:rPr>
        <w:t>)</w:t>
      </w:r>
      <w:r w:rsidRPr="00F86BA1">
        <w:rPr>
          <w:sz w:val="24"/>
        </w:rPr>
        <w:t xml:space="preserve"> had originally been used as a diagnostic phrase to mean the movement of the uterus, as it travels the female body and presses itself up against her organs.</w:t>
      </w:r>
      <w:r w:rsidRPr="00F86BA1">
        <w:rPr>
          <w:rStyle w:val="FootnoteReference"/>
        </w:rPr>
        <w:footnoteReference w:id="95"/>
      </w:r>
      <w:r w:rsidRPr="00F86BA1">
        <w:rPr>
          <w:sz w:val="24"/>
        </w:rPr>
        <w:t xml:space="preserve"> There seems to be a theme within the Hippocratic corpus as to why this may happen, and the general ruling seems to be that mainly unmarried women (usually those who have passed the preferred marrying age), or else in young, widowed women.</w:t>
      </w:r>
      <w:r w:rsidRPr="00F86BA1">
        <w:rPr>
          <w:rStyle w:val="FootnoteReference"/>
        </w:rPr>
        <w:footnoteReference w:id="96"/>
      </w:r>
      <w:r w:rsidRPr="00F86BA1">
        <w:rPr>
          <w:sz w:val="24"/>
        </w:rPr>
        <w:t xml:space="preserve"> Alternatively, the favoured explanation as to why the uterus moves from its usual place so that it may be seen outside of her body, is typically the result of a woman has not lain with her husband after she has given birth.</w:t>
      </w:r>
      <w:r w:rsidRPr="00F86BA1">
        <w:rPr>
          <w:rStyle w:val="FootnoteReference"/>
        </w:rPr>
        <w:footnoteReference w:id="97"/>
      </w:r>
      <w:r w:rsidRPr="00F86BA1">
        <w:rPr>
          <w:sz w:val="24"/>
        </w:rPr>
        <w:t xml:space="preserve"> Naturally, the recommended cure for either of these maladies, would be to ensure that the woman engages in sexual intercourse with her husband.</w:t>
      </w:r>
      <w:r w:rsidRPr="00F86BA1">
        <w:rPr>
          <w:rStyle w:val="FootnoteReference"/>
        </w:rPr>
        <w:footnoteReference w:id="98"/>
      </w:r>
      <w:r w:rsidRPr="00F86BA1">
        <w:rPr>
          <w:sz w:val="24"/>
        </w:rPr>
        <w:t xml:space="preserve"> Of course, if the woman is not married, the recommend course of action is that she should find a husband immediately and consummate their marriage, if she hoped of ever recovering from her disease.</w:t>
      </w:r>
      <w:r w:rsidRPr="00F86BA1">
        <w:rPr>
          <w:rStyle w:val="FootnoteReference"/>
        </w:rPr>
        <w:footnoteReference w:id="99"/>
      </w:r>
      <w:r w:rsidR="004457E5">
        <w:rPr>
          <w:sz w:val="24"/>
        </w:rPr>
        <w:t xml:space="preserve"> Although sex with her husband was frequently recommended by her physician, women also received various fumigants that were directed towards her various orifices in an effort to coax the womb to return to its correct resting place.</w:t>
      </w:r>
      <w:r w:rsidR="004457E5">
        <w:rPr>
          <w:rStyle w:val="FootnoteReference"/>
          <w:sz w:val="24"/>
        </w:rPr>
        <w:footnoteReference w:id="100"/>
      </w:r>
      <w:r w:rsidR="004457E5">
        <w:rPr>
          <w:sz w:val="24"/>
        </w:rPr>
        <w:t xml:space="preserve">   </w:t>
      </w:r>
    </w:p>
    <w:p w14:paraId="4DB5C5F4" w14:textId="33A16D3B" w:rsidR="00F55F64" w:rsidRPr="00F86BA1" w:rsidRDefault="00F55F64" w:rsidP="00F55F64">
      <w:pPr>
        <w:spacing w:line="480" w:lineRule="auto"/>
        <w:rPr>
          <w:sz w:val="24"/>
        </w:rPr>
      </w:pPr>
      <w:r w:rsidRPr="00F86BA1">
        <w:rPr>
          <w:sz w:val="24"/>
        </w:rPr>
        <w:t>Plato theorised that the reason for this happening was due to the fact that the uterus was a living being it’s in own way, that desired to hold a baby so much, that essentially it becomes ill when its host body does not provide one.</w:t>
      </w:r>
      <w:r w:rsidRPr="00F86BA1">
        <w:rPr>
          <w:rStyle w:val="FootnoteReference"/>
        </w:rPr>
        <w:footnoteReference w:id="101"/>
      </w:r>
      <w:r w:rsidRPr="00F86BA1">
        <w:rPr>
          <w:sz w:val="24"/>
        </w:rPr>
        <w:t xml:space="preserve"> The womb itself moves so much that the women </w:t>
      </w:r>
      <w:r w:rsidR="006B5A0D">
        <w:rPr>
          <w:sz w:val="24"/>
        </w:rPr>
        <w:t>eventually</w:t>
      </w:r>
      <w:r w:rsidRPr="00F86BA1">
        <w:rPr>
          <w:sz w:val="24"/>
        </w:rPr>
        <w:t xml:space="preserve"> becomes equally as discomforted as the womb,</w:t>
      </w:r>
      <w:r w:rsidR="006B5A0D">
        <w:rPr>
          <w:sz w:val="24"/>
        </w:rPr>
        <w:t xml:space="preserve"> perhaps even more so,</w:t>
      </w:r>
      <w:r w:rsidRPr="00F86BA1">
        <w:rPr>
          <w:sz w:val="24"/>
        </w:rPr>
        <w:t xml:space="preserve"> as </w:t>
      </w:r>
      <w:r w:rsidRPr="00F86BA1">
        <w:rPr>
          <w:sz w:val="24"/>
        </w:rPr>
        <w:lastRenderedPageBreak/>
        <w:t>during its journey around her body it causes the woman considerable distress as it supposedly blocks her airways, making it difficult to breath.</w:t>
      </w:r>
      <w:r w:rsidRPr="00F86BA1">
        <w:rPr>
          <w:rStyle w:val="FootnoteReference"/>
        </w:rPr>
        <w:footnoteReference w:id="102"/>
      </w:r>
      <w:r w:rsidRPr="00F86BA1">
        <w:rPr>
          <w:sz w:val="24"/>
        </w:rPr>
        <w:t xml:space="preserve"> As with the Hippocratic Corpus, the key to remedying such a malady, is for the woman’s womb to be fertilised so that a baby may be born unto the woman.</w:t>
      </w:r>
      <w:r w:rsidRPr="00F86BA1">
        <w:rPr>
          <w:rStyle w:val="FootnoteReference"/>
        </w:rPr>
        <w:footnoteReference w:id="103"/>
      </w:r>
    </w:p>
    <w:p w14:paraId="5177FAE1" w14:textId="77777777" w:rsidR="00F55F64" w:rsidRPr="00F86BA1" w:rsidRDefault="00F55F64" w:rsidP="00F55F64">
      <w:pPr>
        <w:jc w:val="center"/>
        <w:rPr>
          <w:spacing w:val="-2"/>
          <w:sz w:val="24"/>
        </w:rPr>
      </w:pPr>
      <w:r w:rsidRPr="00F86BA1">
        <w:rPr>
          <w:i/>
          <w:spacing w:val="-2"/>
          <w:sz w:val="24"/>
        </w:rPr>
        <w:t>“Whenever the matrix or womb, as it is called,</w:t>
      </w:r>
      <w:r w:rsidRPr="00F86BA1">
        <w:rPr>
          <w:i/>
          <w:spacing w:val="-2"/>
          <w:sz w:val="24"/>
        </w:rPr>
        <w:br/>
        <w:t xml:space="preserve">—which is an indwelling creature desirous of child-bearing,—remains </w:t>
      </w:r>
      <w:r w:rsidRPr="00F86BA1">
        <w:rPr>
          <w:i/>
          <w:spacing w:val="-2"/>
          <w:sz w:val="24"/>
        </w:rPr>
        <w:br/>
        <w:t>without fruit long beyond the due season, it is vexed and takes it ill; and by</w:t>
      </w:r>
      <w:r w:rsidRPr="00F86BA1">
        <w:rPr>
          <w:i/>
          <w:sz w:val="24"/>
        </w:rPr>
        <w:br/>
      </w:r>
      <w:r w:rsidRPr="00F86BA1">
        <w:rPr>
          <w:i/>
          <w:spacing w:val="-2"/>
          <w:sz w:val="24"/>
        </w:rPr>
        <w:t xml:space="preserve">straying all ways through the body and blocking up the passages of the breath </w:t>
      </w:r>
      <w:r w:rsidRPr="00F86BA1">
        <w:rPr>
          <w:i/>
          <w:spacing w:val="-2"/>
          <w:sz w:val="24"/>
        </w:rPr>
        <w:br/>
        <w:t xml:space="preserve">and preventing respiration it casts the body into the uttermost distress, and </w:t>
      </w:r>
      <w:r w:rsidRPr="00F86BA1">
        <w:rPr>
          <w:i/>
          <w:spacing w:val="-2"/>
          <w:sz w:val="24"/>
        </w:rPr>
        <w:br/>
        <w:t xml:space="preserve">causes, moreover, all kinds of maladies; until the desire and love of the two </w:t>
      </w:r>
      <w:r w:rsidRPr="00F86BA1">
        <w:rPr>
          <w:i/>
          <w:spacing w:val="-2"/>
          <w:sz w:val="24"/>
        </w:rPr>
        <w:br/>
        <w:t xml:space="preserve">sexes unite them. Then, culling as it were the fruit from trees, they sow upon </w:t>
      </w:r>
      <w:r w:rsidRPr="00F86BA1">
        <w:rPr>
          <w:i/>
          <w:spacing w:val="-2"/>
          <w:sz w:val="24"/>
        </w:rPr>
        <w:br/>
        <w:t xml:space="preserve">the womb, as upon ploughed soil, animalcules that are invisible for smallness </w:t>
      </w:r>
      <w:r w:rsidRPr="00F86BA1">
        <w:rPr>
          <w:i/>
          <w:spacing w:val="-2"/>
          <w:sz w:val="24"/>
        </w:rPr>
        <w:br/>
        <w:t xml:space="preserve">and unshapen; and these, again, they mould into shape and nourish to a great </w:t>
      </w:r>
      <w:r w:rsidRPr="00F86BA1">
        <w:rPr>
          <w:i/>
          <w:spacing w:val="-2"/>
          <w:sz w:val="24"/>
        </w:rPr>
        <w:br/>
        <w:t xml:space="preserve">size within the body; after which they bring them forth into the light and thus </w:t>
      </w:r>
      <w:r w:rsidRPr="00F86BA1">
        <w:rPr>
          <w:i/>
          <w:spacing w:val="-2"/>
          <w:sz w:val="24"/>
        </w:rPr>
        <w:br/>
        <w:t>complete the generation of the living creature.”</w:t>
      </w:r>
      <w:r w:rsidRPr="00F86BA1">
        <w:rPr>
          <w:rStyle w:val="FootnoteReference"/>
          <w:spacing w:val="-2"/>
        </w:rPr>
        <w:footnoteReference w:id="104"/>
      </w:r>
    </w:p>
    <w:p w14:paraId="02E07065" w14:textId="77777777" w:rsidR="00F55F64" w:rsidRPr="00F86BA1" w:rsidRDefault="00F55F64" w:rsidP="00F55F64">
      <w:pPr>
        <w:jc w:val="center"/>
        <w:rPr>
          <w:sz w:val="24"/>
        </w:rPr>
      </w:pPr>
      <w:r w:rsidRPr="00F86BA1">
        <w:rPr>
          <w:sz w:val="24"/>
        </w:rPr>
        <w:t>[Plato, Timaeus 91b-d]</w:t>
      </w:r>
    </w:p>
    <w:p w14:paraId="77448052" w14:textId="77777777" w:rsidR="00F55F64" w:rsidRPr="00F86BA1" w:rsidRDefault="00F55F64" w:rsidP="00F55F64">
      <w:pPr>
        <w:pStyle w:val="Heading2"/>
        <w:spacing w:line="480" w:lineRule="auto"/>
      </w:pPr>
      <w:bookmarkStart w:id="18" w:name="_Toc513747787"/>
      <w:r w:rsidRPr="00F86BA1">
        <w:t>Hysteria and Sex</w:t>
      </w:r>
      <w:bookmarkEnd w:id="18"/>
    </w:p>
    <w:p w14:paraId="19FBBB63" w14:textId="77777777" w:rsidR="00F55F64" w:rsidRPr="00F86BA1" w:rsidRDefault="00F55F64" w:rsidP="00F55F64">
      <w:pPr>
        <w:spacing w:line="480" w:lineRule="auto"/>
        <w:rPr>
          <w:sz w:val="24"/>
        </w:rPr>
      </w:pPr>
      <w:r w:rsidRPr="00F86BA1">
        <w:rPr>
          <w:sz w:val="24"/>
        </w:rPr>
        <w:t xml:space="preserve">In the May of 1893, Freud first proposed his Seduction Theory to a friend, Wilhelm </w:t>
      </w:r>
      <w:proofErr w:type="spellStart"/>
      <w:r w:rsidRPr="00F86BA1">
        <w:rPr>
          <w:sz w:val="24"/>
        </w:rPr>
        <w:t>Fliess</w:t>
      </w:r>
      <w:proofErr w:type="spellEnd"/>
      <w:r w:rsidRPr="00F86BA1">
        <w:rPr>
          <w:sz w:val="24"/>
        </w:rPr>
        <w:t>.</w:t>
      </w:r>
      <w:r w:rsidRPr="00F86BA1">
        <w:rPr>
          <w:rStyle w:val="FootnoteReference"/>
        </w:rPr>
        <w:footnoteReference w:id="105"/>
      </w:r>
      <w:r w:rsidRPr="00F86BA1">
        <w:rPr>
          <w:sz w:val="24"/>
        </w:rPr>
        <w:t xml:space="preserve"> The Seduction Theory proposed that when women recall an event from their childhood (an event that had occurred prior to them reaching sexual maturity), they would experience </w:t>
      </w:r>
      <w:r w:rsidRPr="00F86BA1">
        <w:rPr>
          <w:i/>
          <w:sz w:val="24"/>
        </w:rPr>
        <w:t>“baffling hysterical symptoms”.</w:t>
      </w:r>
      <w:r w:rsidRPr="00F86BA1">
        <w:rPr>
          <w:rStyle w:val="FootnoteReference"/>
          <w:i/>
        </w:rPr>
        <w:footnoteReference w:id="106"/>
      </w:r>
      <w:r w:rsidRPr="00F86BA1">
        <w:rPr>
          <w:sz w:val="24"/>
        </w:rPr>
        <w:t xml:space="preserve"> More specifically, women would experience these bouts of Hysteria would occur after recalling a suppressed memory of their father sexually abusing as adolescents.</w:t>
      </w:r>
      <w:r w:rsidRPr="00F86BA1">
        <w:rPr>
          <w:rStyle w:val="FootnoteReference"/>
        </w:rPr>
        <w:footnoteReference w:id="107"/>
      </w:r>
      <w:r w:rsidRPr="00F86BA1">
        <w:rPr>
          <w:sz w:val="24"/>
        </w:rPr>
        <w:t xml:space="preserve"> Freud had been so convinced of his theory that on April 21</w:t>
      </w:r>
      <w:r w:rsidRPr="00F86BA1">
        <w:rPr>
          <w:sz w:val="24"/>
          <w:vertAlign w:val="superscript"/>
        </w:rPr>
        <w:t>st</w:t>
      </w:r>
      <w:r w:rsidRPr="00F86BA1">
        <w:rPr>
          <w:sz w:val="24"/>
        </w:rPr>
        <w:t>, 1896, revealed this notion to the public.</w:t>
      </w:r>
      <w:r w:rsidRPr="00F86BA1">
        <w:rPr>
          <w:rStyle w:val="FootnoteReference"/>
        </w:rPr>
        <w:footnoteReference w:id="108"/>
      </w:r>
      <w:r w:rsidRPr="00F86BA1">
        <w:rPr>
          <w:sz w:val="24"/>
        </w:rPr>
        <w:t xml:space="preserve"> However, just over a year later on the 27</w:t>
      </w:r>
      <w:r w:rsidRPr="00F86BA1">
        <w:rPr>
          <w:sz w:val="24"/>
          <w:vertAlign w:val="superscript"/>
        </w:rPr>
        <w:t>th</w:t>
      </w:r>
      <w:r w:rsidRPr="00F86BA1">
        <w:rPr>
          <w:sz w:val="24"/>
        </w:rPr>
        <w:t xml:space="preserve"> September 1897, </w:t>
      </w:r>
      <w:proofErr w:type="spellStart"/>
      <w:r w:rsidRPr="00F86BA1">
        <w:rPr>
          <w:sz w:val="24"/>
        </w:rPr>
        <w:t>Freus</w:t>
      </w:r>
      <w:proofErr w:type="spellEnd"/>
      <w:r w:rsidRPr="00F86BA1">
        <w:rPr>
          <w:sz w:val="24"/>
        </w:rPr>
        <w:t xml:space="preserve"> </w:t>
      </w:r>
      <w:r w:rsidRPr="00F86BA1">
        <w:rPr>
          <w:sz w:val="24"/>
        </w:rPr>
        <w:lastRenderedPageBreak/>
        <w:t xml:space="preserve">revealed in confidence once again to </w:t>
      </w:r>
      <w:proofErr w:type="spellStart"/>
      <w:r w:rsidRPr="00F86BA1">
        <w:rPr>
          <w:sz w:val="24"/>
        </w:rPr>
        <w:t>Fliess</w:t>
      </w:r>
      <w:proofErr w:type="spellEnd"/>
      <w:r w:rsidRPr="00F86BA1">
        <w:rPr>
          <w:sz w:val="24"/>
        </w:rPr>
        <w:t xml:space="preserve"> that he no longer believed in his initial proposal.</w:t>
      </w:r>
      <w:r w:rsidRPr="00F86BA1">
        <w:rPr>
          <w:rStyle w:val="FootnoteReference"/>
        </w:rPr>
        <w:footnoteReference w:id="109"/>
      </w:r>
      <w:r w:rsidRPr="00F86BA1">
        <w:rPr>
          <w:sz w:val="24"/>
        </w:rPr>
        <w:t xml:space="preserve"> </w:t>
      </w:r>
    </w:p>
    <w:p w14:paraId="6950773D" w14:textId="77777777" w:rsidR="00F55F64" w:rsidRPr="00F86BA1" w:rsidRDefault="00F55F64" w:rsidP="00F55F64">
      <w:pPr>
        <w:spacing w:line="480" w:lineRule="auto"/>
        <w:rPr>
          <w:sz w:val="24"/>
        </w:rPr>
      </w:pPr>
      <w:r w:rsidRPr="00F86BA1">
        <w:rPr>
          <w:sz w:val="24"/>
        </w:rPr>
        <w:t xml:space="preserve">Instead he found that he believed far more confidently into the theory that </w:t>
      </w:r>
      <w:r w:rsidRPr="00F86BA1">
        <w:rPr>
          <w:i/>
          <w:sz w:val="24"/>
        </w:rPr>
        <w:t xml:space="preserve">“his patients’ seduction stories were fantasies, originating not in the perverse deeds of adults but in the erotic wishes of infants.”, </w:t>
      </w:r>
      <w:r w:rsidRPr="00F86BA1">
        <w:rPr>
          <w:sz w:val="24"/>
        </w:rPr>
        <w:t>what would later become known as the Oedipus complex.</w:t>
      </w:r>
      <w:r w:rsidRPr="00F86BA1">
        <w:rPr>
          <w:rStyle w:val="FootnoteReference"/>
          <w:i/>
        </w:rPr>
        <w:footnoteReference w:id="110"/>
      </w:r>
      <w:r w:rsidRPr="00F86BA1">
        <w:rPr>
          <w:i/>
          <w:sz w:val="24"/>
        </w:rPr>
        <w:t xml:space="preserve"> </w:t>
      </w:r>
      <w:r w:rsidRPr="00F86BA1">
        <w:rPr>
          <w:sz w:val="24"/>
        </w:rPr>
        <w:t>This theory, at its basest form, suggested that children, as they were maturing, felt deep, profound love in their parent of the opposite gender, and a strong jealousy of the parent of their shared genders.</w:t>
      </w:r>
      <w:r w:rsidRPr="00F86BA1">
        <w:rPr>
          <w:rStyle w:val="FootnoteReference"/>
        </w:rPr>
        <w:footnoteReference w:id="111"/>
      </w:r>
      <w:r w:rsidRPr="00F86BA1">
        <w:rPr>
          <w:sz w:val="24"/>
        </w:rPr>
        <w:t xml:space="preserve"> In other words, young boys would fall in love with their mothers, whilst being jealous of their fathers. And the reverse would be true for young girls.</w:t>
      </w:r>
    </w:p>
    <w:p w14:paraId="4EFB5ACB" w14:textId="77777777" w:rsidR="00F55F64" w:rsidRPr="00F86BA1" w:rsidRDefault="00F55F64" w:rsidP="00F55F64">
      <w:pPr>
        <w:spacing w:line="480" w:lineRule="auto"/>
        <w:rPr>
          <w:sz w:val="24"/>
        </w:rPr>
      </w:pPr>
      <w:r w:rsidRPr="00F86BA1">
        <w:rPr>
          <w:sz w:val="24"/>
        </w:rPr>
        <w:t>Castleman [2013] states that during the 13</w:t>
      </w:r>
      <w:r w:rsidRPr="00F86BA1">
        <w:rPr>
          <w:sz w:val="24"/>
          <w:vertAlign w:val="superscript"/>
        </w:rPr>
        <w:t>th</w:t>
      </w:r>
      <w:r w:rsidRPr="00F86BA1">
        <w:rPr>
          <w:sz w:val="24"/>
        </w:rPr>
        <w:t xml:space="preserve"> century, Hysteria had been associated with the sexual frustrations of women.</w:t>
      </w:r>
      <w:r w:rsidRPr="00F86BA1">
        <w:rPr>
          <w:rStyle w:val="FootnoteReference"/>
        </w:rPr>
        <w:footnoteReference w:id="112"/>
      </w:r>
      <w:r w:rsidRPr="00F86BA1">
        <w:rPr>
          <w:sz w:val="24"/>
        </w:rPr>
        <w:t xml:space="preserve"> A belief that seemed to have been carried over into the 19</w:t>
      </w:r>
      <w:r w:rsidRPr="00F86BA1">
        <w:rPr>
          <w:sz w:val="24"/>
          <w:vertAlign w:val="superscript"/>
        </w:rPr>
        <w:t>th</w:t>
      </w:r>
      <w:r w:rsidRPr="00F86BA1">
        <w:rPr>
          <w:sz w:val="24"/>
        </w:rPr>
        <w:t xml:space="preserve"> Century.</w:t>
      </w:r>
      <w:r w:rsidRPr="00F86BA1">
        <w:rPr>
          <w:rStyle w:val="FootnoteReference"/>
        </w:rPr>
        <w:footnoteReference w:id="113"/>
      </w:r>
      <w:r w:rsidRPr="00F86BA1">
        <w:rPr>
          <w:sz w:val="24"/>
        </w:rPr>
        <w:t xml:space="preserve"> During the 16</w:t>
      </w:r>
      <w:r w:rsidRPr="00F86BA1">
        <w:rPr>
          <w:sz w:val="24"/>
          <w:vertAlign w:val="superscript"/>
        </w:rPr>
        <w:t>th</w:t>
      </w:r>
      <w:r w:rsidRPr="00F86BA1">
        <w:rPr>
          <w:sz w:val="24"/>
        </w:rPr>
        <w:t xml:space="preserve"> century, the belief that female sexual frustration and hysteria were so interlinked, that doctors would even go so far as to encourage married women who has been diagnosed as </w:t>
      </w:r>
      <w:r w:rsidRPr="00F86BA1">
        <w:rPr>
          <w:i/>
          <w:sz w:val="24"/>
        </w:rPr>
        <w:t>“</w:t>
      </w:r>
      <w:proofErr w:type="spellStart"/>
      <w:r w:rsidRPr="00F86BA1">
        <w:rPr>
          <w:i/>
          <w:sz w:val="24"/>
        </w:rPr>
        <w:t>Hyserics</w:t>
      </w:r>
      <w:proofErr w:type="spellEnd"/>
      <w:r w:rsidRPr="00F86BA1">
        <w:rPr>
          <w:i/>
          <w:sz w:val="24"/>
        </w:rPr>
        <w:t>”</w:t>
      </w:r>
      <w:r w:rsidRPr="00F86BA1">
        <w:rPr>
          <w:sz w:val="24"/>
        </w:rPr>
        <w:t xml:space="preserve"> to encourage their husbands sexual appetites so that their own frustrations would be alleviated.</w:t>
      </w:r>
      <w:r w:rsidRPr="00F86BA1">
        <w:rPr>
          <w:rStyle w:val="FootnoteReference"/>
        </w:rPr>
        <w:footnoteReference w:id="114"/>
      </w:r>
      <w:r w:rsidRPr="00F86BA1">
        <w:rPr>
          <w:sz w:val="24"/>
        </w:rPr>
        <w:t xml:space="preserve"> If a woman was unmarried, widowed, or did not receive any sexual satisfaction from her husband, she was encouraged to try horse riding which would sometimes relieve their sexual frustrations.</w:t>
      </w:r>
      <w:r w:rsidRPr="00F86BA1">
        <w:rPr>
          <w:rStyle w:val="FootnoteReference"/>
        </w:rPr>
        <w:footnoteReference w:id="115"/>
      </w:r>
    </w:p>
    <w:p w14:paraId="1BD6EC59" w14:textId="77777777" w:rsidR="00F55F64" w:rsidRPr="00F86BA1" w:rsidRDefault="00F55F64" w:rsidP="00F55F64">
      <w:pPr>
        <w:spacing w:line="480" w:lineRule="auto"/>
        <w:rPr>
          <w:sz w:val="24"/>
        </w:rPr>
      </w:pPr>
      <w:r w:rsidRPr="00F86BA1">
        <w:rPr>
          <w:sz w:val="24"/>
        </w:rPr>
        <w:t>During the 19</w:t>
      </w:r>
      <w:r w:rsidRPr="00F86BA1">
        <w:rPr>
          <w:sz w:val="24"/>
          <w:vertAlign w:val="superscript"/>
        </w:rPr>
        <w:t>th</w:t>
      </w:r>
      <w:r w:rsidRPr="00F86BA1">
        <w:rPr>
          <w:sz w:val="24"/>
        </w:rPr>
        <w:t xml:space="preserve"> century, women began vising their physicians far more frequently so that they may rid them of their hysteria.</w:t>
      </w:r>
      <w:r w:rsidRPr="00F86BA1">
        <w:rPr>
          <w:rStyle w:val="FootnoteReference"/>
        </w:rPr>
        <w:footnoteReference w:id="116"/>
      </w:r>
      <w:r w:rsidRPr="00F86BA1">
        <w:rPr>
          <w:sz w:val="24"/>
        </w:rPr>
        <w:t xml:space="preserve"> It was at this time that women were believed to be unable to experience sexual pleasure, as it was the belief that women were merely a means for which </w:t>
      </w:r>
      <w:r w:rsidRPr="00F86BA1">
        <w:rPr>
          <w:sz w:val="24"/>
        </w:rPr>
        <w:lastRenderedPageBreak/>
        <w:t>men could receive sexual pleasure.</w:t>
      </w:r>
      <w:r w:rsidRPr="00F86BA1">
        <w:rPr>
          <w:rStyle w:val="FootnoteReference"/>
        </w:rPr>
        <w:footnoteReference w:id="117"/>
      </w:r>
      <w:r w:rsidRPr="00F86BA1">
        <w:rPr>
          <w:sz w:val="24"/>
        </w:rPr>
        <w:t xml:space="preserve"> The influx of women vising their physicians became so great that, eventually in 1880, a Dr Joseph Mortimer Granville received the patent for the first electric vibrator.</w:t>
      </w:r>
      <w:r w:rsidRPr="00F86BA1">
        <w:rPr>
          <w:rStyle w:val="FootnoteReference"/>
        </w:rPr>
        <w:footnoteReference w:id="118"/>
      </w:r>
      <w:r w:rsidRPr="00F86BA1">
        <w:rPr>
          <w:sz w:val="24"/>
        </w:rPr>
        <w:t xml:space="preserve"> Granville’s invention helped with the crowds of women seeking their physicians help, and when during the 20</w:t>
      </w:r>
      <w:r w:rsidRPr="00F86BA1">
        <w:rPr>
          <w:sz w:val="24"/>
          <w:vertAlign w:val="superscript"/>
        </w:rPr>
        <w:t>th</w:t>
      </w:r>
      <w:r w:rsidRPr="00F86BA1">
        <w:rPr>
          <w:sz w:val="24"/>
        </w:rPr>
        <w:t xml:space="preserve"> century the electric vibrator became available for home use, the amount of women visiting the doctor’s office for a cure for the hysteria began to tickle down to nothing.</w:t>
      </w:r>
      <w:r w:rsidRPr="00F86BA1">
        <w:rPr>
          <w:rStyle w:val="FootnoteReference"/>
        </w:rPr>
        <w:footnoteReference w:id="119"/>
      </w:r>
    </w:p>
    <w:p w14:paraId="1F35DA91" w14:textId="77777777" w:rsidR="00F55F64" w:rsidRPr="00F86BA1" w:rsidRDefault="00F55F64" w:rsidP="00F55F64">
      <w:pPr>
        <w:pStyle w:val="Heading2"/>
        <w:spacing w:line="480" w:lineRule="auto"/>
      </w:pPr>
      <w:bookmarkStart w:id="19" w:name="_Toc513747788"/>
      <w:r w:rsidRPr="00F86BA1">
        <w:t>Hysteria and Illness</w:t>
      </w:r>
      <w:bookmarkEnd w:id="19"/>
    </w:p>
    <w:p w14:paraId="700EA40C" w14:textId="77777777" w:rsidR="00F55F64" w:rsidRPr="00F86BA1" w:rsidRDefault="00F55F64" w:rsidP="00F55F64">
      <w:pPr>
        <w:spacing w:line="480" w:lineRule="auto"/>
        <w:rPr>
          <w:sz w:val="24"/>
        </w:rPr>
      </w:pPr>
      <w:r w:rsidRPr="00F86BA1">
        <w:rPr>
          <w:sz w:val="24"/>
        </w:rPr>
        <w:t>During the 19</w:t>
      </w:r>
      <w:r w:rsidRPr="00F86BA1">
        <w:rPr>
          <w:sz w:val="24"/>
          <w:vertAlign w:val="superscript"/>
        </w:rPr>
        <w:t>th</w:t>
      </w:r>
      <w:r w:rsidRPr="00F86BA1">
        <w:rPr>
          <w:sz w:val="24"/>
        </w:rPr>
        <w:t xml:space="preserve"> century, hysteria was treated and approached as though it were a neurological problem and was often disputed as to whether it should be considered as a </w:t>
      </w:r>
      <w:r w:rsidRPr="00F86BA1">
        <w:rPr>
          <w:i/>
          <w:sz w:val="24"/>
        </w:rPr>
        <w:t>“variety of epilepsy”</w:t>
      </w:r>
      <w:r w:rsidRPr="00F86BA1">
        <w:rPr>
          <w:sz w:val="24"/>
        </w:rPr>
        <w:t>.</w:t>
      </w:r>
      <w:r w:rsidRPr="00F86BA1">
        <w:rPr>
          <w:rStyle w:val="FootnoteReference"/>
        </w:rPr>
        <w:footnoteReference w:id="120"/>
      </w:r>
      <w:r w:rsidRPr="00F86BA1">
        <w:rPr>
          <w:sz w:val="24"/>
        </w:rPr>
        <w:t xml:space="preserve"> The two diseases held symptoms that were so similar, that it was often difficult to distinguish between the two.</w:t>
      </w:r>
      <w:r w:rsidRPr="00F86BA1">
        <w:rPr>
          <w:rStyle w:val="FootnoteReference"/>
        </w:rPr>
        <w:footnoteReference w:id="121"/>
      </w:r>
      <w:r w:rsidRPr="00F86BA1">
        <w:rPr>
          <w:sz w:val="24"/>
        </w:rPr>
        <w:t xml:space="preserve"> The similarity was so much so that </w:t>
      </w:r>
      <w:proofErr w:type="spellStart"/>
      <w:r w:rsidRPr="00F86BA1">
        <w:rPr>
          <w:sz w:val="24"/>
        </w:rPr>
        <w:t>Hughlings</w:t>
      </w:r>
      <w:proofErr w:type="spellEnd"/>
      <w:r w:rsidRPr="00F86BA1">
        <w:rPr>
          <w:sz w:val="24"/>
        </w:rPr>
        <w:t xml:space="preserve"> Jackson warned that during the diagnosis, a neurosurgeon must take extra care lest he incorrectly diagnosed one instead of the other.</w:t>
      </w:r>
      <w:r w:rsidRPr="00F86BA1">
        <w:rPr>
          <w:rStyle w:val="FootnoteReference"/>
        </w:rPr>
        <w:footnoteReference w:id="122"/>
      </w:r>
      <w:r w:rsidRPr="00F86BA1">
        <w:rPr>
          <w:sz w:val="24"/>
        </w:rPr>
        <w:t xml:space="preserve"> Robert Bentley Todd believed that the correct way to tell whether someone should be diagnosed as epileptic or hysteric, was by judging the movements made during fits.</w:t>
      </w:r>
      <w:r w:rsidRPr="00F86BA1">
        <w:rPr>
          <w:rStyle w:val="FootnoteReference"/>
        </w:rPr>
        <w:footnoteReference w:id="123"/>
      </w:r>
      <w:r w:rsidRPr="00F86BA1">
        <w:rPr>
          <w:sz w:val="24"/>
        </w:rPr>
        <w:t xml:space="preserve"> If a patient was believed to be semi-in control of their movements, and that it seemed that each action was striving for a purpose, then it is likely that the patient was a hysteric, unlike with an epileptic who would have no control in how their bodies moved.</w:t>
      </w:r>
      <w:r w:rsidRPr="00F86BA1">
        <w:rPr>
          <w:rStyle w:val="FootnoteReference"/>
        </w:rPr>
        <w:footnoteReference w:id="124"/>
      </w:r>
      <w:r w:rsidRPr="00F86BA1">
        <w:rPr>
          <w:sz w:val="24"/>
        </w:rPr>
        <w:t xml:space="preserve"> Likewise if a patient regained semi-consciousness, the it is likely they were suffering from hysteria.</w:t>
      </w:r>
      <w:r w:rsidRPr="00F86BA1">
        <w:rPr>
          <w:rStyle w:val="FootnoteReference"/>
        </w:rPr>
        <w:footnoteReference w:id="125"/>
      </w:r>
      <w:r w:rsidRPr="00F86BA1">
        <w:rPr>
          <w:sz w:val="24"/>
        </w:rPr>
        <w:t xml:space="preserve"> Due to how closely the two diseases ran together, it was </w:t>
      </w:r>
      <w:r w:rsidRPr="00F86BA1">
        <w:rPr>
          <w:sz w:val="24"/>
        </w:rPr>
        <w:lastRenderedPageBreak/>
        <w:t>generally believed that a person suffering from hysteria could be epileptic, however, an epileptic could not be considered hysterical.</w:t>
      </w:r>
      <w:r w:rsidRPr="00F86BA1">
        <w:rPr>
          <w:rStyle w:val="FootnoteReference"/>
        </w:rPr>
        <w:footnoteReference w:id="126"/>
      </w:r>
    </w:p>
    <w:p w14:paraId="7CB8431D" w14:textId="77777777" w:rsidR="00F55F64" w:rsidRPr="00F86BA1" w:rsidRDefault="00F55F64" w:rsidP="00F55F64">
      <w:pPr>
        <w:spacing w:line="480" w:lineRule="auto"/>
        <w:rPr>
          <w:sz w:val="24"/>
          <w:szCs w:val="24"/>
        </w:rPr>
      </w:pPr>
      <w:r w:rsidRPr="00F86BA1">
        <w:rPr>
          <w:sz w:val="24"/>
        </w:rPr>
        <w:t>Whereas in the 21</w:t>
      </w:r>
      <w:r w:rsidRPr="00F86BA1">
        <w:rPr>
          <w:sz w:val="24"/>
          <w:vertAlign w:val="superscript"/>
        </w:rPr>
        <w:t>st</w:t>
      </w:r>
      <w:r w:rsidRPr="00F86BA1">
        <w:rPr>
          <w:sz w:val="24"/>
        </w:rPr>
        <w:t>, hysteria is no longer used within the medical community and considered a disease of the mind.</w:t>
      </w:r>
      <w:r w:rsidRPr="00F86BA1">
        <w:rPr>
          <w:rStyle w:val="FootnoteReference"/>
        </w:rPr>
        <w:footnoteReference w:id="127"/>
      </w:r>
      <w:r w:rsidRPr="00F86BA1">
        <w:rPr>
          <w:sz w:val="24"/>
        </w:rPr>
        <w:t xml:space="preserve"> Instead, it is now used to </w:t>
      </w:r>
      <w:r w:rsidRPr="00F86BA1">
        <w:rPr>
          <w:i/>
          <w:sz w:val="24"/>
          <w:u w:val="single"/>
        </w:rPr>
        <w:t>descri</w:t>
      </w:r>
      <w:r w:rsidRPr="00F86BA1">
        <w:rPr>
          <w:i/>
          <w:sz w:val="24"/>
          <w:szCs w:val="24"/>
          <w:u w:val="single"/>
        </w:rPr>
        <w:t>be</w:t>
      </w:r>
      <w:r w:rsidRPr="00F86BA1">
        <w:rPr>
          <w:sz w:val="24"/>
          <w:szCs w:val="24"/>
        </w:rPr>
        <w:t xml:space="preserve"> someone who has lost control in some way, shape, or form to an overwhelming amount of emotion falling over them in a short space of time.</w:t>
      </w:r>
      <w:r w:rsidRPr="00F86BA1">
        <w:rPr>
          <w:rStyle w:val="FootnoteReference"/>
          <w:szCs w:val="24"/>
        </w:rPr>
        <w:footnoteReference w:id="128"/>
      </w:r>
      <w:r w:rsidRPr="00F86BA1">
        <w:rPr>
          <w:sz w:val="24"/>
          <w:szCs w:val="24"/>
        </w:rPr>
        <w:t xml:space="preserve"> This is typically more prevalent when these feelings do not match the given situation.</w:t>
      </w:r>
      <w:r w:rsidRPr="00F86BA1">
        <w:rPr>
          <w:rStyle w:val="FootnoteReference"/>
          <w:szCs w:val="24"/>
        </w:rPr>
        <w:footnoteReference w:id="129"/>
      </w:r>
      <w:r w:rsidRPr="00F86BA1">
        <w:rPr>
          <w:sz w:val="24"/>
          <w:szCs w:val="24"/>
        </w:rPr>
        <w:t xml:space="preserve"> As hysteria is not considered to be a medical issues in today’s definition, varying beliefs have emerged as to what exactly could be considered hysterical.</w:t>
      </w:r>
      <w:r w:rsidRPr="00F86BA1">
        <w:rPr>
          <w:rStyle w:val="FootnoteReference"/>
          <w:szCs w:val="24"/>
        </w:rPr>
        <w:footnoteReference w:id="130"/>
      </w:r>
    </w:p>
    <w:p w14:paraId="43F398F6" w14:textId="77777777" w:rsidR="00F55F64" w:rsidRPr="00F86BA1" w:rsidRDefault="00F55F64" w:rsidP="00F55F64">
      <w:pPr>
        <w:spacing w:line="480" w:lineRule="auto"/>
        <w:rPr>
          <w:sz w:val="24"/>
          <w:szCs w:val="24"/>
        </w:rPr>
      </w:pPr>
      <w:r w:rsidRPr="00F86BA1">
        <w:rPr>
          <w:sz w:val="24"/>
          <w:szCs w:val="24"/>
        </w:rPr>
        <w:t xml:space="preserve">It is believed that hysteria may not always be emotional, and that those living with </w:t>
      </w:r>
      <w:r w:rsidRPr="00F86BA1">
        <w:rPr>
          <w:i/>
          <w:sz w:val="24"/>
          <w:szCs w:val="24"/>
        </w:rPr>
        <w:t xml:space="preserve">“delusional belief”, </w:t>
      </w:r>
      <w:r w:rsidRPr="00F86BA1">
        <w:rPr>
          <w:sz w:val="24"/>
          <w:szCs w:val="24"/>
        </w:rPr>
        <w:t xml:space="preserve">such as </w:t>
      </w:r>
      <w:proofErr w:type="spellStart"/>
      <w:r w:rsidRPr="00F86BA1">
        <w:rPr>
          <w:sz w:val="24"/>
          <w:szCs w:val="24"/>
        </w:rPr>
        <w:t>hyperchondria</w:t>
      </w:r>
      <w:proofErr w:type="spellEnd"/>
      <w:r w:rsidRPr="00F86BA1">
        <w:rPr>
          <w:sz w:val="24"/>
          <w:szCs w:val="24"/>
        </w:rPr>
        <w:t xml:space="preserve"> could be living with hysteria.</w:t>
      </w:r>
      <w:r w:rsidRPr="00F86BA1">
        <w:rPr>
          <w:rStyle w:val="FootnoteReference"/>
          <w:szCs w:val="24"/>
        </w:rPr>
        <w:footnoteReference w:id="131"/>
      </w:r>
      <w:r w:rsidRPr="00F86BA1">
        <w:rPr>
          <w:sz w:val="24"/>
          <w:szCs w:val="24"/>
        </w:rPr>
        <w:t xml:space="preserve"> Regardless of the chosen definition, the foundation of hysteria seems to lie with anxiety.</w:t>
      </w:r>
      <w:r w:rsidRPr="00F86BA1">
        <w:rPr>
          <w:rStyle w:val="FootnoteReference"/>
          <w:szCs w:val="24"/>
        </w:rPr>
        <w:footnoteReference w:id="132"/>
      </w:r>
      <w:r w:rsidRPr="00F86BA1">
        <w:rPr>
          <w:sz w:val="24"/>
          <w:szCs w:val="24"/>
        </w:rPr>
        <w:t xml:space="preserve"> Anxiety based disorders that are linked to hysteria include; </w:t>
      </w:r>
    </w:p>
    <w:p w14:paraId="733FDEB8" w14:textId="77777777" w:rsidR="00F55F64" w:rsidRPr="00F86BA1" w:rsidRDefault="00F55F64" w:rsidP="00F55F64">
      <w:pPr>
        <w:spacing w:line="480" w:lineRule="auto"/>
        <w:rPr>
          <w:sz w:val="24"/>
          <w:szCs w:val="24"/>
        </w:rPr>
      </w:pPr>
      <w:r w:rsidRPr="00F86BA1">
        <w:rPr>
          <w:sz w:val="24"/>
          <w:szCs w:val="24"/>
        </w:rPr>
        <w:t xml:space="preserve">PTSD: Those suffering PTSD can often experience triggers that could be brought on sights, sounds, or scents, leading to those living with the disorder to recall the event that now has them living with PTSD. </w:t>
      </w:r>
      <w:r w:rsidRPr="00F86BA1">
        <w:rPr>
          <w:rStyle w:val="FootnoteReference"/>
          <w:szCs w:val="24"/>
        </w:rPr>
        <w:footnoteReference w:id="133"/>
      </w:r>
      <w:r w:rsidRPr="00F86BA1">
        <w:rPr>
          <w:sz w:val="24"/>
          <w:szCs w:val="24"/>
        </w:rPr>
        <w:t xml:space="preserve"> These “episodes”, so to speak, could lead to hysterical reactions of </w:t>
      </w:r>
      <w:proofErr w:type="spellStart"/>
      <w:r w:rsidRPr="00F86BA1">
        <w:rPr>
          <w:sz w:val="24"/>
          <w:szCs w:val="24"/>
        </w:rPr>
        <w:t>they</w:t>
      </w:r>
      <w:proofErr w:type="spellEnd"/>
      <w:r w:rsidRPr="00F86BA1">
        <w:rPr>
          <w:sz w:val="24"/>
          <w:szCs w:val="24"/>
        </w:rPr>
        <w:t xml:space="preserve"> relieve that which has traumatised them the most.</w:t>
      </w:r>
      <w:r w:rsidRPr="00F86BA1">
        <w:rPr>
          <w:rStyle w:val="FootnoteReference"/>
          <w:szCs w:val="24"/>
        </w:rPr>
        <w:footnoteReference w:id="134"/>
      </w:r>
      <w:r w:rsidRPr="00F86BA1">
        <w:rPr>
          <w:sz w:val="24"/>
          <w:szCs w:val="24"/>
        </w:rPr>
        <w:t xml:space="preserve"> Be it a war zone, past abuse, or some form of life changing accident.</w:t>
      </w:r>
    </w:p>
    <w:p w14:paraId="74503260" w14:textId="77777777" w:rsidR="00F55F64" w:rsidRPr="00F86BA1" w:rsidRDefault="00F55F64" w:rsidP="00F55F64">
      <w:pPr>
        <w:spacing w:line="480" w:lineRule="auto"/>
        <w:rPr>
          <w:sz w:val="24"/>
          <w:szCs w:val="24"/>
        </w:rPr>
      </w:pPr>
      <w:r w:rsidRPr="00F86BA1">
        <w:rPr>
          <w:sz w:val="24"/>
          <w:szCs w:val="24"/>
        </w:rPr>
        <w:t>Phobias: Those who suffer from severe phobias have been known to experience hysterical “episodes” to that which they fear most.</w:t>
      </w:r>
      <w:r w:rsidRPr="00F86BA1">
        <w:rPr>
          <w:rStyle w:val="FootnoteReference"/>
          <w:szCs w:val="24"/>
        </w:rPr>
        <w:footnoteReference w:id="135"/>
      </w:r>
      <w:r w:rsidRPr="00F86BA1">
        <w:rPr>
          <w:sz w:val="24"/>
          <w:szCs w:val="24"/>
        </w:rPr>
        <w:t xml:space="preserve"> </w:t>
      </w:r>
    </w:p>
    <w:p w14:paraId="43A97EB1" w14:textId="77777777" w:rsidR="00F55F64" w:rsidRPr="00F86BA1" w:rsidRDefault="00F55F64" w:rsidP="00F55F64">
      <w:pPr>
        <w:spacing w:line="480" w:lineRule="auto"/>
        <w:rPr>
          <w:sz w:val="24"/>
          <w:szCs w:val="24"/>
        </w:rPr>
      </w:pPr>
      <w:r w:rsidRPr="00F86BA1">
        <w:rPr>
          <w:sz w:val="24"/>
          <w:szCs w:val="24"/>
        </w:rPr>
        <w:lastRenderedPageBreak/>
        <w:t>Panic Disorders: Those living with Panic Disorders frequently deal with panic attacks, that are occasionally considered to appear hysterical.</w:t>
      </w:r>
      <w:r w:rsidRPr="00F86BA1">
        <w:rPr>
          <w:rStyle w:val="FootnoteReference"/>
          <w:szCs w:val="24"/>
        </w:rPr>
        <w:footnoteReference w:id="136"/>
      </w:r>
    </w:p>
    <w:p w14:paraId="586E22D7" w14:textId="77777777" w:rsidR="00F55F64" w:rsidRPr="00F86BA1" w:rsidRDefault="00F55F64" w:rsidP="00F55F64">
      <w:pPr>
        <w:spacing w:line="480" w:lineRule="auto"/>
        <w:rPr>
          <w:sz w:val="24"/>
          <w:szCs w:val="24"/>
        </w:rPr>
      </w:pPr>
      <w:r w:rsidRPr="00F86BA1">
        <w:rPr>
          <w:sz w:val="24"/>
          <w:szCs w:val="24"/>
        </w:rPr>
        <w:t>Anxiety itself could considered a form of hysteria.</w:t>
      </w:r>
      <w:r w:rsidRPr="00F86BA1">
        <w:rPr>
          <w:rStyle w:val="FootnoteReference"/>
          <w:szCs w:val="24"/>
        </w:rPr>
        <w:footnoteReference w:id="137"/>
      </w:r>
      <w:r w:rsidRPr="00F86BA1">
        <w:rPr>
          <w:sz w:val="24"/>
          <w:szCs w:val="24"/>
        </w:rPr>
        <w:t xml:space="preserve"> However, the way hysteria is used by the general population suggests instead that it is a response </w:t>
      </w:r>
      <w:r w:rsidRPr="00F86BA1">
        <w:rPr>
          <w:i/>
          <w:sz w:val="24"/>
          <w:szCs w:val="24"/>
        </w:rPr>
        <w:t>to</w:t>
      </w:r>
      <w:r w:rsidRPr="00F86BA1">
        <w:rPr>
          <w:sz w:val="24"/>
          <w:szCs w:val="24"/>
        </w:rPr>
        <w:t xml:space="preserve"> Anxiety.</w:t>
      </w:r>
      <w:r w:rsidRPr="00F86BA1">
        <w:rPr>
          <w:rStyle w:val="FootnoteReference"/>
          <w:szCs w:val="24"/>
        </w:rPr>
        <w:footnoteReference w:id="138"/>
      </w:r>
      <w:r w:rsidRPr="00F86BA1">
        <w:rPr>
          <w:sz w:val="24"/>
          <w:szCs w:val="24"/>
        </w:rPr>
        <w:t xml:space="preserve"> The mental disorder has become synonymous with the phrase, and as such, those who have experience Anxiety, must have also experienced bouts of hysteria also.</w:t>
      </w:r>
    </w:p>
    <w:p w14:paraId="143B8A71" w14:textId="77777777" w:rsidR="00F55F64" w:rsidRPr="00F86BA1" w:rsidRDefault="00F55F64" w:rsidP="00F55F64">
      <w:pPr>
        <w:spacing w:line="480" w:lineRule="auto"/>
        <w:rPr>
          <w:sz w:val="24"/>
          <w:szCs w:val="24"/>
        </w:rPr>
      </w:pPr>
      <w:r w:rsidRPr="00F86BA1">
        <w:rPr>
          <w:sz w:val="24"/>
          <w:szCs w:val="24"/>
        </w:rPr>
        <w:t>None of the hysterical responses provided above, occur by the will of those living with these anxiety-based disorders. They are brought on during a moment of weakness and should not be considered the fault of the patient.</w:t>
      </w:r>
    </w:p>
    <w:p w14:paraId="34AF8258" w14:textId="28E7358C" w:rsidR="0032166D" w:rsidRDefault="00F55F64" w:rsidP="00F55F64">
      <w:pPr>
        <w:spacing w:line="480" w:lineRule="auto"/>
        <w:rPr>
          <w:sz w:val="24"/>
          <w:szCs w:val="24"/>
        </w:rPr>
      </w:pPr>
      <w:r w:rsidRPr="00F86BA1">
        <w:rPr>
          <w:sz w:val="24"/>
          <w:szCs w:val="24"/>
        </w:rPr>
        <w:t xml:space="preserve">As seen in this chapter, hysteria has continuously evolved several times over the centuries. Because of this, attempting to correctly identity someone (fictional or not) as hysterical is near impossible. A scholar’s view of an event, or piece of text often reflect their own belief. Regardless of whether they attempt to remain non-biased of that which they are analysing. Likewise, the authors own opinions and beliefs should be </w:t>
      </w:r>
      <w:proofErr w:type="gramStart"/>
      <w:r w:rsidRPr="00F86BA1">
        <w:rPr>
          <w:sz w:val="24"/>
          <w:szCs w:val="24"/>
        </w:rPr>
        <w:t>taken into account</w:t>
      </w:r>
      <w:proofErr w:type="gramEnd"/>
      <w:r w:rsidRPr="00F86BA1">
        <w:rPr>
          <w:sz w:val="24"/>
          <w:szCs w:val="24"/>
        </w:rPr>
        <w:t xml:space="preserve"> whilst discussing such a topic, along with the current political climate (this too could alter the expected understanding of a text), as this could alter the entire theme and understanding of the text.</w:t>
      </w:r>
    </w:p>
    <w:p w14:paraId="48FDF208" w14:textId="77777777" w:rsidR="0032166D" w:rsidRDefault="0032166D">
      <w:pPr>
        <w:rPr>
          <w:sz w:val="24"/>
          <w:szCs w:val="24"/>
        </w:rPr>
      </w:pPr>
      <w:r>
        <w:rPr>
          <w:sz w:val="24"/>
          <w:szCs w:val="24"/>
        </w:rPr>
        <w:br w:type="page"/>
      </w:r>
    </w:p>
    <w:p w14:paraId="513B0342" w14:textId="77777777" w:rsidR="0032166D" w:rsidRPr="00092099" w:rsidRDefault="0032166D" w:rsidP="0032166D">
      <w:pPr>
        <w:spacing w:line="480" w:lineRule="auto"/>
        <w:jc w:val="center"/>
        <w:rPr>
          <w:sz w:val="28"/>
          <w:u w:val="single"/>
        </w:rPr>
      </w:pPr>
      <w:r>
        <w:rPr>
          <w:sz w:val="28"/>
          <w:u w:val="single"/>
        </w:rPr>
        <w:lastRenderedPageBreak/>
        <w:t>Conclusion</w:t>
      </w:r>
    </w:p>
    <w:p w14:paraId="5FF8D976" w14:textId="77777777" w:rsidR="0032166D" w:rsidRPr="008B5975" w:rsidRDefault="0032166D" w:rsidP="0032166D">
      <w:pPr>
        <w:spacing w:line="480" w:lineRule="auto"/>
        <w:rPr>
          <w:sz w:val="24"/>
        </w:rPr>
      </w:pPr>
      <w:r w:rsidRPr="00F04681">
        <w:rPr>
          <w:sz w:val="24"/>
        </w:rPr>
        <w:t>Griffiths</w:t>
      </w:r>
      <w:r>
        <w:rPr>
          <w:sz w:val="24"/>
        </w:rPr>
        <w:t xml:space="preserve"> [2006] warns that it is important to be careful when it comes to looking at the goings on of the ancient world and attempting an analysis of the reasons behind a characters actions, as the beliefs and customs of the modern world can sometimes result in the actual context and ancient beliefs and reasons getting lost in translation.</w:t>
      </w:r>
      <w:r>
        <w:rPr>
          <w:rStyle w:val="FootnoteReference"/>
        </w:rPr>
        <w:footnoteReference w:id="139"/>
      </w:r>
      <w:r>
        <w:rPr>
          <w:sz w:val="24"/>
        </w:rPr>
        <w:t xml:space="preserve"> Topics such as infanticide, while undeniably tragic, could possibly be misinterpreted as barbaric if the context is ignored could hold other reasonings based on the societal and religious bel</w:t>
      </w:r>
      <w:r w:rsidRPr="008B5975">
        <w:rPr>
          <w:sz w:val="24"/>
        </w:rPr>
        <w:t>iefs.</w:t>
      </w:r>
      <w:r>
        <w:rPr>
          <w:rStyle w:val="FootnoteReference"/>
        </w:rPr>
        <w:footnoteReference w:id="140"/>
      </w:r>
      <w:r>
        <w:rPr>
          <w:sz w:val="24"/>
        </w:rPr>
        <w:t xml:space="preserve"> Griffiths believes that it is possible that the </w:t>
      </w:r>
      <w:proofErr w:type="spellStart"/>
      <w:r>
        <w:rPr>
          <w:sz w:val="24"/>
        </w:rPr>
        <w:t>death’s</w:t>
      </w:r>
      <w:proofErr w:type="spellEnd"/>
      <w:r>
        <w:rPr>
          <w:sz w:val="24"/>
        </w:rPr>
        <w:t xml:space="preserve"> of Medea’s children could mirror the Greek and Roman practice of </w:t>
      </w:r>
      <w:r>
        <w:rPr>
          <w:i/>
          <w:sz w:val="24"/>
        </w:rPr>
        <w:t>“infant exposure”</w:t>
      </w:r>
      <w:r>
        <w:rPr>
          <w:sz w:val="24"/>
        </w:rPr>
        <w:t>, a practice which saw young children, most often babies, left in the wilderness to perish.</w:t>
      </w:r>
      <w:r>
        <w:rPr>
          <w:rStyle w:val="FootnoteReference"/>
        </w:rPr>
        <w:footnoteReference w:id="141"/>
      </w:r>
      <w:r>
        <w:rPr>
          <w:sz w:val="24"/>
        </w:rPr>
        <w:t xml:space="preserve"> Although it was likely that these children could be adopted by parents who had been unsuccessful in producing a child of their own, without understanding the reasoning of the children’s birth parents, it is likely that the actions could be interpreted as barbaric as the parents resorted to child negligence.</w:t>
      </w:r>
      <w:r>
        <w:rPr>
          <w:rStyle w:val="FootnoteReference"/>
        </w:rPr>
        <w:footnoteReference w:id="142"/>
      </w:r>
      <w:r>
        <w:rPr>
          <w:sz w:val="24"/>
        </w:rPr>
        <w:t xml:space="preserve"> Wherein the reasons behind many children being left alone outside of their </w:t>
      </w:r>
      <w:proofErr w:type="spellStart"/>
      <w:r>
        <w:rPr>
          <w:sz w:val="24"/>
        </w:rPr>
        <w:t>parents</w:t>
      </w:r>
      <w:proofErr w:type="spellEnd"/>
      <w:r>
        <w:rPr>
          <w:sz w:val="24"/>
        </w:rPr>
        <w:t xml:space="preserve"> home, is because their parents had been unable to provide for them.</w:t>
      </w:r>
      <w:r>
        <w:rPr>
          <w:rStyle w:val="FootnoteReference"/>
        </w:rPr>
        <w:footnoteReference w:id="143"/>
      </w:r>
    </w:p>
    <w:p w14:paraId="68BB5F94" w14:textId="77777777" w:rsidR="0032166D" w:rsidRDefault="0032166D" w:rsidP="0032166D">
      <w:pPr>
        <w:spacing w:line="480" w:lineRule="auto"/>
        <w:rPr>
          <w:sz w:val="24"/>
        </w:rPr>
      </w:pPr>
      <w:r>
        <w:rPr>
          <w:sz w:val="24"/>
        </w:rPr>
        <w:t>Instead we should be looking at the context in which such tragedy occurs, alongside the general beliefs of the time period, rather than the psychological questions and theories its raises based on our own ideology.</w:t>
      </w:r>
      <w:r>
        <w:rPr>
          <w:rStyle w:val="FootnoteReference"/>
        </w:rPr>
        <w:footnoteReference w:id="144"/>
      </w:r>
      <w:r>
        <w:rPr>
          <w:sz w:val="24"/>
        </w:rPr>
        <w:t xml:space="preserve"> She brings forth a theory presented by </w:t>
      </w:r>
      <w:proofErr w:type="spellStart"/>
      <w:r>
        <w:rPr>
          <w:sz w:val="24"/>
        </w:rPr>
        <w:t>Orwin</w:t>
      </w:r>
      <w:proofErr w:type="spellEnd"/>
      <w:r>
        <w:rPr>
          <w:sz w:val="24"/>
        </w:rPr>
        <w:t xml:space="preserve"> [1994], wherein he believes that the massacre of the schoolchildren of the town of </w:t>
      </w:r>
      <w:proofErr w:type="spellStart"/>
      <w:r>
        <w:rPr>
          <w:sz w:val="24"/>
        </w:rPr>
        <w:t>Mycalessus</w:t>
      </w:r>
      <w:proofErr w:type="spellEnd"/>
      <w:r>
        <w:rPr>
          <w:sz w:val="24"/>
        </w:rPr>
        <w:t>, as documented by Thucydides, does not truly hold as much of the emotional sincerity that Thucydides attempts to convey.</w:t>
      </w:r>
      <w:r>
        <w:rPr>
          <w:rStyle w:val="FootnoteReference"/>
        </w:rPr>
        <w:footnoteReference w:id="145"/>
      </w:r>
      <w:r>
        <w:rPr>
          <w:sz w:val="24"/>
        </w:rPr>
        <w:t xml:space="preserve"> It is </w:t>
      </w:r>
      <w:proofErr w:type="spellStart"/>
      <w:r>
        <w:rPr>
          <w:sz w:val="24"/>
        </w:rPr>
        <w:t>Orwin’s</w:t>
      </w:r>
      <w:proofErr w:type="spellEnd"/>
      <w:r>
        <w:rPr>
          <w:sz w:val="24"/>
        </w:rPr>
        <w:t xml:space="preserve"> belief that prior to the great tragedy that befell </w:t>
      </w:r>
      <w:proofErr w:type="spellStart"/>
      <w:r>
        <w:rPr>
          <w:sz w:val="24"/>
        </w:rPr>
        <w:lastRenderedPageBreak/>
        <w:t>Mycalessus</w:t>
      </w:r>
      <w:proofErr w:type="spellEnd"/>
      <w:r>
        <w:rPr>
          <w:sz w:val="24"/>
        </w:rPr>
        <w:t>, the town itself held, nor provided, anything noteworthy to</w:t>
      </w:r>
      <w:r w:rsidRPr="006511DB">
        <w:rPr>
          <w:sz w:val="24"/>
          <w:szCs w:val="24"/>
        </w:rPr>
        <w:t xml:space="preserve"> be discussed</w:t>
      </w:r>
      <w:r>
        <w:rPr>
          <w:sz w:val="24"/>
          <w:szCs w:val="24"/>
        </w:rPr>
        <w:t>.</w:t>
      </w:r>
      <w:r>
        <w:rPr>
          <w:rStyle w:val="FootnoteReference"/>
          <w:szCs w:val="24"/>
        </w:rPr>
        <w:footnoteReference w:id="146"/>
      </w:r>
      <w:r>
        <w:rPr>
          <w:sz w:val="24"/>
          <w:szCs w:val="24"/>
        </w:rPr>
        <w:t xml:space="preserve"> He goes onto explain that although the tragedy was great, was entirely at the fault of the </w:t>
      </w:r>
      <w:proofErr w:type="spellStart"/>
      <w:r>
        <w:rPr>
          <w:sz w:val="24"/>
          <w:szCs w:val="24"/>
        </w:rPr>
        <w:t>Mycalessus</w:t>
      </w:r>
      <w:proofErr w:type="spellEnd"/>
      <w:r>
        <w:rPr>
          <w:sz w:val="24"/>
          <w:szCs w:val="24"/>
        </w:rPr>
        <w:t xml:space="preserve"> for not readying the city for war.</w:t>
      </w:r>
      <w:r w:rsidRPr="006511DB">
        <w:rPr>
          <w:rStyle w:val="FootnoteReference"/>
          <w:szCs w:val="24"/>
        </w:rPr>
        <w:footnoteReference w:id="147"/>
      </w:r>
      <w:r w:rsidRPr="006511DB">
        <w:rPr>
          <w:sz w:val="24"/>
          <w:szCs w:val="24"/>
        </w:rPr>
        <w:t xml:space="preserve"> </w:t>
      </w:r>
      <w:proofErr w:type="spellStart"/>
      <w:r>
        <w:rPr>
          <w:sz w:val="24"/>
          <w:szCs w:val="24"/>
        </w:rPr>
        <w:t>Orwin’s</w:t>
      </w:r>
      <w:proofErr w:type="spellEnd"/>
      <w:r>
        <w:rPr>
          <w:sz w:val="24"/>
          <w:szCs w:val="24"/>
        </w:rPr>
        <w:t xml:space="preserve"> theory suggests that t</w:t>
      </w:r>
      <w:r w:rsidRPr="006511DB">
        <w:rPr>
          <w:sz w:val="24"/>
          <w:szCs w:val="24"/>
        </w:rPr>
        <w:t xml:space="preserve">he tragedy of </w:t>
      </w:r>
      <w:proofErr w:type="spellStart"/>
      <w:r w:rsidRPr="006511DB">
        <w:rPr>
          <w:sz w:val="24"/>
          <w:szCs w:val="24"/>
        </w:rPr>
        <w:t>Mycalessus</w:t>
      </w:r>
      <w:proofErr w:type="spellEnd"/>
      <w:r w:rsidRPr="006511DB">
        <w:rPr>
          <w:sz w:val="24"/>
          <w:szCs w:val="24"/>
        </w:rPr>
        <w:t xml:space="preserve"> merely provided an opportunity for Thucydides to disclose what had suffered in the war.</w:t>
      </w:r>
      <w:r w:rsidRPr="006511DB">
        <w:rPr>
          <w:rStyle w:val="FootnoteReference"/>
          <w:szCs w:val="24"/>
        </w:rPr>
        <w:footnoteReference w:id="148"/>
      </w:r>
    </w:p>
    <w:p w14:paraId="774E9731" w14:textId="77777777" w:rsidR="0032166D" w:rsidRDefault="0032166D" w:rsidP="0032166D">
      <w:pPr>
        <w:spacing w:line="480" w:lineRule="auto"/>
        <w:rPr>
          <w:sz w:val="24"/>
        </w:rPr>
      </w:pPr>
      <w:r>
        <w:rPr>
          <w:sz w:val="24"/>
        </w:rPr>
        <w:t xml:space="preserve">Prior to the happenings of both plays by Seneca and Euripides, Medea does appear to fit into the category of the “proper wife”. Or at the very least, to tries to be. She leaves her father’s home to live by the side of a new husband in a foreign land, she does as he wishes, and gives him two sons. And yet her attempts to please Jason are later thrown back into her face when their marriage no longer pleases him, and he leaves her for a new woman. During her initial plot for revenge, she had no intention of harming her children and only plotted for the murder of Creon - Jason’s father-in-law - and his daughter </w:t>
      </w:r>
      <w:proofErr w:type="spellStart"/>
      <w:r>
        <w:rPr>
          <w:sz w:val="24"/>
        </w:rPr>
        <w:t>Glauce</w:t>
      </w:r>
      <w:proofErr w:type="spellEnd"/>
      <w:r>
        <w:rPr>
          <w:sz w:val="24"/>
        </w:rPr>
        <w:t xml:space="preserve"> (Seneca), and Jason himself (Euripides), the intention being that Jason is unable to begin a family with his new bride, resulting him in living his life wifeless and childless.</w:t>
      </w:r>
      <w:r>
        <w:rPr>
          <w:rStyle w:val="FootnoteReference"/>
        </w:rPr>
        <w:footnoteReference w:id="149"/>
      </w:r>
      <w:r>
        <w:rPr>
          <w:sz w:val="24"/>
        </w:rPr>
        <w:t xml:space="preserve"> Plotting to kill her children does not even cross her mind until she has been slighted by Jason, when he refuses to give her the aid she so desperately needs in attempting to so that she may not receive such harsh punishment from Creon. And yet, her murdering her children does not fit into the definition of a woman suffering from hysteria as the ancient populace understood it. A mad woman perhaps, but not hysteric.</w:t>
      </w:r>
    </w:p>
    <w:p w14:paraId="1D0B1842" w14:textId="77777777" w:rsidR="0032166D" w:rsidRDefault="0032166D" w:rsidP="0032166D">
      <w:pPr>
        <w:spacing w:line="480" w:lineRule="auto"/>
        <w:rPr>
          <w:sz w:val="24"/>
        </w:rPr>
      </w:pPr>
      <w:r>
        <w:rPr>
          <w:sz w:val="24"/>
        </w:rPr>
        <w:t xml:space="preserve">In art, it relies entirely on the artists depiction of their subject, and then the audiences’ depiction of what they see. For myself, concerning the Medea we see in Figures 1 and 2, still retains the maternal nature as she looks over her children and seems to be hesitating before </w:t>
      </w:r>
      <w:r>
        <w:rPr>
          <w:sz w:val="24"/>
        </w:rPr>
        <w:lastRenderedPageBreak/>
        <w:t>she carries out the murder. Even within Euripides’ Medea, maternal affection can still be seen coming from the woman several times during the play.</w:t>
      </w:r>
      <w:r>
        <w:rPr>
          <w:rStyle w:val="FootnoteReference"/>
        </w:rPr>
        <w:footnoteReference w:id="150"/>
      </w:r>
    </w:p>
    <w:p w14:paraId="4DAE4D5B" w14:textId="77777777" w:rsidR="0032166D" w:rsidRDefault="0032166D" w:rsidP="0032166D">
      <w:pPr>
        <w:spacing w:line="480" w:lineRule="auto"/>
        <w:rPr>
          <w:sz w:val="24"/>
        </w:rPr>
      </w:pPr>
      <w:r>
        <w:rPr>
          <w:sz w:val="24"/>
        </w:rPr>
        <w:t xml:space="preserve">Regarding hysteria, I do not believe that the Medea we see both in myth and in plays would have been considered hysterical at the time of their conception. It was during this time that hysteria, or in this case </w:t>
      </w:r>
      <w:proofErr w:type="spellStart"/>
      <w:r>
        <w:rPr>
          <w:i/>
          <w:sz w:val="24"/>
        </w:rPr>
        <w:t>hysertika</w:t>
      </w:r>
      <w:proofErr w:type="spellEnd"/>
      <w:r>
        <w:rPr>
          <w:sz w:val="24"/>
        </w:rPr>
        <w:t xml:space="preserve">, was widely considered to be the occurrence of the wandering womb, where the womb was believed to move around the female body when it was unhealthy or did not hold a child. Likewise, during the later centuries, hysteria had become to be known for its connection to female sexual frustration. During the events of the play and myth, it is highly unlikely that Medea would have felt any need to achieve any form of sexual gratification as she was attempting to survive particularly traumatic events. Her thoughts were likely stuck on other necessities, such as escaping Corinth with her life. </w:t>
      </w:r>
    </w:p>
    <w:p w14:paraId="32DA6A6F" w14:textId="77777777" w:rsidR="0032166D" w:rsidRDefault="0032166D" w:rsidP="0032166D">
      <w:pPr>
        <w:spacing w:line="480" w:lineRule="auto"/>
        <w:rPr>
          <w:sz w:val="24"/>
        </w:rPr>
      </w:pPr>
      <w:r>
        <w:rPr>
          <w:sz w:val="24"/>
        </w:rPr>
        <w:t>I believe that Medea’s link to Hysteria came to fruition when modern psychology, diagnosed a woman from ancient literature and myth with modern conceptions, that connect with modern ideals and laws. Within a court of law in the UK, women are typically agreed to be mentally unstable for having murdered her child.</w:t>
      </w:r>
      <w:r>
        <w:rPr>
          <w:rStyle w:val="FootnoteReference"/>
        </w:rPr>
        <w:footnoteReference w:id="151"/>
      </w:r>
      <w:r>
        <w:rPr>
          <w:sz w:val="24"/>
        </w:rPr>
        <w:t xml:space="preserve"> Unlike in the US where it is considered murder, and do not take the woman’s mental health into consideration. </w:t>
      </w:r>
      <w:r>
        <w:rPr>
          <w:rStyle w:val="FootnoteReference"/>
        </w:rPr>
        <w:footnoteReference w:id="152"/>
      </w:r>
      <w:r>
        <w:rPr>
          <w:sz w:val="24"/>
        </w:rPr>
        <w:t xml:space="preserve"> </w:t>
      </w:r>
    </w:p>
    <w:p w14:paraId="0031FE05" w14:textId="77777777" w:rsidR="0032166D" w:rsidRDefault="0032166D" w:rsidP="0032166D">
      <w:pPr>
        <w:spacing w:line="480" w:lineRule="auto"/>
        <w:rPr>
          <w:sz w:val="24"/>
        </w:rPr>
      </w:pPr>
      <w:r>
        <w:rPr>
          <w:sz w:val="24"/>
        </w:rPr>
        <w:t>That is not to say that she does not appear to have descended into madness, in fact Seneca’s depiction of the events leading to the death of her children do suggest that her mentality may have been at least somewhat unstable, and it could be argued that the passage telling of the children’s deaths hardly show her to of sound mind.</w:t>
      </w:r>
      <w:r>
        <w:rPr>
          <w:rStyle w:val="FootnoteReference"/>
        </w:rPr>
        <w:footnoteReference w:id="153"/>
      </w:r>
      <w:r>
        <w:rPr>
          <w:sz w:val="24"/>
        </w:rPr>
        <w:t xml:space="preserve"> I believe that what may have happened, as previously stated, is that modern ideas of a term and malady, has created this </w:t>
      </w:r>
      <w:r>
        <w:rPr>
          <w:sz w:val="24"/>
        </w:rPr>
        <w:lastRenderedPageBreak/>
        <w:t xml:space="preserve">image of a character with ancient origins, that have not taken into account the context of the text, and perception and beliefs of the time. </w:t>
      </w:r>
    </w:p>
    <w:p w14:paraId="18EAA331" w14:textId="77777777" w:rsidR="0032166D" w:rsidRDefault="0032166D" w:rsidP="0032166D">
      <w:pPr>
        <w:spacing w:line="480" w:lineRule="auto"/>
        <w:rPr>
          <w:sz w:val="24"/>
        </w:rPr>
      </w:pPr>
      <w:r>
        <w:rPr>
          <w:sz w:val="24"/>
        </w:rPr>
        <w:t>In modern terms, Medea could perhaps fit into the category of a hysteric, depending on which text is being discussed. However, in ancient terms, it is highly unlikely that she would be dubbed as hysteric by medical professionals. Mad perhaps, but not hysteric. As Medea herself states, she was a woman who was brought to a new land by a man she had given everything to, and later betrayed by. It can only be expected that she feels emotional at having her trust shattered by the one she loved.</w:t>
      </w:r>
    </w:p>
    <w:p w14:paraId="7C834A11" w14:textId="53E2AA39" w:rsidR="0032166D" w:rsidRPr="008D710E" w:rsidRDefault="0032166D" w:rsidP="0032166D">
      <w:pPr>
        <w:spacing w:line="240" w:lineRule="auto"/>
        <w:jc w:val="center"/>
        <w:rPr>
          <w:sz w:val="24"/>
        </w:rPr>
      </w:pPr>
      <w:r>
        <w:rPr>
          <w:i/>
          <w:sz w:val="24"/>
        </w:rPr>
        <w:t>“</w:t>
      </w:r>
      <w:r w:rsidRPr="004C4D0F">
        <w:rPr>
          <w:i/>
          <w:sz w:val="24"/>
        </w:rPr>
        <w:t xml:space="preserve">Women of Corinth, I have come out of the house lest you </w:t>
      </w:r>
      <w:r w:rsidRPr="004C4D0F">
        <w:rPr>
          <w:i/>
          <w:sz w:val="24"/>
        </w:rPr>
        <w:br/>
        <w:t>fin</w:t>
      </w:r>
      <w:r>
        <w:rPr>
          <w:i/>
          <w:sz w:val="24"/>
        </w:rPr>
        <w:t>d</w:t>
      </w:r>
      <w:r w:rsidRPr="004C4D0F">
        <w:rPr>
          <w:i/>
          <w:sz w:val="24"/>
        </w:rPr>
        <w:t xml:space="preserve"> fault with me. For I know that though many mortal</w:t>
      </w:r>
      <w:r w:rsidRPr="004C4D0F">
        <w:rPr>
          <w:i/>
          <w:sz w:val="24"/>
        </w:rPr>
        <w:br/>
        <w:t>are haughty both in private and in public, others get a</w:t>
      </w:r>
      <w:r w:rsidRPr="004C4D0F">
        <w:rPr>
          <w:sz w:val="24"/>
        </w:rPr>
        <w:br/>
        <w:t xml:space="preserve">reputation </w:t>
      </w:r>
      <w:r w:rsidRPr="004C4D0F">
        <w:rPr>
          <w:i/>
          <w:sz w:val="24"/>
        </w:rPr>
        <w:t>for indifference to their neighbours from their</w:t>
      </w:r>
      <w:r w:rsidRPr="004C4D0F">
        <w:rPr>
          <w:i/>
          <w:sz w:val="24"/>
        </w:rPr>
        <w:br/>
        <w:t>retiring manner of life. There is no justice in the eyes of</w:t>
      </w:r>
      <w:r w:rsidRPr="004C4D0F">
        <w:rPr>
          <w:i/>
          <w:sz w:val="24"/>
        </w:rPr>
        <w:br/>
        <w:t>mortals: before they get sure knowledge of a man’s true</w:t>
      </w:r>
      <w:r w:rsidRPr="004C4D0F">
        <w:rPr>
          <w:i/>
          <w:sz w:val="24"/>
        </w:rPr>
        <w:br/>
        <w:t>character, they hate him on sight, although her has done</w:t>
      </w:r>
      <w:r w:rsidRPr="004C4D0F">
        <w:rPr>
          <w:i/>
          <w:sz w:val="24"/>
        </w:rPr>
        <w:br/>
        <w:t>them no harm. Now a foreigner must be quite compliant</w:t>
      </w:r>
      <w:r w:rsidRPr="004C4D0F">
        <w:rPr>
          <w:i/>
          <w:sz w:val="24"/>
        </w:rPr>
        <w:br/>
        <w:t>with the city, nor do I have any words of praise for the</w:t>
      </w:r>
      <w:r w:rsidRPr="004C4D0F">
        <w:rPr>
          <w:i/>
          <w:sz w:val="24"/>
        </w:rPr>
        <w:br/>
        <w:t>citizen who is self-willed and causes his fellow citizens</w:t>
      </w:r>
      <w:r w:rsidRPr="004C4D0F">
        <w:rPr>
          <w:i/>
          <w:sz w:val="24"/>
        </w:rPr>
        <w:br/>
        <w:t>pain by his lack of breeding. In my case however, this</w:t>
      </w:r>
      <w:r w:rsidRPr="004C4D0F">
        <w:rPr>
          <w:i/>
          <w:sz w:val="24"/>
        </w:rPr>
        <w:br/>
        <w:t xml:space="preserve">sudden blow that has struck me has destroyed my life I </w:t>
      </w:r>
      <w:r w:rsidRPr="004C4D0F">
        <w:rPr>
          <w:i/>
          <w:sz w:val="24"/>
        </w:rPr>
        <w:br/>
        <w:t xml:space="preserve">am undone, I have resigned all joy in life, and I want to </w:t>
      </w:r>
      <w:r w:rsidRPr="004C4D0F">
        <w:rPr>
          <w:i/>
          <w:sz w:val="24"/>
        </w:rPr>
        <w:br/>
        <w:t>die. For the man in whom all I had was bound up, as I well</w:t>
      </w:r>
      <w:r w:rsidRPr="004C4D0F">
        <w:rPr>
          <w:i/>
          <w:sz w:val="24"/>
        </w:rPr>
        <w:br/>
        <w:t>know – my husband – has proved the basest of men.”</w:t>
      </w:r>
      <w:r w:rsidR="008D710E">
        <w:rPr>
          <w:rStyle w:val="FootnoteReference"/>
          <w:i/>
          <w:sz w:val="24"/>
        </w:rPr>
        <w:footnoteReference w:id="154"/>
      </w:r>
    </w:p>
    <w:p w14:paraId="759C9D16" w14:textId="3329B7E3" w:rsidR="00FA6269" w:rsidRDefault="0032166D" w:rsidP="00FA6269">
      <w:pPr>
        <w:spacing w:line="240" w:lineRule="auto"/>
        <w:jc w:val="center"/>
        <w:rPr>
          <w:sz w:val="24"/>
        </w:rPr>
      </w:pPr>
      <w:r>
        <w:rPr>
          <w:sz w:val="24"/>
        </w:rPr>
        <w:t>[Euripides, Medea 214-229]</w:t>
      </w:r>
    </w:p>
    <w:p w14:paraId="628060F2" w14:textId="77777777" w:rsidR="00FA6269" w:rsidRDefault="00FA6269">
      <w:pPr>
        <w:rPr>
          <w:sz w:val="24"/>
        </w:rPr>
      </w:pPr>
      <w:r>
        <w:rPr>
          <w:sz w:val="24"/>
        </w:rPr>
        <w:br w:type="page"/>
      </w:r>
    </w:p>
    <w:p w14:paraId="721409D0" w14:textId="77777777" w:rsidR="00FA6269" w:rsidRPr="004764AF" w:rsidRDefault="00FA6269" w:rsidP="004764AF">
      <w:pPr>
        <w:pStyle w:val="Heading1"/>
        <w:jc w:val="center"/>
        <w:rPr>
          <w:u w:val="single"/>
        </w:rPr>
      </w:pPr>
      <w:bookmarkStart w:id="20" w:name="_Toc513747789"/>
      <w:r w:rsidRPr="004764AF">
        <w:rPr>
          <w:sz w:val="28"/>
          <w:u w:val="single"/>
        </w:rPr>
        <w:lastRenderedPageBreak/>
        <w:t>Image Citations</w:t>
      </w:r>
      <w:bookmarkEnd w:id="20"/>
    </w:p>
    <w:p w14:paraId="05C971F8" w14:textId="77777777" w:rsidR="00FA6269" w:rsidRDefault="00FA6269" w:rsidP="00FA6269">
      <w:pPr>
        <w:rPr>
          <w:sz w:val="24"/>
          <w:szCs w:val="24"/>
        </w:rPr>
      </w:pPr>
      <w:r>
        <w:rPr>
          <w:sz w:val="24"/>
          <w:szCs w:val="24"/>
        </w:rPr>
        <w:t xml:space="preserve">Figure 1: </w:t>
      </w:r>
      <w:r w:rsidRPr="008915A0">
        <w:rPr>
          <w:sz w:val="24"/>
        </w:rPr>
        <w:t>Medea watches over her sons, looking mournful as she waits to kill the children</w:t>
      </w:r>
      <w:r w:rsidRPr="003378E7">
        <w:rPr>
          <w:sz w:val="24"/>
          <w:szCs w:val="24"/>
        </w:rPr>
        <w:t xml:space="preserve">. Museoarcheologiconapoli.it </w:t>
      </w:r>
      <w:hyperlink r:id="rId12" w:history="1">
        <w:r w:rsidRPr="003378E7">
          <w:rPr>
            <w:rStyle w:val="Hyperlink"/>
            <w:sz w:val="24"/>
            <w:szCs w:val="24"/>
          </w:rPr>
          <w:t>https://www.museoarcheologiconapoli.it/en/room-and-sections-of-the-exhibition/frescoes/</w:t>
        </w:r>
      </w:hyperlink>
      <w:r w:rsidRPr="003378E7">
        <w:rPr>
          <w:sz w:val="24"/>
          <w:szCs w:val="24"/>
        </w:rPr>
        <w:t xml:space="preserve"> [Date accessed: 21st January 2018]</w:t>
      </w:r>
    </w:p>
    <w:p w14:paraId="1C25DEE2" w14:textId="77777777" w:rsidR="00FA6269" w:rsidRPr="003378E7" w:rsidRDefault="00FA6269" w:rsidP="00FA6269">
      <w:pPr>
        <w:rPr>
          <w:sz w:val="24"/>
          <w:szCs w:val="24"/>
        </w:rPr>
      </w:pPr>
      <w:r>
        <w:rPr>
          <w:sz w:val="24"/>
          <w:szCs w:val="24"/>
        </w:rPr>
        <w:t>Fig</w:t>
      </w:r>
      <w:r w:rsidRPr="00AF757E">
        <w:rPr>
          <w:sz w:val="24"/>
          <w:szCs w:val="24"/>
        </w:rPr>
        <w:t>ure 2: Medea keeping her sons close as she readies herself to kill them</w:t>
      </w:r>
      <w:r>
        <w:rPr>
          <w:sz w:val="24"/>
          <w:szCs w:val="24"/>
        </w:rPr>
        <w:t xml:space="preserve">. Cartelen.louvre.fr </w:t>
      </w:r>
      <w:hyperlink r:id="rId13" w:history="1">
        <w:r w:rsidRPr="00651C12">
          <w:rPr>
            <w:rStyle w:val="Hyperlink"/>
            <w:sz w:val="24"/>
            <w:szCs w:val="24"/>
          </w:rPr>
          <w:t>http://cartelen.louvre.fr/cartelen/visite?srv=car_not_frame&amp;idNotice=9000&amp;langue=en</w:t>
        </w:r>
      </w:hyperlink>
      <w:r>
        <w:rPr>
          <w:sz w:val="24"/>
          <w:szCs w:val="24"/>
        </w:rPr>
        <w:t xml:space="preserve"> [Date accessed: 05 May 2018]</w:t>
      </w:r>
    </w:p>
    <w:p w14:paraId="73E448E2" w14:textId="77777777" w:rsidR="00FA6269" w:rsidRDefault="00FA6269" w:rsidP="00FA6269">
      <w:pPr>
        <w:rPr>
          <w:sz w:val="24"/>
          <w:szCs w:val="24"/>
          <w:u w:val="single"/>
        </w:rPr>
      </w:pPr>
      <w:r>
        <w:rPr>
          <w:sz w:val="24"/>
          <w:szCs w:val="24"/>
          <w:u w:val="single"/>
        </w:rPr>
        <w:br w:type="page"/>
      </w:r>
    </w:p>
    <w:p w14:paraId="17CCFC91" w14:textId="77777777" w:rsidR="00FA6269" w:rsidRPr="004764AF" w:rsidRDefault="00FA6269" w:rsidP="004764AF">
      <w:pPr>
        <w:pStyle w:val="Heading1"/>
        <w:jc w:val="center"/>
        <w:rPr>
          <w:u w:val="single"/>
        </w:rPr>
      </w:pPr>
      <w:bookmarkStart w:id="21" w:name="_Toc513747790"/>
      <w:r w:rsidRPr="004764AF">
        <w:rPr>
          <w:sz w:val="28"/>
          <w:u w:val="single"/>
        </w:rPr>
        <w:lastRenderedPageBreak/>
        <w:t>Bibliography</w:t>
      </w:r>
      <w:bookmarkEnd w:id="21"/>
    </w:p>
    <w:p w14:paraId="2E0200E6" w14:textId="77777777" w:rsidR="00FA6269" w:rsidRPr="0016321E" w:rsidRDefault="00FA6269" w:rsidP="00FA6269">
      <w:pPr>
        <w:rPr>
          <w:sz w:val="24"/>
          <w:szCs w:val="24"/>
          <w:u w:val="single"/>
        </w:rPr>
      </w:pPr>
      <w:r w:rsidRPr="0016321E">
        <w:rPr>
          <w:sz w:val="24"/>
          <w:szCs w:val="24"/>
          <w:u w:val="single"/>
        </w:rPr>
        <w:t>Ancient Sources</w:t>
      </w:r>
    </w:p>
    <w:p w14:paraId="1DE93034" w14:textId="77777777" w:rsidR="00FA6269" w:rsidRPr="001C7FC1" w:rsidRDefault="00FA6269" w:rsidP="00FA6269">
      <w:pPr>
        <w:rPr>
          <w:sz w:val="24"/>
          <w:szCs w:val="24"/>
        </w:rPr>
      </w:pPr>
      <w:r w:rsidRPr="001C7FC1">
        <w:rPr>
          <w:sz w:val="24"/>
          <w:szCs w:val="24"/>
        </w:rPr>
        <w:t xml:space="preserve">Apollodorus, </w:t>
      </w:r>
      <w:r w:rsidRPr="001C7FC1">
        <w:rPr>
          <w:i/>
          <w:sz w:val="24"/>
          <w:szCs w:val="24"/>
        </w:rPr>
        <w:t xml:space="preserve">The Library of Greek Mythology. </w:t>
      </w:r>
      <w:r w:rsidRPr="001C7FC1">
        <w:rPr>
          <w:sz w:val="24"/>
          <w:szCs w:val="24"/>
        </w:rPr>
        <w:t>Robin Hard (trans.). 1997. Oxford: Oxford University Press</w:t>
      </w:r>
    </w:p>
    <w:p w14:paraId="15EAFAA8" w14:textId="77777777" w:rsidR="00FA6269" w:rsidRPr="001C7FC1" w:rsidRDefault="00FA6269" w:rsidP="00FA6269">
      <w:pPr>
        <w:rPr>
          <w:sz w:val="24"/>
        </w:rPr>
      </w:pPr>
      <w:r w:rsidRPr="001C7FC1">
        <w:rPr>
          <w:sz w:val="24"/>
        </w:rPr>
        <w:t xml:space="preserve">Aristotle, </w:t>
      </w:r>
      <w:r w:rsidRPr="001C7FC1">
        <w:rPr>
          <w:i/>
          <w:sz w:val="24"/>
        </w:rPr>
        <w:t xml:space="preserve">Generation of Animals. </w:t>
      </w:r>
      <w:r w:rsidRPr="001C7FC1">
        <w:rPr>
          <w:sz w:val="24"/>
        </w:rPr>
        <w:t>A. L. Peck (trans.). 1942. London: William Heinemann Ltd.</w:t>
      </w:r>
    </w:p>
    <w:p w14:paraId="729EC89C" w14:textId="77777777" w:rsidR="00FA6269" w:rsidRPr="001C7FC1" w:rsidRDefault="00FA6269" w:rsidP="00FA6269">
      <w:pPr>
        <w:rPr>
          <w:sz w:val="24"/>
          <w:szCs w:val="24"/>
        </w:rPr>
      </w:pPr>
      <w:r w:rsidRPr="001C7FC1">
        <w:rPr>
          <w:sz w:val="24"/>
          <w:szCs w:val="24"/>
        </w:rPr>
        <w:t xml:space="preserve">Euripides, </w:t>
      </w:r>
      <w:r w:rsidRPr="001C7FC1">
        <w:rPr>
          <w:i/>
          <w:sz w:val="24"/>
          <w:szCs w:val="24"/>
        </w:rPr>
        <w:t xml:space="preserve">Medea. </w:t>
      </w:r>
      <w:r w:rsidRPr="001C7FC1">
        <w:rPr>
          <w:sz w:val="24"/>
          <w:szCs w:val="24"/>
        </w:rPr>
        <w:t>David Kovacs (trans.). 1994. London: Harvard University Press</w:t>
      </w:r>
    </w:p>
    <w:p w14:paraId="5082F0BF" w14:textId="77777777" w:rsidR="00FA6269" w:rsidRPr="0088137A" w:rsidRDefault="00FA6269" w:rsidP="00FA6269">
      <w:pPr>
        <w:rPr>
          <w:sz w:val="24"/>
          <w:szCs w:val="24"/>
        </w:rPr>
      </w:pPr>
      <w:r>
        <w:rPr>
          <w:sz w:val="24"/>
          <w:szCs w:val="24"/>
        </w:rPr>
        <w:t xml:space="preserve">Hesiod, </w:t>
      </w:r>
      <w:proofErr w:type="spellStart"/>
      <w:r>
        <w:rPr>
          <w:i/>
          <w:sz w:val="24"/>
          <w:szCs w:val="24"/>
        </w:rPr>
        <w:t>Theogany</w:t>
      </w:r>
      <w:proofErr w:type="spellEnd"/>
      <w:r>
        <w:rPr>
          <w:i/>
          <w:sz w:val="24"/>
          <w:szCs w:val="24"/>
        </w:rPr>
        <w:t xml:space="preserve">. </w:t>
      </w:r>
      <w:r>
        <w:rPr>
          <w:sz w:val="24"/>
          <w:szCs w:val="24"/>
        </w:rPr>
        <w:t>Richmond Lattimore (trans.). 1978. Ann Arbor: The University of Michigan Press.</w:t>
      </w:r>
    </w:p>
    <w:p w14:paraId="4A5AB4C4" w14:textId="77777777" w:rsidR="00FA6269" w:rsidRPr="001F6B6D" w:rsidRDefault="00FA6269" w:rsidP="00FA6269">
      <w:pPr>
        <w:rPr>
          <w:sz w:val="24"/>
          <w:szCs w:val="24"/>
        </w:rPr>
      </w:pPr>
      <w:r>
        <w:rPr>
          <w:sz w:val="24"/>
          <w:szCs w:val="24"/>
        </w:rPr>
        <w:t xml:space="preserve">Hippocrates, </w:t>
      </w:r>
      <w:r>
        <w:rPr>
          <w:i/>
          <w:sz w:val="24"/>
          <w:szCs w:val="24"/>
        </w:rPr>
        <w:t xml:space="preserve">Hippocrates Volume VIII. </w:t>
      </w:r>
      <w:r>
        <w:rPr>
          <w:sz w:val="24"/>
          <w:szCs w:val="24"/>
        </w:rPr>
        <w:t>Paul Potter (trans.). 1995. London: Harvard University Press</w:t>
      </w:r>
    </w:p>
    <w:p w14:paraId="14D593D4" w14:textId="77777777" w:rsidR="00FA6269" w:rsidRPr="00050301" w:rsidRDefault="00FA6269" w:rsidP="00FA6269">
      <w:pPr>
        <w:rPr>
          <w:sz w:val="24"/>
          <w:szCs w:val="24"/>
        </w:rPr>
      </w:pPr>
      <w:r>
        <w:rPr>
          <w:sz w:val="24"/>
          <w:szCs w:val="24"/>
        </w:rPr>
        <w:t xml:space="preserve">Hippocrates, </w:t>
      </w:r>
      <w:r>
        <w:rPr>
          <w:i/>
          <w:sz w:val="24"/>
          <w:szCs w:val="24"/>
        </w:rPr>
        <w:t>Hippocrates Volume X</w:t>
      </w:r>
      <w:r>
        <w:rPr>
          <w:sz w:val="24"/>
          <w:szCs w:val="24"/>
        </w:rPr>
        <w:t>. Paul Potter (trans.). 2012. London: Harvard University Press</w:t>
      </w:r>
    </w:p>
    <w:p w14:paraId="6094F093" w14:textId="77777777" w:rsidR="00FA6269" w:rsidRPr="001C7FC1" w:rsidRDefault="00FA6269" w:rsidP="00FA6269">
      <w:pPr>
        <w:rPr>
          <w:sz w:val="24"/>
          <w:szCs w:val="24"/>
        </w:rPr>
      </w:pPr>
      <w:proofErr w:type="spellStart"/>
      <w:r w:rsidRPr="001C7FC1">
        <w:rPr>
          <w:sz w:val="24"/>
          <w:szCs w:val="24"/>
        </w:rPr>
        <w:t>Isaeus</w:t>
      </w:r>
      <w:proofErr w:type="spellEnd"/>
      <w:r w:rsidRPr="001C7FC1">
        <w:rPr>
          <w:sz w:val="24"/>
          <w:szCs w:val="24"/>
        </w:rPr>
        <w:t xml:space="preserve">, </w:t>
      </w:r>
      <w:r w:rsidRPr="001C7FC1">
        <w:rPr>
          <w:i/>
          <w:sz w:val="24"/>
          <w:szCs w:val="24"/>
        </w:rPr>
        <w:t xml:space="preserve">VI: On the Estate of </w:t>
      </w:r>
      <w:proofErr w:type="spellStart"/>
      <w:r w:rsidRPr="001C7FC1">
        <w:rPr>
          <w:i/>
          <w:sz w:val="24"/>
          <w:szCs w:val="24"/>
        </w:rPr>
        <w:t>Philoctemon</w:t>
      </w:r>
      <w:proofErr w:type="spellEnd"/>
      <w:r w:rsidRPr="001C7FC1">
        <w:rPr>
          <w:i/>
          <w:sz w:val="24"/>
          <w:szCs w:val="24"/>
        </w:rPr>
        <w:t>.</w:t>
      </w:r>
      <w:r w:rsidRPr="001C7FC1">
        <w:rPr>
          <w:sz w:val="24"/>
          <w:szCs w:val="24"/>
        </w:rPr>
        <w:t xml:space="preserve"> Edward Seymour Forster (trans.). 1927. London: William Heineman Ltd.</w:t>
      </w:r>
    </w:p>
    <w:p w14:paraId="4CDE18F5" w14:textId="77777777" w:rsidR="00FA6269" w:rsidRPr="001C7FC1" w:rsidRDefault="00FA6269" w:rsidP="00FA6269">
      <w:pPr>
        <w:rPr>
          <w:sz w:val="24"/>
          <w:szCs w:val="24"/>
        </w:rPr>
      </w:pPr>
      <w:proofErr w:type="spellStart"/>
      <w:r w:rsidRPr="001C7FC1">
        <w:rPr>
          <w:sz w:val="24"/>
          <w:szCs w:val="24"/>
        </w:rPr>
        <w:t>Isaeus</w:t>
      </w:r>
      <w:proofErr w:type="spellEnd"/>
      <w:r w:rsidRPr="001C7FC1">
        <w:rPr>
          <w:sz w:val="24"/>
          <w:szCs w:val="24"/>
        </w:rPr>
        <w:t xml:space="preserve">, </w:t>
      </w:r>
      <w:r w:rsidRPr="001C7FC1">
        <w:rPr>
          <w:i/>
          <w:sz w:val="24"/>
          <w:szCs w:val="24"/>
        </w:rPr>
        <w:t>VII: On the Estate of Apollodorus.</w:t>
      </w:r>
      <w:r w:rsidRPr="001C7FC1">
        <w:rPr>
          <w:sz w:val="24"/>
          <w:szCs w:val="24"/>
        </w:rPr>
        <w:t xml:space="preserve"> Edward Seymour Forster (trans.). 1927. London: William Heineman Ltd.</w:t>
      </w:r>
    </w:p>
    <w:p w14:paraId="7F705BDF" w14:textId="77777777" w:rsidR="00FA6269" w:rsidRDefault="00FA6269" w:rsidP="00FA6269">
      <w:pPr>
        <w:rPr>
          <w:sz w:val="24"/>
          <w:szCs w:val="24"/>
        </w:rPr>
      </w:pPr>
      <w:r>
        <w:rPr>
          <w:sz w:val="24"/>
          <w:szCs w:val="24"/>
        </w:rPr>
        <w:t xml:space="preserve">Ovid, </w:t>
      </w:r>
      <w:r w:rsidRPr="00D71C5C">
        <w:rPr>
          <w:i/>
          <w:sz w:val="24"/>
          <w:szCs w:val="24"/>
        </w:rPr>
        <w:t>Metamorphoses.</w:t>
      </w:r>
      <w:r>
        <w:rPr>
          <w:sz w:val="24"/>
          <w:szCs w:val="24"/>
        </w:rPr>
        <w:t xml:space="preserve"> Frank Justus Miller (trans.). 1961. Cambridge, MA: Harvard University Press</w:t>
      </w:r>
    </w:p>
    <w:p w14:paraId="1481774B" w14:textId="77777777" w:rsidR="00FA6269" w:rsidRPr="001C7FC1" w:rsidRDefault="00FA6269" w:rsidP="00FA6269">
      <w:pPr>
        <w:rPr>
          <w:sz w:val="24"/>
          <w:szCs w:val="24"/>
        </w:rPr>
      </w:pPr>
      <w:r w:rsidRPr="001C7FC1">
        <w:rPr>
          <w:sz w:val="24"/>
          <w:szCs w:val="24"/>
        </w:rPr>
        <w:t xml:space="preserve">Plato, </w:t>
      </w:r>
      <w:r w:rsidRPr="001C7FC1">
        <w:rPr>
          <w:i/>
          <w:sz w:val="24"/>
          <w:szCs w:val="24"/>
        </w:rPr>
        <w:t xml:space="preserve">Republic. </w:t>
      </w:r>
      <w:r w:rsidRPr="001C7FC1">
        <w:rPr>
          <w:sz w:val="24"/>
          <w:szCs w:val="24"/>
        </w:rPr>
        <w:t xml:space="preserve">Paul </w:t>
      </w:r>
      <w:proofErr w:type="spellStart"/>
      <w:r w:rsidRPr="001C7FC1">
        <w:rPr>
          <w:sz w:val="24"/>
          <w:szCs w:val="24"/>
        </w:rPr>
        <w:t>Shorey</w:t>
      </w:r>
      <w:proofErr w:type="spellEnd"/>
      <w:r w:rsidRPr="001C7FC1">
        <w:rPr>
          <w:sz w:val="24"/>
          <w:szCs w:val="24"/>
        </w:rPr>
        <w:t xml:space="preserve"> (trans.). 1969. London: Harvard University Press</w:t>
      </w:r>
    </w:p>
    <w:p w14:paraId="45CA46B2" w14:textId="77777777" w:rsidR="00FA6269" w:rsidRPr="006B773A" w:rsidRDefault="00FA6269" w:rsidP="00FA6269">
      <w:pPr>
        <w:rPr>
          <w:sz w:val="24"/>
          <w:szCs w:val="24"/>
        </w:rPr>
      </w:pPr>
      <w:r>
        <w:rPr>
          <w:sz w:val="24"/>
          <w:szCs w:val="24"/>
        </w:rPr>
        <w:t xml:space="preserve">Plato, </w:t>
      </w:r>
      <w:r>
        <w:rPr>
          <w:i/>
          <w:sz w:val="24"/>
          <w:szCs w:val="24"/>
        </w:rPr>
        <w:t>Timaeus.</w:t>
      </w:r>
      <w:r>
        <w:rPr>
          <w:sz w:val="24"/>
          <w:szCs w:val="24"/>
        </w:rPr>
        <w:t xml:space="preserve"> R.G. Bury (trans.). 1929. Cambridge MA: Harvard</w:t>
      </w:r>
    </w:p>
    <w:p w14:paraId="7C06FB51" w14:textId="77777777" w:rsidR="00FA6269" w:rsidRDefault="00FA6269" w:rsidP="00FA6269">
      <w:pPr>
        <w:rPr>
          <w:sz w:val="24"/>
          <w:szCs w:val="24"/>
        </w:rPr>
      </w:pPr>
      <w:r w:rsidRPr="001C7FC1">
        <w:rPr>
          <w:sz w:val="24"/>
          <w:szCs w:val="24"/>
        </w:rPr>
        <w:t xml:space="preserve">Seneca, </w:t>
      </w:r>
      <w:r w:rsidRPr="001C7FC1">
        <w:rPr>
          <w:i/>
          <w:sz w:val="24"/>
          <w:szCs w:val="24"/>
        </w:rPr>
        <w:t xml:space="preserve">Medea. </w:t>
      </w:r>
      <w:r w:rsidRPr="001C7FC1">
        <w:rPr>
          <w:sz w:val="24"/>
          <w:szCs w:val="24"/>
        </w:rPr>
        <w:t>H.M. Hine (trans.) 2000. Warminster: Aris &amp; Phillips LTD</w:t>
      </w:r>
    </w:p>
    <w:p w14:paraId="32E45EC5" w14:textId="77777777" w:rsidR="00FA6269" w:rsidRDefault="00FA6269" w:rsidP="00FA6269">
      <w:pPr>
        <w:rPr>
          <w:sz w:val="24"/>
          <w:szCs w:val="24"/>
        </w:rPr>
      </w:pPr>
      <w:r>
        <w:rPr>
          <w:i/>
          <w:sz w:val="24"/>
          <w:szCs w:val="24"/>
        </w:rPr>
        <w:t>The Holy Bible.</w:t>
      </w:r>
      <w:r>
        <w:rPr>
          <w:sz w:val="24"/>
          <w:szCs w:val="24"/>
        </w:rPr>
        <w:t xml:space="preserve"> 1979. London: Hodder and Stoughton</w:t>
      </w:r>
    </w:p>
    <w:p w14:paraId="7E146748" w14:textId="77777777" w:rsidR="00FA6269" w:rsidRDefault="00FA6269" w:rsidP="00FA6269">
      <w:pPr>
        <w:rPr>
          <w:sz w:val="24"/>
          <w:szCs w:val="24"/>
        </w:rPr>
      </w:pPr>
      <w:r>
        <w:rPr>
          <w:sz w:val="24"/>
          <w:szCs w:val="24"/>
        </w:rPr>
        <w:t>Thucydides. B. Jowett (trans.). 1881. Oxford: Clarendon Press</w:t>
      </w:r>
    </w:p>
    <w:p w14:paraId="6FCB2C71" w14:textId="77777777" w:rsidR="00FA6269" w:rsidRPr="0016321E" w:rsidRDefault="00FA6269" w:rsidP="00FA6269">
      <w:pPr>
        <w:rPr>
          <w:sz w:val="24"/>
          <w:szCs w:val="24"/>
          <w:u w:val="single"/>
        </w:rPr>
      </w:pPr>
      <w:r w:rsidRPr="0016321E">
        <w:rPr>
          <w:sz w:val="24"/>
          <w:szCs w:val="24"/>
          <w:u w:val="single"/>
        </w:rPr>
        <w:t>Modern Sources</w:t>
      </w:r>
    </w:p>
    <w:p w14:paraId="6074CB7B" w14:textId="77777777" w:rsidR="00FA6269" w:rsidRDefault="00FA6269" w:rsidP="00FA6269">
      <w:pPr>
        <w:rPr>
          <w:sz w:val="24"/>
          <w:szCs w:val="24"/>
        </w:rPr>
      </w:pPr>
      <w:r>
        <w:rPr>
          <w:sz w:val="24"/>
          <w:szCs w:val="24"/>
        </w:rPr>
        <w:t xml:space="preserve">Allan, W. 2002. </w:t>
      </w:r>
      <w:r>
        <w:rPr>
          <w:i/>
          <w:sz w:val="24"/>
          <w:szCs w:val="24"/>
        </w:rPr>
        <w:t xml:space="preserve">Euripides: Medea. </w:t>
      </w:r>
      <w:r>
        <w:rPr>
          <w:sz w:val="24"/>
          <w:szCs w:val="24"/>
        </w:rPr>
        <w:t>London: Gerald Duckworth &amp; Co. Ltd.</w:t>
      </w:r>
    </w:p>
    <w:p w14:paraId="7BAF2531" w14:textId="77777777" w:rsidR="00FA6269" w:rsidRPr="00DA08B1" w:rsidRDefault="00FA6269" w:rsidP="00FA6269">
      <w:pPr>
        <w:rPr>
          <w:sz w:val="24"/>
          <w:szCs w:val="24"/>
        </w:rPr>
      </w:pPr>
      <w:proofErr w:type="spellStart"/>
      <w:r w:rsidRPr="00EC01BA">
        <w:rPr>
          <w:sz w:val="24"/>
          <w:szCs w:val="24"/>
        </w:rPr>
        <w:t>CalmClinic</w:t>
      </w:r>
      <w:proofErr w:type="spellEnd"/>
      <w:r w:rsidRPr="00EC01BA">
        <w:rPr>
          <w:sz w:val="24"/>
          <w:szCs w:val="24"/>
        </w:rPr>
        <w:t xml:space="preserve">, </w:t>
      </w:r>
      <w:r w:rsidRPr="00EC01BA">
        <w:rPr>
          <w:i/>
          <w:iCs/>
          <w:sz w:val="24"/>
          <w:szCs w:val="24"/>
        </w:rPr>
        <w:t xml:space="preserve">Hysteria is a normal Effect of Anxiety. </w:t>
      </w:r>
      <w:r w:rsidRPr="00EC01BA">
        <w:rPr>
          <w:sz w:val="24"/>
          <w:szCs w:val="24"/>
        </w:rPr>
        <w:t>2009-2017.</w:t>
      </w:r>
      <w:r>
        <w:rPr>
          <w:sz w:val="24"/>
          <w:szCs w:val="24"/>
        </w:rPr>
        <w:t xml:space="preserve"> calmclinic.com</w:t>
      </w:r>
      <w:r w:rsidRPr="00EC01BA">
        <w:rPr>
          <w:sz w:val="24"/>
          <w:szCs w:val="24"/>
        </w:rPr>
        <w:t xml:space="preserve"> </w:t>
      </w:r>
      <w:hyperlink r:id="rId14" w:history="1">
        <w:r w:rsidRPr="00EC01BA">
          <w:rPr>
            <w:rStyle w:val="Hyperlink"/>
            <w:sz w:val="24"/>
            <w:szCs w:val="24"/>
          </w:rPr>
          <w:t>https://www.calmclinic.com/anxiety/symptoms/hysteria</w:t>
        </w:r>
      </w:hyperlink>
      <w:r w:rsidRPr="00EC01BA">
        <w:rPr>
          <w:sz w:val="24"/>
          <w:szCs w:val="24"/>
        </w:rPr>
        <w:t xml:space="preserve"> [Accessed: 9/12/17]</w:t>
      </w:r>
    </w:p>
    <w:p w14:paraId="0932BE24" w14:textId="77777777" w:rsidR="00FA6269" w:rsidRPr="00E87C03" w:rsidRDefault="00FA6269" w:rsidP="00FA6269">
      <w:pPr>
        <w:rPr>
          <w:sz w:val="24"/>
        </w:rPr>
      </w:pPr>
      <w:r w:rsidRPr="00E87C03">
        <w:rPr>
          <w:sz w:val="24"/>
        </w:rPr>
        <w:t xml:space="preserve">Castleman, M. </w:t>
      </w:r>
      <w:r w:rsidRPr="00E87C03">
        <w:rPr>
          <w:i/>
          <w:iCs/>
          <w:sz w:val="24"/>
        </w:rPr>
        <w:t xml:space="preserve">“Hysteria” and the Strange history of Vibrators. </w:t>
      </w:r>
      <w:r w:rsidRPr="00E87C03">
        <w:rPr>
          <w:sz w:val="24"/>
        </w:rPr>
        <w:t xml:space="preserve">2013. Psychologytoday.com </w:t>
      </w:r>
      <w:hyperlink r:id="rId15" w:history="1">
        <w:r w:rsidRPr="00E87C03">
          <w:rPr>
            <w:rStyle w:val="Hyperlink"/>
            <w:sz w:val="24"/>
          </w:rPr>
          <w:t>https://www.psychologytoday.com/blog/all-about-sex/201303/hysteria-and-the-strange-history-vibrators</w:t>
        </w:r>
      </w:hyperlink>
      <w:r w:rsidRPr="00E87C03">
        <w:rPr>
          <w:sz w:val="24"/>
        </w:rPr>
        <w:t xml:space="preserve"> [Accessed: </w:t>
      </w:r>
      <w:r>
        <w:rPr>
          <w:sz w:val="24"/>
        </w:rPr>
        <w:t>04</w:t>
      </w:r>
      <w:r w:rsidRPr="00E87C03">
        <w:rPr>
          <w:sz w:val="24"/>
        </w:rPr>
        <w:t>/</w:t>
      </w:r>
      <w:r>
        <w:rPr>
          <w:sz w:val="24"/>
        </w:rPr>
        <w:t>05</w:t>
      </w:r>
      <w:r w:rsidRPr="00E87C03">
        <w:rPr>
          <w:sz w:val="24"/>
        </w:rPr>
        <w:t>/1</w:t>
      </w:r>
      <w:r>
        <w:rPr>
          <w:sz w:val="24"/>
        </w:rPr>
        <w:t>8</w:t>
      </w:r>
      <w:r w:rsidRPr="00E87C03">
        <w:rPr>
          <w:sz w:val="24"/>
        </w:rPr>
        <w:t>]</w:t>
      </w:r>
    </w:p>
    <w:p w14:paraId="7AB52FEF" w14:textId="77777777" w:rsidR="00FA6269" w:rsidRDefault="00FA6269" w:rsidP="00FA6269">
      <w:pPr>
        <w:rPr>
          <w:sz w:val="24"/>
          <w:szCs w:val="24"/>
        </w:rPr>
      </w:pPr>
      <w:proofErr w:type="spellStart"/>
      <w:r>
        <w:rPr>
          <w:sz w:val="24"/>
          <w:szCs w:val="24"/>
        </w:rPr>
        <w:t>Dmytriw</w:t>
      </w:r>
      <w:proofErr w:type="spellEnd"/>
      <w:r>
        <w:rPr>
          <w:sz w:val="24"/>
          <w:szCs w:val="24"/>
        </w:rPr>
        <w:t xml:space="preserve">, A.A. 2014. </w:t>
      </w:r>
      <w:r>
        <w:rPr>
          <w:i/>
          <w:sz w:val="24"/>
          <w:szCs w:val="24"/>
        </w:rPr>
        <w:t xml:space="preserve">Gender and Sex Manifestations in Hysteria Across Medicine and the Arts. </w:t>
      </w:r>
      <w:r>
        <w:rPr>
          <w:sz w:val="24"/>
          <w:szCs w:val="24"/>
        </w:rPr>
        <w:t>European Neurology</w:t>
      </w:r>
    </w:p>
    <w:p w14:paraId="13FCE142" w14:textId="77777777" w:rsidR="00FA6269" w:rsidRPr="00D55397" w:rsidRDefault="00FA6269" w:rsidP="00FA6269">
      <w:pPr>
        <w:rPr>
          <w:sz w:val="24"/>
          <w:szCs w:val="24"/>
        </w:rPr>
      </w:pPr>
      <w:proofErr w:type="spellStart"/>
      <w:r>
        <w:rPr>
          <w:sz w:val="24"/>
          <w:szCs w:val="24"/>
        </w:rPr>
        <w:t>Fantham</w:t>
      </w:r>
      <w:proofErr w:type="spellEnd"/>
      <w:r>
        <w:rPr>
          <w:sz w:val="24"/>
          <w:szCs w:val="24"/>
        </w:rPr>
        <w:t xml:space="preserve">, E., Foley, H.P., </w:t>
      </w:r>
      <w:proofErr w:type="spellStart"/>
      <w:r>
        <w:rPr>
          <w:sz w:val="24"/>
          <w:szCs w:val="24"/>
        </w:rPr>
        <w:t>Kampen</w:t>
      </w:r>
      <w:proofErr w:type="spellEnd"/>
      <w:r>
        <w:rPr>
          <w:sz w:val="24"/>
          <w:szCs w:val="24"/>
        </w:rPr>
        <w:t xml:space="preserve">, N.B., Pomeroy, S.B., Shapiro, H.A. 1994. </w:t>
      </w:r>
      <w:r>
        <w:rPr>
          <w:i/>
          <w:sz w:val="24"/>
          <w:szCs w:val="24"/>
        </w:rPr>
        <w:t xml:space="preserve">Women in the Classical World: Image and Text. </w:t>
      </w:r>
      <w:r>
        <w:rPr>
          <w:sz w:val="24"/>
          <w:szCs w:val="24"/>
        </w:rPr>
        <w:t>Oxford: Oxford University Press</w:t>
      </w:r>
    </w:p>
    <w:p w14:paraId="675A5726" w14:textId="77777777" w:rsidR="00FA6269" w:rsidRPr="00692B15" w:rsidRDefault="00FA6269" w:rsidP="00FA6269">
      <w:pPr>
        <w:rPr>
          <w:sz w:val="24"/>
          <w:szCs w:val="24"/>
        </w:rPr>
      </w:pPr>
      <w:proofErr w:type="spellStart"/>
      <w:r>
        <w:rPr>
          <w:sz w:val="24"/>
          <w:szCs w:val="24"/>
        </w:rPr>
        <w:lastRenderedPageBreak/>
        <w:t>Farone</w:t>
      </w:r>
      <w:proofErr w:type="spellEnd"/>
      <w:r>
        <w:rPr>
          <w:sz w:val="24"/>
          <w:szCs w:val="24"/>
        </w:rPr>
        <w:t xml:space="preserve">, C.A. 2011. </w:t>
      </w:r>
      <w:r>
        <w:rPr>
          <w:i/>
          <w:sz w:val="24"/>
          <w:szCs w:val="24"/>
        </w:rPr>
        <w:t xml:space="preserve">Magical and Medical Approaches to the Wandering Womb in the Ancient Greek World. </w:t>
      </w:r>
      <w:r>
        <w:rPr>
          <w:sz w:val="24"/>
          <w:szCs w:val="24"/>
        </w:rPr>
        <w:t>Classical Antiquity. Vol. 30, Issue. 1, April, pgs. 1-32</w:t>
      </w:r>
    </w:p>
    <w:p w14:paraId="0FCE3329" w14:textId="77777777" w:rsidR="00FA6269" w:rsidRPr="00B778B8" w:rsidRDefault="00FA6269" w:rsidP="00FA6269">
      <w:pPr>
        <w:rPr>
          <w:sz w:val="24"/>
          <w:szCs w:val="24"/>
        </w:rPr>
      </w:pPr>
      <w:r>
        <w:rPr>
          <w:sz w:val="24"/>
          <w:szCs w:val="24"/>
        </w:rPr>
        <w:t xml:space="preserve">Griffiths, E. 2006. </w:t>
      </w:r>
      <w:r>
        <w:rPr>
          <w:i/>
          <w:sz w:val="24"/>
          <w:szCs w:val="24"/>
        </w:rPr>
        <w:t xml:space="preserve">Medea. </w:t>
      </w:r>
      <w:r>
        <w:rPr>
          <w:sz w:val="24"/>
          <w:szCs w:val="24"/>
        </w:rPr>
        <w:t>Oxon: Routledge</w:t>
      </w:r>
    </w:p>
    <w:p w14:paraId="748D6403" w14:textId="77777777" w:rsidR="00FA6269" w:rsidRPr="0043493F" w:rsidRDefault="00FA6269" w:rsidP="00FA6269">
      <w:pPr>
        <w:rPr>
          <w:sz w:val="24"/>
          <w:szCs w:val="24"/>
        </w:rPr>
      </w:pPr>
      <w:r>
        <w:rPr>
          <w:sz w:val="24"/>
          <w:szCs w:val="24"/>
        </w:rPr>
        <w:t xml:space="preserve">Hine, H.M. 2000. </w:t>
      </w:r>
      <w:r>
        <w:rPr>
          <w:i/>
          <w:sz w:val="24"/>
          <w:szCs w:val="24"/>
        </w:rPr>
        <w:t xml:space="preserve"> Seneca: Medea (Introduction, Text, Translation and Commentary by H.M. Hine). </w:t>
      </w:r>
      <w:r>
        <w:rPr>
          <w:sz w:val="24"/>
          <w:szCs w:val="24"/>
        </w:rPr>
        <w:t>Warminster: Aris &amp; Phillips LTD</w:t>
      </w:r>
      <w:r>
        <w:rPr>
          <w:i/>
          <w:sz w:val="24"/>
          <w:szCs w:val="24"/>
        </w:rPr>
        <w:t xml:space="preserve"> </w:t>
      </w:r>
    </w:p>
    <w:p w14:paraId="6F42C92A" w14:textId="77777777" w:rsidR="00FA6269" w:rsidRDefault="00FA6269" w:rsidP="00FA6269">
      <w:pPr>
        <w:rPr>
          <w:sz w:val="24"/>
          <w:szCs w:val="24"/>
        </w:rPr>
      </w:pPr>
      <w:r>
        <w:rPr>
          <w:sz w:val="24"/>
          <w:szCs w:val="24"/>
        </w:rPr>
        <w:t xml:space="preserve">Hoskins, E. 2017. </w:t>
      </w:r>
      <w:r>
        <w:rPr>
          <w:i/>
          <w:sz w:val="24"/>
          <w:szCs w:val="24"/>
        </w:rPr>
        <w:t>Hysteria and the Wandering Womb</w:t>
      </w:r>
      <w:r>
        <w:rPr>
          <w:sz w:val="24"/>
          <w:szCs w:val="24"/>
        </w:rPr>
        <w:t>.</w:t>
      </w:r>
    </w:p>
    <w:p w14:paraId="702C36AF" w14:textId="77777777" w:rsidR="00FA6269" w:rsidRPr="00F36960" w:rsidRDefault="00FA6269" w:rsidP="00FA6269">
      <w:pPr>
        <w:rPr>
          <w:i/>
          <w:sz w:val="24"/>
          <w:szCs w:val="24"/>
        </w:rPr>
      </w:pPr>
      <w:r>
        <w:rPr>
          <w:sz w:val="24"/>
          <w:szCs w:val="24"/>
        </w:rPr>
        <w:t xml:space="preserve">Hoskins, E. 2018. </w:t>
      </w:r>
      <w:r>
        <w:rPr>
          <w:i/>
          <w:sz w:val="24"/>
          <w:szCs w:val="24"/>
        </w:rPr>
        <w:t>How and why do the Literary Versions of the Persephone Abduction Myth Lend Themselves to Feminist Critiques</w:t>
      </w:r>
    </w:p>
    <w:p w14:paraId="6B3ABD1A" w14:textId="77777777" w:rsidR="00FA6269" w:rsidRPr="0016321E" w:rsidRDefault="00FA6269" w:rsidP="00FA6269">
      <w:pPr>
        <w:rPr>
          <w:sz w:val="24"/>
          <w:szCs w:val="24"/>
        </w:rPr>
      </w:pPr>
      <w:r w:rsidRPr="0016321E">
        <w:rPr>
          <w:sz w:val="24"/>
          <w:szCs w:val="24"/>
        </w:rPr>
        <w:t>Just, R. 19</w:t>
      </w:r>
      <w:r>
        <w:rPr>
          <w:sz w:val="24"/>
          <w:szCs w:val="24"/>
        </w:rPr>
        <w:t>89</w:t>
      </w:r>
      <w:r w:rsidRPr="0016321E">
        <w:rPr>
          <w:sz w:val="24"/>
          <w:szCs w:val="24"/>
        </w:rPr>
        <w:t xml:space="preserve">. </w:t>
      </w:r>
      <w:r w:rsidRPr="0016321E">
        <w:rPr>
          <w:i/>
          <w:sz w:val="24"/>
          <w:szCs w:val="24"/>
        </w:rPr>
        <w:t xml:space="preserve">Women in Athenian Law and Life. </w:t>
      </w:r>
      <w:r w:rsidRPr="0016321E">
        <w:rPr>
          <w:sz w:val="24"/>
          <w:szCs w:val="24"/>
        </w:rPr>
        <w:t>New York: Routledge</w:t>
      </w:r>
    </w:p>
    <w:p w14:paraId="47756D14" w14:textId="77777777" w:rsidR="00FA6269" w:rsidRPr="000E1AF9" w:rsidRDefault="00FA6269" w:rsidP="00FA6269">
      <w:pPr>
        <w:rPr>
          <w:sz w:val="24"/>
          <w:szCs w:val="24"/>
        </w:rPr>
      </w:pPr>
      <w:proofErr w:type="spellStart"/>
      <w:r>
        <w:rPr>
          <w:sz w:val="24"/>
          <w:szCs w:val="24"/>
        </w:rPr>
        <w:t>Keuls</w:t>
      </w:r>
      <w:proofErr w:type="spellEnd"/>
      <w:r>
        <w:rPr>
          <w:sz w:val="24"/>
          <w:szCs w:val="24"/>
        </w:rPr>
        <w:t xml:space="preserve">, E. C. 1985. </w:t>
      </w:r>
      <w:r>
        <w:rPr>
          <w:i/>
          <w:sz w:val="24"/>
          <w:szCs w:val="24"/>
        </w:rPr>
        <w:t xml:space="preserve">The Reign of the Phallus: Sexual Politics in Ancient Athens. </w:t>
      </w:r>
      <w:r>
        <w:rPr>
          <w:sz w:val="24"/>
          <w:szCs w:val="24"/>
        </w:rPr>
        <w:t>New York: Harper &amp; Row, Publishers</w:t>
      </w:r>
    </w:p>
    <w:p w14:paraId="7EE681FC" w14:textId="77777777" w:rsidR="00FA6269" w:rsidRDefault="00FA6269" w:rsidP="00FA6269">
      <w:pPr>
        <w:rPr>
          <w:sz w:val="24"/>
          <w:szCs w:val="24"/>
        </w:rPr>
      </w:pPr>
      <w:r>
        <w:rPr>
          <w:sz w:val="24"/>
          <w:szCs w:val="24"/>
        </w:rPr>
        <w:t xml:space="preserve">King, H. 1993. </w:t>
      </w:r>
      <w:r>
        <w:rPr>
          <w:i/>
          <w:sz w:val="24"/>
          <w:szCs w:val="24"/>
        </w:rPr>
        <w:t xml:space="preserve">Once Upon a Text: Hysteria from </w:t>
      </w:r>
      <w:proofErr w:type="spellStart"/>
      <w:r w:rsidRPr="00866F62">
        <w:rPr>
          <w:sz w:val="24"/>
          <w:szCs w:val="24"/>
        </w:rPr>
        <w:t>Huppocrates</w:t>
      </w:r>
      <w:proofErr w:type="spellEnd"/>
      <w:r>
        <w:rPr>
          <w:sz w:val="24"/>
          <w:szCs w:val="24"/>
        </w:rPr>
        <w:t xml:space="preserve"> in </w:t>
      </w:r>
      <w:r w:rsidRPr="00866F62">
        <w:rPr>
          <w:sz w:val="24"/>
          <w:szCs w:val="24"/>
        </w:rPr>
        <w:t>Gilman</w:t>
      </w:r>
      <w:r>
        <w:rPr>
          <w:sz w:val="24"/>
          <w:szCs w:val="24"/>
        </w:rPr>
        <w:t xml:space="preserve">, S.L., King, H., Porter, R., Rousseau, G.S., </w:t>
      </w:r>
      <w:proofErr w:type="spellStart"/>
      <w:r>
        <w:rPr>
          <w:sz w:val="24"/>
          <w:szCs w:val="24"/>
        </w:rPr>
        <w:t>Showalker</w:t>
      </w:r>
      <w:proofErr w:type="spellEnd"/>
      <w:r>
        <w:rPr>
          <w:sz w:val="24"/>
          <w:szCs w:val="24"/>
        </w:rPr>
        <w:t>, E. ‘</w:t>
      </w:r>
      <w:r w:rsidRPr="00866F62">
        <w:rPr>
          <w:sz w:val="24"/>
          <w:szCs w:val="24"/>
        </w:rPr>
        <w:t>Hysteria Beyond Freu</w:t>
      </w:r>
      <w:r>
        <w:rPr>
          <w:sz w:val="24"/>
          <w:szCs w:val="24"/>
        </w:rPr>
        <w:t>d’</w:t>
      </w:r>
      <w:r w:rsidRPr="00866F62">
        <w:rPr>
          <w:sz w:val="24"/>
          <w:szCs w:val="24"/>
        </w:rPr>
        <w:t>.</w:t>
      </w:r>
      <w:r>
        <w:rPr>
          <w:i/>
          <w:sz w:val="24"/>
          <w:szCs w:val="24"/>
        </w:rPr>
        <w:t xml:space="preserve"> </w:t>
      </w:r>
      <w:r>
        <w:rPr>
          <w:sz w:val="24"/>
          <w:szCs w:val="24"/>
        </w:rPr>
        <w:t xml:space="preserve">Berkeley: University of California Press </w:t>
      </w:r>
    </w:p>
    <w:p w14:paraId="6C15AC10" w14:textId="77777777" w:rsidR="00FA6269" w:rsidRDefault="00FA6269" w:rsidP="00FA6269">
      <w:pPr>
        <w:rPr>
          <w:sz w:val="24"/>
          <w:szCs w:val="24"/>
        </w:rPr>
      </w:pPr>
      <w:r>
        <w:rPr>
          <w:sz w:val="24"/>
          <w:szCs w:val="24"/>
        </w:rPr>
        <w:t xml:space="preserve">Kovacs, D. 1994. </w:t>
      </w:r>
      <w:r>
        <w:rPr>
          <w:i/>
          <w:sz w:val="24"/>
          <w:szCs w:val="24"/>
        </w:rPr>
        <w:t>Euripides: Cyclops, Alcestis, Medea (Edited and translated by David Kovacs).</w:t>
      </w:r>
      <w:r>
        <w:rPr>
          <w:sz w:val="24"/>
          <w:szCs w:val="24"/>
        </w:rPr>
        <w:t xml:space="preserve"> London: Harvard University Press</w:t>
      </w:r>
    </w:p>
    <w:p w14:paraId="1676C40C" w14:textId="77777777" w:rsidR="00FA6269" w:rsidRDefault="00FA6269" w:rsidP="00FA6269">
      <w:pPr>
        <w:rPr>
          <w:sz w:val="24"/>
          <w:szCs w:val="24"/>
        </w:rPr>
      </w:pPr>
      <w:proofErr w:type="spellStart"/>
      <w:r>
        <w:rPr>
          <w:sz w:val="24"/>
          <w:szCs w:val="24"/>
        </w:rPr>
        <w:t>Orwin</w:t>
      </w:r>
      <w:proofErr w:type="spellEnd"/>
      <w:r>
        <w:rPr>
          <w:sz w:val="24"/>
          <w:szCs w:val="24"/>
        </w:rPr>
        <w:t xml:space="preserve">, C. 1994. </w:t>
      </w:r>
      <w:r>
        <w:rPr>
          <w:i/>
          <w:sz w:val="24"/>
          <w:szCs w:val="24"/>
        </w:rPr>
        <w:t>The Humanity of Thucydides.</w:t>
      </w:r>
      <w:r>
        <w:rPr>
          <w:sz w:val="24"/>
          <w:szCs w:val="24"/>
        </w:rPr>
        <w:t xml:space="preserve"> Princeton, New Jersey: Princeton University Press</w:t>
      </w:r>
    </w:p>
    <w:p w14:paraId="654BB8EE" w14:textId="77777777" w:rsidR="00FA6269" w:rsidRPr="0016321E" w:rsidRDefault="00FA6269" w:rsidP="00FA6269">
      <w:r>
        <w:t xml:space="preserve">Pomeroy, S. B. 1975. </w:t>
      </w:r>
      <w:r>
        <w:rPr>
          <w:i/>
        </w:rPr>
        <w:t xml:space="preserve">Goddesses, Whores, Wives, and Slaves: Women in Classical Athens. </w:t>
      </w:r>
      <w:r>
        <w:t>London: Robert Hale &amp; Company</w:t>
      </w:r>
    </w:p>
    <w:p w14:paraId="2502619F" w14:textId="77777777" w:rsidR="00FA6269" w:rsidRDefault="00FA6269" w:rsidP="00FA6269">
      <w:pPr>
        <w:rPr>
          <w:sz w:val="24"/>
          <w:szCs w:val="24"/>
        </w:rPr>
      </w:pPr>
      <w:r>
        <w:rPr>
          <w:sz w:val="24"/>
          <w:szCs w:val="24"/>
        </w:rPr>
        <w:t xml:space="preserve">Porter, R. 2002. </w:t>
      </w:r>
      <w:r>
        <w:rPr>
          <w:i/>
          <w:sz w:val="24"/>
          <w:szCs w:val="24"/>
        </w:rPr>
        <w:t>Madness A Brief History</w:t>
      </w:r>
      <w:r>
        <w:rPr>
          <w:sz w:val="24"/>
          <w:szCs w:val="24"/>
        </w:rPr>
        <w:t>. Oxford: Oxford University Press</w:t>
      </w:r>
    </w:p>
    <w:p w14:paraId="6767DE76" w14:textId="77777777" w:rsidR="00FA6269" w:rsidRDefault="00FA6269" w:rsidP="00FA6269">
      <w:pPr>
        <w:rPr>
          <w:sz w:val="24"/>
          <w:szCs w:val="24"/>
        </w:rPr>
      </w:pPr>
      <w:r>
        <w:rPr>
          <w:sz w:val="24"/>
          <w:szCs w:val="24"/>
        </w:rPr>
        <w:t xml:space="preserve">Reeves, C. 2015. </w:t>
      </w:r>
      <w:r>
        <w:rPr>
          <w:i/>
          <w:sz w:val="24"/>
          <w:szCs w:val="24"/>
        </w:rPr>
        <w:t>Wandering Wombs and Wicked Water: The Gynaecological Papyrus</w:t>
      </w:r>
      <w:r>
        <w:rPr>
          <w:sz w:val="24"/>
          <w:szCs w:val="24"/>
        </w:rPr>
        <w:t xml:space="preserve"> in ‘Petrie Museum of Egyptian Archaeology: Characters &amp; Collections. Alice Stevenson (ed.). London: UCL Press</w:t>
      </w:r>
    </w:p>
    <w:p w14:paraId="16CE3C92" w14:textId="77777777" w:rsidR="00FA6269" w:rsidRDefault="00FA6269" w:rsidP="00FA6269">
      <w:r w:rsidRPr="0016321E">
        <w:rPr>
          <w:sz w:val="24"/>
          <w:szCs w:val="24"/>
        </w:rPr>
        <w:t xml:space="preserve">Swearingen, J. C. 1992. </w:t>
      </w:r>
      <w:r w:rsidRPr="0016321E">
        <w:rPr>
          <w:i/>
          <w:sz w:val="24"/>
          <w:szCs w:val="24"/>
        </w:rPr>
        <w:t>Plato’s Feminine: Appropriation, Impersonation, and Metaphorical Polemic</w:t>
      </w:r>
      <w:r w:rsidRPr="0016321E">
        <w:t>. Rhetoric Society Quarterly. Vol 22., Issue 1., 109-123.</w:t>
      </w:r>
    </w:p>
    <w:p w14:paraId="00F66F81" w14:textId="77777777" w:rsidR="00FA6269" w:rsidRDefault="00FA6269" w:rsidP="00FA6269">
      <w:pPr>
        <w:rPr>
          <w:sz w:val="24"/>
        </w:rPr>
      </w:pPr>
      <w:proofErr w:type="spellStart"/>
      <w:r w:rsidRPr="00354B0D">
        <w:rPr>
          <w:sz w:val="24"/>
        </w:rPr>
        <w:t>Tasca</w:t>
      </w:r>
      <w:proofErr w:type="spellEnd"/>
      <w:r w:rsidRPr="00354B0D">
        <w:rPr>
          <w:sz w:val="24"/>
        </w:rPr>
        <w:t xml:space="preserve">, C., </w:t>
      </w:r>
      <w:proofErr w:type="spellStart"/>
      <w:r w:rsidRPr="00354B0D">
        <w:rPr>
          <w:sz w:val="24"/>
        </w:rPr>
        <w:t>Rapetti</w:t>
      </w:r>
      <w:proofErr w:type="spellEnd"/>
      <w:r w:rsidRPr="00354B0D">
        <w:rPr>
          <w:sz w:val="24"/>
        </w:rPr>
        <w:t xml:space="preserve">, M., Giovanni-Carta, M., </w:t>
      </w:r>
      <w:proofErr w:type="spellStart"/>
      <w:r w:rsidRPr="00354B0D">
        <w:rPr>
          <w:sz w:val="24"/>
        </w:rPr>
        <w:t>Fadda</w:t>
      </w:r>
      <w:proofErr w:type="spellEnd"/>
      <w:r w:rsidRPr="00354B0D">
        <w:rPr>
          <w:sz w:val="24"/>
        </w:rPr>
        <w:t xml:space="preserve">, B. 2012. ‘Women &amp; Hysteria in the History of Mental Health’, </w:t>
      </w:r>
      <w:r w:rsidRPr="00354B0D">
        <w:rPr>
          <w:i/>
          <w:sz w:val="24"/>
        </w:rPr>
        <w:t>Clinical Practice and Epidemiology in Mental Health</w:t>
      </w:r>
      <w:r w:rsidRPr="00354B0D">
        <w:rPr>
          <w:sz w:val="24"/>
        </w:rPr>
        <w:t xml:space="preserve">, 8, </w:t>
      </w:r>
      <w:proofErr w:type="gramStart"/>
      <w:r w:rsidRPr="00354B0D">
        <w:rPr>
          <w:sz w:val="24"/>
        </w:rPr>
        <w:t>October,</w:t>
      </w:r>
      <w:proofErr w:type="gramEnd"/>
      <w:r w:rsidRPr="00354B0D">
        <w:rPr>
          <w:sz w:val="24"/>
        </w:rPr>
        <w:t xml:space="preserve"> 110-119. ncbi.nlm.nih.gov.  </w:t>
      </w:r>
      <w:hyperlink r:id="rId16" w:history="1">
        <w:r w:rsidRPr="00354B0D">
          <w:rPr>
            <w:rStyle w:val="Hyperlink"/>
            <w:sz w:val="24"/>
          </w:rPr>
          <w:t>https://www.ncbi.nlm.nih.gov/pmc/articles/PMC3480686/</w:t>
        </w:r>
      </w:hyperlink>
      <w:r w:rsidRPr="00354B0D">
        <w:rPr>
          <w:sz w:val="24"/>
        </w:rPr>
        <w:t xml:space="preserve"> [accessed: 04/05/18]</w:t>
      </w:r>
    </w:p>
    <w:p w14:paraId="09205FC3" w14:textId="77777777" w:rsidR="00FA6269" w:rsidRDefault="00FA6269" w:rsidP="00FA6269">
      <w:pPr>
        <w:rPr>
          <w:sz w:val="24"/>
          <w:szCs w:val="24"/>
        </w:rPr>
      </w:pPr>
      <w:r>
        <w:rPr>
          <w:sz w:val="24"/>
          <w:szCs w:val="24"/>
        </w:rPr>
        <w:t xml:space="preserve">Temkin, </w:t>
      </w:r>
      <w:proofErr w:type="spellStart"/>
      <w:r>
        <w:rPr>
          <w:sz w:val="24"/>
          <w:szCs w:val="24"/>
        </w:rPr>
        <w:t>Owsei</w:t>
      </w:r>
      <w:proofErr w:type="spellEnd"/>
      <w:r>
        <w:rPr>
          <w:sz w:val="24"/>
          <w:szCs w:val="24"/>
        </w:rPr>
        <w:t xml:space="preserve">. 1971. </w:t>
      </w:r>
      <w:r>
        <w:rPr>
          <w:i/>
          <w:sz w:val="24"/>
          <w:szCs w:val="24"/>
        </w:rPr>
        <w:t xml:space="preserve">The Falling Sickness: A History of Epilepsy from the Greeks to the Beginnings of Modern Neurology. </w:t>
      </w:r>
      <w:r>
        <w:rPr>
          <w:sz w:val="24"/>
          <w:szCs w:val="24"/>
        </w:rPr>
        <w:t xml:space="preserve">London: John Hopkins Press </w:t>
      </w:r>
    </w:p>
    <w:p w14:paraId="076E7275" w14:textId="6C2FB45F" w:rsidR="00D30FD0" w:rsidRPr="00FA6269" w:rsidRDefault="00FA6269" w:rsidP="00FA6269">
      <w:pPr>
        <w:rPr>
          <w:sz w:val="24"/>
          <w:szCs w:val="24"/>
        </w:rPr>
      </w:pPr>
      <w:proofErr w:type="spellStart"/>
      <w:r w:rsidRPr="0016321E">
        <w:rPr>
          <w:sz w:val="24"/>
          <w:szCs w:val="24"/>
        </w:rPr>
        <w:t>Tuana</w:t>
      </w:r>
      <w:proofErr w:type="spellEnd"/>
      <w:r w:rsidRPr="0016321E">
        <w:rPr>
          <w:sz w:val="24"/>
          <w:szCs w:val="24"/>
        </w:rPr>
        <w:t xml:space="preserve">, N. 1989. </w:t>
      </w:r>
      <w:r w:rsidRPr="0016321E">
        <w:rPr>
          <w:i/>
          <w:sz w:val="24"/>
          <w:szCs w:val="24"/>
        </w:rPr>
        <w:t xml:space="preserve">The Less Noble Sex: Scientific Religious, and Philosophical Conceptions of Woman’s Nature. </w:t>
      </w:r>
      <w:r w:rsidRPr="0016321E">
        <w:rPr>
          <w:sz w:val="24"/>
          <w:szCs w:val="24"/>
        </w:rPr>
        <w:t>Indianapolis: Indiana University Press</w:t>
      </w:r>
    </w:p>
    <w:sectPr w:rsidR="00D30FD0" w:rsidRPr="00FA6269" w:rsidSect="00377107">
      <w:pgSz w:w="11906" w:h="16838"/>
      <w:pgMar w:top="1440" w:right="1440" w:bottom="1440" w:left="1440" w:header="709" w:footer="709"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2E0294" w14:textId="77777777" w:rsidR="003A4F53" w:rsidRDefault="003A4F53" w:rsidP="00D30FD0">
      <w:pPr>
        <w:spacing w:after="0" w:line="240" w:lineRule="auto"/>
      </w:pPr>
      <w:r>
        <w:separator/>
      </w:r>
    </w:p>
  </w:endnote>
  <w:endnote w:type="continuationSeparator" w:id="0">
    <w:p w14:paraId="5CC9B3C9" w14:textId="77777777" w:rsidR="003A4F53" w:rsidRDefault="003A4F53" w:rsidP="00D30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6796798"/>
      <w:docPartObj>
        <w:docPartGallery w:val="Page Numbers (Bottom of Page)"/>
        <w:docPartUnique/>
      </w:docPartObj>
    </w:sdtPr>
    <w:sdtEndPr>
      <w:rPr>
        <w:noProof/>
      </w:rPr>
    </w:sdtEndPr>
    <w:sdtContent>
      <w:p w14:paraId="0BC3F414" w14:textId="77777777" w:rsidR="00FA029C" w:rsidRDefault="00FA02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775610" w14:textId="77777777" w:rsidR="00FA029C" w:rsidRDefault="00FA029C" w:rsidP="0037710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EEACE9" w14:textId="77777777" w:rsidR="003A4F53" w:rsidRDefault="003A4F53" w:rsidP="00D30FD0">
      <w:pPr>
        <w:spacing w:after="0" w:line="240" w:lineRule="auto"/>
      </w:pPr>
      <w:r>
        <w:separator/>
      </w:r>
    </w:p>
  </w:footnote>
  <w:footnote w:type="continuationSeparator" w:id="0">
    <w:p w14:paraId="25A150CB" w14:textId="77777777" w:rsidR="003A4F53" w:rsidRDefault="003A4F53" w:rsidP="00D30FD0">
      <w:pPr>
        <w:spacing w:after="0" w:line="240" w:lineRule="auto"/>
      </w:pPr>
      <w:r>
        <w:continuationSeparator/>
      </w:r>
    </w:p>
  </w:footnote>
  <w:footnote w:id="1">
    <w:p w14:paraId="30346B5C" w14:textId="77777777" w:rsidR="00FA029C" w:rsidRPr="001B62A5" w:rsidRDefault="00FA029C" w:rsidP="00D30FD0">
      <w:pPr>
        <w:pStyle w:val="FootnoteText"/>
        <w:rPr>
          <w:rFonts w:ascii="Times New Roman" w:hAnsi="Times New Roman" w:cs="Times New Roman"/>
        </w:rPr>
      </w:pPr>
      <w:r w:rsidRPr="001B62A5">
        <w:rPr>
          <w:rStyle w:val="FootnoteReference"/>
          <w:rFonts w:ascii="Times New Roman" w:hAnsi="Times New Roman" w:cs="Times New Roman"/>
        </w:rPr>
        <w:footnoteRef/>
      </w:r>
      <w:r w:rsidRPr="001B62A5">
        <w:rPr>
          <w:rFonts w:ascii="Times New Roman" w:hAnsi="Times New Roman" w:cs="Times New Roman"/>
        </w:rPr>
        <w:t xml:space="preserve"> Castleman 2013; Hippocrates Places in Men. 47</w:t>
      </w:r>
    </w:p>
  </w:footnote>
  <w:footnote w:id="2">
    <w:p w14:paraId="66076962" w14:textId="77777777" w:rsidR="00FA029C" w:rsidRPr="001B62A5" w:rsidRDefault="00FA029C" w:rsidP="00D30FD0">
      <w:pPr>
        <w:pStyle w:val="FootnoteText"/>
        <w:rPr>
          <w:rFonts w:ascii="Times New Roman" w:hAnsi="Times New Roman" w:cs="Times New Roman"/>
        </w:rPr>
      </w:pPr>
      <w:r w:rsidRPr="001B62A5">
        <w:rPr>
          <w:rStyle w:val="FootnoteReference"/>
          <w:rFonts w:ascii="Times New Roman" w:hAnsi="Times New Roman" w:cs="Times New Roman"/>
        </w:rPr>
        <w:footnoteRef/>
      </w:r>
      <w:r w:rsidRPr="001B62A5">
        <w:rPr>
          <w:rFonts w:ascii="Times New Roman" w:hAnsi="Times New Roman" w:cs="Times New Roman"/>
        </w:rPr>
        <w:t xml:space="preserve"> Hoskins 2017: 2; King 1993: 11; Reeves 2015: 54</w:t>
      </w:r>
    </w:p>
  </w:footnote>
  <w:footnote w:id="3">
    <w:p w14:paraId="4562C0F3" w14:textId="77777777" w:rsidR="00FA029C" w:rsidRPr="001B62A5" w:rsidRDefault="00FA029C" w:rsidP="00D30FD0">
      <w:pPr>
        <w:pStyle w:val="FootnoteText"/>
        <w:rPr>
          <w:rFonts w:ascii="Times New Roman" w:hAnsi="Times New Roman" w:cs="Times New Roman"/>
        </w:rPr>
      </w:pPr>
      <w:r w:rsidRPr="001B62A5">
        <w:rPr>
          <w:rStyle w:val="FootnoteReference"/>
          <w:rFonts w:ascii="Times New Roman" w:hAnsi="Times New Roman" w:cs="Times New Roman"/>
        </w:rPr>
        <w:footnoteRef/>
      </w:r>
      <w:r w:rsidRPr="001B62A5">
        <w:rPr>
          <w:rFonts w:ascii="Times New Roman" w:hAnsi="Times New Roman" w:cs="Times New Roman"/>
        </w:rPr>
        <w:t xml:space="preserve"> Castleman 2013; Hoskins 2017: 6</w:t>
      </w:r>
    </w:p>
  </w:footnote>
  <w:footnote w:id="4">
    <w:p w14:paraId="7890F6C7" w14:textId="77777777" w:rsidR="00FA029C" w:rsidRPr="001B62A5" w:rsidRDefault="00FA029C" w:rsidP="00D30FD0">
      <w:pPr>
        <w:pStyle w:val="FootnoteText"/>
        <w:rPr>
          <w:rFonts w:ascii="Times New Roman" w:hAnsi="Times New Roman" w:cs="Times New Roman"/>
        </w:rPr>
      </w:pPr>
      <w:r w:rsidRPr="001B62A5">
        <w:rPr>
          <w:rStyle w:val="FootnoteReference"/>
          <w:rFonts w:ascii="Times New Roman" w:hAnsi="Times New Roman" w:cs="Times New Roman"/>
        </w:rPr>
        <w:footnoteRef/>
      </w:r>
      <w:r w:rsidRPr="001B62A5">
        <w:rPr>
          <w:rFonts w:ascii="Times New Roman" w:hAnsi="Times New Roman" w:cs="Times New Roman"/>
        </w:rPr>
        <w:t xml:space="preserve"> </w:t>
      </w:r>
      <w:proofErr w:type="spellStart"/>
      <w:r w:rsidRPr="001B62A5">
        <w:rPr>
          <w:rFonts w:ascii="Times New Roman" w:hAnsi="Times New Roman" w:cs="Times New Roman"/>
        </w:rPr>
        <w:t>Fantham</w:t>
      </w:r>
      <w:proofErr w:type="spellEnd"/>
      <w:r w:rsidRPr="001B62A5">
        <w:rPr>
          <w:rFonts w:ascii="Times New Roman" w:hAnsi="Times New Roman" w:cs="Times New Roman"/>
        </w:rPr>
        <w:t xml:space="preserve">, Foley, </w:t>
      </w:r>
      <w:proofErr w:type="spellStart"/>
      <w:r w:rsidRPr="001B62A5">
        <w:rPr>
          <w:rFonts w:ascii="Times New Roman" w:hAnsi="Times New Roman" w:cs="Times New Roman"/>
        </w:rPr>
        <w:t>Kampen</w:t>
      </w:r>
      <w:proofErr w:type="spellEnd"/>
      <w:r w:rsidRPr="001B62A5">
        <w:rPr>
          <w:rFonts w:ascii="Times New Roman" w:hAnsi="Times New Roman" w:cs="Times New Roman"/>
        </w:rPr>
        <w:t>, Pomeroy, Shapiro 1994: 103-104; Pomeroy 1975: 79</w:t>
      </w:r>
    </w:p>
  </w:footnote>
  <w:footnote w:id="5">
    <w:p w14:paraId="6C581B97" w14:textId="77777777" w:rsidR="00FA029C" w:rsidRPr="001B62A5" w:rsidRDefault="00FA029C" w:rsidP="00D30FD0">
      <w:pPr>
        <w:pStyle w:val="FootnoteText"/>
        <w:rPr>
          <w:rFonts w:ascii="Times New Roman" w:hAnsi="Times New Roman" w:cs="Times New Roman"/>
        </w:rPr>
      </w:pPr>
      <w:r w:rsidRPr="001B62A5">
        <w:rPr>
          <w:rStyle w:val="FootnoteReference"/>
          <w:rFonts w:ascii="Times New Roman" w:hAnsi="Times New Roman" w:cs="Times New Roman"/>
        </w:rPr>
        <w:footnoteRef/>
      </w:r>
      <w:r w:rsidRPr="001B62A5">
        <w:rPr>
          <w:rFonts w:ascii="Times New Roman" w:hAnsi="Times New Roman" w:cs="Times New Roman"/>
        </w:rPr>
        <w:t xml:space="preserve"> Eur. Med. 215 - 251</w:t>
      </w:r>
    </w:p>
  </w:footnote>
  <w:footnote w:id="6">
    <w:p w14:paraId="0B274DE5" w14:textId="77777777" w:rsidR="00FA029C" w:rsidRPr="001B62A5" w:rsidRDefault="00FA029C" w:rsidP="00D30FD0">
      <w:pPr>
        <w:pStyle w:val="FootnoteText"/>
        <w:rPr>
          <w:rFonts w:ascii="Times New Roman" w:hAnsi="Times New Roman" w:cs="Times New Roman"/>
        </w:rPr>
      </w:pPr>
      <w:r w:rsidRPr="001B62A5">
        <w:rPr>
          <w:rStyle w:val="FootnoteReference"/>
          <w:rFonts w:ascii="Times New Roman" w:hAnsi="Times New Roman" w:cs="Times New Roman"/>
        </w:rPr>
        <w:footnoteRef/>
      </w:r>
      <w:r w:rsidRPr="001B62A5">
        <w:rPr>
          <w:rFonts w:ascii="Times New Roman" w:hAnsi="Times New Roman" w:cs="Times New Roman"/>
        </w:rPr>
        <w:t xml:space="preserve"> Sen. Med 1-17</w:t>
      </w:r>
    </w:p>
  </w:footnote>
  <w:footnote w:id="7">
    <w:p w14:paraId="7DE3FC2A"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Just 1989: 1</w:t>
      </w:r>
    </w:p>
  </w:footnote>
  <w:footnote w:id="8">
    <w:p w14:paraId="2E4DDD62"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Apollod</w:t>
      </w:r>
      <w:proofErr w:type="spellEnd"/>
      <w:r w:rsidRPr="005218CA">
        <w:rPr>
          <w:rFonts w:ascii="Times New Roman" w:hAnsi="Times New Roman" w:cs="Times New Roman"/>
        </w:rPr>
        <w:t xml:space="preserve">. 1.9.23; </w:t>
      </w:r>
      <w:proofErr w:type="spellStart"/>
      <w:r w:rsidRPr="005218CA">
        <w:rPr>
          <w:rFonts w:ascii="Times New Roman" w:hAnsi="Times New Roman" w:cs="Times New Roman"/>
        </w:rPr>
        <w:t>Hes</w:t>
      </w:r>
      <w:proofErr w:type="spellEnd"/>
      <w:r w:rsidRPr="005218CA">
        <w:rPr>
          <w:rFonts w:ascii="Times New Roman" w:hAnsi="Times New Roman" w:cs="Times New Roman"/>
        </w:rPr>
        <w:t xml:space="preserve">. Th. 993-994 Apollodorus labels Medea as the granddaughter of the Titan </w:t>
      </w:r>
      <w:proofErr w:type="spellStart"/>
      <w:r w:rsidRPr="005218CA">
        <w:rPr>
          <w:rFonts w:ascii="Times New Roman" w:hAnsi="Times New Roman" w:cs="Times New Roman"/>
        </w:rPr>
        <w:t>Oceanos</w:t>
      </w:r>
      <w:proofErr w:type="spellEnd"/>
      <w:r w:rsidRPr="005218CA">
        <w:rPr>
          <w:rFonts w:ascii="Times New Roman" w:hAnsi="Times New Roman" w:cs="Times New Roman"/>
        </w:rPr>
        <w:t>. Hesiod’s Theogony suggests that Jason chose to marry Medea by the will of the gods.</w:t>
      </w:r>
    </w:p>
  </w:footnote>
  <w:footnote w:id="9">
    <w:p w14:paraId="7C32B178"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Plat. Rep. 5.451b. ff.; Plat. Rep. 5.451d ‘</w:t>
      </w:r>
      <w:r w:rsidRPr="005218CA">
        <w:rPr>
          <w:rFonts w:ascii="Times New Roman" w:hAnsi="Times New Roman" w:cs="Times New Roman"/>
          <w:i/>
        </w:rPr>
        <w:t>“Do we think that female guard dogs should join in guarding whatever the males do….; or should the females stay indoors and look after the house, being incapable, owing to their producing and bring up the puppies, while the males do the hard work and have the entire care of flocks?”’</w:t>
      </w:r>
      <w:r w:rsidRPr="005218CA">
        <w:rPr>
          <w:rFonts w:ascii="Times New Roman" w:hAnsi="Times New Roman" w:cs="Times New Roman"/>
        </w:rPr>
        <w:t xml:space="preserve"> </w:t>
      </w:r>
    </w:p>
  </w:footnote>
  <w:footnote w:id="10">
    <w:p w14:paraId="3FCF43A0"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Tuana</w:t>
      </w:r>
      <w:proofErr w:type="spellEnd"/>
      <w:r w:rsidRPr="005218CA">
        <w:rPr>
          <w:rFonts w:ascii="Times New Roman" w:hAnsi="Times New Roman" w:cs="Times New Roman"/>
        </w:rPr>
        <w:t>. 1993. 3</w:t>
      </w:r>
    </w:p>
  </w:footnote>
  <w:footnote w:id="11">
    <w:p w14:paraId="0D6234DC"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Plat. Rep. 5.452a. ff.</w:t>
      </w:r>
    </w:p>
  </w:footnote>
  <w:footnote w:id="12">
    <w:p w14:paraId="0B928656"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Plat. Rep. 5.452a. ff.</w:t>
      </w:r>
    </w:p>
  </w:footnote>
  <w:footnote w:id="13">
    <w:p w14:paraId="0F383D61"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Swearingen 1992: 109</w:t>
      </w:r>
    </w:p>
  </w:footnote>
  <w:footnote w:id="14">
    <w:p w14:paraId="7B976530" w14:textId="77777777" w:rsidR="00FA029C" w:rsidRPr="005218CA" w:rsidRDefault="00FA029C" w:rsidP="00BD359F">
      <w:pPr>
        <w:pStyle w:val="FootnoteText"/>
        <w:rPr>
          <w:rFonts w:ascii="Times New Roman" w:hAnsi="Times New Roman" w:cs="Times New Roman"/>
          <w:i/>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Aristot</w:t>
      </w:r>
      <w:proofErr w:type="spellEnd"/>
      <w:r w:rsidRPr="005218CA">
        <w:rPr>
          <w:rFonts w:ascii="Times New Roman" w:hAnsi="Times New Roman" w:cs="Times New Roman"/>
        </w:rPr>
        <w:t>. Gen of Ani. 775a. ‘</w:t>
      </w:r>
      <w:r w:rsidRPr="005218CA">
        <w:rPr>
          <w:rFonts w:ascii="Times New Roman" w:hAnsi="Times New Roman" w:cs="Times New Roman"/>
          <w:i/>
        </w:rPr>
        <w:t>We should look upon the female state as being as it were a deformity, though one which occurs in the ordinary course of nature.’</w:t>
      </w:r>
    </w:p>
  </w:footnote>
  <w:footnote w:id="15">
    <w:p w14:paraId="7A11D00E"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Aristot</w:t>
      </w:r>
      <w:proofErr w:type="spellEnd"/>
      <w:r w:rsidRPr="005218CA">
        <w:rPr>
          <w:rFonts w:ascii="Times New Roman" w:hAnsi="Times New Roman" w:cs="Times New Roman"/>
        </w:rPr>
        <w:t>. Gen of Ani. 775a</w:t>
      </w:r>
    </w:p>
  </w:footnote>
  <w:footnote w:id="16">
    <w:p w14:paraId="18679F67"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Tuana</w:t>
      </w:r>
      <w:proofErr w:type="spellEnd"/>
      <w:r w:rsidRPr="005218CA">
        <w:rPr>
          <w:rFonts w:ascii="Times New Roman" w:hAnsi="Times New Roman" w:cs="Times New Roman"/>
        </w:rPr>
        <w:t>. 1993: 3</w:t>
      </w:r>
    </w:p>
  </w:footnote>
  <w:footnote w:id="17">
    <w:p w14:paraId="5A5ADEB3"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Gen. 2: 4-25; </w:t>
      </w:r>
      <w:proofErr w:type="spellStart"/>
      <w:r w:rsidRPr="005218CA">
        <w:rPr>
          <w:rFonts w:ascii="Times New Roman" w:hAnsi="Times New Roman" w:cs="Times New Roman"/>
        </w:rPr>
        <w:t>Hes</w:t>
      </w:r>
      <w:proofErr w:type="spellEnd"/>
      <w:r w:rsidRPr="005218CA">
        <w:rPr>
          <w:rFonts w:ascii="Times New Roman" w:hAnsi="Times New Roman" w:cs="Times New Roman"/>
        </w:rPr>
        <w:t xml:space="preserve">. Th. 572ff. Hesiod describes women to be </w:t>
      </w:r>
      <w:r w:rsidRPr="005218CA">
        <w:rPr>
          <w:rFonts w:ascii="Times New Roman" w:hAnsi="Times New Roman" w:cs="Times New Roman"/>
          <w:i/>
        </w:rPr>
        <w:t>“a great sorrow to them</w:t>
      </w:r>
      <w:r w:rsidRPr="005218CA">
        <w:rPr>
          <w:rFonts w:ascii="Times New Roman" w:hAnsi="Times New Roman" w:cs="Times New Roman"/>
        </w:rPr>
        <w:t xml:space="preserve"> [men]</w:t>
      </w:r>
      <w:r w:rsidRPr="005218CA">
        <w:rPr>
          <w:rFonts w:ascii="Times New Roman" w:hAnsi="Times New Roman" w:cs="Times New Roman"/>
          <w:i/>
        </w:rPr>
        <w:t>”.</w:t>
      </w:r>
    </w:p>
  </w:footnote>
  <w:footnote w:id="18">
    <w:p w14:paraId="6B1E6047" w14:textId="77777777" w:rsidR="00FA029C" w:rsidRPr="005218CA" w:rsidRDefault="00FA029C" w:rsidP="00BD359F">
      <w:pPr>
        <w:pStyle w:val="FootnoteText"/>
        <w:rPr>
          <w:rFonts w:ascii="Times New Roman" w:hAnsi="Times New Roman" w:cs="Times New Roman"/>
          <w:b/>
          <w:color w:val="FF0000"/>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Tuana</w:t>
      </w:r>
      <w:proofErr w:type="spellEnd"/>
      <w:r w:rsidRPr="005218CA">
        <w:rPr>
          <w:rFonts w:ascii="Times New Roman" w:hAnsi="Times New Roman" w:cs="Times New Roman"/>
        </w:rPr>
        <w:t xml:space="preserve">. 1993. 3ff. </w:t>
      </w:r>
    </w:p>
  </w:footnote>
  <w:footnote w:id="19">
    <w:p w14:paraId="0760692D"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Fantham</w:t>
      </w:r>
      <w:proofErr w:type="spellEnd"/>
      <w:r w:rsidRPr="005218CA">
        <w:rPr>
          <w:rFonts w:ascii="Times New Roman" w:hAnsi="Times New Roman" w:cs="Times New Roman"/>
        </w:rPr>
        <w:t xml:space="preserve">, Foley, </w:t>
      </w:r>
      <w:proofErr w:type="spellStart"/>
      <w:r w:rsidRPr="005218CA">
        <w:rPr>
          <w:rFonts w:ascii="Times New Roman" w:hAnsi="Times New Roman" w:cs="Times New Roman"/>
        </w:rPr>
        <w:t>Kampen</w:t>
      </w:r>
      <w:proofErr w:type="spellEnd"/>
      <w:r w:rsidRPr="005218CA">
        <w:rPr>
          <w:rFonts w:ascii="Times New Roman" w:hAnsi="Times New Roman" w:cs="Times New Roman"/>
        </w:rPr>
        <w:t>, Pomeroy, Shapiro 1994: 101-102; Pomeroy 1975: 79</w:t>
      </w:r>
    </w:p>
  </w:footnote>
  <w:footnote w:id="20">
    <w:p w14:paraId="18AF8DAF"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Fantham</w:t>
      </w:r>
      <w:proofErr w:type="spellEnd"/>
      <w:r w:rsidRPr="005218CA">
        <w:rPr>
          <w:rFonts w:ascii="Times New Roman" w:hAnsi="Times New Roman" w:cs="Times New Roman"/>
        </w:rPr>
        <w:t xml:space="preserve">, Foley, </w:t>
      </w:r>
      <w:proofErr w:type="spellStart"/>
      <w:r w:rsidRPr="005218CA">
        <w:rPr>
          <w:rFonts w:ascii="Times New Roman" w:hAnsi="Times New Roman" w:cs="Times New Roman"/>
        </w:rPr>
        <w:t>Kampen</w:t>
      </w:r>
      <w:proofErr w:type="spellEnd"/>
      <w:r w:rsidRPr="005218CA">
        <w:rPr>
          <w:rFonts w:ascii="Times New Roman" w:hAnsi="Times New Roman" w:cs="Times New Roman"/>
        </w:rPr>
        <w:t>, Pomeroy, Shapiro 1994: 69</w:t>
      </w:r>
    </w:p>
  </w:footnote>
  <w:footnote w:id="21">
    <w:p w14:paraId="21DB3E1B"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Fantham</w:t>
      </w:r>
      <w:proofErr w:type="spellEnd"/>
      <w:r w:rsidRPr="005218CA">
        <w:rPr>
          <w:rFonts w:ascii="Times New Roman" w:hAnsi="Times New Roman" w:cs="Times New Roman"/>
        </w:rPr>
        <w:t xml:space="preserve">, Foley, </w:t>
      </w:r>
      <w:proofErr w:type="spellStart"/>
      <w:r w:rsidRPr="005218CA">
        <w:rPr>
          <w:rFonts w:ascii="Times New Roman" w:hAnsi="Times New Roman" w:cs="Times New Roman"/>
        </w:rPr>
        <w:t>Kampen</w:t>
      </w:r>
      <w:proofErr w:type="spellEnd"/>
      <w:r w:rsidRPr="005218CA">
        <w:rPr>
          <w:rFonts w:ascii="Times New Roman" w:hAnsi="Times New Roman" w:cs="Times New Roman"/>
        </w:rPr>
        <w:t>, Pomeroy, Shapiro 1994: 69</w:t>
      </w:r>
    </w:p>
  </w:footnote>
  <w:footnote w:id="22">
    <w:p w14:paraId="72EA48E1"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Fantham</w:t>
      </w:r>
      <w:proofErr w:type="spellEnd"/>
      <w:r w:rsidRPr="005218CA">
        <w:rPr>
          <w:rFonts w:ascii="Times New Roman" w:hAnsi="Times New Roman" w:cs="Times New Roman"/>
        </w:rPr>
        <w:t xml:space="preserve">, Foley, </w:t>
      </w:r>
      <w:proofErr w:type="spellStart"/>
      <w:r w:rsidRPr="005218CA">
        <w:rPr>
          <w:rFonts w:ascii="Times New Roman" w:hAnsi="Times New Roman" w:cs="Times New Roman"/>
        </w:rPr>
        <w:t>Kampen</w:t>
      </w:r>
      <w:proofErr w:type="spellEnd"/>
      <w:r w:rsidRPr="005218CA">
        <w:rPr>
          <w:rFonts w:ascii="Times New Roman" w:hAnsi="Times New Roman" w:cs="Times New Roman"/>
        </w:rPr>
        <w:t>, Pomeroy, Shapiro 1994: 103-104; Pomeroy 1975: 79</w:t>
      </w:r>
    </w:p>
  </w:footnote>
  <w:footnote w:id="23">
    <w:p w14:paraId="20FACCFC"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Fantham</w:t>
      </w:r>
      <w:proofErr w:type="spellEnd"/>
      <w:r w:rsidRPr="005218CA">
        <w:rPr>
          <w:rFonts w:ascii="Times New Roman" w:hAnsi="Times New Roman" w:cs="Times New Roman"/>
        </w:rPr>
        <w:t xml:space="preserve">, Foley, </w:t>
      </w:r>
      <w:proofErr w:type="spellStart"/>
      <w:r w:rsidRPr="005218CA">
        <w:rPr>
          <w:rFonts w:ascii="Times New Roman" w:hAnsi="Times New Roman" w:cs="Times New Roman"/>
        </w:rPr>
        <w:t>Kampen</w:t>
      </w:r>
      <w:proofErr w:type="spellEnd"/>
      <w:r w:rsidRPr="005218CA">
        <w:rPr>
          <w:rFonts w:ascii="Times New Roman" w:hAnsi="Times New Roman" w:cs="Times New Roman"/>
        </w:rPr>
        <w:t>, Pomeroy, Shapiro 1994: 102</w:t>
      </w:r>
    </w:p>
  </w:footnote>
  <w:footnote w:id="24">
    <w:p w14:paraId="5096B317"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Tuana</w:t>
      </w:r>
      <w:proofErr w:type="spellEnd"/>
      <w:r w:rsidRPr="005218CA">
        <w:rPr>
          <w:rFonts w:ascii="Times New Roman" w:hAnsi="Times New Roman" w:cs="Times New Roman"/>
        </w:rPr>
        <w:t xml:space="preserve">. 1993. 3ff. </w:t>
      </w:r>
    </w:p>
  </w:footnote>
  <w:footnote w:id="25">
    <w:p w14:paraId="40616780"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Just 1989: 26</w:t>
      </w:r>
    </w:p>
  </w:footnote>
  <w:footnote w:id="26">
    <w:p w14:paraId="73CC73C9"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Just 1989: 26; Pomeroy 1975: 62; Hoskins 2018: 1</w:t>
      </w:r>
    </w:p>
  </w:footnote>
  <w:footnote w:id="27">
    <w:p w14:paraId="0582E181"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Just 1989: 26; Hoskins 2018: 1</w:t>
      </w:r>
    </w:p>
  </w:footnote>
  <w:footnote w:id="28">
    <w:p w14:paraId="0911D288"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Just 1989: 26</w:t>
      </w:r>
    </w:p>
  </w:footnote>
  <w:footnote w:id="29">
    <w:p w14:paraId="0BC65585"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Just 1989: 26</w:t>
      </w:r>
    </w:p>
  </w:footnote>
  <w:footnote w:id="30">
    <w:p w14:paraId="52CB85F0" w14:textId="77777777" w:rsidR="00FA029C" w:rsidRDefault="00FA029C" w:rsidP="00BD359F">
      <w:pPr>
        <w:pStyle w:val="FootnoteText"/>
      </w:pPr>
      <w:r>
        <w:rPr>
          <w:rStyle w:val="FootnoteReference"/>
        </w:rPr>
        <w:footnoteRef/>
      </w:r>
      <w:r>
        <w:t xml:space="preserve"> </w:t>
      </w:r>
      <w:proofErr w:type="spellStart"/>
      <w:r w:rsidRPr="005218CA">
        <w:rPr>
          <w:rFonts w:ascii="Times New Roman" w:hAnsi="Times New Roman" w:cs="Times New Roman"/>
        </w:rPr>
        <w:t>Keuls</w:t>
      </w:r>
      <w:proofErr w:type="spellEnd"/>
      <w:r w:rsidRPr="005218CA">
        <w:rPr>
          <w:rFonts w:ascii="Times New Roman" w:hAnsi="Times New Roman" w:cs="Times New Roman"/>
        </w:rPr>
        <w:t xml:space="preserve"> 1985: 101</w:t>
      </w:r>
    </w:p>
  </w:footnote>
  <w:footnote w:id="31">
    <w:p w14:paraId="64DE31FC" w14:textId="77777777" w:rsidR="00FA029C" w:rsidRDefault="00FA029C" w:rsidP="00BD359F">
      <w:pPr>
        <w:pStyle w:val="FootnoteText"/>
      </w:pPr>
      <w:r>
        <w:rPr>
          <w:rStyle w:val="FootnoteReference"/>
        </w:rPr>
        <w:footnoteRef/>
      </w:r>
      <w:r>
        <w:t xml:space="preserve"> </w:t>
      </w:r>
      <w:r w:rsidRPr="005218CA">
        <w:rPr>
          <w:rFonts w:ascii="Times New Roman" w:hAnsi="Times New Roman" w:cs="Times New Roman"/>
        </w:rPr>
        <w:t>Just 1989: 26-7</w:t>
      </w:r>
    </w:p>
  </w:footnote>
  <w:footnote w:id="32">
    <w:p w14:paraId="3B307CAB"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Just 1989: 26-7</w:t>
      </w:r>
    </w:p>
  </w:footnote>
  <w:footnote w:id="33">
    <w:p w14:paraId="4E2B8A15"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Just 1989: 27</w:t>
      </w:r>
    </w:p>
  </w:footnote>
  <w:footnote w:id="34">
    <w:p w14:paraId="775D18EC"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Just 1989: 26</w:t>
      </w:r>
    </w:p>
  </w:footnote>
  <w:footnote w:id="35">
    <w:p w14:paraId="49921902"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Pomeroy 1975: 57</w:t>
      </w:r>
    </w:p>
  </w:footnote>
  <w:footnote w:id="36">
    <w:p w14:paraId="04D64490"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Pomeroy 1975: 57</w:t>
      </w:r>
    </w:p>
  </w:footnote>
  <w:footnote w:id="37">
    <w:p w14:paraId="2B10EBD5"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Just 1989: 28; </w:t>
      </w:r>
      <w:proofErr w:type="spellStart"/>
      <w:r w:rsidRPr="005218CA">
        <w:rPr>
          <w:rFonts w:ascii="Times New Roman" w:hAnsi="Times New Roman" w:cs="Times New Roman"/>
        </w:rPr>
        <w:t>Isaeus</w:t>
      </w:r>
      <w:proofErr w:type="spellEnd"/>
      <w:r w:rsidRPr="005218CA">
        <w:rPr>
          <w:rFonts w:ascii="Times New Roman" w:hAnsi="Times New Roman" w:cs="Times New Roman"/>
        </w:rPr>
        <w:t xml:space="preserve"> 6; </w:t>
      </w:r>
      <w:proofErr w:type="spellStart"/>
      <w:r w:rsidRPr="005218CA">
        <w:rPr>
          <w:rFonts w:ascii="Times New Roman" w:hAnsi="Times New Roman" w:cs="Times New Roman"/>
        </w:rPr>
        <w:t>Isaeus</w:t>
      </w:r>
      <w:proofErr w:type="spellEnd"/>
      <w:r w:rsidRPr="005218CA">
        <w:rPr>
          <w:rFonts w:ascii="Times New Roman" w:hAnsi="Times New Roman" w:cs="Times New Roman"/>
        </w:rPr>
        <w:t xml:space="preserve"> 7. The lack of personal names mentioned for the women involved in these court proceedings, gives them a lack of personal identity, and shows them more the objects of their families.</w:t>
      </w:r>
    </w:p>
  </w:footnote>
  <w:footnote w:id="38">
    <w:p w14:paraId="4334019A"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Isaeus</w:t>
      </w:r>
      <w:proofErr w:type="spellEnd"/>
      <w:r w:rsidRPr="005218CA">
        <w:rPr>
          <w:rFonts w:ascii="Times New Roman" w:hAnsi="Times New Roman" w:cs="Times New Roman"/>
        </w:rPr>
        <w:t xml:space="preserve"> 6</w:t>
      </w:r>
    </w:p>
  </w:footnote>
  <w:footnote w:id="39">
    <w:p w14:paraId="3D2E45C4"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Isaeus</w:t>
      </w:r>
      <w:proofErr w:type="spellEnd"/>
      <w:r w:rsidRPr="005218CA">
        <w:rPr>
          <w:rFonts w:ascii="Times New Roman" w:hAnsi="Times New Roman" w:cs="Times New Roman"/>
        </w:rPr>
        <w:t xml:space="preserve"> 7</w:t>
      </w:r>
    </w:p>
  </w:footnote>
  <w:footnote w:id="40">
    <w:p w14:paraId="33373B5B"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Just 1989: 29</w:t>
      </w:r>
    </w:p>
  </w:footnote>
  <w:footnote w:id="41">
    <w:p w14:paraId="68ECF303"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Just 1989: 29; </w:t>
      </w:r>
      <w:proofErr w:type="spellStart"/>
      <w:r w:rsidRPr="005218CA">
        <w:rPr>
          <w:rFonts w:ascii="Times New Roman" w:hAnsi="Times New Roman" w:cs="Times New Roman"/>
        </w:rPr>
        <w:t>Isaeus</w:t>
      </w:r>
      <w:proofErr w:type="spellEnd"/>
      <w:r w:rsidRPr="005218CA">
        <w:rPr>
          <w:rFonts w:ascii="Times New Roman" w:hAnsi="Times New Roman" w:cs="Times New Roman"/>
        </w:rPr>
        <w:t>: xiii</w:t>
      </w:r>
    </w:p>
  </w:footnote>
  <w:footnote w:id="42">
    <w:p w14:paraId="6533BBF0"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Keuls</w:t>
      </w:r>
      <w:proofErr w:type="spellEnd"/>
      <w:r w:rsidRPr="005218CA">
        <w:rPr>
          <w:rFonts w:ascii="Times New Roman" w:hAnsi="Times New Roman" w:cs="Times New Roman"/>
        </w:rPr>
        <w:t xml:space="preserve"> 1985: 101</w:t>
      </w:r>
    </w:p>
  </w:footnote>
  <w:footnote w:id="43">
    <w:p w14:paraId="0CBDDE14"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Keuls</w:t>
      </w:r>
      <w:proofErr w:type="spellEnd"/>
      <w:r w:rsidRPr="005218CA">
        <w:rPr>
          <w:rFonts w:ascii="Times New Roman" w:hAnsi="Times New Roman" w:cs="Times New Roman"/>
        </w:rPr>
        <w:t xml:space="preserve"> 1985: 101</w:t>
      </w:r>
    </w:p>
  </w:footnote>
  <w:footnote w:id="44">
    <w:p w14:paraId="6AFD4A5A"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Keuls</w:t>
      </w:r>
      <w:proofErr w:type="spellEnd"/>
      <w:r w:rsidRPr="005218CA">
        <w:rPr>
          <w:rFonts w:ascii="Times New Roman" w:hAnsi="Times New Roman" w:cs="Times New Roman"/>
        </w:rPr>
        <w:t xml:space="preserve"> 1985: 101</w:t>
      </w:r>
    </w:p>
  </w:footnote>
  <w:footnote w:id="45">
    <w:p w14:paraId="121A5B87" w14:textId="77777777" w:rsidR="00FA029C" w:rsidRDefault="00FA029C" w:rsidP="00BD359F">
      <w:pPr>
        <w:pStyle w:val="FootnoteText"/>
      </w:pPr>
      <w:r>
        <w:rPr>
          <w:rStyle w:val="FootnoteReference"/>
        </w:rPr>
        <w:footnoteRef/>
      </w:r>
      <w:r>
        <w:t xml:space="preserve"> </w:t>
      </w:r>
      <w:proofErr w:type="spellStart"/>
      <w:r w:rsidRPr="005218CA">
        <w:rPr>
          <w:rFonts w:ascii="Times New Roman" w:hAnsi="Times New Roman" w:cs="Times New Roman"/>
        </w:rPr>
        <w:t>Keuls</w:t>
      </w:r>
      <w:proofErr w:type="spellEnd"/>
      <w:r w:rsidRPr="005218CA">
        <w:rPr>
          <w:rFonts w:ascii="Times New Roman" w:hAnsi="Times New Roman" w:cs="Times New Roman"/>
        </w:rPr>
        <w:t xml:space="preserve"> 1985: 101</w:t>
      </w:r>
    </w:p>
  </w:footnote>
  <w:footnote w:id="46">
    <w:p w14:paraId="18361533"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w:t>
      </w:r>
      <w:proofErr w:type="spellStart"/>
      <w:r w:rsidRPr="005218CA">
        <w:rPr>
          <w:rFonts w:ascii="Times New Roman" w:hAnsi="Times New Roman" w:cs="Times New Roman"/>
        </w:rPr>
        <w:t>Keuls</w:t>
      </w:r>
      <w:proofErr w:type="spellEnd"/>
      <w:r w:rsidRPr="005218CA">
        <w:rPr>
          <w:rFonts w:ascii="Times New Roman" w:hAnsi="Times New Roman" w:cs="Times New Roman"/>
        </w:rPr>
        <w:t xml:space="preserve"> 1985: 101</w:t>
      </w:r>
    </w:p>
  </w:footnote>
  <w:footnote w:id="47">
    <w:p w14:paraId="6DD8001E"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Pomeroy 1975: 58</w:t>
      </w:r>
    </w:p>
  </w:footnote>
  <w:footnote w:id="48">
    <w:p w14:paraId="128980C1" w14:textId="77777777" w:rsidR="00FA029C" w:rsidRPr="005218CA" w:rsidRDefault="00FA029C" w:rsidP="00BD359F">
      <w:pPr>
        <w:pStyle w:val="FootnoteText"/>
        <w:rPr>
          <w:rFonts w:ascii="Times New Roman" w:hAnsi="Times New Roman" w:cs="Times New Roman"/>
        </w:rPr>
      </w:pPr>
      <w:r w:rsidRPr="005218CA">
        <w:rPr>
          <w:rStyle w:val="FootnoteReference"/>
          <w:rFonts w:ascii="Times New Roman" w:hAnsi="Times New Roman" w:cs="Times New Roman"/>
        </w:rPr>
        <w:footnoteRef/>
      </w:r>
      <w:r w:rsidRPr="005218CA">
        <w:rPr>
          <w:rFonts w:ascii="Times New Roman" w:hAnsi="Times New Roman" w:cs="Times New Roman"/>
        </w:rPr>
        <w:t xml:space="preserve"> Pomeroy 1975: 58</w:t>
      </w:r>
    </w:p>
  </w:footnote>
  <w:footnote w:id="49">
    <w:p w14:paraId="401D1759"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Eur. Med. 36-48</w:t>
      </w:r>
    </w:p>
  </w:footnote>
  <w:footnote w:id="50">
    <w:p w14:paraId="371583C1"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Griffiths 2006: 72</w:t>
      </w:r>
    </w:p>
  </w:footnote>
  <w:footnote w:id="51">
    <w:p w14:paraId="4F6C5575"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Griffiths 2006: 41; </w:t>
      </w:r>
      <w:proofErr w:type="spellStart"/>
      <w:r w:rsidRPr="0033167A">
        <w:rPr>
          <w:rFonts w:ascii="Times New Roman" w:hAnsi="Times New Roman" w:cs="Times New Roman"/>
        </w:rPr>
        <w:t>Ov</w:t>
      </w:r>
      <w:proofErr w:type="spellEnd"/>
      <w:r w:rsidRPr="0033167A">
        <w:rPr>
          <w:rFonts w:ascii="Times New Roman" w:hAnsi="Times New Roman" w:cs="Times New Roman"/>
        </w:rPr>
        <w:t>. Met. 7.145ff. Ovid is particularly fond of the image of Medea, and she is seen often in his Metamorphoses using witchcraft.</w:t>
      </w:r>
    </w:p>
  </w:footnote>
  <w:footnote w:id="52">
    <w:p w14:paraId="0A175B40"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1.9.16ff.</w:t>
      </w:r>
    </w:p>
  </w:footnote>
  <w:footnote w:id="53">
    <w:p w14:paraId="3D144F63"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1.9.23</w:t>
      </w:r>
    </w:p>
  </w:footnote>
  <w:footnote w:id="54">
    <w:p w14:paraId="4F365817"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1.9.23</w:t>
      </w:r>
    </w:p>
  </w:footnote>
  <w:footnote w:id="55">
    <w:p w14:paraId="72DE3D00"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1.9.23</w:t>
      </w:r>
    </w:p>
  </w:footnote>
  <w:footnote w:id="56">
    <w:p w14:paraId="52D71040"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xml:space="preserve">. 1.9.23; </w:t>
      </w:r>
      <w:proofErr w:type="spellStart"/>
      <w:r w:rsidRPr="0033167A">
        <w:rPr>
          <w:rFonts w:ascii="Times New Roman" w:hAnsi="Times New Roman" w:cs="Times New Roman"/>
        </w:rPr>
        <w:t>Ov</w:t>
      </w:r>
      <w:proofErr w:type="spellEnd"/>
      <w:r w:rsidRPr="0033167A">
        <w:rPr>
          <w:rFonts w:ascii="Times New Roman" w:hAnsi="Times New Roman" w:cs="Times New Roman"/>
        </w:rPr>
        <w:t>. Met. 7.94-99</w:t>
      </w:r>
    </w:p>
  </w:footnote>
  <w:footnote w:id="57">
    <w:p w14:paraId="1F974CC8"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xml:space="preserve">. 1.9.24; </w:t>
      </w:r>
      <w:proofErr w:type="spellStart"/>
      <w:r w:rsidRPr="0033167A">
        <w:rPr>
          <w:rFonts w:ascii="Times New Roman" w:hAnsi="Times New Roman" w:cs="Times New Roman"/>
        </w:rPr>
        <w:t>Hes</w:t>
      </w:r>
      <w:proofErr w:type="spellEnd"/>
      <w:r w:rsidRPr="0033167A">
        <w:rPr>
          <w:rFonts w:ascii="Times New Roman" w:hAnsi="Times New Roman" w:cs="Times New Roman"/>
        </w:rPr>
        <w:t xml:space="preserve">. Th. 992-994. Hesiod’s version of Jason leaving Colchis with the Golden Fleece, does not mention Medea’s involvement with the plot. The author only mentions Medea being taken from Colchis, under </w:t>
      </w:r>
      <w:proofErr w:type="spellStart"/>
      <w:r w:rsidRPr="0033167A">
        <w:rPr>
          <w:rFonts w:ascii="Times New Roman" w:hAnsi="Times New Roman" w:cs="Times New Roman"/>
        </w:rPr>
        <w:t>Aietes</w:t>
      </w:r>
      <w:proofErr w:type="spellEnd"/>
      <w:r w:rsidRPr="0033167A">
        <w:rPr>
          <w:rFonts w:ascii="Times New Roman" w:hAnsi="Times New Roman" w:cs="Times New Roman"/>
        </w:rPr>
        <w:t>’ eyes, and presumable without his permission. It does not seem clear within this text as to whether Medea left with Jason willingly.</w:t>
      </w:r>
    </w:p>
  </w:footnote>
  <w:footnote w:id="58">
    <w:p w14:paraId="0A694CDB"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1.9.24</w:t>
      </w:r>
    </w:p>
  </w:footnote>
  <w:footnote w:id="59">
    <w:p w14:paraId="04B629E1"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1.9.24</w:t>
      </w:r>
    </w:p>
  </w:footnote>
  <w:footnote w:id="60">
    <w:p w14:paraId="5B7158AE"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1.9.24</w:t>
      </w:r>
    </w:p>
  </w:footnote>
  <w:footnote w:id="61">
    <w:p w14:paraId="2663F10A"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1.9.27</w:t>
      </w:r>
    </w:p>
  </w:footnote>
  <w:footnote w:id="62">
    <w:p w14:paraId="6322E0B3"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1.9.27</w:t>
      </w:r>
    </w:p>
  </w:footnote>
  <w:footnote w:id="63">
    <w:p w14:paraId="4C132B96"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1.9.27</w:t>
      </w:r>
    </w:p>
  </w:footnote>
  <w:footnote w:id="64">
    <w:p w14:paraId="167BFD4D"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1.9.27</w:t>
      </w:r>
    </w:p>
  </w:footnote>
  <w:footnote w:id="65">
    <w:p w14:paraId="2DB1245A"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1.9.27</w:t>
      </w:r>
    </w:p>
  </w:footnote>
  <w:footnote w:id="66">
    <w:p w14:paraId="7FCC5F11"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1.9.27</w:t>
      </w:r>
    </w:p>
  </w:footnote>
  <w:footnote w:id="67">
    <w:p w14:paraId="5E680F3A"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Griffiths 2006: 97</w:t>
      </w:r>
    </w:p>
  </w:footnote>
  <w:footnote w:id="68">
    <w:p w14:paraId="591D0E3E"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Griffiths 2006: 97</w:t>
      </w:r>
    </w:p>
  </w:footnote>
  <w:footnote w:id="69">
    <w:p w14:paraId="4AB8491F"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Griffiths 2006: 97</w:t>
      </w:r>
    </w:p>
  </w:footnote>
  <w:footnote w:id="70">
    <w:p w14:paraId="1ADA19FB"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Allan 2002: 81</w:t>
      </w:r>
    </w:p>
  </w:footnote>
  <w:footnote w:id="71">
    <w:p w14:paraId="3C23855B"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Apollod</w:t>
      </w:r>
      <w:proofErr w:type="spellEnd"/>
      <w:r w:rsidRPr="0033167A">
        <w:rPr>
          <w:rFonts w:ascii="Times New Roman" w:hAnsi="Times New Roman" w:cs="Times New Roman"/>
        </w:rPr>
        <w:t xml:space="preserve">. 1.9.23; </w:t>
      </w:r>
      <w:proofErr w:type="spellStart"/>
      <w:r w:rsidRPr="0033167A">
        <w:rPr>
          <w:rFonts w:ascii="Times New Roman" w:hAnsi="Times New Roman" w:cs="Times New Roman"/>
        </w:rPr>
        <w:t>Ov</w:t>
      </w:r>
      <w:proofErr w:type="spellEnd"/>
      <w:r w:rsidRPr="0033167A">
        <w:rPr>
          <w:rFonts w:ascii="Times New Roman" w:hAnsi="Times New Roman" w:cs="Times New Roman"/>
        </w:rPr>
        <w:t>. Met. 7.94-99</w:t>
      </w:r>
    </w:p>
  </w:footnote>
  <w:footnote w:id="72">
    <w:p w14:paraId="39BFBF5D"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Eur. Med. 475-482</w:t>
      </w:r>
    </w:p>
  </w:footnote>
  <w:footnote w:id="73">
    <w:p w14:paraId="0C1D1B52"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Eur. Med. 485-487; </w:t>
      </w:r>
      <w:proofErr w:type="spellStart"/>
      <w:r w:rsidRPr="0033167A">
        <w:rPr>
          <w:rFonts w:ascii="Times New Roman" w:hAnsi="Times New Roman" w:cs="Times New Roman"/>
        </w:rPr>
        <w:t>Ov</w:t>
      </w:r>
      <w:proofErr w:type="spellEnd"/>
      <w:r w:rsidRPr="0033167A">
        <w:rPr>
          <w:rFonts w:ascii="Times New Roman" w:hAnsi="Times New Roman" w:cs="Times New Roman"/>
        </w:rPr>
        <w:t>. Met. 297ff.</w:t>
      </w:r>
    </w:p>
  </w:footnote>
  <w:footnote w:id="74">
    <w:p w14:paraId="53ADC5AC"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Sen. Med. 453ff.; Eur. Med. 499ff.</w:t>
      </w:r>
    </w:p>
  </w:footnote>
  <w:footnote w:id="75">
    <w:p w14:paraId="4C8529C1"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Eur. Med. 499ff.</w:t>
      </w:r>
    </w:p>
  </w:footnote>
  <w:footnote w:id="76">
    <w:p w14:paraId="2B9FBBE3"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Sen. Med. 453ff.</w:t>
      </w:r>
    </w:p>
  </w:footnote>
  <w:footnote w:id="77">
    <w:p w14:paraId="29F7C716"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Kovacs 1994: 288</w:t>
      </w:r>
    </w:p>
  </w:footnote>
  <w:footnote w:id="78">
    <w:p w14:paraId="219D65BE"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Sen. Med. 431ff.; Eur. Med. 446ff.</w:t>
      </w:r>
    </w:p>
  </w:footnote>
  <w:footnote w:id="79">
    <w:p w14:paraId="2E550031"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Sen. Med. 17-18; Eur. Med. 364ff. Euripides’ version tells of Medea plotting to kill Jason along with his new family.</w:t>
      </w:r>
    </w:p>
  </w:footnote>
  <w:footnote w:id="80">
    <w:p w14:paraId="0DF52D4C"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Eur. Med 1236ff.; Sen. Med. 916ff.</w:t>
      </w:r>
    </w:p>
  </w:footnote>
  <w:footnote w:id="81">
    <w:p w14:paraId="11D779C1"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Sen. Med. 916ff. During this extract, Medea seems to have turned to speaking of herself in second person.</w:t>
      </w:r>
    </w:p>
  </w:footnote>
  <w:footnote w:id="82">
    <w:p w14:paraId="12669CFC"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Sen. Med. 1022-1025</w:t>
      </w:r>
      <w:r>
        <w:rPr>
          <w:rFonts w:ascii="Times New Roman" w:hAnsi="Times New Roman" w:cs="Times New Roman"/>
        </w:rPr>
        <w:t>; Eur. Med. 1320ff.</w:t>
      </w:r>
    </w:p>
  </w:footnote>
  <w:footnote w:id="83">
    <w:p w14:paraId="05A1280C"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Eur. Med. 1361-1362</w:t>
      </w:r>
    </w:p>
  </w:footnote>
  <w:footnote w:id="84">
    <w:p w14:paraId="128A0631"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Eur. Med. 1361ff.</w:t>
      </w:r>
    </w:p>
  </w:footnote>
  <w:footnote w:id="85">
    <w:p w14:paraId="541C3142" w14:textId="77777777" w:rsidR="00FA029C" w:rsidRPr="0033167A" w:rsidRDefault="00FA029C" w:rsidP="00F5401E">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Sen. Med. 1019-1025</w:t>
      </w:r>
    </w:p>
  </w:footnote>
  <w:footnote w:id="86">
    <w:p w14:paraId="2CAE5162"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Dmytriw</w:t>
      </w:r>
      <w:proofErr w:type="spellEnd"/>
      <w:r w:rsidRPr="0033167A">
        <w:rPr>
          <w:rFonts w:ascii="Times New Roman" w:hAnsi="Times New Roman" w:cs="Times New Roman"/>
        </w:rPr>
        <w:t xml:space="preserve"> 2014: 44-45</w:t>
      </w:r>
    </w:p>
  </w:footnote>
  <w:footnote w:id="87">
    <w:p w14:paraId="3674E9DB"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Dmytriw</w:t>
      </w:r>
      <w:proofErr w:type="spellEnd"/>
      <w:r w:rsidRPr="0033167A">
        <w:rPr>
          <w:rFonts w:ascii="Times New Roman" w:hAnsi="Times New Roman" w:cs="Times New Roman"/>
        </w:rPr>
        <w:t xml:space="preserve"> 2014: 44</w:t>
      </w:r>
    </w:p>
  </w:footnote>
  <w:footnote w:id="88">
    <w:p w14:paraId="3E3C3473"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Hippocrates Places in Men. 47</w:t>
      </w:r>
    </w:p>
  </w:footnote>
  <w:footnote w:id="89">
    <w:p w14:paraId="26B4FAF8"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Hippocrates Nature of Women. 3ff.; </w:t>
      </w:r>
      <w:proofErr w:type="spellStart"/>
      <w:r w:rsidRPr="0033167A">
        <w:rPr>
          <w:rFonts w:ascii="Times New Roman" w:hAnsi="Times New Roman" w:cs="Times New Roman"/>
        </w:rPr>
        <w:t>Faraone</w:t>
      </w:r>
      <w:proofErr w:type="spellEnd"/>
      <w:r w:rsidRPr="0033167A">
        <w:rPr>
          <w:rFonts w:ascii="Times New Roman" w:hAnsi="Times New Roman" w:cs="Times New Roman"/>
        </w:rPr>
        <w:t xml:space="preserve"> 2011: 1</w:t>
      </w:r>
    </w:p>
  </w:footnote>
  <w:footnote w:id="90">
    <w:p w14:paraId="080CB1BF"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Dmytriw</w:t>
      </w:r>
      <w:proofErr w:type="spellEnd"/>
      <w:r w:rsidRPr="0033167A">
        <w:rPr>
          <w:rFonts w:ascii="Times New Roman" w:hAnsi="Times New Roman" w:cs="Times New Roman"/>
        </w:rPr>
        <w:t xml:space="preserve"> 2014: 45</w:t>
      </w:r>
    </w:p>
  </w:footnote>
  <w:footnote w:id="91">
    <w:p w14:paraId="6A0BA1F5"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Reeves 2015: 54</w:t>
      </w:r>
    </w:p>
  </w:footnote>
  <w:footnote w:id="92">
    <w:p w14:paraId="5B512F56"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Reeves 2015: 54</w:t>
      </w:r>
    </w:p>
  </w:footnote>
  <w:footnote w:id="93">
    <w:p w14:paraId="5491CF55"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Reeves 2015: 54</w:t>
      </w:r>
    </w:p>
  </w:footnote>
  <w:footnote w:id="94">
    <w:p w14:paraId="1F704EDB" w14:textId="44F4ED7B" w:rsidR="00A83AD3" w:rsidRDefault="00A83AD3">
      <w:pPr>
        <w:pStyle w:val="FootnoteText"/>
      </w:pPr>
      <w:r>
        <w:rPr>
          <w:rStyle w:val="FootnoteReference"/>
        </w:rPr>
        <w:footnoteRef/>
      </w:r>
      <w:r>
        <w:t xml:space="preserve"> </w:t>
      </w:r>
      <w:r w:rsidRPr="001B62A5">
        <w:rPr>
          <w:rFonts w:ascii="Times New Roman" w:hAnsi="Times New Roman" w:cs="Times New Roman"/>
        </w:rPr>
        <w:t>Hippocrates Places in Men. 47</w:t>
      </w:r>
      <w:r>
        <w:rPr>
          <w:rFonts w:ascii="Times New Roman" w:hAnsi="Times New Roman" w:cs="Times New Roman"/>
        </w:rPr>
        <w:t>; Hippocrates Nature of Women</w:t>
      </w:r>
      <w:r w:rsidR="004457E5">
        <w:rPr>
          <w:rFonts w:ascii="Times New Roman" w:hAnsi="Times New Roman" w:cs="Times New Roman"/>
        </w:rPr>
        <w:t>.</w:t>
      </w:r>
    </w:p>
  </w:footnote>
  <w:footnote w:id="95">
    <w:p w14:paraId="78CBC897"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Hippocrates Nature of Women. 3ff.</w:t>
      </w:r>
    </w:p>
  </w:footnote>
  <w:footnote w:id="96">
    <w:p w14:paraId="3CDB4B75"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Hippocrates Nature of Women. 3ff.</w:t>
      </w:r>
    </w:p>
  </w:footnote>
  <w:footnote w:id="97">
    <w:p w14:paraId="43EA920F"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Hippocrates Nature of Women. 4ff. Admittedly, in this instance I am unable to tell whether the uterus visibly exits the body, or whether it is visible as a protruding lump of some kind.</w:t>
      </w:r>
    </w:p>
  </w:footnote>
  <w:footnote w:id="98">
    <w:p w14:paraId="18F21907"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Hippocrates Nature of Woman. 3ff.</w:t>
      </w:r>
    </w:p>
  </w:footnote>
  <w:footnote w:id="99">
    <w:p w14:paraId="1AB6D146"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Hippocrates Nature of Woman. 3ff.</w:t>
      </w:r>
    </w:p>
  </w:footnote>
  <w:footnote w:id="100">
    <w:p w14:paraId="3497AED4" w14:textId="14431F24" w:rsidR="004457E5" w:rsidRDefault="004457E5">
      <w:pPr>
        <w:pStyle w:val="FootnoteText"/>
      </w:pPr>
      <w:r>
        <w:rPr>
          <w:rStyle w:val="FootnoteReference"/>
        </w:rPr>
        <w:footnoteRef/>
      </w:r>
      <w:r>
        <w:t xml:space="preserve"> </w:t>
      </w:r>
      <w:r w:rsidRPr="0033167A">
        <w:rPr>
          <w:rFonts w:ascii="Times New Roman" w:hAnsi="Times New Roman" w:cs="Times New Roman"/>
        </w:rPr>
        <w:t>Hippocrates Nature of Woman. 3ff.</w:t>
      </w:r>
    </w:p>
  </w:footnote>
  <w:footnote w:id="101">
    <w:p w14:paraId="728738F4"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Plat. Tim. 91b-d</w:t>
      </w:r>
    </w:p>
  </w:footnote>
  <w:footnote w:id="102">
    <w:p w14:paraId="48A0D044"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Plat. Tim. 91b-d</w:t>
      </w:r>
    </w:p>
  </w:footnote>
  <w:footnote w:id="103">
    <w:p w14:paraId="5C62A2A2"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Plat. Tim. 91b-d; Hippocrates Nature of Woman. 3ff</w:t>
      </w:r>
    </w:p>
  </w:footnote>
  <w:footnote w:id="104">
    <w:p w14:paraId="4F060A33"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Plat. Tim. 91b-d</w:t>
      </w:r>
    </w:p>
  </w:footnote>
  <w:footnote w:id="105">
    <w:p w14:paraId="35C22F34"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Porter 2002: 189</w:t>
      </w:r>
    </w:p>
  </w:footnote>
  <w:footnote w:id="106">
    <w:p w14:paraId="7599AE36"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Porter 2002: 189</w:t>
      </w:r>
    </w:p>
  </w:footnote>
  <w:footnote w:id="107">
    <w:p w14:paraId="23BD4308"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Porter 2002: 189</w:t>
      </w:r>
    </w:p>
  </w:footnote>
  <w:footnote w:id="108">
    <w:p w14:paraId="2EC155A9"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Porter 2002: 189</w:t>
      </w:r>
    </w:p>
  </w:footnote>
  <w:footnote w:id="109">
    <w:p w14:paraId="4A00005F"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Porter 2002: 190</w:t>
      </w:r>
    </w:p>
  </w:footnote>
  <w:footnote w:id="110">
    <w:p w14:paraId="7D1B1D64"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Porter 2002: 190</w:t>
      </w:r>
    </w:p>
  </w:footnote>
  <w:footnote w:id="111">
    <w:p w14:paraId="14438037"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Porter 2002: 190</w:t>
      </w:r>
    </w:p>
  </w:footnote>
  <w:footnote w:id="112">
    <w:p w14:paraId="7C9A6D42"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Castleman 2013; Hoskins 2017: 5</w:t>
      </w:r>
    </w:p>
  </w:footnote>
  <w:footnote w:id="113">
    <w:p w14:paraId="4B5E6E6B"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Castleman 2013; Hoskins 2017: 5</w:t>
      </w:r>
    </w:p>
  </w:footnote>
  <w:footnote w:id="114">
    <w:p w14:paraId="00BED904"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Castleman 2013</w:t>
      </w:r>
    </w:p>
  </w:footnote>
  <w:footnote w:id="115">
    <w:p w14:paraId="34980F46"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Castleman 2013; Hoskins 2017: 5</w:t>
      </w:r>
    </w:p>
  </w:footnote>
  <w:footnote w:id="116">
    <w:p w14:paraId="488EB956"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Castleman 2013; Hoskins 2017: 4</w:t>
      </w:r>
    </w:p>
  </w:footnote>
  <w:footnote w:id="117">
    <w:p w14:paraId="2668F378"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Castleman 2013; Hoskins 2017: 4</w:t>
      </w:r>
    </w:p>
  </w:footnote>
  <w:footnote w:id="118">
    <w:p w14:paraId="23510EDF"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Castleman 2013: Hoskins 2017: 6</w:t>
      </w:r>
    </w:p>
  </w:footnote>
  <w:footnote w:id="119">
    <w:p w14:paraId="77B45767"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Castleman 2013</w:t>
      </w:r>
    </w:p>
  </w:footnote>
  <w:footnote w:id="120">
    <w:p w14:paraId="5C89F4D1"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Temkin 1971: 353-354</w:t>
      </w:r>
    </w:p>
  </w:footnote>
  <w:footnote w:id="121">
    <w:p w14:paraId="3381CD12"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Temkin 1971: xi</w:t>
      </w:r>
    </w:p>
  </w:footnote>
  <w:footnote w:id="122">
    <w:p w14:paraId="15A4E889"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Temkin 1971: 354</w:t>
      </w:r>
    </w:p>
  </w:footnote>
  <w:footnote w:id="123">
    <w:p w14:paraId="72797DB3"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Temkin 1971: 355</w:t>
      </w:r>
    </w:p>
  </w:footnote>
  <w:footnote w:id="124">
    <w:p w14:paraId="39D82321"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Temkin 1971: 355</w:t>
      </w:r>
    </w:p>
  </w:footnote>
  <w:footnote w:id="125">
    <w:p w14:paraId="33C8806E"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Temkin 1971: 355</w:t>
      </w:r>
    </w:p>
  </w:footnote>
  <w:footnote w:id="126">
    <w:p w14:paraId="2DF3D4D4"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Temkin 1971: 354</w:t>
      </w:r>
    </w:p>
  </w:footnote>
  <w:footnote w:id="127">
    <w:p w14:paraId="7E388CD2"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CalmClinic</w:t>
      </w:r>
      <w:proofErr w:type="spellEnd"/>
      <w:r w:rsidRPr="0033167A">
        <w:rPr>
          <w:rFonts w:ascii="Times New Roman" w:hAnsi="Times New Roman" w:cs="Times New Roman"/>
        </w:rPr>
        <w:t xml:space="preserve"> 2009-2018</w:t>
      </w:r>
    </w:p>
  </w:footnote>
  <w:footnote w:id="128">
    <w:p w14:paraId="5A7F6340" w14:textId="1FAC6396"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CalmClinic</w:t>
      </w:r>
      <w:proofErr w:type="spellEnd"/>
      <w:r w:rsidRPr="0033167A">
        <w:rPr>
          <w:rFonts w:ascii="Times New Roman" w:hAnsi="Times New Roman" w:cs="Times New Roman"/>
        </w:rPr>
        <w:t xml:space="preserve"> 2009-2018</w:t>
      </w:r>
      <w:r>
        <w:rPr>
          <w:rFonts w:ascii="Times New Roman" w:hAnsi="Times New Roman" w:cs="Times New Roman"/>
        </w:rPr>
        <w:t>; Hoskins 2017: 1</w:t>
      </w:r>
    </w:p>
  </w:footnote>
  <w:footnote w:id="129">
    <w:p w14:paraId="640F7DF7"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CalmClinic</w:t>
      </w:r>
      <w:proofErr w:type="spellEnd"/>
      <w:r w:rsidRPr="0033167A">
        <w:rPr>
          <w:rFonts w:ascii="Times New Roman" w:hAnsi="Times New Roman" w:cs="Times New Roman"/>
        </w:rPr>
        <w:t xml:space="preserve"> 2009-2018</w:t>
      </w:r>
    </w:p>
  </w:footnote>
  <w:footnote w:id="130">
    <w:p w14:paraId="41606644"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CalmClinic</w:t>
      </w:r>
      <w:proofErr w:type="spellEnd"/>
      <w:r w:rsidRPr="0033167A">
        <w:rPr>
          <w:rFonts w:ascii="Times New Roman" w:hAnsi="Times New Roman" w:cs="Times New Roman"/>
        </w:rPr>
        <w:t xml:space="preserve"> 2009-2018</w:t>
      </w:r>
    </w:p>
  </w:footnote>
  <w:footnote w:id="131">
    <w:p w14:paraId="2A400A02"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CalmClinic</w:t>
      </w:r>
      <w:proofErr w:type="spellEnd"/>
      <w:r w:rsidRPr="0033167A">
        <w:rPr>
          <w:rFonts w:ascii="Times New Roman" w:hAnsi="Times New Roman" w:cs="Times New Roman"/>
        </w:rPr>
        <w:t xml:space="preserve"> 2009-2018</w:t>
      </w:r>
    </w:p>
  </w:footnote>
  <w:footnote w:id="132">
    <w:p w14:paraId="75CCB741"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CalmClinic</w:t>
      </w:r>
      <w:proofErr w:type="spellEnd"/>
      <w:r w:rsidRPr="0033167A">
        <w:rPr>
          <w:rFonts w:ascii="Times New Roman" w:hAnsi="Times New Roman" w:cs="Times New Roman"/>
        </w:rPr>
        <w:t xml:space="preserve"> 2009-2018</w:t>
      </w:r>
    </w:p>
  </w:footnote>
  <w:footnote w:id="133">
    <w:p w14:paraId="499F3239"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CalmClinic</w:t>
      </w:r>
      <w:proofErr w:type="spellEnd"/>
      <w:r w:rsidRPr="0033167A">
        <w:rPr>
          <w:rFonts w:ascii="Times New Roman" w:hAnsi="Times New Roman" w:cs="Times New Roman"/>
        </w:rPr>
        <w:t xml:space="preserve"> 2009-2018</w:t>
      </w:r>
    </w:p>
  </w:footnote>
  <w:footnote w:id="134">
    <w:p w14:paraId="7B56870D"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CalmClinic</w:t>
      </w:r>
      <w:proofErr w:type="spellEnd"/>
      <w:r w:rsidRPr="0033167A">
        <w:rPr>
          <w:rFonts w:ascii="Times New Roman" w:hAnsi="Times New Roman" w:cs="Times New Roman"/>
        </w:rPr>
        <w:t xml:space="preserve"> 2009-2018</w:t>
      </w:r>
    </w:p>
  </w:footnote>
  <w:footnote w:id="135">
    <w:p w14:paraId="4187EF77"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CalmClinic</w:t>
      </w:r>
      <w:proofErr w:type="spellEnd"/>
      <w:r w:rsidRPr="0033167A">
        <w:rPr>
          <w:rFonts w:ascii="Times New Roman" w:hAnsi="Times New Roman" w:cs="Times New Roman"/>
        </w:rPr>
        <w:t xml:space="preserve"> 2009-2018</w:t>
      </w:r>
    </w:p>
  </w:footnote>
  <w:footnote w:id="136">
    <w:p w14:paraId="16FA77E2"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CalmClinic</w:t>
      </w:r>
      <w:proofErr w:type="spellEnd"/>
      <w:r w:rsidRPr="0033167A">
        <w:rPr>
          <w:rFonts w:ascii="Times New Roman" w:hAnsi="Times New Roman" w:cs="Times New Roman"/>
        </w:rPr>
        <w:t xml:space="preserve"> 2009-2018</w:t>
      </w:r>
    </w:p>
  </w:footnote>
  <w:footnote w:id="137">
    <w:p w14:paraId="21D5CFCD"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CalmClinic</w:t>
      </w:r>
      <w:proofErr w:type="spellEnd"/>
      <w:r w:rsidRPr="0033167A">
        <w:rPr>
          <w:rFonts w:ascii="Times New Roman" w:hAnsi="Times New Roman" w:cs="Times New Roman"/>
        </w:rPr>
        <w:t xml:space="preserve"> 2009-2018</w:t>
      </w:r>
    </w:p>
  </w:footnote>
  <w:footnote w:id="138">
    <w:p w14:paraId="2291B5E1" w14:textId="77777777" w:rsidR="00FA029C" w:rsidRPr="0033167A" w:rsidRDefault="00FA029C" w:rsidP="00F55F64">
      <w:pPr>
        <w:pStyle w:val="FootnoteText"/>
        <w:rPr>
          <w:rFonts w:ascii="Times New Roman" w:hAnsi="Times New Roman" w:cs="Times New Roman"/>
        </w:rPr>
      </w:pPr>
      <w:r w:rsidRPr="0033167A">
        <w:rPr>
          <w:rStyle w:val="FootnoteReference"/>
          <w:rFonts w:ascii="Times New Roman" w:hAnsi="Times New Roman" w:cs="Times New Roman"/>
        </w:rPr>
        <w:footnoteRef/>
      </w:r>
      <w:r w:rsidRPr="0033167A">
        <w:rPr>
          <w:rFonts w:ascii="Times New Roman" w:hAnsi="Times New Roman" w:cs="Times New Roman"/>
        </w:rPr>
        <w:t xml:space="preserve"> </w:t>
      </w:r>
      <w:proofErr w:type="spellStart"/>
      <w:r w:rsidRPr="0033167A">
        <w:rPr>
          <w:rFonts w:ascii="Times New Roman" w:hAnsi="Times New Roman" w:cs="Times New Roman"/>
        </w:rPr>
        <w:t>CalmClinic</w:t>
      </w:r>
      <w:proofErr w:type="spellEnd"/>
      <w:r w:rsidRPr="0033167A">
        <w:rPr>
          <w:rFonts w:ascii="Times New Roman" w:hAnsi="Times New Roman" w:cs="Times New Roman"/>
        </w:rPr>
        <w:t xml:space="preserve"> 2009-2018</w:t>
      </w:r>
    </w:p>
  </w:footnote>
  <w:footnote w:id="139">
    <w:p w14:paraId="258D358C" w14:textId="77777777" w:rsidR="0032166D" w:rsidRDefault="0032166D" w:rsidP="0032166D">
      <w:pPr>
        <w:pStyle w:val="FootnoteText"/>
      </w:pPr>
      <w:r>
        <w:rPr>
          <w:rStyle w:val="FootnoteReference"/>
        </w:rPr>
        <w:footnoteRef/>
      </w:r>
      <w:r>
        <w:t xml:space="preserve"> Griffiths 2006: 48</w:t>
      </w:r>
    </w:p>
  </w:footnote>
  <w:footnote w:id="140">
    <w:p w14:paraId="354BFC73" w14:textId="77777777" w:rsidR="0032166D" w:rsidRDefault="0032166D" w:rsidP="0032166D">
      <w:pPr>
        <w:pStyle w:val="FootnoteText"/>
      </w:pPr>
      <w:r>
        <w:rPr>
          <w:rStyle w:val="FootnoteReference"/>
        </w:rPr>
        <w:footnoteRef/>
      </w:r>
      <w:r>
        <w:t xml:space="preserve"> Griffiths 2006: 48</w:t>
      </w:r>
    </w:p>
  </w:footnote>
  <w:footnote w:id="141">
    <w:p w14:paraId="3F209148" w14:textId="77777777" w:rsidR="0032166D" w:rsidRDefault="0032166D" w:rsidP="0032166D">
      <w:pPr>
        <w:pStyle w:val="FootnoteText"/>
      </w:pPr>
      <w:r>
        <w:rPr>
          <w:rStyle w:val="FootnoteReference"/>
        </w:rPr>
        <w:footnoteRef/>
      </w:r>
      <w:r>
        <w:t xml:space="preserve"> Griffiths 2006: 48</w:t>
      </w:r>
    </w:p>
  </w:footnote>
  <w:footnote w:id="142">
    <w:p w14:paraId="5F725843" w14:textId="77777777" w:rsidR="0032166D" w:rsidRDefault="0032166D" w:rsidP="0032166D">
      <w:pPr>
        <w:pStyle w:val="FootnoteText"/>
      </w:pPr>
      <w:r>
        <w:rPr>
          <w:rStyle w:val="FootnoteReference"/>
        </w:rPr>
        <w:footnoteRef/>
      </w:r>
      <w:r>
        <w:t xml:space="preserve"> Griffiths 2006: 48</w:t>
      </w:r>
    </w:p>
  </w:footnote>
  <w:footnote w:id="143">
    <w:p w14:paraId="40B0EBC4" w14:textId="77777777" w:rsidR="0032166D" w:rsidRDefault="0032166D" w:rsidP="0032166D">
      <w:pPr>
        <w:pStyle w:val="FootnoteText"/>
      </w:pPr>
      <w:r>
        <w:rPr>
          <w:rStyle w:val="FootnoteReference"/>
        </w:rPr>
        <w:footnoteRef/>
      </w:r>
      <w:r>
        <w:t xml:space="preserve"> Griffiths 2006: 48</w:t>
      </w:r>
    </w:p>
  </w:footnote>
  <w:footnote w:id="144">
    <w:p w14:paraId="5E51877B" w14:textId="77777777" w:rsidR="0032166D" w:rsidRDefault="0032166D" w:rsidP="0032166D">
      <w:pPr>
        <w:pStyle w:val="FootnoteText"/>
      </w:pPr>
      <w:r>
        <w:rPr>
          <w:rStyle w:val="FootnoteReference"/>
        </w:rPr>
        <w:footnoteRef/>
      </w:r>
      <w:r>
        <w:t xml:space="preserve"> Griffiths 2006: 48</w:t>
      </w:r>
    </w:p>
  </w:footnote>
  <w:footnote w:id="145">
    <w:p w14:paraId="78C76C3F" w14:textId="77777777" w:rsidR="0032166D" w:rsidRDefault="0032166D" w:rsidP="0032166D">
      <w:pPr>
        <w:pStyle w:val="FootnoteText"/>
      </w:pPr>
      <w:r>
        <w:rPr>
          <w:rStyle w:val="FootnoteReference"/>
        </w:rPr>
        <w:footnoteRef/>
      </w:r>
      <w:r>
        <w:t xml:space="preserve"> Griffiths 2006: 48; 135; </w:t>
      </w:r>
      <w:proofErr w:type="spellStart"/>
      <w:r>
        <w:t>Thuc</w:t>
      </w:r>
      <w:proofErr w:type="spellEnd"/>
      <w:r>
        <w:t xml:space="preserve">. 7.29; </w:t>
      </w:r>
      <w:proofErr w:type="spellStart"/>
      <w:r>
        <w:t>Orwin</w:t>
      </w:r>
      <w:proofErr w:type="spellEnd"/>
      <w:r>
        <w:t xml:space="preserve"> 1994:135</w:t>
      </w:r>
    </w:p>
  </w:footnote>
  <w:footnote w:id="146">
    <w:p w14:paraId="1590A2AD" w14:textId="77777777" w:rsidR="0032166D" w:rsidRDefault="0032166D" w:rsidP="0032166D">
      <w:pPr>
        <w:pStyle w:val="FootnoteText"/>
      </w:pPr>
      <w:r>
        <w:rPr>
          <w:rStyle w:val="FootnoteReference"/>
        </w:rPr>
        <w:footnoteRef/>
      </w:r>
      <w:r>
        <w:t xml:space="preserve"> </w:t>
      </w:r>
      <w:proofErr w:type="spellStart"/>
      <w:r>
        <w:t>Orwin</w:t>
      </w:r>
      <w:proofErr w:type="spellEnd"/>
      <w:r>
        <w:t xml:space="preserve"> 1994: 135</w:t>
      </w:r>
    </w:p>
  </w:footnote>
  <w:footnote w:id="147">
    <w:p w14:paraId="68BD8F00" w14:textId="77777777" w:rsidR="0032166D" w:rsidRDefault="0032166D" w:rsidP="0032166D">
      <w:pPr>
        <w:pStyle w:val="FootnoteText"/>
      </w:pPr>
      <w:r>
        <w:rPr>
          <w:rStyle w:val="FootnoteReference"/>
        </w:rPr>
        <w:footnoteRef/>
      </w:r>
      <w:r>
        <w:t xml:space="preserve"> </w:t>
      </w:r>
      <w:proofErr w:type="spellStart"/>
      <w:r>
        <w:t>Orwin</w:t>
      </w:r>
      <w:proofErr w:type="spellEnd"/>
      <w:r>
        <w:t xml:space="preserve"> 1994: 135</w:t>
      </w:r>
    </w:p>
  </w:footnote>
  <w:footnote w:id="148">
    <w:p w14:paraId="4B23F021" w14:textId="77777777" w:rsidR="0032166D" w:rsidRDefault="0032166D" w:rsidP="0032166D">
      <w:pPr>
        <w:pStyle w:val="FootnoteText"/>
      </w:pPr>
      <w:r>
        <w:rPr>
          <w:rStyle w:val="FootnoteReference"/>
        </w:rPr>
        <w:footnoteRef/>
      </w:r>
      <w:r>
        <w:t xml:space="preserve"> </w:t>
      </w:r>
      <w:proofErr w:type="spellStart"/>
      <w:r>
        <w:t>Orwin</w:t>
      </w:r>
      <w:proofErr w:type="spellEnd"/>
      <w:r>
        <w:t xml:space="preserve"> 1994: 135</w:t>
      </w:r>
    </w:p>
  </w:footnote>
  <w:footnote w:id="149">
    <w:p w14:paraId="3CC008DE" w14:textId="77777777" w:rsidR="0032166D" w:rsidRDefault="0032166D" w:rsidP="0032166D">
      <w:pPr>
        <w:pStyle w:val="FootnoteText"/>
      </w:pPr>
      <w:r>
        <w:rPr>
          <w:rStyle w:val="FootnoteReference"/>
        </w:rPr>
        <w:footnoteRef/>
      </w:r>
      <w:r>
        <w:t xml:space="preserve"> </w:t>
      </w:r>
      <w:proofErr w:type="spellStart"/>
      <w:r>
        <w:t>Apollod</w:t>
      </w:r>
      <w:proofErr w:type="spellEnd"/>
      <w:r>
        <w:t>. 1.9.28; Sen. Med. 17-18; Eur. Med. 364ff</w:t>
      </w:r>
    </w:p>
  </w:footnote>
  <w:footnote w:id="150">
    <w:p w14:paraId="2E20EF30" w14:textId="77777777" w:rsidR="0032166D" w:rsidRDefault="0032166D" w:rsidP="0032166D">
      <w:pPr>
        <w:pStyle w:val="FootnoteText"/>
      </w:pPr>
      <w:r>
        <w:rPr>
          <w:rStyle w:val="FootnoteReference"/>
        </w:rPr>
        <w:footnoteRef/>
      </w:r>
      <w:r>
        <w:t xml:space="preserve"> Eur. Med. 1091ff., 1236-1250</w:t>
      </w:r>
    </w:p>
  </w:footnote>
  <w:footnote w:id="151">
    <w:p w14:paraId="4084C34D" w14:textId="77777777" w:rsidR="0032166D" w:rsidRDefault="0032166D" w:rsidP="0032166D">
      <w:pPr>
        <w:pStyle w:val="FootnoteText"/>
      </w:pPr>
      <w:r>
        <w:rPr>
          <w:rStyle w:val="FootnoteReference"/>
        </w:rPr>
        <w:footnoteRef/>
      </w:r>
      <w:r>
        <w:t xml:space="preserve"> Griffiths 2006: 48</w:t>
      </w:r>
    </w:p>
  </w:footnote>
  <w:footnote w:id="152">
    <w:p w14:paraId="40454A06" w14:textId="77777777" w:rsidR="0032166D" w:rsidRDefault="0032166D" w:rsidP="0032166D">
      <w:pPr>
        <w:pStyle w:val="FootnoteText"/>
      </w:pPr>
      <w:r>
        <w:rPr>
          <w:rStyle w:val="FootnoteReference"/>
        </w:rPr>
        <w:footnoteRef/>
      </w:r>
      <w:r>
        <w:t xml:space="preserve"> Griffiths 2006: 48</w:t>
      </w:r>
    </w:p>
  </w:footnote>
  <w:footnote w:id="153">
    <w:p w14:paraId="3D3594FB" w14:textId="77777777" w:rsidR="0032166D" w:rsidRDefault="0032166D" w:rsidP="0032166D">
      <w:pPr>
        <w:pStyle w:val="FootnoteText"/>
      </w:pPr>
      <w:r>
        <w:rPr>
          <w:rStyle w:val="FootnoteReference"/>
        </w:rPr>
        <w:footnoteRef/>
      </w:r>
      <w:r>
        <w:t xml:space="preserve"> </w:t>
      </w:r>
      <w:r w:rsidRPr="00164D60">
        <w:t>Sen. Med. 916ff.</w:t>
      </w:r>
    </w:p>
  </w:footnote>
  <w:footnote w:id="154">
    <w:p w14:paraId="39A92FC3" w14:textId="22F914D0" w:rsidR="008D710E" w:rsidRDefault="008D710E">
      <w:pPr>
        <w:pStyle w:val="FootnoteText"/>
      </w:pPr>
      <w:r>
        <w:rPr>
          <w:rStyle w:val="FootnoteReference"/>
        </w:rPr>
        <w:footnoteRef/>
      </w:r>
      <w:r>
        <w:t xml:space="preserve"> Eur. Med. 214-229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FD0"/>
    <w:rsid w:val="001126E3"/>
    <w:rsid w:val="00305C69"/>
    <w:rsid w:val="0032166D"/>
    <w:rsid w:val="00377107"/>
    <w:rsid w:val="003A4F53"/>
    <w:rsid w:val="004457E5"/>
    <w:rsid w:val="004764AF"/>
    <w:rsid w:val="005679DA"/>
    <w:rsid w:val="006B5A0D"/>
    <w:rsid w:val="00765D72"/>
    <w:rsid w:val="008D710E"/>
    <w:rsid w:val="009170AE"/>
    <w:rsid w:val="009F4EC8"/>
    <w:rsid w:val="00A83AD3"/>
    <w:rsid w:val="00B12C05"/>
    <w:rsid w:val="00BD359F"/>
    <w:rsid w:val="00D30FD0"/>
    <w:rsid w:val="00DF7FC5"/>
    <w:rsid w:val="00F14EDF"/>
    <w:rsid w:val="00F5401E"/>
    <w:rsid w:val="00F55F64"/>
    <w:rsid w:val="00FA029C"/>
    <w:rsid w:val="00FA6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DFE651"/>
  <w15:chartTrackingRefBased/>
  <w15:docId w15:val="{E2290E74-2415-4A6A-83F1-E8D676B60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FD0"/>
    <w:pPr>
      <w:keepNext/>
      <w:keepLines/>
      <w:spacing w:before="240" w:after="0"/>
      <w:outlineLvl w:val="0"/>
    </w:pPr>
    <w:rPr>
      <w:rFonts w:eastAsiaTheme="majorEastAsia" w:cstheme="majorBidi"/>
      <w:sz w:val="24"/>
      <w:szCs w:val="32"/>
    </w:rPr>
  </w:style>
  <w:style w:type="paragraph" w:styleId="Heading2">
    <w:name w:val="heading 2"/>
    <w:basedOn w:val="Normal"/>
    <w:next w:val="Normal"/>
    <w:link w:val="Heading2Char"/>
    <w:uiPriority w:val="9"/>
    <w:unhideWhenUsed/>
    <w:qFormat/>
    <w:rsid w:val="00BD359F"/>
    <w:pPr>
      <w:keepNext/>
      <w:keepLines/>
      <w:spacing w:before="40" w:after="0"/>
      <w:outlineLvl w:val="1"/>
    </w:pPr>
    <w:rPr>
      <w:rFonts w:eastAsiaTheme="majorEastAsia" w:cstheme="majorBidi"/>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0FD0"/>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D30FD0"/>
    <w:rPr>
      <w:rFonts w:asciiTheme="minorHAnsi" w:eastAsiaTheme="minorEastAsia" w:hAnsiTheme="minorHAnsi" w:cstheme="minorBidi"/>
      <w:sz w:val="22"/>
      <w:szCs w:val="22"/>
      <w:lang w:val="en-US"/>
    </w:rPr>
  </w:style>
  <w:style w:type="character" w:customStyle="1" w:styleId="Heading1Char">
    <w:name w:val="Heading 1 Char"/>
    <w:basedOn w:val="DefaultParagraphFont"/>
    <w:link w:val="Heading1"/>
    <w:uiPriority w:val="9"/>
    <w:rsid w:val="00D30FD0"/>
    <w:rPr>
      <w:rFonts w:eastAsiaTheme="majorEastAsia" w:cstheme="majorBidi"/>
      <w:sz w:val="24"/>
      <w:szCs w:val="32"/>
    </w:rPr>
  </w:style>
  <w:style w:type="paragraph" w:styleId="FootnoteText">
    <w:name w:val="footnote text"/>
    <w:basedOn w:val="Normal"/>
    <w:link w:val="FootnoteTextChar"/>
    <w:uiPriority w:val="99"/>
    <w:semiHidden/>
    <w:unhideWhenUsed/>
    <w:rsid w:val="00D30FD0"/>
    <w:pPr>
      <w:spacing w:after="0" w:line="240" w:lineRule="auto"/>
    </w:pPr>
    <w:rPr>
      <w:rFonts w:asciiTheme="minorHAnsi" w:hAnsiTheme="minorHAnsi" w:cstheme="minorBidi"/>
    </w:rPr>
  </w:style>
  <w:style w:type="character" w:customStyle="1" w:styleId="FootnoteTextChar">
    <w:name w:val="Footnote Text Char"/>
    <w:basedOn w:val="DefaultParagraphFont"/>
    <w:link w:val="FootnoteText"/>
    <w:uiPriority w:val="99"/>
    <w:semiHidden/>
    <w:rsid w:val="00D30FD0"/>
    <w:rPr>
      <w:rFonts w:asciiTheme="minorHAnsi" w:hAnsiTheme="minorHAnsi" w:cstheme="minorBidi"/>
    </w:rPr>
  </w:style>
  <w:style w:type="character" w:styleId="FootnoteReference">
    <w:name w:val="footnote reference"/>
    <w:basedOn w:val="DefaultParagraphFont"/>
    <w:uiPriority w:val="99"/>
    <w:semiHidden/>
    <w:unhideWhenUsed/>
    <w:rsid w:val="00D30FD0"/>
    <w:rPr>
      <w:vertAlign w:val="superscript"/>
    </w:rPr>
  </w:style>
  <w:style w:type="paragraph" w:styleId="TOCHeading">
    <w:name w:val="TOC Heading"/>
    <w:basedOn w:val="Heading1"/>
    <w:next w:val="Normal"/>
    <w:uiPriority w:val="39"/>
    <w:unhideWhenUsed/>
    <w:qFormat/>
    <w:rsid w:val="00D30FD0"/>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D30FD0"/>
    <w:pPr>
      <w:spacing w:after="100"/>
    </w:pPr>
    <w:rPr>
      <w:rFonts w:asciiTheme="minorHAnsi" w:hAnsiTheme="minorHAnsi" w:cstheme="minorBidi"/>
      <w:sz w:val="22"/>
      <w:szCs w:val="22"/>
    </w:rPr>
  </w:style>
  <w:style w:type="character" w:styleId="Hyperlink">
    <w:name w:val="Hyperlink"/>
    <w:basedOn w:val="DefaultParagraphFont"/>
    <w:uiPriority w:val="99"/>
    <w:unhideWhenUsed/>
    <w:rsid w:val="00D30FD0"/>
    <w:rPr>
      <w:color w:val="0563C1" w:themeColor="hyperlink"/>
      <w:u w:val="single"/>
    </w:rPr>
  </w:style>
  <w:style w:type="paragraph" w:styleId="TOC2">
    <w:name w:val="toc 2"/>
    <w:basedOn w:val="Normal"/>
    <w:next w:val="Normal"/>
    <w:autoRedefine/>
    <w:uiPriority w:val="39"/>
    <w:unhideWhenUsed/>
    <w:rsid w:val="00D30FD0"/>
    <w:pPr>
      <w:spacing w:after="100"/>
      <w:ind w:left="220"/>
    </w:pPr>
    <w:rPr>
      <w:rFonts w:asciiTheme="minorHAnsi" w:eastAsiaTheme="minorEastAsia" w:hAnsiTheme="minorHAnsi"/>
      <w:sz w:val="22"/>
      <w:szCs w:val="22"/>
      <w:lang w:val="en-US"/>
    </w:rPr>
  </w:style>
  <w:style w:type="paragraph" w:styleId="TableofFigures">
    <w:name w:val="table of figures"/>
    <w:basedOn w:val="Normal"/>
    <w:next w:val="Normal"/>
    <w:uiPriority w:val="99"/>
    <w:unhideWhenUsed/>
    <w:rsid w:val="00D30FD0"/>
    <w:pPr>
      <w:spacing w:after="0"/>
    </w:pPr>
    <w:rPr>
      <w:rFonts w:asciiTheme="minorHAnsi" w:hAnsiTheme="minorHAnsi" w:cstheme="minorBidi"/>
      <w:sz w:val="22"/>
      <w:szCs w:val="22"/>
    </w:rPr>
  </w:style>
  <w:style w:type="paragraph" w:styleId="Header">
    <w:name w:val="header"/>
    <w:basedOn w:val="Normal"/>
    <w:link w:val="HeaderChar"/>
    <w:uiPriority w:val="99"/>
    <w:unhideWhenUsed/>
    <w:rsid w:val="003771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107"/>
  </w:style>
  <w:style w:type="paragraph" w:styleId="Footer">
    <w:name w:val="footer"/>
    <w:basedOn w:val="Normal"/>
    <w:link w:val="FooterChar"/>
    <w:uiPriority w:val="99"/>
    <w:unhideWhenUsed/>
    <w:rsid w:val="003771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107"/>
  </w:style>
  <w:style w:type="character" w:customStyle="1" w:styleId="Heading2Char">
    <w:name w:val="Heading 2 Char"/>
    <w:basedOn w:val="DefaultParagraphFont"/>
    <w:link w:val="Heading2"/>
    <w:uiPriority w:val="9"/>
    <w:rsid w:val="00BD359F"/>
    <w:rPr>
      <w:rFonts w:eastAsiaTheme="majorEastAsia" w:cstheme="majorBidi"/>
      <w:sz w:val="24"/>
      <w:szCs w:val="26"/>
      <w:u w:val="single"/>
    </w:rPr>
  </w:style>
  <w:style w:type="character" w:styleId="CommentReference">
    <w:name w:val="annotation reference"/>
    <w:basedOn w:val="DefaultParagraphFont"/>
    <w:uiPriority w:val="99"/>
    <w:semiHidden/>
    <w:unhideWhenUsed/>
    <w:rsid w:val="00F5401E"/>
    <w:rPr>
      <w:sz w:val="16"/>
      <w:szCs w:val="16"/>
    </w:rPr>
  </w:style>
  <w:style w:type="paragraph" w:styleId="CommentText">
    <w:name w:val="annotation text"/>
    <w:basedOn w:val="Normal"/>
    <w:link w:val="CommentTextChar"/>
    <w:uiPriority w:val="99"/>
    <w:semiHidden/>
    <w:unhideWhenUsed/>
    <w:rsid w:val="00F5401E"/>
    <w:pPr>
      <w:spacing w:line="240" w:lineRule="auto"/>
    </w:pPr>
    <w:rPr>
      <w:rFonts w:asciiTheme="minorHAnsi" w:hAnsiTheme="minorHAnsi" w:cstheme="minorBidi"/>
    </w:rPr>
  </w:style>
  <w:style w:type="character" w:customStyle="1" w:styleId="CommentTextChar">
    <w:name w:val="Comment Text Char"/>
    <w:basedOn w:val="DefaultParagraphFont"/>
    <w:link w:val="CommentText"/>
    <w:uiPriority w:val="99"/>
    <w:semiHidden/>
    <w:rsid w:val="00F5401E"/>
    <w:rPr>
      <w:rFonts w:asciiTheme="minorHAnsi" w:hAnsiTheme="minorHAnsi" w:cstheme="minorBidi"/>
    </w:rPr>
  </w:style>
  <w:style w:type="paragraph" w:styleId="Caption">
    <w:name w:val="caption"/>
    <w:basedOn w:val="Normal"/>
    <w:next w:val="Normal"/>
    <w:uiPriority w:val="35"/>
    <w:unhideWhenUsed/>
    <w:qFormat/>
    <w:rsid w:val="00F5401E"/>
    <w:pPr>
      <w:spacing w:after="200" w:line="240" w:lineRule="auto"/>
    </w:pPr>
    <w:rPr>
      <w:rFonts w:asciiTheme="minorHAnsi" w:hAnsiTheme="minorHAnsi" w:cstheme="minorBidi"/>
      <w:i/>
      <w:iCs/>
      <w:color w:val="44546A" w:themeColor="text2"/>
      <w:sz w:val="18"/>
      <w:szCs w:val="18"/>
    </w:rPr>
  </w:style>
  <w:style w:type="paragraph" w:styleId="BalloonText">
    <w:name w:val="Balloon Text"/>
    <w:basedOn w:val="Normal"/>
    <w:link w:val="BalloonTextChar"/>
    <w:uiPriority w:val="99"/>
    <w:semiHidden/>
    <w:unhideWhenUsed/>
    <w:rsid w:val="009170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70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Owner\Desktop\Dissertation\Dissertation%20Chapters\DISSERTATION%20FINAL.docx" TargetMode="External"/><Relationship Id="rId13" Type="http://schemas.openxmlformats.org/officeDocument/2006/relationships/hyperlink" Target="http://cartelen.louvre.fr/cartelen/visite?srv=car_not_frame&amp;idNotice=9000&amp;langue=en"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museoarcheologiconapoli.it/en/room-and-sections-of-the-exhibition/fresco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cbi.nlm.nih.gov/pmc/articles/PMC348068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psychologytoday.com/blog/all-about-sex/201303/hysteria-and-the-strange-history-vibrators" TargetMode="External"/><Relationship Id="rId10" Type="http://schemas.openxmlformats.org/officeDocument/2006/relationships/image" Target="media/image1.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Owner\Desktop\Dissertation\Dissertation%20Chapters\DISSERTATION%20FINAL.docx" TargetMode="External"/><Relationship Id="rId14" Type="http://schemas.openxmlformats.org/officeDocument/2006/relationships/hyperlink" Target="https://www.calmclinic.com/anxiety/symptoms/hysteria"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771"/>
    <w:rsid w:val="00F36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6A620139684F9AB7ECABFD06D471E7">
    <w:name w:val="226A620139684F9AB7ECABFD06D471E7"/>
    <w:rsid w:val="00F36771"/>
  </w:style>
  <w:style w:type="paragraph" w:customStyle="1" w:styleId="D1BBA3D68FD14E9BA11D34242F383ABC">
    <w:name w:val="D1BBA3D68FD14E9BA11D34242F383ABC"/>
    <w:rsid w:val="00F36771"/>
  </w:style>
  <w:style w:type="paragraph" w:customStyle="1" w:styleId="6BA910ABAE8E45B5AAECE315C041D843">
    <w:name w:val="6BA910ABAE8E45B5AAECE315C041D843"/>
    <w:rsid w:val="00F36771"/>
  </w:style>
  <w:style w:type="paragraph" w:customStyle="1" w:styleId="66E6719DDD4F4233A58BA059269389E5">
    <w:name w:val="66E6719DDD4F4233A58BA059269389E5"/>
    <w:rsid w:val="00F36771"/>
  </w:style>
  <w:style w:type="paragraph" w:customStyle="1" w:styleId="BCB0616E1B0A4D41B422BFDD0AD18146">
    <w:name w:val="BCB0616E1B0A4D41B422BFDD0AD18146"/>
    <w:rsid w:val="00F367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FC347-1A3C-49F4-B90B-CD8B75CD1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37</Pages>
  <Words>8577</Words>
  <Characters>48891</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Hoskins</dc:creator>
  <cp:keywords/>
  <dc:description/>
  <cp:lastModifiedBy>Elizabeth Hoskins</cp:lastModifiedBy>
  <cp:revision>22</cp:revision>
  <dcterms:created xsi:type="dcterms:W3CDTF">2018-05-10T14:57:00Z</dcterms:created>
  <dcterms:modified xsi:type="dcterms:W3CDTF">2018-05-10T19:53:00Z</dcterms:modified>
</cp:coreProperties>
</file>