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29332079"/>
        <w:docPartObj>
          <w:docPartGallery w:val="Cover Pages"/>
          <w:docPartUnique/>
        </w:docPartObj>
      </w:sdtPr>
      <w:sdtEndPr/>
      <w:sdtContent>
        <w:p w14:paraId="5CBCE614" w14:textId="77777777" w:rsidR="00373AD0" w:rsidRDefault="00373AD0" w:rsidP="00131927">
          <w:pPr>
            <w:ind w:firstLine="0"/>
          </w:pPr>
        </w:p>
        <w:p w14:paraId="12EEFD6C" w14:textId="77777777" w:rsidR="00CB18B3" w:rsidRDefault="00CB18B3" w:rsidP="00373AD0"/>
        <w:p w14:paraId="3CCB59B7" w14:textId="77777777" w:rsidR="00CB18B3" w:rsidRDefault="00CB18B3" w:rsidP="00373AD0"/>
        <w:p w14:paraId="20A5BD27" w14:textId="318916CD" w:rsidR="00CB18B3" w:rsidRPr="00404A5A" w:rsidRDefault="00373AD0" w:rsidP="00CB18B3">
          <w:pPr>
            <w:pStyle w:val="Overskriftforinnholdsfortegnelse"/>
            <w:spacing w:line="360" w:lineRule="auto"/>
            <w:jc w:val="center"/>
            <w:rPr>
              <w:rFonts w:cs="Times New Roman"/>
              <w:b/>
              <w:color w:val="auto"/>
              <w:sz w:val="22"/>
              <w:szCs w:val="22"/>
            </w:rPr>
          </w:pPr>
          <w:r w:rsidRPr="00C17CA7">
            <w:rPr>
              <w:noProof/>
              <w:lang w:eastAsia="en-GB"/>
            </w:rPr>
            <w:drawing>
              <wp:anchor distT="0" distB="0" distL="114300" distR="114300" simplePos="0" relativeHeight="251661312" behindDoc="0" locked="0" layoutInCell="1" allowOverlap="1" wp14:anchorId="369B884F" wp14:editId="45EF8D65">
                <wp:simplePos x="0" y="0"/>
                <wp:positionH relativeFrom="margin">
                  <wp:align>center</wp:align>
                </wp:positionH>
                <wp:positionV relativeFrom="paragraph">
                  <wp:posOffset>1540746</wp:posOffset>
                </wp:positionV>
                <wp:extent cx="2164715" cy="822960"/>
                <wp:effectExtent l="0" t="0" r="6985" b="0"/>
                <wp:wrapTopAndBottom/>
                <wp:docPr id="9" name="Picture 9" descr="Bilderesulta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ilderesultat for uwts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64715" cy="8229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17CA7">
            <w:rPr>
              <w:noProof/>
              <w:lang w:eastAsia="en-GB"/>
            </w:rPr>
            <mc:AlternateContent>
              <mc:Choice Requires="wps">
                <w:drawing>
                  <wp:anchor distT="0" distB="0" distL="182880" distR="182880" simplePos="0" relativeHeight="251660288" behindDoc="0" locked="0" layoutInCell="1" allowOverlap="1" wp14:anchorId="48BF37CE" wp14:editId="6ACCB339">
                    <wp:simplePos x="0" y="0"/>
                    <wp:positionH relativeFrom="margin">
                      <wp:posOffset>630555</wp:posOffset>
                    </wp:positionH>
                    <wp:positionV relativeFrom="page">
                      <wp:posOffset>4571365</wp:posOffset>
                    </wp:positionV>
                    <wp:extent cx="4448175" cy="3348355"/>
                    <wp:effectExtent l="0" t="0" r="9525" b="4445"/>
                    <wp:wrapSquare wrapText="bothSides"/>
                    <wp:docPr id="1" name="Text Box 1"/>
                    <wp:cNvGraphicFramePr/>
                    <a:graphic xmlns:a="http://schemas.openxmlformats.org/drawingml/2006/main">
                      <a:graphicData uri="http://schemas.microsoft.com/office/word/2010/wordprocessingShape">
                        <wps:wsp>
                          <wps:cNvSpPr txBox="1"/>
                          <wps:spPr>
                            <a:xfrm>
                              <a:off x="0" y="0"/>
                              <a:ext cx="4448175" cy="33483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9E1CF3" w14:textId="2B0F7428" w:rsidR="00CB18B3" w:rsidRPr="00D540A9" w:rsidRDefault="00B10DCD" w:rsidP="00131927">
                                <w:pPr>
                                  <w:spacing w:before="40" w:after="560" w:line="216" w:lineRule="auto"/>
                                  <w:jc w:val="center"/>
                                  <w:rPr>
                                    <w:rFonts w:cs="Times New Roman"/>
                                    <w:color w:val="000000" w:themeColor="text1"/>
                                    <w:sz w:val="62"/>
                                    <w:szCs w:val="62"/>
                                  </w:rPr>
                                </w:pPr>
                                <w:sdt>
                                  <w:sdtPr>
                                    <w:rPr>
                                      <w:rFonts w:eastAsiaTheme="minorEastAsia" w:cs="Times New Roman"/>
                                      <w:color w:val="000000" w:themeColor="text1"/>
                                      <w:sz w:val="62"/>
                                      <w:szCs w:val="62"/>
                                      <w:lang w:val="en-US"/>
                                    </w:rPr>
                                    <w:alias w:val="Title"/>
                                    <w:tag w:val=""/>
                                    <w:id w:val="1079639003"/>
                                    <w:dataBinding w:prefixMappings="xmlns:ns0='http://purl.org/dc/elements/1.1/' xmlns:ns1='http://schemas.openxmlformats.org/package/2006/metadata/core-properties' " w:xpath="/ns1:coreProperties[1]/ns0:title[1]" w:storeItemID="{6C3C8BC8-F283-45AE-878A-BAB7291924A1}"/>
                                    <w:text/>
                                  </w:sdtPr>
                                  <w:sdtEndPr/>
                                  <w:sdtContent>
                                    <w:r w:rsidR="00CB18B3">
                                      <w:rPr>
                                        <w:rFonts w:eastAsiaTheme="minorEastAsia" w:cs="Times New Roman"/>
                                        <w:color w:val="000000" w:themeColor="text1"/>
                                        <w:sz w:val="62"/>
                                        <w:szCs w:val="62"/>
                                        <w:lang w:val="en-US"/>
                                      </w:rPr>
                                      <w:t xml:space="preserve">Comparative analysis of </w:t>
                                    </w:r>
                                    <w:r w:rsidR="00CB18B3" w:rsidRPr="0051405F">
                                      <w:rPr>
                                        <w:rFonts w:eastAsiaTheme="minorEastAsia" w:cs="Times New Roman"/>
                                        <w:color w:val="000000" w:themeColor="text1"/>
                                        <w:sz w:val="62"/>
                                        <w:szCs w:val="62"/>
                                        <w:lang w:val="en-US"/>
                                      </w:rPr>
                                      <w:t>ener</w:t>
                                    </w:r>
                                    <w:r w:rsidR="00CB18B3">
                                      <w:rPr>
                                        <w:rFonts w:eastAsiaTheme="minorEastAsia" w:cs="Times New Roman"/>
                                        <w:color w:val="000000" w:themeColor="text1"/>
                                        <w:sz w:val="62"/>
                                        <w:szCs w:val="62"/>
                                        <w:lang w:val="en-US"/>
                                      </w:rPr>
                                      <w:t>gy and waste from Nuclear and Renewable</w:t>
                                    </w:r>
                                    <w:r w:rsidR="00CB18B3" w:rsidRPr="0051405F">
                                      <w:rPr>
                                        <w:rFonts w:eastAsiaTheme="minorEastAsia" w:cs="Times New Roman"/>
                                        <w:color w:val="000000" w:themeColor="text1"/>
                                        <w:sz w:val="62"/>
                                        <w:szCs w:val="62"/>
                                        <w:lang w:val="en-US"/>
                                      </w:rPr>
                                      <w:t xml:space="preserve"> electricity generation</w:t>
                                    </w:r>
                                    <w:r w:rsidR="00CB18B3">
                                      <w:rPr>
                                        <w:rFonts w:eastAsiaTheme="minorEastAsia" w:cs="Times New Roman"/>
                                        <w:color w:val="000000" w:themeColor="text1"/>
                                        <w:sz w:val="62"/>
                                        <w:szCs w:val="62"/>
                                        <w:lang w:val="en-US"/>
                                      </w:rPr>
                                      <w:t xml:space="preserve"> technologies</w:t>
                                    </w:r>
                                  </w:sdtContent>
                                </w:sdt>
                              </w:p>
                              <w:sdt>
                                <w:sdtPr>
                                  <w:rPr>
                                    <w:rFonts w:ascii="Adobe Hebrew" w:hAnsi="Adobe Hebrew" w:cs="Adobe Hebrew"/>
                                    <w:b/>
                                  </w:rPr>
                                  <w:alias w:val="Author"/>
                                  <w:tag w:val=""/>
                                  <w:id w:val="1769816301"/>
                                  <w:dataBinding w:prefixMappings="xmlns:ns0='http://purl.org/dc/elements/1.1/' xmlns:ns1='http://schemas.openxmlformats.org/package/2006/metadata/core-properties' " w:xpath="/ns1:coreProperties[1]/ns0:creator[1]" w:storeItemID="{6C3C8BC8-F283-45AE-878A-BAB7291924A1}"/>
                                  <w:text/>
                                </w:sdtPr>
                                <w:sdtEndPr/>
                                <w:sdtContent>
                                  <w:p w14:paraId="07C98014" w14:textId="1A29AD18" w:rsidR="00CB18B3" w:rsidRDefault="00CB18B3" w:rsidP="00373AD0">
                                    <w:pPr>
                                      <w:jc w:val="center"/>
                                      <w:rPr>
                                        <w:rFonts w:ascii="Adobe Hebrew" w:hAnsi="Adobe Hebrew" w:cs="Adobe Hebrew"/>
                                        <w:b/>
                                      </w:rPr>
                                    </w:pPr>
                                    <w:r>
                                      <w:rPr>
                                        <w:rFonts w:ascii="Adobe Hebrew" w:hAnsi="Adobe Hebrew" w:cs="Adobe Hebrew"/>
                                        <w:b/>
                                      </w:rPr>
                                      <w:t>Lars Ivar Nitter Havro</w:t>
                                    </w:r>
                                  </w:p>
                                </w:sdtContent>
                              </w:sdt>
                              <w:p w14:paraId="58434506" w14:textId="77777777" w:rsidR="00CB18B3" w:rsidRPr="00B16C84" w:rsidRDefault="00CB18B3" w:rsidP="00373AD0">
                                <w:pPr>
                                  <w:jc w:val="center"/>
                                  <w:rPr>
                                    <w:rFonts w:ascii="Adobe Hebrew" w:eastAsia="Adobe Song Std L" w:hAnsi="Adobe Hebrew" w:cs="Adobe Hebrew"/>
                                  </w:rPr>
                                </w:pPr>
                                <w:r>
                                  <w:rPr>
                                    <w:rFonts w:ascii="Adobe Hebrew" w:hAnsi="Adobe Hebrew" w:cs="Adobe Hebrew"/>
                                    <w:b/>
                                  </w:rPr>
                                  <w:t>2017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48BF37CE" id="_x0000_t202" coordsize="21600,21600" o:spt="202" path="m,l,21600r21600,l21600,xe">
                    <v:stroke joinstyle="miter"/>
                    <v:path gradientshapeok="t" o:connecttype="rect"/>
                  </v:shapetype>
                  <v:shape id="Text Box 1" o:spid="_x0000_s1026" type="#_x0000_t202" style="position:absolute;left:0;text-align:left;margin-left:49.65pt;margin-top:359.95pt;width:350.25pt;height:263.65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" filled="f" stroked="f" strokeweight=".5pt">
                    <v:textbox inset="0,0,0,0">
                      <w:txbxContent>
                        <w:p w14:paraId="779E1CF3" w14:textId="2B0F7428" w:rsidR="00CB18B3" w:rsidRPr="00D540A9" w:rsidRDefault="00B10DCD" w:rsidP="00131927">
                          <w:pPr>
                            <w:spacing w:before="40" w:after="560" w:line="216" w:lineRule="auto"/>
                            <w:jc w:val="center"/>
                            <w:rPr>
                              <w:rFonts w:cs="Times New Roman"/>
                              <w:color w:val="000000" w:themeColor="text1"/>
                              <w:sz w:val="62"/>
                              <w:szCs w:val="62"/>
                            </w:rPr>
                          </w:pPr>
                          <w:sdt>
                            <w:sdtPr>
                              <w:rPr>
                                <w:rFonts w:eastAsiaTheme="minorEastAsia" w:cs="Times New Roman"/>
                                <w:color w:val="000000" w:themeColor="text1"/>
                                <w:sz w:val="62"/>
                                <w:szCs w:val="62"/>
                                <w:lang w:val="en-US"/>
                              </w:rPr>
                              <w:alias w:val="Title"/>
                              <w:tag w:val=""/>
                              <w:id w:val="1079639003"/>
                              <w:dataBinding w:prefixMappings="xmlns:ns0='http://purl.org/dc/elements/1.1/' xmlns:ns1='http://schemas.openxmlformats.org/package/2006/metadata/core-properties' " w:xpath="/ns1:coreProperties[1]/ns0:title[1]" w:storeItemID="{6C3C8BC8-F283-45AE-878A-BAB7291924A1}"/>
                              <w:text/>
                            </w:sdtPr>
                            <w:sdtEndPr/>
                            <w:sdtContent>
                              <w:r w:rsidR="00CB18B3">
                                <w:rPr>
                                  <w:rFonts w:eastAsiaTheme="minorEastAsia" w:cs="Times New Roman"/>
                                  <w:color w:val="000000" w:themeColor="text1"/>
                                  <w:sz w:val="62"/>
                                  <w:szCs w:val="62"/>
                                  <w:lang w:val="en-US"/>
                                </w:rPr>
                                <w:t xml:space="preserve">Comparative analysis of </w:t>
                              </w:r>
                              <w:r w:rsidR="00CB18B3" w:rsidRPr="0051405F">
                                <w:rPr>
                                  <w:rFonts w:eastAsiaTheme="minorEastAsia" w:cs="Times New Roman"/>
                                  <w:color w:val="000000" w:themeColor="text1"/>
                                  <w:sz w:val="62"/>
                                  <w:szCs w:val="62"/>
                                  <w:lang w:val="en-US"/>
                                </w:rPr>
                                <w:t>ener</w:t>
                              </w:r>
                              <w:r w:rsidR="00CB18B3">
                                <w:rPr>
                                  <w:rFonts w:eastAsiaTheme="minorEastAsia" w:cs="Times New Roman"/>
                                  <w:color w:val="000000" w:themeColor="text1"/>
                                  <w:sz w:val="62"/>
                                  <w:szCs w:val="62"/>
                                  <w:lang w:val="en-US"/>
                                </w:rPr>
                                <w:t>gy and waste from Nuclear and Renewable</w:t>
                              </w:r>
                              <w:r w:rsidR="00CB18B3" w:rsidRPr="0051405F">
                                <w:rPr>
                                  <w:rFonts w:eastAsiaTheme="minorEastAsia" w:cs="Times New Roman"/>
                                  <w:color w:val="000000" w:themeColor="text1"/>
                                  <w:sz w:val="62"/>
                                  <w:szCs w:val="62"/>
                                  <w:lang w:val="en-US"/>
                                </w:rPr>
                                <w:t xml:space="preserve"> electricity generation</w:t>
                              </w:r>
                              <w:r w:rsidR="00CB18B3">
                                <w:rPr>
                                  <w:rFonts w:eastAsiaTheme="minorEastAsia" w:cs="Times New Roman"/>
                                  <w:color w:val="000000" w:themeColor="text1"/>
                                  <w:sz w:val="62"/>
                                  <w:szCs w:val="62"/>
                                  <w:lang w:val="en-US"/>
                                </w:rPr>
                                <w:t xml:space="preserve"> technologies</w:t>
                              </w:r>
                            </w:sdtContent>
                          </w:sdt>
                        </w:p>
                        <w:sdt>
                          <w:sdtPr>
                            <w:rPr>
                              <w:rFonts w:ascii="Adobe Hebrew" w:hAnsi="Adobe Hebrew" w:cs="Adobe Hebrew"/>
                              <w:b/>
                            </w:rPr>
                            <w:alias w:val="Author"/>
                            <w:tag w:val=""/>
                            <w:id w:val="1769816301"/>
                            <w:dataBinding w:prefixMappings="xmlns:ns0='http://purl.org/dc/elements/1.1/' xmlns:ns1='http://schemas.openxmlformats.org/package/2006/metadata/core-properties' " w:xpath="/ns1:coreProperties[1]/ns0:creator[1]" w:storeItemID="{6C3C8BC8-F283-45AE-878A-BAB7291924A1}"/>
                            <w:text/>
                          </w:sdtPr>
                          <w:sdtEndPr/>
                          <w:sdtContent>
                            <w:p w14:paraId="07C98014" w14:textId="1A29AD18" w:rsidR="00CB18B3" w:rsidRDefault="00CB18B3" w:rsidP="00373AD0">
                              <w:pPr>
                                <w:jc w:val="center"/>
                                <w:rPr>
                                  <w:rFonts w:ascii="Adobe Hebrew" w:hAnsi="Adobe Hebrew" w:cs="Adobe Hebrew"/>
                                  <w:b/>
                                </w:rPr>
                              </w:pPr>
                              <w:r>
                                <w:rPr>
                                  <w:rFonts w:ascii="Adobe Hebrew" w:hAnsi="Adobe Hebrew" w:cs="Adobe Hebrew"/>
                                  <w:b/>
                                </w:rPr>
                                <w:t>Lars Ivar Nitter Havro</w:t>
                              </w:r>
                            </w:p>
                          </w:sdtContent>
                        </w:sdt>
                        <w:p w14:paraId="58434506" w14:textId="77777777" w:rsidR="00CB18B3" w:rsidRPr="00B16C84" w:rsidRDefault="00CB18B3" w:rsidP="00373AD0">
                          <w:pPr>
                            <w:jc w:val="center"/>
                            <w:rPr>
                              <w:rFonts w:ascii="Adobe Hebrew" w:eastAsia="Adobe Song Std L" w:hAnsi="Adobe Hebrew" w:cs="Adobe Hebrew"/>
                            </w:rPr>
                          </w:pPr>
                          <w:r>
                            <w:rPr>
                              <w:rFonts w:ascii="Adobe Hebrew" w:hAnsi="Adobe Hebrew" w:cs="Adobe Hebrew"/>
                              <w:b/>
                            </w:rPr>
                            <w:t>2017</w:t>
                          </w:r>
                        </w:p>
                      </w:txbxContent>
                    </v:textbox>
                    <w10:wrap type="square" anchorx="margin" anchory="page"/>
                  </v:shape>
                </w:pict>
              </mc:Fallback>
            </mc:AlternateContent>
          </w:r>
          <w:r>
            <w:rPr>
              <w:noProof/>
              <w:lang w:eastAsia="en-GB"/>
            </w:rPr>
            <mc:AlternateContent>
              <mc:Choice Requires="wps">
                <w:drawing>
                  <wp:anchor distT="0" distB="0" distL="182880" distR="182880" simplePos="0" relativeHeight="251659264" behindDoc="0" locked="0" layoutInCell="1" allowOverlap="1" wp14:anchorId="4A04864C" wp14:editId="2AA0DD5D">
                    <wp:simplePos x="0" y="0"/>
                    <wp:positionH relativeFrom="margin">
                      <wp:align>center</wp:align>
                    </wp:positionH>
                    <wp:positionV relativeFrom="page">
                      <wp:posOffset>4076700</wp:posOffset>
                    </wp:positionV>
                    <wp:extent cx="4210050" cy="2743200"/>
                    <wp:effectExtent l="0" t="0" r="0" b="0"/>
                    <wp:wrapSquare wrapText="bothSides"/>
                    <wp:docPr id="131" name="Text Box 131"/>
                    <wp:cNvGraphicFramePr/>
                    <a:graphic xmlns:a="http://schemas.openxmlformats.org/drawingml/2006/main">
                      <a:graphicData uri="http://schemas.microsoft.com/office/word/2010/wordprocessingShape">
                        <wps:wsp>
                          <wps:cNvSpPr txBox="1"/>
                          <wps:spPr>
                            <a:xfrm>
                              <a:off x="0" y="0"/>
                              <a:ext cx="4210050" cy="2743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EC975F" w14:textId="77777777" w:rsidR="00CB18B3" w:rsidRPr="00581EA1" w:rsidRDefault="00CB18B3" w:rsidP="00373AD0">
                                <w:pPr>
                                  <w:pStyle w:val="Ingenmellomrom"/>
                                  <w:spacing w:before="80" w:after="40"/>
                                  <w:rPr>
                                    <w:caps/>
                                    <w:color w:val="000000" w:themeColor="text1"/>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4A04864C" id="Text Box 131" o:spid="_x0000_s1027" type="#_x0000_t202" style="position:absolute;left:0;text-align:left;margin-left:0;margin-top:321pt;width:331.5pt;height:3in;z-index:251659264;visibility:visible;mso-wrap-style:square;mso-width-percent:0;mso-height-percent:0;mso-wrap-distance-left:14.4pt;mso-wrap-distance-top:0;mso-wrap-distance-right:14.4pt;mso-wrap-distance-bottom:0;mso-position-horizontal:center;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" filled="f" stroked="f" strokeweight=".5pt">
                    <v:textbox inset="0,0,0,0">
                      <w:txbxContent>
                        <w:p w14:paraId="6BEC975F" w14:textId="77777777" w:rsidR="00CB18B3" w:rsidRPr="00581EA1" w:rsidRDefault="00CB18B3" w:rsidP="00373AD0">
                          <w:pPr>
                            <w:pStyle w:val="Ingenmellomrom"/>
                            <w:spacing w:before="80" w:after="40"/>
                            <w:rPr>
                              <w:caps/>
                              <w:color w:val="000000" w:themeColor="text1"/>
                              <w:sz w:val="24"/>
                              <w:szCs w:val="24"/>
                            </w:rPr>
                          </w:pPr>
                        </w:p>
                      </w:txbxContent>
                    </v:textbox>
                    <w10:wrap type="square" anchorx="margin" anchory="page"/>
                  </v:shape>
                </w:pict>
              </mc:Fallback>
            </mc:AlternateContent>
          </w:r>
          <w:r>
            <w:br w:type="page"/>
          </w:r>
          <w:r w:rsidR="00CB18B3">
            <w:lastRenderedPageBreak/>
            <w:t xml:space="preserve"> </w:t>
          </w:r>
          <w:r w:rsidR="00CB18B3">
            <w:rPr>
              <w:rFonts w:cs="Times New Roman"/>
              <w:b/>
              <w:color w:val="auto"/>
              <w:sz w:val="22"/>
              <w:szCs w:val="22"/>
            </w:rPr>
            <w:t>List of Contents</w:t>
          </w:r>
        </w:p>
        <w:p w14:paraId="55D36980" w14:textId="544CEC06" w:rsidR="00373AD0" w:rsidRDefault="00B10DCD" w:rsidP="00373AD0"/>
      </w:sdtContent>
    </w:sdt>
    <w:p w14:paraId="5DA9EF48" w14:textId="1B00EBB5" w:rsidR="003947E4" w:rsidRDefault="00373AD0">
      <w:pPr>
        <w:pStyle w:val="INNH1"/>
        <w:tabs>
          <w:tab w:val="left" w:pos="880"/>
          <w:tab w:val="right" w:leader="dot" w:pos="9016"/>
        </w:tabs>
        <w:rPr>
          <w:rFonts w:asciiTheme="minorHAnsi" w:eastAsiaTheme="minorEastAsia" w:hAnsiTheme="minorHAnsi"/>
          <w:noProof/>
          <w:sz w:val="22"/>
          <w:lang w:eastAsia="en-GB"/>
        </w:rPr>
      </w:pPr>
      <w:r>
        <w:fldChar w:fldCharType="begin"/>
      </w:r>
      <w:r>
        <w:instrText xml:space="preserve"> TOC \o "1-4" \h \z \u </w:instrText>
      </w:r>
      <w:r>
        <w:fldChar w:fldCharType="separate"/>
      </w:r>
      <w:hyperlink w:anchor="_Toc506307996" w:history="1">
        <w:r w:rsidR="003947E4" w:rsidRPr="00270113">
          <w:rPr>
            <w:rStyle w:val="Hyperkobling"/>
            <w:rFonts w:asciiTheme="majorHAnsi" w:hAnsiTheme="majorHAnsi"/>
            <w:noProof/>
          </w:rPr>
          <w:t>1.</w:t>
        </w:r>
        <w:r w:rsidR="003947E4">
          <w:rPr>
            <w:rFonts w:asciiTheme="minorHAnsi" w:eastAsiaTheme="minorEastAsia" w:hAnsiTheme="minorHAnsi"/>
            <w:noProof/>
            <w:sz w:val="22"/>
            <w:lang w:eastAsia="en-GB"/>
          </w:rPr>
          <w:tab/>
        </w:r>
        <w:r w:rsidR="003947E4" w:rsidRPr="00270113">
          <w:rPr>
            <w:rStyle w:val="Hyperkobling"/>
            <w:noProof/>
          </w:rPr>
          <w:t>Introduction</w:t>
        </w:r>
        <w:r w:rsidR="003947E4">
          <w:rPr>
            <w:noProof/>
            <w:webHidden/>
          </w:rPr>
          <w:tab/>
        </w:r>
        <w:r w:rsidR="003947E4">
          <w:rPr>
            <w:noProof/>
            <w:webHidden/>
          </w:rPr>
          <w:fldChar w:fldCharType="begin"/>
        </w:r>
        <w:r w:rsidR="003947E4">
          <w:rPr>
            <w:noProof/>
            <w:webHidden/>
          </w:rPr>
          <w:instrText xml:space="preserve"> PAGEREF _Toc506307996 \h </w:instrText>
        </w:r>
        <w:r w:rsidR="003947E4">
          <w:rPr>
            <w:noProof/>
            <w:webHidden/>
          </w:rPr>
        </w:r>
        <w:r w:rsidR="003947E4">
          <w:rPr>
            <w:noProof/>
            <w:webHidden/>
          </w:rPr>
          <w:fldChar w:fldCharType="separate"/>
        </w:r>
        <w:r w:rsidR="003947E4">
          <w:rPr>
            <w:noProof/>
            <w:webHidden/>
          </w:rPr>
          <w:t>1</w:t>
        </w:r>
        <w:r w:rsidR="003947E4">
          <w:rPr>
            <w:noProof/>
            <w:webHidden/>
          </w:rPr>
          <w:fldChar w:fldCharType="end"/>
        </w:r>
      </w:hyperlink>
    </w:p>
    <w:p w14:paraId="5B4D78A4" w14:textId="1136A713" w:rsidR="003947E4" w:rsidRDefault="00B10DCD">
      <w:pPr>
        <w:pStyle w:val="INNH2"/>
        <w:tabs>
          <w:tab w:val="left" w:pos="1320"/>
          <w:tab w:val="right" w:leader="dot" w:pos="9016"/>
        </w:tabs>
        <w:rPr>
          <w:rFonts w:asciiTheme="minorHAnsi" w:eastAsiaTheme="minorEastAsia" w:hAnsiTheme="minorHAnsi"/>
          <w:noProof/>
          <w:sz w:val="22"/>
          <w:lang w:eastAsia="en-GB"/>
        </w:rPr>
      </w:pPr>
      <w:hyperlink w:anchor="_Toc506307997" w:history="1">
        <w:r w:rsidR="003947E4" w:rsidRPr="00270113">
          <w:rPr>
            <w:rStyle w:val="Hyperkobling"/>
            <w:noProof/>
          </w:rPr>
          <w:t>1.1</w:t>
        </w:r>
        <w:r w:rsidR="003947E4">
          <w:rPr>
            <w:rFonts w:asciiTheme="minorHAnsi" w:eastAsiaTheme="minorEastAsia" w:hAnsiTheme="minorHAnsi"/>
            <w:noProof/>
            <w:sz w:val="22"/>
            <w:lang w:eastAsia="en-GB"/>
          </w:rPr>
          <w:tab/>
        </w:r>
        <w:r w:rsidR="003947E4" w:rsidRPr="00270113">
          <w:rPr>
            <w:rStyle w:val="Hyperkobling"/>
            <w:noProof/>
          </w:rPr>
          <w:t>Background</w:t>
        </w:r>
        <w:r w:rsidR="003947E4">
          <w:rPr>
            <w:noProof/>
            <w:webHidden/>
          </w:rPr>
          <w:tab/>
        </w:r>
        <w:r w:rsidR="003947E4">
          <w:rPr>
            <w:noProof/>
            <w:webHidden/>
          </w:rPr>
          <w:fldChar w:fldCharType="begin"/>
        </w:r>
        <w:r w:rsidR="003947E4">
          <w:rPr>
            <w:noProof/>
            <w:webHidden/>
          </w:rPr>
          <w:instrText xml:space="preserve"> PAGEREF _Toc506307997 \h </w:instrText>
        </w:r>
        <w:r w:rsidR="003947E4">
          <w:rPr>
            <w:noProof/>
            <w:webHidden/>
          </w:rPr>
        </w:r>
        <w:r w:rsidR="003947E4">
          <w:rPr>
            <w:noProof/>
            <w:webHidden/>
          </w:rPr>
          <w:fldChar w:fldCharType="separate"/>
        </w:r>
        <w:r w:rsidR="003947E4">
          <w:rPr>
            <w:noProof/>
            <w:webHidden/>
          </w:rPr>
          <w:t>1</w:t>
        </w:r>
        <w:r w:rsidR="003947E4">
          <w:rPr>
            <w:noProof/>
            <w:webHidden/>
          </w:rPr>
          <w:fldChar w:fldCharType="end"/>
        </w:r>
      </w:hyperlink>
    </w:p>
    <w:p w14:paraId="461A2377" w14:textId="1C26F23E" w:rsidR="003947E4" w:rsidRDefault="00B10DCD">
      <w:pPr>
        <w:pStyle w:val="INNH1"/>
        <w:tabs>
          <w:tab w:val="left" w:pos="880"/>
          <w:tab w:val="right" w:leader="dot" w:pos="9016"/>
        </w:tabs>
        <w:rPr>
          <w:rFonts w:asciiTheme="minorHAnsi" w:eastAsiaTheme="minorEastAsia" w:hAnsiTheme="minorHAnsi"/>
          <w:noProof/>
          <w:sz w:val="22"/>
          <w:lang w:eastAsia="en-GB"/>
        </w:rPr>
      </w:pPr>
      <w:hyperlink w:anchor="_Toc506307998" w:history="1">
        <w:r w:rsidR="003947E4" w:rsidRPr="00270113">
          <w:rPr>
            <w:rStyle w:val="Hyperkobling"/>
            <w:noProof/>
          </w:rPr>
          <w:t>2.</w:t>
        </w:r>
        <w:r w:rsidR="003947E4">
          <w:rPr>
            <w:rFonts w:asciiTheme="minorHAnsi" w:eastAsiaTheme="minorEastAsia" w:hAnsiTheme="minorHAnsi"/>
            <w:noProof/>
            <w:sz w:val="22"/>
            <w:lang w:eastAsia="en-GB"/>
          </w:rPr>
          <w:tab/>
        </w:r>
        <w:r w:rsidR="003947E4" w:rsidRPr="00270113">
          <w:rPr>
            <w:rStyle w:val="Hyperkobling"/>
            <w:noProof/>
          </w:rPr>
          <w:t>Nuclear and Renewable Energy and Waste Characteristics</w:t>
        </w:r>
        <w:r w:rsidR="003947E4">
          <w:rPr>
            <w:noProof/>
            <w:webHidden/>
          </w:rPr>
          <w:tab/>
        </w:r>
        <w:r w:rsidR="003947E4">
          <w:rPr>
            <w:noProof/>
            <w:webHidden/>
          </w:rPr>
          <w:fldChar w:fldCharType="begin"/>
        </w:r>
        <w:r w:rsidR="003947E4">
          <w:rPr>
            <w:noProof/>
            <w:webHidden/>
          </w:rPr>
          <w:instrText xml:space="preserve"> PAGEREF _Toc506307998 \h </w:instrText>
        </w:r>
        <w:r w:rsidR="003947E4">
          <w:rPr>
            <w:noProof/>
            <w:webHidden/>
          </w:rPr>
        </w:r>
        <w:r w:rsidR="003947E4">
          <w:rPr>
            <w:noProof/>
            <w:webHidden/>
          </w:rPr>
          <w:fldChar w:fldCharType="separate"/>
        </w:r>
        <w:r w:rsidR="003947E4">
          <w:rPr>
            <w:noProof/>
            <w:webHidden/>
          </w:rPr>
          <w:t>2</w:t>
        </w:r>
        <w:r w:rsidR="003947E4">
          <w:rPr>
            <w:noProof/>
            <w:webHidden/>
          </w:rPr>
          <w:fldChar w:fldCharType="end"/>
        </w:r>
      </w:hyperlink>
    </w:p>
    <w:p w14:paraId="73CF57AE" w14:textId="4DDAD31D" w:rsidR="003947E4" w:rsidRDefault="00B10DCD">
      <w:pPr>
        <w:pStyle w:val="INNH2"/>
        <w:tabs>
          <w:tab w:val="right" w:leader="dot" w:pos="9016"/>
        </w:tabs>
        <w:rPr>
          <w:rFonts w:asciiTheme="minorHAnsi" w:eastAsiaTheme="minorEastAsia" w:hAnsiTheme="minorHAnsi"/>
          <w:noProof/>
          <w:sz w:val="22"/>
          <w:lang w:eastAsia="en-GB"/>
        </w:rPr>
      </w:pPr>
      <w:hyperlink w:anchor="_Toc506307999" w:history="1">
        <w:r w:rsidR="003947E4" w:rsidRPr="00270113">
          <w:rPr>
            <w:rStyle w:val="Hyperkobling"/>
            <w:noProof/>
          </w:rPr>
          <w:t>2.1 Wind Power Generation (WPG)</w:t>
        </w:r>
        <w:r w:rsidR="003947E4">
          <w:rPr>
            <w:noProof/>
            <w:webHidden/>
          </w:rPr>
          <w:tab/>
        </w:r>
        <w:r w:rsidR="003947E4">
          <w:rPr>
            <w:noProof/>
            <w:webHidden/>
          </w:rPr>
          <w:fldChar w:fldCharType="begin"/>
        </w:r>
        <w:r w:rsidR="003947E4">
          <w:rPr>
            <w:noProof/>
            <w:webHidden/>
          </w:rPr>
          <w:instrText xml:space="preserve"> PAGEREF _Toc506307999 \h </w:instrText>
        </w:r>
        <w:r w:rsidR="003947E4">
          <w:rPr>
            <w:noProof/>
            <w:webHidden/>
          </w:rPr>
        </w:r>
        <w:r w:rsidR="003947E4">
          <w:rPr>
            <w:noProof/>
            <w:webHidden/>
          </w:rPr>
          <w:fldChar w:fldCharType="separate"/>
        </w:r>
        <w:r w:rsidR="003947E4">
          <w:rPr>
            <w:noProof/>
            <w:webHidden/>
          </w:rPr>
          <w:t>3</w:t>
        </w:r>
        <w:r w:rsidR="003947E4">
          <w:rPr>
            <w:noProof/>
            <w:webHidden/>
          </w:rPr>
          <w:fldChar w:fldCharType="end"/>
        </w:r>
      </w:hyperlink>
    </w:p>
    <w:p w14:paraId="7463AB0A" w14:textId="1958055A" w:rsidR="003947E4" w:rsidRDefault="00B10DCD">
      <w:pPr>
        <w:pStyle w:val="INNH3"/>
        <w:tabs>
          <w:tab w:val="right" w:leader="dot" w:pos="9016"/>
        </w:tabs>
        <w:rPr>
          <w:rFonts w:asciiTheme="minorHAnsi" w:eastAsiaTheme="minorEastAsia" w:hAnsiTheme="minorHAnsi"/>
          <w:noProof/>
          <w:sz w:val="22"/>
          <w:lang w:eastAsia="en-GB"/>
        </w:rPr>
      </w:pPr>
      <w:hyperlink w:anchor="_Toc506308000" w:history="1">
        <w:r w:rsidR="003947E4" w:rsidRPr="00270113">
          <w:rPr>
            <w:rStyle w:val="Hyperkobling"/>
            <w:noProof/>
          </w:rPr>
          <w:t>2.1.1 Onshore Wind</w:t>
        </w:r>
        <w:r w:rsidR="003947E4">
          <w:rPr>
            <w:noProof/>
            <w:webHidden/>
          </w:rPr>
          <w:tab/>
        </w:r>
        <w:r w:rsidR="003947E4">
          <w:rPr>
            <w:noProof/>
            <w:webHidden/>
          </w:rPr>
          <w:fldChar w:fldCharType="begin"/>
        </w:r>
        <w:r w:rsidR="003947E4">
          <w:rPr>
            <w:noProof/>
            <w:webHidden/>
          </w:rPr>
          <w:instrText xml:space="preserve"> PAGEREF _Toc506308000 \h </w:instrText>
        </w:r>
        <w:r w:rsidR="003947E4">
          <w:rPr>
            <w:noProof/>
            <w:webHidden/>
          </w:rPr>
        </w:r>
        <w:r w:rsidR="003947E4">
          <w:rPr>
            <w:noProof/>
            <w:webHidden/>
          </w:rPr>
          <w:fldChar w:fldCharType="separate"/>
        </w:r>
        <w:r w:rsidR="003947E4">
          <w:rPr>
            <w:noProof/>
            <w:webHidden/>
          </w:rPr>
          <w:t>6</w:t>
        </w:r>
        <w:r w:rsidR="003947E4">
          <w:rPr>
            <w:noProof/>
            <w:webHidden/>
          </w:rPr>
          <w:fldChar w:fldCharType="end"/>
        </w:r>
      </w:hyperlink>
    </w:p>
    <w:p w14:paraId="2EA59027" w14:textId="7122AFAC" w:rsidR="003947E4" w:rsidRDefault="00B10DCD">
      <w:pPr>
        <w:pStyle w:val="INNH3"/>
        <w:tabs>
          <w:tab w:val="right" w:leader="dot" w:pos="9016"/>
        </w:tabs>
        <w:rPr>
          <w:rFonts w:asciiTheme="minorHAnsi" w:eastAsiaTheme="minorEastAsia" w:hAnsiTheme="minorHAnsi"/>
          <w:noProof/>
          <w:sz w:val="22"/>
          <w:lang w:eastAsia="en-GB"/>
        </w:rPr>
      </w:pPr>
      <w:hyperlink w:anchor="_Toc506308001" w:history="1">
        <w:r w:rsidR="003947E4" w:rsidRPr="00270113">
          <w:rPr>
            <w:rStyle w:val="Hyperkobling"/>
            <w:noProof/>
          </w:rPr>
          <w:t>2.1.2 Offshore Wind</w:t>
        </w:r>
        <w:r w:rsidR="003947E4">
          <w:rPr>
            <w:noProof/>
            <w:webHidden/>
          </w:rPr>
          <w:tab/>
        </w:r>
        <w:r w:rsidR="003947E4">
          <w:rPr>
            <w:noProof/>
            <w:webHidden/>
          </w:rPr>
          <w:fldChar w:fldCharType="begin"/>
        </w:r>
        <w:r w:rsidR="003947E4">
          <w:rPr>
            <w:noProof/>
            <w:webHidden/>
          </w:rPr>
          <w:instrText xml:space="preserve"> PAGEREF _Toc506308001 \h </w:instrText>
        </w:r>
        <w:r w:rsidR="003947E4">
          <w:rPr>
            <w:noProof/>
            <w:webHidden/>
          </w:rPr>
        </w:r>
        <w:r w:rsidR="003947E4">
          <w:rPr>
            <w:noProof/>
            <w:webHidden/>
          </w:rPr>
          <w:fldChar w:fldCharType="separate"/>
        </w:r>
        <w:r w:rsidR="003947E4">
          <w:rPr>
            <w:noProof/>
            <w:webHidden/>
          </w:rPr>
          <w:t>6</w:t>
        </w:r>
        <w:r w:rsidR="003947E4">
          <w:rPr>
            <w:noProof/>
            <w:webHidden/>
          </w:rPr>
          <w:fldChar w:fldCharType="end"/>
        </w:r>
      </w:hyperlink>
    </w:p>
    <w:p w14:paraId="2097E2D7" w14:textId="46746D08" w:rsidR="003947E4" w:rsidRDefault="00B10DCD">
      <w:pPr>
        <w:pStyle w:val="INNH2"/>
        <w:tabs>
          <w:tab w:val="right" w:leader="dot" w:pos="9016"/>
        </w:tabs>
        <w:rPr>
          <w:rFonts w:asciiTheme="minorHAnsi" w:eastAsiaTheme="minorEastAsia" w:hAnsiTheme="minorHAnsi"/>
          <w:noProof/>
          <w:sz w:val="22"/>
          <w:lang w:eastAsia="en-GB"/>
        </w:rPr>
      </w:pPr>
      <w:hyperlink w:anchor="_Toc506308002" w:history="1">
        <w:r w:rsidR="003947E4" w:rsidRPr="00270113">
          <w:rPr>
            <w:rStyle w:val="Hyperkobling"/>
            <w:noProof/>
          </w:rPr>
          <w:t>2.2 Nuclear Power Generation (NPG)</w:t>
        </w:r>
        <w:r w:rsidR="003947E4">
          <w:rPr>
            <w:noProof/>
            <w:webHidden/>
          </w:rPr>
          <w:tab/>
        </w:r>
        <w:r w:rsidR="003947E4">
          <w:rPr>
            <w:noProof/>
            <w:webHidden/>
          </w:rPr>
          <w:fldChar w:fldCharType="begin"/>
        </w:r>
        <w:r w:rsidR="003947E4">
          <w:rPr>
            <w:noProof/>
            <w:webHidden/>
          </w:rPr>
          <w:instrText xml:space="preserve"> PAGEREF _Toc506308002 \h </w:instrText>
        </w:r>
        <w:r w:rsidR="003947E4">
          <w:rPr>
            <w:noProof/>
            <w:webHidden/>
          </w:rPr>
        </w:r>
        <w:r w:rsidR="003947E4">
          <w:rPr>
            <w:noProof/>
            <w:webHidden/>
          </w:rPr>
          <w:fldChar w:fldCharType="separate"/>
        </w:r>
        <w:r w:rsidR="003947E4">
          <w:rPr>
            <w:noProof/>
            <w:webHidden/>
          </w:rPr>
          <w:t>6</w:t>
        </w:r>
        <w:r w:rsidR="003947E4">
          <w:rPr>
            <w:noProof/>
            <w:webHidden/>
          </w:rPr>
          <w:fldChar w:fldCharType="end"/>
        </w:r>
      </w:hyperlink>
    </w:p>
    <w:p w14:paraId="7DE60E32" w14:textId="3324573E" w:rsidR="003947E4" w:rsidRDefault="00B10DCD">
      <w:pPr>
        <w:pStyle w:val="INNH3"/>
        <w:tabs>
          <w:tab w:val="right" w:leader="dot" w:pos="9016"/>
        </w:tabs>
        <w:rPr>
          <w:rFonts w:asciiTheme="minorHAnsi" w:eastAsiaTheme="minorEastAsia" w:hAnsiTheme="minorHAnsi"/>
          <w:noProof/>
          <w:sz w:val="22"/>
          <w:lang w:eastAsia="en-GB"/>
        </w:rPr>
      </w:pPr>
      <w:hyperlink w:anchor="_Toc506308003" w:history="1">
        <w:r w:rsidR="003947E4" w:rsidRPr="00270113">
          <w:rPr>
            <w:rStyle w:val="Hyperkobling"/>
            <w:noProof/>
          </w:rPr>
          <w:t>2.2.1 Advanced gas-cooled reactor (AGR)</w:t>
        </w:r>
        <w:r w:rsidR="003947E4">
          <w:rPr>
            <w:noProof/>
            <w:webHidden/>
          </w:rPr>
          <w:tab/>
        </w:r>
        <w:r w:rsidR="003947E4">
          <w:rPr>
            <w:noProof/>
            <w:webHidden/>
          </w:rPr>
          <w:fldChar w:fldCharType="begin"/>
        </w:r>
        <w:r w:rsidR="003947E4">
          <w:rPr>
            <w:noProof/>
            <w:webHidden/>
          </w:rPr>
          <w:instrText xml:space="preserve"> PAGEREF _Toc506308003 \h </w:instrText>
        </w:r>
        <w:r w:rsidR="003947E4">
          <w:rPr>
            <w:noProof/>
            <w:webHidden/>
          </w:rPr>
        </w:r>
        <w:r w:rsidR="003947E4">
          <w:rPr>
            <w:noProof/>
            <w:webHidden/>
          </w:rPr>
          <w:fldChar w:fldCharType="separate"/>
        </w:r>
        <w:r w:rsidR="003947E4">
          <w:rPr>
            <w:noProof/>
            <w:webHidden/>
          </w:rPr>
          <w:t>7</w:t>
        </w:r>
        <w:r w:rsidR="003947E4">
          <w:rPr>
            <w:noProof/>
            <w:webHidden/>
          </w:rPr>
          <w:fldChar w:fldCharType="end"/>
        </w:r>
      </w:hyperlink>
    </w:p>
    <w:p w14:paraId="7DBB87ED" w14:textId="4A106DC7" w:rsidR="003947E4" w:rsidRDefault="00B10DCD">
      <w:pPr>
        <w:pStyle w:val="INNH3"/>
        <w:tabs>
          <w:tab w:val="right" w:leader="dot" w:pos="9016"/>
        </w:tabs>
        <w:rPr>
          <w:rFonts w:asciiTheme="minorHAnsi" w:eastAsiaTheme="minorEastAsia" w:hAnsiTheme="minorHAnsi"/>
          <w:noProof/>
          <w:sz w:val="22"/>
          <w:lang w:eastAsia="en-GB"/>
        </w:rPr>
      </w:pPr>
      <w:hyperlink w:anchor="_Toc506308004" w:history="1">
        <w:r w:rsidR="003947E4" w:rsidRPr="00270113">
          <w:rPr>
            <w:rStyle w:val="Hyperkobling"/>
            <w:noProof/>
          </w:rPr>
          <w:t>2.2.2 Molten Salt Reactor (MSR)</w:t>
        </w:r>
        <w:r w:rsidR="003947E4">
          <w:rPr>
            <w:noProof/>
            <w:webHidden/>
          </w:rPr>
          <w:tab/>
        </w:r>
        <w:r w:rsidR="003947E4">
          <w:rPr>
            <w:noProof/>
            <w:webHidden/>
          </w:rPr>
          <w:fldChar w:fldCharType="begin"/>
        </w:r>
        <w:r w:rsidR="003947E4">
          <w:rPr>
            <w:noProof/>
            <w:webHidden/>
          </w:rPr>
          <w:instrText xml:space="preserve"> PAGEREF _Toc506308004 \h </w:instrText>
        </w:r>
        <w:r w:rsidR="003947E4">
          <w:rPr>
            <w:noProof/>
            <w:webHidden/>
          </w:rPr>
        </w:r>
        <w:r w:rsidR="003947E4">
          <w:rPr>
            <w:noProof/>
            <w:webHidden/>
          </w:rPr>
          <w:fldChar w:fldCharType="separate"/>
        </w:r>
        <w:r w:rsidR="003947E4">
          <w:rPr>
            <w:noProof/>
            <w:webHidden/>
          </w:rPr>
          <w:t>8</w:t>
        </w:r>
        <w:r w:rsidR="003947E4">
          <w:rPr>
            <w:noProof/>
            <w:webHidden/>
          </w:rPr>
          <w:fldChar w:fldCharType="end"/>
        </w:r>
      </w:hyperlink>
    </w:p>
    <w:p w14:paraId="1E5A815E" w14:textId="012B1B22" w:rsidR="003947E4" w:rsidRDefault="00B10DCD">
      <w:pPr>
        <w:pStyle w:val="INNH1"/>
        <w:tabs>
          <w:tab w:val="left" w:pos="880"/>
          <w:tab w:val="right" w:leader="dot" w:pos="9016"/>
        </w:tabs>
        <w:rPr>
          <w:rFonts w:asciiTheme="minorHAnsi" w:eastAsiaTheme="minorEastAsia" w:hAnsiTheme="minorHAnsi"/>
          <w:noProof/>
          <w:sz w:val="22"/>
          <w:lang w:eastAsia="en-GB"/>
        </w:rPr>
      </w:pPr>
      <w:hyperlink w:anchor="_Toc506308005" w:history="1">
        <w:r w:rsidR="003947E4" w:rsidRPr="00270113">
          <w:rPr>
            <w:rStyle w:val="Hyperkobling"/>
            <w:noProof/>
          </w:rPr>
          <w:t>3.</w:t>
        </w:r>
        <w:r w:rsidR="003947E4">
          <w:rPr>
            <w:rFonts w:asciiTheme="minorHAnsi" w:eastAsiaTheme="minorEastAsia" w:hAnsiTheme="minorHAnsi"/>
            <w:noProof/>
            <w:sz w:val="22"/>
            <w:lang w:eastAsia="en-GB"/>
          </w:rPr>
          <w:tab/>
        </w:r>
        <w:r w:rsidR="003947E4" w:rsidRPr="00270113">
          <w:rPr>
            <w:rStyle w:val="Hyperkobling"/>
            <w:noProof/>
          </w:rPr>
          <w:t>Evaluative juxtaposition of sustainability characteristics from Energy and Waste</w:t>
        </w:r>
        <w:r w:rsidR="003947E4">
          <w:rPr>
            <w:noProof/>
            <w:webHidden/>
          </w:rPr>
          <w:tab/>
          <w:t>……………………………………………………………………………………</w:t>
        </w:r>
        <w:r w:rsidR="003947E4">
          <w:rPr>
            <w:noProof/>
            <w:webHidden/>
          </w:rPr>
          <w:fldChar w:fldCharType="begin"/>
        </w:r>
        <w:r w:rsidR="003947E4">
          <w:rPr>
            <w:noProof/>
            <w:webHidden/>
          </w:rPr>
          <w:instrText xml:space="preserve"> PAGEREF _Toc506308005 \h </w:instrText>
        </w:r>
        <w:r w:rsidR="003947E4">
          <w:rPr>
            <w:noProof/>
            <w:webHidden/>
          </w:rPr>
        </w:r>
        <w:r w:rsidR="003947E4">
          <w:rPr>
            <w:noProof/>
            <w:webHidden/>
          </w:rPr>
          <w:fldChar w:fldCharType="separate"/>
        </w:r>
        <w:r w:rsidR="003947E4">
          <w:rPr>
            <w:noProof/>
            <w:webHidden/>
          </w:rPr>
          <w:t>9</w:t>
        </w:r>
        <w:r w:rsidR="003947E4">
          <w:rPr>
            <w:noProof/>
            <w:webHidden/>
          </w:rPr>
          <w:fldChar w:fldCharType="end"/>
        </w:r>
      </w:hyperlink>
    </w:p>
    <w:p w14:paraId="1121A6C7" w14:textId="4FC4CE92" w:rsidR="003947E4" w:rsidRDefault="00B10DCD">
      <w:pPr>
        <w:pStyle w:val="INNH2"/>
        <w:tabs>
          <w:tab w:val="right" w:leader="dot" w:pos="9016"/>
        </w:tabs>
        <w:rPr>
          <w:rFonts w:asciiTheme="minorHAnsi" w:eastAsiaTheme="minorEastAsia" w:hAnsiTheme="minorHAnsi"/>
          <w:noProof/>
          <w:sz w:val="22"/>
          <w:lang w:eastAsia="en-GB"/>
        </w:rPr>
      </w:pPr>
      <w:hyperlink w:anchor="_Toc506308006" w:history="1">
        <w:r w:rsidR="003947E4" w:rsidRPr="00270113">
          <w:rPr>
            <w:rStyle w:val="Hyperkobling"/>
            <w:noProof/>
          </w:rPr>
          <w:t>3.1 Energy</w:t>
        </w:r>
        <w:r w:rsidR="003947E4">
          <w:rPr>
            <w:noProof/>
            <w:webHidden/>
          </w:rPr>
          <w:tab/>
        </w:r>
        <w:r w:rsidR="003947E4">
          <w:rPr>
            <w:noProof/>
            <w:webHidden/>
          </w:rPr>
          <w:fldChar w:fldCharType="begin"/>
        </w:r>
        <w:r w:rsidR="003947E4">
          <w:rPr>
            <w:noProof/>
            <w:webHidden/>
          </w:rPr>
          <w:instrText xml:space="preserve"> PAGEREF _Toc506308006 \h </w:instrText>
        </w:r>
        <w:r w:rsidR="003947E4">
          <w:rPr>
            <w:noProof/>
            <w:webHidden/>
          </w:rPr>
        </w:r>
        <w:r w:rsidR="003947E4">
          <w:rPr>
            <w:noProof/>
            <w:webHidden/>
          </w:rPr>
          <w:fldChar w:fldCharType="separate"/>
        </w:r>
        <w:r w:rsidR="003947E4">
          <w:rPr>
            <w:noProof/>
            <w:webHidden/>
          </w:rPr>
          <w:t>9</w:t>
        </w:r>
        <w:r w:rsidR="003947E4">
          <w:rPr>
            <w:noProof/>
            <w:webHidden/>
          </w:rPr>
          <w:fldChar w:fldCharType="end"/>
        </w:r>
      </w:hyperlink>
    </w:p>
    <w:p w14:paraId="5307D98A" w14:textId="165A3554" w:rsidR="003947E4" w:rsidRDefault="00B10DCD">
      <w:pPr>
        <w:pStyle w:val="INNH3"/>
        <w:tabs>
          <w:tab w:val="left" w:pos="1760"/>
          <w:tab w:val="right" w:leader="dot" w:pos="9016"/>
        </w:tabs>
        <w:rPr>
          <w:rFonts w:asciiTheme="minorHAnsi" w:eastAsiaTheme="minorEastAsia" w:hAnsiTheme="minorHAnsi"/>
          <w:noProof/>
          <w:sz w:val="22"/>
          <w:lang w:eastAsia="en-GB"/>
        </w:rPr>
      </w:pPr>
      <w:hyperlink w:anchor="_Toc506308007" w:history="1">
        <w:r w:rsidR="003947E4" w:rsidRPr="00270113">
          <w:rPr>
            <w:rStyle w:val="Hyperkobling"/>
            <w:noProof/>
          </w:rPr>
          <w:t>3.1.1</w:t>
        </w:r>
        <w:r w:rsidR="003947E4">
          <w:rPr>
            <w:rFonts w:asciiTheme="minorHAnsi" w:eastAsiaTheme="minorEastAsia" w:hAnsiTheme="minorHAnsi"/>
            <w:noProof/>
            <w:sz w:val="22"/>
            <w:lang w:eastAsia="en-GB"/>
          </w:rPr>
          <w:tab/>
        </w:r>
        <w:r w:rsidR="003947E4" w:rsidRPr="00270113">
          <w:rPr>
            <w:rStyle w:val="Hyperkobling"/>
            <w:noProof/>
          </w:rPr>
          <w:t>Environmental</w:t>
        </w:r>
        <w:r w:rsidR="003947E4">
          <w:rPr>
            <w:noProof/>
            <w:webHidden/>
          </w:rPr>
          <w:tab/>
        </w:r>
        <w:r w:rsidR="003947E4">
          <w:rPr>
            <w:noProof/>
            <w:webHidden/>
          </w:rPr>
          <w:fldChar w:fldCharType="begin"/>
        </w:r>
        <w:r w:rsidR="003947E4">
          <w:rPr>
            <w:noProof/>
            <w:webHidden/>
          </w:rPr>
          <w:instrText xml:space="preserve"> PAGEREF _Toc506308007 \h </w:instrText>
        </w:r>
        <w:r w:rsidR="003947E4">
          <w:rPr>
            <w:noProof/>
            <w:webHidden/>
          </w:rPr>
        </w:r>
        <w:r w:rsidR="003947E4">
          <w:rPr>
            <w:noProof/>
            <w:webHidden/>
          </w:rPr>
          <w:fldChar w:fldCharType="separate"/>
        </w:r>
        <w:r w:rsidR="003947E4">
          <w:rPr>
            <w:noProof/>
            <w:webHidden/>
          </w:rPr>
          <w:t>12</w:t>
        </w:r>
        <w:r w:rsidR="003947E4">
          <w:rPr>
            <w:noProof/>
            <w:webHidden/>
          </w:rPr>
          <w:fldChar w:fldCharType="end"/>
        </w:r>
      </w:hyperlink>
    </w:p>
    <w:p w14:paraId="6F315447" w14:textId="35D59C58" w:rsidR="003947E4" w:rsidRDefault="00B10DCD">
      <w:pPr>
        <w:pStyle w:val="INNH3"/>
        <w:tabs>
          <w:tab w:val="right" w:leader="dot" w:pos="9016"/>
        </w:tabs>
        <w:rPr>
          <w:rFonts w:asciiTheme="minorHAnsi" w:eastAsiaTheme="minorEastAsia" w:hAnsiTheme="minorHAnsi"/>
          <w:noProof/>
          <w:sz w:val="22"/>
          <w:lang w:eastAsia="en-GB"/>
        </w:rPr>
      </w:pPr>
      <w:hyperlink w:anchor="_Toc506308008" w:history="1">
        <w:r w:rsidR="003947E4" w:rsidRPr="00270113">
          <w:rPr>
            <w:rStyle w:val="Hyperkobling"/>
            <w:noProof/>
          </w:rPr>
          <w:t>3.1.2 Social</w:t>
        </w:r>
        <w:r w:rsidR="003947E4">
          <w:rPr>
            <w:noProof/>
            <w:webHidden/>
          </w:rPr>
          <w:tab/>
        </w:r>
        <w:r w:rsidR="003947E4">
          <w:rPr>
            <w:noProof/>
            <w:webHidden/>
          </w:rPr>
          <w:fldChar w:fldCharType="begin"/>
        </w:r>
        <w:r w:rsidR="003947E4">
          <w:rPr>
            <w:noProof/>
            <w:webHidden/>
          </w:rPr>
          <w:instrText xml:space="preserve"> PAGEREF _Toc506308008 \h </w:instrText>
        </w:r>
        <w:r w:rsidR="003947E4">
          <w:rPr>
            <w:noProof/>
            <w:webHidden/>
          </w:rPr>
        </w:r>
        <w:r w:rsidR="003947E4">
          <w:rPr>
            <w:noProof/>
            <w:webHidden/>
          </w:rPr>
          <w:fldChar w:fldCharType="separate"/>
        </w:r>
        <w:r w:rsidR="003947E4">
          <w:rPr>
            <w:noProof/>
            <w:webHidden/>
          </w:rPr>
          <w:t>15</w:t>
        </w:r>
        <w:r w:rsidR="003947E4">
          <w:rPr>
            <w:noProof/>
            <w:webHidden/>
          </w:rPr>
          <w:fldChar w:fldCharType="end"/>
        </w:r>
      </w:hyperlink>
    </w:p>
    <w:p w14:paraId="527B1D21" w14:textId="08987EDA" w:rsidR="003947E4" w:rsidRDefault="00B10DCD">
      <w:pPr>
        <w:pStyle w:val="INNH4"/>
        <w:tabs>
          <w:tab w:val="right" w:leader="dot" w:pos="9016"/>
        </w:tabs>
        <w:rPr>
          <w:rFonts w:asciiTheme="minorHAnsi" w:eastAsiaTheme="minorEastAsia" w:hAnsiTheme="minorHAnsi"/>
          <w:noProof/>
          <w:sz w:val="22"/>
          <w:lang w:eastAsia="en-GB"/>
        </w:rPr>
      </w:pPr>
      <w:hyperlink w:anchor="_Toc506308009" w:history="1">
        <w:r w:rsidR="003947E4" w:rsidRPr="00270113">
          <w:rPr>
            <w:rStyle w:val="Hyperkobling"/>
            <w:noProof/>
          </w:rPr>
          <w:t>3.1.2.1 Health</w:t>
        </w:r>
        <w:r w:rsidR="003947E4">
          <w:rPr>
            <w:noProof/>
            <w:webHidden/>
          </w:rPr>
          <w:tab/>
        </w:r>
        <w:r w:rsidR="003947E4">
          <w:rPr>
            <w:noProof/>
            <w:webHidden/>
          </w:rPr>
          <w:fldChar w:fldCharType="begin"/>
        </w:r>
        <w:r w:rsidR="003947E4">
          <w:rPr>
            <w:noProof/>
            <w:webHidden/>
          </w:rPr>
          <w:instrText xml:space="preserve"> PAGEREF _Toc506308009 \h </w:instrText>
        </w:r>
        <w:r w:rsidR="003947E4">
          <w:rPr>
            <w:noProof/>
            <w:webHidden/>
          </w:rPr>
        </w:r>
        <w:r w:rsidR="003947E4">
          <w:rPr>
            <w:noProof/>
            <w:webHidden/>
          </w:rPr>
          <w:fldChar w:fldCharType="separate"/>
        </w:r>
        <w:r w:rsidR="003947E4">
          <w:rPr>
            <w:noProof/>
            <w:webHidden/>
          </w:rPr>
          <w:t>15</w:t>
        </w:r>
        <w:r w:rsidR="003947E4">
          <w:rPr>
            <w:noProof/>
            <w:webHidden/>
          </w:rPr>
          <w:fldChar w:fldCharType="end"/>
        </w:r>
      </w:hyperlink>
    </w:p>
    <w:p w14:paraId="58196636" w14:textId="54070DD1" w:rsidR="003947E4" w:rsidRDefault="00B10DCD">
      <w:pPr>
        <w:pStyle w:val="INNH4"/>
        <w:tabs>
          <w:tab w:val="left" w:pos="2055"/>
          <w:tab w:val="right" w:leader="dot" w:pos="9016"/>
        </w:tabs>
        <w:rPr>
          <w:rFonts w:asciiTheme="minorHAnsi" w:eastAsiaTheme="minorEastAsia" w:hAnsiTheme="minorHAnsi"/>
          <w:noProof/>
          <w:sz w:val="22"/>
          <w:lang w:eastAsia="en-GB"/>
        </w:rPr>
      </w:pPr>
      <w:hyperlink w:anchor="_Toc506308010" w:history="1">
        <w:r w:rsidR="003947E4" w:rsidRPr="00270113">
          <w:rPr>
            <w:rStyle w:val="Hyperkobling"/>
            <w:noProof/>
          </w:rPr>
          <w:t>3.1.2.2</w:t>
        </w:r>
        <w:r w:rsidR="003947E4">
          <w:rPr>
            <w:rFonts w:asciiTheme="minorHAnsi" w:eastAsiaTheme="minorEastAsia" w:hAnsiTheme="minorHAnsi"/>
            <w:noProof/>
            <w:sz w:val="22"/>
            <w:lang w:eastAsia="en-GB"/>
          </w:rPr>
          <w:tab/>
        </w:r>
        <w:r w:rsidR="003947E4" w:rsidRPr="00270113">
          <w:rPr>
            <w:rStyle w:val="Hyperkobling"/>
            <w:noProof/>
          </w:rPr>
          <w:t>Public support</w:t>
        </w:r>
        <w:r w:rsidR="003947E4">
          <w:rPr>
            <w:noProof/>
            <w:webHidden/>
          </w:rPr>
          <w:tab/>
        </w:r>
        <w:r w:rsidR="003947E4">
          <w:rPr>
            <w:noProof/>
            <w:webHidden/>
          </w:rPr>
          <w:fldChar w:fldCharType="begin"/>
        </w:r>
        <w:r w:rsidR="003947E4">
          <w:rPr>
            <w:noProof/>
            <w:webHidden/>
          </w:rPr>
          <w:instrText xml:space="preserve"> PAGEREF _Toc506308010 \h </w:instrText>
        </w:r>
        <w:r w:rsidR="003947E4">
          <w:rPr>
            <w:noProof/>
            <w:webHidden/>
          </w:rPr>
        </w:r>
        <w:r w:rsidR="003947E4">
          <w:rPr>
            <w:noProof/>
            <w:webHidden/>
          </w:rPr>
          <w:fldChar w:fldCharType="separate"/>
        </w:r>
        <w:r w:rsidR="003947E4">
          <w:rPr>
            <w:noProof/>
            <w:webHidden/>
          </w:rPr>
          <w:t>18</w:t>
        </w:r>
        <w:r w:rsidR="003947E4">
          <w:rPr>
            <w:noProof/>
            <w:webHidden/>
          </w:rPr>
          <w:fldChar w:fldCharType="end"/>
        </w:r>
      </w:hyperlink>
    </w:p>
    <w:p w14:paraId="6172FCAF" w14:textId="32A3E202" w:rsidR="003947E4" w:rsidRDefault="00B10DCD">
      <w:pPr>
        <w:pStyle w:val="INNH3"/>
        <w:tabs>
          <w:tab w:val="right" w:leader="dot" w:pos="9016"/>
        </w:tabs>
        <w:rPr>
          <w:rFonts w:asciiTheme="minorHAnsi" w:eastAsiaTheme="minorEastAsia" w:hAnsiTheme="minorHAnsi"/>
          <w:noProof/>
          <w:sz w:val="22"/>
          <w:lang w:eastAsia="en-GB"/>
        </w:rPr>
      </w:pPr>
      <w:hyperlink w:anchor="_Toc506308011" w:history="1">
        <w:r w:rsidR="003947E4" w:rsidRPr="00270113">
          <w:rPr>
            <w:rStyle w:val="Hyperkobling"/>
            <w:noProof/>
          </w:rPr>
          <w:t>3.1.3 Economic</w:t>
        </w:r>
        <w:r w:rsidR="003947E4">
          <w:rPr>
            <w:noProof/>
            <w:webHidden/>
          </w:rPr>
          <w:tab/>
        </w:r>
        <w:r w:rsidR="003947E4">
          <w:rPr>
            <w:noProof/>
            <w:webHidden/>
          </w:rPr>
          <w:fldChar w:fldCharType="begin"/>
        </w:r>
        <w:r w:rsidR="003947E4">
          <w:rPr>
            <w:noProof/>
            <w:webHidden/>
          </w:rPr>
          <w:instrText xml:space="preserve"> PAGEREF _Toc506308011 \h </w:instrText>
        </w:r>
        <w:r w:rsidR="003947E4">
          <w:rPr>
            <w:noProof/>
            <w:webHidden/>
          </w:rPr>
        </w:r>
        <w:r w:rsidR="003947E4">
          <w:rPr>
            <w:noProof/>
            <w:webHidden/>
          </w:rPr>
          <w:fldChar w:fldCharType="separate"/>
        </w:r>
        <w:r w:rsidR="003947E4">
          <w:rPr>
            <w:noProof/>
            <w:webHidden/>
          </w:rPr>
          <w:t>19</w:t>
        </w:r>
        <w:r w:rsidR="003947E4">
          <w:rPr>
            <w:noProof/>
            <w:webHidden/>
          </w:rPr>
          <w:fldChar w:fldCharType="end"/>
        </w:r>
      </w:hyperlink>
    </w:p>
    <w:p w14:paraId="1354A1F7" w14:textId="6E9ED0FE" w:rsidR="003947E4" w:rsidRDefault="00B10DCD">
      <w:pPr>
        <w:pStyle w:val="INNH2"/>
        <w:tabs>
          <w:tab w:val="left" w:pos="1320"/>
          <w:tab w:val="right" w:leader="dot" w:pos="9016"/>
        </w:tabs>
        <w:rPr>
          <w:rFonts w:asciiTheme="minorHAnsi" w:eastAsiaTheme="minorEastAsia" w:hAnsiTheme="minorHAnsi"/>
          <w:noProof/>
          <w:sz w:val="22"/>
          <w:lang w:eastAsia="en-GB"/>
        </w:rPr>
      </w:pPr>
      <w:hyperlink w:anchor="_Toc506308012" w:history="1">
        <w:r w:rsidR="003947E4" w:rsidRPr="00270113">
          <w:rPr>
            <w:rStyle w:val="Hyperkobling"/>
            <w:noProof/>
          </w:rPr>
          <w:t>3.2</w:t>
        </w:r>
        <w:r w:rsidR="003947E4">
          <w:rPr>
            <w:rFonts w:asciiTheme="minorHAnsi" w:eastAsiaTheme="minorEastAsia" w:hAnsiTheme="minorHAnsi"/>
            <w:noProof/>
            <w:sz w:val="22"/>
            <w:lang w:eastAsia="en-GB"/>
          </w:rPr>
          <w:tab/>
        </w:r>
        <w:r w:rsidR="003947E4" w:rsidRPr="00270113">
          <w:rPr>
            <w:rStyle w:val="Hyperkobling"/>
            <w:noProof/>
          </w:rPr>
          <w:t>Waste</w:t>
        </w:r>
        <w:r w:rsidR="003947E4">
          <w:rPr>
            <w:noProof/>
            <w:webHidden/>
          </w:rPr>
          <w:tab/>
        </w:r>
        <w:r w:rsidR="003947E4">
          <w:rPr>
            <w:noProof/>
            <w:webHidden/>
          </w:rPr>
          <w:fldChar w:fldCharType="begin"/>
        </w:r>
        <w:r w:rsidR="003947E4">
          <w:rPr>
            <w:noProof/>
            <w:webHidden/>
          </w:rPr>
          <w:instrText xml:space="preserve"> PAGEREF _Toc506308012 \h </w:instrText>
        </w:r>
        <w:r w:rsidR="003947E4">
          <w:rPr>
            <w:noProof/>
            <w:webHidden/>
          </w:rPr>
        </w:r>
        <w:r w:rsidR="003947E4">
          <w:rPr>
            <w:noProof/>
            <w:webHidden/>
          </w:rPr>
          <w:fldChar w:fldCharType="separate"/>
        </w:r>
        <w:r w:rsidR="003947E4">
          <w:rPr>
            <w:noProof/>
            <w:webHidden/>
          </w:rPr>
          <w:t>21</w:t>
        </w:r>
        <w:r w:rsidR="003947E4">
          <w:rPr>
            <w:noProof/>
            <w:webHidden/>
          </w:rPr>
          <w:fldChar w:fldCharType="end"/>
        </w:r>
      </w:hyperlink>
    </w:p>
    <w:p w14:paraId="30D632C9" w14:textId="0D2113B0" w:rsidR="003947E4" w:rsidRDefault="00B10DCD">
      <w:pPr>
        <w:pStyle w:val="INNH3"/>
        <w:tabs>
          <w:tab w:val="right" w:leader="dot" w:pos="9016"/>
        </w:tabs>
        <w:rPr>
          <w:rFonts w:asciiTheme="minorHAnsi" w:eastAsiaTheme="minorEastAsia" w:hAnsiTheme="minorHAnsi"/>
          <w:noProof/>
          <w:sz w:val="22"/>
          <w:lang w:eastAsia="en-GB"/>
        </w:rPr>
      </w:pPr>
      <w:hyperlink w:anchor="_Toc506308013" w:history="1">
        <w:r w:rsidR="003947E4" w:rsidRPr="00270113">
          <w:rPr>
            <w:rStyle w:val="Hyperkobling"/>
            <w:noProof/>
          </w:rPr>
          <w:t>3.2.1 Environmental</w:t>
        </w:r>
        <w:r w:rsidR="003947E4">
          <w:rPr>
            <w:noProof/>
            <w:webHidden/>
          </w:rPr>
          <w:tab/>
        </w:r>
        <w:r w:rsidR="003947E4">
          <w:rPr>
            <w:noProof/>
            <w:webHidden/>
          </w:rPr>
          <w:fldChar w:fldCharType="begin"/>
        </w:r>
        <w:r w:rsidR="003947E4">
          <w:rPr>
            <w:noProof/>
            <w:webHidden/>
          </w:rPr>
          <w:instrText xml:space="preserve"> PAGEREF _Toc506308013 \h </w:instrText>
        </w:r>
        <w:r w:rsidR="003947E4">
          <w:rPr>
            <w:noProof/>
            <w:webHidden/>
          </w:rPr>
        </w:r>
        <w:r w:rsidR="003947E4">
          <w:rPr>
            <w:noProof/>
            <w:webHidden/>
          </w:rPr>
          <w:fldChar w:fldCharType="separate"/>
        </w:r>
        <w:r w:rsidR="003947E4">
          <w:rPr>
            <w:noProof/>
            <w:webHidden/>
          </w:rPr>
          <w:t>21</w:t>
        </w:r>
        <w:r w:rsidR="003947E4">
          <w:rPr>
            <w:noProof/>
            <w:webHidden/>
          </w:rPr>
          <w:fldChar w:fldCharType="end"/>
        </w:r>
      </w:hyperlink>
    </w:p>
    <w:p w14:paraId="24670963" w14:textId="09931CF2" w:rsidR="003947E4" w:rsidRDefault="00B10DCD">
      <w:pPr>
        <w:pStyle w:val="INNH4"/>
        <w:tabs>
          <w:tab w:val="right" w:leader="dot" w:pos="9016"/>
        </w:tabs>
        <w:rPr>
          <w:rFonts w:asciiTheme="minorHAnsi" w:eastAsiaTheme="minorEastAsia" w:hAnsiTheme="minorHAnsi"/>
          <w:noProof/>
          <w:sz w:val="22"/>
          <w:lang w:eastAsia="en-GB"/>
        </w:rPr>
      </w:pPr>
      <w:hyperlink w:anchor="_Toc506308014" w:history="1">
        <w:r w:rsidR="003947E4" w:rsidRPr="00270113">
          <w:rPr>
            <w:rStyle w:val="Hyperkobling"/>
            <w:noProof/>
          </w:rPr>
          <w:t>3.2.1.1 Health</w:t>
        </w:r>
        <w:r w:rsidR="003947E4">
          <w:rPr>
            <w:noProof/>
            <w:webHidden/>
          </w:rPr>
          <w:tab/>
        </w:r>
        <w:r w:rsidR="003947E4">
          <w:rPr>
            <w:noProof/>
            <w:webHidden/>
          </w:rPr>
          <w:fldChar w:fldCharType="begin"/>
        </w:r>
        <w:r w:rsidR="003947E4">
          <w:rPr>
            <w:noProof/>
            <w:webHidden/>
          </w:rPr>
          <w:instrText xml:space="preserve"> PAGEREF _Toc506308014 \h </w:instrText>
        </w:r>
        <w:r w:rsidR="003947E4">
          <w:rPr>
            <w:noProof/>
            <w:webHidden/>
          </w:rPr>
        </w:r>
        <w:r w:rsidR="003947E4">
          <w:rPr>
            <w:noProof/>
            <w:webHidden/>
          </w:rPr>
          <w:fldChar w:fldCharType="separate"/>
        </w:r>
        <w:r w:rsidR="003947E4">
          <w:rPr>
            <w:noProof/>
            <w:webHidden/>
          </w:rPr>
          <w:t>24</w:t>
        </w:r>
        <w:r w:rsidR="003947E4">
          <w:rPr>
            <w:noProof/>
            <w:webHidden/>
          </w:rPr>
          <w:fldChar w:fldCharType="end"/>
        </w:r>
      </w:hyperlink>
    </w:p>
    <w:p w14:paraId="1FDFCF91" w14:textId="621C7B03" w:rsidR="003947E4" w:rsidRDefault="00B10DCD">
      <w:pPr>
        <w:pStyle w:val="INNH3"/>
        <w:tabs>
          <w:tab w:val="right" w:leader="dot" w:pos="9016"/>
        </w:tabs>
        <w:rPr>
          <w:rFonts w:asciiTheme="minorHAnsi" w:eastAsiaTheme="minorEastAsia" w:hAnsiTheme="minorHAnsi"/>
          <w:noProof/>
          <w:sz w:val="22"/>
          <w:lang w:eastAsia="en-GB"/>
        </w:rPr>
      </w:pPr>
      <w:hyperlink w:anchor="_Toc506308015" w:history="1">
        <w:r w:rsidR="003947E4" w:rsidRPr="00270113">
          <w:rPr>
            <w:rStyle w:val="Hyperkobling"/>
            <w:noProof/>
          </w:rPr>
          <w:t>3.2.2 Economic</w:t>
        </w:r>
        <w:r w:rsidR="003947E4">
          <w:rPr>
            <w:noProof/>
            <w:webHidden/>
          </w:rPr>
          <w:tab/>
        </w:r>
        <w:r w:rsidR="003947E4">
          <w:rPr>
            <w:noProof/>
            <w:webHidden/>
          </w:rPr>
          <w:fldChar w:fldCharType="begin"/>
        </w:r>
        <w:r w:rsidR="003947E4">
          <w:rPr>
            <w:noProof/>
            <w:webHidden/>
          </w:rPr>
          <w:instrText xml:space="preserve"> PAGEREF _Toc506308015 \h </w:instrText>
        </w:r>
        <w:r w:rsidR="003947E4">
          <w:rPr>
            <w:noProof/>
            <w:webHidden/>
          </w:rPr>
        </w:r>
        <w:r w:rsidR="003947E4">
          <w:rPr>
            <w:noProof/>
            <w:webHidden/>
          </w:rPr>
          <w:fldChar w:fldCharType="separate"/>
        </w:r>
        <w:r w:rsidR="003947E4">
          <w:rPr>
            <w:noProof/>
            <w:webHidden/>
          </w:rPr>
          <w:t>24</w:t>
        </w:r>
        <w:r w:rsidR="003947E4">
          <w:rPr>
            <w:noProof/>
            <w:webHidden/>
          </w:rPr>
          <w:fldChar w:fldCharType="end"/>
        </w:r>
      </w:hyperlink>
    </w:p>
    <w:p w14:paraId="682AB4C8" w14:textId="59C1EB90" w:rsidR="003947E4" w:rsidRDefault="00B10DCD">
      <w:pPr>
        <w:pStyle w:val="INNH1"/>
        <w:tabs>
          <w:tab w:val="left" w:pos="880"/>
          <w:tab w:val="right" w:leader="dot" w:pos="9016"/>
        </w:tabs>
        <w:rPr>
          <w:rFonts w:asciiTheme="minorHAnsi" w:eastAsiaTheme="minorEastAsia" w:hAnsiTheme="minorHAnsi"/>
          <w:noProof/>
          <w:sz w:val="22"/>
          <w:lang w:eastAsia="en-GB"/>
        </w:rPr>
      </w:pPr>
      <w:hyperlink w:anchor="_Toc506308016" w:history="1">
        <w:r w:rsidR="003947E4" w:rsidRPr="00270113">
          <w:rPr>
            <w:rStyle w:val="Hyperkobling"/>
            <w:noProof/>
          </w:rPr>
          <w:t>4.</w:t>
        </w:r>
        <w:r w:rsidR="003947E4">
          <w:rPr>
            <w:rFonts w:asciiTheme="minorHAnsi" w:eastAsiaTheme="minorEastAsia" w:hAnsiTheme="minorHAnsi"/>
            <w:noProof/>
            <w:sz w:val="22"/>
            <w:lang w:eastAsia="en-GB"/>
          </w:rPr>
          <w:tab/>
        </w:r>
        <w:r w:rsidR="003947E4" w:rsidRPr="00270113">
          <w:rPr>
            <w:rStyle w:val="Hyperkobling"/>
            <w:noProof/>
          </w:rPr>
          <w:t>Conclusion and Recommendations</w:t>
        </w:r>
        <w:r w:rsidR="003947E4">
          <w:rPr>
            <w:noProof/>
            <w:webHidden/>
          </w:rPr>
          <w:tab/>
        </w:r>
        <w:r w:rsidR="003947E4">
          <w:rPr>
            <w:noProof/>
            <w:webHidden/>
          </w:rPr>
          <w:fldChar w:fldCharType="begin"/>
        </w:r>
        <w:r w:rsidR="003947E4">
          <w:rPr>
            <w:noProof/>
            <w:webHidden/>
          </w:rPr>
          <w:instrText xml:space="preserve"> PAGEREF _Toc506308016 \h </w:instrText>
        </w:r>
        <w:r w:rsidR="003947E4">
          <w:rPr>
            <w:noProof/>
            <w:webHidden/>
          </w:rPr>
        </w:r>
        <w:r w:rsidR="003947E4">
          <w:rPr>
            <w:noProof/>
            <w:webHidden/>
          </w:rPr>
          <w:fldChar w:fldCharType="separate"/>
        </w:r>
        <w:r w:rsidR="003947E4">
          <w:rPr>
            <w:noProof/>
            <w:webHidden/>
          </w:rPr>
          <w:t>24</w:t>
        </w:r>
        <w:r w:rsidR="003947E4">
          <w:rPr>
            <w:noProof/>
            <w:webHidden/>
          </w:rPr>
          <w:fldChar w:fldCharType="end"/>
        </w:r>
      </w:hyperlink>
    </w:p>
    <w:p w14:paraId="496644F5" w14:textId="154DBE4B" w:rsidR="003947E4" w:rsidRDefault="00B10DCD">
      <w:pPr>
        <w:pStyle w:val="INNH1"/>
        <w:tabs>
          <w:tab w:val="right" w:leader="dot" w:pos="9016"/>
        </w:tabs>
        <w:rPr>
          <w:rFonts w:asciiTheme="minorHAnsi" w:eastAsiaTheme="minorEastAsia" w:hAnsiTheme="minorHAnsi"/>
          <w:noProof/>
          <w:sz w:val="22"/>
          <w:lang w:eastAsia="en-GB"/>
        </w:rPr>
      </w:pPr>
      <w:hyperlink w:anchor="_Toc506308017" w:history="1">
        <w:r w:rsidR="003947E4" w:rsidRPr="00270113">
          <w:rPr>
            <w:rStyle w:val="Hyperkobling"/>
            <w:noProof/>
          </w:rPr>
          <w:t>References</w:t>
        </w:r>
        <w:r w:rsidR="003947E4">
          <w:rPr>
            <w:noProof/>
            <w:webHidden/>
          </w:rPr>
          <w:tab/>
        </w:r>
        <w:r w:rsidR="003947E4">
          <w:rPr>
            <w:noProof/>
            <w:webHidden/>
          </w:rPr>
          <w:fldChar w:fldCharType="begin"/>
        </w:r>
        <w:r w:rsidR="003947E4">
          <w:rPr>
            <w:noProof/>
            <w:webHidden/>
          </w:rPr>
          <w:instrText xml:space="preserve"> PAGEREF _Toc506308017 \h </w:instrText>
        </w:r>
        <w:r w:rsidR="003947E4">
          <w:rPr>
            <w:noProof/>
            <w:webHidden/>
          </w:rPr>
        </w:r>
        <w:r w:rsidR="003947E4">
          <w:rPr>
            <w:noProof/>
            <w:webHidden/>
          </w:rPr>
          <w:fldChar w:fldCharType="separate"/>
        </w:r>
        <w:r w:rsidR="003947E4">
          <w:rPr>
            <w:noProof/>
            <w:webHidden/>
          </w:rPr>
          <w:t>26</w:t>
        </w:r>
        <w:r w:rsidR="003947E4">
          <w:rPr>
            <w:noProof/>
            <w:webHidden/>
          </w:rPr>
          <w:fldChar w:fldCharType="end"/>
        </w:r>
      </w:hyperlink>
    </w:p>
    <w:p w14:paraId="3A51F1B6" w14:textId="559F5C6F" w:rsidR="00373AD0" w:rsidRPr="00404A5A" w:rsidRDefault="00373AD0" w:rsidP="00373AD0">
      <w:pPr>
        <w:pStyle w:val="Overskriftforinnholdsfortegnelse"/>
        <w:spacing w:line="360" w:lineRule="auto"/>
        <w:jc w:val="center"/>
        <w:rPr>
          <w:rFonts w:cs="Times New Roman"/>
          <w:b/>
          <w:color w:val="auto"/>
          <w:sz w:val="22"/>
          <w:szCs w:val="22"/>
        </w:rPr>
      </w:pPr>
      <w:r>
        <w:rPr>
          <w:rFonts w:eastAsiaTheme="minorHAnsi" w:cstheme="minorBidi"/>
          <w:color w:val="auto"/>
          <w:sz w:val="25"/>
          <w:szCs w:val="22"/>
          <w:lang w:val="en-GB"/>
        </w:rPr>
        <w:lastRenderedPageBreak/>
        <w:fldChar w:fldCharType="end"/>
      </w:r>
      <w:r w:rsidRPr="00404A5A">
        <w:rPr>
          <w:rFonts w:cs="Times New Roman"/>
          <w:b/>
          <w:color w:val="auto"/>
          <w:sz w:val="22"/>
          <w:szCs w:val="22"/>
        </w:rPr>
        <w:t>List of Abbreviations</w:t>
      </w:r>
    </w:p>
    <w:tbl>
      <w:tblPr>
        <w:tblStyle w:val="Rutenettabell1lys"/>
        <w:tblW w:w="0" w:type="auto"/>
        <w:tblLook w:val="04A0" w:firstRow="1" w:lastRow="0" w:firstColumn="1" w:lastColumn="0" w:noHBand="0" w:noVBand="1"/>
      </w:tblPr>
      <w:tblGrid>
        <w:gridCol w:w="4508"/>
        <w:gridCol w:w="4508"/>
      </w:tblGrid>
      <w:tr w:rsidR="00373AD0" w:rsidRPr="00404A5A" w14:paraId="7EABB232" w14:textId="77777777" w:rsidTr="006C7C3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4B2A370" w14:textId="77777777" w:rsidR="00373AD0" w:rsidRPr="006C7C32" w:rsidRDefault="00373AD0" w:rsidP="00373AD0">
            <w:pPr>
              <w:rPr>
                <w:rFonts w:cs="Times New Roman"/>
                <w:sz w:val="22"/>
                <w:u w:val="single"/>
              </w:rPr>
            </w:pPr>
            <w:r w:rsidRPr="006C7C32">
              <w:rPr>
                <w:rFonts w:cs="Times New Roman"/>
                <w:sz w:val="22"/>
                <w:u w:val="single"/>
              </w:rPr>
              <w:t>Acronym</w:t>
            </w:r>
          </w:p>
        </w:tc>
        <w:tc>
          <w:tcPr>
            <w:tcW w:w="4508" w:type="dxa"/>
          </w:tcPr>
          <w:p w14:paraId="0434F51B" w14:textId="77777777" w:rsidR="00373AD0" w:rsidRPr="006C7C32" w:rsidRDefault="00373AD0" w:rsidP="00373AD0">
            <w:pPr>
              <w:cnfStyle w:val="100000000000" w:firstRow="1" w:lastRow="0" w:firstColumn="0" w:lastColumn="0" w:oddVBand="0" w:evenVBand="0" w:oddHBand="0" w:evenHBand="0" w:firstRowFirstColumn="0" w:firstRowLastColumn="0" w:lastRowFirstColumn="0" w:lastRowLastColumn="0"/>
              <w:rPr>
                <w:rFonts w:cs="Times New Roman"/>
                <w:sz w:val="22"/>
                <w:u w:val="single"/>
              </w:rPr>
            </w:pPr>
            <w:r w:rsidRPr="006C7C32">
              <w:rPr>
                <w:rFonts w:cs="Times New Roman"/>
                <w:sz w:val="22"/>
                <w:u w:val="single"/>
              </w:rPr>
              <w:t>Definition</w:t>
            </w:r>
          </w:p>
        </w:tc>
      </w:tr>
      <w:tr w:rsidR="00373AD0" w:rsidRPr="00404A5A" w14:paraId="79E6DEA5"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1BE01A82" w14:textId="77777777" w:rsidR="00373AD0" w:rsidRPr="00404A5A" w:rsidRDefault="00373AD0" w:rsidP="00373AD0">
            <w:pPr>
              <w:rPr>
                <w:rFonts w:cs="Times New Roman"/>
                <w:sz w:val="22"/>
              </w:rPr>
            </w:pPr>
            <w:r w:rsidRPr="00404A5A">
              <w:rPr>
                <w:rFonts w:cs="Times New Roman"/>
                <w:sz w:val="22"/>
              </w:rPr>
              <w:t>LCOE</w:t>
            </w:r>
          </w:p>
        </w:tc>
        <w:tc>
          <w:tcPr>
            <w:tcW w:w="4508" w:type="dxa"/>
          </w:tcPr>
          <w:p w14:paraId="7F65A7E4" w14:textId="77777777" w:rsidR="00373AD0" w:rsidRPr="00404A5A" w:rsidRDefault="00373AD0" w:rsidP="00373AD0">
            <w:pPr>
              <w:cnfStyle w:val="000000000000" w:firstRow="0" w:lastRow="0" w:firstColumn="0" w:lastColumn="0" w:oddVBand="0" w:evenVBand="0" w:oddHBand="0" w:evenHBand="0" w:firstRowFirstColumn="0" w:firstRowLastColumn="0" w:lastRowFirstColumn="0" w:lastRowLastColumn="0"/>
              <w:rPr>
                <w:rFonts w:cs="Times New Roman"/>
                <w:sz w:val="22"/>
              </w:rPr>
            </w:pPr>
            <w:r w:rsidRPr="00404A5A">
              <w:rPr>
                <w:rFonts w:cs="Times New Roman"/>
                <w:sz w:val="22"/>
              </w:rPr>
              <w:t>Levelised cost of Energy</w:t>
            </w:r>
          </w:p>
        </w:tc>
      </w:tr>
      <w:tr w:rsidR="00373AD0" w:rsidRPr="00404A5A" w14:paraId="2F5564BA"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28F853DB" w14:textId="77777777" w:rsidR="00373AD0" w:rsidRPr="00404A5A" w:rsidRDefault="00373AD0" w:rsidP="00373AD0">
            <w:pPr>
              <w:rPr>
                <w:rFonts w:cs="Times New Roman"/>
                <w:sz w:val="22"/>
              </w:rPr>
            </w:pPr>
            <w:r w:rsidRPr="00404A5A">
              <w:rPr>
                <w:rFonts w:cs="Times New Roman"/>
                <w:sz w:val="22"/>
              </w:rPr>
              <w:t>EC</w:t>
            </w:r>
          </w:p>
        </w:tc>
        <w:tc>
          <w:tcPr>
            <w:tcW w:w="4508" w:type="dxa"/>
          </w:tcPr>
          <w:p w14:paraId="59B5D265" w14:textId="77777777" w:rsidR="00373AD0" w:rsidRPr="00404A5A" w:rsidRDefault="00373AD0" w:rsidP="00373AD0">
            <w:pPr>
              <w:cnfStyle w:val="000000000000" w:firstRow="0" w:lastRow="0" w:firstColumn="0" w:lastColumn="0" w:oddVBand="0" w:evenVBand="0" w:oddHBand="0" w:evenHBand="0" w:firstRowFirstColumn="0" w:firstRowLastColumn="0" w:lastRowFirstColumn="0" w:lastRowLastColumn="0"/>
              <w:rPr>
                <w:rFonts w:cs="Times New Roman"/>
                <w:sz w:val="22"/>
              </w:rPr>
            </w:pPr>
            <w:r w:rsidRPr="00404A5A">
              <w:rPr>
                <w:rFonts w:cs="Times New Roman"/>
                <w:sz w:val="22"/>
              </w:rPr>
              <w:t>Embodied Carbon</w:t>
            </w:r>
          </w:p>
        </w:tc>
      </w:tr>
      <w:tr w:rsidR="00373AD0" w:rsidRPr="00404A5A" w14:paraId="152C1DF9"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7A060CF5" w14:textId="77777777" w:rsidR="00373AD0" w:rsidRPr="00404A5A" w:rsidRDefault="00373AD0" w:rsidP="00373AD0">
            <w:pPr>
              <w:rPr>
                <w:rFonts w:cs="Times New Roman"/>
                <w:sz w:val="22"/>
              </w:rPr>
            </w:pPr>
            <w:r w:rsidRPr="00404A5A">
              <w:rPr>
                <w:rFonts w:cs="Times New Roman"/>
                <w:sz w:val="22"/>
              </w:rPr>
              <w:t>GHG</w:t>
            </w:r>
          </w:p>
        </w:tc>
        <w:tc>
          <w:tcPr>
            <w:tcW w:w="4508" w:type="dxa"/>
          </w:tcPr>
          <w:p w14:paraId="552C0797" w14:textId="77777777" w:rsidR="00373AD0" w:rsidRPr="00404A5A" w:rsidRDefault="00373AD0" w:rsidP="00373AD0">
            <w:pPr>
              <w:cnfStyle w:val="000000000000" w:firstRow="0" w:lastRow="0" w:firstColumn="0" w:lastColumn="0" w:oddVBand="0" w:evenVBand="0" w:oddHBand="0" w:evenHBand="0" w:firstRowFirstColumn="0" w:firstRowLastColumn="0" w:lastRowFirstColumn="0" w:lastRowLastColumn="0"/>
              <w:rPr>
                <w:rFonts w:cs="Times New Roman"/>
                <w:sz w:val="22"/>
              </w:rPr>
            </w:pPr>
            <w:r w:rsidRPr="00404A5A">
              <w:rPr>
                <w:rFonts w:cs="Times New Roman"/>
                <w:sz w:val="22"/>
              </w:rPr>
              <w:t>Greenhouse Gas</w:t>
            </w:r>
          </w:p>
        </w:tc>
      </w:tr>
      <w:tr w:rsidR="00373AD0" w:rsidRPr="00404A5A" w14:paraId="5AC7E9C6"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5886A56F" w14:textId="77777777" w:rsidR="00373AD0" w:rsidRPr="00404A5A" w:rsidRDefault="00373AD0" w:rsidP="00373AD0">
            <w:pPr>
              <w:rPr>
                <w:rFonts w:cs="Times New Roman"/>
                <w:sz w:val="22"/>
              </w:rPr>
            </w:pPr>
            <w:r w:rsidRPr="00404A5A">
              <w:rPr>
                <w:rFonts w:cs="Times New Roman"/>
                <w:sz w:val="22"/>
              </w:rPr>
              <w:t>NE</w:t>
            </w:r>
          </w:p>
        </w:tc>
        <w:tc>
          <w:tcPr>
            <w:tcW w:w="4508" w:type="dxa"/>
          </w:tcPr>
          <w:p w14:paraId="40857435" w14:textId="77777777" w:rsidR="00373AD0" w:rsidRPr="00404A5A" w:rsidRDefault="00373AD0" w:rsidP="00373AD0">
            <w:pPr>
              <w:cnfStyle w:val="000000000000" w:firstRow="0" w:lastRow="0" w:firstColumn="0" w:lastColumn="0" w:oddVBand="0" w:evenVBand="0" w:oddHBand="0" w:evenHBand="0" w:firstRowFirstColumn="0" w:firstRowLastColumn="0" w:lastRowFirstColumn="0" w:lastRowLastColumn="0"/>
              <w:rPr>
                <w:rFonts w:cs="Times New Roman"/>
                <w:sz w:val="22"/>
              </w:rPr>
            </w:pPr>
            <w:r w:rsidRPr="00404A5A">
              <w:rPr>
                <w:rFonts w:cs="Times New Roman"/>
                <w:sz w:val="22"/>
              </w:rPr>
              <w:t>Nuclear Energy</w:t>
            </w:r>
          </w:p>
        </w:tc>
      </w:tr>
      <w:tr w:rsidR="00373AD0" w:rsidRPr="00404A5A" w14:paraId="157D68AD"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42602693" w14:textId="77777777" w:rsidR="00373AD0" w:rsidRPr="00404A5A" w:rsidRDefault="00373AD0" w:rsidP="00373AD0">
            <w:pPr>
              <w:rPr>
                <w:rFonts w:cs="Times New Roman"/>
                <w:sz w:val="22"/>
              </w:rPr>
            </w:pPr>
            <w:r w:rsidRPr="00404A5A">
              <w:rPr>
                <w:rFonts w:cs="Times New Roman"/>
                <w:sz w:val="22"/>
              </w:rPr>
              <w:t>RE</w:t>
            </w:r>
          </w:p>
        </w:tc>
        <w:tc>
          <w:tcPr>
            <w:tcW w:w="4508" w:type="dxa"/>
          </w:tcPr>
          <w:p w14:paraId="7DB4A07A" w14:textId="77777777" w:rsidR="00373AD0" w:rsidRPr="00404A5A" w:rsidRDefault="00373AD0" w:rsidP="00373AD0">
            <w:pPr>
              <w:cnfStyle w:val="000000000000" w:firstRow="0" w:lastRow="0" w:firstColumn="0" w:lastColumn="0" w:oddVBand="0" w:evenVBand="0" w:oddHBand="0" w:evenHBand="0" w:firstRowFirstColumn="0" w:firstRowLastColumn="0" w:lastRowFirstColumn="0" w:lastRowLastColumn="0"/>
              <w:rPr>
                <w:rFonts w:cs="Times New Roman"/>
                <w:sz w:val="22"/>
              </w:rPr>
            </w:pPr>
            <w:r w:rsidRPr="00404A5A">
              <w:rPr>
                <w:rFonts w:cs="Times New Roman"/>
                <w:sz w:val="22"/>
              </w:rPr>
              <w:t>Renewable Energy</w:t>
            </w:r>
          </w:p>
        </w:tc>
      </w:tr>
      <w:tr w:rsidR="00373AD0" w:rsidRPr="00404A5A" w14:paraId="1E9A0084"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07256E2C" w14:textId="77777777" w:rsidR="00373AD0" w:rsidRPr="00404A5A" w:rsidRDefault="00373AD0" w:rsidP="00373AD0">
            <w:pPr>
              <w:rPr>
                <w:rFonts w:cs="Times New Roman"/>
                <w:sz w:val="22"/>
              </w:rPr>
            </w:pPr>
            <w:r w:rsidRPr="00404A5A">
              <w:rPr>
                <w:rFonts w:cs="Times New Roman"/>
                <w:sz w:val="22"/>
              </w:rPr>
              <w:t>OWE</w:t>
            </w:r>
          </w:p>
        </w:tc>
        <w:tc>
          <w:tcPr>
            <w:tcW w:w="4508" w:type="dxa"/>
          </w:tcPr>
          <w:p w14:paraId="42003FBD" w14:textId="77777777" w:rsidR="00373AD0" w:rsidRPr="00404A5A" w:rsidRDefault="00373AD0" w:rsidP="00373AD0">
            <w:pPr>
              <w:cnfStyle w:val="000000000000" w:firstRow="0" w:lastRow="0" w:firstColumn="0" w:lastColumn="0" w:oddVBand="0" w:evenVBand="0" w:oddHBand="0" w:evenHBand="0" w:firstRowFirstColumn="0" w:firstRowLastColumn="0" w:lastRowFirstColumn="0" w:lastRowLastColumn="0"/>
              <w:rPr>
                <w:rFonts w:cs="Times New Roman"/>
                <w:sz w:val="22"/>
              </w:rPr>
            </w:pPr>
            <w:r w:rsidRPr="00404A5A">
              <w:rPr>
                <w:rFonts w:cs="Times New Roman"/>
                <w:sz w:val="22"/>
              </w:rPr>
              <w:t xml:space="preserve">Off-shore Wind Energy </w:t>
            </w:r>
          </w:p>
        </w:tc>
      </w:tr>
      <w:tr w:rsidR="00373AD0" w:rsidRPr="00404A5A" w14:paraId="7E2CE08B"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15128D0A" w14:textId="77777777" w:rsidR="00373AD0" w:rsidRPr="00404A5A" w:rsidRDefault="00373AD0" w:rsidP="00373AD0">
            <w:pPr>
              <w:rPr>
                <w:rFonts w:cs="Times New Roman"/>
                <w:sz w:val="22"/>
              </w:rPr>
            </w:pPr>
            <w:r w:rsidRPr="00404A5A">
              <w:rPr>
                <w:rFonts w:cs="Times New Roman"/>
                <w:sz w:val="22"/>
              </w:rPr>
              <w:t>ADP</w:t>
            </w:r>
          </w:p>
        </w:tc>
        <w:tc>
          <w:tcPr>
            <w:tcW w:w="4508" w:type="dxa"/>
          </w:tcPr>
          <w:p w14:paraId="03B97E3F" w14:textId="77777777" w:rsidR="00373AD0" w:rsidRPr="00404A5A" w:rsidRDefault="00373AD0" w:rsidP="00373AD0">
            <w:pPr>
              <w:cnfStyle w:val="000000000000" w:firstRow="0" w:lastRow="0" w:firstColumn="0" w:lastColumn="0" w:oddVBand="0" w:evenVBand="0" w:oddHBand="0" w:evenHBand="0" w:firstRowFirstColumn="0" w:firstRowLastColumn="0" w:lastRowFirstColumn="0" w:lastRowLastColumn="0"/>
              <w:rPr>
                <w:rFonts w:cs="Times New Roman"/>
                <w:sz w:val="22"/>
              </w:rPr>
            </w:pPr>
            <w:r w:rsidRPr="00404A5A">
              <w:rPr>
                <w:rFonts w:cs="Times New Roman"/>
                <w:sz w:val="22"/>
              </w:rPr>
              <w:t>Anaerobic Digestion Plant</w:t>
            </w:r>
          </w:p>
        </w:tc>
      </w:tr>
      <w:tr w:rsidR="00373AD0" w:rsidRPr="00404A5A" w14:paraId="3AC34CBA"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1AAF3467" w14:textId="77777777" w:rsidR="00373AD0" w:rsidRPr="00404A5A" w:rsidRDefault="00373AD0" w:rsidP="00373AD0">
            <w:pPr>
              <w:rPr>
                <w:rFonts w:cs="Times New Roman"/>
                <w:sz w:val="22"/>
              </w:rPr>
            </w:pPr>
            <w:r w:rsidRPr="00404A5A">
              <w:rPr>
                <w:rFonts w:cs="Times New Roman"/>
                <w:sz w:val="22"/>
              </w:rPr>
              <w:t>LWR</w:t>
            </w:r>
          </w:p>
        </w:tc>
        <w:tc>
          <w:tcPr>
            <w:tcW w:w="4508" w:type="dxa"/>
          </w:tcPr>
          <w:p w14:paraId="4E7A094A" w14:textId="77777777" w:rsidR="00373AD0" w:rsidRPr="00404A5A" w:rsidRDefault="00373AD0" w:rsidP="00373AD0">
            <w:pPr>
              <w:cnfStyle w:val="000000000000" w:firstRow="0" w:lastRow="0" w:firstColumn="0" w:lastColumn="0" w:oddVBand="0" w:evenVBand="0" w:oddHBand="0" w:evenHBand="0" w:firstRowFirstColumn="0" w:firstRowLastColumn="0" w:lastRowFirstColumn="0" w:lastRowLastColumn="0"/>
              <w:rPr>
                <w:rFonts w:cs="Times New Roman"/>
                <w:sz w:val="22"/>
              </w:rPr>
            </w:pPr>
            <w:r w:rsidRPr="00404A5A">
              <w:rPr>
                <w:rFonts w:cs="Times New Roman"/>
                <w:sz w:val="22"/>
              </w:rPr>
              <w:t>Light-Water Reactor</w:t>
            </w:r>
          </w:p>
        </w:tc>
      </w:tr>
      <w:tr w:rsidR="00373AD0" w:rsidRPr="00404A5A" w14:paraId="65F4FE76"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7163442C" w14:textId="77777777" w:rsidR="00373AD0" w:rsidRPr="00404A5A" w:rsidRDefault="00373AD0" w:rsidP="00373AD0">
            <w:pPr>
              <w:rPr>
                <w:rFonts w:cs="Times New Roman"/>
                <w:sz w:val="22"/>
              </w:rPr>
            </w:pPr>
            <w:r w:rsidRPr="00404A5A">
              <w:rPr>
                <w:rFonts w:cs="Times New Roman"/>
                <w:sz w:val="22"/>
              </w:rPr>
              <w:t>MSFR</w:t>
            </w:r>
          </w:p>
        </w:tc>
        <w:tc>
          <w:tcPr>
            <w:tcW w:w="4508" w:type="dxa"/>
          </w:tcPr>
          <w:p w14:paraId="083B4C91" w14:textId="77777777" w:rsidR="00373AD0" w:rsidRPr="00404A5A" w:rsidRDefault="00373AD0" w:rsidP="00373AD0">
            <w:pPr>
              <w:cnfStyle w:val="000000000000" w:firstRow="0" w:lastRow="0" w:firstColumn="0" w:lastColumn="0" w:oddVBand="0" w:evenVBand="0" w:oddHBand="0" w:evenHBand="0" w:firstRowFirstColumn="0" w:firstRowLastColumn="0" w:lastRowFirstColumn="0" w:lastRowLastColumn="0"/>
              <w:rPr>
                <w:rFonts w:cs="Times New Roman"/>
                <w:sz w:val="22"/>
              </w:rPr>
            </w:pPr>
            <w:r w:rsidRPr="00404A5A">
              <w:rPr>
                <w:rFonts w:cs="Times New Roman"/>
                <w:sz w:val="22"/>
              </w:rPr>
              <w:t>Molten Salt Fast Reactor</w:t>
            </w:r>
          </w:p>
        </w:tc>
      </w:tr>
      <w:tr w:rsidR="00373AD0" w:rsidRPr="00404A5A" w14:paraId="738906BB"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02D2E005" w14:textId="77777777" w:rsidR="00373AD0" w:rsidRPr="00404A5A" w:rsidRDefault="00373AD0" w:rsidP="00373AD0">
            <w:pPr>
              <w:rPr>
                <w:rFonts w:cs="Times New Roman"/>
                <w:sz w:val="22"/>
              </w:rPr>
            </w:pPr>
            <w:r w:rsidRPr="00404A5A">
              <w:rPr>
                <w:rFonts w:cs="Times New Roman"/>
                <w:sz w:val="22"/>
              </w:rPr>
              <w:t>NIMBY</w:t>
            </w:r>
          </w:p>
        </w:tc>
        <w:tc>
          <w:tcPr>
            <w:tcW w:w="4508" w:type="dxa"/>
          </w:tcPr>
          <w:p w14:paraId="6EE8C98D" w14:textId="77777777" w:rsidR="00373AD0" w:rsidRPr="00404A5A" w:rsidRDefault="00373AD0" w:rsidP="00373AD0">
            <w:pPr>
              <w:cnfStyle w:val="000000000000" w:firstRow="0" w:lastRow="0" w:firstColumn="0" w:lastColumn="0" w:oddVBand="0" w:evenVBand="0" w:oddHBand="0" w:evenHBand="0" w:firstRowFirstColumn="0" w:firstRowLastColumn="0" w:lastRowFirstColumn="0" w:lastRowLastColumn="0"/>
              <w:rPr>
                <w:rFonts w:cs="Times New Roman"/>
                <w:sz w:val="22"/>
              </w:rPr>
            </w:pPr>
            <w:r w:rsidRPr="00404A5A">
              <w:rPr>
                <w:rFonts w:cs="Times New Roman"/>
                <w:sz w:val="22"/>
              </w:rPr>
              <w:t>Not in my back Yard</w:t>
            </w:r>
          </w:p>
        </w:tc>
      </w:tr>
      <w:tr w:rsidR="00373AD0" w:rsidRPr="00404A5A" w14:paraId="3F58E43B"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6AD4230D" w14:textId="77777777" w:rsidR="00373AD0" w:rsidRPr="00404A5A" w:rsidRDefault="00373AD0" w:rsidP="00373AD0">
            <w:pPr>
              <w:rPr>
                <w:rFonts w:cs="Times New Roman"/>
                <w:sz w:val="22"/>
              </w:rPr>
            </w:pPr>
            <w:r w:rsidRPr="00404A5A">
              <w:rPr>
                <w:rFonts w:cs="Times New Roman"/>
                <w:sz w:val="22"/>
              </w:rPr>
              <w:t>HAWT</w:t>
            </w:r>
          </w:p>
        </w:tc>
        <w:tc>
          <w:tcPr>
            <w:tcW w:w="4508" w:type="dxa"/>
          </w:tcPr>
          <w:p w14:paraId="675191F2" w14:textId="77777777" w:rsidR="00373AD0" w:rsidRPr="00404A5A" w:rsidRDefault="00373AD0" w:rsidP="00373AD0">
            <w:pPr>
              <w:cnfStyle w:val="000000000000" w:firstRow="0" w:lastRow="0" w:firstColumn="0" w:lastColumn="0" w:oddVBand="0" w:evenVBand="0" w:oddHBand="0" w:evenHBand="0" w:firstRowFirstColumn="0" w:firstRowLastColumn="0" w:lastRowFirstColumn="0" w:lastRowLastColumn="0"/>
              <w:rPr>
                <w:rFonts w:cs="Times New Roman"/>
                <w:sz w:val="22"/>
              </w:rPr>
            </w:pPr>
            <w:r w:rsidRPr="00404A5A">
              <w:rPr>
                <w:rFonts w:cs="Times New Roman"/>
                <w:sz w:val="22"/>
              </w:rPr>
              <w:t>Horizontal Axis Wind Turbine</w:t>
            </w:r>
          </w:p>
        </w:tc>
      </w:tr>
      <w:tr w:rsidR="00373AD0" w:rsidRPr="00404A5A" w14:paraId="7BBD7E4F"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503873D0" w14:textId="77777777" w:rsidR="00373AD0" w:rsidRPr="00404A5A" w:rsidRDefault="00373AD0" w:rsidP="00373AD0">
            <w:pPr>
              <w:rPr>
                <w:rFonts w:cs="Times New Roman"/>
                <w:sz w:val="22"/>
              </w:rPr>
            </w:pPr>
            <w:r w:rsidRPr="00404A5A">
              <w:rPr>
                <w:rFonts w:cs="Times New Roman"/>
                <w:sz w:val="22"/>
              </w:rPr>
              <w:t>VAWT</w:t>
            </w:r>
          </w:p>
        </w:tc>
        <w:tc>
          <w:tcPr>
            <w:tcW w:w="4508" w:type="dxa"/>
          </w:tcPr>
          <w:p w14:paraId="20BFDE3D" w14:textId="77777777" w:rsidR="00373AD0" w:rsidRPr="00404A5A" w:rsidRDefault="00373AD0" w:rsidP="00373AD0">
            <w:pPr>
              <w:cnfStyle w:val="000000000000" w:firstRow="0" w:lastRow="0" w:firstColumn="0" w:lastColumn="0" w:oddVBand="0" w:evenVBand="0" w:oddHBand="0" w:evenHBand="0" w:firstRowFirstColumn="0" w:firstRowLastColumn="0" w:lastRowFirstColumn="0" w:lastRowLastColumn="0"/>
              <w:rPr>
                <w:rFonts w:cs="Times New Roman"/>
                <w:sz w:val="22"/>
              </w:rPr>
            </w:pPr>
            <w:r w:rsidRPr="00404A5A">
              <w:rPr>
                <w:rFonts w:cs="Times New Roman"/>
                <w:sz w:val="22"/>
              </w:rPr>
              <w:t>Vertical Axis Wind Turbine</w:t>
            </w:r>
          </w:p>
        </w:tc>
      </w:tr>
      <w:tr w:rsidR="00373AD0" w:rsidRPr="00404A5A" w14:paraId="1A12B97B"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2FA386B9" w14:textId="77777777" w:rsidR="00373AD0" w:rsidRPr="00404A5A" w:rsidRDefault="00373AD0" w:rsidP="00373AD0">
            <w:pPr>
              <w:rPr>
                <w:rFonts w:cs="Times New Roman"/>
                <w:sz w:val="22"/>
              </w:rPr>
            </w:pPr>
            <w:r w:rsidRPr="00404A5A">
              <w:rPr>
                <w:rFonts w:cs="Times New Roman"/>
                <w:sz w:val="22"/>
              </w:rPr>
              <w:t>NGCC</w:t>
            </w:r>
          </w:p>
        </w:tc>
        <w:tc>
          <w:tcPr>
            <w:tcW w:w="4508" w:type="dxa"/>
          </w:tcPr>
          <w:p w14:paraId="2F7441F2" w14:textId="77777777" w:rsidR="00373AD0" w:rsidRPr="00404A5A" w:rsidRDefault="00373AD0" w:rsidP="00373AD0">
            <w:pPr>
              <w:cnfStyle w:val="000000000000" w:firstRow="0" w:lastRow="0" w:firstColumn="0" w:lastColumn="0" w:oddVBand="0" w:evenVBand="0" w:oddHBand="0" w:evenHBand="0" w:firstRowFirstColumn="0" w:firstRowLastColumn="0" w:lastRowFirstColumn="0" w:lastRowLastColumn="0"/>
              <w:rPr>
                <w:rFonts w:cs="Times New Roman"/>
                <w:sz w:val="22"/>
              </w:rPr>
            </w:pPr>
            <w:r w:rsidRPr="00404A5A">
              <w:rPr>
                <w:rFonts w:cs="Times New Roman"/>
                <w:sz w:val="22"/>
              </w:rPr>
              <w:t>Natural Gas Combined Cycle</w:t>
            </w:r>
          </w:p>
        </w:tc>
      </w:tr>
      <w:tr w:rsidR="00373AD0" w:rsidRPr="00404A5A" w14:paraId="3B7355EC"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5B6271FB" w14:textId="77777777" w:rsidR="00373AD0" w:rsidRPr="00404A5A" w:rsidRDefault="00373AD0" w:rsidP="00373AD0">
            <w:pPr>
              <w:rPr>
                <w:rFonts w:cs="Times New Roman"/>
                <w:sz w:val="22"/>
              </w:rPr>
            </w:pPr>
            <w:r w:rsidRPr="00404A5A">
              <w:rPr>
                <w:rFonts w:cs="Times New Roman"/>
                <w:sz w:val="22"/>
              </w:rPr>
              <w:t>NTP</w:t>
            </w:r>
          </w:p>
        </w:tc>
        <w:tc>
          <w:tcPr>
            <w:tcW w:w="4508" w:type="dxa"/>
          </w:tcPr>
          <w:p w14:paraId="6ABBA344" w14:textId="77777777" w:rsidR="00373AD0" w:rsidRPr="00404A5A" w:rsidRDefault="00373AD0" w:rsidP="00373AD0">
            <w:pPr>
              <w:spacing w:line="48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404A5A">
              <w:rPr>
                <w:rFonts w:cs="Times New Roman"/>
                <w:sz w:val="22"/>
              </w:rPr>
              <w:t>Nuclear Non-Proliferation Treaty</w:t>
            </w:r>
          </w:p>
        </w:tc>
      </w:tr>
      <w:tr w:rsidR="00373AD0" w:rsidRPr="00404A5A" w14:paraId="15485278"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52B41FFE" w14:textId="77777777" w:rsidR="00373AD0" w:rsidRPr="00404A5A" w:rsidRDefault="00373AD0" w:rsidP="00373AD0">
            <w:pPr>
              <w:rPr>
                <w:rFonts w:cs="Times New Roman"/>
                <w:sz w:val="22"/>
              </w:rPr>
            </w:pPr>
            <w:r w:rsidRPr="00404A5A">
              <w:rPr>
                <w:rFonts w:cs="Times New Roman"/>
                <w:sz w:val="22"/>
              </w:rPr>
              <w:t>ROI</w:t>
            </w:r>
          </w:p>
        </w:tc>
        <w:tc>
          <w:tcPr>
            <w:tcW w:w="4508" w:type="dxa"/>
          </w:tcPr>
          <w:p w14:paraId="633C2445" w14:textId="77777777" w:rsidR="00373AD0" w:rsidRPr="00404A5A" w:rsidRDefault="00373AD0" w:rsidP="00373AD0">
            <w:pPr>
              <w:spacing w:line="48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404A5A">
              <w:rPr>
                <w:rFonts w:cs="Times New Roman"/>
                <w:sz w:val="22"/>
              </w:rPr>
              <w:t>Return on Investment</w:t>
            </w:r>
          </w:p>
        </w:tc>
      </w:tr>
      <w:tr w:rsidR="00373AD0" w:rsidRPr="00404A5A" w14:paraId="369888D5"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1290928C" w14:textId="77777777" w:rsidR="00373AD0" w:rsidRPr="00404A5A" w:rsidRDefault="00373AD0" w:rsidP="00373AD0">
            <w:pPr>
              <w:rPr>
                <w:rFonts w:cs="Times New Roman"/>
                <w:sz w:val="22"/>
              </w:rPr>
            </w:pPr>
            <w:r w:rsidRPr="00404A5A">
              <w:rPr>
                <w:rFonts w:cs="Times New Roman"/>
                <w:sz w:val="22"/>
              </w:rPr>
              <w:t>EROI</w:t>
            </w:r>
          </w:p>
        </w:tc>
        <w:tc>
          <w:tcPr>
            <w:tcW w:w="4508" w:type="dxa"/>
          </w:tcPr>
          <w:p w14:paraId="4F52CD3D" w14:textId="77777777" w:rsidR="00373AD0" w:rsidRPr="00404A5A" w:rsidRDefault="00373AD0" w:rsidP="00373AD0">
            <w:pPr>
              <w:spacing w:line="48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404A5A">
              <w:rPr>
                <w:rFonts w:cs="Times New Roman"/>
                <w:sz w:val="22"/>
              </w:rPr>
              <w:t>Energy Return on Investment</w:t>
            </w:r>
          </w:p>
        </w:tc>
      </w:tr>
      <w:tr w:rsidR="00373AD0" w:rsidRPr="00404A5A" w14:paraId="2A121EDC"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14C62DE5" w14:textId="77777777" w:rsidR="00373AD0" w:rsidRPr="00404A5A" w:rsidRDefault="00373AD0" w:rsidP="00373AD0">
            <w:pPr>
              <w:rPr>
                <w:rFonts w:cs="Times New Roman"/>
                <w:sz w:val="22"/>
              </w:rPr>
            </w:pPr>
            <w:r w:rsidRPr="00404A5A">
              <w:rPr>
                <w:rFonts w:cs="Times New Roman"/>
                <w:sz w:val="22"/>
              </w:rPr>
              <w:t>WPG</w:t>
            </w:r>
          </w:p>
        </w:tc>
        <w:tc>
          <w:tcPr>
            <w:tcW w:w="4508" w:type="dxa"/>
          </w:tcPr>
          <w:p w14:paraId="11DB6DDB" w14:textId="77777777" w:rsidR="00373AD0" w:rsidRPr="00404A5A" w:rsidRDefault="00373AD0" w:rsidP="00373AD0">
            <w:pPr>
              <w:spacing w:line="48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404A5A">
              <w:rPr>
                <w:rFonts w:cs="Times New Roman"/>
                <w:sz w:val="22"/>
              </w:rPr>
              <w:t>Wind Power Generation</w:t>
            </w:r>
          </w:p>
        </w:tc>
      </w:tr>
      <w:tr w:rsidR="00373AD0" w:rsidRPr="00404A5A" w14:paraId="21B14C02"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1436AF86" w14:textId="77777777" w:rsidR="00373AD0" w:rsidRPr="00404A5A" w:rsidRDefault="00373AD0" w:rsidP="00373AD0">
            <w:pPr>
              <w:rPr>
                <w:rFonts w:cs="Times New Roman"/>
                <w:sz w:val="22"/>
              </w:rPr>
            </w:pPr>
            <w:r w:rsidRPr="00404A5A">
              <w:rPr>
                <w:rFonts w:cs="Times New Roman"/>
                <w:sz w:val="22"/>
              </w:rPr>
              <w:t>NPG</w:t>
            </w:r>
          </w:p>
        </w:tc>
        <w:tc>
          <w:tcPr>
            <w:tcW w:w="4508" w:type="dxa"/>
          </w:tcPr>
          <w:p w14:paraId="10F853BE" w14:textId="77777777" w:rsidR="00373AD0" w:rsidRPr="00404A5A" w:rsidRDefault="00373AD0" w:rsidP="00373AD0">
            <w:pPr>
              <w:spacing w:line="48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404A5A">
              <w:rPr>
                <w:rFonts w:cs="Times New Roman"/>
                <w:sz w:val="22"/>
              </w:rPr>
              <w:t>Nuclear Power Generation</w:t>
            </w:r>
          </w:p>
        </w:tc>
      </w:tr>
      <w:tr w:rsidR="00373AD0" w:rsidRPr="00404A5A" w14:paraId="109088D4"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29BDB41B" w14:textId="77777777" w:rsidR="00373AD0" w:rsidRPr="00404A5A" w:rsidRDefault="00373AD0" w:rsidP="00373AD0">
            <w:pPr>
              <w:rPr>
                <w:rFonts w:cs="Times New Roman"/>
                <w:sz w:val="22"/>
              </w:rPr>
            </w:pPr>
            <w:r w:rsidRPr="00404A5A">
              <w:rPr>
                <w:rFonts w:cs="Times New Roman"/>
                <w:sz w:val="22"/>
              </w:rPr>
              <w:t>PWh</w:t>
            </w:r>
          </w:p>
        </w:tc>
        <w:tc>
          <w:tcPr>
            <w:tcW w:w="4508" w:type="dxa"/>
          </w:tcPr>
          <w:p w14:paraId="6DB33F4E" w14:textId="77777777" w:rsidR="00373AD0" w:rsidRPr="00404A5A" w:rsidRDefault="00373AD0" w:rsidP="00373AD0">
            <w:pPr>
              <w:spacing w:line="48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404A5A">
              <w:rPr>
                <w:rFonts w:cs="Times New Roman"/>
                <w:sz w:val="22"/>
              </w:rPr>
              <w:t>Petawatt Hours</w:t>
            </w:r>
          </w:p>
        </w:tc>
      </w:tr>
      <w:tr w:rsidR="00373AD0" w:rsidRPr="00404A5A" w14:paraId="5761204C"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13DDD94D" w14:textId="77777777" w:rsidR="00373AD0" w:rsidRPr="00404A5A" w:rsidRDefault="00373AD0" w:rsidP="00373AD0">
            <w:pPr>
              <w:rPr>
                <w:rFonts w:cs="Times New Roman"/>
                <w:sz w:val="22"/>
              </w:rPr>
            </w:pPr>
            <w:r w:rsidRPr="00404A5A">
              <w:rPr>
                <w:rFonts w:cs="Times New Roman"/>
                <w:sz w:val="22"/>
              </w:rPr>
              <w:t>AGR</w:t>
            </w:r>
          </w:p>
        </w:tc>
        <w:tc>
          <w:tcPr>
            <w:tcW w:w="4508" w:type="dxa"/>
          </w:tcPr>
          <w:p w14:paraId="40E61FDC" w14:textId="77777777" w:rsidR="00373AD0" w:rsidRPr="00404A5A" w:rsidRDefault="00373AD0" w:rsidP="00373AD0">
            <w:pPr>
              <w:spacing w:line="48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404A5A">
              <w:rPr>
                <w:rFonts w:cs="Times New Roman"/>
                <w:sz w:val="22"/>
              </w:rPr>
              <w:t>Advanced gas-cooled reactor</w:t>
            </w:r>
          </w:p>
        </w:tc>
      </w:tr>
      <w:tr w:rsidR="00373AD0" w:rsidRPr="00404A5A" w14:paraId="1FEC3AA3"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4420FA98" w14:textId="77777777" w:rsidR="00373AD0" w:rsidRPr="00404A5A" w:rsidRDefault="00373AD0" w:rsidP="00373AD0">
            <w:pPr>
              <w:rPr>
                <w:rFonts w:cs="Times New Roman"/>
                <w:sz w:val="22"/>
              </w:rPr>
            </w:pPr>
            <w:r w:rsidRPr="00404A5A">
              <w:rPr>
                <w:rFonts w:cs="Times New Roman"/>
                <w:sz w:val="22"/>
              </w:rPr>
              <w:t>EUO</w:t>
            </w:r>
          </w:p>
        </w:tc>
        <w:tc>
          <w:tcPr>
            <w:tcW w:w="4508" w:type="dxa"/>
          </w:tcPr>
          <w:p w14:paraId="403A8424" w14:textId="77777777" w:rsidR="00373AD0" w:rsidRPr="00404A5A" w:rsidRDefault="00373AD0" w:rsidP="00373AD0">
            <w:pPr>
              <w:spacing w:line="48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404A5A">
              <w:rPr>
                <w:rFonts w:cs="Times New Roman"/>
                <w:sz w:val="22"/>
              </w:rPr>
              <w:t>Enriched Uranium Oxide</w:t>
            </w:r>
          </w:p>
        </w:tc>
      </w:tr>
      <w:tr w:rsidR="00373AD0" w:rsidRPr="00404A5A" w14:paraId="4CF71713"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449245B9" w14:textId="77777777" w:rsidR="00373AD0" w:rsidRPr="00404A5A" w:rsidRDefault="00373AD0" w:rsidP="00373AD0">
            <w:pPr>
              <w:rPr>
                <w:rFonts w:cs="Times New Roman"/>
                <w:sz w:val="22"/>
              </w:rPr>
            </w:pPr>
            <w:r w:rsidRPr="00404A5A">
              <w:rPr>
                <w:rFonts w:cs="Times New Roman"/>
                <w:sz w:val="22"/>
              </w:rPr>
              <w:t>EPBT</w:t>
            </w:r>
          </w:p>
        </w:tc>
        <w:tc>
          <w:tcPr>
            <w:tcW w:w="4508" w:type="dxa"/>
          </w:tcPr>
          <w:p w14:paraId="3A89A120" w14:textId="77777777" w:rsidR="00373AD0" w:rsidRPr="00404A5A" w:rsidRDefault="00373AD0" w:rsidP="00373AD0">
            <w:pPr>
              <w:spacing w:line="48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404A5A">
              <w:rPr>
                <w:rFonts w:cs="Times New Roman"/>
                <w:sz w:val="22"/>
              </w:rPr>
              <w:t>Economic Pay Back Time</w:t>
            </w:r>
          </w:p>
        </w:tc>
      </w:tr>
      <w:tr w:rsidR="00373AD0" w:rsidRPr="00404A5A" w14:paraId="70B3411A"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3E3D148F" w14:textId="77777777" w:rsidR="00373AD0" w:rsidRPr="00404A5A" w:rsidRDefault="00373AD0" w:rsidP="00373AD0">
            <w:pPr>
              <w:rPr>
                <w:rFonts w:cs="Times New Roman"/>
                <w:sz w:val="22"/>
              </w:rPr>
            </w:pPr>
            <w:r w:rsidRPr="00404A5A">
              <w:rPr>
                <w:rFonts w:cs="Times New Roman"/>
                <w:sz w:val="22"/>
              </w:rPr>
              <w:t>CF</w:t>
            </w:r>
          </w:p>
        </w:tc>
        <w:tc>
          <w:tcPr>
            <w:tcW w:w="4508" w:type="dxa"/>
          </w:tcPr>
          <w:p w14:paraId="484A97ED" w14:textId="77777777" w:rsidR="00373AD0" w:rsidRPr="00404A5A" w:rsidRDefault="00373AD0" w:rsidP="00373AD0">
            <w:pPr>
              <w:spacing w:line="48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404A5A">
              <w:rPr>
                <w:rFonts w:cs="Times New Roman"/>
                <w:sz w:val="22"/>
              </w:rPr>
              <w:t>Carbon Footprint</w:t>
            </w:r>
          </w:p>
        </w:tc>
      </w:tr>
      <w:tr w:rsidR="00373AD0" w:rsidRPr="00404A5A" w14:paraId="2379DE43"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27D572C4" w14:textId="77777777" w:rsidR="00373AD0" w:rsidRPr="00404A5A" w:rsidRDefault="00373AD0" w:rsidP="00373AD0">
            <w:pPr>
              <w:rPr>
                <w:rFonts w:cs="Times New Roman"/>
                <w:sz w:val="22"/>
              </w:rPr>
            </w:pPr>
            <w:r w:rsidRPr="00404A5A">
              <w:rPr>
                <w:rFonts w:cs="Times New Roman"/>
                <w:sz w:val="22"/>
              </w:rPr>
              <w:t>EGT</w:t>
            </w:r>
          </w:p>
        </w:tc>
        <w:tc>
          <w:tcPr>
            <w:tcW w:w="4508" w:type="dxa"/>
          </w:tcPr>
          <w:p w14:paraId="42A08778" w14:textId="77777777" w:rsidR="00373AD0" w:rsidRPr="00404A5A" w:rsidRDefault="00373AD0" w:rsidP="00373AD0">
            <w:pPr>
              <w:spacing w:line="48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404A5A">
              <w:rPr>
                <w:rFonts w:cs="Times New Roman"/>
                <w:sz w:val="22"/>
              </w:rPr>
              <w:t>Energy Generation Technology</w:t>
            </w:r>
          </w:p>
        </w:tc>
      </w:tr>
      <w:tr w:rsidR="00373AD0" w:rsidRPr="00404A5A" w14:paraId="0EBD3FE4"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155077C0" w14:textId="77777777" w:rsidR="00373AD0" w:rsidRPr="00404A5A" w:rsidRDefault="00373AD0" w:rsidP="00373AD0">
            <w:pPr>
              <w:rPr>
                <w:rFonts w:cs="Times New Roman"/>
                <w:sz w:val="22"/>
              </w:rPr>
            </w:pPr>
            <w:r>
              <w:rPr>
                <w:rFonts w:cs="Times New Roman"/>
                <w:sz w:val="22"/>
              </w:rPr>
              <w:t>OPEX</w:t>
            </w:r>
          </w:p>
        </w:tc>
        <w:tc>
          <w:tcPr>
            <w:tcW w:w="4508" w:type="dxa"/>
          </w:tcPr>
          <w:p w14:paraId="4B0EB832" w14:textId="77777777" w:rsidR="00373AD0" w:rsidRPr="00404A5A" w:rsidRDefault="00373AD0" w:rsidP="00373AD0">
            <w:pPr>
              <w:spacing w:line="480" w:lineRule="auto"/>
              <w:cnfStyle w:val="000000000000" w:firstRow="0" w:lastRow="0" w:firstColumn="0" w:lastColumn="0" w:oddVBand="0" w:evenVBand="0" w:oddHBand="0" w:evenHBand="0" w:firstRowFirstColumn="0" w:firstRowLastColumn="0" w:lastRowFirstColumn="0" w:lastRowLastColumn="0"/>
              <w:rPr>
                <w:rFonts w:cs="Times New Roman"/>
                <w:sz w:val="22"/>
              </w:rPr>
            </w:pPr>
            <w:r>
              <w:rPr>
                <w:rFonts w:cs="Times New Roman"/>
                <w:sz w:val="22"/>
              </w:rPr>
              <w:t>Operation Expenditures</w:t>
            </w:r>
          </w:p>
        </w:tc>
      </w:tr>
      <w:tr w:rsidR="00373AD0" w:rsidRPr="00404A5A" w14:paraId="45655E9B"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0D48CC9F" w14:textId="77777777" w:rsidR="00373AD0" w:rsidRDefault="00373AD0" w:rsidP="00373AD0">
            <w:pPr>
              <w:rPr>
                <w:rFonts w:cs="Times New Roman"/>
                <w:sz w:val="22"/>
              </w:rPr>
            </w:pPr>
            <w:r>
              <w:rPr>
                <w:rFonts w:cs="Times New Roman"/>
                <w:sz w:val="22"/>
              </w:rPr>
              <w:t>CAPEX</w:t>
            </w:r>
          </w:p>
        </w:tc>
        <w:tc>
          <w:tcPr>
            <w:tcW w:w="4508" w:type="dxa"/>
          </w:tcPr>
          <w:p w14:paraId="3CDEAB7B" w14:textId="77777777" w:rsidR="00373AD0" w:rsidRDefault="00373AD0" w:rsidP="00373AD0">
            <w:pPr>
              <w:spacing w:line="480" w:lineRule="auto"/>
              <w:cnfStyle w:val="000000000000" w:firstRow="0" w:lastRow="0" w:firstColumn="0" w:lastColumn="0" w:oddVBand="0" w:evenVBand="0" w:oddHBand="0" w:evenHBand="0" w:firstRowFirstColumn="0" w:firstRowLastColumn="0" w:lastRowFirstColumn="0" w:lastRowLastColumn="0"/>
              <w:rPr>
                <w:rFonts w:cs="Times New Roman"/>
                <w:sz w:val="22"/>
              </w:rPr>
            </w:pPr>
            <w:r>
              <w:rPr>
                <w:rFonts w:cs="Times New Roman"/>
                <w:sz w:val="22"/>
              </w:rPr>
              <w:t>Capital Expenditure</w:t>
            </w:r>
          </w:p>
        </w:tc>
      </w:tr>
      <w:tr w:rsidR="00373AD0" w:rsidRPr="00404A5A" w14:paraId="7D01A916"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5CEB40BD" w14:textId="77777777" w:rsidR="00373AD0" w:rsidRDefault="00373AD0" w:rsidP="00373AD0">
            <w:pPr>
              <w:rPr>
                <w:rFonts w:cs="Times New Roman"/>
                <w:sz w:val="22"/>
              </w:rPr>
            </w:pPr>
            <w:r>
              <w:rPr>
                <w:rFonts w:cs="Times New Roman"/>
                <w:sz w:val="22"/>
              </w:rPr>
              <w:t>O&amp;M</w:t>
            </w:r>
          </w:p>
        </w:tc>
        <w:tc>
          <w:tcPr>
            <w:tcW w:w="4508" w:type="dxa"/>
          </w:tcPr>
          <w:p w14:paraId="481F8A18" w14:textId="77777777" w:rsidR="00373AD0" w:rsidRDefault="00373AD0" w:rsidP="00373AD0">
            <w:pPr>
              <w:spacing w:line="480" w:lineRule="auto"/>
              <w:cnfStyle w:val="000000000000" w:firstRow="0" w:lastRow="0" w:firstColumn="0" w:lastColumn="0" w:oddVBand="0" w:evenVBand="0" w:oddHBand="0" w:evenHBand="0" w:firstRowFirstColumn="0" w:firstRowLastColumn="0" w:lastRowFirstColumn="0" w:lastRowLastColumn="0"/>
              <w:rPr>
                <w:rFonts w:cs="Times New Roman"/>
                <w:sz w:val="22"/>
              </w:rPr>
            </w:pPr>
            <w:r>
              <w:rPr>
                <w:rFonts w:cs="Times New Roman"/>
                <w:sz w:val="22"/>
              </w:rPr>
              <w:t>Operation and Maintenance</w:t>
            </w:r>
          </w:p>
        </w:tc>
      </w:tr>
      <w:tr w:rsidR="00373AD0" w:rsidRPr="00404A5A" w14:paraId="30CFB1F4" w14:textId="77777777" w:rsidTr="006C7C32">
        <w:tc>
          <w:tcPr>
            <w:cnfStyle w:val="001000000000" w:firstRow="0" w:lastRow="0" w:firstColumn="1" w:lastColumn="0" w:oddVBand="0" w:evenVBand="0" w:oddHBand="0" w:evenHBand="0" w:firstRowFirstColumn="0" w:firstRowLastColumn="0" w:lastRowFirstColumn="0" w:lastRowLastColumn="0"/>
            <w:tcW w:w="4508" w:type="dxa"/>
          </w:tcPr>
          <w:p w14:paraId="43C0A030" w14:textId="77777777" w:rsidR="00373AD0" w:rsidRDefault="00373AD0" w:rsidP="00373AD0">
            <w:pPr>
              <w:rPr>
                <w:rFonts w:cs="Times New Roman"/>
                <w:sz w:val="22"/>
              </w:rPr>
            </w:pPr>
            <w:r>
              <w:rPr>
                <w:rFonts w:cs="Times New Roman"/>
                <w:sz w:val="22"/>
              </w:rPr>
              <w:t>LCA</w:t>
            </w:r>
          </w:p>
        </w:tc>
        <w:tc>
          <w:tcPr>
            <w:tcW w:w="4508" w:type="dxa"/>
          </w:tcPr>
          <w:p w14:paraId="4FCE1A31" w14:textId="77777777" w:rsidR="00373AD0" w:rsidRDefault="00373AD0" w:rsidP="00373AD0">
            <w:pPr>
              <w:spacing w:line="480" w:lineRule="auto"/>
              <w:cnfStyle w:val="000000000000" w:firstRow="0" w:lastRow="0" w:firstColumn="0" w:lastColumn="0" w:oddVBand="0" w:evenVBand="0" w:oddHBand="0" w:evenHBand="0" w:firstRowFirstColumn="0" w:firstRowLastColumn="0" w:lastRowFirstColumn="0" w:lastRowLastColumn="0"/>
              <w:rPr>
                <w:rFonts w:cs="Times New Roman"/>
                <w:sz w:val="22"/>
              </w:rPr>
            </w:pPr>
            <w:r>
              <w:rPr>
                <w:rFonts w:cs="Times New Roman"/>
                <w:sz w:val="22"/>
              </w:rPr>
              <w:t>Life Cycle Analysis</w:t>
            </w:r>
          </w:p>
        </w:tc>
      </w:tr>
    </w:tbl>
    <w:p w14:paraId="2AEAA38D" w14:textId="77777777" w:rsidR="00373AD0" w:rsidRDefault="00373AD0" w:rsidP="00373AD0">
      <w:pPr>
        <w:ind w:firstLine="0"/>
        <w:rPr>
          <w:b/>
        </w:rPr>
        <w:sectPr w:rsidR="00373AD0" w:rsidSect="00373AD0">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pPr>
    </w:p>
    <w:p w14:paraId="37DB5A8B" w14:textId="10D27521" w:rsidR="00DE13FE" w:rsidRDefault="00373AD0" w:rsidP="00DE13FE">
      <w:pPr>
        <w:pStyle w:val="Figurliste"/>
        <w:tabs>
          <w:tab w:val="right" w:leader="dot" w:pos="9016"/>
        </w:tabs>
        <w:ind w:firstLine="0"/>
        <w:rPr>
          <w:rFonts w:asciiTheme="minorHAnsi" w:eastAsiaTheme="minorEastAsia" w:hAnsiTheme="minorHAnsi"/>
          <w:noProof/>
          <w:sz w:val="22"/>
          <w:lang w:eastAsia="en-GB"/>
        </w:rPr>
      </w:pPr>
      <w:r>
        <w:rPr>
          <w:b/>
        </w:rPr>
        <w:lastRenderedPageBreak/>
        <w:fldChar w:fldCharType="begin"/>
      </w:r>
      <w:r>
        <w:rPr>
          <w:b/>
        </w:rPr>
        <w:instrText xml:space="preserve"> TOC \h \z \c "Figure" </w:instrText>
      </w:r>
      <w:r>
        <w:rPr>
          <w:b/>
        </w:rPr>
        <w:fldChar w:fldCharType="separate"/>
      </w:r>
      <w:hyperlink w:anchor="_Toc506305244" w:history="1">
        <w:r w:rsidR="00DE13FE" w:rsidRPr="002839DC">
          <w:rPr>
            <w:rStyle w:val="Hyperkobling"/>
            <w:noProof/>
          </w:rPr>
          <w:t>Figure 1: Policy responses to the Fukushima Daiichi accident (Rogner, 2013)</w:t>
        </w:r>
        <w:r w:rsidR="00DE13FE">
          <w:rPr>
            <w:noProof/>
            <w:webHidden/>
          </w:rPr>
          <w:tab/>
        </w:r>
        <w:r w:rsidR="00DE13FE">
          <w:rPr>
            <w:noProof/>
            <w:webHidden/>
          </w:rPr>
          <w:fldChar w:fldCharType="begin"/>
        </w:r>
        <w:r w:rsidR="00DE13FE">
          <w:rPr>
            <w:noProof/>
            <w:webHidden/>
          </w:rPr>
          <w:instrText xml:space="preserve"> PAGEREF _Toc506305244 \h </w:instrText>
        </w:r>
        <w:r w:rsidR="00DE13FE">
          <w:rPr>
            <w:noProof/>
            <w:webHidden/>
          </w:rPr>
        </w:r>
        <w:r w:rsidR="00DE13FE">
          <w:rPr>
            <w:noProof/>
            <w:webHidden/>
          </w:rPr>
          <w:fldChar w:fldCharType="separate"/>
        </w:r>
        <w:r w:rsidR="00DE13FE">
          <w:rPr>
            <w:noProof/>
            <w:webHidden/>
          </w:rPr>
          <w:t>1</w:t>
        </w:r>
        <w:r w:rsidR="00DE13FE">
          <w:rPr>
            <w:noProof/>
            <w:webHidden/>
          </w:rPr>
          <w:fldChar w:fldCharType="end"/>
        </w:r>
      </w:hyperlink>
    </w:p>
    <w:p w14:paraId="752D55D8" w14:textId="764E0240"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45" w:history="1">
        <w:r w:rsidR="00DE13FE" w:rsidRPr="002839DC">
          <w:rPr>
            <w:rStyle w:val="Hyperkobling"/>
            <w:noProof/>
          </w:rPr>
          <w:t>Figure 2: Electricity production technologies comprising the UK electric grid mix and relative shares of total electricity output in the year 2013 (Department of Energy &amp; Climate Change (DECC), 2014a; National Grid, 2014a cited in Raugei &amp; Leccisi, 2016)</w:t>
        </w:r>
        <w:r w:rsidR="00DE13FE">
          <w:rPr>
            <w:noProof/>
            <w:webHidden/>
          </w:rPr>
          <w:tab/>
        </w:r>
        <w:r w:rsidR="00DE13FE">
          <w:rPr>
            <w:noProof/>
            <w:webHidden/>
          </w:rPr>
          <w:fldChar w:fldCharType="begin"/>
        </w:r>
        <w:r w:rsidR="00DE13FE">
          <w:rPr>
            <w:noProof/>
            <w:webHidden/>
          </w:rPr>
          <w:instrText xml:space="preserve"> PAGEREF _Toc506305245 \h </w:instrText>
        </w:r>
        <w:r w:rsidR="00DE13FE">
          <w:rPr>
            <w:noProof/>
            <w:webHidden/>
          </w:rPr>
        </w:r>
        <w:r w:rsidR="00DE13FE">
          <w:rPr>
            <w:noProof/>
            <w:webHidden/>
          </w:rPr>
          <w:fldChar w:fldCharType="separate"/>
        </w:r>
        <w:r w:rsidR="00DE13FE">
          <w:rPr>
            <w:noProof/>
            <w:webHidden/>
          </w:rPr>
          <w:t>2</w:t>
        </w:r>
        <w:r w:rsidR="00DE13FE">
          <w:rPr>
            <w:noProof/>
            <w:webHidden/>
          </w:rPr>
          <w:fldChar w:fldCharType="end"/>
        </w:r>
      </w:hyperlink>
    </w:p>
    <w:p w14:paraId="67432705" w14:textId="7C4B5774"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r:id="rId15" w:anchor="_Toc506305246" w:history="1">
        <w:r w:rsidR="00DE13FE" w:rsidRPr="002839DC">
          <w:rPr>
            <w:rStyle w:val="Hyperkobling"/>
            <w:noProof/>
          </w:rPr>
          <w:t>Figure 3: Data and relative ranking of power generation options on sustainability and economic–environmental impact indicators  (Suman, 2018)</w:t>
        </w:r>
        <w:r w:rsidR="00DE13FE">
          <w:rPr>
            <w:noProof/>
            <w:webHidden/>
          </w:rPr>
          <w:tab/>
        </w:r>
        <w:r w:rsidR="00DE13FE">
          <w:rPr>
            <w:noProof/>
            <w:webHidden/>
          </w:rPr>
          <w:fldChar w:fldCharType="begin"/>
        </w:r>
        <w:r w:rsidR="00DE13FE">
          <w:rPr>
            <w:noProof/>
            <w:webHidden/>
          </w:rPr>
          <w:instrText xml:space="preserve"> PAGEREF _Toc506305246 \h </w:instrText>
        </w:r>
        <w:r w:rsidR="00DE13FE">
          <w:rPr>
            <w:noProof/>
            <w:webHidden/>
          </w:rPr>
        </w:r>
        <w:r w:rsidR="00DE13FE">
          <w:rPr>
            <w:noProof/>
            <w:webHidden/>
          </w:rPr>
          <w:fldChar w:fldCharType="separate"/>
        </w:r>
        <w:r w:rsidR="00DE13FE">
          <w:rPr>
            <w:noProof/>
            <w:webHidden/>
          </w:rPr>
          <w:t>3</w:t>
        </w:r>
        <w:r w:rsidR="00DE13FE">
          <w:rPr>
            <w:noProof/>
            <w:webHidden/>
          </w:rPr>
          <w:fldChar w:fldCharType="end"/>
        </w:r>
      </w:hyperlink>
    </w:p>
    <w:p w14:paraId="163CC5DB" w14:textId="11A3BAB4"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47" w:history="1">
        <w:r w:rsidR="00DE13FE" w:rsidRPr="002839DC">
          <w:rPr>
            <w:rStyle w:val="Hyperkobling"/>
            <w:noProof/>
          </w:rPr>
          <w:t>Figure 4: Tower and rotor blade deflection modes in wind turbines. (Njiri &amp; Söffker, 2016)</w:t>
        </w:r>
        <w:r w:rsidR="00DE13FE">
          <w:rPr>
            <w:noProof/>
            <w:webHidden/>
          </w:rPr>
          <w:tab/>
        </w:r>
        <w:r w:rsidR="00DE13FE">
          <w:rPr>
            <w:noProof/>
            <w:webHidden/>
          </w:rPr>
          <w:fldChar w:fldCharType="begin"/>
        </w:r>
        <w:r w:rsidR="00DE13FE">
          <w:rPr>
            <w:noProof/>
            <w:webHidden/>
          </w:rPr>
          <w:instrText xml:space="preserve"> PAGEREF _Toc506305247 \h </w:instrText>
        </w:r>
        <w:r w:rsidR="00DE13FE">
          <w:rPr>
            <w:noProof/>
            <w:webHidden/>
          </w:rPr>
        </w:r>
        <w:r w:rsidR="00DE13FE">
          <w:rPr>
            <w:noProof/>
            <w:webHidden/>
          </w:rPr>
          <w:fldChar w:fldCharType="separate"/>
        </w:r>
        <w:r w:rsidR="00DE13FE">
          <w:rPr>
            <w:noProof/>
            <w:webHidden/>
          </w:rPr>
          <w:t>4</w:t>
        </w:r>
        <w:r w:rsidR="00DE13FE">
          <w:rPr>
            <w:noProof/>
            <w:webHidden/>
          </w:rPr>
          <w:fldChar w:fldCharType="end"/>
        </w:r>
      </w:hyperlink>
    </w:p>
    <w:p w14:paraId="347F30A3" w14:textId="1634E0FC"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48" w:history="1">
        <w:r w:rsidR="00DE13FE" w:rsidRPr="002839DC">
          <w:rPr>
            <w:rStyle w:val="Hyperkobling"/>
            <w:noProof/>
          </w:rPr>
          <w:t>Figure 5:Scheme of a constant speed WECS with multiple stage geared SCIG  (M. Cheng &amp; Zhu, 2014)</w:t>
        </w:r>
        <w:r w:rsidR="00DE13FE">
          <w:rPr>
            <w:noProof/>
            <w:webHidden/>
          </w:rPr>
          <w:tab/>
        </w:r>
        <w:r w:rsidR="00DE13FE">
          <w:rPr>
            <w:noProof/>
            <w:webHidden/>
          </w:rPr>
          <w:fldChar w:fldCharType="begin"/>
        </w:r>
        <w:r w:rsidR="00DE13FE">
          <w:rPr>
            <w:noProof/>
            <w:webHidden/>
          </w:rPr>
          <w:instrText xml:space="preserve"> PAGEREF _Toc506305248 \h </w:instrText>
        </w:r>
        <w:r w:rsidR="00DE13FE">
          <w:rPr>
            <w:noProof/>
            <w:webHidden/>
          </w:rPr>
        </w:r>
        <w:r w:rsidR="00DE13FE">
          <w:rPr>
            <w:noProof/>
            <w:webHidden/>
          </w:rPr>
          <w:fldChar w:fldCharType="separate"/>
        </w:r>
        <w:r w:rsidR="00DE13FE">
          <w:rPr>
            <w:noProof/>
            <w:webHidden/>
          </w:rPr>
          <w:t>4</w:t>
        </w:r>
        <w:r w:rsidR="00DE13FE">
          <w:rPr>
            <w:noProof/>
            <w:webHidden/>
          </w:rPr>
          <w:fldChar w:fldCharType="end"/>
        </w:r>
      </w:hyperlink>
    </w:p>
    <w:p w14:paraId="0E799B09" w14:textId="31CF0031"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49" w:history="1">
        <w:r w:rsidR="00DE13FE" w:rsidRPr="002839DC">
          <w:rPr>
            <w:rStyle w:val="Hyperkobling"/>
            <w:noProof/>
          </w:rPr>
          <w:t>Figure 6: Total installed capacity of wind generators in the world (M. Cheng &amp; Zhu, 2014)</w:t>
        </w:r>
        <w:r w:rsidR="00DE13FE">
          <w:rPr>
            <w:noProof/>
            <w:webHidden/>
          </w:rPr>
          <w:tab/>
        </w:r>
        <w:r w:rsidR="00DE13FE">
          <w:rPr>
            <w:noProof/>
            <w:webHidden/>
          </w:rPr>
          <w:fldChar w:fldCharType="begin"/>
        </w:r>
        <w:r w:rsidR="00DE13FE">
          <w:rPr>
            <w:noProof/>
            <w:webHidden/>
          </w:rPr>
          <w:instrText xml:space="preserve"> PAGEREF _Toc506305249 \h </w:instrText>
        </w:r>
        <w:r w:rsidR="00DE13FE">
          <w:rPr>
            <w:noProof/>
            <w:webHidden/>
          </w:rPr>
        </w:r>
        <w:r w:rsidR="00DE13FE">
          <w:rPr>
            <w:noProof/>
            <w:webHidden/>
          </w:rPr>
          <w:fldChar w:fldCharType="separate"/>
        </w:r>
        <w:r w:rsidR="00DE13FE">
          <w:rPr>
            <w:noProof/>
            <w:webHidden/>
          </w:rPr>
          <w:t>5</w:t>
        </w:r>
        <w:r w:rsidR="00DE13FE">
          <w:rPr>
            <w:noProof/>
            <w:webHidden/>
          </w:rPr>
          <w:fldChar w:fldCharType="end"/>
        </w:r>
      </w:hyperlink>
    </w:p>
    <w:p w14:paraId="6A3D5620" w14:textId="349FDA04"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50" w:history="1">
        <w:r w:rsidR="00DE13FE" w:rsidRPr="002839DC">
          <w:rPr>
            <w:rStyle w:val="Hyperkobling"/>
            <w:noProof/>
          </w:rPr>
          <w:t>Figure 7:Typical capacity factors for power generation (Suman, 2018)</w:t>
        </w:r>
        <w:r w:rsidR="00DE13FE">
          <w:rPr>
            <w:noProof/>
            <w:webHidden/>
          </w:rPr>
          <w:tab/>
        </w:r>
        <w:r w:rsidR="00DE13FE">
          <w:rPr>
            <w:noProof/>
            <w:webHidden/>
          </w:rPr>
          <w:fldChar w:fldCharType="begin"/>
        </w:r>
        <w:r w:rsidR="00DE13FE">
          <w:rPr>
            <w:noProof/>
            <w:webHidden/>
          </w:rPr>
          <w:instrText xml:space="preserve"> PAGEREF _Toc506305250 \h </w:instrText>
        </w:r>
        <w:r w:rsidR="00DE13FE">
          <w:rPr>
            <w:noProof/>
            <w:webHidden/>
          </w:rPr>
        </w:r>
        <w:r w:rsidR="00DE13FE">
          <w:rPr>
            <w:noProof/>
            <w:webHidden/>
          </w:rPr>
          <w:fldChar w:fldCharType="separate"/>
        </w:r>
        <w:r w:rsidR="00DE13FE">
          <w:rPr>
            <w:noProof/>
            <w:webHidden/>
          </w:rPr>
          <w:t>5</w:t>
        </w:r>
        <w:r w:rsidR="00DE13FE">
          <w:rPr>
            <w:noProof/>
            <w:webHidden/>
          </w:rPr>
          <w:fldChar w:fldCharType="end"/>
        </w:r>
      </w:hyperlink>
    </w:p>
    <w:p w14:paraId="4E1DE9C2" w14:textId="039E03B4"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51" w:history="1">
        <w:r w:rsidR="00DE13FE" w:rsidRPr="002839DC">
          <w:rPr>
            <w:rStyle w:val="Hyperkobling"/>
            <w:noProof/>
          </w:rPr>
          <w:t>Figure 8: Diagrammatic cross-section of a typical AGR (Mckeen, 2011)</w:t>
        </w:r>
        <w:r w:rsidR="00DE13FE">
          <w:rPr>
            <w:noProof/>
            <w:webHidden/>
          </w:rPr>
          <w:tab/>
        </w:r>
        <w:r w:rsidR="00DE13FE">
          <w:rPr>
            <w:noProof/>
            <w:webHidden/>
          </w:rPr>
          <w:fldChar w:fldCharType="begin"/>
        </w:r>
        <w:r w:rsidR="00DE13FE">
          <w:rPr>
            <w:noProof/>
            <w:webHidden/>
          </w:rPr>
          <w:instrText xml:space="preserve"> PAGEREF _Toc506305251 \h </w:instrText>
        </w:r>
        <w:r w:rsidR="00DE13FE">
          <w:rPr>
            <w:noProof/>
            <w:webHidden/>
          </w:rPr>
        </w:r>
        <w:r w:rsidR="00DE13FE">
          <w:rPr>
            <w:noProof/>
            <w:webHidden/>
          </w:rPr>
          <w:fldChar w:fldCharType="separate"/>
        </w:r>
        <w:r w:rsidR="00DE13FE">
          <w:rPr>
            <w:noProof/>
            <w:webHidden/>
          </w:rPr>
          <w:t>7</w:t>
        </w:r>
        <w:r w:rsidR="00DE13FE">
          <w:rPr>
            <w:noProof/>
            <w:webHidden/>
          </w:rPr>
          <w:fldChar w:fldCharType="end"/>
        </w:r>
      </w:hyperlink>
    </w:p>
    <w:p w14:paraId="6C9D9309" w14:textId="45B94FDC"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52" w:history="1">
        <w:r w:rsidR="00DE13FE" w:rsidRPr="002839DC">
          <w:rPr>
            <w:rStyle w:val="Hyperkobling"/>
            <w:noProof/>
          </w:rPr>
          <w:t>Figure 9: MSBR molten salt breeder reactor (This diagram is a schematic concept of the reactor system and does not literally represent the Gen IV design.) Oak Ridge National Laboratory (Rosenthal et al., 1971 cited in Baker Schaffer, 2013)</w:t>
        </w:r>
        <w:r w:rsidR="00DE13FE">
          <w:rPr>
            <w:noProof/>
            <w:webHidden/>
          </w:rPr>
          <w:tab/>
        </w:r>
        <w:r w:rsidR="00DE13FE">
          <w:rPr>
            <w:noProof/>
            <w:webHidden/>
          </w:rPr>
          <w:fldChar w:fldCharType="begin"/>
        </w:r>
        <w:r w:rsidR="00DE13FE">
          <w:rPr>
            <w:noProof/>
            <w:webHidden/>
          </w:rPr>
          <w:instrText xml:space="preserve"> PAGEREF _Toc506305252 \h </w:instrText>
        </w:r>
        <w:r w:rsidR="00DE13FE">
          <w:rPr>
            <w:noProof/>
            <w:webHidden/>
          </w:rPr>
        </w:r>
        <w:r w:rsidR="00DE13FE">
          <w:rPr>
            <w:noProof/>
            <w:webHidden/>
          </w:rPr>
          <w:fldChar w:fldCharType="separate"/>
        </w:r>
        <w:r w:rsidR="00DE13FE">
          <w:rPr>
            <w:noProof/>
            <w:webHidden/>
          </w:rPr>
          <w:t>8</w:t>
        </w:r>
        <w:r w:rsidR="00DE13FE">
          <w:rPr>
            <w:noProof/>
            <w:webHidden/>
          </w:rPr>
          <w:fldChar w:fldCharType="end"/>
        </w:r>
      </w:hyperlink>
    </w:p>
    <w:p w14:paraId="741EBF1F" w14:textId="64C1A4C7"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53" w:history="1">
        <w:r w:rsidR="00DE13FE" w:rsidRPr="002839DC">
          <w:rPr>
            <w:rStyle w:val="Hyperkobling"/>
            <w:noProof/>
          </w:rPr>
          <w:t>Figure 10: Electricity output by production technology in 2013 and projected changes in the year 2035, according to four alternative scenarios developed by (National grid, 2014 cited in Raugei and Leccisi, 2016)</w:t>
        </w:r>
        <w:r w:rsidR="00DE13FE">
          <w:rPr>
            <w:noProof/>
            <w:webHidden/>
          </w:rPr>
          <w:tab/>
        </w:r>
        <w:r w:rsidR="00DE13FE">
          <w:rPr>
            <w:noProof/>
            <w:webHidden/>
          </w:rPr>
          <w:fldChar w:fldCharType="begin"/>
        </w:r>
        <w:r w:rsidR="00DE13FE">
          <w:rPr>
            <w:noProof/>
            <w:webHidden/>
          </w:rPr>
          <w:instrText xml:space="preserve"> PAGEREF _Toc506305253 \h </w:instrText>
        </w:r>
        <w:r w:rsidR="00DE13FE">
          <w:rPr>
            <w:noProof/>
            <w:webHidden/>
          </w:rPr>
        </w:r>
        <w:r w:rsidR="00DE13FE">
          <w:rPr>
            <w:noProof/>
            <w:webHidden/>
          </w:rPr>
          <w:fldChar w:fldCharType="separate"/>
        </w:r>
        <w:r w:rsidR="00DE13FE">
          <w:rPr>
            <w:noProof/>
            <w:webHidden/>
          </w:rPr>
          <w:t>9</w:t>
        </w:r>
        <w:r w:rsidR="00DE13FE">
          <w:rPr>
            <w:noProof/>
            <w:webHidden/>
          </w:rPr>
          <w:fldChar w:fldCharType="end"/>
        </w:r>
      </w:hyperlink>
    </w:p>
    <w:p w14:paraId="5A96F608" w14:textId="290BC753"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r:id="rId16" w:anchor="_Toc506305254" w:history="1">
        <w:r w:rsidR="00DE13FE" w:rsidRPr="002839DC">
          <w:rPr>
            <w:rStyle w:val="Hyperkobling"/>
            <w:noProof/>
          </w:rPr>
          <w:t>Figure 11: Summary of estimated energy parameters for the nuclear and renewable power generators examined in the present study (Cheng &amp; Hammond, 2017)</w:t>
        </w:r>
        <w:r w:rsidR="00DE13FE">
          <w:rPr>
            <w:noProof/>
            <w:webHidden/>
          </w:rPr>
          <w:tab/>
        </w:r>
        <w:r w:rsidR="00DE13FE">
          <w:rPr>
            <w:noProof/>
            <w:webHidden/>
          </w:rPr>
          <w:fldChar w:fldCharType="begin"/>
        </w:r>
        <w:r w:rsidR="00DE13FE">
          <w:rPr>
            <w:noProof/>
            <w:webHidden/>
          </w:rPr>
          <w:instrText xml:space="preserve"> PAGEREF _Toc506305254 \h </w:instrText>
        </w:r>
        <w:r w:rsidR="00DE13FE">
          <w:rPr>
            <w:noProof/>
            <w:webHidden/>
          </w:rPr>
        </w:r>
        <w:r w:rsidR="00DE13FE">
          <w:rPr>
            <w:noProof/>
            <w:webHidden/>
          </w:rPr>
          <w:fldChar w:fldCharType="separate"/>
        </w:r>
        <w:r w:rsidR="00DE13FE">
          <w:rPr>
            <w:noProof/>
            <w:webHidden/>
          </w:rPr>
          <w:t>10</w:t>
        </w:r>
        <w:r w:rsidR="00DE13FE">
          <w:rPr>
            <w:noProof/>
            <w:webHidden/>
          </w:rPr>
          <w:fldChar w:fldCharType="end"/>
        </w:r>
      </w:hyperlink>
    </w:p>
    <w:p w14:paraId="6C696ECA" w14:textId="49539CF9"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55" w:history="1">
        <w:r w:rsidR="00DE13FE" w:rsidRPr="002839DC">
          <w:rPr>
            <w:rStyle w:val="Hyperkobling"/>
            <w:noProof/>
          </w:rPr>
          <w:t>Figure 12: Energy production technologies comprising the UK electric grid mix and relative shares of total electricity output in the year 2013 (Department of Energy and Cliamte Change (DECC), 2014; National Grid, 2014, Cited in Raugei and Leccisi, 2016)</w:t>
        </w:r>
        <w:r w:rsidR="00DE13FE">
          <w:rPr>
            <w:noProof/>
            <w:webHidden/>
          </w:rPr>
          <w:tab/>
        </w:r>
        <w:r w:rsidR="00DE13FE">
          <w:rPr>
            <w:noProof/>
            <w:webHidden/>
          </w:rPr>
          <w:fldChar w:fldCharType="begin"/>
        </w:r>
        <w:r w:rsidR="00DE13FE">
          <w:rPr>
            <w:noProof/>
            <w:webHidden/>
          </w:rPr>
          <w:instrText xml:space="preserve"> PAGEREF _Toc506305255 \h </w:instrText>
        </w:r>
        <w:r w:rsidR="00DE13FE">
          <w:rPr>
            <w:noProof/>
            <w:webHidden/>
          </w:rPr>
        </w:r>
        <w:r w:rsidR="00DE13FE">
          <w:rPr>
            <w:noProof/>
            <w:webHidden/>
          </w:rPr>
          <w:fldChar w:fldCharType="separate"/>
        </w:r>
        <w:r w:rsidR="00DE13FE">
          <w:rPr>
            <w:noProof/>
            <w:webHidden/>
          </w:rPr>
          <w:t>10</w:t>
        </w:r>
        <w:r w:rsidR="00DE13FE">
          <w:rPr>
            <w:noProof/>
            <w:webHidden/>
          </w:rPr>
          <w:fldChar w:fldCharType="end"/>
        </w:r>
      </w:hyperlink>
    </w:p>
    <w:p w14:paraId="23CC2C14" w14:textId="1B993779"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56" w:history="1">
        <w:r w:rsidR="00DE13FE" w:rsidRPr="002839DC">
          <w:rPr>
            <w:rStyle w:val="Hyperkobling"/>
            <w:noProof/>
          </w:rPr>
          <w:t>Figure 13: Main characteristics of Hinkley Point C. (Suna and Resch, 2016)</w:t>
        </w:r>
        <w:r w:rsidR="00DE13FE">
          <w:rPr>
            <w:noProof/>
            <w:webHidden/>
          </w:rPr>
          <w:tab/>
        </w:r>
        <w:r w:rsidR="00DE13FE">
          <w:rPr>
            <w:noProof/>
            <w:webHidden/>
          </w:rPr>
          <w:fldChar w:fldCharType="begin"/>
        </w:r>
        <w:r w:rsidR="00DE13FE">
          <w:rPr>
            <w:noProof/>
            <w:webHidden/>
          </w:rPr>
          <w:instrText xml:space="preserve"> PAGEREF _Toc506305256 \h </w:instrText>
        </w:r>
        <w:r w:rsidR="00DE13FE">
          <w:rPr>
            <w:noProof/>
            <w:webHidden/>
          </w:rPr>
        </w:r>
        <w:r w:rsidR="00DE13FE">
          <w:rPr>
            <w:noProof/>
            <w:webHidden/>
          </w:rPr>
          <w:fldChar w:fldCharType="separate"/>
        </w:r>
        <w:r w:rsidR="00DE13FE">
          <w:rPr>
            <w:noProof/>
            <w:webHidden/>
          </w:rPr>
          <w:t>11</w:t>
        </w:r>
        <w:r w:rsidR="00DE13FE">
          <w:rPr>
            <w:noProof/>
            <w:webHidden/>
          </w:rPr>
          <w:fldChar w:fldCharType="end"/>
        </w:r>
      </w:hyperlink>
    </w:p>
    <w:p w14:paraId="6AC3B5EF" w14:textId="323626E1"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57" w:history="1">
        <w:r w:rsidR="00DE13FE" w:rsidRPr="002839DC">
          <w:rPr>
            <w:rStyle w:val="Hyperkobling"/>
            <w:noProof/>
          </w:rPr>
          <w:t>Figure 14: Comparison between the potential of onshore and offshore wind energy in different depths, and the energy demand in Europe. This graphic shows the need to push offshore wind energy (Ceña, 2009 cited in Esteban, 2011)</w:t>
        </w:r>
        <w:r w:rsidR="00DE13FE">
          <w:rPr>
            <w:noProof/>
            <w:webHidden/>
          </w:rPr>
          <w:tab/>
        </w:r>
        <w:r w:rsidR="00DE13FE">
          <w:rPr>
            <w:noProof/>
            <w:webHidden/>
          </w:rPr>
          <w:fldChar w:fldCharType="begin"/>
        </w:r>
        <w:r w:rsidR="00DE13FE">
          <w:rPr>
            <w:noProof/>
            <w:webHidden/>
          </w:rPr>
          <w:instrText xml:space="preserve"> PAGEREF _Toc506305257 \h </w:instrText>
        </w:r>
        <w:r w:rsidR="00DE13FE">
          <w:rPr>
            <w:noProof/>
            <w:webHidden/>
          </w:rPr>
        </w:r>
        <w:r w:rsidR="00DE13FE">
          <w:rPr>
            <w:noProof/>
            <w:webHidden/>
          </w:rPr>
          <w:fldChar w:fldCharType="separate"/>
        </w:r>
        <w:r w:rsidR="00DE13FE">
          <w:rPr>
            <w:noProof/>
            <w:webHidden/>
          </w:rPr>
          <w:t>11</w:t>
        </w:r>
        <w:r w:rsidR="00DE13FE">
          <w:rPr>
            <w:noProof/>
            <w:webHidden/>
          </w:rPr>
          <w:fldChar w:fldCharType="end"/>
        </w:r>
      </w:hyperlink>
    </w:p>
    <w:p w14:paraId="71277447" w14:textId="50A208B8"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58" w:history="1">
        <w:r w:rsidR="00DE13FE" w:rsidRPr="002839DC">
          <w:rPr>
            <w:rStyle w:val="Hyperkobling"/>
            <w:noProof/>
          </w:rPr>
          <w:t>Figure 15: Life cycle distribution for offshore wind turbines (Hatch, 2014)</w:t>
        </w:r>
        <w:r w:rsidR="00DE13FE">
          <w:rPr>
            <w:noProof/>
            <w:webHidden/>
          </w:rPr>
          <w:tab/>
        </w:r>
        <w:r w:rsidR="00DE13FE">
          <w:rPr>
            <w:noProof/>
            <w:webHidden/>
          </w:rPr>
          <w:fldChar w:fldCharType="begin"/>
        </w:r>
        <w:r w:rsidR="00DE13FE">
          <w:rPr>
            <w:noProof/>
            <w:webHidden/>
          </w:rPr>
          <w:instrText xml:space="preserve"> PAGEREF _Toc506305258 \h </w:instrText>
        </w:r>
        <w:r w:rsidR="00DE13FE">
          <w:rPr>
            <w:noProof/>
            <w:webHidden/>
          </w:rPr>
        </w:r>
        <w:r w:rsidR="00DE13FE">
          <w:rPr>
            <w:noProof/>
            <w:webHidden/>
          </w:rPr>
          <w:fldChar w:fldCharType="separate"/>
        </w:r>
        <w:r w:rsidR="00DE13FE">
          <w:rPr>
            <w:noProof/>
            <w:webHidden/>
          </w:rPr>
          <w:t>12</w:t>
        </w:r>
        <w:r w:rsidR="00DE13FE">
          <w:rPr>
            <w:noProof/>
            <w:webHidden/>
          </w:rPr>
          <w:fldChar w:fldCharType="end"/>
        </w:r>
      </w:hyperlink>
    </w:p>
    <w:p w14:paraId="11A4BB8F" w14:textId="6941860E"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59" w:history="1">
        <w:r w:rsidR="00DE13FE" w:rsidRPr="002839DC">
          <w:rPr>
            <w:rStyle w:val="Hyperkobling"/>
            <w:noProof/>
          </w:rPr>
          <w:t>Figure 16: Life cycle distribution for nuclear power plants (Hatch, 2014)</w:t>
        </w:r>
        <w:r w:rsidR="00DE13FE">
          <w:rPr>
            <w:noProof/>
            <w:webHidden/>
          </w:rPr>
          <w:tab/>
        </w:r>
        <w:r w:rsidR="00DE13FE">
          <w:rPr>
            <w:noProof/>
            <w:webHidden/>
          </w:rPr>
          <w:fldChar w:fldCharType="begin"/>
        </w:r>
        <w:r w:rsidR="00DE13FE">
          <w:rPr>
            <w:noProof/>
            <w:webHidden/>
          </w:rPr>
          <w:instrText xml:space="preserve"> PAGEREF _Toc506305259 \h </w:instrText>
        </w:r>
        <w:r w:rsidR="00DE13FE">
          <w:rPr>
            <w:noProof/>
            <w:webHidden/>
          </w:rPr>
        </w:r>
        <w:r w:rsidR="00DE13FE">
          <w:rPr>
            <w:noProof/>
            <w:webHidden/>
          </w:rPr>
          <w:fldChar w:fldCharType="separate"/>
        </w:r>
        <w:r w:rsidR="00DE13FE">
          <w:rPr>
            <w:noProof/>
            <w:webHidden/>
          </w:rPr>
          <w:t>13</w:t>
        </w:r>
        <w:r w:rsidR="00DE13FE">
          <w:rPr>
            <w:noProof/>
            <w:webHidden/>
          </w:rPr>
          <w:fldChar w:fldCharType="end"/>
        </w:r>
      </w:hyperlink>
    </w:p>
    <w:p w14:paraId="77BC28D9" w14:textId="28242955"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60" w:history="1">
        <w:r w:rsidR="00DE13FE" w:rsidRPr="002839DC">
          <w:rPr>
            <w:rStyle w:val="Hyperkobling"/>
            <w:noProof/>
          </w:rPr>
          <w:t>Figure 17: Total lifecycle emissions (Statistical approach) (Hatch, 2014)</w:t>
        </w:r>
        <w:r w:rsidR="00DE13FE">
          <w:rPr>
            <w:noProof/>
            <w:webHidden/>
          </w:rPr>
          <w:tab/>
        </w:r>
        <w:r w:rsidR="00DE13FE">
          <w:rPr>
            <w:noProof/>
            <w:webHidden/>
          </w:rPr>
          <w:fldChar w:fldCharType="begin"/>
        </w:r>
        <w:r w:rsidR="00DE13FE">
          <w:rPr>
            <w:noProof/>
            <w:webHidden/>
          </w:rPr>
          <w:instrText xml:space="preserve"> PAGEREF _Toc506305260 \h </w:instrText>
        </w:r>
        <w:r w:rsidR="00DE13FE">
          <w:rPr>
            <w:noProof/>
            <w:webHidden/>
          </w:rPr>
        </w:r>
        <w:r w:rsidR="00DE13FE">
          <w:rPr>
            <w:noProof/>
            <w:webHidden/>
          </w:rPr>
          <w:fldChar w:fldCharType="separate"/>
        </w:r>
        <w:r w:rsidR="00DE13FE">
          <w:rPr>
            <w:noProof/>
            <w:webHidden/>
          </w:rPr>
          <w:t>13</w:t>
        </w:r>
        <w:r w:rsidR="00DE13FE">
          <w:rPr>
            <w:noProof/>
            <w:webHidden/>
          </w:rPr>
          <w:fldChar w:fldCharType="end"/>
        </w:r>
      </w:hyperlink>
    </w:p>
    <w:p w14:paraId="08780D1D" w14:textId="644946CD"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61" w:history="1">
        <w:r w:rsidR="00DE13FE" w:rsidRPr="002839DC">
          <w:rPr>
            <w:rStyle w:val="Hyperkobling"/>
            <w:noProof/>
          </w:rPr>
          <w:t>Figure 18: Environmental impacts (c ) water withdrawal (gal/kWh) (Noori, Kucukvar, &amp; Tatari, 2015)</w:t>
        </w:r>
        <w:r w:rsidR="00DE13FE">
          <w:rPr>
            <w:noProof/>
            <w:webHidden/>
          </w:rPr>
          <w:tab/>
        </w:r>
        <w:r w:rsidR="00DE13FE">
          <w:rPr>
            <w:noProof/>
            <w:webHidden/>
          </w:rPr>
          <w:fldChar w:fldCharType="begin"/>
        </w:r>
        <w:r w:rsidR="00DE13FE">
          <w:rPr>
            <w:noProof/>
            <w:webHidden/>
          </w:rPr>
          <w:instrText xml:space="preserve"> PAGEREF _Toc506305261 \h </w:instrText>
        </w:r>
        <w:r w:rsidR="00DE13FE">
          <w:rPr>
            <w:noProof/>
            <w:webHidden/>
          </w:rPr>
        </w:r>
        <w:r w:rsidR="00DE13FE">
          <w:rPr>
            <w:noProof/>
            <w:webHidden/>
          </w:rPr>
          <w:fldChar w:fldCharType="separate"/>
        </w:r>
        <w:r w:rsidR="00DE13FE">
          <w:rPr>
            <w:noProof/>
            <w:webHidden/>
          </w:rPr>
          <w:t>14</w:t>
        </w:r>
        <w:r w:rsidR="00DE13FE">
          <w:rPr>
            <w:noProof/>
            <w:webHidden/>
          </w:rPr>
          <w:fldChar w:fldCharType="end"/>
        </w:r>
      </w:hyperlink>
    </w:p>
    <w:p w14:paraId="009BC3D1" w14:textId="06F471CF"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62" w:history="1">
        <w:r w:rsidR="00DE13FE" w:rsidRPr="002839DC">
          <w:rPr>
            <w:rStyle w:val="Hyperkobling"/>
            <w:noProof/>
          </w:rPr>
          <w:t>Figure 19: Summary table of the water use factors used for the projections, split by generation and cooling technology. O, Open loop, C, Closed loop recirculating, H, Hybrid cooling (35%dry, 65%wet) (Byers, Hall, &amp; Amezaga, 2014)</w:t>
        </w:r>
        <w:r w:rsidR="00DE13FE">
          <w:rPr>
            <w:noProof/>
            <w:webHidden/>
          </w:rPr>
          <w:tab/>
        </w:r>
        <w:r w:rsidR="00DE13FE">
          <w:rPr>
            <w:noProof/>
            <w:webHidden/>
          </w:rPr>
          <w:fldChar w:fldCharType="begin"/>
        </w:r>
        <w:r w:rsidR="00DE13FE">
          <w:rPr>
            <w:noProof/>
            <w:webHidden/>
          </w:rPr>
          <w:instrText xml:space="preserve"> PAGEREF _Toc506305262 \h </w:instrText>
        </w:r>
        <w:r w:rsidR="00DE13FE">
          <w:rPr>
            <w:noProof/>
            <w:webHidden/>
          </w:rPr>
        </w:r>
        <w:r w:rsidR="00DE13FE">
          <w:rPr>
            <w:noProof/>
            <w:webHidden/>
          </w:rPr>
          <w:fldChar w:fldCharType="separate"/>
        </w:r>
        <w:r w:rsidR="00DE13FE">
          <w:rPr>
            <w:noProof/>
            <w:webHidden/>
          </w:rPr>
          <w:t>14</w:t>
        </w:r>
        <w:r w:rsidR="00DE13FE">
          <w:rPr>
            <w:noProof/>
            <w:webHidden/>
          </w:rPr>
          <w:fldChar w:fldCharType="end"/>
        </w:r>
      </w:hyperlink>
    </w:p>
    <w:p w14:paraId="72B3D7D4" w14:textId="4F1EB221"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63" w:history="1">
        <w:r w:rsidR="00DE13FE" w:rsidRPr="002839DC">
          <w:rPr>
            <w:rStyle w:val="Hyperkobling"/>
            <w:noProof/>
          </w:rPr>
          <w:t>Figure 20: Summary of estimated land-take and energy density for the nuclear and renewable power generators examined in the present study (Cheng &amp; Hammond, 2017)</w:t>
        </w:r>
        <w:r w:rsidR="00DE13FE">
          <w:rPr>
            <w:noProof/>
            <w:webHidden/>
          </w:rPr>
          <w:tab/>
        </w:r>
        <w:r w:rsidR="00DE13FE">
          <w:rPr>
            <w:noProof/>
            <w:webHidden/>
          </w:rPr>
          <w:fldChar w:fldCharType="begin"/>
        </w:r>
        <w:r w:rsidR="00DE13FE">
          <w:rPr>
            <w:noProof/>
            <w:webHidden/>
          </w:rPr>
          <w:instrText xml:space="preserve"> PAGEREF _Toc506305263 \h </w:instrText>
        </w:r>
        <w:r w:rsidR="00DE13FE">
          <w:rPr>
            <w:noProof/>
            <w:webHidden/>
          </w:rPr>
        </w:r>
        <w:r w:rsidR="00DE13FE">
          <w:rPr>
            <w:noProof/>
            <w:webHidden/>
          </w:rPr>
          <w:fldChar w:fldCharType="separate"/>
        </w:r>
        <w:r w:rsidR="00DE13FE">
          <w:rPr>
            <w:noProof/>
            <w:webHidden/>
          </w:rPr>
          <w:t>15</w:t>
        </w:r>
        <w:r w:rsidR="00DE13FE">
          <w:rPr>
            <w:noProof/>
            <w:webHidden/>
          </w:rPr>
          <w:fldChar w:fldCharType="end"/>
        </w:r>
      </w:hyperlink>
    </w:p>
    <w:p w14:paraId="786BD4FA" w14:textId="1B290E94"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64" w:history="1">
        <w:r w:rsidR="00DE13FE" w:rsidRPr="002839DC">
          <w:rPr>
            <w:rStyle w:val="Hyperkobling"/>
            <w:noProof/>
          </w:rPr>
          <w:t>Figure 21: Fatalities from accidents per GWh (e) (IPCC, 2011 cited in McCombie and Jefferson, 2016)</w:t>
        </w:r>
        <w:r w:rsidR="00DE13FE">
          <w:rPr>
            <w:noProof/>
            <w:webHidden/>
          </w:rPr>
          <w:tab/>
        </w:r>
        <w:r w:rsidR="00DE13FE">
          <w:rPr>
            <w:noProof/>
            <w:webHidden/>
          </w:rPr>
          <w:fldChar w:fldCharType="begin"/>
        </w:r>
        <w:r w:rsidR="00DE13FE">
          <w:rPr>
            <w:noProof/>
            <w:webHidden/>
          </w:rPr>
          <w:instrText xml:space="preserve"> PAGEREF _Toc506305264 \h </w:instrText>
        </w:r>
        <w:r w:rsidR="00DE13FE">
          <w:rPr>
            <w:noProof/>
            <w:webHidden/>
          </w:rPr>
        </w:r>
        <w:r w:rsidR="00DE13FE">
          <w:rPr>
            <w:noProof/>
            <w:webHidden/>
          </w:rPr>
          <w:fldChar w:fldCharType="separate"/>
        </w:r>
        <w:r w:rsidR="00DE13FE">
          <w:rPr>
            <w:noProof/>
            <w:webHidden/>
          </w:rPr>
          <w:t>16</w:t>
        </w:r>
        <w:r w:rsidR="00DE13FE">
          <w:rPr>
            <w:noProof/>
            <w:webHidden/>
          </w:rPr>
          <w:fldChar w:fldCharType="end"/>
        </w:r>
      </w:hyperlink>
    </w:p>
    <w:p w14:paraId="5BD67507" w14:textId="1CD653A5"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65" w:history="1">
        <w:r w:rsidR="00DE13FE" w:rsidRPr="002839DC">
          <w:rPr>
            <w:rStyle w:val="Hyperkobling"/>
            <w:noProof/>
          </w:rPr>
          <w:t>Figure 22: Cumulative distribution of people predicted to suffer radiologically induced health effects due to the hypothetical nuclear accident and corresponding countermeasure. The table includes results for the lower intervention level (shown in boll text) and the upper intervention level shown n italicised text. (Ashley, Vaughan, Nuttall, Thomas, &amp; Higgins, 2017)</w:t>
        </w:r>
        <w:r w:rsidR="00DE13FE">
          <w:rPr>
            <w:noProof/>
            <w:webHidden/>
          </w:rPr>
          <w:tab/>
        </w:r>
        <w:r w:rsidR="00DE13FE">
          <w:rPr>
            <w:noProof/>
            <w:webHidden/>
          </w:rPr>
          <w:fldChar w:fldCharType="begin"/>
        </w:r>
        <w:r w:rsidR="00DE13FE">
          <w:rPr>
            <w:noProof/>
            <w:webHidden/>
          </w:rPr>
          <w:instrText xml:space="preserve"> PAGEREF _Toc506305265 \h </w:instrText>
        </w:r>
        <w:r w:rsidR="00DE13FE">
          <w:rPr>
            <w:noProof/>
            <w:webHidden/>
          </w:rPr>
        </w:r>
        <w:r w:rsidR="00DE13FE">
          <w:rPr>
            <w:noProof/>
            <w:webHidden/>
          </w:rPr>
          <w:fldChar w:fldCharType="separate"/>
        </w:r>
        <w:r w:rsidR="00DE13FE">
          <w:rPr>
            <w:noProof/>
            <w:webHidden/>
          </w:rPr>
          <w:t>16</w:t>
        </w:r>
        <w:r w:rsidR="00DE13FE">
          <w:rPr>
            <w:noProof/>
            <w:webHidden/>
          </w:rPr>
          <w:fldChar w:fldCharType="end"/>
        </w:r>
      </w:hyperlink>
    </w:p>
    <w:p w14:paraId="4D547146" w14:textId="2A575332"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66" w:history="1">
        <w:r w:rsidR="00DE13FE" w:rsidRPr="002839DC">
          <w:rPr>
            <w:rStyle w:val="Hyperkobling"/>
            <w:noProof/>
          </w:rPr>
          <w:t>Figure 23: Cumulative distribution of the economic costs predicted for those who suffer radiologically induced health effects due to the hypothetical nuclear accident and corresponding countermeasures. The table includes results for the lower interview level (shown in bold text) and the upper intervention level shown in the italics text, as described in the table 2.  (Ashley et al., 2017)</w:t>
        </w:r>
        <w:r w:rsidR="00DE13FE">
          <w:rPr>
            <w:noProof/>
            <w:webHidden/>
          </w:rPr>
          <w:tab/>
        </w:r>
        <w:r w:rsidR="00DE13FE">
          <w:rPr>
            <w:noProof/>
            <w:webHidden/>
          </w:rPr>
          <w:fldChar w:fldCharType="begin"/>
        </w:r>
        <w:r w:rsidR="00DE13FE">
          <w:rPr>
            <w:noProof/>
            <w:webHidden/>
          </w:rPr>
          <w:instrText xml:space="preserve"> PAGEREF _Toc506305266 \h </w:instrText>
        </w:r>
        <w:r w:rsidR="00DE13FE">
          <w:rPr>
            <w:noProof/>
            <w:webHidden/>
          </w:rPr>
        </w:r>
        <w:r w:rsidR="00DE13FE">
          <w:rPr>
            <w:noProof/>
            <w:webHidden/>
          </w:rPr>
          <w:fldChar w:fldCharType="separate"/>
        </w:r>
        <w:r w:rsidR="00DE13FE">
          <w:rPr>
            <w:noProof/>
            <w:webHidden/>
          </w:rPr>
          <w:t>17</w:t>
        </w:r>
        <w:r w:rsidR="00DE13FE">
          <w:rPr>
            <w:noProof/>
            <w:webHidden/>
          </w:rPr>
          <w:fldChar w:fldCharType="end"/>
        </w:r>
      </w:hyperlink>
    </w:p>
    <w:p w14:paraId="3B8A5B34" w14:textId="64F89E59"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67" w:history="1">
        <w:r w:rsidR="00DE13FE" w:rsidRPr="002839DC">
          <w:rPr>
            <w:rStyle w:val="Hyperkobling"/>
            <w:noProof/>
          </w:rPr>
          <w:t>Figure 24: Cumulative distribution of economic costs predicted for people and businesses arising from the hypothetical accident and disruption to normal life from the applied countermeasures. The table incluides results for the lower intervention level (shown in bold text) and the upper intervention level *shown in italicised text) as described in table 2. (Ashley et al., 2017)</w:t>
        </w:r>
        <w:r w:rsidR="00DE13FE">
          <w:rPr>
            <w:noProof/>
            <w:webHidden/>
          </w:rPr>
          <w:tab/>
        </w:r>
        <w:r w:rsidR="00DE13FE">
          <w:rPr>
            <w:noProof/>
            <w:webHidden/>
          </w:rPr>
          <w:fldChar w:fldCharType="begin"/>
        </w:r>
        <w:r w:rsidR="00DE13FE">
          <w:rPr>
            <w:noProof/>
            <w:webHidden/>
          </w:rPr>
          <w:instrText xml:space="preserve"> PAGEREF _Toc506305267 \h </w:instrText>
        </w:r>
        <w:r w:rsidR="00DE13FE">
          <w:rPr>
            <w:noProof/>
            <w:webHidden/>
          </w:rPr>
        </w:r>
        <w:r w:rsidR="00DE13FE">
          <w:rPr>
            <w:noProof/>
            <w:webHidden/>
          </w:rPr>
          <w:fldChar w:fldCharType="separate"/>
        </w:r>
        <w:r w:rsidR="00DE13FE">
          <w:rPr>
            <w:noProof/>
            <w:webHidden/>
          </w:rPr>
          <w:t>18</w:t>
        </w:r>
        <w:r w:rsidR="00DE13FE">
          <w:rPr>
            <w:noProof/>
            <w:webHidden/>
          </w:rPr>
          <w:fldChar w:fldCharType="end"/>
        </w:r>
      </w:hyperlink>
    </w:p>
    <w:p w14:paraId="45D9AC63" w14:textId="10ADC183"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68" w:history="1">
        <w:r w:rsidR="00DE13FE" w:rsidRPr="002839DC">
          <w:rPr>
            <w:rStyle w:val="Hyperkobling"/>
            <w:noProof/>
          </w:rPr>
          <w:t>Figure 25: Public support for various energy sources (Wallard et al., 2012 cited in McCombie and Jefferson, 2016)</w:t>
        </w:r>
        <w:r w:rsidR="00DE13FE">
          <w:rPr>
            <w:noProof/>
            <w:webHidden/>
          </w:rPr>
          <w:tab/>
        </w:r>
        <w:r w:rsidR="00DE13FE">
          <w:rPr>
            <w:noProof/>
            <w:webHidden/>
          </w:rPr>
          <w:fldChar w:fldCharType="begin"/>
        </w:r>
        <w:r w:rsidR="00DE13FE">
          <w:rPr>
            <w:noProof/>
            <w:webHidden/>
          </w:rPr>
          <w:instrText xml:space="preserve"> PAGEREF _Toc506305268 \h </w:instrText>
        </w:r>
        <w:r w:rsidR="00DE13FE">
          <w:rPr>
            <w:noProof/>
            <w:webHidden/>
          </w:rPr>
        </w:r>
        <w:r w:rsidR="00DE13FE">
          <w:rPr>
            <w:noProof/>
            <w:webHidden/>
          </w:rPr>
          <w:fldChar w:fldCharType="separate"/>
        </w:r>
        <w:r w:rsidR="00DE13FE">
          <w:rPr>
            <w:noProof/>
            <w:webHidden/>
          </w:rPr>
          <w:t>18</w:t>
        </w:r>
        <w:r w:rsidR="00DE13FE">
          <w:rPr>
            <w:noProof/>
            <w:webHidden/>
          </w:rPr>
          <w:fldChar w:fldCharType="end"/>
        </w:r>
      </w:hyperlink>
    </w:p>
    <w:p w14:paraId="4AB72B47" w14:textId="62714E73"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69" w:history="1">
        <w:r w:rsidR="00DE13FE" w:rsidRPr="002839DC">
          <w:rPr>
            <w:rStyle w:val="Hyperkobling"/>
            <w:noProof/>
          </w:rPr>
          <w:t>Figure 26: LCA results for energy payback time (Bonou et al., 2016)</w:t>
        </w:r>
        <w:r w:rsidR="00DE13FE">
          <w:rPr>
            <w:noProof/>
            <w:webHidden/>
          </w:rPr>
          <w:tab/>
        </w:r>
        <w:r w:rsidR="00DE13FE">
          <w:rPr>
            <w:noProof/>
            <w:webHidden/>
          </w:rPr>
          <w:fldChar w:fldCharType="begin"/>
        </w:r>
        <w:r w:rsidR="00DE13FE">
          <w:rPr>
            <w:noProof/>
            <w:webHidden/>
          </w:rPr>
          <w:instrText xml:space="preserve"> PAGEREF _Toc506305269 \h </w:instrText>
        </w:r>
        <w:r w:rsidR="00DE13FE">
          <w:rPr>
            <w:noProof/>
            <w:webHidden/>
          </w:rPr>
        </w:r>
        <w:r w:rsidR="00DE13FE">
          <w:rPr>
            <w:noProof/>
            <w:webHidden/>
          </w:rPr>
          <w:fldChar w:fldCharType="separate"/>
        </w:r>
        <w:r w:rsidR="00DE13FE">
          <w:rPr>
            <w:noProof/>
            <w:webHidden/>
          </w:rPr>
          <w:t>19</w:t>
        </w:r>
        <w:r w:rsidR="00DE13FE">
          <w:rPr>
            <w:noProof/>
            <w:webHidden/>
          </w:rPr>
          <w:fldChar w:fldCharType="end"/>
        </w:r>
      </w:hyperlink>
    </w:p>
    <w:p w14:paraId="70043069" w14:textId="56DDC927"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70" w:history="1">
        <w:r w:rsidR="00DE13FE" w:rsidRPr="002839DC">
          <w:rPr>
            <w:rStyle w:val="Hyperkobling"/>
            <w:noProof/>
          </w:rPr>
          <w:t>Figure 27: Comparison of remuneration levels (and of wholesale electricity prices) for nuclear power and for assessed RE technologies in the UK (Steinhilber et al., 2011 and Held et al., 2014 cited in  Suna &amp; Resch, 2016).</w:t>
        </w:r>
        <w:r w:rsidR="00DE13FE">
          <w:rPr>
            <w:noProof/>
            <w:webHidden/>
          </w:rPr>
          <w:tab/>
        </w:r>
        <w:r w:rsidR="00DE13FE">
          <w:rPr>
            <w:noProof/>
            <w:webHidden/>
          </w:rPr>
          <w:fldChar w:fldCharType="begin"/>
        </w:r>
        <w:r w:rsidR="00DE13FE">
          <w:rPr>
            <w:noProof/>
            <w:webHidden/>
          </w:rPr>
          <w:instrText xml:space="preserve"> PAGEREF _Toc506305270 \h </w:instrText>
        </w:r>
        <w:r w:rsidR="00DE13FE">
          <w:rPr>
            <w:noProof/>
            <w:webHidden/>
          </w:rPr>
        </w:r>
        <w:r w:rsidR="00DE13FE">
          <w:rPr>
            <w:noProof/>
            <w:webHidden/>
          </w:rPr>
          <w:fldChar w:fldCharType="separate"/>
        </w:r>
        <w:r w:rsidR="00DE13FE">
          <w:rPr>
            <w:noProof/>
            <w:webHidden/>
          </w:rPr>
          <w:t>20</w:t>
        </w:r>
        <w:r w:rsidR="00DE13FE">
          <w:rPr>
            <w:noProof/>
            <w:webHidden/>
          </w:rPr>
          <w:fldChar w:fldCharType="end"/>
        </w:r>
      </w:hyperlink>
    </w:p>
    <w:p w14:paraId="6BC22261" w14:textId="3DC718DF"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71" w:history="1">
        <w:r w:rsidR="00DE13FE" w:rsidRPr="002839DC">
          <w:rPr>
            <w:rStyle w:val="Hyperkobling"/>
            <w:noProof/>
          </w:rPr>
          <w:t>Figure 28: Levelised cost of energy ranges for various technologies (Richards, Sabharwaol and Memmot, 2017)</w:t>
        </w:r>
        <w:r w:rsidR="00DE13FE">
          <w:rPr>
            <w:noProof/>
            <w:webHidden/>
          </w:rPr>
          <w:tab/>
        </w:r>
        <w:r w:rsidR="00DE13FE">
          <w:rPr>
            <w:noProof/>
            <w:webHidden/>
          </w:rPr>
          <w:fldChar w:fldCharType="begin"/>
        </w:r>
        <w:r w:rsidR="00DE13FE">
          <w:rPr>
            <w:noProof/>
            <w:webHidden/>
          </w:rPr>
          <w:instrText xml:space="preserve"> PAGEREF _Toc506305271 \h </w:instrText>
        </w:r>
        <w:r w:rsidR="00DE13FE">
          <w:rPr>
            <w:noProof/>
            <w:webHidden/>
          </w:rPr>
        </w:r>
        <w:r w:rsidR="00DE13FE">
          <w:rPr>
            <w:noProof/>
            <w:webHidden/>
          </w:rPr>
          <w:fldChar w:fldCharType="separate"/>
        </w:r>
        <w:r w:rsidR="00DE13FE">
          <w:rPr>
            <w:noProof/>
            <w:webHidden/>
          </w:rPr>
          <w:t>20</w:t>
        </w:r>
        <w:r w:rsidR="00DE13FE">
          <w:rPr>
            <w:noProof/>
            <w:webHidden/>
          </w:rPr>
          <w:fldChar w:fldCharType="end"/>
        </w:r>
      </w:hyperlink>
    </w:p>
    <w:p w14:paraId="11ADD55B" w14:textId="234DE7EA"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72" w:history="1">
        <w:r w:rsidR="00DE13FE" w:rsidRPr="002839DC">
          <w:rPr>
            <w:rStyle w:val="Hyperkobling"/>
            <w:noProof/>
          </w:rPr>
          <w:t>Figure 30: CAPEX and OPEX inputs for different technologies in the UK electricity generation mix (Sithole et al., 2016)</w:t>
        </w:r>
        <w:r w:rsidR="00DE13FE">
          <w:rPr>
            <w:noProof/>
            <w:webHidden/>
          </w:rPr>
          <w:tab/>
        </w:r>
        <w:r w:rsidR="00DE13FE">
          <w:rPr>
            <w:noProof/>
            <w:webHidden/>
          </w:rPr>
          <w:fldChar w:fldCharType="begin"/>
        </w:r>
        <w:r w:rsidR="00DE13FE">
          <w:rPr>
            <w:noProof/>
            <w:webHidden/>
          </w:rPr>
          <w:instrText xml:space="preserve"> PAGEREF _Toc506305272 \h </w:instrText>
        </w:r>
        <w:r w:rsidR="00DE13FE">
          <w:rPr>
            <w:noProof/>
            <w:webHidden/>
          </w:rPr>
        </w:r>
        <w:r w:rsidR="00DE13FE">
          <w:rPr>
            <w:noProof/>
            <w:webHidden/>
          </w:rPr>
          <w:fldChar w:fldCharType="separate"/>
        </w:r>
        <w:r w:rsidR="00DE13FE">
          <w:rPr>
            <w:noProof/>
            <w:webHidden/>
          </w:rPr>
          <w:t>21</w:t>
        </w:r>
        <w:r w:rsidR="00DE13FE">
          <w:rPr>
            <w:noProof/>
            <w:webHidden/>
          </w:rPr>
          <w:fldChar w:fldCharType="end"/>
        </w:r>
      </w:hyperlink>
    </w:p>
    <w:p w14:paraId="54DED01C" w14:textId="1D09B9AD"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r:id="rId17" w:anchor="_Toc506305273" w:history="1">
        <w:r w:rsidR="00DE13FE" w:rsidRPr="002839DC">
          <w:rPr>
            <w:rStyle w:val="Hyperkobling"/>
            <w:noProof/>
          </w:rPr>
          <w:t>Figure 31: Possible design for a geological disposal facility  (DBEIS &amp; NDA, 2016)</w:t>
        </w:r>
        <w:r w:rsidR="00DE13FE">
          <w:rPr>
            <w:noProof/>
            <w:webHidden/>
          </w:rPr>
          <w:tab/>
        </w:r>
        <w:r w:rsidR="00DE13FE">
          <w:rPr>
            <w:noProof/>
            <w:webHidden/>
          </w:rPr>
          <w:fldChar w:fldCharType="begin"/>
        </w:r>
        <w:r w:rsidR="00DE13FE">
          <w:rPr>
            <w:noProof/>
            <w:webHidden/>
          </w:rPr>
          <w:instrText xml:space="preserve"> PAGEREF _Toc506305273 \h </w:instrText>
        </w:r>
        <w:r w:rsidR="00DE13FE">
          <w:rPr>
            <w:noProof/>
            <w:webHidden/>
          </w:rPr>
        </w:r>
        <w:r w:rsidR="00DE13FE">
          <w:rPr>
            <w:noProof/>
            <w:webHidden/>
          </w:rPr>
          <w:fldChar w:fldCharType="separate"/>
        </w:r>
        <w:r w:rsidR="00DE13FE">
          <w:rPr>
            <w:noProof/>
            <w:webHidden/>
          </w:rPr>
          <w:t>21</w:t>
        </w:r>
        <w:r w:rsidR="00DE13FE">
          <w:rPr>
            <w:noProof/>
            <w:webHidden/>
          </w:rPr>
          <w:fldChar w:fldCharType="end"/>
        </w:r>
      </w:hyperlink>
    </w:p>
    <w:p w14:paraId="02E2AA07" w14:textId="321F0954"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74" w:history="1">
        <w:r w:rsidR="00DE13FE" w:rsidRPr="002839DC">
          <w:rPr>
            <w:rStyle w:val="Hyperkobling"/>
            <w:noProof/>
          </w:rPr>
          <w:t>Figure 32: Modelling assumptions for the treatment of the main materials in wind power plant systems. (Bonou et al., 2016)</w:t>
        </w:r>
        <w:r w:rsidR="00DE13FE">
          <w:rPr>
            <w:noProof/>
            <w:webHidden/>
          </w:rPr>
          <w:tab/>
        </w:r>
        <w:r w:rsidR="00DE13FE">
          <w:rPr>
            <w:noProof/>
            <w:webHidden/>
          </w:rPr>
          <w:fldChar w:fldCharType="begin"/>
        </w:r>
        <w:r w:rsidR="00DE13FE">
          <w:rPr>
            <w:noProof/>
            <w:webHidden/>
          </w:rPr>
          <w:instrText xml:space="preserve"> PAGEREF _Toc506305274 \h </w:instrText>
        </w:r>
        <w:r w:rsidR="00DE13FE">
          <w:rPr>
            <w:noProof/>
            <w:webHidden/>
          </w:rPr>
        </w:r>
        <w:r w:rsidR="00DE13FE">
          <w:rPr>
            <w:noProof/>
            <w:webHidden/>
          </w:rPr>
          <w:fldChar w:fldCharType="separate"/>
        </w:r>
        <w:r w:rsidR="00DE13FE">
          <w:rPr>
            <w:noProof/>
            <w:webHidden/>
          </w:rPr>
          <w:t>23</w:t>
        </w:r>
        <w:r w:rsidR="00DE13FE">
          <w:rPr>
            <w:noProof/>
            <w:webHidden/>
          </w:rPr>
          <w:fldChar w:fldCharType="end"/>
        </w:r>
      </w:hyperlink>
    </w:p>
    <w:p w14:paraId="4CA17894" w14:textId="7D801EA4" w:rsidR="00DE13FE" w:rsidRDefault="00B10DCD" w:rsidP="00DE13FE">
      <w:pPr>
        <w:pStyle w:val="Figurliste"/>
        <w:tabs>
          <w:tab w:val="right" w:leader="dot" w:pos="9016"/>
        </w:tabs>
        <w:ind w:firstLine="0"/>
        <w:rPr>
          <w:rFonts w:asciiTheme="minorHAnsi" w:eastAsiaTheme="minorEastAsia" w:hAnsiTheme="minorHAnsi"/>
          <w:noProof/>
          <w:sz w:val="22"/>
          <w:lang w:eastAsia="en-GB"/>
        </w:rPr>
      </w:pPr>
      <w:hyperlink w:anchor="_Toc506305275" w:history="1">
        <w:r w:rsidR="00DE13FE" w:rsidRPr="002839DC">
          <w:rPr>
            <w:rStyle w:val="Hyperkobling"/>
            <w:noProof/>
          </w:rPr>
          <w:t>Figure 33: Environmental impacts. (b) hazardous waste (Noori et al., 2015)</w:t>
        </w:r>
        <w:r w:rsidR="00DE13FE">
          <w:rPr>
            <w:noProof/>
            <w:webHidden/>
          </w:rPr>
          <w:tab/>
        </w:r>
        <w:r w:rsidR="00DE13FE">
          <w:rPr>
            <w:noProof/>
            <w:webHidden/>
          </w:rPr>
          <w:fldChar w:fldCharType="begin"/>
        </w:r>
        <w:r w:rsidR="00DE13FE">
          <w:rPr>
            <w:noProof/>
            <w:webHidden/>
          </w:rPr>
          <w:instrText xml:space="preserve"> PAGEREF _Toc506305275 \h </w:instrText>
        </w:r>
        <w:r w:rsidR="00DE13FE">
          <w:rPr>
            <w:noProof/>
            <w:webHidden/>
          </w:rPr>
        </w:r>
        <w:r w:rsidR="00DE13FE">
          <w:rPr>
            <w:noProof/>
            <w:webHidden/>
          </w:rPr>
          <w:fldChar w:fldCharType="separate"/>
        </w:r>
        <w:r w:rsidR="00DE13FE">
          <w:rPr>
            <w:noProof/>
            <w:webHidden/>
          </w:rPr>
          <w:t>24</w:t>
        </w:r>
        <w:r w:rsidR="00DE13FE">
          <w:rPr>
            <w:noProof/>
            <w:webHidden/>
          </w:rPr>
          <w:fldChar w:fldCharType="end"/>
        </w:r>
      </w:hyperlink>
    </w:p>
    <w:p w14:paraId="235DA6EA" w14:textId="590423C0" w:rsidR="00373AD0" w:rsidRDefault="00373AD0" w:rsidP="00373AD0">
      <w:pPr>
        <w:ind w:firstLine="0"/>
        <w:rPr>
          <w:b/>
        </w:rPr>
        <w:sectPr w:rsidR="00373AD0" w:rsidSect="00373AD0">
          <w:headerReference w:type="default" r:id="rId18"/>
          <w:footerReference w:type="default" r:id="rId19"/>
          <w:headerReference w:type="first" r:id="rId20"/>
          <w:footerReference w:type="first" r:id="rId21"/>
          <w:pgSz w:w="11906" w:h="16838"/>
          <w:pgMar w:top="1440" w:right="1440" w:bottom="1440" w:left="1440" w:header="708" w:footer="708" w:gutter="0"/>
          <w:pgNumType w:start="1"/>
          <w:cols w:space="708"/>
          <w:titlePg/>
          <w:docGrid w:linePitch="360"/>
        </w:sectPr>
      </w:pPr>
      <w:r>
        <w:rPr>
          <w:b/>
        </w:rPr>
        <w:fldChar w:fldCharType="end"/>
      </w:r>
    </w:p>
    <w:p w14:paraId="5AD91900" w14:textId="77777777" w:rsidR="00373AD0" w:rsidRDefault="00373AD0" w:rsidP="00373AD0">
      <w:pPr>
        <w:pStyle w:val="Overskrift1"/>
        <w:numPr>
          <w:ilvl w:val="1"/>
          <w:numId w:val="1"/>
        </w:numPr>
      </w:pPr>
      <w:bookmarkStart w:id="0" w:name="_Toc505793550"/>
      <w:bookmarkStart w:id="1" w:name="_Toc506307996"/>
      <w:r>
        <w:lastRenderedPageBreak/>
        <w:t>Introduction</w:t>
      </w:r>
      <w:bookmarkEnd w:id="0"/>
      <w:bookmarkEnd w:id="1"/>
    </w:p>
    <w:p w14:paraId="55A10577" w14:textId="77777777" w:rsidR="00373AD0" w:rsidRDefault="00373AD0" w:rsidP="00373AD0">
      <w:pPr>
        <w:pStyle w:val="Overskrift2"/>
        <w:numPr>
          <w:ilvl w:val="1"/>
          <w:numId w:val="2"/>
        </w:numPr>
      </w:pPr>
      <w:bookmarkStart w:id="2" w:name="_Toc505793551"/>
      <w:bookmarkStart w:id="3" w:name="_Toc506307997"/>
      <w:r>
        <w:t>Background</w:t>
      </w:r>
      <w:bookmarkEnd w:id="2"/>
      <w:bookmarkEnd w:id="3"/>
    </w:p>
    <w:p w14:paraId="1D5B98B9" w14:textId="0ABCF8CB" w:rsidR="00373AD0" w:rsidRDefault="00373AD0" w:rsidP="00373AD0">
      <w:r>
        <w:t xml:space="preserve">Since the late 1940s, as a by-product of scientific work resulting from the international nuclear arms race, nuclear energy (NE) has been established as a reliable energy resource, internationally accounting for 11% of global energy consumption, which is estimated to increase by 28% between 2015 and 2040 </w:t>
      </w:r>
      <w:r>
        <w:fldChar w:fldCharType="begin" w:fldLock="1"/>
      </w:r>
      <w:r>
        <w:instrText>ADDIN CSL_CITATION { "citationItems" : [ { "id" : "ITEM-1", "itemData" : { "abstract" : "All the tables and charts found in the latest printed edition are available at bp.com/statisticalreview plus a number of extras, including: \u2022 The energy charting tool \u2013 view predetermined reports or chart specific data according to energy type, region, country and year. \u2022 Historical data from 1965 for many sections. \u2022 Additional data for refined oil production demand, natural gas, coal, hydroelectricity, nuclear energy and renewables. \u2022 PDF versions and PowerPoint slide packs of the charts, maps and graphs, plus an Excel workbook of the data. Disclaimer The data series for proved oil and gas reserves in BP Statistical Review of World Energy June 2017 does not necessarily meet the definitions, guidelines and practices used for determining proved reserves at company level, for instance, as published by the US Securities and Exchange Commission, nor does it necessarily represent BP's view of proved reserves by country. Rather, the data series has been compiled using a combination of primary official sources and third-party data.", "author" : [ { "dropping-particle" : "", "family" : "BP", "given" : "", "non-dropping-particle" : "", "parse-names" : false, "suffix" : "" } ], "id" : "ITEM-1", "issued" : { "date-parts" : [ [ "2017" ] ] }, "title" : "BP Statistical Review of World Energy 2017", "type" : "report" }, "uris" : [ "http://www.mendeley.com/documents/?uuid=eab0ad45-c8b3-308c-b657-3910e2c7cbb8" ] } ], "mendeley" : { "formattedCitation" : "(BP, 2017)", "plainTextFormattedCitation" : "(BP, 2017)", "previouslyFormattedCitation" : "(BP, 2017)" }, "properties" : {  }, "schema" : "https://github.com/citation-style-language/schema/raw/master/csl-citation.json" }</w:instrText>
      </w:r>
      <w:r>
        <w:fldChar w:fldCharType="separate"/>
      </w:r>
      <w:r w:rsidRPr="00CA7D98">
        <w:rPr>
          <w:noProof/>
        </w:rPr>
        <w:t>(BP, 2017)</w:t>
      </w:r>
      <w:r>
        <w:fldChar w:fldCharType="end"/>
      </w:r>
      <w:r>
        <w:t xml:space="preserve">. With the effects of climate change progressing towards novel degrees of severity, fossil fuel depletion nearing its resource capacity, and population rise seeing starker prognostications somewhat in parallel to the average estimated life-span degree of inclination, the world’s need for energy security through clean and abundant </w:t>
      </w:r>
      <w:r w:rsidRPr="00EF226D">
        <w:t>sources</w:t>
      </w:r>
      <w:r>
        <w:t xml:space="preserve"> is</w:t>
      </w:r>
      <w:r w:rsidR="00F6176D">
        <w:t xml:space="preserve"> considered</w:t>
      </w:r>
      <w:r>
        <w:t xml:space="preserve"> paramount </w:t>
      </w:r>
      <w:r>
        <w:fldChar w:fldCharType="begin" w:fldLock="1"/>
      </w:r>
      <w:r>
        <w:instrText>ADDIN CSL_CITATION { "citationItems" : [ { "id" : "ITEM-1", "itemData" : { "DOI" : "10.5324/nje.v22i2.1552", "abstract" : "The life expectancy has increased rapidly in Norway in recent decades, with about \u00bc year per year. The increase has been particularly fast for men, following a temporary decline in the 1950s and 1960s. Statistics Norway\u2019s mortality projections using the Lee-Carter method indicate further improvements in this century \u2013 about 10 years higher life expectancy at birth. This implies significant mortality declines for older persons as the mortality is now small for young people. With no deaths below age 50 the life expectancy would be only 1-2 years higher.&amp;lt;/p&amp;gt;&amp;lt;p&amp;gt;Population projections are for several reasons important for studying population ageing, including to have knowledge about the future age structure, and to estimate the effects of possible policy changes. In addition, the mortality projections are used for several other purposes than for projecting the population, such as calculating future pensions according to the new pension system, where life expectancy improvements reduce the annual pensions.&amp;lt;/p&amp;gt;&amp;lt;p&amp;gt;The population projections show that the population will age regardless of plausible assumptions made about the demographic components births, deaths, immigration and emigration. Policies to affect these components may only marginally affect future ageing, and in some cases in the wrong direction. The only factor that may significantly affect the future ratio of the working to the non-working population, the potential support ratio, is that people work longer. This ratio will remain at the current level if the pension age is increased from the current 67 years to 78 years at the end of the century. This may be possible if the health of old persons continues to improve.&amp;lt;/p&amp;gt;&lt;/p&gt;", "author" : [ { "dropping-particle" : "", "family" : "Brunborg", "given" : "Helge", "non-dropping-particle" : "", "parse-names" : false, "suffix" : "" } ], "container-title" : "Norsk Epidemiologi", "id" : "ITEM-1", "issue" : "2", "issued" : { "date-parts" : [ [ "2012", "11", "29" ] ] }, "title" : "Increasing life expectancy and the growing elderly population", "type" : "article-journal", "volume" : "22" }, "uris" : [ "http://www.mendeley.com/documents/?uuid=13fa486c-d2c7-313d-8601-3142246d534a" ] }, { "id" : "ITEM-2", "itemData" : { "DOI" : "10.1016/j.wasman.2015.01.016", "abstract" : "a b s t r a c t This paper evaluates the implementation of three waste-to-energy projects at the University of Cincin-nati: waste cooking oil-to-biodiesel, waste paper-to-fuel pellets and food waste-to-biogas, respectively. The implementation of these waste-to-energy (WTE) projects would lead to the improvement of campus sustainability by minimizing waste management efforts and reducing GHG emissions via the displace-ment of fossil fuel usage. Technical and economic aspects of their implementation were assessed and the corresponding GHG reduction was estimated. Results showed that on-site implementation of these projects would: (1) divert 3682 L (974 gallons) of waste cooking oil to 3712 L (982 gallons) of biodiesel; (2) produce 138 tonnes of fuel pellets from 133 tonnes of waste paper (with the addition of 20.75 tonnes of plastics) to replace121 tonnes of coal; and (3) produce biogas that would be enough to replace 12,767 m 3 natural gas every year from 146 tonnes of food waste. The economic analysis determined that the payback periods for the three projects would be 16 months for the biodiesel, 155 months for the fuel pellet, and 74 months for the biogas projects. The reduction of GHG emission from the implementation of the three WTE projects was determined to be 9.37 (biodiesel), 260.49 (fuel pellets), and 11.36 (biogas) tonnes of CO 2 -eq per year, respectively.", "author" : [ { "dropping-particle" : "", "family" : "Tu", "given" : "Qingshi", "non-dropping-particle" : "", "parse-names" : false, "suffix" : "" }, { "dropping-particle" : "", "family" : "Zhu", "given" : "Chao", "non-dropping-particle" : "", "parse-names" : false, "suffix" : "" }, { "dropping-particle" : "", "family" : "Mcavoy", "given" : "Drew C", "non-dropping-particle" : "", "parse-names" : false, "suffix" : "" } ], "container-title" : "Waste Management", "id" : "ITEM-2", "issued" : { "date-parts" : [ [ "2015" ] ] }, "page" : "258-265", "title" : "Converting campus waste into renewable energy \u00e2\u20ac\u201c A case study for the University of Cincinnati", "type" : "article-journal", "volume" : "39" }, "uris" : [ "http://www.mendeley.com/documents/?uuid=72f8c233-dd5f-3c66-9070-d13249b9c195" ] } ], "mendeley" : { "formattedCitation" : "(Brunborg, 2012; Tu, Zhu, &amp; Mcavoy, 2015)", "plainTextFormattedCitation" : "(Brunborg, 2012; Tu, Zhu, &amp; Mcavoy, 2015)", "previouslyFormattedCitation" : "(Brunborg, 2012; Tu, Zhu, &amp; Mcavoy, 2015)" }, "properties" : {  }, "schema" : "https://github.com/citation-style-language/schema/raw/master/csl-citation.json" }</w:instrText>
      </w:r>
      <w:r>
        <w:fldChar w:fldCharType="separate"/>
      </w:r>
      <w:r w:rsidRPr="00B679BB">
        <w:rPr>
          <w:noProof/>
        </w:rPr>
        <w:t>(Brunborg, 2012; Tu, Zhu, &amp; Mcavoy, 2015)</w:t>
      </w:r>
      <w:r>
        <w:fldChar w:fldCharType="end"/>
      </w:r>
      <w:r>
        <w:t>. Renewable energy (RE) and NE plays an important role not only in increasing and fortifying national energy security</w:t>
      </w:r>
      <w:r w:rsidR="00F6176D">
        <w:t xml:space="preserve"> requirements</w:t>
      </w:r>
      <w:r>
        <w:t xml:space="preserve"> (</w:t>
      </w:r>
      <w:r w:rsidR="00F6176D">
        <w:t xml:space="preserve">e.g. </w:t>
      </w:r>
      <w:r>
        <w:t>thr</w:t>
      </w:r>
      <w:r w:rsidR="00F6176D">
        <w:t>ough lessening dependence on fossil fuel</w:t>
      </w:r>
      <w:r>
        <w:t xml:space="preserve"> import from countries such as the recently sanctioned Russia), </w:t>
      </w:r>
      <w:r w:rsidR="00DB28E9">
        <w:t xml:space="preserve">but also in </w:t>
      </w:r>
      <w:r>
        <w:t xml:space="preserve">greenhouse gas (GHG) emission reduction propagating the nation towards its sustainability goals </w:t>
      </w:r>
      <w:r>
        <w:fldChar w:fldCharType="begin" w:fldLock="1"/>
      </w:r>
      <w:r>
        <w:instrText>ADDIN CSL_CITATION { "citationItems" : [ { "id" : "ITEM-1", "itemData" : { "DOI" : "10.1016/j.erss.2017.05.008", "author" : [ { "dropping-particle" : "", "family" : "Fischhendler", "given" : "Itay", "non-dropping-particle" : "", "parse-names" : false, "suffix" : "" }, { "dropping-particle" : "", "family" : "Herman", "given" : "Lior", "non-dropping-particle" : "", "parse-names" : false, "suffix" : "" }, { "dropping-particle" : "", "family" : "Maoz", "given" : "Nir", "non-dropping-particle" : "", "parse-names" : false, "suffix" : "" } ], "id" : "ITEM-1", "issued" : { "date-parts" : [ [ "2017" ] ] }, "title" : "The political economy of energy sanctions_ Insights from a global outlook 1938\u20132017", "type" : "article-journal" }, "uris" : [ "http://www.mendeley.com/documents/?uuid=fd8bf163-3bea-36f4-aa2e-5d4233c862ca" ] }, { "id" : "ITEM-2", "itemData" : { "DOI" : "10.1017/CBO9781107415324.004", "ISBN" : "9788578110796", "ISSN" : "03750183", "PMID" : "25246403", "abstract" : "Predicting the binding mode of flexible polypeptides to proteins is an important task that falls outside the domain of applicability of most small molecule and protein\u2212protein docking tools. Here, we test the small molecule flexible ligand docking program Glide on a set of 19 non-\u03b1-helical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\u2264 2.0 \u00c5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 "author" : [ { "dropping-particle" : "", "family" : "Pachauri", "given" : "R", "non-dropping-particle" : "", "parse-names" : false, "suffix" : "" }, { "dropping-particle" : "", "family" : "Allen", "given" : "Myles", "non-dropping-particle" : "", "parse-names" : false, "suffix" : "" }, { "dropping-particle" : "", "family" : "Barros", "given" : "Vicente", "non-dropping-particle" : "", "parse-names" : false, "suffix" : "" }, { "dropping-particle" : "", "family" : "Broome", "given" : "John", "non-dropping-particle" : "", "parse-names" : false, "suffix" : "" }, { "dropping-particle" : "", "family" : "Cramer", "given" : "Wolfgang", "non-dropping-particle" : "", "parse-names" : false, "suffix" : "" }, { "dropping-particle" : "", "family" : "Christ", "given" : "Renate", "non-dropping-particle" : "", "parse-names" : false, "suffix" : "" } ], "container-title" : "Odonatologica", "id" : "ITEM-2", "issue" : "4", "issued" : { "date-parts" : [ [ "2015" ] ] }, "page" : "447-678", "publisher" : "IPCC", "title" : "Climate change synthesis report 2014", "type" : "article-journal", "volume" : "44" }, "uris" : [ "http://www.mendeley.com/documents/?uuid=da82ec20-30e5-3c01-9c2d-25ec201e5857" ] } ], "mendeley" : { "formattedCitation" : "(Fischhendler, Herman, &amp; Maoz, 2017; Pachauri et al., 2015)", "plainTextFormattedCitation" : "(Fischhendler, Herman, &amp; Maoz, 2017; Pachauri et al., 2015)", "previouslyFormattedCitation" : "(Fischhendler, Herman, &amp; Maoz, 2017; Pachauri et al., 2015)" }, "properties" : {  }, "schema" : "https://github.com/citation-style-language/schema/raw/master/csl-citation.json" }</w:instrText>
      </w:r>
      <w:r>
        <w:fldChar w:fldCharType="separate"/>
      </w:r>
      <w:r w:rsidRPr="00D8617A">
        <w:rPr>
          <w:noProof/>
        </w:rPr>
        <w:t>(Fischhendler, Herman, &amp; Maoz, 2017; Pachauri et al., 2015)</w:t>
      </w:r>
      <w:r>
        <w:fldChar w:fldCharType="end"/>
      </w:r>
      <w:r>
        <w:t xml:space="preserve">. </w:t>
      </w:r>
    </w:p>
    <w:p w14:paraId="5DFEB9A9" w14:textId="23D867F2" w:rsidR="00373AD0" w:rsidRDefault="00373AD0" w:rsidP="00373AD0">
      <w:pPr>
        <w:keepNext/>
      </w:pPr>
      <w:r>
        <w:rPr>
          <w:noProof/>
          <w:lang w:eastAsia="en-GB"/>
        </w:rPr>
        <w:drawing>
          <wp:anchor distT="0" distB="0" distL="114300" distR="114300" simplePos="0" relativeHeight="251667456" behindDoc="0" locked="0" layoutInCell="1" allowOverlap="1" wp14:anchorId="79B09DE8" wp14:editId="07A6C445">
            <wp:simplePos x="0" y="0"/>
            <wp:positionH relativeFrom="margin">
              <wp:align>right</wp:align>
            </wp:positionH>
            <wp:positionV relativeFrom="page">
              <wp:posOffset>6321179</wp:posOffset>
            </wp:positionV>
            <wp:extent cx="5734050" cy="2066925"/>
            <wp:effectExtent l="0" t="0" r="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2">
                      <a:extLst>
                        <a:ext uri="{28A0092B-C50C-407E-A947-70E740481C1C}">
                          <a14:useLocalDpi xmlns:a14="http://schemas.microsoft.com/office/drawing/2010/main" val="0"/>
                        </a:ext>
                      </a:extLst>
                    </a:blip>
                    <a:srcRect t="16216"/>
                    <a:stretch/>
                  </pic:blipFill>
                  <pic:spPr bwMode="auto">
                    <a:xfrm>
                      <a:off x="0" y="0"/>
                      <a:ext cx="5734050" cy="2066925"/>
                    </a:xfrm>
                    <a:prstGeom prst="rect">
                      <a:avLst/>
                    </a:prstGeom>
                    <a:noFill/>
                    <a:ln>
                      <a:noFill/>
                    </a:ln>
                    <a:extLst>
                      <a:ext uri="{53640926-AAD7-44D8-BBD7-CCE9431645EC}">
                        <a14:shadowObscured xmlns:a14="http://schemas.microsoft.com/office/drawing/2010/main"/>
                      </a:ext>
                    </a:extLst>
                  </pic:spPr>
                </pic:pic>
              </a:graphicData>
            </a:graphic>
          </wp:anchor>
        </w:drawing>
      </w:r>
      <w:r>
        <w:t>Subject to international scrutiny post international disasters such as Chernobyl and Fukushima, NE is being phased out in some nations (Figure 1). Albeit deemed competitive with other low carbon technologies such as renewables in ac</w:t>
      </w:r>
      <w:r w:rsidR="00DB28E9">
        <w:t>hievement of GHG emission mitigation,</w:t>
      </w:r>
      <w:r>
        <w:t xml:space="preserve"> nuclear appears to be widely subjected to discontinuance of utilisation.</w:t>
      </w:r>
    </w:p>
    <w:p w14:paraId="10257B0A" w14:textId="42A564B5" w:rsidR="00373AD0" w:rsidRPr="009F51A1" w:rsidRDefault="00373AD0" w:rsidP="009F51A1">
      <w:pPr>
        <w:pStyle w:val="Bildetekst"/>
      </w:pPr>
      <w:bookmarkStart w:id="4" w:name="_Toc506305244"/>
      <w:r w:rsidRPr="009F51A1">
        <w:t xml:space="preserve">Figure </w:t>
      </w:r>
      <w:r w:rsidR="00B10DCD">
        <w:fldChar w:fldCharType="begin"/>
      </w:r>
      <w:r w:rsidR="00B10DCD">
        <w:instrText xml:space="preserve"> SEQ Figure \* ARABIC </w:instrText>
      </w:r>
      <w:r w:rsidR="00B10DCD">
        <w:fldChar w:fldCharType="separate"/>
      </w:r>
      <w:r w:rsidR="00A76550">
        <w:rPr>
          <w:noProof/>
        </w:rPr>
        <w:t>1</w:t>
      </w:r>
      <w:r w:rsidR="00B10DCD">
        <w:rPr>
          <w:noProof/>
        </w:rPr>
        <w:fldChar w:fldCharType="end"/>
      </w:r>
      <w:r w:rsidRPr="009F51A1">
        <w:t xml:space="preserve">: Policy responses to the Fukushima Daiichi accident </w:t>
      </w:r>
      <w:r w:rsidRPr="009F51A1">
        <w:fldChar w:fldCharType="begin" w:fldLock="1"/>
      </w:r>
      <w:r w:rsidRPr="009F51A1">
        <w:instrText>ADDIN CSL_CITATION { "citationItems" : [ { "id" : "ITEM-1", "itemData" : { "DOI" : "10.1016/j.esr.2012.12.001", "abstract" : "A B S T R A C T The Fukushima Daiichi accident of March 2011 has re-ignited the debate about the role of nuclear power in the future global energy mix. More than one and a half years after the accident, a somewhat clearer picture is emerging e different countries responded with different nuclear policies, e.g., one size does not fit all. While several countries confirmed or decided to phase-out the use of the technology or to cancel their plans of adding nuclear power to their future electricity generating mix, the majority of countries with operating nuclear power plants or plans to eventually start national nuclear power pro-grammes continue with the implementation of their pre-Fukushima nuclear strategies albeit at a somewhat slower pace. Projections of future nuclear capacity expansion for the year 2030 show a likely shift of global nuclear generating capacities by about a decade but no significant retraction of national nuclear power programmes globally.", "author" : [ { "dropping-particle" : "", "family" : "Rogner", "given" : "Hans-Holger", "non-dropping-particle" : "", "parse-names" : false, "suffix" : "" } ], "container-title" : "Energy Strategy Reviews", "id" : "ITEM-1", "issued" : { "date-parts" : [ [ "2013" ] ] }, "page" : "291-295", "title" : "World outlook for nuclear power", "type" : "article-journal", "volume" : "1" }, "uris" : [ "http://www.mendeley.com/documents/?uuid=df55e4d6-305b-3c61-a4fe-5823270be8c3" ] } ], "mendeley" : { "formattedCitation" : "(Rogner, 2013)", "plainTextFormattedCitation" : "(Rogner, 2013)", "previouslyFormattedCitation" : "(Rogner, 2013)" }, "properties" : {  }, "schema" : "https://github.com/citation-style-language/schema/raw/master/csl-citation.json" }</w:instrText>
      </w:r>
      <w:r w:rsidRPr="009F51A1">
        <w:fldChar w:fldCharType="separate"/>
      </w:r>
      <w:r w:rsidRPr="009F51A1">
        <w:rPr>
          <w:noProof/>
        </w:rPr>
        <w:t>(Rogner, 2013)</w:t>
      </w:r>
      <w:bookmarkEnd w:id="4"/>
      <w:r w:rsidRPr="009F51A1">
        <w:fldChar w:fldCharType="end"/>
      </w:r>
    </w:p>
    <w:p w14:paraId="08EDDEAA" w14:textId="1185A529" w:rsidR="00373AD0" w:rsidRDefault="00373AD0" w:rsidP="00373AD0">
      <w:r>
        <w:t xml:space="preserve"> Although phasing out NE technology </w:t>
      </w:r>
      <w:r w:rsidR="00DB28E9">
        <w:t xml:space="preserve">is </w:t>
      </w:r>
      <w:r>
        <w:t>trending, new developments are emerging in the UK</w:t>
      </w:r>
      <w:r w:rsidR="00DB28E9">
        <w:t>. In a s</w:t>
      </w:r>
      <w:r>
        <w:t xml:space="preserve">tatement made by Fells implies renewables provides lower carbon footprint (CF) than fossil fuels and nuclear power generation (NPG) </w:t>
      </w:r>
      <w:r>
        <w:fldChar w:fldCharType="begin" w:fldLock="1"/>
      </w:r>
      <w:r>
        <w:instrText>ADDIN CSL_CITATION { "citationItems" : [ { "id" : "ITEM-1", "itemData" : { "DOI" : "10.1243/09576500260251138", "ISSN" : "0957-6509", "author" : [ { "dropping-particle" : "", "family" : "Fells", "given" : "I", "non-dropping-particle" : "", "parse-names" : false, "suffix" : "" } ], "container-title" : "Proceedings of the Institution of Mechanical Engineers, Part A: Journal of Power and Energy", "id" : "ITEM-1", "issue" : "4", "issued" : { "date-parts" : [ [ "2002", "6", "29" ] ] }, "page" : "291-294", "title" : "Clean and secure energy for the twenty-first century", "type" : "article-journal", "volume" : "216" }, "uris" : [ "http://www.mendeley.com/documents/?uuid=0428dc38-09bc-3396-b3b0-15df7519f374" ] } ], "mendeley" : { "formattedCitation" : "(Fells, 2002)", "plainTextFormattedCitation" : "(Fells, 2002)", "previouslyFormattedCitation" : "(Fells, 2002)" }, "properties" : {  }, "schema" : "https://github.com/citation-style-language/schema/raw/master/csl-citation.json" }</w:instrText>
      </w:r>
      <w:r>
        <w:fldChar w:fldCharType="separate"/>
      </w:r>
      <w:r w:rsidRPr="00C47909">
        <w:rPr>
          <w:noProof/>
        </w:rPr>
        <w:t>(Fells, 2002)</w:t>
      </w:r>
      <w:r>
        <w:fldChar w:fldCharType="end"/>
      </w:r>
      <w:r>
        <w:t xml:space="preserve">. </w:t>
      </w:r>
    </w:p>
    <w:p w14:paraId="2883E3CB" w14:textId="210788C4" w:rsidR="00373AD0" w:rsidRDefault="00373AD0" w:rsidP="00373AD0">
      <w:r>
        <w:lastRenderedPageBreak/>
        <w:t xml:space="preserve"> The UK</w:t>
      </w:r>
      <w:r w:rsidR="00C2535D">
        <w:t>’</w:t>
      </w:r>
      <w:r>
        <w:t>s estimation o</w:t>
      </w:r>
      <w:r w:rsidR="00DB28E9">
        <w:t>f economic viability for NPG</w:t>
      </w:r>
      <w:r>
        <w:t xml:space="preserve"> compared to renewables in terms of carbon dioxide reduction per GBP has led to the initiation of </w:t>
      </w:r>
      <w:r w:rsidR="00DB28E9">
        <w:t xml:space="preserve">development of Hinkley Point C </w:t>
      </w:r>
      <w:r>
        <w:t xml:space="preserve">in Summerset, England </w:t>
      </w:r>
      <w:r>
        <w:fldChar w:fldCharType="begin" w:fldLock="1"/>
      </w:r>
      <w:r>
        <w:instrText>ADDIN CSL_CITATION { "citationItems" : [ { "id" : "ITEM-1", "itemData" : { "DOI" : "10.1016/j.enpol.2016.06.021", "abstract" : "Britain's nuclear power policy is failing due to high costs and problems of finance. This has implications for European countries who want to use the same financing model. The continued pursuit of a failing policy is due to poor advice from civil servants. Lack of expertise in the media and lack of public engagement have contributed. Parliamentary processes have not provided proper critical scrutiny. a b s t r a c t In 2006, the British government launched a policy to build nuclear power reactors based on a claim that the power produced would be competitive with fossil fuel and would require no public subsidy. A decade later, it is not clear how many, if any, orders will be placed and the claims on costs and subsidies have proved false. Despite this failure to deliver, the policy is still being pursued with undiminished de-termination. The finance model that is now proposed is seen as a model other European countries can follow so the success or otherwise of the British nuclear programme will have implications outside the UK. This paper contends that the checks and balances that should weed out misguided policies, have failed. It argues that the most serious failure is with the civil service and its inability to provide politicians with high quality advice \u2013 truth to power. It concludes that the failure is likely to be due to the un-willingness of politicians to listen to opinions that conflict with their beliefs. Other weaknesses include the lack of energy expertise in the media, the unwillingness of the public to engage in the policy process and the impotence of Parliamentary Committees.", "author" : [ { "dropping-particle" : "", "family" : "Thomas", "given" : "Stephen", "non-dropping-particle" : "", "parse-names" : false, "suffix" : "" } ], "id" : "ITEM-1", "issued" : { "date-parts" : [ [ "2016" ] ] }, "title" : "The Hinkley Point decision: An analysis of the policy process", "type" : "article-journal" }, "uris" : [ "http://www.mendeley.com/documents/?uuid=3c50d345-a82c-3963-9595-eeaafcaf13d5" ] } ], "mendeley" : { "formattedCitation" : "(Thomas, 2016)", "plainTextFormattedCitation" : "(Thomas, 2016)", "previouslyFormattedCitation" : "(Thomas, 2016)" }, "properties" : {  }, "schema" : "https://github.com/citation-style-language/schema/raw/master/csl-citation.json" }</w:instrText>
      </w:r>
      <w:r>
        <w:fldChar w:fldCharType="separate"/>
      </w:r>
      <w:r w:rsidRPr="00566727">
        <w:rPr>
          <w:noProof/>
        </w:rPr>
        <w:t>(Thomas, 2016)</w:t>
      </w:r>
      <w:r>
        <w:fldChar w:fldCharType="end"/>
      </w:r>
      <w:r>
        <w:t>. This report seeks to ascertain the validity of the continued development of nuclear in the UK through analysis and comparative juxtaposition of energy and waste associated detrimental and beneficial factors tied to the respective energy generation technologies (EGT).</w:t>
      </w:r>
    </w:p>
    <w:p w14:paraId="66C6B9E3" w14:textId="77777777" w:rsidR="00373AD0" w:rsidRDefault="00373AD0" w:rsidP="00373AD0">
      <w:pPr>
        <w:pStyle w:val="Overskrift1"/>
        <w:numPr>
          <w:ilvl w:val="0"/>
          <w:numId w:val="1"/>
        </w:numPr>
      </w:pPr>
      <w:bookmarkStart w:id="5" w:name="_Toc505793553"/>
      <w:bookmarkStart w:id="6" w:name="_Toc506307998"/>
      <w:r>
        <w:t>Nuclear and Renewable Energy and Waste Characteristics</w:t>
      </w:r>
      <w:bookmarkEnd w:id="5"/>
      <w:bookmarkEnd w:id="6"/>
    </w:p>
    <w:p w14:paraId="70D61CD1" w14:textId="09977A9E" w:rsidR="00373AD0" w:rsidRDefault="00373AD0" w:rsidP="00373AD0">
      <w:r>
        <w:t xml:space="preserve">Renewable and Nuclear Energy generation technology characteristics determine their suitability in terms of future sustainability criterions, a topic heavily disputed with regards to the aptness of NE contra RE </w:t>
      </w:r>
      <w:r>
        <w:fldChar w:fldCharType="begin" w:fldLock="1"/>
      </w:r>
      <w:r>
        <w:instrText>ADDIN CSL_CITATION { "citationItems" : [ { "id" : "ITEM-1", "itemData" : { "DOI" : "10.1016/j.enpol.2016.07.007", "abstract" : "H I G H L I G H T S There is little evidence of a nuclear renaissance taking place in Western Europe or North America. Public opinion on nuclear power continues to be deeply divided. Pro-nuclear arguments are dominated by a particular cultural rationality. A broader range of cultural perspectives needs to be recognised for the nuclear debate to progress. a b s t r a c t The need for a secure and sustainable energy future has become firmly entrenched on the global political agenda. Governments worldwide are seeking solutions that will ensure security of their energy supplies, while reducing carbon emissions in the fight against climate change. Advocates of nuclear power have reframed the technology as the most reliable, cost-effective and immediate solution to both of these policy problems, and predicted the emergence of a 'nuclear renaissance'. However, there is little evidence to date that suggests a nuclear renaissance has actually taken place. Public opinion polling demonstrates that many remain unconvinced of the need for nuclear power. This paper uses Cultural Theory as a heuristic to understand why the arguments for a nuclear renaissance have been largely unsuccessful. It argues that the failure of nuclear advocates to engage with a wider cross-section of world-views has prevented the controversy surrounding nuclear power from being resolved, and the nuclear renaissance from becoming a reality. In doing so, this paper builds upon a growing recognition of the contribution that social science research can make to understanding public acceptance of energy policy choices.", "author" : [ { "dropping-particle" : "", "family" : "Graaff", "given" : "Shashi", "non-dropping-particle" : "Van De", "parse-names" : false, "suffix" : "" } ], "id" : "ITEM-1", "issued" : { "date-parts" : [ [ "2016" ] ] }, "title" : "Understanding the nuclear controversy: An application of cultural theory", "type" : "article-journal" }, "uris" : [ "http://www.mendeley.com/documents/?uuid=066f5d2d-ad63-3b36-9f19-eebaa35b62d5" ] }, { "id" : "ITEM-2", "itemData" : { "DOI" : "10.1016/j.enpol.2013.04.062", "abstract" : "Thorium is an abundant nuclear fuel that is well suited to three advanced reactor configurations. Important thorium reactor configurations include molten salt, CANDU, and TRISO systems. Thorium has important nuclear waste disposal advantages relative to pressurized water reactors. Thorium as a nuclear fuel has important advantages relative to weapon non-proliferation. a b s t r a c t It has long been known that thorium-232 is a fertile radioactive material that can produce energy in nuclear reactors for conversion to electricity. Thorium-232 is well suited to a variety of reactor types including molten fluoride salt designs, heavy water CANDU configurations, and helium-cooled TRISO-fueled systems. Among contentious commercial nuclear power issues are the questions of what to do with long-lived radioactive waste and how to minimize weapon proliferation dangers. The substitution of thorium for uranium as fuel in nuclear reactors has significant potential for minimizing both problems. Thorium is three times more abundant in nature than uranium. Whereas uranium has to be imported, there is enough thorium in the United States alone to provide adequate grid power for many centuries. A well-designed thorium reactor could produce electricity less expensively than a next-generation coal-fired plant or a current-generation uranium-fueled nuclear reactor. Importantly, thorium reactors produce substantially less long-lived radioactive waste than uranium reactors. Thorium-fueled reactors with molten salt configurations and very high temperature thorium-based TRISO-fueled reactors are both recommended for priority Generation IV funding in the 2030 time frame.", "author" : [ { "dropping-particle" : "", "family" : "Baker Schaffer", "given" : "Marvin", "non-dropping-particle" : "", "parse-names" : false, "suffix" : "" } ], "container-title" : "Energy Policy", "id" : "ITEM-2", "issued" : { "date-parts" : [ [ "2013" ] ] }, "page" : "4-12", "title" : "Abundant thorium as an alternative nuclear fuel Important waste disposal and weapon proliferation advantages", "type" : "article-journal", "volume" : "60" }, "uris" : [ "http://www.mendeley.com/documents/?uuid=af3ae5bc-b2da-3a95-82fe-928fbabfa7c2" ] } ], "mendeley" : { "formattedCitation" : "(Baker Schaffer, 2013; Van De Graaff, 2016)", "plainTextFormattedCitation" : "(Baker Schaffer, 2013; Van De Graaff, 2016)", "previouslyFormattedCitation" : "(Baker Schaffer, 2013; Van De Graaff, 2016)" }, "properties" : {  }, "schema" : "https://github.com/citation-style-language/schema/raw/master/csl-citation.json" }</w:instrText>
      </w:r>
      <w:r>
        <w:fldChar w:fldCharType="separate"/>
      </w:r>
      <w:r w:rsidRPr="00E8281E">
        <w:rPr>
          <w:noProof/>
        </w:rPr>
        <w:t>(Baker Schaffer, 2013; Van De Graaff, 2016)</w:t>
      </w:r>
      <w:r>
        <w:fldChar w:fldCharType="end"/>
      </w:r>
      <w:r>
        <w:t>. Assessing technological optimality, characteristics act as a prerequisite towards understanding their respective sustainability, functionality, and adaptability to future policy altercations. Figure 2 depicts overview of UK</w:t>
      </w:r>
      <w:r w:rsidR="00C2535D">
        <w:t>'</w:t>
      </w:r>
      <w:r>
        <w:t xml:space="preserve"> grid mix’s holistic output characterising technologies. </w:t>
      </w:r>
    </w:p>
    <w:p w14:paraId="611C7895" w14:textId="4E2F56E1" w:rsidR="00373AD0" w:rsidRPr="009F51A1" w:rsidRDefault="00373AD0" w:rsidP="009F51A1">
      <w:pPr>
        <w:pStyle w:val="Bildetekst"/>
      </w:pPr>
      <w:bookmarkStart w:id="7" w:name="_Toc505794501"/>
      <w:bookmarkStart w:id="8" w:name="_Toc506305245"/>
      <w:r w:rsidRPr="009F51A1">
        <w:rPr>
          <w:noProof/>
          <w:lang w:eastAsia="en-GB"/>
        </w:rPr>
        <w:drawing>
          <wp:anchor distT="0" distB="0" distL="114300" distR="114300" simplePos="0" relativeHeight="251665408" behindDoc="0" locked="0" layoutInCell="1" allowOverlap="1" wp14:anchorId="23C44FA1" wp14:editId="3D2F8EAF">
            <wp:simplePos x="0" y="0"/>
            <wp:positionH relativeFrom="margin">
              <wp:align>left</wp:align>
            </wp:positionH>
            <wp:positionV relativeFrom="paragraph">
              <wp:posOffset>0</wp:posOffset>
            </wp:positionV>
            <wp:extent cx="5782310" cy="2216785"/>
            <wp:effectExtent l="0" t="0" r="889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3">
                      <a:extLst>
                        <a:ext uri="{28A0092B-C50C-407E-A947-70E740481C1C}">
                          <a14:useLocalDpi xmlns:a14="http://schemas.microsoft.com/office/drawing/2010/main" val="0"/>
                        </a:ext>
                      </a:extLst>
                    </a:blip>
                    <a:srcRect l="1412" r="1932"/>
                    <a:stretch/>
                  </pic:blipFill>
                  <pic:spPr bwMode="auto">
                    <a:xfrm>
                      <a:off x="0" y="0"/>
                      <a:ext cx="5782310" cy="22167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9F51A1">
        <w:t xml:space="preserve">Figure </w:t>
      </w:r>
      <w:r w:rsidR="00B10DCD">
        <w:fldChar w:fldCharType="begin"/>
      </w:r>
      <w:r w:rsidR="00B10DCD">
        <w:instrText xml:space="preserve"> SEQ Figure \* ARABIC </w:instrText>
      </w:r>
      <w:r w:rsidR="00B10DCD">
        <w:fldChar w:fldCharType="separate"/>
      </w:r>
      <w:r w:rsidR="00A76550">
        <w:rPr>
          <w:noProof/>
        </w:rPr>
        <w:t>2</w:t>
      </w:r>
      <w:r w:rsidR="00B10DCD">
        <w:rPr>
          <w:noProof/>
        </w:rPr>
        <w:fldChar w:fldCharType="end"/>
      </w:r>
      <w:r w:rsidRPr="009F51A1">
        <w:t>: Electricity production technologies comprising the UK electric grid mix and relative shares of total electricity output in the year 2013 (Department of Energy &amp; Climate Change (DECC), 2014a; National Grid, 2014a cited in</w:t>
      </w:r>
      <w:r w:rsidRPr="009F51A1">
        <w:fldChar w:fldCharType="begin" w:fldLock="1"/>
      </w:r>
      <w:r w:rsidRPr="009F51A1">
        <w:instrText>ADDIN CSL_CITATION { "citationItems" : [ { "id" : "ITEM-1", "itemData" : { "DOI" : "10.1016/j.enpol.2015.12.011", "abstract" : "a b s t r a c t We performed a comprehensive and internally consistent assessment of the energy performance of the full range of electricity production technologies in the United Kingdom, integrating the viewpoints of-fered by net energy analysis (NEA) and life cycle assessment (LCA). Specifically, the energy return on investment (EROI), net-to-gross energy output ratio (NTG) and non-renewable cumulative energy de-mand (nr-CED) indicators were calculated for coal, oil, gas, biomass, nuclear, hydro, wind and PV elec-tricity. Results point to wind, and to a lesser extent PV, as the most recommendable technologies overall in order to foster a transition towards an improved electricity grid mix in the UK, from both points of view of short-term effectiveness at providing a net energy gain to support the multiple societal energy consumption patterns, and long-term energy sustainability (the latter being inversely proportional to the reliance on non-renewable primary energy sources). The importance to maintain a sufficient installed capacity of readily-dispatchable gas-fired electricity is also recognised.", "author" : [ { "dropping-particle" : "", "family" : "Raugei", "given" : "Marco", "non-dropping-particle" : "", "parse-names" : false, "suffix" : "" }, { "dropping-particle" : "", "family" : "Leccisi", "given" : "Enrica", "non-dropping-particle" : "", "parse-names" : false, "suffix" : "" } ], "id" : "ITEM-1", "issued" : { "date-parts" : [ [ "2016" ] ] }, "title" : "A comprehensive assessment of the energy performance of the full range of electricity generation technologies deployed in the United Kingdom", "type" : "article-journal" }, "uris" : [ "http://www.mendeley.com/documents/?uuid=75849392-97ea-36bc-9bdd-c248f89e7c7c" ] } ], "mendeley" : { "formattedCitation" : "(Raugei &amp; Leccisi, 2016)", "manualFormatting" : " Raugei &amp; Leccisi, 2016)", "plainTextFormattedCitation" : "(Raugei &amp; Leccisi, 2016)", "previouslyFormattedCitation" : "(Raugei &amp; Leccisi, 2016)" }, "properties" : {  }, "schema" : "https://github.com/citation-style-language/schema/raw/master/csl-citation.json" }</w:instrText>
      </w:r>
      <w:r w:rsidRPr="009F51A1">
        <w:fldChar w:fldCharType="separate"/>
      </w:r>
      <w:r w:rsidRPr="009F51A1">
        <w:rPr>
          <w:noProof/>
        </w:rPr>
        <w:t xml:space="preserve"> Raugei &amp; Leccisi, 2016)</w:t>
      </w:r>
      <w:bookmarkEnd w:id="7"/>
      <w:bookmarkEnd w:id="8"/>
      <w:r w:rsidRPr="009F51A1">
        <w:fldChar w:fldCharType="end"/>
      </w:r>
    </w:p>
    <w:p w14:paraId="1C4AD34F" w14:textId="0D75842D" w:rsidR="00064090" w:rsidRDefault="00373AD0" w:rsidP="00C2535D">
      <w:r>
        <w:t xml:space="preserve"> Key findings in data presented relative to the aim of the study is the percentile differentiation between wind and nuclear (10.7%), serving as the two largest contributors to UK low carbon energy supply. Bearing in mind the distribution of fossil fuels in figure 2, as well as the aforementioned risks associated with climate change, a redistribution of energy generation could be considered relatively imminent for</w:t>
      </w:r>
      <w:r w:rsidR="00416ABF">
        <w:t xml:space="preserve"> UK</w:t>
      </w:r>
      <w:r>
        <w:t xml:space="preserve"> regulators. </w:t>
      </w:r>
    </w:p>
    <w:p w14:paraId="705C7914" w14:textId="77777777" w:rsidR="004B782B" w:rsidRDefault="004B782B" w:rsidP="00C2535D"/>
    <w:p w14:paraId="7D9935BE" w14:textId="7D8C6E7A" w:rsidR="00373AD0" w:rsidRPr="00067FD0" w:rsidRDefault="00373AD0" w:rsidP="00373AD0">
      <w:r>
        <w:lastRenderedPageBreak/>
        <w:t>However, when identifying the optimal secto</w:t>
      </w:r>
      <w:r w:rsidR="00C2535D">
        <w:t>r for receival</w:t>
      </w:r>
      <w:r>
        <w:t xml:space="preserve"> of development</w:t>
      </w:r>
      <w:r w:rsidR="00416ABF">
        <w:t>al resources (e.g. subsidies), a</w:t>
      </w:r>
      <w:r>
        <w:t xml:space="preserve">lthough a combinatory solution has been set forth by Suman (2018) (Symbiotic nuclear and renewable energy generation), a </w:t>
      </w:r>
      <w:r w:rsidR="000A3433">
        <w:t>“</w:t>
      </w:r>
      <w:r>
        <w:t>renewable</w:t>
      </w:r>
      <w:r w:rsidR="000A3433">
        <w:t>s</w:t>
      </w:r>
      <w:r>
        <w:t xml:space="preserve"> only</w:t>
      </w:r>
      <w:r w:rsidR="000A3433">
        <w:t>”</w:t>
      </w:r>
      <w:r>
        <w:t xml:space="preserve"> solution is recommended by</w:t>
      </w:r>
      <w:r w:rsidR="000A3433">
        <w:t xml:space="preserve"> </w:t>
      </w:r>
      <w:r w:rsidR="000A3433">
        <w:fldChar w:fldCharType="begin" w:fldLock="1"/>
      </w:r>
      <w:r w:rsidR="004B782B">
        <w:instrText>ADDIN CSL_CITATION { "citationItems" : [ { "id" : "ITEM-1", "itemData" : { "abstract" : "A study was conducted to compare the electricity generation costs of a number of current commercial technologies with technologies expected to become commercially available within the coming decade or so. The amount of greenhouse gas emissions resulting per kWh of electricity generated were evaluated. A range of fossil fuel alternatives (with and without physical carbon sequestration), were compared with the baseline case of a pulverised coal, steam cycle power plant. Nuclear, hydro, wind, bioenergy and solar generating plants were also evaluated. The objectives were to assess the comparative costs of mitigation per tonne of carbon emissions avoided, and to estimate the total amount of carbon mitigation that could result from the global electricity sector by 2010 and 2020 as a result of fuel switching, carbon dioxide sequestration and the greater uptake of renewable energy. Most technologies showed potential to reduce both generating costs and carbon emission avoidance by 2020 with the exception of solar power and carbon dioxide sequestration. The global electricity industry has potential to reduce its carbon emissions by over 15% by 2020 together with cost saving benefits compared with existing generation.", "author" : [ { "dropping-particle" : "", "family" : "Sims", "given" : "Ralph E H", "non-dropping-particle" : "", "parse-names" : false, "suffix" : "" }, { "dropping-particle" : "", "family" : "Rogner", "given" : "Hans-Holger", "non-dropping-particle" : "", "parse-names" : false, "suffix" : "" }, { "dropping-particle" : "", "family" : "Gregory", "given" : "Ken", "non-dropping-particle" : "", "parse-names" : false, "suffix" : "" } ], "container-title" : "Energy Policy", "id" : "ITEM-1", "issued" : { "date-parts" : [ [ "2003" ] ] }, "page" : "1315-1326", "title" : "Carbon emission and mitigation cost comparisons between fossil fuel, nuclear and renewable energy resources for electricity generation", "type" : "article-journal", "volume" : "31" }, "uris" : [ "http://www.mendeley.com/documents/?uuid=03de8b43-3636-366d-9bbb-dfb6ba04e38b" ] } ], "mendeley" : { "formattedCitation" : "(Sims, Rogner, &amp; Gregory, 2003)", "manualFormatting" : "Sims, Rogner, &amp; Gregory (2003", "plainTextFormattedCitation" : "(Sims, Rogner, &amp; Gregory, 2003)", "previouslyFormattedCitation" : "(Sims, Rogner, &amp; Gregory, 2003)" }, "properties" : {  }, "schema" : "https://github.com/citation-style-language/schema/raw/master/csl-citation.json" }</w:instrText>
      </w:r>
      <w:r w:rsidR="000A3433">
        <w:fldChar w:fldCharType="separate"/>
      </w:r>
      <w:r w:rsidR="000A3433" w:rsidRPr="000A3433">
        <w:rPr>
          <w:noProof/>
        </w:rPr>
        <w:t xml:space="preserve">Sims, Rogner, &amp; Gregory </w:t>
      </w:r>
      <w:r w:rsidR="004B782B">
        <w:rPr>
          <w:noProof/>
        </w:rPr>
        <w:t>(</w:t>
      </w:r>
      <w:r w:rsidR="000A3433" w:rsidRPr="000A3433">
        <w:rPr>
          <w:noProof/>
        </w:rPr>
        <w:t>2003</w:t>
      </w:r>
      <w:r w:rsidR="000A3433">
        <w:fldChar w:fldCharType="end"/>
      </w:r>
      <w:r w:rsidR="004B782B">
        <w:t>)</w:t>
      </w:r>
      <w:r>
        <w:t xml:space="preserve">, making clear the contradiction and lack of consensus on the aptness and optimality of sustainable energy system typology, </w:t>
      </w:r>
      <w:r w:rsidR="00416ABF">
        <w:t xml:space="preserve">and further </w:t>
      </w:r>
      <w:r>
        <w:t>substantiating this works aim of attempting to ascertain the optimal energy solution for</w:t>
      </w:r>
      <w:r w:rsidR="00416ABF">
        <w:t xml:space="preserve"> the UK in a low-carbon future.</w:t>
      </w:r>
    </w:p>
    <w:p w14:paraId="79AFB521" w14:textId="06F0B15C" w:rsidR="00373AD0" w:rsidRDefault="00373AD0" w:rsidP="00373AD0">
      <w:pPr>
        <w:pStyle w:val="Overskrift2"/>
      </w:pPr>
      <w:bookmarkStart w:id="9" w:name="_Toc505793554"/>
      <w:bookmarkStart w:id="10" w:name="_Toc506307999"/>
      <w:r>
        <w:t>2.1 Wind Power Generation</w:t>
      </w:r>
      <w:bookmarkEnd w:id="9"/>
      <w:r>
        <w:t xml:space="preserve"> </w:t>
      </w:r>
      <w:bookmarkEnd w:id="10"/>
      <w:r w:rsidR="004B782B">
        <w:t>(WPG)</w:t>
      </w:r>
    </w:p>
    <w:p w14:paraId="43EB2AB5" w14:textId="7FC9E80D" w:rsidR="00373AD0" w:rsidRDefault="004B782B" w:rsidP="00157AF8">
      <w:pPr>
        <w:ind w:firstLine="0"/>
      </w:pPr>
      <w:r>
        <w:rPr>
          <w:noProof/>
          <w:lang w:eastAsia="en-GB"/>
        </w:rPr>
        <w:drawing>
          <wp:anchor distT="0" distB="0" distL="114300" distR="114300" simplePos="0" relativeHeight="251664384" behindDoc="0" locked="0" layoutInCell="1" allowOverlap="1" wp14:anchorId="7D803708" wp14:editId="76D4016F">
            <wp:simplePos x="0" y="0"/>
            <wp:positionH relativeFrom="margin">
              <wp:align>center</wp:align>
            </wp:positionH>
            <wp:positionV relativeFrom="paragraph">
              <wp:posOffset>1618755</wp:posOffset>
            </wp:positionV>
            <wp:extent cx="6481517" cy="3530009"/>
            <wp:effectExtent l="0" t="0" r="0" b="0"/>
            <wp:wrapSquare wrapText="bothSides"/>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481517" cy="353000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73AD0">
        <w:t xml:space="preserve">Figures 4 and 5 depict overview of components commonly associated with horizontal axis wind turbines (HAWT). VAWT (Vertical AWT) is a underdeveloped facet of WPG, showing great potential as its axis alignment permits uptake of omnidirectional kinetic wind power; this technology remains restricted in application to areas of low to medium generation and is therefore neglected as a potential power source comparative to e.g. nuclear </w:t>
      </w:r>
      <w:r w:rsidR="00373AD0">
        <w:fldChar w:fldCharType="begin" w:fldLock="1"/>
      </w:r>
      <w:r w:rsidR="00373AD0">
        <w:instrText>ADDIN CSL_CITATION { "citationItems" : [ { "id" : "ITEM-1", "itemData" : { "DOI" : "10.1016/j.renene.2016.08.035", "abstract" : "a b s t r a c t The marine renewable energy industry is expanding globally in response to increased energy demands and the desire to curtail greenhouse gas emissions. Within the UK, Wales has the potential for the development of diverse marine renewable technologies, with a strong tidal range resource, areas of high tidal current energy, and a spatially limited wave energy resource. Targets have been set by the Welsh Government to increase the contribution of marine renewable energy to Wales' electricity generation, and the recent introduction of demonstration zones for tidal and wave energy aims to facilitate de-velopers in device deployment. However, uncertainties remain about the potential impacts of devices, particularly for array scale deployments, planned at several sites, and for the extensive structures required to capture the tidal range resource. Here we review present knowledge of potential impacts, including physical, ecological and societal dimensions, and outline research priorities to provide a sci-entific basis on which to base decisions influencing the trajectory of Welsh marine renewable energy development.", "author" : [ { "dropping-particle" : "", "family" : "Roche", "given" : "R C", "non-dropping-particle" : "", "parse-names" : false, "suffix" : "" }, { "dropping-particle" : "", "family" : "Walker-Springett", "given" : "K", "non-dropping-particle" : "", "parse-names" : false, "suffix" : "" }, { "dropping-particle" : "", "family" : "Robins", "given" : "P E", "non-dropping-particle" : "", "parse-names" : false, "suffix" : "" }, { "dropping-particle" : "", "family" : "Jones", "given" : "J", "non-dropping-particle" : "", "parse-names" : false, "suffix" : "" }, { "dropping-particle" : "", "family" : "Veneruso", "given" : "G", "non-dropping-particle" : "", "parse-names" : false, "suffix" : "" }, { "dropping-particle" : "", "family" : "Whitton", "given" : "T A", "non-dropping-particle" : "", "parse-names" : false, "suffix" : "" }, { "dropping-particle" : "", "family" : "Piano", "given" : "M", "non-dropping-particle" : "", "parse-names" : false, "suffix" : "" }, { "dropping-particle" : "", "family" : "Ward", "given" : "S L", "non-dropping-particle" : "", "parse-names" : false, "suffix" : "" }, { "dropping-particle" : "", "family" : "Duce", "given" : "C E", "non-dropping-particle" : "", "parse-names" : false, "suffix" : "" }, { "dropping-particle" : "", "family" : "Waggitt", "given" : "J J", "non-dropping-particle" : "", "parse-names" : false, "suffix" : "" }, { "dropping-particle" : "", "family" : "Walker-Springett", "given" : "G R", "non-dropping-particle" : "", "parse-names" : false, "suffix" : "" }, { "dropping-particle" : "", "family" : "Neill", "given" : "S P", "non-dropping-particle" : "", "parse-names" : false, "suffix" : "" }, { "dropping-particle" : "", "family" : "Lewis", "given" : "M J", "non-dropping-particle" : "", "parse-names" : false, "suffix" : "" }, { "dropping-particle" : "", "family" : "King", "given" : "J W", "non-dropping-particle" : "", "parse-names" : false, "suffix" : "" } ], "container-title" : "Renewable Energy", "id" : "ITEM-1", "issued" : { "date-parts" : [ [ "2016" ] ] }, "page" : "1327-1341", "title" : "Research priorities for assessing potential impacts of emerging marine renewable energy technologies: Insights from developments in Wales (UK)", "type" : "article-journal", "volume" : "99" }, "uris" : [ "http://www.mendeley.com/documents/?uuid=1b82938d-9fac-3bb4-ad2f-4e73efc3eadf" ] } ], "mendeley" : { "formattedCitation" : "(Roche et al., 2016)", "plainTextFormattedCitation" : "(Roche et al., 2016)", "previouslyFormattedCitation" : "(Roche et al., 2016)" }, "properties" : {  }, "schema" : "https://github.com/citation-style-language/schema/raw/master/csl-citation.json" }</w:instrText>
      </w:r>
      <w:r w:rsidR="00373AD0">
        <w:fldChar w:fldCharType="separate"/>
      </w:r>
      <w:r w:rsidR="00373AD0" w:rsidRPr="00454036">
        <w:rPr>
          <w:noProof/>
        </w:rPr>
        <w:t>(Roche et al., 2016)</w:t>
      </w:r>
      <w:r w:rsidR="00373AD0">
        <w:fldChar w:fldCharType="end"/>
      </w:r>
      <w:r w:rsidR="00373AD0">
        <w:t>.</w:t>
      </w:r>
    </w:p>
    <w:p w14:paraId="2FD2330D" w14:textId="2440E8C2" w:rsidR="00373AD0" w:rsidRPr="009F51A1" w:rsidRDefault="00373AD0" w:rsidP="009F51A1">
      <w:pPr>
        <w:pStyle w:val="Bildetekst"/>
      </w:pPr>
      <w:bookmarkStart w:id="11" w:name="_Toc505794503"/>
      <w:bookmarkStart w:id="12" w:name="_Toc506305247"/>
      <w:r w:rsidRPr="009F51A1">
        <w:t xml:space="preserve">Figure </w:t>
      </w:r>
      <w:r w:rsidR="00B10DCD">
        <w:fldChar w:fldCharType="begin"/>
      </w:r>
      <w:r w:rsidR="00B10DCD">
        <w:instrText xml:space="preserve"> SEQ Figure \* ARABIC </w:instrText>
      </w:r>
      <w:r w:rsidR="00B10DCD">
        <w:fldChar w:fldCharType="separate"/>
      </w:r>
      <w:r w:rsidR="00A76550">
        <w:rPr>
          <w:noProof/>
        </w:rPr>
        <w:t>4</w:t>
      </w:r>
      <w:r w:rsidR="00B10DCD">
        <w:rPr>
          <w:noProof/>
        </w:rPr>
        <w:fldChar w:fldCharType="end"/>
      </w:r>
      <w:r w:rsidRPr="009F51A1">
        <w:t xml:space="preserve">: Tower and rotor blade deflection modes in wind turbines. </w:t>
      </w:r>
      <w:r w:rsidRPr="009F51A1">
        <w:fldChar w:fldCharType="begin" w:fldLock="1"/>
      </w:r>
      <w:r w:rsidRPr="009F51A1">
        <w:instrText>ADDIN CSL_CITATION { "citationItems" : [ { "id" : "ITEM-1", "itemData" : { "DOI" : "10.1016/j.rser.2016.01.110", "abstract" : "a b s t r a c t Wind energy is one of the most rapidly growing renewable sources of energy due to the fact that it has little negative impact on environment. To meet the growing demand, wind turbines are being scaled up both in size and power rating. However, as the size increases, the structural loads of the turbine become more dominant, causing increased fatigue stress on the turbine components which can lead to early failure. Another area of focus in wind energy is lowering production cost to give it a competitive edge over other alternative power sources. From the control point of view, low production cost of wind energy can be achieved by operating the wind turbine at/or near the optimum power efficiency during partial load regime, guaranteeing reliability by reducing fatigue loads, and regulating generated power to its rated value in the high wind regime. Often, it is difficult to realize a control algorithm that can guarantee both efficiency and reliability because these two aspects involve conflicting objectives. This paper reviews various control strategies that are used in wind turbine systems, both in low and high wind speed regions focusing primarily on multi-objective control schemes. Emerging trends that are likely to influence the current or future wind energy production, either positively or negatively, are also dis-cussed.", "author" : [ { "dropping-particle" : "", "family" : "Njiri", "given" : "Jackson G", "non-dropping-particle" : "", "parse-names" : false, "suffix" : "" }, { "dropping-particle" : "", "family" : "S\u00f6ffker", "given" : "Dirk", "non-dropping-particle" : "", "parse-names" : false, "suffix" : "" } ], "id" : "ITEM-1", "issued" : { "date-parts" : [ [ "2016" ] ] }, "title" : "State-of-the-art in wind turbine control: Trends and challenges", "type" : "article-journal" }, "uris" : [ "http://www.mendeley.com/documents/?uuid=d6b0ac8d-8f2f-34ad-909a-40d9ee76d860" ] } ], "mendeley" : { "formattedCitation" : "(Njiri &amp; S\u00f6ffker, 2016)", "plainTextFormattedCitation" : "(Njiri &amp; S\u00f6ffker, 2016)", "previouslyFormattedCitation" : "(Njiri &amp; S\u00f6ffker, 2016)" }, "properties" : {  }, "schema" : "https://github.com/citation-style-language/schema/raw/master/csl-citation.json" }</w:instrText>
      </w:r>
      <w:r w:rsidRPr="009F51A1">
        <w:fldChar w:fldCharType="separate"/>
      </w:r>
      <w:r w:rsidRPr="009F51A1">
        <w:rPr>
          <w:noProof/>
        </w:rPr>
        <w:t>(Njiri &amp; Söffker, 2016)</w:t>
      </w:r>
      <w:bookmarkEnd w:id="11"/>
      <w:bookmarkEnd w:id="12"/>
      <w:r w:rsidRPr="009F51A1">
        <w:fldChar w:fldCharType="end"/>
      </w:r>
    </w:p>
    <w:p w14:paraId="2DFD56A3" w14:textId="77777777" w:rsidR="00373AD0" w:rsidRDefault="00373AD0" w:rsidP="00373AD0"/>
    <w:p w14:paraId="6AF167AE" w14:textId="77777777" w:rsidR="00373AD0" w:rsidRDefault="00373AD0" w:rsidP="00373AD0">
      <w:r>
        <w:rPr>
          <w:noProof/>
          <w:lang w:eastAsia="en-GB"/>
        </w:rPr>
        <w:lastRenderedPageBreak/>
        <w:drawing>
          <wp:inline distT="0" distB="0" distL="0" distR="0" wp14:anchorId="474B0BBF" wp14:editId="250E82F1">
            <wp:extent cx="4792980" cy="1939290"/>
            <wp:effectExtent l="0" t="0" r="762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792980" cy="1939290"/>
                    </a:xfrm>
                    <a:prstGeom prst="rect">
                      <a:avLst/>
                    </a:prstGeom>
                    <a:noFill/>
                    <a:ln>
                      <a:noFill/>
                    </a:ln>
                  </pic:spPr>
                </pic:pic>
              </a:graphicData>
            </a:graphic>
          </wp:inline>
        </w:drawing>
      </w:r>
    </w:p>
    <w:p w14:paraId="4A236E74" w14:textId="26AE09DA" w:rsidR="00373AD0" w:rsidRPr="009F51A1" w:rsidRDefault="00373AD0" w:rsidP="009F51A1">
      <w:pPr>
        <w:pStyle w:val="Bildetekst"/>
      </w:pPr>
      <w:bookmarkStart w:id="13" w:name="_Toc505794504"/>
      <w:bookmarkStart w:id="14" w:name="_Toc506305248"/>
      <w:r w:rsidRPr="009F51A1">
        <w:t xml:space="preserve">Figure </w:t>
      </w:r>
      <w:r w:rsidR="00B10DCD">
        <w:fldChar w:fldCharType="begin"/>
      </w:r>
      <w:r w:rsidR="00B10DCD">
        <w:instrText xml:space="preserve"> SEQ Figure \* ARABIC </w:instrText>
      </w:r>
      <w:r w:rsidR="00B10DCD">
        <w:fldChar w:fldCharType="separate"/>
      </w:r>
      <w:r w:rsidR="00A76550">
        <w:rPr>
          <w:noProof/>
        </w:rPr>
        <w:t>5</w:t>
      </w:r>
      <w:r w:rsidR="00B10DCD">
        <w:rPr>
          <w:noProof/>
        </w:rPr>
        <w:fldChar w:fldCharType="end"/>
      </w:r>
      <w:r w:rsidRPr="009F51A1">
        <w:t>:</w:t>
      </w:r>
      <w:r w:rsidR="004272F1">
        <w:t xml:space="preserve"> </w:t>
      </w:r>
      <w:r w:rsidRPr="009F51A1">
        <w:t xml:space="preserve">Scheme of a constant speed WECS with multiple stage geared SCIG  </w:t>
      </w:r>
      <w:r w:rsidRPr="009F51A1">
        <w:fldChar w:fldCharType="begin" w:fldLock="1"/>
      </w:r>
      <w:r w:rsidRPr="009F51A1">
        <w:instrText>ADDIN CSL_CITATION { "citationItems" : [ { "id" : "ITEM-1", "itemData" : { "DOI" : "10.1016/j.enconman.2014.08.037", "abstract" : "a b s t r a c t This paper gives a comprehensive review of the state of the art of wind energy conversion systems (WECS) and technologies, with an emphasis on wind power generator and control. First, different types of common WECSs are classified according to their features and drive train types. The WECSs are com-pared on the basis of the volume, weight, cost, efficiency, system reliability and fault ride through capa-bility. The maximum power point tracking (MPPT) control, which aims to make the generator speed meet an optimum value to ensure the maximum energy yield, plays a key role in the variable speed WECSs. A comprehensive review and comparison of the four most popular MPPT control methods are carried out and improvements for each method are presented. Furthermore, the latest development of wind energy conversion technologies is introduced, such as the brushless doubly fed induction generator (BDFIG), the stator permanent magnet synchronous generators, the magnetic-geared generators, dual power flow WECS with the electrical variable transmission (EVT) machine, and direct grid-connected WECS. Finally, the future trends of the technologies are discussed.", "author" : [ { "dropping-particle" : "", "family" : "Cheng", "given" : "Ming", "non-dropping-particle" : "", "parse-names" : false, "suffix" : "" }, { "dropping-particle" : "", "family" : "Zhu", "given" : "Ying", "non-dropping-particle" : "", "parse-names" : false, "suffix" : "" } ], "container-title" : "Energy Conversion and Management", "id" : "ITEM-1", "issued" : { "date-parts" : [ [ "2014" ] ] }, "page" : "332-347", "title" : "The state of the art of wind energy conversion systems and technologies: A review", "type" : "article-journal", "volume" : "88" }, "uris" : [ "http://www.mendeley.com/documents/?uuid=b984f011-55ae-3d3d-a2cc-0544560851f0" ] } ], "mendeley" : { "formattedCitation" : "(M. Cheng &amp; Zhu, 2014)", "plainTextFormattedCitation" : "(M. Cheng &amp; Zhu, 2014)", "previouslyFormattedCitation" : "(M. Cheng &amp; Zhu, 2014)" }, "properties" : {  }, "schema" : "https://github.com/citation-style-language/schema/raw/master/csl-citation.json" }</w:instrText>
      </w:r>
      <w:r w:rsidRPr="009F51A1">
        <w:fldChar w:fldCharType="separate"/>
      </w:r>
      <w:r w:rsidRPr="009F51A1">
        <w:rPr>
          <w:noProof/>
        </w:rPr>
        <w:t>(M. Cheng &amp; Zhu, 2014)</w:t>
      </w:r>
      <w:bookmarkEnd w:id="13"/>
      <w:bookmarkEnd w:id="14"/>
      <w:r w:rsidRPr="009F51A1">
        <w:fldChar w:fldCharType="end"/>
      </w:r>
    </w:p>
    <w:p w14:paraId="4C5135E0" w14:textId="6F8CAD73" w:rsidR="00373AD0" w:rsidRDefault="004B782B" w:rsidP="00373AD0">
      <w:r>
        <w:t>This WPG</w:t>
      </w:r>
      <w:r w:rsidR="00373AD0">
        <w:t xml:space="preserve"> methodology comprises generator technology capable of intermittently producing energy from kinetic energy produced from differences in atmospheric pressure </w:t>
      </w:r>
      <w:r w:rsidR="00373AD0">
        <w:fldChar w:fldCharType="begin" w:fldLock="1"/>
      </w:r>
      <w:r w:rsidR="00373AD0">
        <w:instrText>ADDIN CSL_CITATION { "citationItems" : [ { "id" : "ITEM-1", "itemData" : { "DOI" : "10.1016/j.rser.2016.10.038", "abstract" : "A minor deviation in wind speed causes large deviation in the output power of wind turbine because of cubic bond association between these two parameters. Therefore, a precise assessment of wind resource over any site is considered of paramount significance. The investigations associated with the wind resource assessment have been proved of immense help for installation of different wind energy technologies such as nano, micro, small, medium, and large scale for wind energy generation. In order to provide a detailed information regarding the research in wind resource assessment a comprehensive literature review encompassing the different techniques, methodologies involved in development of wind power projects, and uncertainties associated with wind resource assessment as well as the preliminary assessment methodologies have been presented in this work. The advanced computational models namely wind atlas analysis and program, WindPro, computational fluid dynamics, and geographical information system are most frequently used software tools for mapping, modelling and annual energy estimation for a single or multiple wind turbines by considering the local conditions such as topography, surrounding obstacles, orography, and surface roughness based on the on-site measurements for a particular site. In addition, the statistical methods for short and long term data analysis, vertical wind speed profile, numerical weather prediction models, optimization of existing wind resource, and scope of hybrid wind energy systems have been delineated in this paper. Furthermore, current review presents a complete approach with reference to all the facets of the present status of research in the area of wind resource assessment worldwide.", "author" : [ { "dropping-particle" : "", "family" : "Murthy", "given" : "K S R", "non-dropping-particle" : "", "parse-names" : false, "suffix" : "" }, { "dropping-particle" : "", "family" : "Rahi", "given" : "O P", "non-dropping-particle" : "", "parse-names" : false, "suffix" : "" } ], "id" : "ITEM-1", "issued" : { "date-parts" : [ [ "2017" ] ] }, "title" : "A comprehensive review of wind resource assessment", "type" : "article-journal" }, "uris" : [ "http://www.mendeley.com/documents/?uuid=63956b75-e9b9-37ed-87ce-6074f6f7bebc" ] } ], "mendeley" : { "formattedCitation" : "(Murthy &amp; Rahi, 2017)", "plainTextFormattedCitation" : "(Murthy &amp; Rahi, 2017)", "previouslyFormattedCitation" : "(Murthy &amp; Rahi, 2017)" }, "properties" : {  }, "schema" : "https://github.com/citation-style-language/schema/raw/master/csl-citation.json" }</w:instrText>
      </w:r>
      <w:r w:rsidR="00373AD0">
        <w:fldChar w:fldCharType="separate"/>
      </w:r>
      <w:r w:rsidR="00373AD0" w:rsidRPr="006F6178">
        <w:rPr>
          <w:noProof/>
        </w:rPr>
        <w:t>(Murthy &amp; Rahi, 2017)</w:t>
      </w:r>
      <w:r w:rsidR="00373AD0">
        <w:fldChar w:fldCharType="end"/>
      </w:r>
      <w:r w:rsidR="00373AD0">
        <w:t xml:space="preserve">. Commercialised yet subsidised and lacking financial viability albeit approaching prices equivalent to that of the lower echelons of  available generation technologies, environmental impact from both operational spheres (On and offshore) such as sonically induced insomnia in approximate habitats still remains questionable </w:t>
      </w:r>
      <w:r w:rsidR="00373AD0">
        <w:fldChar w:fldCharType="begin" w:fldLock="1"/>
      </w:r>
      <w:r w:rsidR="00373AD0">
        <w:instrText>ADDIN CSL_CITATION { "citationItems" : [ { "id" : "ITEM-1", "itemData" : { "DOI" : "10.1063/1.4932154", "abstract" : "See, stats, and : https : / / www. researchgate. net/ publication/ 282579414 Evaluation of , wave, and Article DOI :10.1063/1.4932154 CITATIONS 7 READS 782 3 : Some : Intelligent - ICE Field Ferrol Sharay University 23 SEE A . Vazquez University 11 SEE Gregorio University 154 , 389 SEE All . The . In the current context of environmental degradation and depletion of fossil fuels , marine energy has emerged as an alternative to traditional energy resources . However , being in an initial step of development , extracting energy from the ocean is often regarded as difficult and uneconomical . The existing models for assessing marine energy costs are often oversimplified , leading to uncertainties that may hold investors back and slow down the market penetration of this renewable . Therefore , an accurate prediction of marine energy costs is fundamental to drawing conclusions about its competitiveness . Among the different possibilities of marine energy , this paper focuses on the economic analysis of tidal , wave , and offshore wind energy . The individual costs involved in the construction of these offshore energy parks and operation and maintenance tasks during their lifetime are determined . With this information , the levelized cost (e / MW h) is calculated for offshore wind , wave and tidal energy (e165 / MW h , e225 / MW h and e190 / MW h , respectively) . It is found that these renewables have a higher energy cost than traditional energy sources ; however , considering factors such as the learning rate or externalities enhances their competitiveness . In the second part of this paper , combined energy systems , such as hybrid converters , are presented as a future solution to boost the development of marine energies . The synergies between these renewables are outlined , as well as the cost savings that can be achieved through diversified energy systems . V C 2015 AIP Publishing LLC . [ http : / / dx .", "author" : [ { "dropping-particle" : "", "family" : "Astariz", "given" : "S", "non-dropping-particle" : "", "parse-names" : false, "suffix" : "" }, { "dropping-particle" : "", "family" : "Vazquez", "given" : "A", "non-dropping-particle" : "", "parse-names" : false, "suffix" : "" }, { "dropping-particle" : "", "family" : "Iglesias", "given" : "G", "non-dropping-particle" : "", "parse-names" : false, "suffix" : "" }, { "dropping-particle" : "", "family" : "Vazquez", "given" : ") A", "non-dropping-particle" : "", "parse-names" : false, "suffix" : "" } ], "container-title" : "Journal of Renewable and Sustainable Energy J . Renewable Sustainable Energy Fluids J . Renewable Sustainable Energy J . Renewable Sustainable Energy J . Appl . Phys", "id" : "ITEM-1", "issue" : "102", "issued" : { "date-parts" : [ [ "2015" ] ] }, "page" : "25101-4863096", "title" : "Evaluation and comparison of the levelized cost of tidal , wave , and offshore wind energy Wave characteristic analysis and wave energy resource evaluation in the China Sea Evaluation of wave energy generation from buoy heave response based on linear gene", "type" : "article-journal", "volume" : "7" }, "uris" : [ "http://www.mendeley.com/documents/?uuid=21481104-aa96-3215-b054-1f53bd1c2419" ] }, { "id" : "ITEM-2", "itemData" : { "DOI" : "10.1049/etr.2016.0021", "ISSN" : "2056-4007", "author" : [ { "dropping-particle" : "", "family" : "McAlister", "given" : "Greg", "non-dropping-particle" : "", "parse-names" : false, "suffix" : "" } ], "container-title" : "Engineering &amp; Technology Reference", "id" : "ITEM-2", "issue" : "1", "issued" : { "date-parts" : [ [ "2012", "1", "1" ] ] }, "title" : "General principles of onshore wind environmental impact assessment", "type" : "article-journal", "volume" : "1" }, "uris" : [ "http://www.mendeley.com/documents/?uuid=c444a945-2123-37a3-9d9e-1c0a98a2c479" ] } ], "mendeley" : { "formattedCitation" : "(Astariz, Vazquez, Iglesias, &amp; Vazquez, 2015; McAlister, 2012)", "plainTextFormattedCitation" : "(Astariz, Vazquez, Iglesias, &amp; Vazquez, 2015; McAlister, 2012)", "previouslyFormattedCitation" : "(Astariz, Vazquez, Iglesias, &amp; Vazquez, 2015; McAlister, 2012)" }, "properties" : {  }, "schema" : "https://github.com/citation-style-language/schema/raw/master/csl-citation.json" }</w:instrText>
      </w:r>
      <w:r w:rsidR="00373AD0">
        <w:fldChar w:fldCharType="separate"/>
      </w:r>
      <w:r w:rsidR="00373AD0" w:rsidRPr="006F6178">
        <w:rPr>
          <w:noProof/>
        </w:rPr>
        <w:t>(Astariz, Vazquez, Iglesias, &amp; Vazquez, 2015; McAlister, 2012)</w:t>
      </w:r>
      <w:r w:rsidR="00373AD0">
        <w:fldChar w:fldCharType="end"/>
      </w:r>
      <w:r w:rsidR="00373AD0">
        <w:t xml:space="preserve">.  </w:t>
      </w:r>
    </w:p>
    <w:p w14:paraId="628CB521" w14:textId="7F428EC3" w:rsidR="00373AD0" w:rsidRDefault="00373AD0" w:rsidP="00373AD0">
      <w:r>
        <w:t xml:space="preserve">Figure 6 presents </w:t>
      </w:r>
      <w:r w:rsidR="004272F1">
        <w:t xml:space="preserve">an </w:t>
      </w:r>
      <w:r>
        <w:t>overview of total installed capacity of</w:t>
      </w:r>
      <w:r w:rsidR="004B782B">
        <w:t xml:space="preserve"> WPG</w:t>
      </w:r>
      <w:r>
        <w:t xml:space="preserve">. The graphs inclination suggests a parabolic trend, indicating increased utilisation of WPG regardless of </w:t>
      </w:r>
      <w:r w:rsidR="004272F1">
        <w:t xml:space="preserve">related </w:t>
      </w:r>
      <w:r w:rsidR="00F6176D">
        <w:t>detriments,</w:t>
      </w:r>
      <w:r>
        <w:t xml:space="preserve"> as they are incomparable to those of alternate EGTs (e.g. fossil fuels). </w:t>
      </w:r>
    </w:p>
    <w:p w14:paraId="4B0D9C43" w14:textId="77777777" w:rsidR="00373AD0" w:rsidRDefault="00373AD0" w:rsidP="00373AD0">
      <w:pPr>
        <w:keepNext/>
        <w:jc w:val="center"/>
      </w:pPr>
      <w:r>
        <w:rPr>
          <w:noProof/>
          <w:lang w:eastAsia="en-GB"/>
        </w:rPr>
        <w:drawing>
          <wp:inline distT="0" distB="0" distL="0" distR="0" wp14:anchorId="38C22840" wp14:editId="0B8EEAC8">
            <wp:extent cx="5722620" cy="251991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6">
                      <a:extLst>
                        <a:ext uri="{28A0092B-C50C-407E-A947-70E740481C1C}">
                          <a14:useLocalDpi xmlns:a14="http://schemas.microsoft.com/office/drawing/2010/main" val="0"/>
                        </a:ext>
                      </a:extLst>
                    </a:blip>
                    <a:srcRect b="9687"/>
                    <a:stretch/>
                  </pic:blipFill>
                  <pic:spPr bwMode="auto">
                    <a:xfrm>
                      <a:off x="0" y="0"/>
                      <a:ext cx="5722620" cy="2519916"/>
                    </a:xfrm>
                    <a:prstGeom prst="rect">
                      <a:avLst/>
                    </a:prstGeom>
                    <a:noFill/>
                    <a:ln>
                      <a:noFill/>
                    </a:ln>
                    <a:extLst>
                      <a:ext uri="{53640926-AAD7-44D8-BBD7-CCE9431645EC}">
                        <a14:shadowObscured xmlns:a14="http://schemas.microsoft.com/office/drawing/2010/main"/>
                      </a:ext>
                    </a:extLst>
                  </pic:spPr>
                </pic:pic>
              </a:graphicData>
            </a:graphic>
          </wp:inline>
        </w:drawing>
      </w:r>
    </w:p>
    <w:p w14:paraId="3745D8CE" w14:textId="56B225E2" w:rsidR="00373AD0" w:rsidRPr="003D118D" w:rsidRDefault="00373AD0" w:rsidP="00157AF8">
      <w:pPr>
        <w:pStyle w:val="Bildetekst"/>
      </w:pPr>
      <w:bookmarkStart w:id="15" w:name="_Toc505794505"/>
      <w:bookmarkStart w:id="16" w:name="_Toc506305249"/>
      <w:r w:rsidRPr="009F51A1">
        <w:t xml:space="preserve">Figure </w:t>
      </w:r>
      <w:r w:rsidR="00B10DCD">
        <w:fldChar w:fldCharType="begin"/>
      </w:r>
      <w:r w:rsidR="00B10DCD">
        <w:instrText xml:space="preserve"> SEQ Figure \* ARABIC </w:instrText>
      </w:r>
      <w:r w:rsidR="00B10DCD">
        <w:fldChar w:fldCharType="separate"/>
      </w:r>
      <w:r w:rsidR="00A76550">
        <w:rPr>
          <w:noProof/>
        </w:rPr>
        <w:t>6</w:t>
      </w:r>
      <w:r w:rsidR="00B10DCD">
        <w:rPr>
          <w:noProof/>
        </w:rPr>
        <w:fldChar w:fldCharType="end"/>
      </w:r>
      <w:r w:rsidRPr="009F51A1">
        <w:t xml:space="preserve">: Total installed capacity of wind generators in the world </w:t>
      </w:r>
      <w:r w:rsidRPr="009F51A1">
        <w:fldChar w:fldCharType="begin" w:fldLock="1"/>
      </w:r>
      <w:r w:rsidRPr="009F51A1">
        <w:instrText>ADDIN CSL_CITATION { "citationItems" : [ { "id" : "ITEM-1", "itemData" : { "DOI" : "10.1016/j.enconman.2014.08.037", "abstract" : "a b s t r a c t This paper gives a comprehensive review of the state of the art of wind energy conversion systems (WECS) and technologies, with an emphasis on wind power generator and control. First, different types of common WECSs are classified according to their features and drive train types. The WECSs are com-pared on the basis of the volume, weight, cost, efficiency, system reliability and fault ride through capa-bility. The maximum power point tracking (MPPT) control, which aims to make the generator speed meet an optimum value to ensure the maximum energy yield, plays a key role in the variable speed WECSs. A comprehensive review and comparison of the four most popular MPPT control methods are carried out and improvements for each method are presented. Furthermore, the latest development of wind energy conversion technologies is introduced, such as the brushless doubly fed induction generator (BDFIG), the stator permanent magnet synchronous generators, the magnetic-geared generators, dual power flow WECS with the electrical variable transmission (EVT) machine, and direct grid-connected WECS. Finally, the future trends of the technologies are discussed.", "author" : [ { "dropping-particle" : "", "family" : "Cheng", "given" : "Ming", "non-dropping-particle" : "", "parse-names" : false, "suffix" : "" }, { "dropping-particle" : "", "family" : "Zhu", "given" : "Ying", "non-dropping-particle" : "", "parse-names" : false, "suffix" : "" } ], "container-title" : "Energy Conversion and Management", "id" : "ITEM-1", "issued" : { "date-parts" : [ [ "2014" ] ] }, "page" : "332-347", "title" : "The state of the art of wind energy conversion systems and technologies: A review", "type" : "article-journal", "volume" : "88" }, "uris" : [ "http://www.mendeley.com/documents/?uuid=b984f011-55ae-3d3d-a2cc-0544560851f0" ] } ], "mendeley" : { "formattedCitation" : "(M. Cheng &amp; Zhu, 2014)", "plainTextFormattedCitation" : "(M. Cheng &amp; Zhu, 2014)", "previouslyFormattedCitation" : "(M. Cheng &amp; Zhu, 2014)" }, "properties" : {  }, "schema" : "https://github.com/citation-style-language/schema/raw/master/csl-citation.json" }</w:instrText>
      </w:r>
      <w:r w:rsidRPr="009F51A1">
        <w:fldChar w:fldCharType="separate"/>
      </w:r>
      <w:r w:rsidRPr="009F51A1">
        <w:rPr>
          <w:noProof/>
        </w:rPr>
        <w:t>(M. Cheng &amp; Zhu, 2014)</w:t>
      </w:r>
      <w:bookmarkEnd w:id="15"/>
      <w:bookmarkEnd w:id="16"/>
      <w:r w:rsidRPr="009F51A1">
        <w:fldChar w:fldCharType="end"/>
      </w:r>
    </w:p>
    <w:p w14:paraId="0D9B2584" w14:textId="31881215" w:rsidR="00373AD0" w:rsidRPr="00F60722" w:rsidRDefault="004272F1" w:rsidP="00373AD0">
      <w:r>
        <w:lastRenderedPageBreak/>
        <w:t>Figure 7 depicts an</w:t>
      </w:r>
      <w:r w:rsidR="00373AD0">
        <w:t xml:space="preserve"> overview of</w:t>
      </w:r>
      <w:r w:rsidR="004B782B">
        <w:t xml:space="preserve"> power generation capacity. WPG</w:t>
      </w:r>
      <w:r w:rsidR="00373AD0">
        <w:t>, when compared to alternate solutions, ranks high in the bottom half of deployed energy systems in terms of capacity factor, indicating improvement requirement relative to nuclear (60-100%).</w:t>
      </w:r>
    </w:p>
    <w:p w14:paraId="13FAE1CB" w14:textId="77777777" w:rsidR="00373AD0" w:rsidRDefault="00373AD0" w:rsidP="00373AD0">
      <w:pPr>
        <w:keepNext/>
      </w:pPr>
      <w:r>
        <w:rPr>
          <w:noProof/>
          <w:lang w:eastAsia="en-GB"/>
        </w:rPr>
        <w:drawing>
          <wp:inline distT="0" distB="0" distL="0" distR="0" wp14:anchorId="04D1B1BC" wp14:editId="7B9C19D0">
            <wp:extent cx="4981575" cy="2265680"/>
            <wp:effectExtent l="0" t="0" r="9525"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981575" cy="2265680"/>
                    </a:xfrm>
                    <a:prstGeom prst="rect">
                      <a:avLst/>
                    </a:prstGeom>
                    <a:noFill/>
                    <a:ln>
                      <a:noFill/>
                    </a:ln>
                  </pic:spPr>
                </pic:pic>
              </a:graphicData>
            </a:graphic>
          </wp:inline>
        </w:drawing>
      </w:r>
    </w:p>
    <w:p w14:paraId="1AB4DC00" w14:textId="73839A05" w:rsidR="00373AD0" w:rsidRPr="009F51A1" w:rsidRDefault="00373AD0" w:rsidP="009F51A1">
      <w:pPr>
        <w:pStyle w:val="Bildetekst"/>
      </w:pPr>
      <w:bookmarkStart w:id="17" w:name="_Toc505794506"/>
      <w:bookmarkStart w:id="18" w:name="_Toc506305250"/>
      <w:r w:rsidRPr="009F51A1">
        <w:t xml:space="preserve">Figure </w:t>
      </w:r>
      <w:r w:rsidR="00B10DCD">
        <w:fldChar w:fldCharType="begin"/>
      </w:r>
      <w:r w:rsidR="00B10DCD">
        <w:instrText xml:space="preserve"> SEQ Figure \* ARABIC </w:instrText>
      </w:r>
      <w:r w:rsidR="00B10DCD">
        <w:fldChar w:fldCharType="separate"/>
      </w:r>
      <w:r w:rsidR="00A76550">
        <w:rPr>
          <w:noProof/>
        </w:rPr>
        <w:t>7</w:t>
      </w:r>
      <w:r w:rsidR="00B10DCD">
        <w:rPr>
          <w:noProof/>
        </w:rPr>
        <w:fldChar w:fldCharType="end"/>
      </w:r>
      <w:r w:rsidRPr="009F51A1">
        <w:t xml:space="preserve">:Typical capacity factors for power generation </w:t>
      </w:r>
      <w:r w:rsidRPr="009F51A1">
        <w:fldChar w:fldCharType="begin" w:fldLock="1"/>
      </w:r>
      <w:r w:rsidRPr="009F51A1">
        <w:instrText>ADDIN CSL_CITATION { "citationItems" : [ { "id" : "ITEM-1", "itemData" : { "DOI" : "10.1016/j.jclepro.2018.01.262", "abstract" : "Climate change and energy security have emerged as the biggest concerns of the present century. Renewable energy sources are not continuous, dependent upon geographical location as well as climatic conditions, and require a very large land footprint. Future of nuclear energy is also uncertain because of public apprehensions and subsequent government policies. To overcome the issues derailing these two virtually carbon-free energy sources, a new hybrid or integrated nuclear-renewable energy system is being proposed and seen as an attractive option. Such integrated energy systems are conceived as a nuclear power reactor coupled with renewable energy generation and industrial processes that may simultaneously tackle the concerns regarding grid flexibility, climate change, energy security, optimal return on invested capital, and settling public concerns. Apart from highlighting the key challenges associated with nuclear energy and renewable energy sources while operating as an independent power generation system, the present paper delineates the various aspects associated with integrated nuclear-renewable energy systems. It may be speculated that integrating nuclear energy and renewable energy into a single hybrid energy system, coupled through informatics linkages, would enable to overcome the demerits present while these operate independently.", "author" : [ { "dropping-particle" : "", "family" : "Suman", "given" : "Siddharth", "non-dropping-particle" : "", "parse-names" : false, "suffix" : "" } ], "container-title" : "Journal of Cleaner Production", "id" : "ITEM-1", "issued" : { "date-parts" : [ [ "2018" ] ] }, "title" : "Hybrid Nuclear-Renewable Energy Systems: A Review", "type" : "article-journal" }, "uris" : [ "http://www.mendeley.com/documents/?uuid=1da5f4c1-a3c1-3862-8989-ddea49b825ee" ] } ], "mendeley" : { "formattedCitation" : "(Suman, 2018)", "plainTextFormattedCitation" : "(Suman, 2018)", "previouslyFormattedCitation" : "(Suman, 2018)" }, "properties" : {  }, "schema" : "https://github.com/citation-style-language/schema/raw/master/csl-citation.json" }</w:instrText>
      </w:r>
      <w:r w:rsidRPr="009F51A1">
        <w:fldChar w:fldCharType="separate"/>
      </w:r>
      <w:r w:rsidRPr="009F51A1">
        <w:rPr>
          <w:noProof/>
        </w:rPr>
        <w:t>(Suman, 2018)</w:t>
      </w:r>
      <w:bookmarkEnd w:id="17"/>
      <w:bookmarkEnd w:id="18"/>
      <w:r w:rsidRPr="009F51A1">
        <w:fldChar w:fldCharType="end"/>
      </w:r>
    </w:p>
    <w:p w14:paraId="2768A8C5" w14:textId="77777777" w:rsidR="00373AD0" w:rsidRPr="00FC1E32" w:rsidRDefault="00373AD0" w:rsidP="00373AD0">
      <w:pPr>
        <w:pStyle w:val="Overskrift3"/>
      </w:pPr>
      <w:bookmarkStart w:id="19" w:name="_Toc505793555"/>
      <w:bookmarkStart w:id="20" w:name="_Toc506308000"/>
      <w:r>
        <w:t>2.1.1 Onshore Wind</w:t>
      </w:r>
      <w:bookmarkEnd w:id="19"/>
      <w:bookmarkEnd w:id="20"/>
      <w:r>
        <w:t xml:space="preserve"> </w:t>
      </w:r>
    </w:p>
    <w:p w14:paraId="751F4CF4" w14:textId="450FF73A" w:rsidR="00373AD0" w:rsidRDefault="00373AD0" w:rsidP="00373AD0">
      <w:r>
        <w:t>Onshore wind power production entails power generation by wind turbines on land. W</w:t>
      </w:r>
      <w:r w:rsidR="004272F1">
        <w:t>orldwide</w:t>
      </w:r>
      <w:r>
        <w:t xml:space="preserve"> it is </w:t>
      </w:r>
      <w:r w:rsidR="004B782B">
        <w:t>one of the top rated</w:t>
      </w:r>
      <w:r>
        <w:t xml:space="preserve"> sustainable power sources with terrestrial resource characterisations estimating the extractable resource to be in the proximity of 560 PWh </w:t>
      </w:r>
      <w:r>
        <w:fldChar w:fldCharType="begin" w:fldLock="1"/>
      </w:r>
      <w:r>
        <w:instrText>ADDIN CSL_CITATION { "citationItems" : [ { "id" : "ITEM-1", "itemData" : { "author" : [ { "dropping-particle" : "", "family" : "Eurek", "given" : "Kelly", "non-dropping-particle" : "", "parse-names" : false, "suffix" : "" }, { "dropping-particle" : "", "family" : "Sullivan", "given" : "Patrick", "non-dropping-particle" : "", "parse-names" : false, "suffix" : "" }, { "dropping-particle" : "", "family" : "Gleason", "given" : "Michael", "non-dropping-particle" : "", "parse-names" : false, "suffix" : "" }, { "dropping-particle" : "", "family" : "Hettinger", "given" : "Dylan", "non-dropping-particle" : "", "parse-names" : false, "suffix" : "" }, { "dropping-particle" : "", "family" : "Heimiller", "given" : "Donna", "non-dropping-particle" : "", "parse-names" : false, "suffix" : "" }, { "dropping-particle" : "", "family" : "Lopez", "given" : "Anthony", "non-dropping-particle" : "", "parse-names" : false, "suffix" : "" } ], "id" : "ITEM-1", "issued" : { "date-parts" : [ [ "2017" ] ] }, "title" : "An Improved Global Wind Resource Estimate for Integrated Assessment Models: Preprint", "type" : "article-journal" }, "uris" : [ "http://www.mendeley.com/documents/?uuid=f58fea1a-e550-3e56-8b5e-dcc02e042db5" ] } ], "mendeley" : { "formattedCitation" : "(Eurek et al., 2017)", "plainTextFormattedCitation" : "(Eurek et al., 2017)", "previouslyFormattedCitation" : "(Eurek et al., 2017)" }, "properties" : {  }, "schema" : "https://github.com/citation-style-language/schema/raw/master/csl-citation.json" }</w:instrText>
      </w:r>
      <w:r>
        <w:fldChar w:fldCharType="separate"/>
      </w:r>
      <w:r w:rsidRPr="0084155E">
        <w:rPr>
          <w:noProof/>
        </w:rPr>
        <w:t>(Eurek et al., 2017)</w:t>
      </w:r>
      <w:r>
        <w:fldChar w:fldCharType="end"/>
      </w:r>
      <w:r>
        <w:t>. Although the potential is sizeable, barriers for exploitation has been encountered, amongst others, in the form of NYMBISM, imminent and long term environmental impact, intermittency in power supply incompatible with peak demand and low quality potential</w:t>
      </w:r>
      <w:r w:rsidR="00866AF6">
        <w:t xml:space="preserve"> due to the built environments interference</w:t>
      </w:r>
      <w:r>
        <w:t xml:space="preserve"> </w:t>
      </w:r>
      <w:r>
        <w:fldChar w:fldCharType="begin" w:fldLock="1"/>
      </w:r>
      <w:r>
        <w:instrText>ADDIN CSL_CITATION { "citationItems" : [ { "id" : "ITEM-1", "itemData" : { "DOI" : "10.1016/j.rser.2016.10.038", "abstract" : "A minor deviation in wind speed causes large deviation in the output power of wind turbine because of cubic bond association between these two parameters. Therefore, a precise assessment of wind resource over any site is considered of paramount significance. The investigations associated with the wind resource assessment have been proved of immense help for installation of different wind energy technologies such as nano, micro, small, medium, and large scale for wind energy generation. In order to provide a detailed information regarding the research in wind resource assessment a comprehensive literature review encompassing the different techniques, methodologies involved in development of wind power projects, and uncertainties associated with wind resource assessment as well as the preliminary assessment methodologies have been presented in this work. The advanced computational models namely wind atlas analysis and program, WindPro, computational fluid dynamics, and geographical information system are most frequently used software tools for mapping, modelling and annual energy estimation for a single or multiple wind turbines by considering the local conditions such as topography, surrounding obstacles, orography, and surface roughness based on the on-site measurements for a particular site. In addition, the statistical methods for short and long term data analysis, vertical wind speed profile, numerical weather prediction models, optimization of existing wind resource, and scope of hybrid wind energy systems have been delineated in this paper. Furthermore, current review presents a complete approach with reference to all the facets of the present status of research in the area of wind resource assessment worldwide.", "author" : [ { "dropping-particle" : "", "family" : "Murthy", "given" : "K S R", "non-dropping-particle" : "", "parse-names" : false, "suffix" : "" }, { "dropping-particle" : "", "family" : "Rahi", "given" : "O P", "non-dropping-particle" : "", "parse-names" : false, "suffix" : "" } ], "id" : "ITEM-1", "issued" : { "date-parts" : [ [ "2017" ] ] }, "title" : "A comprehensive review of wind resource assessment", "type" : "article-journal" }, "uris" : [ "http://www.mendeley.com/documents/?uuid=63956b75-e9b9-37ed-87ce-6074f6f7bebc" ] } ], "mendeley" : { "formattedCitation" : "(Murthy &amp; Rahi, 2017)", "plainTextFormattedCitation" : "(Murthy &amp; Rahi, 2017)", "previouslyFormattedCitation" : "(Murthy &amp; Rahi, 2017)" }, "properties" : {  }, "schema" : "https://github.com/citation-style-language/schema/raw/master/csl-citation.json" }</w:instrText>
      </w:r>
      <w:r>
        <w:fldChar w:fldCharType="separate"/>
      </w:r>
      <w:r w:rsidRPr="00C579EB">
        <w:rPr>
          <w:noProof/>
        </w:rPr>
        <w:t>(Murthy &amp; Rahi, 2017)</w:t>
      </w:r>
      <w:r>
        <w:fldChar w:fldCharType="end"/>
      </w:r>
      <w:r>
        <w:t xml:space="preserve">.  </w:t>
      </w:r>
    </w:p>
    <w:p w14:paraId="4CD8201B" w14:textId="77777777" w:rsidR="00373AD0" w:rsidRDefault="00373AD0" w:rsidP="00373AD0">
      <w:pPr>
        <w:pStyle w:val="Overskrift3"/>
      </w:pPr>
      <w:bookmarkStart w:id="21" w:name="_Toc505793556"/>
      <w:bookmarkStart w:id="22" w:name="_Toc506308001"/>
      <w:r>
        <w:t>2.1.2 Offshore Wind</w:t>
      </w:r>
      <w:bookmarkEnd w:id="21"/>
      <w:bookmarkEnd w:id="22"/>
      <w:r>
        <w:t xml:space="preserve"> </w:t>
      </w:r>
    </w:p>
    <w:p w14:paraId="1A548234" w14:textId="77777777" w:rsidR="00373AD0" w:rsidRPr="0037349D" w:rsidRDefault="00373AD0" w:rsidP="00373AD0">
      <w:r>
        <w:t xml:space="preserve">Offshore wind entails power generation in marine environments across the world. This technology has recently seen a spike in its development due to several major actors in the oil and gas industry pivoting towards sustainable energy systems as incentivised by policy </w:t>
      </w:r>
      <w:r>
        <w:fldChar w:fldCharType="begin" w:fldLock="1"/>
      </w:r>
      <w:r>
        <w:instrText>ADDIN CSL_CITATION { "citationItems" : [ { "id" : "ITEM-1", "itemData" : { "abstract" : "All the tables and charts found in the latest printed edition are available at bp.com/statisticalreview plus a number of extras, including: \u2022 The energy charting tool \u2013 view predetermined reports or chart specific data according to energy type, region, country and year. \u2022 Historical data from 1965 for many sections. \u2022 Additional data for refined oil production demand, natural gas, coal, hydroelectricity, nuclear energy and renewables. \u2022 PDF versions and PowerPoint slide packs of the charts, maps and graphs, plus an Excel workbook of the data. Disclaimer The data series for proved oil and gas reserves in BP Statistical Review of World Energy June 2017 does not necessarily meet the definitions, guidelines and practices used for determining proved reserves at company level, for instance, as published by the US Securities and Exchange Commission, nor does it necessarily represent BP's view of proved reserves by country. Rather, the data series has been compiled using a combination of primary official sources and third-party data.", "author" : [ { "dropping-particle" : "", "family" : "BP", "given" : "", "non-dropping-particle" : "", "parse-names" : false, "suffix" : "" } ], "id" : "ITEM-1", "issued" : { "date-parts" : [ [ "2017" ] ] }, "title" : "BP Statistical Review of World Energy 2017", "type" : "report" }, "uris" : [ "http://www.mendeley.com/documents/?uuid=eab0ad45-c8b3-308c-b657-3910e2c7cbb8" ] } ], "mendeley" : { "formattedCitation" : "(BP, 2017)", "plainTextFormattedCitation" : "(BP, 2017)", "previouslyFormattedCitation" : "(BP, 2017)" }, "properties" : {  }, "schema" : "https://github.com/citation-style-language/schema/raw/master/csl-citation.json" }</w:instrText>
      </w:r>
      <w:r>
        <w:fldChar w:fldCharType="separate"/>
      </w:r>
      <w:r w:rsidRPr="007D0BB4">
        <w:rPr>
          <w:noProof/>
        </w:rPr>
        <w:t>(BP, 2017)</w:t>
      </w:r>
      <w:r>
        <w:fldChar w:fldCharType="end"/>
      </w:r>
      <w:r>
        <w:t xml:space="preserve">. Global offshore potential comprise 315 PWh (Petawatt hours), out of which the UK has developed 1.5 GW (under construction), and with 5GW of pipelined projects (confirmed with government support), offshore wind is propagating UK towards its sustainability goals </w:t>
      </w:r>
      <w:r>
        <w:fldChar w:fldCharType="begin" w:fldLock="1"/>
      </w:r>
      <w:r>
        <w:instrText>ADDIN CSL_CITATION { "citationItems" : [ { "id" : "ITEM-1", "itemData" : { "author" : [ { "dropping-particle" : "", "family" : "Crown Estate", "given" : "", "non-dropping-particle" : "", "parse-names" : false, "suffix" : "" } ], "id" : "ITEM-1", "issued" : { "date-parts" : [ [ "2015" ] ] }, "publisher-place" : "London", "title" : "Offshore wind operational report", "type" : "report" }, "uris" : [ "http://www.mendeley.com/documents/?uuid=e48c54a0-33dd-3ea6-a769-4f95eeca2ec0" ] } ], "mendeley" : { "formattedCitation" : "(Crown Estate, 2015)", "plainTextFormattedCitation" : "(Crown Estate, 2015)", "previouslyFormattedCitation" : "(Crown Estate, 2015)" }, "properties" : {  }, "schema" : "https://github.com/citation-style-language/schema/raw/master/csl-citation.json" }</w:instrText>
      </w:r>
      <w:r>
        <w:fldChar w:fldCharType="separate"/>
      </w:r>
      <w:r w:rsidRPr="00871E48">
        <w:rPr>
          <w:noProof/>
        </w:rPr>
        <w:t>(Crown Estate, 2015)</w:t>
      </w:r>
      <w:r>
        <w:fldChar w:fldCharType="end"/>
      </w:r>
      <w:r>
        <w:t xml:space="preserve">. Although both aforementioned technologies are of limited in terms of resource potential, intermittent in supply and therefore storage dependent; they both comprise low environmental impact due to their location of deployment, especially offshore, where floating turbines (Commercialised and deployed </w:t>
      </w:r>
      <w:r>
        <w:lastRenderedPageBreak/>
        <w:t xml:space="preserve">with Statoil AS pilot project Hywind, Scotland) are now being deployed to exploit more energy dense resources in locations </w:t>
      </w:r>
      <w:r>
        <w:fldChar w:fldCharType="begin" w:fldLock="1"/>
      </w:r>
      <w:r>
        <w:instrText>ADDIN CSL_CITATION { "citationItems" : [ { "id" : "ITEM-1", "itemData" : { "author" : [ { "dropping-particle" : "", "family" : "Statoil", "given" : "", "non-dropping-particle" : "", "parse-names" : false, "suffix" : "" } ], "id" : "ITEM-1", "issued" : { "date-parts" : [ [ "2017" ] ] }, "title" : "Hywind Scotland", "type" : "report" }, "uris" : [ "http://www.mendeley.com/documents/?uuid=ef2e04ac-e16b-3365-b4fa-f4e38665a7b2" ] } ], "mendeley" : { "formattedCitation" : "(Statoil, 2017)", "plainTextFormattedCitation" : "(Statoil, 2017)", "previouslyFormattedCitation" : "(Statoil, 2017)" }, "properties" : {  }, "schema" : "https://github.com/citation-style-language/schema/raw/master/csl-citation.json" }</w:instrText>
      </w:r>
      <w:r>
        <w:fldChar w:fldCharType="separate"/>
      </w:r>
      <w:r w:rsidRPr="00431B89">
        <w:rPr>
          <w:noProof/>
        </w:rPr>
        <w:t>(Statoil, 2017)</w:t>
      </w:r>
      <w:r>
        <w:fldChar w:fldCharType="end"/>
      </w:r>
      <w:r>
        <w:t xml:space="preserve">.  </w:t>
      </w:r>
    </w:p>
    <w:p w14:paraId="3713C8ED" w14:textId="7AC9F085" w:rsidR="00373AD0" w:rsidRDefault="00373AD0" w:rsidP="00373AD0">
      <w:pPr>
        <w:pStyle w:val="Overskrift2"/>
      </w:pPr>
      <w:bookmarkStart w:id="23" w:name="_Toc505793557"/>
      <w:bookmarkStart w:id="24" w:name="_Toc506308002"/>
      <w:r>
        <w:t>2.2 Nuclear Power Generation</w:t>
      </w:r>
      <w:bookmarkEnd w:id="23"/>
      <w:r>
        <w:t xml:space="preserve"> </w:t>
      </w:r>
      <w:bookmarkEnd w:id="24"/>
    </w:p>
    <w:p w14:paraId="0D10033E" w14:textId="15D96E2D" w:rsidR="00373AD0" w:rsidRDefault="00373AD0" w:rsidP="00373AD0">
      <w:r>
        <w:t xml:space="preserve">Nuclear energy generation commonly refers to generation plants expending radioactive fuel sources, and through the evaporation of water heated from the exothermic reaction, which is passed through a turbine, thereby generates electricity. With half of its capacity estimated to be retired by 2025, per 2017, UK maintains 16 operational reactors responsible for generating approximately 21% of electricity demand </w:t>
      </w:r>
      <w:r>
        <w:fldChar w:fldCharType="begin" w:fldLock="1"/>
      </w:r>
      <w:r>
        <w:instrText>ADDIN CSL_CITATION { "citationItems" : [ { "id" : "ITEM-1", "itemData" : { "URL" : "http://www.world-nuclear.org/information-library/country-profiles/countries-t-z/united-kingdom.aspx", "accessed" : { "date-parts" : [ [ "2018", "2", "5" ] ] }, "author" : [ { "dropping-particle" : "", "family" : "world-nuclear.org", "given" : "", "non-dropping-particle" : "", "parse-names" : false, "suffix" : "" } ], "id" : "ITEM-1", "issued" : { "date-parts" : [ [ "2017" ] ] }, "title" : "Nuclear Power in the United Kingdom", "type" : "webpage" }, "uris" : [ "http://www.mendeley.com/documents/?uuid=660bdab3-27fd-3b1b-93b1-9228572455b3" ] } ], "mendeley" : { "formattedCitation" : "(world-nuclear.org, 2017)", "plainTextFormattedCitation" : "(world-nuclear.org, 2017)", "previouslyFormattedCitation" : "(world-nuclear.org, 2017)" }, "properties" : {  }, "schema" : "https://github.com/citation-style-language/schema/raw/master/csl-citation.json" }</w:instrText>
      </w:r>
      <w:r>
        <w:fldChar w:fldCharType="separate"/>
      </w:r>
      <w:r w:rsidRPr="00804C4D">
        <w:rPr>
          <w:noProof/>
        </w:rPr>
        <w:t>(world-nuclear.org, 2017)</w:t>
      </w:r>
      <w:r>
        <w:fldChar w:fldCharType="end"/>
      </w:r>
      <w:r>
        <w:t>. Furthermore</w:t>
      </w:r>
      <w:r w:rsidR="0024428D">
        <w:t>,</w:t>
      </w:r>
      <w:r>
        <w:t xml:space="preserve"> the UK Government estimates an approximate addition of</w:t>
      </w:r>
      <w:r w:rsidR="003163A3">
        <w:t xml:space="preserve"> 16GW to the national grid to be</w:t>
      </w:r>
      <w:r>
        <w:t xml:space="preserve"> operational within 2030</w:t>
      </w:r>
      <w:r w:rsidR="003163A3">
        <w:t xml:space="preserve"> with no restrictions on foreign equity</w:t>
      </w:r>
      <w:r>
        <w:t xml:space="preserve"> </w:t>
      </w:r>
      <w:r>
        <w:fldChar w:fldCharType="begin" w:fldLock="1"/>
      </w:r>
      <w:r>
        <w:instrText>ADDIN CSL_CITATION { "citationItems" : [ { "id" : "ITEM-1", "itemData" : { "author" : [ { "dropping-particle" : "", "family" : "Infrastructure and Projects Authority", "given" : "", "non-dropping-particle" : "", "parse-names" : false, "suffix" : "" } ], "id" : "ITEM-1", "issued" : { "date-parts" : [ [ "2017" ] ] }, "title" : "Analysis of the National Infrastructure and Construction Pipeline", "type" : "article-journal" }, "uris" : [ "http://www.mendeley.com/documents/?uuid=c573cc96-5a00-387a-b6e8-c205fecd068c" ] }, { "id" : "ITEM-2", "itemData" : { "URL" : "http://www.world-nuclear.org/information-library/country-profiles/countries-t-z/united-kingdom.aspx", "accessed" : { "date-parts" : [ [ "2018", "2", "5" ] ] }, "author" : [ { "dropping-particle" : "", "family" : "world-nuclear.org", "given" : "", "non-dropping-particle" : "", "parse-names" : false, "suffix" : "" } ], "id" : "ITEM-2", "issued" : { "date-parts" : [ [ "2017" ] ] }, "title" : "Nuclear Power in the United Kingdom", "type" : "webpage" }, "uris" : [ "http://www.mendeley.com/documents/?uuid=660bdab3-27fd-3b1b-93b1-9228572455b3" ] } ], "mendeley" : { "formattedCitation" : "(Infrastructure and Projects Authority, 2017; world-nuclear.org, 2017)", "plainTextFormattedCitation" : "(Infrastructure and Projects Authority, 2017; world-nuclear.org, 2017)", "previouslyFormattedCitation" : "(Infrastructure and Projects Authority, 2017; world-nuclear.org, 2017)" }, "properties" : {  }, "schema" : "https://github.com/citation-style-language/schema/raw/master/csl-citation.json" }</w:instrText>
      </w:r>
      <w:r>
        <w:fldChar w:fldCharType="separate"/>
      </w:r>
      <w:r w:rsidRPr="00B537D1">
        <w:rPr>
          <w:noProof/>
        </w:rPr>
        <w:t>(Infrastructure and Projects Authority, 2017; world-nuclear.org, 2017)</w:t>
      </w:r>
      <w:r>
        <w:fldChar w:fldCharType="end"/>
      </w:r>
      <w:r>
        <w:t>.</w:t>
      </w:r>
    </w:p>
    <w:p w14:paraId="3A591E84" w14:textId="05F19504" w:rsidR="00373AD0" w:rsidRDefault="00373AD0" w:rsidP="00373AD0">
      <w:r>
        <w:t>Different fuel types are incorporated into the nuclear fuel process, and different reactor types are suited respectively to each</w:t>
      </w:r>
      <w:r w:rsidR="003163A3">
        <w:t xml:space="preserve"> type</w:t>
      </w:r>
      <w:r>
        <w:t xml:space="preserve">. Out of the 15 operational plants operating in the UK, 14 are of the advanced gas-cooled reactor (ARG), whereas one Magnox reactor remains, both of which are referred to as ‘peculiar British designs’ </w:t>
      </w:r>
      <w:r>
        <w:fldChar w:fldCharType="begin" w:fldLock="1"/>
      </w:r>
      <w:r>
        <w:instrText>ADDIN CSL_CITATION { "citationItems" : [ { "id" : "ITEM-1", "itemData" : { "URL" : "http://www.world-nuclear.org/information-library/country-profiles/countries-t-z/united-kingdom.aspx", "accessed" : { "date-parts" : [ [ "2018", "2", "5" ] ] }, "author" : [ { "dropping-particle" : "", "family" : "world-nuclear.org", "given" : "", "non-dropping-particle" : "", "parse-names" : false, "suffix" : "" } ], "id" : "ITEM-1", "issued" : { "date-parts" : [ [ "2017" ] ] }, "title" : "Nuclear Power in the United Kingdom", "type" : "webpage" }, "uris" : [ "http://www.mendeley.com/documents/?uuid=660bdab3-27fd-3b1b-93b1-9228572455b3" ] } ], "mendeley" : { "formattedCitation" : "(world-nuclear.org, 2017)", "manualFormatting" : "(world-nuclear.org, 2017; Raugei and Leccisi, 2016)", "plainTextFormattedCitation" : "(world-nuclear.org, 2017)", "previouslyFormattedCitation" : "(world-nuclear.org, 2017)" }, "properties" : {  }, "schema" : "https://github.com/citation-style-language/schema/raw/master/csl-citation.json" }</w:instrText>
      </w:r>
      <w:r>
        <w:fldChar w:fldCharType="separate"/>
      </w:r>
      <w:r w:rsidRPr="008F3DD2">
        <w:rPr>
          <w:noProof/>
        </w:rPr>
        <w:t>(world-nuclear.org, 2017</w:t>
      </w:r>
      <w:r>
        <w:rPr>
          <w:noProof/>
        </w:rPr>
        <w:t>; Raugei and Leccisi, 2016</w:t>
      </w:r>
      <w:r w:rsidRPr="008F3DD2">
        <w:rPr>
          <w:noProof/>
        </w:rPr>
        <w:t>)</w:t>
      </w:r>
      <w:r>
        <w:fldChar w:fldCharType="end"/>
      </w:r>
      <w:r>
        <w:t xml:space="preserve">.  Thorium, an abundant fissile material, has recently resurfaced after being deemed unfeasible by the US Government, who ended Oakridge National Laboratories research in the field in the 1960s, is now operational with research being undertaken in e.g. Netherlands attempting to develop the technology for  commercial readiness </w:t>
      </w:r>
      <w:r>
        <w:fldChar w:fldCharType="begin" w:fldLock="1"/>
      </w:r>
      <w:r>
        <w:instrText>ADDIN CSL_CITATION { "citationItems" : [ { "id" : "ITEM-1", "itemData" : { "DOI" : "10.1016/j.anucene.2013.08.002", "abstract" : "a b s t r a c t There is currently a renewed interest in molten salt reactors, due to recent conceptual developments on fast neutron spectrum molten salt reactors (MSFRs) using fluoride salts. It has been recognized as a long term alternative to solid-fueled fast neutron systems with a unique potential (large negative temperature and void coefficients, lower fissile inventory, no initial criticality reserve, simplified fuel cycle, wastes reduction etc.) and is thus one of the reference reactors of the Generation IV International Forum. In the MSFR, the liquid fuel processing is part of the reactor where a small side stream of the molten salt is processed for fission product removal and then returned to the reactor. Because of this characteristic, the MSFR can operate with widely varying fuel compositions, so that the MSFR concept may use as initial fissile load, 233 U or enriched uranium or also the transuranic elements currently produced by light water reactors. This paper addresses the characteristics of these different launching modes of the MSFR and the Thorium fuel cycle, in terms of safety, proliferation, breeding, and deployment capacities of these reactor configurations. To illustrate the deployment capacities of the MSFR concept, a French nuclear deployment scenario is finally presented, demonstrating that launching the Thorium fuel cycle is easily feasible while closing the current fuel cycle and optimizing the long-term waste management via stockpile incineration in MSRs.", "author" : [ { "dropping-particle" : "", "family" : "Heuer", "given" : "D", "non-dropping-particle" : "", "parse-names" : false, "suffix" : "" }, { "dropping-particle" : "", "family" : "Merle-Lucotte", "given" : "E", "non-dropping-particle" : "", "parse-names" : false, "suffix" : "" }, { "dropping-particle" : "", "family" : "Allibert", "given" : "M", "non-dropping-particle" : "", "parse-names" : false, "suffix" : "" }, { "dropping-particle" : "", "family" : "Brovchenko", "given" : "M", "non-dropping-particle" : "", "parse-names" : false, "suffix" : "" }, { "dropping-particle" : "", "family" : "Ghetta", "given" : "V", "non-dropping-particle" : "", "parse-names" : false, "suffix" : "" }, { "dropping-particle" : "", "family" : "Rubiolo", "given" : "P", "non-dropping-particle" : "", "parse-names" : false, "suffix" : "" } ], "container-title" : "Annals of Nuclear Energy", "id" : "ITEM-1", "issued" : { "date-parts" : [ [ "2014" ] ] }, "page" : "421-429", "title" : "Towards the thorium fuel cycle with molten salt fast reactors", "type" : "article-journal", "volume" : "64" }, "uris" : [ "http://www.mendeley.com/documents/?uuid=4cd3d2f0-2de0-350f-8f47-04f364261fda" ] } ], "mendeley" : { "formattedCitation" : "(Heuer et al., 2014)", "plainTextFormattedCitation" : "(Heuer et al., 2014)", "previouslyFormattedCitation" : "(Heuer et al., 2014)" }, "properties" : {  }, "schema" : "https://github.com/citation-style-language/schema/raw/master/csl-citation.json" }</w:instrText>
      </w:r>
      <w:r>
        <w:fldChar w:fldCharType="separate"/>
      </w:r>
      <w:r w:rsidRPr="008F3DD2">
        <w:rPr>
          <w:noProof/>
        </w:rPr>
        <w:t>(Heuer et al., 2014)</w:t>
      </w:r>
      <w:r>
        <w:fldChar w:fldCharType="end"/>
      </w:r>
      <w:r>
        <w:t xml:space="preserve">. </w:t>
      </w:r>
    </w:p>
    <w:p w14:paraId="07F48240" w14:textId="77777777" w:rsidR="00373AD0" w:rsidRDefault="00373AD0" w:rsidP="00373AD0">
      <w:pPr>
        <w:pStyle w:val="Overskrift3"/>
      </w:pPr>
      <w:bookmarkStart w:id="25" w:name="_Toc505793558"/>
      <w:bookmarkStart w:id="26" w:name="_Toc506308003"/>
      <w:r>
        <w:lastRenderedPageBreak/>
        <w:t>2.2.1 Advanced gas-cooled reactor (AGR)</w:t>
      </w:r>
      <w:bookmarkEnd w:id="25"/>
      <w:bookmarkEnd w:id="26"/>
    </w:p>
    <w:p w14:paraId="4A3591FD" w14:textId="2310AFFF" w:rsidR="00373AD0" w:rsidRDefault="00373AD0" w:rsidP="00373AD0">
      <w:r>
        <w:rPr>
          <w:noProof/>
          <w:lang w:eastAsia="en-GB"/>
        </w:rPr>
        <w:drawing>
          <wp:anchor distT="0" distB="0" distL="114300" distR="114300" simplePos="0" relativeHeight="251666432" behindDoc="0" locked="0" layoutInCell="1" allowOverlap="1" wp14:anchorId="2E973A53" wp14:editId="7AA53C12">
            <wp:simplePos x="0" y="0"/>
            <wp:positionH relativeFrom="margin">
              <wp:align>right</wp:align>
            </wp:positionH>
            <wp:positionV relativeFrom="paragraph">
              <wp:posOffset>1909883</wp:posOffset>
            </wp:positionV>
            <wp:extent cx="5601970" cy="3931920"/>
            <wp:effectExtent l="0" t="0" r="0" b="0"/>
            <wp:wrapSquare wrapText="bothSides"/>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8">
                      <a:extLst>
                        <a:ext uri="{28A0092B-C50C-407E-A947-70E740481C1C}">
                          <a14:useLocalDpi xmlns:a14="http://schemas.microsoft.com/office/drawing/2010/main" val="0"/>
                        </a:ext>
                      </a:extLst>
                    </a:blip>
                    <a:srcRect r="1181"/>
                    <a:stretch/>
                  </pic:blipFill>
                  <pic:spPr bwMode="auto">
                    <a:xfrm>
                      <a:off x="0" y="0"/>
                      <a:ext cx="5601970" cy="39319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t>Utilised predominantly in the UK, AGR reactor types (figure 8) utilises enriched uranium oxide composites as fuel, and operates at a burnup rate of 18,000 MW</w:t>
      </w:r>
      <w:r>
        <w:rPr>
          <w:vertAlign w:val="subscript"/>
        </w:rPr>
        <w:t>t-</w:t>
      </w:r>
      <w:r>
        <w:t xml:space="preserve">days per tonne of fuel </w:t>
      </w:r>
      <w:r>
        <w:fldChar w:fldCharType="begin" w:fldLock="1"/>
      </w:r>
      <w:r>
        <w:instrText>ADDIN CSL_CITATION { "citationItems" : [ { "id" : "ITEM-1", "itemData" : { "author" : [ { "dropping-particle" : "", "family" : "Mckeen", "given" : "Tim", "non-dropping-particle" : "", "parse-names" : false, "suffix" : "" } ], "id" : "ITEM-1", "issued" : { "date-parts" : [ [ "2011" ] ] }, "title" : "ADVANCED GAS COOLED REACTORS", "type" : "article-journal" }, "uris" : [ "http://www.mendeley.com/documents/?uuid=a3f63a09-1cac-3d95-ba68-9e9bfdd62075" ] } ], "mendeley" : { "formattedCitation" : "(Mckeen, 2011)", "plainTextFormattedCitation" : "(Mckeen, 2011)", "previouslyFormattedCitation" : "(Mckeen, 2011)" }, "properties" : {  }, "schema" : "https://github.com/citation-style-language/schema/raw/master/csl-citation.json" }</w:instrText>
      </w:r>
      <w:r>
        <w:fldChar w:fldCharType="separate"/>
      </w:r>
      <w:r w:rsidRPr="00082092">
        <w:rPr>
          <w:noProof/>
        </w:rPr>
        <w:t>(Mckeen, 2011)</w:t>
      </w:r>
      <w:r>
        <w:fldChar w:fldCharType="end"/>
      </w:r>
      <w:r>
        <w:t>. This is in order to limit heated coolant gas temperature to its maximum heath threshold (ca 400’C) to prevent meltdown; ide</w:t>
      </w:r>
      <w:r w:rsidR="00C42C0F">
        <w:t>alise the steam pressure to one lower than the</w:t>
      </w:r>
      <w:r>
        <w:t xml:space="preserve"> typical coal-fired boiler, resulting in thermal efficiency of approximately 30%, and a maximum electrical power output of approximately 300 MW </w:t>
      </w:r>
      <w:r>
        <w:fldChar w:fldCharType="begin" w:fldLock="1"/>
      </w:r>
      <w:r>
        <w:instrText>ADDIN CSL_CITATION { "citationItems" : [ { "id" : "ITEM-1", "itemData" : { "DOI" : "10.1065/lca2004.12.181.2", "abstract" : "tory data should reconsider production and transport from Rus-sia, as it is a major producer and exporter to Europe. The calculated ranges of uncertainty factors in ecoinvent pro-vide useful information but they are more indications of uncer-tainties rather than strict 95% intervals, and should therefore be applied carefully. Abstract Goal, Scope and Background. The energy systems included in the ecoinvent database v1.1 describe the situation around year 2000 of Swiss and Western European power plants and boilers with the associated energy chains. The addressed nuclear sys-tems concern Light Water Reactors (LWR) with mix of open and closed fuel cycles. The system model 'Natural Gas' describes production, distribution, and combustion of natural gas. Methods. Comprehensive life cycle inventories of the energy sys-tems were established and cumulative results calculated within the ecoinvent framework. Swiss conditions for the nuclear cycle were extrapolated to major nuclear countries. Long-term radon emissions from uranium mill tailings have been estimated with a simplified model. Average natural gas power plants were ana-lysed for different countries considering specific import/export of the gas, with seven production regions separately assessed. Uncertainties have been estimated quantitatively. Results and Discussion. Different radioactive emission species and wastes are produced from different steps of the nuclear cy-cle. Emissions of greenhouse gases from the nuclear cycle are mostly from the upstream chain, and the total is small and de-creasing with increasing share of centrifuge enrichment. The results for natural gas show the importance of transport and low pressure distribution network for the methane emissions, whereas energy is mostly invested for production and long-dis-tance pipeline transportation. Because of significant differences in power plant efficiencies and gas supply, country specific av-erages differ greatly. Conclusion. The inventory describes average worldwide supply of nuclear fuel and average nuclear reactors in Western Europe. Although the model for nuclear waste management was extrapo-lated from Swiss conditions, the ranges obtained for cumulative results can represent the average in Europe. Emissions per kWh electricity are distributed very differently over the natural gas chain for different species. Modern combined cycle plants show better performance for several burdens like cumulative green-house gas emissions compared to a\u2026", "author" : [ { "dropping-particle" : "", "family" : "Dones", "given" : "Roberto", "non-dropping-particle" : "", "parse-names" : false, "suffix" : "" }, { "dropping-particle" : "", "family" : "Heck", "given" : "Thomas", "non-dropping-particle" : "", "parse-names" : false, "suffix" : "" }, { "dropping-particle" : "", "family" : "Emmenegger", "given" : "Mireille Faist", "non-dropping-particle" : "", "parse-names" : false, "suffix" : "" }, { "dropping-particle" : "", "family" : "Jungbluth", "given" : "Niels", "non-dropping-particle" : "", "parse-names" : false, "suffix" : "" } ], "container-title" : "Energy supply", "id" : "ITEM-1", "issued" : { "date-parts" : [ [ "2005" ] ] }, "title" : "Life Cycle Inventories for the Nuclear and Natural Gas Energy Systems, and Examples of Uncertainty Analysis", "type" : "article-journal", "volume" : "10" }, "uris" : [ "http://www.mendeley.com/documents/?uuid=2558bacd-98d5-3e74-aaae-07e345a4482f" ] }, { "id" : "ITEM-2", "itemData" : { "author" : [ { "dropping-particle" : "", "family" : "Mckeen", "given" : "Tim", "non-dropping-particle" : "", "parse-names" : false, "suffix" : "" } ], "id" : "ITEM-2", "issued" : { "date-parts" : [ [ "2011" ] ] }, "title" : "ADVANCED GAS COOLED REACTORS", "type" : "article-journal" }, "uris" : [ "http://www.mendeley.com/documents/?uuid=a3f63a09-1cac-3d95-ba68-9e9bfdd62075" ] }, { "id" : "ITEM-3", "itemData" : { "DOI" : "10.1016/j.rser.2014.01.008", "abstract" : "a b s t r a c t This paper uses 19 criteria to assess whether nuclear fission power can be a part of sustainable development. This yes or no qualitative evaluation is due prior to ongoing marketability assessment and promotion of nuclear power by, for example, the IAEA, the IEA and the UK government. The criteria are classified into five groups. 'Planet' results demonstrate that the incompatibility of nuclear expansion with electricity efficiency and full renewable power deployment largely overshadows the carbon-free steam generation of nuclear fission. 'Prosperity' analyses show that including rolled-off costs and risks would raise bills to heights difficult to quantify due to doubts, long-term invisibility and irreversibility. 'Risks' may be catastrophic and are not insurable, while weaponry proliferation adds a further dimension. 'People' analyses reveal that some nuclear power is affordable for present generations when many costs remain unpaid; however, developing countries cannot afford the capital costs and technology intensity, and catastrophes wreak havoc on national economies, singling out exposed communities losing their habitats. 'Politics' assessments demonstrate that nuclear technocracy dominates the scene in many countries; the technocrats heavily influence policy-makers, the media, and celebrities speaking out in favor of nuclear. We identify the need for an independent global agency and for independent national nuclear regulatory institutions to safeguard the public interest.", "author" : [ { "dropping-particle" : "", "family" : "Verbruggen", "given" : "Aviel", "non-dropping-particle" : "", "parse-names" : false, "suffix" : "" }, { "dropping-particle" : "", "family" : "Laes", "given" : "Erik", "non-dropping-particle" : "", "parse-names" : false, "suffix" : "" }, { "dropping-particle" : "", "family" : "Lemmens", "given" : "Sanne", "non-dropping-particle" : "", "parse-names" : false, "suffix" : "" } ], "container-title" : "Renewable and Sustainable Energy Reviews", "id" : "ITEM-3", "issued" : { "date-parts" : [ [ "2014" ] ] }, "page" : "16-28", "title" : "Assessment of the actual sustainability of nuclear fission power of nuclear power", "type" : "article-journal", "volume" : "32" }, "uris" : [ "http://www.mendeley.com/documents/?uuid=c48049c2-d738-3289-ba30-2b2bea8c0c24" ] } ], "mendeley" : { "formattedCitation" : "(Dones, Heck, Emmenegger, &amp; Jungbluth, 2005; Mckeen, 2011; Verbruggen, Laes, &amp; Lemmens, 2014)", "plainTextFormattedCitation" : "(Dones, Heck, Emmenegger, &amp; Jungbluth, 2005; Mckeen, 2011; Verbruggen, Laes, &amp; Lemmens, 2014)", "previouslyFormattedCitation" : "(Dones, Heck, Emmenegger, &amp; Jungbluth, 2005; Mckeen, 2011; Verbruggen, Laes, &amp; Lemmens, 2014)" }, "properties" : {  }, "schema" : "https://github.com/citation-style-language/schema/raw/master/csl-citation.json" }</w:instrText>
      </w:r>
      <w:r>
        <w:fldChar w:fldCharType="separate"/>
      </w:r>
      <w:r w:rsidRPr="006C3827">
        <w:rPr>
          <w:noProof/>
        </w:rPr>
        <w:t>(Dones, Heck, Emmenegger, &amp; Jungbluth, 2005; Mckeen, 2011; Verbruggen, Laes, &amp; Lemmens, 2014)</w:t>
      </w:r>
      <w:r>
        <w:fldChar w:fldCharType="end"/>
      </w:r>
      <w:r>
        <w:t xml:space="preserve">. </w:t>
      </w:r>
    </w:p>
    <w:p w14:paraId="042E6E5B" w14:textId="2C63F790" w:rsidR="00373AD0" w:rsidRPr="009F51A1" w:rsidRDefault="00373AD0" w:rsidP="009F51A1">
      <w:pPr>
        <w:pStyle w:val="Bildetekst"/>
      </w:pPr>
      <w:bookmarkStart w:id="27" w:name="_Toc505794507"/>
      <w:bookmarkStart w:id="28" w:name="_Toc506305251"/>
      <w:r w:rsidRPr="009F51A1">
        <w:t xml:space="preserve">Figure </w:t>
      </w:r>
      <w:r w:rsidR="00B10DCD">
        <w:fldChar w:fldCharType="begin"/>
      </w:r>
      <w:r w:rsidR="00B10DCD">
        <w:instrText xml:space="preserve"> SEQ Figure \* ARABIC </w:instrText>
      </w:r>
      <w:r w:rsidR="00B10DCD">
        <w:fldChar w:fldCharType="separate"/>
      </w:r>
      <w:r w:rsidR="00A76550">
        <w:rPr>
          <w:noProof/>
        </w:rPr>
        <w:t>8</w:t>
      </w:r>
      <w:r w:rsidR="00B10DCD">
        <w:rPr>
          <w:noProof/>
        </w:rPr>
        <w:fldChar w:fldCharType="end"/>
      </w:r>
      <w:r w:rsidRPr="009F51A1">
        <w:t xml:space="preserve">: Diagrammatic cross-section of a typical AGR </w:t>
      </w:r>
      <w:r w:rsidRPr="009F51A1">
        <w:fldChar w:fldCharType="begin" w:fldLock="1"/>
      </w:r>
      <w:r w:rsidRPr="009F51A1">
        <w:instrText>ADDIN CSL_CITATION { "citationItems" : [ { "id" : "ITEM-1", "itemData" : { "author" : [ { "dropping-particle" : "", "family" : "Mckeen", "given" : "Tim", "non-dropping-particle" : "", "parse-names" : false, "suffix" : "" } ], "id" : "ITEM-1", "issued" : { "date-parts" : [ [ "2011" ] ] }, "title" : "ADVANCED GAS COOLED REACTORS", "type" : "article-journal" }, "uris" : [ "http://www.mendeley.com/documents/?uuid=a3f63a09-1cac-3d95-ba68-9e9bfdd62075" ] } ], "mendeley" : { "formattedCitation" : "(Mckeen, 2011)", "plainTextFormattedCitation" : "(Mckeen, 2011)", "previouslyFormattedCitation" : "(Mckeen, 2011)" }, "properties" : {  }, "schema" : "https://github.com/citation-style-language/schema/raw/master/csl-citation.json" }</w:instrText>
      </w:r>
      <w:r w:rsidRPr="009F51A1">
        <w:fldChar w:fldCharType="separate"/>
      </w:r>
      <w:r w:rsidRPr="009F51A1">
        <w:rPr>
          <w:noProof/>
        </w:rPr>
        <w:t>(Mckeen, 2011)</w:t>
      </w:r>
      <w:bookmarkEnd w:id="27"/>
      <w:bookmarkEnd w:id="28"/>
      <w:r w:rsidRPr="009F51A1">
        <w:fldChar w:fldCharType="end"/>
      </w:r>
    </w:p>
    <w:p w14:paraId="044C4B90" w14:textId="77777777" w:rsidR="00373AD0" w:rsidRDefault="00373AD0" w:rsidP="00373AD0">
      <w:pPr>
        <w:pStyle w:val="Overskrift3"/>
      </w:pPr>
      <w:bookmarkStart w:id="29" w:name="_Toc505793559"/>
      <w:bookmarkStart w:id="30" w:name="_Toc506308004"/>
      <w:r>
        <w:t>2.2.2 Molten Salt Reactor (MSR)</w:t>
      </w:r>
      <w:bookmarkEnd w:id="29"/>
      <w:bookmarkEnd w:id="30"/>
    </w:p>
    <w:p w14:paraId="7DFB971F" w14:textId="77777777" w:rsidR="00373AD0" w:rsidRPr="00C43893" w:rsidRDefault="00373AD0" w:rsidP="00373AD0">
      <w:r>
        <w:t xml:space="preserve">Figure 9 depicts schematic overview of components comprising MSR resulting from research conducted at Oak Ridge National Laboratory </w:t>
      </w:r>
      <w:r>
        <w:fldChar w:fldCharType="begin" w:fldLock="1"/>
      </w:r>
      <w:r>
        <w:instrText>ADDIN CSL_CITATION { "citationItems" : [ { "id" : "ITEM-1", "itemData" : { "DOI" : "10.1016/j.enpol.2013.04.062", "abstract" : "Thorium is an abundant nuclear fuel that is well suited to three advanced reactor configurations. Important thorium reactor configurations include molten salt, CANDU, and TRISO systems. Thorium has important nuclear waste disposal advantages relative to pressurized water reactors. Thorium as a nuclear fuel has important advantages relative to weapon non-proliferation. a b s t r a c t It has long been known that thorium-232 is a fertile radioactive material that can produce energy in nuclear reactors for conversion to electricity. Thorium-232 is well suited to a variety of reactor types including molten fluoride salt designs, heavy water CANDU configurations, and helium-cooled TRISO-fueled systems. Among contentious commercial nuclear power issues are the questions of what to do with long-lived radioactive waste and how to minimize weapon proliferation dangers. The substitution of thorium for uranium as fuel in nuclear reactors has significant potential for minimizing both problems. Thorium is three times more abundant in nature than uranium. Whereas uranium has to be imported, there is enough thorium in the United States alone to provide adequate grid power for many centuries. A well-designed thorium reactor could produce electricity less expensively than a next-generation coal-fired plant or a current-generation uranium-fueled nuclear reactor. Importantly, thorium reactors produce substantially less long-lived radioactive waste than uranium reactors. Thorium-fueled reactors with molten salt configurations and very high temperature thorium-based TRISO-fueled reactors are both recommended for priority Generation IV funding in the 2030 time frame.", "author" : [ { "dropping-particle" : "", "family" : "Baker Schaffer", "given" : "Marvin", "non-dropping-particle" : "", "parse-names" : false, "suffix" : "" } ], "container-title" : "Energy Policy", "id" : "ITEM-1", "issued" : { "date-parts" : [ [ "2013" ] ] }, "page" : "4-12", "title" : "Abundant thorium as an alternative nuclear fuel Important waste disposal and weapon proliferation advantages", "type" : "article-journal", "volume" : "60" }, "uris" : [ "http://www.mendeley.com/documents/?uuid=af3ae5bc-b2da-3a95-82fe-928fbabfa7c2" ] } ], "mendeley" : { "formattedCitation" : "(Baker Schaffer, 2013)", "plainTextFormattedCitation" : "(Baker Schaffer, 2013)", "previouslyFormattedCitation" : "(Baker Schaffer, 2013)" }, "properties" : {  }, "schema" : "https://github.com/citation-style-language/schema/raw/master/csl-citation.json" }</w:instrText>
      </w:r>
      <w:r>
        <w:fldChar w:fldCharType="separate"/>
      </w:r>
      <w:r w:rsidRPr="00EC1900">
        <w:rPr>
          <w:noProof/>
        </w:rPr>
        <w:t>(Baker Schaffer, 2013)</w:t>
      </w:r>
      <w:r>
        <w:fldChar w:fldCharType="end"/>
      </w:r>
      <w:r>
        <w:t xml:space="preserve">. Fuel cycles are available in a range of generators, MSR being the one of optimal estimated efficiency </w:t>
      </w:r>
      <w:r>
        <w:fldChar w:fldCharType="begin" w:fldLock="1"/>
      </w:r>
      <w:r>
        <w:instrText>ADDIN CSL_CITATION { "citationItems" : [ { "id" : "ITEM-1", "itemData" : { "DOI" : "10.1016/j.anucene.2013.08.002", "abstract" : "a b s t r a c t There is currently a renewed interest in molten salt reactors, due to recent conceptual developments on fast neutron spectrum molten salt reactors (MSFRs) using fluoride salts. It has been recognized as a long term alternative to solid-fueled fast neutron systems with a unique potential (large negative temperature and void coefficients, lower fissile inventory, no initial criticality reserve, simplified fuel cycle, wastes reduction etc.) and is thus one of the reference reactors of the Generation IV International Forum. In the MSFR, the liquid fuel processing is part of the reactor where a small side stream of the molten salt is processed for fission product removal and then returned to the reactor. Because of this characteristic, the MSFR can operate with widely varying fuel compositions, so that the MSFR concept may use as initial fissile load, 233 U or enriched uranium or also the transuranic elements currently produced by light water reactors. This paper addresses the characteristics of these different launching modes of the MSFR and the Thorium fuel cycle, in terms of safety, proliferation, breeding, and deployment capacities of these reactor configurations. To illustrate the deployment capacities of the MSFR concept, a French nuclear deployment scenario is finally presented, demonstrating that launching the Thorium fuel cycle is easily feasible while closing the current fuel cycle and optimizing the long-term waste management via stockpile incineration in MSRs.", "author" : [ { "dropping-particle" : "", "family" : "Heuer", "given" : "D", "non-dropping-particle" : "", "parse-names" : false, "suffix" : "" }, { "dropping-particle" : "", "family" : "Merle-Lucotte", "given" : "E", "non-dropping-particle" : "", "parse-names" : false, "suffix" : "" }, { "dropping-particle" : "", "family" : "Allibert", "given" : "M", "non-dropping-particle" : "", "parse-names" : false, "suffix" : "" }, { "dropping-particle" : "", "family" : "Brovchenko", "given" : "M", "non-dropping-particle" : "", "parse-names" : false, "suffix" : "" }, { "dropping-particle" : "", "family" : "Ghetta", "given" : "V", "non-dropping-particle" : "", "parse-names" : false, "suffix" : "" }, { "dropping-particle" : "", "family" : "Rubiolo", "given" : "P", "non-dropping-particle" : "", "parse-names" : false, "suffix" : "" } ], "container-title" : "Annals of Nuclear Energy", "id" : "ITEM-1", "issued" : { "date-parts" : [ [ "2014" ] ] }, "page" : "421-429", "title" : "Towards the thorium fuel cycle with molten salt fast reactors", "type" : "article-journal", "volume" : "64" }, "uris" : [ "http://www.mendeley.com/documents/?uuid=4cd3d2f0-2de0-350f-8f47-04f364261fda" ] } ], "mendeley" : { "formattedCitation" : "(Heuer et al., 2014)", "plainTextFormattedCitation" : "(Heuer et al., 2014)", "previouslyFormattedCitation" : "(Heuer et al., 2014)" }, "properties" : {  }, "schema" : "https://github.com/citation-style-language/schema/raw/master/csl-citation.json" }</w:instrText>
      </w:r>
      <w:r>
        <w:fldChar w:fldCharType="separate"/>
      </w:r>
      <w:r w:rsidRPr="00B60CAB">
        <w:rPr>
          <w:noProof/>
        </w:rPr>
        <w:t>(Heuer et al., 2014)</w:t>
      </w:r>
      <w:r>
        <w:fldChar w:fldCharType="end"/>
      </w:r>
      <w:r>
        <w:t xml:space="preserve">. Thorium technology provides NE with less available weapons grade fissile by-product, abundance of raw and starter material, higher breeding ratio as well as efficiency, and is configurable to attain significant reductions in waste storage requirements, albeit technological development remain unommercialised </w:t>
      </w:r>
      <w:r>
        <w:fldChar w:fldCharType="begin" w:fldLock="1"/>
      </w:r>
      <w:r>
        <w:instrText>ADDIN CSL_CITATION { "citationItems" : [ { "id" : "ITEM-1", "itemData" : { "DOI" : "10.1016/j.nucengdes.2017.01.024", "abstract" : "a b s t r a c t This research discusses the neutronic characteristics of VVER-1200 assembly fueled with five different fuel types based on thorium. These types of fuel based on mixing thorium as a fertile material with dif-ferent fissile materials. The neutronic characteristics of these fuels are investigated by comparing their neutronic characteristics with the conventional uranium dioxide fuel using the MCNPX code. The objec-tive of this study is to reduce the production of long-lived actinides, get rid of plutonium component and to improve the fuel cycle economy while maintaining acceptable values of the neutronic safety parame-ters such as moderator temperature coefficient, Doppler coefficient and effective delayed neutrons (b). The thorium based fuel has a more negative Doppler coefficient than uranium dioxide fuel. The moder-ator temperature coefficient (MTC) has been calculated for the different proposed fuels. Also, the fissile inventory ratio has been calculated at different burnup step. The use of Th-232 as a fertile material instead of U-238 in a nuclear fuel is the most promising fuel in VVER-1200 as it is the ideal solution to avoid the production of more plutonium components and long-lived minor actinides. The reactor grade plutonium accumulated in light water reactor with burnup can be recycled by mixing it with Th-232 to fuel the VVER-1200 assembly. The concentrations of Xe-135 and Sm-151 have been investigated, due to their high thermal neutron absorption cross section.", "author" : [ { "dropping-particle" : "", "family" : "Galahom", "given" : "A Abdelghafar", "non-dropping-particle" : "", "parse-names" : false, "suffix" : "" } ], "id" : "ITEM-1", "issued" : { "date-parts" : [ [ "2017" ] ] }, "title" : "Minimization of the fission product waste by using thorium based fuel instead of uranium dioxide", "type" : "article-journal" }, "uris" : [ "http://www.mendeley.com/documents/?uuid=74bd1f29-8fa0-3409-b7e8-d87932e3bad2" ] }, { "id" : "ITEM-2", "itemData" : { "DOI" : "10.1016/j.anucene.2013.08.002", "abstract" : "a b s t r a c t There is currently a renewed interest in molten salt reactors, due to recent conceptual developments on fast neutron spectrum molten salt reactors (MSFRs) using fluoride salts. It has been recognized as a long term alternative to solid-fueled fast neutron systems with a unique potential (large negative temperature and void coefficients, lower fissile inventory, no initial criticality reserve, simplified fuel cycle, wastes reduction etc.) and is thus one of the reference reactors of the Generation IV International Forum. In the MSFR, the liquid fuel processing is part of the reactor where a small side stream of the molten salt is processed for fission product removal and then returned to the reactor. Because of this characteristic, the MSFR can operate with widely varying fuel compositions, so that the MSFR concept may use as initial fissile load, 233 U or enriched uranium or also the transuranic elements currently produced by light water reactors. This paper addresses the characteristics of these different launching modes of the MSFR and the Thorium fuel cycle, in terms of safety, proliferation, breeding, and deployment capacities of these reactor configurations. To illustrate the deployment capacities of the MSFR concept, a French nuclear deployment scenario is finally presented, demonstrating that launching the Thorium fuel cycle is easily feasible while closing the current fuel cycle and optimizing the long-term waste management via stockpile incineration in MSRs.", "author" : [ { "dropping-particle" : "", "family" : "Heuer", "given" : "D", "non-dropping-particle" : "", "parse-names" : false, "suffix" : "" }, { "dropping-particle" : "", "family" : "Merle-Lucotte", "given" : "E", "non-dropping-particle" : "", "parse-names" : false, "suffix" : "" }, { "dropping-particle" : "", "family" : "Allibert", "given" : "M", "non-dropping-particle" : "", "parse-names" : false, "suffix" : "" }, { "dropping-particle" : "", "family" : "Brovchenko", "given" : "M", "non-dropping-particle" : "", "parse-names" : false, "suffix" : "" }, { "dropping-particle" : "", "family" : "Ghetta", "given" : "V", "non-dropping-particle" : "", "parse-names" : false, "suffix" : "" }, { "dropping-particle" : "", "family" : "Rubiolo", "given" : "P", "non-dropping-particle" : "", "parse-names" : false, "suffix" : "" } ], "container-title" : "Annals of Nuclear Energy", "id" : "ITEM-2", "issued" : { "date-parts" : [ [ "2014" ] ] }, "page" : "421-429", "title" : "Towards the thorium fuel cycle with molten salt fast reactors", "type" : "article-journal", "volume" : "64" }, "uris" : [ "http://www.mendeley.com/documents/?uuid=4cd3d2f0-2de0-350f-8f47-04f364261fda" ] }, { "id" : "ITEM-3", "itemData" : { "DOI" : "10.1016/j.pnucene.2014.02.014", "abstract" : "a b s t r a c t Molten Salt Reactors (MSR) with the fuel dissolved in the liquid salt and fluoride-salt-cooled High-temperature Reactors (FHR) have many research themes in common. This paper gives an overview of the international R&amp;D efforts on these reactor types carried out in the framework of Generation-IV. Many countries worldwide contribute to this reactor technology, among which the European Union, France, Japan, Russia and the USA, and for the past few years China and India have also contributed. In general, the international R&amp;D focuses on three main lines of research. The USA focuses on the FHR, which will be a nearer-term application of liquid salt as a reactor coolant, while China also focuses on solid fuel reactors as a precursor to molten salt reactors with liquid fuel and a thermal neutron spectrum. The EU, France and Russia are focusing on the development of a fast spectrum molten salt reactor capable of either breeding or transmutation of actinides from spent nuclear fuel. Future research topics focus on liquid salt technology and materials behavior, the fuel and fuel cycle chemistry and modeling, and the numerical simulation and safety design aspects of the reactor. MSR development attracts more and more attention every year, because it is generally considered as most sustainable of the six Generation-IV designs with intrinsic safety features. Continuing joint efforts are needed to advance common molten salt reactor technologies.", "author" : [ { "dropping-particle" : "", "family" : "Serp", "given" : "J\u00e9r\u00f4me", "non-dropping-particle" : "", "parse-names" : false, "suffix" : "" }, { "dropping-particle" : "", "family" : "Allibert", "given" : "Michel", "non-dropping-particle" : "", "parse-names" : false, "suffix" : "" }, { "dropping-particle" : "", "family" : "Rej Bene S", "given" : "Ond", "non-dropping-particle" : "", "parse-names" : false, "suffix" : "" }, { "dropping-particle" : "", "family" : "Delpech", "given" : "Sylvie", "non-dropping-particle" : "", "parse-names" : false, "suffix" : "" }, { "dropping-particle" : "", "family" : "Feynberg", "given" : "Olga", "non-dropping-particle" : "", "parse-names" : false, "suffix" : "" }, { "dropping-particle" : "", "family" : "Ghetta", "given" : "V\u00e9ronique", "non-dropping-particle" : "", "parse-names" : false, "suffix" : "" }, { "dropping-particle" : "", "family" : "Heuer", "given" : "Daniel", "non-dropping-particle" : "", "parse-names" : false, "suffix" : "" }, { "dropping-particle" : "", "family" : "Holcomb", "given" : "David", "non-dropping-particle" : "", "parse-names" : false, "suffix" : "" }, { "dropping-particle" : "", "family" : "Ignatiev", "given" : "Victor", "non-dropping-particle" : "", "parse-names" : false, "suffix" : "" }, { "dropping-particle" : "", "family" : "Kloosterman", "given" : "Jan Leen", "non-dropping-particle" : "", "parse-names" : false, "suffix" : "" }, { "dropping-particle" : "", "family" : "Luzzi", "given" : "Lelio", "non-dropping-particle" : "", "parse-names" : false, "suffix" : "" }, { "dropping-particle" : "", "family" : "Merle-Lucotte", "given" : "Elsa", "non-dropping-particle" : "", "parse-names" : false, "suffix" : "" }, { "dropping-particle" : "", "family" : "Uhl\u00ed R I", "given" : "Jan", "non-dropping-particle" : "", "parse-names" : false, "suffix" : "" }, { "dropping-particle" : "", "family" : "Yoshioka", "given" : "Ritsuo", "non-dropping-particle" : "", "parse-names" : false, "suffix" : "" }, { "dropping-particle" : "", "family" : "Zhimin", "given" : "Dai", "non-dropping-particle" : "", "parse-names" : false, "suffix" : "" } ], "id" : "ITEM-3", "issued" : { "date-parts" : [ [ "2014" ] ] }, "title" : "The molten salt reactor (MSR) in generation IV: Overview and perspectives", "type" : "article-journal" }, "uris" : [ "http://www.mendeley.com/documents/?uuid=3ff147e4-f964-344c-9a13-3578557da4b5" ] } ], "mendeley" : { "formattedCitation" : "(Galahom, 2017; Heuer et al., 2014; Serp et al., 2014)", "plainTextFormattedCitation" : "(Galahom, 2017; Heuer et al., 2014; Serp et al., 2014)", "previouslyFormattedCitation" : "(Galahom, 2017; Heuer et al., 2014; Serp et al., 2014)" }, "properties" : {  }, "schema" : "https://github.com/citation-style-language/schema/raw/master/csl-citation.json" }</w:instrText>
      </w:r>
      <w:r>
        <w:fldChar w:fldCharType="separate"/>
      </w:r>
      <w:r w:rsidRPr="000B3177">
        <w:rPr>
          <w:noProof/>
        </w:rPr>
        <w:t>(Galahom, 2017; Heuer et al., 2014; Serp et al., 2014)</w:t>
      </w:r>
      <w:r>
        <w:fldChar w:fldCharType="end"/>
      </w:r>
      <w:r>
        <w:t>.</w:t>
      </w:r>
    </w:p>
    <w:p w14:paraId="37E168DD" w14:textId="77777777" w:rsidR="00373AD0" w:rsidRDefault="00373AD0" w:rsidP="00373AD0">
      <w:pPr>
        <w:keepNext/>
      </w:pPr>
      <w:r>
        <w:rPr>
          <w:noProof/>
          <w:lang w:eastAsia="en-GB"/>
        </w:rPr>
        <w:lastRenderedPageBreak/>
        <w:drawing>
          <wp:inline distT="0" distB="0" distL="0" distR="0" wp14:anchorId="2FFE680A" wp14:editId="4DEA17E1">
            <wp:extent cx="5241290" cy="343431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9">
                      <a:extLst>
                        <a:ext uri="{28A0092B-C50C-407E-A947-70E740481C1C}">
                          <a14:useLocalDpi xmlns:a14="http://schemas.microsoft.com/office/drawing/2010/main" val="0"/>
                        </a:ext>
                      </a:extLst>
                    </a:blip>
                    <a:srcRect l="9851" t="4051" r="5194"/>
                    <a:stretch/>
                  </pic:blipFill>
                  <pic:spPr bwMode="auto">
                    <a:xfrm>
                      <a:off x="0" y="0"/>
                      <a:ext cx="5313145" cy="3481399"/>
                    </a:xfrm>
                    <a:prstGeom prst="rect">
                      <a:avLst/>
                    </a:prstGeom>
                    <a:noFill/>
                    <a:ln>
                      <a:noFill/>
                    </a:ln>
                    <a:extLst>
                      <a:ext uri="{53640926-AAD7-44D8-BBD7-CCE9431645EC}">
                        <a14:shadowObscured xmlns:a14="http://schemas.microsoft.com/office/drawing/2010/main"/>
                      </a:ext>
                    </a:extLst>
                  </pic:spPr>
                </pic:pic>
              </a:graphicData>
            </a:graphic>
          </wp:inline>
        </w:drawing>
      </w:r>
    </w:p>
    <w:p w14:paraId="488BAF95" w14:textId="67186914" w:rsidR="00E20E2D" w:rsidRPr="00E20E2D" w:rsidRDefault="00373AD0" w:rsidP="00C42C0F">
      <w:pPr>
        <w:pStyle w:val="Bildetekst"/>
      </w:pPr>
      <w:bookmarkStart w:id="31" w:name="_Toc505794508"/>
      <w:bookmarkStart w:id="32" w:name="_Toc506305252"/>
      <w:r w:rsidRPr="009F51A1">
        <w:t xml:space="preserve">Figure </w:t>
      </w:r>
      <w:r w:rsidR="00B10DCD">
        <w:fldChar w:fldCharType="begin"/>
      </w:r>
      <w:r w:rsidR="00B10DCD">
        <w:instrText xml:space="preserve"> SEQ Figure \* ARABIC </w:instrText>
      </w:r>
      <w:r w:rsidR="00B10DCD">
        <w:fldChar w:fldCharType="separate"/>
      </w:r>
      <w:r w:rsidR="00A76550">
        <w:rPr>
          <w:noProof/>
        </w:rPr>
        <w:t>9</w:t>
      </w:r>
      <w:r w:rsidR="00B10DCD">
        <w:rPr>
          <w:noProof/>
        </w:rPr>
        <w:fldChar w:fldCharType="end"/>
      </w:r>
      <w:r w:rsidRPr="009F51A1">
        <w:t xml:space="preserve">: MSBR molten salt breeder reactor (This diagram is a schematic concept of the reactor system and does not literally represent the Gen IV design.) Oak Ridge National Laboratory (Rosenthal et al., 1971 cited in </w:t>
      </w:r>
      <w:r w:rsidRPr="009F51A1">
        <w:fldChar w:fldCharType="begin" w:fldLock="1"/>
      </w:r>
      <w:r w:rsidRPr="009F51A1">
        <w:instrText>ADDIN CSL_CITATION { "citationItems" : [ { "id" : "ITEM-1", "itemData" : { "DOI" : "10.1016/j.enpol.2013.04.062", "abstract" : "Thorium is an abundant nuclear fuel that is well suited to three advanced reactor configurations. Important thorium reactor configurations include molten salt, CANDU, and TRISO systems. Thorium has important nuclear waste disposal advantages relative to pressurized water reactors. Thorium as a nuclear fuel has important advantages relative to weapon non-proliferation. a b s t r a c t It has long been known that thorium-232 is a fertile radioactive material that can produce energy in nuclear reactors for conversion to electricity. Thorium-232 is well suited to a variety of reactor types including molten fluoride salt designs, heavy water CANDU configurations, and helium-cooled TRISO-fueled systems. Among contentious commercial nuclear power issues are the questions of what to do with long-lived radioactive waste and how to minimize weapon proliferation dangers. The substitution of thorium for uranium as fuel in nuclear reactors has significant potential for minimizing both problems. Thorium is three times more abundant in nature than uranium. Whereas uranium has to be imported, there is enough thorium in the United States alone to provide adequate grid power for many centuries. A well-designed thorium reactor could produce electricity less expensively than a next-generation coal-fired plant or a current-generation uranium-fueled nuclear reactor. Importantly, thorium reactors produce substantially less long-lived radioactive waste than uranium reactors. Thorium-fueled reactors with molten salt configurations and very high temperature thorium-based TRISO-fueled reactors are both recommended for priority Generation IV funding in the 2030 time frame.", "author" : [ { "dropping-particle" : "", "family" : "Baker Schaffer", "given" : "Marvin", "non-dropping-particle" : "", "parse-names" : false, "suffix" : "" } ], "container-title" : "Energy Policy", "id" : "ITEM-1", "issued" : { "date-parts" : [ [ "2013" ] ] }, "page" : "4-12", "title" : "Abundant thorium as an alternative nuclear fuel Important waste disposal and weapon proliferation advantages", "type" : "article-journal", "volume" : "60" }, "uris" : [ "http://www.mendeley.com/documents/?uuid=af3ae5bc-b2da-3a95-82fe-928fbabfa7c2" ] } ], "mendeley" : { "formattedCitation" : "(Baker Schaffer, 2013)", "manualFormatting" : "Baker Schaffer, 2013)", "plainTextFormattedCitation" : "(Baker Schaffer, 2013)", "previouslyFormattedCitation" : "(Baker Schaffer, 2013)" }, "properties" : {  }, "schema" : "https://github.com/citation-style-language/schema/raw/master/csl-citation.json" }</w:instrText>
      </w:r>
      <w:r w:rsidRPr="009F51A1">
        <w:fldChar w:fldCharType="separate"/>
      </w:r>
      <w:r w:rsidRPr="009F51A1">
        <w:rPr>
          <w:noProof/>
        </w:rPr>
        <w:t>Baker Schaffer, 2013)</w:t>
      </w:r>
      <w:bookmarkEnd w:id="31"/>
      <w:bookmarkEnd w:id="32"/>
      <w:r w:rsidRPr="009F51A1">
        <w:fldChar w:fldCharType="end"/>
      </w:r>
      <w:r w:rsidRPr="009F51A1">
        <w:t xml:space="preserve"> </w:t>
      </w:r>
    </w:p>
    <w:p w14:paraId="2CDEF9C0" w14:textId="03CEB804" w:rsidR="00373AD0" w:rsidRDefault="00373AD0" w:rsidP="00373AD0">
      <w:pPr>
        <w:pStyle w:val="Overskrift1"/>
        <w:numPr>
          <w:ilvl w:val="0"/>
          <w:numId w:val="1"/>
        </w:numPr>
      </w:pPr>
      <w:bookmarkStart w:id="33" w:name="_Toc505793560"/>
      <w:bookmarkStart w:id="34" w:name="_Toc506307983"/>
      <w:bookmarkStart w:id="35" w:name="_Toc506308005"/>
      <w:r>
        <w:t xml:space="preserve">Evaluative juxtaposition of sustainability </w:t>
      </w:r>
      <w:bookmarkEnd w:id="33"/>
      <w:r>
        <w:t>c</w:t>
      </w:r>
      <w:r w:rsidR="003163A3">
        <w:t>haracteristics of</w:t>
      </w:r>
      <w:r>
        <w:t xml:space="preserve"> Energy and Waste</w:t>
      </w:r>
      <w:bookmarkEnd w:id="34"/>
      <w:bookmarkEnd w:id="35"/>
      <w:r w:rsidR="003163A3">
        <w:t xml:space="preserve"> facets</w:t>
      </w:r>
    </w:p>
    <w:p w14:paraId="0120060F" w14:textId="77777777" w:rsidR="00373AD0" w:rsidRDefault="00373AD0" w:rsidP="00373AD0">
      <w:pPr>
        <w:pStyle w:val="Overskrift2"/>
      </w:pPr>
      <w:bookmarkStart w:id="36" w:name="_Toc505793561"/>
      <w:bookmarkStart w:id="37" w:name="_Toc506308006"/>
      <w:r>
        <w:t>3.1 Energy</w:t>
      </w:r>
      <w:bookmarkEnd w:id="36"/>
      <w:bookmarkEnd w:id="37"/>
    </w:p>
    <w:p w14:paraId="44950F9E" w14:textId="77777777" w:rsidR="00373AD0" w:rsidRDefault="00373AD0" w:rsidP="00373AD0">
      <w:r>
        <w:t xml:space="preserve">Energy generation capacity (EGC) of the EGTs divided by the capital expenditure (CAPEX) and operating expenditure (OPEX) determines the amount of fiscal support required for the developments attainment of financial independence from subsidies. Therefore, it is necessary to be aware of energy generation potential post-construction in order to ascertain optimal EGT as economic independence from subsidies is required in order for it to be deemed an economically sustainable solution, a precursory determinant for the sustenance of EGTs in the energy market and thereby its post-construction EGC </w:t>
      </w:r>
      <w:r>
        <w:fldChar w:fldCharType="begin" w:fldLock="1"/>
      </w:r>
      <w:r>
        <w:instrText>ADDIN CSL_CITATION { "citationItems" : [ { "id" : "ITEM-1", "itemData" : { "DOI" : "10.1016/B978-0-12-809451-8.00010-2", "ISBN" : "9780128094518", "abstract" : "Vertical Axis Wind Turbines (VAWTs) represent a unique form of power-generating technology. Historically, they have been relegated to fulfilling a small niche market in commercially available wind turbines due to their \u201cyaw-less\u201d design. Current VAWT designs lag behind their Horizontal Axis Wind Turbine (HAWT) counterparts in terms of efficiency, as measured by their power coefficient. However, new research suggests that these types of wind turbines may be better suited for wind farm installations than previously thought. In this chapter VAWT farm research will be reviewed and discussed. This will then be followed by an overview of different parameters for VAWT design, with an eye toward designs suitable for installation in an optimized wind farm.", "author" : [ { "dropping-particle" : "", "family" : "Whittlesey", "given" : "Robert", "non-dropping-particle" : "", "parse-names" : false, "suffix" : "" } ], "container-title" : "Wind Energy Engineering", "id" : "ITEM-1", "issued" : { "date-parts" : [ [ "2017" ] ] }, "page" : "185-202", "publisher" : "Elsevier", "title" : "Vertical Axis Wind Turbines", "type" : "chapter" }, "uris" : [ "http://www.mendeley.com/documents/?uuid=d064decb-7982-33f3-8149-9c25420847a7" ] } ], "mendeley" : { "formattedCitation" : "(Whittlesey, 2017)", "plainTextFormattedCitation" : "(Whittlesey, 2017)", "previouslyFormattedCitation" : "(Whittlesey, 2017)" }, "properties" : {  }, "schema" : "https://github.com/citation-style-language/schema/raw/master/csl-citation.json" }</w:instrText>
      </w:r>
      <w:r>
        <w:fldChar w:fldCharType="separate"/>
      </w:r>
      <w:r w:rsidRPr="009C339E">
        <w:rPr>
          <w:noProof/>
        </w:rPr>
        <w:t>(Whittlesey, 2017)</w:t>
      </w:r>
      <w:r>
        <w:fldChar w:fldCharType="end"/>
      </w:r>
      <w:r>
        <w:t>.</w:t>
      </w:r>
    </w:p>
    <w:p w14:paraId="7883DEAC" w14:textId="22508A82" w:rsidR="00373AD0" w:rsidRDefault="000A3433" w:rsidP="000A3433">
      <w:r>
        <w:rPr>
          <w:noProof/>
          <w:lang w:eastAsia="en-GB"/>
        </w:rPr>
        <w:lastRenderedPageBreak/>
        <w:drawing>
          <wp:anchor distT="0" distB="0" distL="114300" distR="114300" simplePos="0" relativeHeight="251683840" behindDoc="0" locked="0" layoutInCell="1" allowOverlap="1" wp14:anchorId="5F4F0EE1" wp14:editId="25EE5B58">
            <wp:simplePos x="0" y="0"/>
            <wp:positionH relativeFrom="margin">
              <wp:align>right</wp:align>
            </wp:positionH>
            <wp:positionV relativeFrom="paragraph">
              <wp:posOffset>1199515</wp:posOffset>
            </wp:positionV>
            <wp:extent cx="5727700" cy="3597275"/>
            <wp:effectExtent l="0" t="0" r="6350" b="3175"/>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7700" cy="3597275"/>
                    </a:xfrm>
                    <a:prstGeom prst="rect">
                      <a:avLst/>
                    </a:prstGeom>
                    <a:noFill/>
                    <a:ln>
                      <a:noFill/>
                    </a:ln>
                  </pic:spPr>
                </pic:pic>
              </a:graphicData>
            </a:graphic>
            <wp14:sizeRelH relativeFrom="margin">
              <wp14:pctWidth>0</wp14:pctWidth>
            </wp14:sizeRelH>
          </wp:anchor>
        </w:drawing>
      </w:r>
      <w:r w:rsidR="00373AD0">
        <w:t>Considering prognosticated electricity output scenarios for 2035 (figure 10) set forth by Raugei and Leccisi (2016), WPG appears to consistently produce higher output than its respective EGT counterparts, suggesting WPG to be an advantageous EGT in terms of EGC.</w:t>
      </w:r>
    </w:p>
    <w:p w14:paraId="7602759A" w14:textId="01340C4F" w:rsidR="00373AD0" w:rsidRPr="009F51A1" w:rsidRDefault="00373AD0" w:rsidP="009F51A1">
      <w:pPr>
        <w:pStyle w:val="Bildetekst"/>
      </w:pPr>
      <w:bookmarkStart w:id="38" w:name="_Toc505794509"/>
      <w:bookmarkStart w:id="39" w:name="_Toc506305253"/>
      <w:r w:rsidRPr="009F51A1">
        <w:t xml:space="preserve">Figure </w:t>
      </w:r>
      <w:r w:rsidR="00B10DCD">
        <w:fldChar w:fldCharType="begin"/>
      </w:r>
      <w:r w:rsidR="00B10DCD">
        <w:instrText xml:space="preserve"> SEQ Figure \* ARABIC </w:instrText>
      </w:r>
      <w:r w:rsidR="00B10DCD">
        <w:fldChar w:fldCharType="separate"/>
      </w:r>
      <w:r w:rsidR="00A76550">
        <w:rPr>
          <w:noProof/>
        </w:rPr>
        <w:t>10</w:t>
      </w:r>
      <w:r w:rsidR="00B10DCD">
        <w:rPr>
          <w:noProof/>
        </w:rPr>
        <w:fldChar w:fldCharType="end"/>
      </w:r>
      <w:r w:rsidRPr="009F51A1">
        <w:t>: Electricity output by production technology in 2013 and projected changes in the year 2035, according to four alternative scenarios developed by (National grid, 2014 cited in Raugei and Leccisi, 2016)</w:t>
      </w:r>
      <w:bookmarkEnd w:id="38"/>
      <w:bookmarkEnd w:id="39"/>
      <w:r w:rsidRPr="009F51A1">
        <w:t xml:space="preserve"> </w:t>
      </w:r>
    </w:p>
    <w:p w14:paraId="070334AE" w14:textId="2B0ED426" w:rsidR="003E4DD0" w:rsidRDefault="000A3433" w:rsidP="003E4DD0">
      <w:r>
        <w:rPr>
          <w:noProof/>
          <w:lang w:eastAsia="en-GB"/>
        </w:rPr>
        <w:drawing>
          <wp:anchor distT="0" distB="0" distL="114300" distR="114300" simplePos="0" relativeHeight="251673600" behindDoc="0" locked="0" layoutInCell="1" allowOverlap="1" wp14:anchorId="62795102" wp14:editId="49A2D828">
            <wp:simplePos x="0" y="0"/>
            <wp:positionH relativeFrom="margin">
              <wp:align>left</wp:align>
            </wp:positionH>
            <wp:positionV relativeFrom="paragraph">
              <wp:posOffset>1828800</wp:posOffset>
            </wp:positionV>
            <wp:extent cx="5718175" cy="186944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31">
                      <a:extLst>
                        <a:ext uri="{28A0092B-C50C-407E-A947-70E740481C1C}">
                          <a14:useLocalDpi xmlns:a14="http://schemas.microsoft.com/office/drawing/2010/main" val="0"/>
                        </a:ext>
                      </a:extLst>
                    </a:blip>
                    <a:srcRect r="34834"/>
                    <a:stretch/>
                  </pic:blipFill>
                  <pic:spPr bwMode="auto">
                    <a:xfrm>
                      <a:off x="0" y="0"/>
                      <a:ext cx="5718175" cy="18694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E45328">
        <w:rPr>
          <w:noProof/>
          <w:lang w:eastAsia="en-GB"/>
        </w:rPr>
        <mc:AlternateContent>
          <mc:Choice Requires="wps">
            <w:drawing>
              <wp:anchor distT="0" distB="0" distL="114300" distR="114300" simplePos="0" relativeHeight="251672576" behindDoc="0" locked="0" layoutInCell="1" allowOverlap="1" wp14:anchorId="35CE5A00" wp14:editId="076C02E7">
                <wp:simplePos x="0" y="0"/>
                <wp:positionH relativeFrom="margin">
                  <wp:posOffset>-233680</wp:posOffset>
                </wp:positionH>
                <wp:positionV relativeFrom="paragraph">
                  <wp:posOffset>3726815</wp:posOffset>
                </wp:positionV>
                <wp:extent cx="6070600" cy="278130"/>
                <wp:effectExtent l="0" t="0" r="6350" b="7620"/>
                <wp:wrapSquare wrapText="bothSides"/>
                <wp:docPr id="135" name="Text Box 135"/>
                <wp:cNvGraphicFramePr/>
                <a:graphic xmlns:a="http://schemas.openxmlformats.org/drawingml/2006/main">
                  <a:graphicData uri="http://schemas.microsoft.com/office/word/2010/wordprocessingShape">
                    <wps:wsp>
                      <wps:cNvSpPr txBox="1"/>
                      <wps:spPr>
                        <a:xfrm>
                          <a:off x="0" y="0"/>
                          <a:ext cx="6070600" cy="278130"/>
                        </a:xfrm>
                        <a:prstGeom prst="rect">
                          <a:avLst/>
                        </a:prstGeom>
                        <a:solidFill>
                          <a:prstClr val="white"/>
                        </a:solidFill>
                        <a:ln>
                          <a:noFill/>
                        </a:ln>
                      </wps:spPr>
                      <wps:txbx>
                        <w:txbxContent>
                          <w:p w14:paraId="720C132F" w14:textId="77777777" w:rsidR="00CB18B3" w:rsidRPr="00596204" w:rsidRDefault="00CB18B3" w:rsidP="000A3433">
                            <w:pPr>
                              <w:pStyle w:val="Bildetekst"/>
                            </w:pPr>
                            <w:bookmarkStart w:id="40" w:name="_Toc506305254"/>
                            <w:r>
                              <w:t xml:space="preserve">Figure </w:t>
                            </w:r>
                            <w:r w:rsidR="00B10DCD">
                              <w:fldChar w:fldCharType="begin"/>
                            </w:r>
                            <w:r w:rsidR="00B10DCD">
                              <w:instrText xml:space="preserve"> SEQ Figure \* ARABIC </w:instrText>
                            </w:r>
                            <w:r w:rsidR="00B10DCD">
                              <w:fldChar w:fldCharType="separate"/>
                            </w:r>
                            <w:r>
                              <w:rPr>
                                <w:noProof/>
                              </w:rPr>
                              <w:t>11</w:t>
                            </w:r>
                            <w:r w:rsidR="00B10DCD">
                              <w:rPr>
                                <w:noProof/>
                              </w:rPr>
                              <w:fldChar w:fldCharType="end"/>
                            </w:r>
                            <w:r>
                              <w:t xml:space="preserve">: Summary of estimated energy parameters for the nuclear and renewable power generators examined in the present study </w:t>
                            </w:r>
                            <w:r>
                              <w:fldChar w:fldCharType="begin" w:fldLock="1"/>
                            </w:r>
                            <w:r>
                              <w:instrText>ADDIN CSL_CITATION { "citationItems" : [ { "id" : "ITEM-1", "itemData" : { "DOI" : "10.1016/J.JOEI.2016.02.003", "ISSN" : "1743-9671", "author" : [ { "dropping-particle" : "", "family" : "Cheng", "given" : "Vincent", "non-dropping-particle" : "", "parse-names" : false, "suffix" : "" }, { "dropping-particle" : "", "family" : "Hammond", "given" : "Geoffrey", "non-dropping-particle" : "", "parse-names" : false, "suffix" : "" } ], "container-title" : "Journal of the Energy Institute", "id" : "ITEM-1", "issue" : "2", "issued" : { "date-parts" : [ [ "2017", "4", "1" ] ] }, "page" : "201-213", "publisher" : "Elsevier", "title" : "Life-cycle energy densities and land-take requirements of various power generators: A UK perspective", "type" : "article-journal", "volume" : "90" }, "uris" : [ "http://www.mendeley.com/documents/?uuid=201089f9-7427-3834-89c0-9f8735a8e47a" ] } ], "mendeley" : { "formattedCitation" : "(V. Cheng &amp; Hammond, 2017)", "manualFormatting" : "(Cheng &amp; Hammond, 2017)", "plainTextFormattedCitation" : "(V. Cheng &amp; Hammond, 2017)", "previouslyFormattedCitation" : "(V. Cheng &amp; Hammond, 2017)" }, "properties" : {  }, "schema" : "https://github.com/citation-style-language/schema/raw/master/csl-citation.json" }</w:instrText>
                            </w:r>
                            <w:r>
                              <w:fldChar w:fldCharType="separate"/>
                            </w:r>
                            <w:r>
                              <w:rPr>
                                <w:b w:val="0"/>
                                <w:i w:val="0"/>
                                <w:noProof/>
                              </w:rPr>
                              <w:t>(</w:t>
                            </w:r>
                            <w:r w:rsidRPr="00483E9A">
                              <w:rPr>
                                <w:b w:val="0"/>
                                <w:i w:val="0"/>
                                <w:noProof/>
                              </w:rPr>
                              <w:t>Cheng &amp; Hammond, 2017)</w:t>
                            </w:r>
                            <w:bookmarkEnd w:id="40"/>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CE5A00" id="Text Box 135" o:spid="_x0000_s1028" type="#_x0000_t202" style="position:absolute;left:0;text-align:left;margin-left:-18.4pt;margin-top:293.45pt;width:478pt;height:21.9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" stroked="f">
                <v:textbox inset="0,0,0,0">
                  <w:txbxContent>
                    <w:p w14:paraId="720C132F" w14:textId="77777777" w:rsidR="00CB18B3" w:rsidRPr="00596204" w:rsidRDefault="00CB18B3" w:rsidP="000A3433">
                      <w:pPr>
                        <w:pStyle w:val="Bildetekst"/>
                      </w:pPr>
                      <w:bookmarkStart w:id="41" w:name="_Toc506305254"/>
                      <w:r>
                        <w:t xml:space="preserve">Figure </w:t>
                      </w:r>
                      <w:r w:rsidR="00B10DCD">
                        <w:fldChar w:fldCharType="begin"/>
                      </w:r>
                      <w:r w:rsidR="00B10DCD">
                        <w:instrText xml:space="preserve"> SEQ Figure \* ARABIC </w:instrText>
                      </w:r>
                      <w:r w:rsidR="00B10DCD">
                        <w:fldChar w:fldCharType="separate"/>
                      </w:r>
                      <w:r>
                        <w:rPr>
                          <w:noProof/>
                        </w:rPr>
                        <w:t>11</w:t>
                      </w:r>
                      <w:r w:rsidR="00B10DCD">
                        <w:rPr>
                          <w:noProof/>
                        </w:rPr>
                        <w:fldChar w:fldCharType="end"/>
                      </w:r>
                      <w:r>
                        <w:t xml:space="preserve">: Summary of estimated energy parameters for the nuclear and renewable power generators examined in the present study </w:t>
                      </w:r>
                      <w:r>
                        <w:fldChar w:fldCharType="begin" w:fldLock="1"/>
                      </w:r>
                      <w:r>
                        <w:instrText>ADDIN CSL_CITATION { "citationItems" : [ { "id" : "ITEM-1", "itemData" : { "DOI" : "10.1016/J.JOEI.2016.02.003", "ISSN" : "1743-9671", "author" : [ { "dropping-particle" : "", "family" : "Cheng", "given" : "Vincent", "non-dropping-particle" : "", "parse-names" : false, "suffix" : "" }, { "dropping-particle" : "", "family" : "Hammond", "given" : "Geoffrey", "non-dropping-particle" : "", "parse-names" : false, "suffix" : "" } ], "container-title" : "Journal of the Energy Institute", "id" : "ITEM-1", "issue" : "2", "issued" : { "date-parts" : [ [ "2017", "4", "1" ] ] }, "page" : "201-213", "publisher" : "Elsevier", "title" : "Life-cycle energy densities and land-take requirements of various power generators: A UK perspective", "type" : "article-journal", "volume" : "90" }, "uris" : [ "http://www.mendeley.com/documents/?uuid=201089f9-7427-3834-89c0-9f8735a8e47a" ] } ], "mendeley" : { "formattedCitation" : "(V. Cheng &amp; Hammond, 2017)", "manualFormatting" : "(Cheng &amp; Hammond, 2017)", "plainTextFormattedCitation" : "(V. Cheng &amp; Hammond, 2017)", "previouslyFormattedCitation" : "(V. Cheng &amp; Hammond, 2017)" }, "properties" : {  }, "schema" : "https://github.com/citation-style-language/schema/raw/master/csl-citation.json" }</w:instrText>
                      </w:r>
                      <w:r>
                        <w:fldChar w:fldCharType="separate"/>
                      </w:r>
                      <w:r>
                        <w:rPr>
                          <w:b w:val="0"/>
                          <w:i w:val="0"/>
                          <w:noProof/>
                        </w:rPr>
                        <w:t>(</w:t>
                      </w:r>
                      <w:r w:rsidRPr="00483E9A">
                        <w:rPr>
                          <w:b w:val="0"/>
                          <w:i w:val="0"/>
                          <w:noProof/>
                        </w:rPr>
                        <w:t>Cheng &amp; Hammond, 2017)</w:t>
                      </w:r>
                      <w:bookmarkEnd w:id="41"/>
                      <w:r>
                        <w:fldChar w:fldCharType="end"/>
                      </w:r>
                    </w:p>
                  </w:txbxContent>
                </v:textbox>
                <w10:wrap type="square" anchorx="margin"/>
              </v:shape>
            </w:pict>
          </mc:Fallback>
        </mc:AlternateContent>
      </w:r>
      <w:r w:rsidR="00373AD0">
        <w:t xml:space="preserve">According to results from a study evaluating energy generation properties from various energy sectors by Cheng and Hammond (2017) represented in figure 11, NPGs (Gaseous centrifuge uranium enrichment) energy inputs, outputs, and gain ratio from produced output per input in MW holds an energy gain ratio of 58. This is superior to its renewable counterparts (Onshore-30.99, offshore-26.63 </w:t>
      </w:r>
      <w:r w:rsidR="003E4DD0">
        <w:t>energy returned on investment (</w:t>
      </w:r>
      <w:r w:rsidR="00373AD0">
        <w:t>EROI</w:t>
      </w:r>
      <w:r w:rsidR="003E4DD0">
        <w:t>)</w:t>
      </w:r>
      <w:r w:rsidR="00373AD0">
        <w:t xml:space="preserve">) as </w:t>
      </w:r>
      <w:r w:rsidR="00373AD0">
        <w:lastRenderedPageBreak/>
        <w:t>well as gaseous diffusion enriched NPG emerging as the least energy economic option (58.00).</w:t>
      </w:r>
    </w:p>
    <w:p w14:paraId="7A94E2F2" w14:textId="7918AB11" w:rsidR="0013429D" w:rsidRDefault="002821D4" w:rsidP="0013429D">
      <w:r>
        <w:rPr>
          <w:noProof/>
          <w:lang w:eastAsia="en-GB"/>
        </w:rPr>
        <w:drawing>
          <wp:anchor distT="0" distB="0" distL="114300" distR="114300" simplePos="0" relativeHeight="251682816" behindDoc="0" locked="0" layoutInCell="1" allowOverlap="1" wp14:anchorId="258BCC87" wp14:editId="2296B9EB">
            <wp:simplePos x="0" y="0"/>
            <wp:positionH relativeFrom="margin">
              <wp:align>right</wp:align>
            </wp:positionH>
            <wp:positionV relativeFrom="paragraph">
              <wp:posOffset>785628</wp:posOffset>
            </wp:positionV>
            <wp:extent cx="5727065" cy="2579370"/>
            <wp:effectExtent l="0" t="0" r="6985" b="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7065" cy="2579370"/>
                    </a:xfrm>
                    <a:prstGeom prst="rect">
                      <a:avLst/>
                    </a:prstGeom>
                    <a:noFill/>
                    <a:ln>
                      <a:noFill/>
                    </a:ln>
                  </pic:spPr>
                </pic:pic>
              </a:graphicData>
            </a:graphic>
            <wp14:sizeRelH relativeFrom="margin">
              <wp14:pctWidth>0</wp14:pctWidth>
            </wp14:sizeRelH>
          </wp:anchor>
        </w:drawing>
      </w:r>
      <w:r w:rsidR="0024428D">
        <w:t>Figure 12 depicts an analysis</w:t>
      </w:r>
      <w:r w:rsidR="00373AD0">
        <w:t xml:space="preserve"> of share of total UK grid output per EGT in 2013 by DECC and National grid</w:t>
      </w:r>
      <w:r w:rsidR="0011395D">
        <w:t>. T</w:t>
      </w:r>
      <w:r w:rsidR="00373AD0">
        <w:t xml:space="preserve">hese results indicate offshore wind, as a novel emerging sector, to be increasing in development at a faster pace than its onshore counterpart. </w:t>
      </w:r>
    </w:p>
    <w:p w14:paraId="69AD0197" w14:textId="671D200B" w:rsidR="00373AD0" w:rsidRPr="009F51A1" w:rsidRDefault="00373AD0" w:rsidP="009F51A1">
      <w:pPr>
        <w:pStyle w:val="Bildetekst"/>
      </w:pPr>
      <w:bookmarkStart w:id="42" w:name="_Toc505794510"/>
      <w:bookmarkStart w:id="43" w:name="_Toc506305255"/>
      <w:r w:rsidRPr="009F51A1">
        <w:t xml:space="preserve">Figure </w:t>
      </w:r>
      <w:r w:rsidR="00B10DCD">
        <w:fldChar w:fldCharType="begin"/>
      </w:r>
      <w:r w:rsidR="00B10DCD">
        <w:instrText xml:space="preserve"> SEQ Figure \* ARABIC </w:instrText>
      </w:r>
      <w:r w:rsidR="00B10DCD">
        <w:fldChar w:fldCharType="separate"/>
      </w:r>
      <w:r w:rsidR="00A76550">
        <w:rPr>
          <w:noProof/>
        </w:rPr>
        <w:t>12</w:t>
      </w:r>
      <w:r w:rsidR="00B10DCD">
        <w:rPr>
          <w:noProof/>
        </w:rPr>
        <w:fldChar w:fldCharType="end"/>
      </w:r>
      <w:r w:rsidRPr="009F51A1">
        <w:t>: Energy production technologies comprising the UK electric grid mix and relative shares of total electricity output in the year 2013 (Department of Energy and Cliamte Change (DECC), 2014; National Grid, 2014, Cited in Raugei and Leccisi, 2016)</w:t>
      </w:r>
      <w:bookmarkEnd w:id="42"/>
      <w:bookmarkEnd w:id="43"/>
      <w:r w:rsidRPr="009F51A1">
        <w:t xml:space="preserve"> </w:t>
      </w:r>
    </w:p>
    <w:p w14:paraId="2D22ECC0" w14:textId="5C685071" w:rsidR="00373AD0" w:rsidRDefault="00E45328" w:rsidP="00373AD0">
      <w:pPr>
        <w:keepNext/>
      </w:pPr>
      <w:r>
        <w:t>Figure 1</w:t>
      </w:r>
      <w:r w:rsidR="000A3433">
        <w:t>3</w:t>
      </w:r>
      <w:r w:rsidR="00373AD0">
        <w:t xml:space="preserve"> represents overview of main characteristics of Hinkley Point C, estimated to produce a total of 910 TWh over its </w:t>
      </w:r>
      <w:r w:rsidR="002821D4">
        <w:t>35-year</w:t>
      </w:r>
      <w:r w:rsidR="00373AD0">
        <w:t xml:space="preserve"> lifespan. </w:t>
      </w:r>
    </w:p>
    <w:p w14:paraId="2FE154FF" w14:textId="77777777" w:rsidR="00373AD0" w:rsidRDefault="00373AD0" w:rsidP="00373AD0">
      <w:pPr>
        <w:keepNext/>
        <w:jc w:val="center"/>
      </w:pPr>
      <w:r>
        <w:rPr>
          <w:noProof/>
          <w:lang w:eastAsia="en-GB"/>
        </w:rPr>
        <w:drawing>
          <wp:inline distT="0" distB="0" distL="0" distR="0" wp14:anchorId="4B5D47E8" wp14:editId="549C5FAE">
            <wp:extent cx="5151550" cy="193183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19096" cy="1957161"/>
                    </a:xfrm>
                    <a:prstGeom prst="rect">
                      <a:avLst/>
                    </a:prstGeom>
                    <a:noFill/>
                    <a:ln>
                      <a:noFill/>
                    </a:ln>
                  </pic:spPr>
                </pic:pic>
              </a:graphicData>
            </a:graphic>
          </wp:inline>
        </w:drawing>
      </w:r>
    </w:p>
    <w:p w14:paraId="72868CE8" w14:textId="34ECBBB6" w:rsidR="00373AD0" w:rsidRPr="009F51A1" w:rsidRDefault="00373AD0" w:rsidP="009F51A1">
      <w:pPr>
        <w:pStyle w:val="Bildetekst"/>
      </w:pPr>
      <w:bookmarkStart w:id="44" w:name="_Toc505794513"/>
      <w:bookmarkStart w:id="45" w:name="_Toc506305256"/>
      <w:r w:rsidRPr="009F51A1">
        <w:t xml:space="preserve">Figure </w:t>
      </w:r>
      <w:r w:rsidR="00B10DCD">
        <w:fldChar w:fldCharType="begin"/>
      </w:r>
      <w:r w:rsidR="00B10DCD">
        <w:instrText xml:space="preserve"> SEQ Figure \* ARABIC </w:instrText>
      </w:r>
      <w:r w:rsidR="00B10DCD">
        <w:fldChar w:fldCharType="separate"/>
      </w:r>
      <w:r w:rsidR="00A76550">
        <w:rPr>
          <w:noProof/>
        </w:rPr>
        <w:t>13</w:t>
      </w:r>
      <w:r w:rsidR="00B10DCD">
        <w:rPr>
          <w:noProof/>
        </w:rPr>
        <w:fldChar w:fldCharType="end"/>
      </w:r>
      <w:r w:rsidRPr="009F51A1">
        <w:t>: Main characteristics of Hinkley Point C. (Suna and Resch, 2016)</w:t>
      </w:r>
      <w:bookmarkEnd w:id="44"/>
      <w:bookmarkEnd w:id="45"/>
      <w:r w:rsidRPr="009F51A1">
        <w:t xml:space="preserve"> </w:t>
      </w:r>
    </w:p>
    <w:p w14:paraId="2ED88B0E" w14:textId="6FE9044F" w:rsidR="00373AD0" w:rsidRDefault="00E45328" w:rsidP="00373AD0">
      <w:r>
        <w:t xml:space="preserve">From figure </w:t>
      </w:r>
      <w:r w:rsidR="00CB18B3">
        <w:t>14,</w:t>
      </w:r>
      <w:r w:rsidR="00373AD0">
        <w:t xml:space="preserve"> it is apparent that wind alone will not constitute a sufficient proportion of the estimated energy demand in the EU. Albeit estimated resources in the UK propose offshore wind to be in excess of the nett energy demand, this resource is not extractable yet, and NPG schemes </w:t>
      </w:r>
      <w:r w:rsidR="00CB18B3">
        <w:t>such as Hinkley Point C appears</w:t>
      </w:r>
      <w:r w:rsidR="00373AD0">
        <w:t xml:space="preserve"> a contributory option to be phased out as demand saturation from renewables is achieved, thereby increasing the sustainability </w:t>
      </w:r>
      <w:r w:rsidR="00373AD0">
        <w:lastRenderedPageBreak/>
        <w:t xml:space="preserve">of the energy mix. Alternately, post phase-out </w:t>
      </w:r>
      <w:r w:rsidR="009D0A2F">
        <w:t>of conventional</w:t>
      </w:r>
      <w:r w:rsidR="00373AD0">
        <w:t xml:space="preserve"> NPG reactors, Thorium, an EGT prognosticated to outperform its status quo counterparts by levels of magnitude across all relevant sectors, in coordination with renewables of low EC (Embodied Carbon), could be an ideal combination of EGTs for the future energy mix of the UK.</w:t>
      </w:r>
    </w:p>
    <w:p w14:paraId="445B6BC8" w14:textId="77777777" w:rsidR="00373AD0" w:rsidRDefault="00373AD0" w:rsidP="00373AD0">
      <w:pPr>
        <w:keepNext/>
        <w:jc w:val="center"/>
      </w:pPr>
      <w:r>
        <w:rPr>
          <w:noProof/>
          <w:lang w:eastAsia="en-GB"/>
        </w:rPr>
        <w:drawing>
          <wp:inline distT="0" distB="0" distL="0" distR="0" wp14:anchorId="0E0F6C3B" wp14:editId="00B7DAFF">
            <wp:extent cx="4553592" cy="2413933"/>
            <wp:effectExtent l="0" t="0" r="0" b="5715"/>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610802" cy="2444261"/>
                    </a:xfrm>
                    <a:prstGeom prst="rect">
                      <a:avLst/>
                    </a:prstGeom>
                    <a:noFill/>
                    <a:ln>
                      <a:noFill/>
                    </a:ln>
                  </pic:spPr>
                </pic:pic>
              </a:graphicData>
            </a:graphic>
          </wp:inline>
        </w:drawing>
      </w:r>
    </w:p>
    <w:p w14:paraId="0242AD61" w14:textId="2BA7AB66" w:rsidR="00373AD0" w:rsidRPr="009F51A1" w:rsidRDefault="00373AD0" w:rsidP="009F51A1">
      <w:pPr>
        <w:pStyle w:val="Bildetekst"/>
      </w:pPr>
      <w:bookmarkStart w:id="46" w:name="_Toc506305257"/>
      <w:r w:rsidRPr="009F51A1">
        <w:t xml:space="preserve">Figure </w:t>
      </w:r>
      <w:r w:rsidR="00B10DCD">
        <w:fldChar w:fldCharType="begin"/>
      </w:r>
      <w:r w:rsidR="00B10DCD">
        <w:instrText xml:space="preserve"> SEQ Figure \* ARABIC </w:instrText>
      </w:r>
      <w:r w:rsidR="00B10DCD">
        <w:fldChar w:fldCharType="separate"/>
      </w:r>
      <w:r w:rsidR="00A76550">
        <w:rPr>
          <w:noProof/>
        </w:rPr>
        <w:t>14</w:t>
      </w:r>
      <w:r w:rsidR="00B10DCD">
        <w:rPr>
          <w:noProof/>
        </w:rPr>
        <w:fldChar w:fldCharType="end"/>
      </w:r>
      <w:r w:rsidRPr="009F51A1">
        <w:t xml:space="preserve">: Comparison between the potential of onshore and offshore wind energy in different depths, and the energy demand in Europe. This graphic shows the need to push offshore wind energy (Ceña, 2009 cited in </w:t>
      </w:r>
      <w:r w:rsidRPr="009F51A1">
        <w:fldChar w:fldCharType="begin" w:fldLock="1"/>
      </w:r>
      <w:r w:rsidRPr="009F51A1">
        <w:instrText>ADDIN CSL_CITATION { "citationItems" : [ { "id" : "ITEM-1", "itemData" : { "DOI" : "10.1016/J.RENENE.2010.07.009", "ISSN" : "0960-1481", "author" : [ { "dropping-particle" : "", "family" : "Esteban", "given" : "M", "non-dropping-particle" : "", "parse-names" : false, "suffix" : "" } ], "container-title" : "Renewable Energy", "id" : "ITEM-1", "issue" : "2", "issued" : { "date-parts" : [ [ "2011", "2", "1" ] ] }, "page" : "444-450", "publisher" : "Pergamon", "title" : "Why offshore wind energy?", "type" : "article-journal", "volume" : "36" }, "uris" : [ "http://www.mendeley.com/documents/?uuid=7e164a8b-dbf7-3b13-9c1e-3d2a6a5ac3ca" ] } ], "mendeley" : { "formattedCitation" : "(Esteban, 2011)", "manualFormatting" : "Esteban, 2011)", "plainTextFormattedCitation" : "(Esteban, 2011)", "previouslyFormattedCitation" : "(Esteban, 2011)" }, "properties" : {  }, "schema" : "https://github.com/citation-style-language/schema/raw/master/csl-citation.json" }</w:instrText>
      </w:r>
      <w:r w:rsidRPr="009F51A1">
        <w:fldChar w:fldCharType="separate"/>
      </w:r>
      <w:r w:rsidRPr="009F51A1">
        <w:rPr>
          <w:noProof/>
        </w:rPr>
        <w:t>Esteban, 2011)</w:t>
      </w:r>
      <w:bookmarkEnd w:id="46"/>
      <w:r w:rsidRPr="009F51A1">
        <w:fldChar w:fldCharType="end"/>
      </w:r>
    </w:p>
    <w:p w14:paraId="53020DEC" w14:textId="77777777" w:rsidR="00373AD0" w:rsidRPr="00327024" w:rsidRDefault="00373AD0" w:rsidP="00373AD0">
      <w:pPr>
        <w:pStyle w:val="Overskrift3"/>
        <w:numPr>
          <w:ilvl w:val="2"/>
          <w:numId w:val="1"/>
        </w:numPr>
      </w:pPr>
      <w:bookmarkStart w:id="47" w:name="_Toc505794515"/>
      <w:bookmarkStart w:id="48" w:name="_Toc505793562"/>
      <w:bookmarkStart w:id="49" w:name="_Toc506308007"/>
      <w:bookmarkEnd w:id="47"/>
      <w:r>
        <w:lastRenderedPageBreak/>
        <w:t>Environmental</w:t>
      </w:r>
      <w:bookmarkEnd w:id="48"/>
      <w:bookmarkEnd w:id="49"/>
    </w:p>
    <w:p w14:paraId="066DC6EF" w14:textId="4316BC0D" w:rsidR="00373AD0" w:rsidRDefault="00E00163" w:rsidP="00157AF8">
      <w:r>
        <w:rPr>
          <w:noProof/>
          <w:lang w:eastAsia="en-GB"/>
        </w:rPr>
        <w:drawing>
          <wp:anchor distT="0" distB="0" distL="114300" distR="114300" simplePos="0" relativeHeight="251669504" behindDoc="0" locked="0" layoutInCell="1" allowOverlap="1" wp14:anchorId="32931139" wp14:editId="580131AE">
            <wp:simplePos x="0" y="0"/>
            <wp:positionH relativeFrom="margin">
              <wp:align>left</wp:align>
            </wp:positionH>
            <wp:positionV relativeFrom="margin">
              <wp:posOffset>3921656</wp:posOffset>
            </wp:positionV>
            <wp:extent cx="5655945" cy="4327525"/>
            <wp:effectExtent l="0" t="0" r="1905"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5">
                      <a:extLst>
                        <a:ext uri="{28A0092B-C50C-407E-A947-70E740481C1C}">
                          <a14:useLocalDpi xmlns:a14="http://schemas.microsoft.com/office/drawing/2010/main" val="0"/>
                        </a:ext>
                      </a:extLst>
                    </a:blip>
                    <a:srcRect r="1297"/>
                    <a:stretch/>
                  </pic:blipFill>
                  <pic:spPr bwMode="auto">
                    <a:xfrm>
                      <a:off x="0" y="0"/>
                      <a:ext cx="5655945" cy="43275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73AD0">
        <w:t>WPG, both on and offshore, hold considerable environmental implications associated with development. Considering these implications in juxtaposition with those generated from NPG, assessment of impact is necessary to provide sufficient assessment of optimality of technology for future UK energy markets. Variation in environmental detriments related with energy production from aforementioned technologies is thought to be</w:t>
      </w:r>
      <w:r w:rsidR="003E79C2">
        <w:t xml:space="preserve"> </w:t>
      </w:r>
      <w:r w:rsidR="00373AD0">
        <w:t xml:space="preserve">significant judging from reviewed past assessments </w:t>
      </w:r>
      <w:r w:rsidR="00373AD0">
        <w:fldChar w:fldCharType="begin" w:fldLock="1"/>
      </w:r>
      <w:r w:rsidR="00373AD0">
        <w:instrText>ADDIN CSL_CITATION { "citationItems" : [ { "id" : "ITEM-1", "itemData" : { "DOI" : "10.1016/j.enpol.2016.08.023", "abstract" : "H I G H L I G H T S State aids for new nuclear power is compared with incentives for renewables. Hinkley Point C in the UK is considered as example for new nuclear power. Comparison is conducted for the UK at a country level and for the EU 28 overall. Analysis shows that renewable energies are more economical than nuclear power. a b s t r a c t The European Union is divided on the issue of electricity production. While there is consensus that generation technologies need to be low on greenhouse gas emissions, the question of whether to use renewables or nuclear to meet this power demand is highly controversial. Both options still require financial support and this is not going to change in the near future. This raises the question of where public money should be invested in order to achieve greater economic efficiency: into support for re-newable energies (RE) or support for nuclear power plants? This paper sets out to answer this question. The detailed model-based prospective scenario assess-ment performed in this study provides the basis for estimating future cost developments. After dis-cussing the existing support schemes for renewables, the paper compares these with a nuclear model. The comparison is conducted exemplarily for the United Kingdom (UK) at a country level and for the EU 28 overall. The recent state aid case for the construction of the Hinkley Point nuclear power plant (NPP) in the UK serves as the model for the nuclear option.", "author" : [ { "dropping-particle" : "", "family" : "Suna", "given" : "Demet", "non-dropping-particle" : "", "parse-names" : false, "suffix" : "" }, { "dropping-particle" : "", "family" : "Resch", "given" : "Gustav", "non-dropping-particle" : "", "parse-names" : false, "suffix" : "" } ], "id" : "ITEM-1", "issued" : { "date-parts" : [ [ "2016" ] ] }, "title" : "Is nuclear economical in comparison to renewables?", "type" : "article-journal" }, "uris" : [ "http://www.mendeley.com/documents/?uuid=7ff82be0-038f-3548-8ddc-0eba81e9e09b" ] }, { "id" : "ITEM-2", "itemData" : { "DOI" : "10.1016/j.apenergy.2015.04.102", "abstract" : "We compare a large number of cost-optimal future power systems for Great Britain. Scenarios are assessed on cost, emissions reductions, and energy security. Up to 60% of variable renewable capacity is possible with little cost increase. Higher shares require storage, imports or dispatchable renewables such as tidal range. a b s t r a c t Mitigating climate change is driving the need to decarbonize the electricity sector, for which various possible technological options exist, alongside uncertainty over which options are preferable in terms of cost, emissions reductions, and energy security. To reduce this uncertainty, we here quantify two ques-tions for the power system of Great Britain (England, Wales and Scotland): First, when compared within the same high-resolution modeling framework, how much do different combinations of technologies dif-fer in these three respects? Second, how strongly does the cost and availability of grid-scale storage affect overall system cost, and would it favor some technology combinations above others? We compare three main possible generation technologies: (1) renewables, (2) nuclear, and (3) fossil fuels (with/without car-bon capture and storage). Our results show that across a wide range of these combinations, the overall costs remain similar, implying that different configurations are equally feasible both technically and eco-nomically. However, the most economically favorable scenarios are not necessarily favorable in terms of emissions or energy security. The availability of grid-scale storage in scenarios with little dispatchable generation can reduce overall levelized electricity cost by up to 50%, depending on storage capacity costs. The UK can rely on its domestic wind and solar PV generation at lower renewable shares, with levelized costs only rising more than 10% above the mean of 0.084 GBP/kWh for shares of 50% and below at a 70% share, which is 35% higher. However, for more than an 80% renewable generation share to be economi-cally feasible, large-scale storage, significantly more power imports, or domestic dispatchable renewables like tidal range must be available.", "author" : [ { "dropping-particle" : "", "family" : "Pfenninger", "given" : "Stefan", "non-dropping-particle" : "", "parse-names" : false, "suffix" : "" }, { "dropping-particle" : "", "family" : "Keirstead", "given" : "James", "non-dropping-particle" : "", "parse-names" : false, "suffix" : "" } ], "container-title" : "Applied Energy", "id" : "ITEM-2", "issued" : { "date-parts" : [ [ "2015" ] ] }, "page" : "83-93", "title" : "Renewables, nuclear, or fossil fuels? Scenarios for Great Britain\u00e2\u20ac\u2122s power system considering costs, emissions and energy security", "type" : "article-journal", "volume" : "152" }, "uris" : [ "http://www.mendeley.com/documents/?uuid=a55c2614-8681-3a4a-ab6f-628ee1455d37" ] } ], "mendeley" : { "formattedCitation" : "(Pfenninger &amp; Keirstead, 2015; Suna &amp; Resch, 2016)", "plainTextFormattedCitation" : "(Pfenninger &amp; Keirstead, 2015; Suna &amp; Resch, 2016)", "previouslyFormattedCitation" : "(Pfenninger &amp; Keirstead, 2015; Suna &amp; Resch, 2016)" }, "properties" : {  }, "schema" : "https://github.com/citation-style-language/schema/raw/master/csl-citation.json" }</w:instrText>
      </w:r>
      <w:r w:rsidR="00373AD0">
        <w:fldChar w:fldCharType="separate"/>
      </w:r>
      <w:r w:rsidR="00373AD0" w:rsidRPr="000138E8">
        <w:rPr>
          <w:noProof/>
        </w:rPr>
        <w:t>(Pfenninger &amp; Keirstead, 2015; Suna &amp; Resch, 2016)</w:t>
      </w:r>
      <w:r w:rsidR="00373AD0">
        <w:fldChar w:fldCharType="end"/>
      </w:r>
      <w:r w:rsidR="00373AD0">
        <w:t>.  Figures 15, 16, and 17 represents life cycle distribution of emissions from NPG and WPG derived from a LCA (Life Cycle Analysis) literature review of nuclear, wind and natural gas combined cycle (NGCC) power generation prepared by Hatch Ltd for the Canadian Nuclear Association. Figures indicate apparent increased expulsion of pollutants (GHG, SOx, NOx, and Particulate matter (PM)) associated with NE plants, whereas WPG show the lowest levels of pollution amongst the assessed EGTs, suggesting WPG holds environmental advantages</w:t>
      </w:r>
      <w:r w:rsidR="00AE1047">
        <w:t xml:space="preserve"> over its respective counterparts</w:t>
      </w:r>
      <w:r w:rsidR="00373AD0">
        <w:t xml:space="preserve">. </w:t>
      </w:r>
    </w:p>
    <w:p w14:paraId="3C758362" w14:textId="3AF57390" w:rsidR="00373AD0" w:rsidRPr="009F51A1" w:rsidRDefault="00373AD0" w:rsidP="009F51A1">
      <w:pPr>
        <w:pStyle w:val="Bildetekst"/>
      </w:pPr>
      <w:bookmarkStart w:id="50" w:name="_Toc505794517"/>
      <w:bookmarkStart w:id="51" w:name="_Toc506305258"/>
      <w:r w:rsidRPr="009F51A1">
        <w:t xml:space="preserve">Figure </w:t>
      </w:r>
      <w:r w:rsidR="00B10DCD">
        <w:fldChar w:fldCharType="begin"/>
      </w:r>
      <w:r w:rsidR="00B10DCD">
        <w:instrText xml:space="preserve"> SEQ Figure \* ARABIC </w:instrText>
      </w:r>
      <w:r w:rsidR="00B10DCD">
        <w:fldChar w:fldCharType="separate"/>
      </w:r>
      <w:r w:rsidR="00A76550">
        <w:rPr>
          <w:noProof/>
        </w:rPr>
        <w:t>15</w:t>
      </w:r>
      <w:r w:rsidR="00B10DCD">
        <w:rPr>
          <w:noProof/>
        </w:rPr>
        <w:fldChar w:fldCharType="end"/>
      </w:r>
      <w:r w:rsidRPr="009F51A1">
        <w:t xml:space="preserve">: Life cycle distribution for offshore wind turbines </w:t>
      </w:r>
      <w:r w:rsidRPr="009F51A1">
        <w:fldChar w:fldCharType="begin" w:fldLock="1"/>
      </w:r>
      <w:r w:rsidRPr="009F51A1">
        <w:instrText>ADDIN CSL_CITATION { "citationItems" : [ { "id" : "ITEM-1", "itemData" : { "abstract" : "This report was prepared by Hatch Ltd. (\" Hatch \") for the sole and exclusive use by the Canadian Nuclear Association (the \" Owner \") for the purpose of reporting an objective and transparent compilation and review of Life Cycle Assessment (LCA) data pertaining to nuclear, wind and natural gas power generation (the \" Project \"), and may not be relied upon by any third party. Any use of this report by the Owner is subject to the terms and conditions of the services agreement H-345621-0000-313-001 between Hatch and the Owner dated January 24, 2014, including the limitations on liability set out therein.", "author" : [ { "dropping-particle" : "", "family" : "Hatch", "given" : "", "non-dropping-particle" : "", "parse-names" : false, "suffix" : "" } ], "container-title" : "Canadian Nuclear Association", "id" : "ITEM-1", "issued" : { "date-parts" : [ [ "2014" ] ] }, "title" : "Lifecycle Assessment Literature Review of Nuclear, Wind and Natural Gas Power Generation", "type" : "article-journal" }, "uris" : [ "http://www.mendeley.com/documents/?uuid=ae583062-3d68-3261-8557-703235da2431" ] } ], "mendeley" : { "formattedCitation" : "(Hatch, 2014)", "plainTextFormattedCitation" : "(Hatch, 2014)", "previouslyFormattedCitation" : "(Hatch, 2014)" }, "properties" : {  }, "schema" : "https://github.com/citation-style-language/schema/raw/master/csl-citation.json" }</w:instrText>
      </w:r>
      <w:r w:rsidRPr="009F51A1">
        <w:fldChar w:fldCharType="separate"/>
      </w:r>
      <w:r w:rsidRPr="009F51A1">
        <w:rPr>
          <w:noProof/>
        </w:rPr>
        <w:t>(Hatch, 2014)</w:t>
      </w:r>
      <w:bookmarkEnd w:id="50"/>
      <w:bookmarkEnd w:id="51"/>
      <w:r w:rsidRPr="009F51A1">
        <w:fldChar w:fldCharType="end"/>
      </w:r>
    </w:p>
    <w:p w14:paraId="033E282A" w14:textId="081C8A3C" w:rsidR="00373AD0" w:rsidRDefault="00373AD0" w:rsidP="00373AD0">
      <w:pPr>
        <w:keepNext/>
      </w:pPr>
      <w:r>
        <w:rPr>
          <w:noProof/>
          <w:lang w:eastAsia="en-GB"/>
        </w:rPr>
        <w:lastRenderedPageBreak/>
        <w:drawing>
          <wp:inline distT="0" distB="0" distL="0" distR="0" wp14:anchorId="3F1927FF" wp14:editId="465E3B59">
            <wp:extent cx="5660390" cy="4144939"/>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6">
                      <a:extLst>
                        <a:ext uri="{28A0092B-C50C-407E-A947-70E740481C1C}">
                          <a14:useLocalDpi xmlns:a14="http://schemas.microsoft.com/office/drawing/2010/main" val="0"/>
                        </a:ext>
                      </a:extLst>
                    </a:blip>
                    <a:srcRect t="3854"/>
                    <a:stretch/>
                  </pic:blipFill>
                  <pic:spPr bwMode="auto">
                    <a:xfrm>
                      <a:off x="0" y="0"/>
                      <a:ext cx="5664057" cy="4147624"/>
                    </a:xfrm>
                    <a:prstGeom prst="rect">
                      <a:avLst/>
                    </a:prstGeom>
                    <a:noFill/>
                    <a:ln>
                      <a:noFill/>
                    </a:ln>
                    <a:extLst>
                      <a:ext uri="{53640926-AAD7-44D8-BBD7-CCE9431645EC}">
                        <a14:shadowObscured xmlns:a14="http://schemas.microsoft.com/office/drawing/2010/main"/>
                      </a:ext>
                    </a:extLst>
                  </pic:spPr>
                </pic:pic>
              </a:graphicData>
            </a:graphic>
          </wp:inline>
        </w:drawing>
      </w:r>
    </w:p>
    <w:p w14:paraId="02977368" w14:textId="23399D79" w:rsidR="00373AD0" w:rsidRPr="009F51A1" w:rsidRDefault="00373AD0" w:rsidP="009F51A1">
      <w:pPr>
        <w:pStyle w:val="Bildetekst"/>
      </w:pPr>
      <w:bookmarkStart w:id="52" w:name="_Toc505794518"/>
      <w:bookmarkStart w:id="53" w:name="_Toc506305259"/>
      <w:r w:rsidRPr="009F51A1">
        <w:t xml:space="preserve">Figure </w:t>
      </w:r>
      <w:r w:rsidR="00B10DCD">
        <w:fldChar w:fldCharType="begin"/>
      </w:r>
      <w:r w:rsidR="00B10DCD">
        <w:instrText xml:space="preserve"> SEQ Figure \* ARABIC </w:instrText>
      </w:r>
      <w:r w:rsidR="00B10DCD">
        <w:fldChar w:fldCharType="separate"/>
      </w:r>
      <w:r w:rsidR="00A76550">
        <w:rPr>
          <w:noProof/>
        </w:rPr>
        <w:t>16</w:t>
      </w:r>
      <w:r w:rsidR="00B10DCD">
        <w:rPr>
          <w:noProof/>
        </w:rPr>
        <w:fldChar w:fldCharType="end"/>
      </w:r>
      <w:r w:rsidRPr="009F51A1">
        <w:t xml:space="preserve">: Life cycle distribution for nuclear power plants </w:t>
      </w:r>
      <w:r w:rsidRPr="009F51A1">
        <w:fldChar w:fldCharType="begin" w:fldLock="1"/>
      </w:r>
      <w:r w:rsidRPr="009F51A1">
        <w:instrText>ADDIN CSL_CITATION { "citationItems" : [ { "id" : "ITEM-1", "itemData" : { "abstract" : "This report was prepared by Hatch Ltd. (\" Hatch \") for the sole and exclusive use by the Canadian Nuclear Association (the \" Owner \") for the purpose of reporting an objective and transparent compilation and review of Life Cycle Assessment (LCA) data pertaining to nuclear, wind and natural gas power generation (the \" Project \"), and may not be relied upon by any third party. Any use of this report by the Owner is subject to the terms and conditions of the services agreement H-345621-0000-313-001 between Hatch and the Owner dated January 24, 2014, including the limitations on liability set out therein.", "author" : [ { "dropping-particle" : "", "family" : "Hatch", "given" : "", "non-dropping-particle" : "", "parse-names" : false, "suffix" : "" } ], "container-title" : "Canadian Nuclear Association", "id" : "ITEM-1", "issued" : { "date-parts" : [ [ "2014" ] ] }, "title" : "Lifecycle Assessment Literature Review of Nuclear, Wind and Natural Gas Power Generation", "type" : "article-journal" }, "uris" : [ "http://www.mendeley.com/documents/?uuid=ae583062-3d68-3261-8557-703235da2431" ] } ], "mendeley" : { "formattedCitation" : "(Hatch, 2014)", "plainTextFormattedCitation" : "(Hatch, 2014)", "previouslyFormattedCitation" : "(Hatch, 2014)" }, "properties" : {  }, "schema" : "https://github.com/citation-style-language/schema/raw/master/csl-citation.json" }</w:instrText>
      </w:r>
      <w:r w:rsidRPr="009F51A1">
        <w:fldChar w:fldCharType="separate"/>
      </w:r>
      <w:r w:rsidRPr="009F51A1">
        <w:rPr>
          <w:noProof/>
        </w:rPr>
        <w:t>(Hatch, 2014)</w:t>
      </w:r>
      <w:bookmarkEnd w:id="52"/>
      <w:bookmarkEnd w:id="53"/>
      <w:r w:rsidRPr="009F51A1">
        <w:fldChar w:fldCharType="end"/>
      </w:r>
    </w:p>
    <w:p w14:paraId="07330D57" w14:textId="380F8BEF" w:rsidR="00373AD0" w:rsidRDefault="00373AD0" w:rsidP="00373AD0">
      <w:pPr>
        <w:keepNext/>
      </w:pPr>
      <w:r>
        <w:rPr>
          <w:noProof/>
          <w:lang w:eastAsia="en-GB"/>
        </w:rPr>
        <w:drawing>
          <wp:inline distT="0" distB="0" distL="0" distR="0" wp14:anchorId="43382FCA" wp14:editId="012ED8B5">
            <wp:extent cx="5599430" cy="3916907"/>
            <wp:effectExtent l="0" t="0" r="127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631052" cy="3939027"/>
                    </a:xfrm>
                    <a:prstGeom prst="rect">
                      <a:avLst/>
                    </a:prstGeom>
                    <a:noFill/>
                    <a:ln>
                      <a:noFill/>
                    </a:ln>
                  </pic:spPr>
                </pic:pic>
              </a:graphicData>
            </a:graphic>
          </wp:inline>
        </w:drawing>
      </w:r>
    </w:p>
    <w:p w14:paraId="4C9381B1" w14:textId="7BA9590B" w:rsidR="00373AD0" w:rsidRPr="009F51A1" w:rsidRDefault="00373AD0" w:rsidP="009F51A1">
      <w:pPr>
        <w:pStyle w:val="Bildetekst"/>
      </w:pPr>
      <w:bookmarkStart w:id="54" w:name="_Toc505794519"/>
      <w:bookmarkStart w:id="55" w:name="_Toc506305260"/>
      <w:r w:rsidRPr="009F51A1">
        <w:t xml:space="preserve">Figure </w:t>
      </w:r>
      <w:r w:rsidR="00B10DCD">
        <w:fldChar w:fldCharType="begin"/>
      </w:r>
      <w:r w:rsidR="00B10DCD">
        <w:instrText xml:space="preserve"> SEQ Figure \* A</w:instrText>
      </w:r>
      <w:r w:rsidR="00B10DCD">
        <w:instrText xml:space="preserve">RABIC </w:instrText>
      </w:r>
      <w:r w:rsidR="00B10DCD">
        <w:fldChar w:fldCharType="separate"/>
      </w:r>
      <w:r w:rsidR="00A76550">
        <w:rPr>
          <w:noProof/>
        </w:rPr>
        <w:t>17</w:t>
      </w:r>
      <w:r w:rsidR="00B10DCD">
        <w:rPr>
          <w:noProof/>
        </w:rPr>
        <w:fldChar w:fldCharType="end"/>
      </w:r>
      <w:r w:rsidRPr="009F51A1">
        <w:t xml:space="preserve">: Total lifecycle emissions (Statistical approach) </w:t>
      </w:r>
      <w:r w:rsidRPr="009F51A1">
        <w:fldChar w:fldCharType="begin" w:fldLock="1"/>
      </w:r>
      <w:r w:rsidRPr="009F51A1">
        <w:instrText>ADDIN CSL_CITATION { "citationItems" : [ { "id" : "ITEM-1", "itemData" : { "abstract" : "This report was prepared by Hatch Ltd. (\" Hatch \") for the sole and exclusive use by the Canadian Nuclear Association (the \" Owner \") for the purpose of reporting an objective and transparent compilation and review of Life Cycle Assessment (LCA) data pertaining to nuclear, wind and natural gas power generation (the \" Project \"), and may not be relied upon by any third party. Any use of this report by the Owner is subject to the terms and conditions of the services agreement H-345621-0000-313-001 between Hatch and the Owner dated January 24, 2014, including the limitations on liability set out therein.", "author" : [ { "dropping-particle" : "", "family" : "Hatch", "given" : "", "non-dropping-particle" : "", "parse-names" : false, "suffix" : "" } ], "container-title" : "Canadian Nuclear Association", "id" : "ITEM-1", "issued" : { "date-parts" : [ [ "2014" ] ] }, "title" : "Lifecycle Assessment Literature Review of Nuclear, Wind and Natural Gas Power Generation", "type" : "article-journal" }, "uris" : [ "http://www.mendeley.com/documents/?uuid=ae583062-3d68-3261-8557-703235da2431" ] } ], "mendeley" : { "formattedCitation" : "(Hatch, 2014)", "plainTextFormattedCitation" : "(Hatch, 2014)", "previouslyFormattedCitation" : "(Hatch, 2014)" }, "properties" : {  }, "schema" : "https://github.com/citation-style-language/schema/raw/master/csl-citation.json" }</w:instrText>
      </w:r>
      <w:r w:rsidRPr="009F51A1">
        <w:fldChar w:fldCharType="separate"/>
      </w:r>
      <w:r w:rsidRPr="009F51A1">
        <w:rPr>
          <w:noProof/>
        </w:rPr>
        <w:t>(Hatch, 2014)</w:t>
      </w:r>
      <w:bookmarkEnd w:id="54"/>
      <w:bookmarkEnd w:id="55"/>
      <w:r w:rsidRPr="009F51A1">
        <w:fldChar w:fldCharType="end"/>
      </w:r>
    </w:p>
    <w:p w14:paraId="51E33344" w14:textId="25C94AA0" w:rsidR="00373AD0" w:rsidRPr="00D8172F" w:rsidRDefault="00373AD0" w:rsidP="00373AD0">
      <w:r>
        <w:lastRenderedPageBreak/>
        <w:t xml:space="preserve">Uncertainty regarding the embodied carbon (EC) of enriched uranium oxide </w:t>
      </w:r>
      <w:r w:rsidR="00CB18B3">
        <w:t>fuel</w:t>
      </w:r>
      <w:r>
        <w:t xml:space="preserve"> was expressed at the Hinkley Point B plant during </w:t>
      </w:r>
      <w:r w:rsidR="00833740">
        <w:t xml:space="preserve">personal communication </w:t>
      </w:r>
      <w:r>
        <w:t xml:space="preserve">inquiry with staff, prompting the assumption that substantial EC in fuel production processes are being neglected in LCAs of NPG plants. For this </w:t>
      </w:r>
      <w:r w:rsidR="00CB18B3">
        <w:t>paper,</w:t>
      </w:r>
      <w:r>
        <w:t xml:space="preserve"> there have not been any literature available on this subject, further substantiating the assumption. </w:t>
      </w:r>
    </w:p>
    <w:p w14:paraId="1432A8C6" w14:textId="1BC74E6A" w:rsidR="00373AD0" w:rsidRDefault="002F7FB9" w:rsidP="00373AD0">
      <w:pPr>
        <w:keepNext/>
      </w:pPr>
      <w:r>
        <w:rPr>
          <w:noProof/>
          <w:lang w:eastAsia="en-GB"/>
        </w:rPr>
        <w:drawing>
          <wp:anchor distT="0" distB="0" distL="114300" distR="114300" simplePos="0" relativeHeight="251675648" behindDoc="0" locked="0" layoutInCell="1" allowOverlap="1" wp14:anchorId="3EFC7602" wp14:editId="4A4D66C0">
            <wp:simplePos x="0" y="0"/>
            <wp:positionH relativeFrom="margin">
              <wp:align>center</wp:align>
            </wp:positionH>
            <wp:positionV relativeFrom="page">
              <wp:posOffset>3793831</wp:posOffset>
            </wp:positionV>
            <wp:extent cx="4646930" cy="2525395"/>
            <wp:effectExtent l="0" t="0" r="1270" b="8255"/>
            <wp:wrapSquare wrapText="bothSides"/>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8">
                      <a:extLst>
                        <a:ext uri="{28A0092B-C50C-407E-A947-70E740481C1C}">
                          <a14:useLocalDpi xmlns:a14="http://schemas.microsoft.com/office/drawing/2010/main" val="0"/>
                        </a:ext>
                      </a:extLst>
                    </a:blip>
                    <a:srcRect r="2971"/>
                    <a:stretch/>
                  </pic:blipFill>
                  <pic:spPr bwMode="auto">
                    <a:xfrm>
                      <a:off x="0" y="0"/>
                      <a:ext cx="4646930" cy="2525395"/>
                    </a:xfrm>
                    <a:prstGeom prst="rect">
                      <a:avLst/>
                    </a:prstGeom>
                    <a:noFill/>
                    <a:ln>
                      <a:noFill/>
                    </a:ln>
                    <a:extLst>
                      <a:ext uri="{53640926-AAD7-44D8-BBD7-CCE9431645EC}">
                        <a14:shadowObscured xmlns:a14="http://schemas.microsoft.com/office/drawing/2010/main"/>
                      </a:ext>
                    </a:extLst>
                  </pic:spPr>
                </pic:pic>
              </a:graphicData>
            </a:graphic>
          </wp:anchor>
        </w:drawing>
      </w:r>
      <w:r w:rsidR="00373AD0">
        <w:t>Figure 20 depicts overview of water usage for WPG (gallons per kWh), offshore (0.01 gal/kWh) and onshore (0.038 gal/kWh) compared to figure 21s representation of nuclear water usage (Closed loop cooling (CLC): 1.27 l/kWh ~ 0.28 gal/kWh) reveals a difference of 0.27 gal/kWh between offshore WPG and CLC NPG, indicating substantial water waste mitigation (and indirect energy savings) available through nuclear phase-out.</w:t>
      </w:r>
      <w:r w:rsidRPr="002F7FB9">
        <w:rPr>
          <w:noProof/>
          <w:lang w:eastAsia="en-GB"/>
        </w:rPr>
        <w:t xml:space="preserve"> </w:t>
      </w:r>
    </w:p>
    <w:p w14:paraId="76816B13" w14:textId="53024D31" w:rsidR="00373AD0" w:rsidRPr="009F51A1" w:rsidRDefault="00373AD0" w:rsidP="009F51A1">
      <w:pPr>
        <w:pStyle w:val="Bildetekst"/>
      </w:pPr>
      <w:bookmarkStart w:id="56" w:name="_Toc506305261"/>
      <w:bookmarkStart w:id="57" w:name="_Toc505794520"/>
      <w:r w:rsidRPr="009F51A1">
        <w:t xml:space="preserve">Figure </w:t>
      </w:r>
      <w:r w:rsidR="00B10DCD">
        <w:fldChar w:fldCharType="begin"/>
      </w:r>
      <w:r w:rsidR="00B10DCD">
        <w:instrText xml:space="preserve"> SEQ Figure \* ARABIC </w:instrText>
      </w:r>
      <w:r w:rsidR="00B10DCD">
        <w:fldChar w:fldCharType="separate"/>
      </w:r>
      <w:r w:rsidR="00A76550">
        <w:rPr>
          <w:noProof/>
        </w:rPr>
        <w:t>18</w:t>
      </w:r>
      <w:r w:rsidR="00B10DCD">
        <w:rPr>
          <w:noProof/>
        </w:rPr>
        <w:fldChar w:fldCharType="end"/>
      </w:r>
      <w:r w:rsidRPr="009F51A1">
        <w:t xml:space="preserve">: Environmental impacts (c ) water withdrawal (gal/kWh) </w:t>
      </w:r>
      <w:r w:rsidRPr="009F51A1">
        <w:fldChar w:fldCharType="begin" w:fldLock="1"/>
      </w:r>
      <w:r w:rsidRPr="009F51A1">
        <w:instrText>ADDIN CSL_CITATION { "citationItems" : [ { "id" : "ITEM-1", "itemData" : { "DOI" : "10.1080/15435075.2014.890103", "ISSN" : "1543-5075", "abstract" : "According to the U.S. Department of Energy\u2019s wind energy scenario, 20% share of the U.S. energy portfolio is to come in from wind power plants by the year 2030. This research aims to quantify the direct and supply chain related indirect environmental impacts of onshore and offshore wind energy technologies in the United States. To accomplish this goal, a hybrid life cycle assessment (LCA) model is developed. On average, offshore wind turbines produce 48% less greenhouse gas emissions per kWh produced electricity than onshore wind turbines. It is also found that the more the capacity of the wind turbine, the less the environmental impact when the turbine generates per kWh electricity.", "author" : [ { "dropping-particle" : "", "family" : "Noori", "given" : "M.", "non-dropping-particle" : "", "parse-names" : false, "suffix" : "" }, { "dropping-particle" : "", "family" : "Kucukvar", "given" : "M.", "non-dropping-particle" : "", "parse-names" : false, "suffix" : "" }, { "dropping-particle" : "", "family" : "Tatari", "given" : "O.", "non-dropping-particle" : "", "parse-names" : false, "suffix" : "" } ], "container-title" : "International Journal of Green Energy", "id" : "ITEM-1", "issue" : "9", "issued" : { "date-parts" : [ [ "2015", "9", "2" ] ] }, "page" : "939-948", "publisher" : "Taylor &amp; Francis", "title" : "Economic Input\u2013Output Based Sustainability Analysis of Onshore and Offshore Wind Energy Systems", "type" : "article-journal", "volume" : "12" }, "uris" : [ "http://www.mendeley.com/documents/?uuid=63b94195-3530-368c-bc23-e82a79f32787" ] } ], "mendeley" : { "formattedCitation" : "(Noori, Kucukvar, &amp; Tatari, 2015)", "plainTextFormattedCitation" : "(Noori, Kucukvar, &amp; Tatari, 2015)", "previouslyFormattedCitation" : "(Noori, Kucukvar, &amp; Tatari, 2015)" }, "properties" : {  }, "schema" : "https://github.com/citation-style-language/schema/raw/master/csl-citation.json" }</w:instrText>
      </w:r>
      <w:r w:rsidRPr="009F51A1">
        <w:fldChar w:fldCharType="separate"/>
      </w:r>
      <w:bookmarkEnd w:id="57"/>
      <w:r w:rsidRPr="009F51A1">
        <w:rPr>
          <w:noProof/>
        </w:rPr>
        <w:t>(Noori, Kucukvar, &amp; Tatari, 2015)</w:t>
      </w:r>
      <w:bookmarkEnd w:id="56"/>
      <w:r w:rsidRPr="009F51A1">
        <w:fldChar w:fldCharType="end"/>
      </w:r>
    </w:p>
    <w:p w14:paraId="5DF5AC1D" w14:textId="77777777" w:rsidR="00373AD0" w:rsidRDefault="00373AD0" w:rsidP="00373AD0">
      <w:pPr>
        <w:keepNext/>
        <w:jc w:val="center"/>
      </w:pPr>
      <w:r>
        <w:rPr>
          <w:noProof/>
          <w:lang w:eastAsia="en-GB"/>
        </w:rPr>
        <w:drawing>
          <wp:inline distT="0" distB="0" distL="0" distR="0" wp14:anchorId="3465B827" wp14:editId="3D56909A">
            <wp:extent cx="4713047" cy="1232535"/>
            <wp:effectExtent l="0" t="0" r="0" b="5715"/>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068416" cy="1325469"/>
                    </a:xfrm>
                    <a:prstGeom prst="rect">
                      <a:avLst/>
                    </a:prstGeom>
                    <a:noFill/>
                    <a:ln>
                      <a:noFill/>
                    </a:ln>
                  </pic:spPr>
                </pic:pic>
              </a:graphicData>
            </a:graphic>
          </wp:inline>
        </w:drawing>
      </w:r>
    </w:p>
    <w:p w14:paraId="34D8CA40" w14:textId="14EEF0D3" w:rsidR="00373AD0" w:rsidRPr="009F51A1" w:rsidRDefault="00373AD0" w:rsidP="009F51A1">
      <w:pPr>
        <w:pStyle w:val="Bildetekst"/>
      </w:pPr>
      <w:bookmarkStart w:id="58" w:name="_Toc505794521"/>
      <w:bookmarkStart w:id="59" w:name="_Toc506305262"/>
      <w:r w:rsidRPr="009F51A1">
        <w:t xml:space="preserve">Figure </w:t>
      </w:r>
      <w:r w:rsidR="00B10DCD">
        <w:fldChar w:fldCharType="begin"/>
      </w:r>
      <w:r w:rsidR="00B10DCD">
        <w:instrText xml:space="preserve"> SEQ Figure \* ARABIC </w:instrText>
      </w:r>
      <w:r w:rsidR="00B10DCD">
        <w:fldChar w:fldCharType="separate"/>
      </w:r>
      <w:r w:rsidR="00A76550">
        <w:rPr>
          <w:noProof/>
        </w:rPr>
        <w:t>19</w:t>
      </w:r>
      <w:r w:rsidR="00B10DCD">
        <w:rPr>
          <w:noProof/>
        </w:rPr>
        <w:fldChar w:fldCharType="end"/>
      </w:r>
      <w:r w:rsidRPr="009F51A1">
        <w:t xml:space="preserve">: Summary table of the water use factors used for the projections, split by generation and cooling technology. O, Open loop, C, Closed loop recirculating, H, Hybrid cooling (35%dry, 65%wet) </w:t>
      </w:r>
      <w:r w:rsidRPr="009F51A1">
        <w:fldChar w:fldCharType="begin" w:fldLock="1"/>
      </w:r>
      <w:r w:rsidRPr="009F51A1">
        <w:instrText>ADDIN CSL_CITATION { "citationItems" : [ { "id" : "ITEM-1", "itemData" : { "DOI" : "10.1016/J.GLOENVCHA.2014.01.005", "author" : [ { "dropping-particle" : "", "family" : "Byers", "given" : "edward", "non-dropping-particle" : "", "parse-names" : false, "suffix" : "" }, { "dropping-particle" : "", "family" : "Hall", "given" : "Jim", "non-dropping-particle" : "", "parse-names" : false, "suffix" : "" }, { "dropping-particle" : "", "family" : "Amezaga", "given" : "Jamie", "non-dropping-particle" : "", "parse-names" : false, "suffix" : "" } ], "container-title" : "Global Environmental Change", "id" : "ITEM-1", "issued" : { "date-parts" : [ [ "2014", "3", "1" ] ] }, "page" : "16-30", "publisher" : "Pergamon", "title" : "Electricity generation and cooling water use: UK pathways to 2050", "type" : "article-journal", "volume" : "25" }, "uris" : [ "http://www.mendeley.com/documents/?uuid=1674ccb9-e86d-341c-b08e-a7c29ed3ca18" ] } ], "mendeley" : { "formattedCitation" : "(Byers, Hall, &amp; Amezaga, 2014)", "plainTextFormattedCitation" : "(Byers, Hall, &amp; Amezaga, 2014)", "previouslyFormattedCitation" : "(Byers, Hall, &amp; Amezaga, 2014)" }, "properties" : {  }, "schema" : "https://github.com/citation-style-language/schema/raw/master/csl-citation.json" }</w:instrText>
      </w:r>
      <w:r w:rsidRPr="009F51A1">
        <w:fldChar w:fldCharType="separate"/>
      </w:r>
      <w:r w:rsidRPr="009F51A1">
        <w:rPr>
          <w:noProof/>
        </w:rPr>
        <w:t>(Byers, Hall, &amp; Amezaga, 2014)</w:t>
      </w:r>
      <w:bookmarkEnd w:id="58"/>
      <w:bookmarkEnd w:id="59"/>
      <w:r w:rsidRPr="009F51A1">
        <w:fldChar w:fldCharType="end"/>
      </w:r>
    </w:p>
    <w:p w14:paraId="46D89D3C" w14:textId="2193A5FB" w:rsidR="002F7FB9" w:rsidRDefault="00373AD0" w:rsidP="002F7FB9">
      <w:pPr>
        <w:keepNext/>
      </w:pPr>
      <w:r>
        <w:lastRenderedPageBreak/>
        <w:t>Energy density (m</w:t>
      </w:r>
      <w:r>
        <w:rPr>
          <w:vertAlign w:val="superscript"/>
        </w:rPr>
        <w:t>2</w:t>
      </w:r>
      <w:r>
        <w:t>/kWh) and land uptake (</w:t>
      </w:r>
      <w:r w:rsidRPr="00D76F91">
        <w:t>km</w:t>
      </w:r>
      <w:r w:rsidRPr="00D76F91">
        <w:rPr>
          <w:vertAlign w:val="superscript"/>
        </w:rPr>
        <w:t>2</w:t>
      </w:r>
      <w:r>
        <w:t xml:space="preserve">) </w:t>
      </w:r>
      <w:r w:rsidRPr="00D76F91">
        <w:t>for</w:t>
      </w:r>
      <w:r>
        <w:t xml:space="preserve"> the respective technologies is </w:t>
      </w:r>
      <w:r w:rsidR="00046572">
        <w:t>p</w:t>
      </w:r>
      <w:r>
        <w:t>resented in figure 20.</w:t>
      </w:r>
    </w:p>
    <w:p w14:paraId="48978EBE" w14:textId="374E0312" w:rsidR="002F7FB9" w:rsidRDefault="00373AD0" w:rsidP="002F7FB9">
      <w:pPr>
        <w:keepNext/>
        <w:jc w:val="center"/>
      </w:pPr>
      <w:r>
        <w:t xml:space="preserve"> </w:t>
      </w:r>
      <w:r w:rsidR="002F7FB9">
        <w:rPr>
          <w:noProof/>
          <w:lang w:eastAsia="en-GB"/>
        </w:rPr>
        <w:drawing>
          <wp:inline distT="0" distB="0" distL="0" distR="0" wp14:anchorId="6E17BB9A" wp14:editId="1F84FE0E">
            <wp:extent cx="3604049" cy="1578634"/>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743376" cy="1639662"/>
                    </a:xfrm>
                    <a:prstGeom prst="rect">
                      <a:avLst/>
                    </a:prstGeom>
                    <a:noFill/>
                    <a:ln>
                      <a:noFill/>
                    </a:ln>
                  </pic:spPr>
                </pic:pic>
              </a:graphicData>
            </a:graphic>
          </wp:inline>
        </w:drawing>
      </w:r>
    </w:p>
    <w:p w14:paraId="794BDAD9" w14:textId="782AA5C8" w:rsidR="002F7FB9" w:rsidRPr="009F51A1" w:rsidRDefault="002F7FB9" w:rsidP="009F51A1">
      <w:pPr>
        <w:pStyle w:val="Bildetekst"/>
      </w:pPr>
      <w:bookmarkStart w:id="60" w:name="_Toc506305263"/>
      <w:r w:rsidRPr="009F51A1">
        <w:t xml:space="preserve">Figure </w:t>
      </w:r>
      <w:r w:rsidR="00B10DCD">
        <w:fldChar w:fldCharType="begin"/>
      </w:r>
      <w:r w:rsidR="00B10DCD">
        <w:instrText xml:space="preserve"> SEQ Figure \* ARABIC </w:instrText>
      </w:r>
      <w:r w:rsidR="00B10DCD">
        <w:fldChar w:fldCharType="separate"/>
      </w:r>
      <w:r w:rsidR="00A76550">
        <w:rPr>
          <w:noProof/>
        </w:rPr>
        <w:t>20</w:t>
      </w:r>
      <w:r w:rsidR="00B10DCD">
        <w:rPr>
          <w:noProof/>
        </w:rPr>
        <w:fldChar w:fldCharType="end"/>
      </w:r>
      <w:r w:rsidRPr="009F51A1">
        <w:t xml:space="preserve">: Summary of estimated land-take and energy density for the nuclear and renewable power generators examined in the present study </w:t>
      </w:r>
      <w:r w:rsidRPr="009F51A1">
        <w:fldChar w:fldCharType="begin" w:fldLock="1"/>
      </w:r>
      <w:r w:rsidRPr="009F51A1">
        <w:instrText>ADDIN CSL_CITATION { "citationItems" : [ { "id" : "ITEM-1", "itemData" : { "DOI" : "10.1016/J.JOEI.2016.02.003", "ISSN" : "1743-9671", "author" : [ { "dropping-particle" : "", "family" : "Cheng", "given" : "Vincent", "non-dropping-particle" : "", "parse-names" : false, "suffix" : "" }, { "dropping-particle" : "", "family" : "Hammond", "given" : "Geoffrey", "non-dropping-particle" : "", "parse-names" : false, "suffix" : "" } ], "container-title" : "Journal of the Energy Institute", "id" : "ITEM-1", "issue" : "2", "issued" : { "date-parts" : [ [ "2017", "4", "1" ] ] }, "page" : "201-213", "publisher" : "Elsevier", "title" : "Life-cycle energy densities and land-take requirements of various power generators: A UK perspective", "type" : "article-journal", "volume" : "90" }, "uris" : [ "http://www.mendeley.com/documents/?uuid=201089f9-7427-3834-89c0-9f8735a8e47a" ] } ], "mendeley" : { "formattedCitation" : "(V. Cheng &amp; Hammond, 2017)", "manualFormatting" : "(Cheng &amp; Hammond, 2017)", "plainTextFormattedCitation" : "(V. Cheng &amp; Hammond, 2017)", "previouslyFormattedCitation" : "(V. Cheng &amp; Hammond, 2017)" }, "properties" : {  }, "schema" : "https://github.com/citation-style-language/schema/raw/master/csl-citation.json" }</w:instrText>
      </w:r>
      <w:r w:rsidRPr="009F51A1">
        <w:fldChar w:fldCharType="separate"/>
      </w:r>
      <w:r w:rsidRPr="009F51A1">
        <w:rPr>
          <w:noProof/>
        </w:rPr>
        <w:t>(Cheng &amp; Hammond, 2017)</w:t>
      </w:r>
      <w:bookmarkEnd w:id="60"/>
      <w:r w:rsidRPr="009F51A1">
        <w:fldChar w:fldCharType="end"/>
      </w:r>
    </w:p>
    <w:p w14:paraId="5CA537FE" w14:textId="4A89BE55" w:rsidR="002F7FB9" w:rsidRDefault="00373AD0" w:rsidP="00046572">
      <w:r>
        <w:t>This metric provides oversight of land uptake over kWh generated suggesting energy density of off-shore to be more sustainable than that of on shore (22.64 GWh/km</w:t>
      </w:r>
      <w:r>
        <w:rPr>
          <w:vertAlign w:val="superscript"/>
        </w:rPr>
        <w:t>2</w:t>
      </w:r>
      <w:r>
        <w:t xml:space="preserve">), whereas NPG clearly appears superior in this category holding energy densities of notably less intrusive land uptake. This does not take into account the improvement of technologies prognosticated to occur over the coming decades, where off shore wind, inter alia the recipient of increased investor interest (due to e.g. its vast potential due to marine area significance), is estimated to become more energy density efficient </w:t>
      </w:r>
      <w:r>
        <w:fldChar w:fldCharType="begin" w:fldLock="1"/>
      </w:r>
      <w:r>
        <w:instrText>ADDIN CSL_CITATION { "citationItems" : [ { "id" : "ITEM-1", "itemData" : { "DOI" : "10.1016/J.ENPOL.2017.06.042", "ISSN" : "0301-4215", "abstract" : "Offshore wind power (OSW) plays a key role within the UK strategy for a transition towards a low-carbon economy, offering vast potential for establishing a high-tech manufacturing industry. Previous experiences in the onshore sector (OWP) suggest the UK might fail in fully capturing these macroeconomic benefits. In this work, we investigate the history of UK renewable policies, comparing its national strategy to those of other major OSW-export countries. Through the use of a numerical general equilibrium model, we quantify the macroeconomic impacts under three scenarios: a baseline, which relies on previous estimates and foresee limited local content; a \u2018contamination\u2019 scenario, where the UK content reaches the same levels of OWP; and a \u2018non-myopic\u2019 scenario, where investors expect governmental support to decrease or disappear, replicating a common path of past renewable policies. We identify the UK as a FDI-oriented country. Our results suggest that increasing the share of locally-sourced capital goods in OSP to OWP-level could generate larger income and employment effects in the UK economy. We find that under forward-looking investors the economic benefits are significantly lower than the case of myopic agents. Our results show an inherent conflict with stated purposes of UK policy for OSW.", "author" : [ { "dropping-particle" : "", "family" : "Graziano", "given" : "Marcello", "non-dropping-particle" : "", "parse-names" : false, "suffix" : "" }, { "dropping-particle" : "", "family" : "Lecca", "given" : "Patrizio", "non-dropping-particle" : "", "parse-names" : false, "suffix" : "" }, { "dropping-particle" : "", "family" : "Musso", "given" : "Marta", "non-dropping-particle" : "", "parse-names" : false, "suffix" : "" } ], "container-title" : "Energy Policy", "id" : "ITEM-1", "issued" : { "date-parts" : [ [ "2017", "9", "1" ] ] }, "page" : "715-730", "publisher" : "Elsevier", "title" : "Historic paths and future expectations: The macroeconomic impacts of the offshore wind technologies in the UK", "type" : "article-journal", "volume" : "108" }, "uris" : [ "http://www.mendeley.com/documents/?uuid=f438244a-d47a-3f1a-96ec-da5a12499902" ] }, { "id" : "ITEM-2", "itemData" : { "DOI" : "10.1016/J.RENENE.2010.07.009", "ISSN" : "0960-1481", "author" : [ { "dropping-particle" : "", "family" : "Esteban", "given" : "M", "non-dropping-particle" : "", "parse-names" : false, "suffix" : "" } ], "container-title" : "Renewable Energy", "id" : "ITEM-2", "issue" : "2", "issued" : { "date-parts" : [ [ "2011", "2", "1" ] ] }, "page" : "444-450", "publisher" : "Pergamon", "title" : "Why offshore wind energy?", "type" : "article-journal", "volume" : "36" }, "uris" : [ "http://www.mendeley.com/documents/?uuid=7e164a8b-dbf7-3b13-9c1e-3d2a6a5ac3ca" ] }, { "id" : "ITEM-3", "itemData" : { "author" : [ { "dropping-particle" : "", "family" : "Thomson", "given" : "R Camilla", "non-dropping-particle" : "", "parse-names" : false, "suffix" : "" }, { "dropping-particle" : "", "family" : "Harrison", "given" : "G P", "non-dropping-particle" : "", "parse-names" : false, "suffix" : "" } ], "container-title" : "Institute for Energy Systems", "id" : "ITEM-3", "issued" : { "date-parts" : [ [ "2018" ] ] }, "title" : "Costs of Offshore Wind Presentation Costs of Offshore Wind", "type" : "article-journal" }, "uris" : [ "http://www.mendeley.com/documents/?uuid=503ebfc9-f65d-3695-9be0-3ae838ab0858" ] } ], "mendeley" : { "formattedCitation" : "(Esteban, 2011; Graziano, Lecca, &amp; Musso, 2017; Thomson &amp; Harrison, 2018)", "plainTextFormattedCitation" : "(Esteban, 2011; Graziano, Lecca, &amp; Musso, 2017; Thomson &amp; Harrison, 2018)", "previouslyFormattedCitation" : "(Esteban, 2011; Graziano, Lecca, &amp; Musso, 2017; Thomson &amp; Harrison, 2018)" }, "properties" : {  }, "schema" : "https://github.com/citation-style-language/schema/raw/master/csl-citation.json" }</w:instrText>
      </w:r>
      <w:r>
        <w:fldChar w:fldCharType="separate"/>
      </w:r>
      <w:r w:rsidRPr="004A2FED">
        <w:rPr>
          <w:noProof/>
        </w:rPr>
        <w:t>(Esteban, 2011; Graziano, Lecca, &amp; Musso, 2017; Thomson &amp; Harrison, 2018)</w:t>
      </w:r>
      <w:r>
        <w:fldChar w:fldCharType="end"/>
      </w:r>
      <w:r>
        <w:t xml:space="preserve">. This is further substantiated and supported by the statement made by Noori et al.: “the more the capacity of the wind turbine, the less the environmental impact when the turbine generates per kWh electricity” </w:t>
      </w:r>
      <w:r>
        <w:fldChar w:fldCharType="begin" w:fldLock="1"/>
      </w:r>
      <w:r>
        <w:instrText>ADDIN CSL_CITATION { "citationItems" : [ { "id" : "ITEM-1", "itemData" : { "DOI" : "10.1080/15435075.2014.890103", "ISSN" : "1543-5075", "abstract" : "According to the U.S. Department of Energy\u2019s wind energy scenario, 20% share of the U.S. energy portfolio is to come in from wind power plants by the year 2030. This research aims to quantify the direct and supply chain related indirect environmental impacts of onshore and offshore wind energy technologies in the United States. To accomplish this goal, a hybrid life cycle assessment (LCA) model is developed. On average, offshore wind turbines produce 48% less greenhouse gas emissions per kWh produced electricity than onshore wind turbines. It is also found that the more the capacity of the wind turbine, the less the environmental impact when the turbine generates per kWh electricity.", "author" : [ { "dropping-particle" : "", "family" : "Noori", "given" : "M.", "non-dropping-particle" : "", "parse-names" : false, "suffix" : "" }, { "dropping-particle" : "", "family" : "Kucukvar", "given" : "M.", "non-dropping-particle" : "", "parse-names" : false, "suffix" : "" }, { "dropping-particle" : "", "family" : "Tatari", "given" : "O.", "non-dropping-particle" : "", "parse-names" : false, "suffix" : "" } ], "container-title" : "International Journal of Green Energy", "id" : "ITEM-1", "issue" : "9", "issued" : { "date-parts" : [ [ "2015", "9", "2" ] ] }, "page" : "939-948", "publisher" : "Taylor &amp; Francis", "title" : "Economic Input\u2013Output Based Sustainability Analysis of Onshore and Offshore Wind Energy Systems", "type" : "article-journal", "volume" : "12" }, "uris" : [ "http://www.mendeley.com/documents/?uuid=63b94195-3530-368c-bc23-e82a79f32787" ] } ], "mendeley" : { "formattedCitation" : "(Noori et al., 2015)", "plainTextFormattedCitation" : "(Noori et al., 2015)", "previouslyFormattedCitation" : "(Noori et al., 2015)" }, "properties" : {  }, "schema" : "https://github.com/citation-style-language/schema/raw/master/csl-citation.json" }</w:instrText>
      </w:r>
      <w:r>
        <w:fldChar w:fldCharType="separate"/>
      </w:r>
      <w:r w:rsidRPr="009B79B5">
        <w:rPr>
          <w:noProof/>
        </w:rPr>
        <w:t>(Noori et al., 2015)</w:t>
      </w:r>
      <w:r>
        <w:fldChar w:fldCharType="end"/>
      </w:r>
      <w:r>
        <w:t xml:space="preserve">. </w:t>
      </w:r>
    </w:p>
    <w:p w14:paraId="2AA82EFB" w14:textId="71CDD3F5" w:rsidR="00373AD0" w:rsidRDefault="002F7FB9" w:rsidP="002F7FB9">
      <w:pPr>
        <w:pStyle w:val="Overskrift3"/>
      </w:pPr>
      <w:bookmarkStart w:id="61" w:name="_Toc505793563"/>
      <w:bookmarkStart w:id="62" w:name="_Toc506308008"/>
      <w:r>
        <w:t xml:space="preserve">3.1.2 </w:t>
      </w:r>
      <w:r w:rsidR="00373AD0">
        <w:t>Social</w:t>
      </w:r>
      <w:bookmarkEnd w:id="61"/>
      <w:bookmarkEnd w:id="62"/>
    </w:p>
    <w:p w14:paraId="1E44FAB2" w14:textId="1A556C1E" w:rsidR="002F7FB9" w:rsidRDefault="002F7FB9" w:rsidP="002F7FB9">
      <w:pPr>
        <w:pStyle w:val="Overskrift4"/>
      </w:pPr>
      <w:bookmarkStart w:id="63" w:name="_Toc505793626"/>
      <w:bookmarkStart w:id="64" w:name="_Toc506308009"/>
      <w:r>
        <w:t xml:space="preserve">3.1.2.1 </w:t>
      </w:r>
      <w:r w:rsidR="00373AD0">
        <w:t>Health</w:t>
      </w:r>
      <w:bookmarkEnd w:id="63"/>
      <w:bookmarkEnd w:id="64"/>
    </w:p>
    <w:p w14:paraId="111F2037" w14:textId="7B8317F0" w:rsidR="00373AD0" w:rsidRPr="00566727" w:rsidRDefault="00373AD0" w:rsidP="00373AD0">
      <w:r>
        <w:t xml:space="preserve">Health detriments and benefits associated with EGTs vary greatly between respective technologies. As figures 21 depicts, the variance in fatalities per GWh (Ft/GWh) is relatively unevenly distributed with nuclear (PWR) being accountable for 0.014524 Ft/GWh (neglecting disasters and its hereditary impact on global populations), and on and offshore wind comprising 0.00189 and 0.00641 Ft/GWh respectively. Regardless of risks associated with NPG related accidents, Ft/GWh from renewables appear preferable to those of NPG. </w:t>
      </w:r>
    </w:p>
    <w:p w14:paraId="722386F7" w14:textId="77777777" w:rsidR="00373AD0" w:rsidRDefault="00373AD0" w:rsidP="00373AD0">
      <w:pPr>
        <w:keepNext/>
        <w:ind w:firstLine="0"/>
        <w:jc w:val="center"/>
      </w:pPr>
      <w:r>
        <w:rPr>
          <w:noProof/>
          <w:lang w:eastAsia="en-GB"/>
        </w:rPr>
        <w:lastRenderedPageBreak/>
        <w:drawing>
          <wp:inline distT="0" distB="0" distL="0" distR="0" wp14:anchorId="37038ECE" wp14:editId="1E8A3DE5">
            <wp:extent cx="5718175" cy="221488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41">
                      <a:extLst>
                        <a:ext uri="{28A0092B-C50C-407E-A947-70E740481C1C}">
                          <a14:useLocalDpi xmlns:a14="http://schemas.microsoft.com/office/drawing/2010/main" val="0"/>
                        </a:ext>
                      </a:extLst>
                    </a:blip>
                    <a:srcRect t="2597" b="3055"/>
                    <a:stretch/>
                  </pic:blipFill>
                  <pic:spPr bwMode="auto">
                    <a:xfrm>
                      <a:off x="0" y="0"/>
                      <a:ext cx="5718175" cy="2214880"/>
                    </a:xfrm>
                    <a:prstGeom prst="rect">
                      <a:avLst/>
                    </a:prstGeom>
                    <a:noFill/>
                    <a:ln>
                      <a:noFill/>
                    </a:ln>
                    <a:extLst>
                      <a:ext uri="{53640926-AAD7-44D8-BBD7-CCE9431645EC}">
                        <a14:shadowObscured xmlns:a14="http://schemas.microsoft.com/office/drawing/2010/main"/>
                      </a:ext>
                    </a:extLst>
                  </pic:spPr>
                </pic:pic>
              </a:graphicData>
            </a:graphic>
          </wp:inline>
        </w:drawing>
      </w:r>
    </w:p>
    <w:p w14:paraId="57FD9948" w14:textId="59AD94E6" w:rsidR="00373AD0" w:rsidRPr="009F51A1" w:rsidRDefault="00373AD0" w:rsidP="009F51A1">
      <w:pPr>
        <w:pStyle w:val="Bildetekst"/>
      </w:pPr>
      <w:bookmarkStart w:id="65" w:name="_Toc505794522"/>
      <w:bookmarkStart w:id="66" w:name="_Toc506305264"/>
      <w:r w:rsidRPr="009F51A1">
        <w:t xml:space="preserve">Figure </w:t>
      </w:r>
      <w:r w:rsidR="00B10DCD">
        <w:fldChar w:fldCharType="begin"/>
      </w:r>
      <w:r w:rsidR="00B10DCD">
        <w:instrText xml:space="preserve"> SEQ Figure \* ARABIC </w:instrText>
      </w:r>
      <w:r w:rsidR="00B10DCD">
        <w:fldChar w:fldCharType="separate"/>
      </w:r>
      <w:r w:rsidR="00A76550">
        <w:rPr>
          <w:noProof/>
        </w:rPr>
        <w:t>21</w:t>
      </w:r>
      <w:r w:rsidR="00B10DCD">
        <w:rPr>
          <w:noProof/>
        </w:rPr>
        <w:fldChar w:fldCharType="end"/>
      </w:r>
      <w:r w:rsidRPr="009F51A1">
        <w:t>: Fatalities from accidents per GWh (e) (IPCC, 2011 cited in McCombie and Jefferson, 2016)</w:t>
      </w:r>
      <w:bookmarkEnd w:id="65"/>
      <w:bookmarkEnd w:id="66"/>
      <w:r w:rsidRPr="009F51A1">
        <w:t xml:space="preserve"> </w:t>
      </w:r>
    </w:p>
    <w:p w14:paraId="36EE3A32" w14:textId="2AF6C8D5" w:rsidR="00373AD0" w:rsidRDefault="00373AD0" w:rsidP="00373AD0">
      <w:r>
        <w:rPr>
          <w:noProof/>
          <w:lang w:eastAsia="en-GB"/>
        </w:rPr>
        <w:drawing>
          <wp:anchor distT="0" distB="0" distL="114300" distR="114300" simplePos="0" relativeHeight="251668480" behindDoc="0" locked="0" layoutInCell="1" allowOverlap="1" wp14:anchorId="3875317D" wp14:editId="531DB8A9">
            <wp:simplePos x="0" y="0"/>
            <wp:positionH relativeFrom="margin">
              <wp:align>left</wp:align>
            </wp:positionH>
            <wp:positionV relativeFrom="paragraph">
              <wp:posOffset>2533309</wp:posOffset>
            </wp:positionV>
            <wp:extent cx="5758815" cy="3321685"/>
            <wp:effectExtent l="0" t="0" r="0" b="0"/>
            <wp:wrapTopAndBottom/>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42">
                      <a:extLst>
                        <a:ext uri="{28A0092B-C50C-407E-A947-70E740481C1C}">
                          <a14:useLocalDpi xmlns:a14="http://schemas.microsoft.com/office/drawing/2010/main" val="0"/>
                        </a:ext>
                      </a:extLst>
                    </a:blip>
                    <a:srcRect t="16118"/>
                    <a:stretch/>
                  </pic:blipFill>
                  <pic:spPr bwMode="auto">
                    <a:xfrm>
                      <a:off x="0" y="0"/>
                      <a:ext cx="5758815" cy="33216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Figures 22, 23, and 24 depict overviews of cumulative distribution of impacts from a hypothetical nuclear accident and corresponding countermeasures gathered from a study by Ashley et al. (2017). Health befits from such an event appear non-existent, whereas the detriments are ranging from hereditary cancerous effects to fatalities. Although there are considerable health implications associated with on and off-shore WPG, e.g.: sonically induced insomnia, fatalities from nacelle falls and blow-up, habitat displacement/destruction, stress, reduced quality of life</w:t>
      </w:r>
      <w:r w:rsidR="00B9080F">
        <w:t xml:space="preserve">, and </w:t>
      </w:r>
      <w:r w:rsidR="0091274D">
        <w:t xml:space="preserve"> a </w:t>
      </w:r>
      <w:r>
        <w:t xml:space="preserve">sense of injustice and grief due to NYMBISM </w:t>
      </w:r>
      <w:r>
        <w:fldChar w:fldCharType="begin" w:fldLock="1"/>
      </w:r>
      <w:r>
        <w:instrText>ADDIN CSL_CITATION { "citationItems" : [ { "id" : "ITEM-1", "itemData" : { "ISSN" : "1715-5258", "PMID" : "23673580", "author" : [ { "dropping-particle" : "", "family" : "Jeffery", "given" : "Roy D", "non-dropping-particle" : "", "parse-names" : false, "suffix" : "" }, { "dropping-particle" : "", "family" : "Krogh", "given" : "Carmen", "non-dropping-particle" : "", "parse-names" : false, "suffix" : "" }, { "dropping-particle" : "", "family" : "Horner", "given" : "Brett", "non-dropping-particle" : "", "parse-names" : false, "suffix" : "" } ], "container-title" : "Canadian family physician Medecin de famille canadien", "id" : "ITEM-1", "issue" : "5", "issued" : { "date-parts" : [ [ "2013", "5" ] ] }, "page" : "473-5", "publisher" : "College of Family Physicians of Canada", "title" : "Adverse health effects of industrial wind turbines.", "type" : "article-journal", "volume" : "59" }, "uris" : [ "http://www.mendeley.com/documents/?uuid=5c5d691f-cbf3-34e7-b97b-ece45b4256cb" ] }, { "id" : "ITEM-2", "itemData" : { "DOI" : "10.1016/j.enpol.2016.03.022", "abstract" : "Given the acknowledged hazards of fossil fuels, it is important to compare the impacts of low-carbon alternatives. This report reviews published data to compare nuclear with hydro, wind, solar and biomass electricity production. Environmental impacts and risks to humans are compared. Specific impacts of wind turbines on bird populations are examined. Conclusions and recommendations for future energy choices are presented. a b s t r a c t Given the widely acknowledged negative impacts of fossil fuels, both on human health and on potential climate change, it is of interest to compare the impacts of low carbon alternative energy sources such as nuclear energy, hydropower, solar, wind and biomass. In this paper, we review the literature in order to summarise the impacts of the different technologies in terms of their materials and energy requirements, their emissions during operation, their health effects during operation, the accident risks, and the as-sociated waste streams. We follow up these comparisons with some more anecdotal evidence on se-lected impacts that are either particularly topical or are important but less commonly addressed. These include impacts of wind turbines on persons and on bird life, the underestimated problems with bio-mass, and concerns about biodiversity reduction. Finally we address the public attitudes towards both renewable energy technologies and to nuclear power. The conclusion is drawn that energy policies of many countries are perhaps more strongly influenced by public and political perceptions of available technologies than they are by rational assessment of the actual benefits and drawbacks. Policy re-commendations follow from this conclusion.", "author" : [ { "dropping-particle" : "", "family" : "Mccombie", "given" : "Charles", "non-dropping-particle" : "", "parse-names" : false, "suffix" : "" }, { "dropping-particle" : "", "family" : "Jefferson", "given" : "Michael", "non-dropping-particle" : "", "parse-names" : false, "suffix" : "" } ], "id" : "ITEM-2", "issued" : { "date-parts" : [ [ "2016" ] ] }, "title" : "Renewable and nuclear electricity: Comparison of environmental impacts", "type" : "article-journal" }, "uris" : [ "http://www.mendeley.com/documents/?uuid=e8418e42-af86-35f3-bf90-8df2b83f4c81" ] } ], "mendeley" : { "formattedCitation" : "(Jeffery, Krogh, &amp; Horner, 2013; Mccombie &amp; Jefferson, 2016)", "plainTextFormattedCitation" : "(Jeffery, Krogh, &amp; Horner, 2013; Mccombie &amp; Jefferson, 2016)", "previouslyFormattedCitation" : "(Jeffery, Krogh, &amp; Horner, 2013; Mccombie &amp; Jefferson, 2016)" }, "properties" : {  }, "schema" : "https://github.com/citation-style-language/schema/raw/master/csl-citation.json" }</w:instrText>
      </w:r>
      <w:r>
        <w:fldChar w:fldCharType="separate"/>
      </w:r>
      <w:r w:rsidRPr="007C2964">
        <w:rPr>
          <w:noProof/>
        </w:rPr>
        <w:t>(Jeffery, Krogh, &amp; Horner, 2013; Mccombie &amp; Jefferson, 2016)</w:t>
      </w:r>
      <w:r>
        <w:fldChar w:fldCharType="end"/>
      </w:r>
      <w:r>
        <w:t xml:space="preserve">, these impacts are still negligible in contrast to NE. </w:t>
      </w:r>
    </w:p>
    <w:p w14:paraId="6C3B5E3D" w14:textId="1F277FA5" w:rsidR="00373AD0" w:rsidRPr="00157AF8" w:rsidRDefault="00373AD0" w:rsidP="009F51A1">
      <w:pPr>
        <w:pStyle w:val="Bildetekst"/>
        <w:rPr>
          <w:sz w:val="14"/>
          <w:szCs w:val="14"/>
        </w:rPr>
      </w:pPr>
      <w:bookmarkStart w:id="67" w:name="_Toc505794523"/>
      <w:bookmarkStart w:id="68" w:name="_Toc506305265"/>
      <w:r w:rsidRPr="00157AF8">
        <w:rPr>
          <w:sz w:val="14"/>
          <w:szCs w:val="14"/>
        </w:rPr>
        <w:t xml:space="preserve">Figure </w:t>
      </w:r>
      <w:r w:rsidRPr="00157AF8">
        <w:rPr>
          <w:sz w:val="14"/>
          <w:szCs w:val="14"/>
        </w:rPr>
        <w:fldChar w:fldCharType="begin"/>
      </w:r>
      <w:r w:rsidRPr="00157AF8">
        <w:rPr>
          <w:sz w:val="14"/>
          <w:szCs w:val="14"/>
        </w:rPr>
        <w:instrText xml:space="preserve"> SEQ Figure \* ARABIC </w:instrText>
      </w:r>
      <w:r w:rsidRPr="00157AF8">
        <w:rPr>
          <w:sz w:val="14"/>
          <w:szCs w:val="14"/>
        </w:rPr>
        <w:fldChar w:fldCharType="separate"/>
      </w:r>
      <w:r w:rsidR="00A76550">
        <w:rPr>
          <w:noProof/>
          <w:sz w:val="14"/>
          <w:szCs w:val="14"/>
        </w:rPr>
        <w:t>22</w:t>
      </w:r>
      <w:r w:rsidRPr="00157AF8">
        <w:rPr>
          <w:sz w:val="14"/>
          <w:szCs w:val="14"/>
        </w:rPr>
        <w:fldChar w:fldCharType="end"/>
      </w:r>
      <w:r w:rsidRPr="00157AF8">
        <w:rPr>
          <w:sz w:val="14"/>
          <w:szCs w:val="14"/>
        </w:rPr>
        <w:t>: Cumulative distribution of people predicted to suffer radiologically induced health effects due to the hypothetical nuclear accident and corresponding countermeasure. The table includes results for the lower intervention level (shown in boll text) and the upper intervention level shown n italicised text.</w:t>
      </w:r>
      <w:bookmarkEnd w:id="67"/>
      <w:r w:rsidRPr="00157AF8">
        <w:rPr>
          <w:sz w:val="14"/>
          <w:szCs w:val="14"/>
        </w:rPr>
        <w:t xml:space="preserve"> </w:t>
      </w:r>
      <w:r w:rsidRPr="00157AF8">
        <w:rPr>
          <w:sz w:val="14"/>
          <w:szCs w:val="14"/>
        </w:rPr>
        <w:fldChar w:fldCharType="begin" w:fldLock="1"/>
      </w:r>
      <w:r w:rsidRPr="00157AF8">
        <w:rPr>
          <w:sz w:val="14"/>
          <w:szCs w:val="14"/>
        </w:rPr>
        <w:instrText>ADDIN CSL_CITATION { "citationItems" : [ { "id" : "ITEM-1", "itemData" : { "DOI" : "10.1016/j.psep.2017.08.032", "author" : [ { "dropping-particle" : "", "family" : "Ashley", "given" : "SF", "non-dropping-particle" : "", "parse-names" : false, "suffix" : "" }, { "dropping-particle" : "", "family" : "Vaughan", "given" : "GJ", "non-dropping-particle" : "", "parse-names" : false, "suffix" : "" }, { "dropping-particle" : "", "family" : "Nuttall", "given" : "WJ", "non-dropping-particle" : "", "parse-names" : false, "suffix" : "" }, { "dropping-particle" : "", "family" : "Thomas", "given" : "PJ", "non-dropping-particle" : "", "parse-names" : false, "suffix" : "" }, { "dropping-particle" : "", "family" : "Higgins", "given" : "Na", "non-dropping-particle" : "", "parse-names" : false, "suffix" : "" } ], "container-title" : "Process Safety and Environmental Protection", "id" : "ITEM-1", "issue" : "2", "issued" : { "date-parts" : [ [ "2017" ] ] }, "page" : "96-113", "title" : "Predicting the cost of the consequences of a large nuclear accident in the UK", "type" : "article-journal", "volume" : "112" }, "uris" : [ "http://www.mendeley.com/documents/?uuid=34b8e74d-fc81-32d5-84fe-9a88a654c5c4" ] } ], "mendeley" : { "formattedCitation" : "(Ashley, Vaughan, Nuttall, Thomas, &amp; Higgins, 2017)", "plainTextFormattedCitation" : "(Ashley, Vaughan, Nuttall, Thomas, &amp; Higgins, 2017)", "previouslyFormattedCitation" : "(Ashley, Vaughan, Nuttall, Thomas, &amp; Higgins, 2017)" }, "properties" : {  }, "schema" : "https://github.com/citation-style-language/schema/raw/master/csl-citation.json" }</w:instrText>
      </w:r>
      <w:r w:rsidRPr="00157AF8">
        <w:rPr>
          <w:sz w:val="14"/>
          <w:szCs w:val="14"/>
        </w:rPr>
        <w:fldChar w:fldCharType="separate"/>
      </w:r>
      <w:r w:rsidRPr="00157AF8">
        <w:rPr>
          <w:noProof/>
          <w:sz w:val="14"/>
          <w:szCs w:val="14"/>
        </w:rPr>
        <w:t>(Ashley, Vaughan, Nuttall, Thomas, &amp; Higgins, 2017)</w:t>
      </w:r>
      <w:bookmarkEnd w:id="68"/>
      <w:r w:rsidRPr="00157AF8">
        <w:rPr>
          <w:sz w:val="14"/>
          <w:szCs w:val="14"/>
        </w:rPr>
        <w:fldChar w:fldCharType="end"/>
      </w:r>
    </w:p>
    <w:p w14:paraId="284D93E7" w14:textId="11EAD781" w:rsidR="00373AD0" w:rsidRDefault="00046572" w:rsidP="00046572">
      <w:pPr>
        <w:ind w:firstLine="0"/>
      </w:pPr>
      <w:r>
        <w:rPr>
          <w:noProof/>
          <w:lang w:eastAsia="en-GB"/>
        </w:rPr>
        <w:lastRenderedPageBreak/>
        <w:drawing>
          <wp:anchor distT="0" distB="0" distL="114300" distR="114300" simplePos="0" relativeHeight="251676672" behindDoc="0" locked="0" layoutInCell="1" allowOverlap="1" wp14:anchorId="3A602407" wp14:editId="1A19B712">
            <wp:simplePos x="0" y="0"/>
            <wp:positionH relativeFrom="margin">
              <wp:align>right</wp:align>
            </wp:positionH>
            <wp:positionV relativeFrom="paragraph">
              <wp:posOffset>2082800</wp:posOffset>
            </wp:positionV>
            <wp:extent cx="5724525" cy="4407535"/>
            <wp:effectExtent l="0" t="0" r="9525" b="0"/>
            <wp:wrapTopAndBottom/>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24525" cy="4407535"/>
                    </a:xfrm>
                    <a:prstGeom prst="rect">
                      <a:avLst/>
                    </a:prstGeom>
                    <a:noFill/>
                    <a:ln>
                      <a:noFill/>
                    </a:ln>
                  </pic:spPr>
                </pic:pic>
              </a:graphicData>
            </a:graphic>
            <wp14:sizeRelH relativeFrom="margin">
              <wp14:pctWidth>0</wp14:pctWidth>
            </wp14:sizeRelH>
          </wp:anchor>
        </w:drawing>
      </w:r>
      <w:r w:rsidR="00373AD0">
        <w:t>Figure 23 and 24 referred to the cumulative distribution of economic costs associated with countermeasures related to health detriments imposed by the hypothetical nuclear accident set forth by Ashley et al. (2017). These economic figures are substantial (max</w:t>
      </w:r>
      <w:r w:rsidR="00BE58A1">
        <w:t>~</w:t>
      </w:r>
      <w:r w:rsidR="00373AD0">
        <w:t>£3100 million), and as they are affiliated with a singular event, economic outcomes are incomparable with on and offshore WPGs equivalent nacelle</w:t>
      </w:r>
      <w:r w:rsidR="00373AD0">
        <w:tab/>
        <w:t xml:space="preserve"> explosion which albeit not fatal does procedurally induce a plant-wide shutdown of production leading to substantial economic losses</w:t>
      </w:r>
      <w:r w:rsidR="008A5472">
        <w:t xml:space="preserve">. </w:t>
      </w:r>
      <w:r w:rsidR="00373AD0">
        <w:t xml:space="preserve">  </w:t>
      </w:r>
    </w:p>
    <w:p w14:paraId="432FC5A8" w14:textId="41ABD0B2" w:rsidR="00373AD0" w:rsidRPr="009F51A1" w:rsidRDefault="00373AD0" w:rsidP="009F51A1">
      <w:pPr>
        <w:pStyle w:val="Bildetekst"/>
      </w:pPr>
      <w:bookmarkStart w:id="69" w:name="_Toc505794524"/>
      <w:bookmarkStart w:id="70" w:name="_Toc506305266"/>
      <w:r w:rsidRPr="009F51A1">
        <w:t xml:space="preserve">Figure </w:t>
      </w:r>
      <w:r w:rsidR="00B10DCD">
        <w:fldChar w:fldCharType="begin"/>
      </w:r>
      <w:r w:rsidR="00B10DCD">
        <w:instrText xml:space="preserve"> SEQ Figure \* ARABIC </w:instrText>
      </w:r>
      <w:r w:rsidR="00B10DCD">
        <w:fldChar w:fldCharType="separate"/>
      </w:r>
      <w:r w:rsidR="00A76550">
        <w:rPr>
          <w:noProof/>
        </w:rPr>
        <w:t>23</w:t>
      </w:r>
      <w:r w:rsidR="00B10DCD">
        <w:rPr>
          <w:noProof/>
        </w:rPr>
        <w:fldChar w:fldCharType="end"/>
      </w:r>
      <w:r w:rsidRPr="009F51A1">
        <w:t xml:space="preserve">: Cumulative distribution of the economic costs predicted for those who suffer radiologically induced health effects due to the hypothetical nuclear accident and corresponding countermeasures. The table includes results for the lower interview level (shown in bold text) and the upper intervention level shown in the italics text, as described in the table 2.  </w:t>
      </w:r>
      <w:bookmarkEnd w:id="69"/>
      <w:r w:rsidRPr="009F51A1">
        <w:fldChar w:fldCharType="begin" w:fldLock="1"/>
      </w:r>
      <w:r w:rsidRPr="009F51A1">
        <w:instrText>ADDIN CSL_CITATION { "citationItems" : [ { "id" : "ITEM-1", "itemData" : { "DOI" : "10.1016/j.psep.2017.08.032", "author" : [ { "dropping-particle" : "", "family" : "Ashley", "given" : "SF", "non-dropping-particle" : "", "parse-names" : false, "suffix" : "" }, { "dropping-particle" : "", "family" : "Vaughan", "given" : "GJ", "non-dropping-particle" : "", "parse-names" : false, "suffix" : "" }, { "dropping-particle" : "", "family" : "Nuttall", "given" : "WJ", "non-dropping-particle" : "", "parse-names" : false, "suffix" : "" }, { "dropping-particle" : "", "family" : "Thomas", "given" : "PJ", "non-dropping-particle" : "", "parse-names" : false, "suffix" : "" }, { "dropping-particle" : "", "family" : "Higgins", "given" : "Na", "non-dropping-particle" : "", "parse-names" : false, "suffix" : "" } ], "container-title" : "Process Safety and Environmental Protection", "id" : "ITEM-1", "issue" : "2", "issued" : { "date-parts" : [ [ "2017" ] ] }, "page" : "96-113", "title" : "Predicting the cost of the consequences of a large nuclear accident in the UK", "type" : "article-journal", "volume" : "112" }, "uris" : [ "http://www.mendeley.com/documents/?uuid=34b8e74d-fc81-32d5-84fe-9a88a654c5c4" ] } ], "mendeley" : { "formattedCitation" : "(Ashley et al., 2017)", "plainTextFormattedCitation" : "(Ashley et al., 2017)", "previouslyFormattedCitation" : "(Ashley et al., 2017)" }, "properties" : {  }, "schema" : "https://github.com/citation-style-language/schema/raw/master/csl-citation.json" }</w:instrText>
      </w:r>
      <w:r w:rsidRPr="009F51A1">
        <w:fldChar w:fldCharType="separate"/>
      </w:r>
      <w:r w:rsidRPr="009F51A1">
        <w:rPr>
          <w:noProof/>
        </w:rPr>
        <w:t>(Ashley et al., 2017)</w:t>
      </w:r>
      <w:bookmarkEnd w:id="70"/>
      <w:r w:rsidRPr="009F51A1">
        <w:fldChar w:fldCharType="end"/>
      </w:r>
    </w:p>
    <w:p w14:paraId="1ABE957A" w14:textId="5878A673" w:rsidR="00373AD0" w:rsidRDefault="00373AD0" w:rsidP="00046572">
      <w:pPr>
        <w:keepNext/>
        <w:ind w:firstLine="0"/>
      </w:pPr>
      <w:r>
        <w:rPr>
          <w:noProof/>
          <w:lang w:eastAsia="en-GB"/>
        </w:rPr>
        <w:lastRenderedPageBreak/>
        <w:drawing>
          <wp:anchor distT="0" distB="0" distL="114300" distR="114300" simplePos="0" relativeHeight="251677696" behindDoc="0" locked="0" layoutInCell="1" allowOverlap="1" wp14:anchorId="25214C54" wp14:editId="1B73D2AC">
            <wp:simplePos x="0" y="0"/>
            <wp:positionH relativeFrom="margin">
              <wp:align>right</wp:align>
            </wp:positionH>
            <wp:positionV relativeFrom="paragraph">
              <wp:posOffset>262394</wp:posOffset>
            </wp:positionV>
            <wp:extent cx="5732780" cy="3522345"/>
            <wp:effectExtent l="0" t="0" r="1270" b="1905"/>
            <wp:wrapTopAndBottom/>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44">
                      <a:extLst>
                        <a:ext uri="{28A0092B-C50C-407E-A947-70E740481C1C}">
                          <a14:useLocalDpi xmlns:a14="http://schemas.microsoft.com/office/drawing/2010/main" val="0"/>
                        </a:ext>
                      </a:extLst>
                    </a:blip>
                    <a:srcRect t="16796"/>
                    <a:stretch/>
                  </pic:blipFill>
                  <pic:spPr bwMode="auto">
                    <a:xfrm>
                      <a:off x="0" y="0"/>
                      <a:ext cx="5732780" cy="35223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1C791BD3" w14:textId="6168ABD3" w:rsidR="00373AD0" w:rsidRPr="009F51A1" w:rsidRDefault="00373AD0" w:rsidP="009F51A1">
      <w:pPr>
        <w:pStyle w:val="Bildetekst"/>
      </w:pPr>
      <w:bookmarkStart w:id="71" w:name="_Toc505794525"/>
      <w:bookmarkStart w:id="72" w:name="_Toc506305267"/>
      <w:r w:rsidRPr="009F51A1">
        <w:t xml:space="preserve">Figure </w:t>
      </w:r>
      <w:r w:rsidR="00B10DCD">
        <w:fldChar w:fldCharType="begin"/>
      </w:r>
      <w:r w:rsidR="00B10DCD">
        <w:instrText xml:space="preserve"> SEQ Figure \* ARABIC </w:instrText>
      </w:r>
      <w:r w:rsidR="00B10DCD">
        <w:fldChar w:fldCharType="separate"/>
      </w:r>
      <w:r w:rsidR="00A76550">
        <w:rPr>
          <w:noProof/>
        </w:rPr>
        <w:t>24</w:t>
      </w:r>
      <w:r w:rsidR="00B10DCD">
        <w:rPr>
          <w:noProof/>
        </w:rPr>
        <w:fldChar w:fldCharType="end"/>
      </w:r>
      <w:r w:rsidRPr="009F51A1">
        <w:t xml:space="preserve">: Cumulative distribution of economic costs predicted for people and businesses arising from the hypothetical accident and disruption to normal life from the applied countermeasures. The table incluides results for the lower intervention level (shown in bold text) and the upper intervention level *shown in italicised text) as described in table 2. </w:t>
      </w:r>
      <w:bookmarkEnd w:id="71"/>
      <w:r w:rsidRPr="009F51A1">
        <w:fldChar w:fldCharType="begin" w:fldLock="1"/>
      </w:r>
      <w:r w:rsidRPr="009F51A1">
        <w:instrText>ADDIN CSL_CITATION { "citationItems" : [ { "id" : "ITEM-1", "itemData" : { "DOI" : "10.1016/j.psep.2017.08.032", "author" : [ { "dropping-particle" : "", "family" : "Ashley", "given" : "SF", "non-dropping-particle" : "", "parse-names" : false, "suffix" : "" }, { "dropping-particle" : "", "family" : "Vaughan", "given" : "GJ", "non-dropping-particle" : "", "parse-names" : false, "suffix" : "" }, { "dropping-particle" : "", "family" : "Nuttall", "given" : "WJ", "non-dropping-particle" : "", "parse-names" : false, "suffix" : "" }, { "dropping-particle" : "", "family" : "Thomas", "given" : "PJ", "non-dropping-particle" : "", "parse-names" : false, "suffix" : "" }, { "dropping-particle" : "", "family" : "Higgins", "given" : "Na", "non-dropping-particle" : "", "parse-names" : false, "suffix" : "" } ], "container-title" : "Process Safety and Environmental Protection", "id" : "ITEM-1", "issue" : "2", "issued" : { "date-parts" : [ [ "2017" ] ] }, "page" : "96-113", "title" : "Predicting the cost of the consequences of a large nuclear accident in the UK", "type" : "article-journal", "volume" : "112" }, "uris" : [ "http://www.mendeley.com/documents/?uuid=34b8e74d-fc81-32d5-84fe-9a88a654c5c4" ] } ], "mendeley" : { "formattedCitation" : "(Ashley et al., 2017)", "plainTextFormattedCitation" : "(Ashley et al., 2017)", "previouslyFormattedCitation" : "(Ashley et al., 2017)" }, "properties" : {  }, "schema" : "https://github.com/citation-style-language/schema/raw/master/csl-citation.json" }</w:instrText>
      </w:r>
      <w:r w:rsidRPr="009F51A1">
        <w:fldChar w:fldCharType="separate"/>
      </w:r>
      <w:r w:rsidRPr="009F51A1">
        <w:rPr>
          <w:noProof/>
        </w:rPr>
        <w:t>(Ashley et al., 2017)</w:t>
      </w:r>
      <w:bookmarkEnd w:id="72"/>
      <w:r w:rsidRPr="009F51A1">
        <w:fldChar w:fldCharType="end"/>
      </w:r>
    </w:p>
    <w:p w14:paraId="6D2D3176" w14:textId="6D5C0693" w:rsidR="00373AD0" w:rsidRPr="007926D7" w:rsidRDefault="00373AD0" w:rsidP="002F7FB9">
      <w:pPr>
        <w:pStyle w:val="Overskrift4"/>
        <w:numPr>
          <w:ilvl w:val="3"/>
          <w:numId w:val="6"/>
        </w:numPr>
      </w:pPr>
      <w:bookmarkStart w:id="73" w:name="_Toc506308010"/>
      <w:r>
        <w:t>Public support</w:t>
      </w:r>
      <w:bookmarkEnd w:id="73"/>
    </w:p>
    <w:p w14:paraId="79CF6477" w14:textId="78645370" w:rsidR="00373AD0" w:rsidRPr="00C41589" w:rsidRDefault="00373AD0" w:rsidP="00373AD0">
      <w:r>
        <w:t>Public support for future EGTs (figure 2</w:t>
      </w:r>
      <w:r w:rsidR="003E4024">
        <w:t>5</w:t>
      </w:r>
      <w:r>
        <w:t xml:space="preserve">) is a factor important for continued sectoral development </w:t>
      </w:r>
      <w:r>
        <w:fldChar w:fldCharType="begin" w:fldLock="1"/>
      </w:r>
      <w:r>
        <w:instrText>ADDIN CSL_CITATION { "citationItems" : [ { "id" : "ITEM-1", "itemData" : { "DOI" : "10.1016/j.esr.2013.03.006", "abstract" : "A B S T R A C T Severe public acceptance problems do not obviously directly constrain nuclear construction in some countries, notably the United Kingdom and the United States. The major problem is the rising capital investment cost of new plants and the difficulties of structuring projects to cope with this. It is apparent, however, that a significant gap has also opened up between these costs in East and West. There are ways in which this gap can conceivably be narrowed and nuclear power's competitiveness issues addressed. Never-theless, public acceptance issues are at least partly responsible for the underlying cost problem observable in the Western world. A variety of fact-based approaches have been used in the past which have experienced only a limited degree of success. Fresh ideas and approaches are now needed, taking more account of people's emotional make-up and how this can be influenced.", "author" : [ { "dropping-particle" : "", "family" : "Kidd", "given" : "Stephen W", "non-dropping-particle" : "", "parse-names" : false, "suffix" : "" } ], "container-title" : "Energy Strategy Reviews", "id" : "ITEM-1", "issued" : { "date-parts" : [ [ "2013" ] ] }, "page" : "277-281", "title" : "Nuclear power - Economics and public acceptance", "type" : "article-journal", "volume" : "1" }, "uris" : [ "http://www.mendeley.com/documents/?uuid=6c349642-73ef-31ea-928d-9817998aee39" ] } ], "mendeley" : { "formattedCitation" : "(Kidd, 2013)", "plainTextFormattedCitation" : "(Kidd, 2013)", "previouslyFormattedCitation" : "(Kidd, 2013)" }, "properties" : {  }, "schema" : "https://github.com/citation-style-language/schema/raw/master/csl-citation.json" }</w:instrText>
      </w:r>
      <w:r>
        <w:fldChar w:fldCharType="separate"/>
      </w:r>
      <w:r w:rsidRPr="00C41589">
        <w:rPr>
          <w:noProof/>
        </w:rPr>
        <w:t>(Kidd, 2013)</w:t>
      </w:r>
      <w:r>
        <w:fldChar w:fldCharType="end"/>
      </w:r>
      <w:r>
        <w:t>. Percentages presented in figure 25 represent</w:t>
      </w:r>
      <w:r w:rsidR="00EB165C">
        <w:t xml:space="preserve">s </w:t>
      </w:r>
      <w:r>
        <w:t xml:space="preserve">a study by Wallard et al. (2012) based on IPSOS data on qualitative information on low carbon EGTs and reflects the gap in public support between renewable and nuclear EGTs. </w:t>
      </w:r>
      <w:r>
        <w:fldChar w:fldCharType="begin" w:fldLock="1"/>
      </w:r>
      <w:r>
        <w:instrText>ADDIN CSL_CITATION { "citationItems" : [ { "id" : "ITEM-1", "itemData" : { "DOI" : "10.1016/j.psep.2014.12.008", "author" : [ { "dropping-particle" : "", "family" : "Goodfellow", "given" : "Martin J", "non-dropping-particle" : "", "parse-names" : false, "suffix" : "" }, { "dropping-particle" : "", "family" : "Dewick", "given" : "Paul", "non-dropping-particle" : "", "parse-names" : false, "suffix" : "" }, { "dropping-particle" : "", "family" : "Wortley", "given" : "Jonathan", "non-dropping-particle" : "", "parse-names" : false, "suffix" : "" }, { "dropping-particle" : "", "family" : "Azapagic", "given" : "Adisa", "non-dropping-particle" : "", "parse-names" : false, "suffix" : "" } ], "container-title" : "Process Safety and Environmental Protection", "id" : "ITEM-1", "issue" : "2", "issued" : { "date-parts" : [ [ "2015" ] ] }, "page" : "72-88", "title" : "Public perceptions of design options for new nuclear plants in the UK", "type" : "article-journal", "volume" : "9" }, "uris" : [ "http://www.mendeley.com/documents/?uuid=38d61dae-1680-3cb8-9d5b-aa188b33b5d2" ] } ], "mendeley" : { "formattedCitation" : "(Goodfellow, Dewick, Wortley, &amp; Azapagic, 2015)", "plainTextFormattedCitation" : "(Goodfellow, Dewick, Wortley, &amp; Azapagic, 2015)", "previouslyFormattedCitation" : "(Goodfellow, Dewick, Wortley, &amp; Azapagic, 2015)" }, "properties" : {  }, "schema" : "https://github.com/citation-style-language/schema/raw/master/csl-citation.json" }</w:instrText>
      </w:r>
      <w:r>
        <w:fldChar w:fldCharType="separate"/>
      </w:r>
      <w:r w:rsidRPr="00C41589">
        <w:rPr>
          <w:noProof/>
        </w:rPr>
        <w:t>(Goodfellow, Dewick, Wortley, &amp; Azapagic, 2015)</w:t>
      </w:r>
      <w:r>
        <w:fldChar w:fldCharType="end"/>
      </w:r>
      <w:r>
        <w:t>.</w:t>
      </w:r>
    </w:p>
    <w:p w14:paraId="244E18F3" w14:textId="77777777" w:rsidR="00373AD0" w:rsidRDefault="00373AD0" w:rsidP="00373AD0">
      <w:pPr>
        <w:pStyle w:val="Listeavsnitt"/>
        <w:keepNext/>
        <w:ind w:left="360" w:firstLine="0"/>
      </w:pPr>
      <w:r>
        <w:rPr>
          <w:noProof/>
          <w:lang w:eastAsia="en-GB"/>
        </w:rPr>
        <w:drawing>
          <wp:inline distT="0" distB="0" distL="0" distR="0" wp14:anchorId="25C9B242" wp14:editId="3E6F507B">
            <wp:extent cx="4276113" cy="1651380"/>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276113" cy="1651380"/>
                    </a:xfrm>
                    <a:prstGeom prst="rect">
                      <a:avLst/>
                    </a:prstGeom>
                    <a:noFill/>
                    <a:ln>
                      <a:noFill/>
                    </a:ln>
                  </pic:spPr>
                </pic:pic>
              </a:graphicData>
            </a:graphic>
          </wp:inline>
        </w:drawing>
      </w:r>
    </w:p>
    <w:p w14:paraId="26935541" w14:textId="25047D86" w:rsidR="00D13C2D" w:rsidRPr="00D13C2D" w:rsidRDefault="00373AD0" w:rsidP="00991D58">
      <w:pPr>
        <w:pStyle w:val="Bildetekst"/>
      </w:pPr>
      <w:bookmarkStart w:id="74" w:name="_Toc505794526"/>
      <w:bookmarkStart w:id="75" w:name="_Toc506305268"/>
      <w:r w:rsidRPr="009F51A1">
        <w:t xml:space="preserve">Figure </w:t>
      </w:r>
      <w:r w:rsidR="00B10DCD">
        <w:fldChar w:fldCharType="begin"/>
      </w:r>
      <w:r w:rsidR="00B10DCD">
        <w:instrText xml:space="preserve"> SEQ Figure \* ARABIC </w:instrText>
      </w:r>
      <w:r w:rsidR="00B10DCD">
        <w:fldChar w:fldCharType="separate"/>
      </w:r>
      <w:r w:rsidR="00A76550">
        <w:rPr>
          <w:noProof/>
        </w:rPr>
        <w:t>25</w:t>
      </w:r>
      <w:r w:rsidR="00B10DCD">
        <w:rPr>
          <w:noProof/>
        </w:rPr>
        <w:fldChar w:fldCharType="end"/>
      </w:r>
      <w:r w:rsidRPr="009F51A1">
        <w:t>: Public support for various energy sources (Wallard et al., 2012 cited in McCombie and Jefferson, 2016)</w:t>
      </w:r>
      <w:bookmarkEnd w:id="74"/>
      <w:bookmarkEnd w:id="75"/>
    </w:p>
    <w:p w14:paraId="5C1AE7F3" w14:textId="5DF69CCB" w:rsidR="00373AD0" w:rsidRDefault="00373AD0" w:rsidP="00373AD0">
      <w:r>
        <w:t xml:space="preserve">Drivers for the role for nuclear energy as an energy supply source in the future UK energy market appears to be unaffected by public opinion given the continuance of </w:t>
      </w:r>
      <w:r>
        <w:lastRenderedPageBreak/>
        <w:t xml:space="preserve">domestic development. Due to its novelty and the diffusion of innovation principle, Thorium is underrepresented in </w:t>
      </w:r>
      <w:r w:rsidR="00D13C2D">
        <w:t xml:space="preserve">health and </w:t>
      </w:r>
      <w:r>
        <w:t>public support studies</w:t>
      </w:r>
      <w:r w:rsidR="00D13C2D">
        <w:t xml:space="preserve"> and is therefore omitted in this section.</w:t>
      </w:r>
    </w:p>
    <w:p w14:paraId="0F41400E" w14:textId="77777777" w:rsidR="00373AD0" w:rsidRDefault="00373AD0" w:rsidP="00373AD0">
      <w:pPr>
        <w:pStyle w:val="Overskrift3"/>
      </w:pPr>
      <w:bookmarkStart w:id="76" w:name="_Toc505793564"/>
      <w:bookmarkStart w:id="77" w:name="_Toc506308011"/>
      <w:r>
        <w:t>3.1.3 Economic</w:t>
      </w:r>
      <w:bookmarkEnd w:id="76"/>
      <w:bookmarkEnd w:id="77"/>
    </w:p>
    <w:p w14:paraId="55430657" w14:textId="0F5FAAC3" w:rsidR="00373AD0" w:rsidRDefault="00373AD0" w:rsidP="00373AD0">
      <w:pPr>
        <w:keepNext/>
      </w:pPr>
      <w:r>
        <w:t xml:space="preserve">Given the </w:t>
      </w:r>
      <w:r w:rsidR="00BE546B">
        <w:t>lack</w:t>
      </w:r>
      <w:r>
        <w:t xml:space="preserve"> of subsidy independence in both NPG and WPG sectors, optimal economic development allocation is paramount to promote the optimal GHG emissions </w:t>
      </w:r>
      <w:r w:rsidR="00B25651">
        <w:t xml:space="preserve">mitigation </w:t>
      </w:r>
      <w:r w:rsidR="00F6176D">
        <w:t>measures, which</w:t>
      </w:r>
      <w:r>
        <w:t xml:space="preserve"> is a predominant aim for the future UK energy sector. Figure 26 represents economic payback time (EPBT) in months for on and offshore WPG. </w:t>
      </w:r>
      <w:r w:rsidR="009C471D">
        <w:t>There is a</w:t>
      </w:r>
      <w:r>
        <w:t xml:space="preserve">pparent </w:t>
      </w:r>
      <w:r w:rsidR="009C471D">
        <w:t xml:space="preserve">EPBT </w:t>
      </w:r>
      <w:r w:rsidR="004310BC">
        <w:t>advantages associated</w:t>
      </w:r>
      <w:r>
        <w:t xml:space="preserve"> </w:t>
      </w:r>
      <w:r w:rsidR="00965607">
        <w:t>with</w:t>
      </w:r>
      <w:r>
        <w:t xml:space="preserve"> offshore WPG, </w:t>
      </w:r>
      <w:r w:rsidR="00B56BEF">
        <w:t>with regards to the</w:t>
      </w:r>
      <w:r w:rsidR="008C5ADA">
        <w:t xml:space="preserve">e </w:t>
      </w:r>
      <w:r>
        <w:t>UK</w:t>
      </w:r>
      <w:r w:rsidR="00E6305D">
        <w:t>,</w:t>
      </w:r>
      <w:r>
        <w:t xml:space="preserve"> this is in line with status quo developmen</w:t>
      </w:r>
      <w:r w:rsidR="00E618F7">
        <w:t>tal focus on</w:t>
      </w:r>
      <w:r>
        <w:t xml:space="preserve"> </w:t>
      </w:r>
      <w:r w:rsidR="003C6289">
        <w:t xml:space="preserve">the booming </w:t>
      </w:r>
      <w:r>
        <w:t>offshore wind indust</w:t>
      </w:r>
      <w:r w:rsidR="008C5ADA">
        <w:t>r</w:t>
      </w:r>
      <w:r w:rsidR="00A11BCD">
        <w:t>y</w:t>
      </w:r>
      <w:r>
        <w:t xml:space="preserve"> </w:t>
      </w:r>
      <w:r>
        <w:fldChar w:fldCharType="begin" w:fldLock="1"/>
      </w:r>
      <w:r>
        <w:instrText>ADDIN CSL_CITATION { "citationItems" : [ { "id" : "ITEM-1", "itemData" : { "DOI" : "10.1016/j.apenergy.2016.07.058", "abstract" : "An LCA of 2 onshore and 2 offshore wind power plants was performed. Onshore wind power performs better than offshore per kWh delivered to the grid. Materials are responsible for more than 79% and 70% of climate change impacts onshore and offshore respectively. The bigger, direct drive turbines perform better than the smaller geared ones. Climate change is a good KPI for wind power plant hotspot identification. a b s t r a c t This study aims to assess the environmental impacts related to the provision of 1 kWh to the grid from wind power in Europe and to suggest how life cycle assessment can inform technology development and system planning. Four representative power plants onshore (with 2.3 and 3.2 MW turbines) and offshore (4.0 and 6.0 MW turbines) with 2015 state-of-the-art technology data provided by Siemens Wind Power were assessed. The energy payback time was found to be less than 1 year for all technologies. The emis-sions of greenhouse gases amounted to less than 7 g CO 2 -eq/kWh for onshore and 11 g CO 2 -eq/kWh for offshore. Climate change impacts were found to be a good indicator for overall hotspot identification however attention should also be drawn to human toxicity and impacts from respiratory inorganics. The overall higher impact of offshore plants, compared to onshore ones, is mainly due to larger high-impact material requirements for capital infrastructure. In both markets the bigger turbines with more advanced direct drive generator technology is shown to perform better than the smaller geared ones. Capital infrastructure is the most impactful life cycle stage across impacts. It accounts for more than 79% and 70% of climate change impacts onshore and offshore respectively. The end-of-life treatment could lead to significant savings due to recycling, ca. 20\u201330% for climate change. In the manufacturing stage the impacts due to operations at the case company do not exceed 1% of the total life cycle impacts. This finding highlights the shared responsibility across multiple stakeholders and calls for collaborative efforts for comprehensive environmental management across organizations in the value chain. Real life examples are given in order to showcase how LCA results can inform decisions, e.g. for concept and pro-duct development and supply chain management. On a systems level the results can be used by energy planners when comparing with alternative energy sources.", "author" : [ { "dropping-particle" : "", "family" : "Bonou", "given" : "Alexandra", "non-dropping-particle" : "", "parse-names" : false, "suffix" : "" }, { "dropping-particle" : "", "family" : "Laurent", "given" : "Alexis", "non-dropping-particle" : "", "parse-names" : false, "suffix" : "" }, { "dropping-particle" : "", "family" : "Olsen", "given" : "Stig I", "non-dropping-particle" : "", "parse-names" : false, "suffix" : "" } ], "id" : "ITEM-1", "issued" : { "date-parts" : [ [ "2016" ] ] }, "title" : "Life cycle assessment of onshore and offshore wind energy-from theory to application", "type" : "article-journal" }, "uris" : [ "http://www.mendeley.com/documents/?uuid=35e19115-86ea-3225-b727-3dff0c2a2666" ] } ], "mendeley" : { "formattedCitation" : "(Bonou, Laurent, &amp; Olsen, 2016)", "plainTextFormattedCitation" : "(Bonou, Laurent, &amp; Olsen, 2016)", "previouslyFormattedCitation" : "(Bonou, Laurent, &amp; Olsen, 2016)" }, "properties" : {  }, "schema" : "https://github.com/citation-style-language/schema/raw/master/csl-citation.json" }</w:instrText>
      </w:r>
      <w:r>
        <w:fldChar w:fldCharType="separate"/>
      </w:r>
      <w:r w:rsidRPr="000B1939">
        <w:rPr>
          <w:noProof/>
        </w:rPr>
        <w:t>(Bonou, Laurent, &amp; Olsen, 2016)</w:t>
      </w:r>
      <w:r>
        <w:fldChar w:fldCharType="end"/>
      </w:r>
      <w:r>
        <w:t>.</w:t>
      </w:r>
    </w:p>
    <w:p w14:paraId="07572CB9" w14:textId="77777777" w:rsidR="00373AD0" w:rsidRDefault="00373AD0" w:rsidP="00373AD0">
      <w:pPr>
        <w:keepNext/>
      </w:pPr>
      <w:r>
        <w:rPr>
          <w:noProof/>
          <w:lang w:eastAsia="en-GB"/>
        </w:rPr>
        <w:drawing>
          <wp:inline distT="0" distB="0" distL="0" distR="0" wp14:anchorId="311BD2F0" wp14:editId="137821B3">
            <wp:extent cx="3931920" cy="1463040"/>
            <wp:effectExtent l="0" t="0" r="0" b="381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931920" cy="1463040"/>
                    </a:xfrm>
                    <a:prstGeom prst="rect">
                      <a:avLst/>
                    </a:prstGeom>
                    <a:noFill/>
                    <a:ln>
                      <a:noFill/>
                    </a:ln>
                  </pic:spPr>
                </pic:pic>
              </a:graphicData>
            </a:graphic>
          </wp:inline>
        </w:drawing>
      </w:r>
    </w:p>
    <w:p w14:paraId="365B6503" w14:textId="5413E57F" w:rsidR="00373AD0" w:rsidRPr="009F51A1" w:rsidRDefault="00373AD0" w:rsidP="001C5102">
      <w:pPr>
        <w:pStyle w:val="Bildetekst"/>
        <w:jc w:val="both"/>
      </w:pPr>
      <w:bookmarkStart w:id="78" w:name="_Toc506305269"/>
      <w:bookmarkStart w:id="79" w:name="_Toc505794527"/>
      <w:r w:rsidRPr="009F51A1">
        <w:t xml:space="preserve">Figure </w:t>
      </w:r>
      <w:r w:rsidR="00B10DCD">
        <w:fldChar w:fldCharType="begin"/>
      </w:r>
      <w:r w:rsidR="00B10DCD">
        <w:instrText xml:space="preserve"> SEQ Figure </w:instrText>
      </w:r>
      <w:r w:rsidR="00B10DCD">
        <w:instrText xml:space="preserve">\* ARABIC </w:instrText>
      </w:r>
      <w:r w:rsidR="00B10DCD">
        <w:fldChar w:fldCharType="separate"/>
      </w:r>
      <w:r w:rsidR="00A76550">
        <w:rPr>
          <w:noProof/>
        </w:rPr>
        <w:t>26</w:t>
      </w:r>
      <w:r w:rsidR="00B10DCD">
        <w:rPr>
          <w:noProof/>
        </w:rPr>
        <w:fldChar w:fldCharType="end"/>
      </w:r>
      <w:r w:rsidRPr="009F51A1">
        <w:t xml:space="preserve">: LCA results for energy payback time </w:t>
      </w:r>
      <w:r w:rsidRPr="009F51A1">
        <w:fldChar w:fldCharType="begin" w:fldLock="1"/>
      </w:r>
      <w:r w:rsidRPr="009F51A1">
        <w:instrText>ADDIN CSL_CITATION { "citationItems" : [ { "id" : "ITEM-1", "itemData" : { "DOI" : "10.1016/j.apenergy.2016.07.058", "abstract" : "An LCA of 2 onshore and 2 offshore wind power plants was performed. Onshore wind power performs better than offshore per kWh delivered to the grid. Materials are responsible for more than 79% and 70% of climate change impacts onshore and offshore respectively. The bigger, direct drive turbines perform better than the smaller geared ones. Climate change is a good KPI for wind power plant hotspot identification. a b s t r a c t This study aims to assess the environmental impacts related to the provision of 1 kWh to the grid from wind power in Europe and to suggest how life cycle assessment can inform technology development and system planning. Four representative power plants onshore (with 2.3 and 3.2 MW turbines) and offshore (4.0 and 6.0 MW turbines) with 2015 state-of-the-art technology data provided by Siemens Wind Power were assessed. The energy payback time was found to be less than 1 year for all technologies. The emis-sions of greenhouse gases amounted to less than 7 g CO 2 -eq/kWh for onshore and 11 g CO 2 -eq/kWh for offshore. Climate change impacts were found to be a good indicator for overall hotspot identification however attention should also be drawn to human toxicity and impacts from respiratory inorganics. The overall higher impact of offshore plants, compared to onshore ones, is mainly due to larger high-impact material requirements for capital infrastructure. In both markets the bigger turbines with more advanced direct drive generator technology is shown to perform better than the smaller geared ones. Capital infrastructure is the most impactful life cycle stage across impacts. It accounts for more than 79% and 70% of climate change impacts onshore and offshore respectively. The end-of-life treatment could lead to significant savings due to recycling, ca. 20\u201330% for climate change. In the manufacturing stage the impacts due to operations at the case company do not exceed 1% of the total life cycle impacts. This finding highlights the shared responsibility across multiple stakeholders and calls for collaborative efforts for comprehensive environmental management across organizations in the value chain. Real life examples are given in order to showcase how LCA results can inform decisions, e.g. for concept and pro-duct development and supply chain management. On a systems level the results can be used by energy planners when comparing with alternative energy sources.", "author" : [ { "dropping-particle" : "", "family" : "Bonou", "given" : "Alexandra", "non-dropping-particle" : "", "parse-names" : false, "suffix" : "" }, { "dropping-particle" : "", "family" : "Laurent", "given" : "Alexis", "non-dropping-particle" : "", "parse-names" : false, "suffix" : "" }, { "dropping-particle" : "", "family" : "Olsen", "given" : "Stig I", "non-dropping-particle" : "", "parse-names" : false, "suffix" : "" } ], "id" : "ITEM-1", "issued" : { "date-parts" : [ [ "2016" ] ] }, "title" : "Life cycle assessment of onshore and offshore wind energy-from theory to application", "type" : "article-journal" }, "uris" : [ "http://www.mendeley.com/documents/?uuid=35e19115-86ea-3225-b727-3dff0c2a2666" ] } ], "mendeley" : { "formattedCitation" : "(Bonou et al., 2016)", "plainTextFormattedCitation" : "(Bonou et al., 2016)", "previouslyFormattedCitation" : "(Bonou et al., 2016)" }, "properties" : {  }, "schema" : "https://github.com/citation-style-language/schema/raw/master/csl-citation.json" }</w:instrText>
      </w:r>
      <w:r w:rsidRPr="009F51A1">
        <w:fldChar w:fldCharType="separate"/>
      </w:r>
      <w:r w:rsidRPr="009F51A1">
        <w:rPr>
          <w:noProof/>
        </w:rPr>
        <w:t>(Bonou et al., 2016)</w:t>
      </w:r>
      <w:bookmarkEnd w:id="78"/>
      <w:r w:rsidRPr="009F51A1">
        <w:fldChar w:fldCharType="end"/>
      </w:r>
      <w:bookmarkEnd w:id="79"/>
    </w:p>
    <w:p w14:paraId="6B3EF995" w14:textId="31BDC572" w:rsidR="00373AD0" w:rsidRDefault="00373AD0" w:rsidP="00373AD0">
      <w:r>
        <w:t>EPBT is the metric determining when investments go from being a liability to an asset for investors; EPBT figures for conventional nuclear plants are estimated to vary from 4 to 6 years for Light Water Reactors (higher efficiency than AGR)</w:t>
      </w:r>
      <w:r w:rsidR="00CD3D6A">
        <w:t>,</w:t>
      </w:r>
      <w:r>
        <w:t xml:space="preserve"> and therefore holds increased risk associated with its developments in comparison with WPG </w:t>
      </w:r>
      <w:r>
        <w:fldChar w:fldCharType="begin" w:fldLock="1"/>
      </w:r>
      <w:r>
        <w:instrText>ADDIN CSL_CITATION { "citationItems" : [ { "id" : "ITEM-1", "itemData" : { "DOI" : "10.1016/j.enpol.2016.01.011", "abstract" : "Comprehensive analysis of nuclear power construction cost experience. Coverage for early and recent reactors in seven countries. International comparisons and re-evaluation of learning. Cost trends vary by country and era; some experience cost stability or decline. a b s t r a c t The existing literature on the construction costs of nuclear power reactors has focused almost exclusively on trends in construction costs in only two countries, the United States and France, and during two decades, the 1970s and 1980s. These analyses, Koomey and Hultman (2007); Grubler (2010), and Esco-bar-Rangel and L\u00e9v\u00eaque (2015), study only 26% of reactors built globally between 1960 and 2010, pro-viding an incomplete picture of the economic evolution of nuclear power construction. This study curates historical reactor-specific overnight construction cost (OCC) data that broaden the scope of study sub-stantially, covering the full cost history for 349 reactors in the US, India, and South Korea, encompassing 58% of all reactors built globally. We find that trends in costs have varied significantly in magnitude and in structure by era, country, and experience. In contrast to the rapid cost escalation that characterized nuclear construction in the United States, we find evidence of much milder cost escalation in many countries, including absolute cost declines in some countries and specific eras. Our new findings suggest that there is no inherent cost escalation trend associated with nuclear technology.", "author" : [ { "dropping-particle" : "", "family" : "Lovering", "given" : "Jessica R", "non-dropping-particle" : "", "parse-names" : false, "suffix" : "" }, { "dropping-particle" : "", "family" : "Yip", "given" : "Arthur", "non-dropping-particle" : "", "parse-names" : false, "suffix" : "" }, { "dropping-particle" : "", "family" : "Nordhaus", "given" : "Ted", "non-dropping-particle" : "", "parse-names" : false, "suffix" : "" } ], "id" : "ITEM-1", "issued" : { "date-parts" : [ [ "2016" ] ] }, "title" : "Historical construction costs of global nuclear power reactors", "type" : "article-journal" }, "uris" : [ "http://www.mendeley.com/documents/?uuid=65a7b4bd-4c2b-3987-9c3e-e3065636abc4" ] }, { "id" : "ITEM-2", "itemData" : { "DOI" : "10.1016/j.apenergy.2015.04.102", "abstract" : "We compare a large number of cost-optimal future power systems for Great Britain. Scenarios are assessed on cost, emissions reductions, and energy security. Up to 60% of variable renewable capacity is possible with little cost increase. Higher shares require storage, imports or dispatchable renewables such as tidal range. a b s t r a c t Mitigating climate change is driving the need to decarbonize the electricity sector, for which various possible technological options exist, alongside uncertainty over which options are preferable in terms of cost, emissions reductions, and energy security. To reduce this uncertainty, we here quantify two ques-tions for the power system of Great Britain (England, Wales and Scotland): First, when compared within the same high-resolution modeling framework, how much do different combinations of technologies dif-fer in these three respects? Second, how strongly does the cost and availability of grid-scale storage affect overall system cost, and would it favor some technology combinations above others? We compare three main possible generation technologies: (1) renewables, (2) nuclear, and (3) fossil fuels (with/without car-bon capture and storage). Our results show that across a wide range of these combinations, the overall costs remain similar, implying that different configurations are equally feasible both technically and eco-nomically. However, the most economically favorable scenarios are not necessarily favorable in terms of emissions or energy security. The availability of grid-scale storage in scenarios with little dispatchable generation can reduce overall levelized electricity cost by up to 50%, depending on storage capacity costs. The UK can rely on its domestic wind and solar PV generation at lower renewable shares, with levelized costs only rising more than 10% above the mean of 0.084 GBP/kWh for shares of 50% and below at a 70% share, which is 35% higher. However, for more than an 80% renewable generation share to be economi-cally feasible, large-scale storage, significantly more power imports, or domestic dispatchable renewables like tidal range must be available.", "author" : [ { "dropping-particle" : "", "family" : "Pfenninger", "given" : "Stefan", "non-dropping-particle" : "", "parse-names" : false, "suffix" : "" }, { "dropping-particle" : "", "family" : "Keirstead", "given" : "James", "non-dropping-particle" : "", "parse-names" : false, "suffix" : "" } ], "container-title" : "Applied Energy", "id" : "ITEM-2", "issued" : { "date-parts" : [ [ "2015" ] ] }, "page" : "83-93", "title" : "Renewables, nuclear, or fossil fuels? Scenarios for Great Britain\u00e2\u20ac\u2122s power system considering costs, emissions and energy security", "type" : "article-journal", "volume" : "152" }, "uris" : [ "http://www.mendeley.com/documents/?uuid=a55c2614-8681-3a4a-ab6f-628ee1455d37" ] } ], "mendeley" : { "formattedCitation" : "(Lovering, Yip, &amp; Nordhaus, 2016; Pfenninger &amp; Keirstead, 2015)", "plainTextFormattedCitation" : "(Lovering, Yip, &amp; Nordhaus, 2016; Pfenninger &amp; Keirstead, 2015)", "previouslyFormattedCitation" : "(Lovering, Yip, &amp; Nordhaus, 2016; Pfenninger &amp; Keirstead, 2015)" }, "properties" : {  }, "schema" : "https://github.com/citation-style-language/schema/raw/master/csl-citation.json" }</w:instrText>
      </w:r>
      <w:r>
        <w:fldChar w:fldCharType="separate"/>
      </w:r>
      <w:r w:rsidRPr="005F6E2F">
        <w:rPr>
          <w:noProof/>
        </w:rPr>
        <w:t>(Lovering, Yip, &amp; Nordhaus, 2016; Pfenninger &amp; Keirstead, 2015)</w:t>
      </w:r>
      <w:r>
        <w:fldChar w:fldCharType="end"/>
      </w:r>
      <w:r>
        <w:t>. WPGs are therefore advantageous as an economic option for the future of the UK energy market.</w:t>
      </w:r>
    </w:p>
    <w:p w14:paraId="69F9ACA2" w14:textId="4247E3E6" w:rsidR="00373AD0" w:rsidRPr="00DD5C60" w:rsidRDefault="00373AD0" w:rsidP="00373AD0">
      <w:pPr>
        <w:ind w:firstLine="0"/>
      </w:pPr>
      <w:r>
        <w:t xml:space="preserve">Figure 27 depicts remuneration levels of various EGTs from a study cited by Suna and Resch (2016). Judging by the variance in average remuneration estimates for Hinkley Point C and offshore WPG, it is apparent that nuclear development for the UK is more costly in terms of remuneration expenses, which holds considerable socioeconomic value for local economies and may act as a factor skewing the public support in the local areas that hosts development </w:t>
      </w:r>
      <w:r>
        <w:fldChar w:fldCharType="begin" w:fldLock="1"/>
      </w:r>
      <w:r w:rsidR="002A71F2">
        <w:instrText>ADDIN CSL_CITATION { "citationItems" : [ { "id" : "ITEM-1", "itemData" : { "DOI" : "10.1016/j.enpol.2009.07.052", "abstract" : "a b s t r a c t Interest in nuclear power has been revived as a result of volatile fossil fuel prices, concerns about the security of energy supplies, and global climate change. This paper describes the current status and future plans for expansion of nuclear power, the advances in nuclear reactor technology, and their impacts on the associated risks and performance of nuclear power. Advanced nuclear reactors have been designed to be simpler and safer, and to have lower costs than currently operating reactors. By addressing many of the public health and safety risks that plagued the industry since the accidents at Three Mile Island and Chernobyl, these reactors may help break the current deadlock over nuclear power. In that case, nuclear power could make a significant contribution towards reducing greenhouse gas emissions. However, significant issues persist, fueling reservations among the public and many decision makers. Nuclear safety, disposal of radioactive wastes, and proliferation of nuclear explosives need to be addressed in an effective and credible way if the necessary public support is to be obtained.", "author" : [ { "dropping-particle" : "", "family" : "Adamantiades", "given" : "A", "non-dropping-particle" : "", "parse-names" : false, "suffix" : "" }, { "dropping-particle" : "", "family" : "Kessides", "given" : "I", "non-dropping-particle" : "", "parse-names" : false, "suffix" : "" } ], "container-title" : "Energy Policy", "id" : "ITEM-1", "issued" : { "date-parts" : [ [ "2009" ] ] }, "page" : "5149-5166", "title" : "Nuclear power for sustainable development: Current status and future prospects", "type" : "article-journal", "volume" : "37" }, "uris" : [ "http://www.mendeley.com/documents/?uuid=7f58a8eb-2547-3dd4-83ac-3cae515fd548" ] } ], "mendeley" : { "formattedCitation" : "(Adamantiades &amp; Kessides, 2009)", "plainTextFormattedCitation" : "(Adamantiades &amp; Kessides, 2009)", "previouslyFormattedCitation" : "(Adamantiades &amp; Kessides, 2009)" }, "properties" : {  }, "schema" : "https://github.com/citation-style-language/schema/raw/master/csl-citation.json" }</w:instrText>
      </w:r>
      <w:r>
        <w:fldChar w:fldCharType="separate"/>
      </w:r>
      <w:r w:rsidRPr="00AA2965">
        <w:rPr>
          <w:noProof/>
        </w:rPr>
        <w:t>(Adamantiades &amp; Kessides, 2009)</w:t>
      </w:r>
      <w:r>
        <w:fldChar w:fldCharType="end"/>
      </w:r>
      <w:r>
        <w:t>.</w:t>
      </w:r>
    </w:p>
    <w:p w14:paraId="2A60A516" w14:textId="77777777" w:rsidR="00373AD0" w:rsidRDefault="00373AD0" w:rsidP="00373AD0">
      <w:pPr>
        <w:keepNext/>
      </w:pPr>
      <w:r>
        <w:rPr>
          <w:noProof/>
          <w:lang w:eastAsia="en-GB"/>
        </w:rPr>
        <w:lastRenderedPageBreak/>
        <w:drawing>
          <wp:inline distT="0" distB="0" distL="0" distR="0" wp14:anchorId="0D05BC52" wp14:editId="4C3FD793">
            <wp:extent cx="5592445" cy="3289300"/>
            <wp:effectExtent l="0" t="0" r="8255"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47">
                      <a:extLst>
                        <a:ext uri="{28A0092B-C50C-407E-A947-70E740481C1C}">
                          <a14:useLocalDpi xmlns:a14="http://schemas.microsoft.com/office/drawing/2010/main" val="0"/>
                        </a:ext>
                      </a:extLst>
                    </a:blip>
                    <a:srcRect r="2292"/>
                    <a:stretch/>
                  </pic:blipFill>
                  <pic:spPr bwMode="auto">
                    <a:xfrm>
                      <a:off x="0" y="0"/>
                      <a:ext cx="5592445" cy="3289300"/>
                    </a:xfrm>
                    <a:prstGeom prst="rect">
                      <a:avLst/>
                    </a:prstGeom>
                    <a:noFill/>
                    <a:ln>
                      <a:noFill/>
                    </a:ln>
                    <a:extLst>
                      <a:ext uri="{53640926-AAD7-44D8-BBD7-CCE9431645EC}">
                        <a14:shadowObscured xmlns:a14="http://schemas.microsoft.com/office/drawing/2010/main"/>
                      </a:ext>
                    </a:extLst>
                  </pic:spPr>
                </pic:pic>
              </a:graphicData>
            </a:graphic>
          </wp:inline>
        </w:drawing>
      </w:r>
    </w:p>
    <w:p w14:paraId="0B3B949B" w14:textId="4E213F84" w:rsidR="00373AD0" w:rsidRPr="001C5102" w:rsidRDefault="00373AD0" w:rsidP="00157AF8">
      <w:pPr>
        <w:pStyle w:val="Bildetekst"/>
        <w:rPr>
          <w:sz w:val="16"/>
          <w:szCs w:val="16"/>
        </w:rPr>
      </w:pPr>
      <w:bookmarkStart w:id="80" w:name="_Toc505794528"/>
      <w:bookmarkStart w:id="81" w:name="_Toc506305270"/>
      <w:r w:rsidRPr="001C5102">
        <w:rPr>
          <w:sz w:val="16"/>
          <w:szCs w:val="16"/>
        </w:rPr>
        <w:t xml:space="preserve">Figure </w:t>
      </w:r>
      <w:r w:rsidRPr="001C5102">
        <w:rPr>
          <w:sz w:val="16"/>
          <w:szCs w:val="16"/>
        </w:rPr>
        <w:fldChar w:fldCharType="begin"/>
      </w:r>
      <w:r w:rsidRPr="001C5102">
        <w:rPr>
          <w:sz w:val="16"/>
          <w:szCs w:val="16"/>
        </w:rPr>
        <w:instrText xml:space="preserve"> SEQ Figure \* ARABIC </w:instrText>
      </w:r>
      <w:r w:rsidRPr="001C5102">
        <w:rPr>
          <w:sz w:val="16"/>
          <w:szCs w:val="16"/>
        </w:rPr>
        <w:fldChar w:fldCharType="separate"/>
      </w:r>
      <w:r w:rsidR="00A76550">
        <w:rPr>
          <w:noProof/>
          <w:sz w:val="16"/>
          <w:szCs w:val="16"/>
        </w:rPr>
        <w:t>27</w:t>
      </w:r>
      <w:r w:rsidRPr="001C5102">
        <w:rPr>
          <w:sz w:val="16"/>
          <w:szCs w:val="16"/>
        </w:rPr>
        <w:fldChar w:fldCharType="end"/>
      </w:r>
      <w:r w:rsidRPr="001C5102">
        <w:rPr>
          <w:sz w:val="16"/>
          <w:szCs w:val="16"/>
        </w:rPr>
        <w:t xml:space="preserve">: Comparison of remuneration levels (and of wholesale electricity prices) for nuclear power and for assessed RE technologies in the UK (Steinhilber et al., 2011 and Held et al., 2014 cited in  </w:t>
      </w:r>
      <w:r w:rsidRPr="001C5102">
        <w:rPr>
          <w:sz w:val="16"/>
          <w:szCs w:val="16"/>
        </w:rPr>
        <w:fldChar w:fldCharType="begin" w:fldLock="1"/>
      </w:r>
      <w:r w:rsidRPr="001C5102">
        <w:rPr>
          <w:sz w:val="16"/>
          <w:szCs w:val="16"/>
        </w:rPr>
        <w:instrText>ADDIN CSL_CITATION { "citationItems" : [ { "id" : "ITEM-1", "itemData" : { "DOI" : "10.1016/j.enpol.2016.08.023", "abstract" : "H I G H L I G H T S State aids for new nuclear power is compared with incentives for renewables. Hinkley Point C in the UK is considered as example for new nuclear power. Comparison is conducted for the UK at a country level and for the EU 28 overall. Analysis shows that renewable energies are more economical than nuclear power. a b s t r a c t The European Union is divided on the issue of electricity production. While there is consensus that generation technologies need to be low on greenhouse gas emissions, the question of whether to use renewables or nuclear to meet this power demand is highly controversial. Both options still require financial support and this is not going to change in the near future. This raises the question of where public money should be invested in order to achieve greater economic efficiency: into support for re-newable energies (RE) or support for nuclear power plants? This paper sets out to answer this question. The detailed model-based prospective scenario assess-ment performed in this study provides the basis for estimating future cost developments. After dis-cussing the existing support schemes for renewables, the paper compares these with a nuclear model. The comparison is conducted exemplarily for the United Kingdom (UK) at a country level and for the EU 28 overall. The recent state aid case for the construction of the Hinkley Point nuclear power plant (NPP) in the UK serves as the model for the nuclear option.", "author" : [ { "dropping-particle" : "", "family" : "Suna", "given" : "Demet", "non-dropping-particle" : "", "parse-names" : false, "suffix" : "" }, { "dropping-particle" : "", "family" : "Resch", "given" : "Gustav", "non-dropping-particle" : "", "parse-names" : false, "suffix" : "" } ], "id" : "ITEM-1", "issued" : { "date-parts" : [ [ "2016" ] ] }, "title" : "Is nuclear economical in comparison to renewables?", "type" : "article-journal" }, "uris" : [ "http://www.mendeley.com/documents/?uuid=7ff82be0-038f-3548-8ddc-0eba81e9e09b" ] } ], "mendeley" : { "formattedCitation" : "(Suna &amp; Resch, 2016)", "manualFormatting" : "Suna &amp; Resch, 2016)", "plainTextFormattedCitation" : "(Suna &amp; Resch, 2016)", "previouslyFormattedCitation" : "(Suna &amp; Resch, 2016)" }, "properties" : {  }, "schema" : "https://github.com/citation-style-language/schema/raw/master/csl-citation.json" }</w:instrText>
      </w:r>
      <w:r w:rsidRPr="001C5102">
        <w:rPr>
          <w:sz w:val="16"/>
          <w:szCs w:val="16"/>
        </w:rPr>
        <w:fldChar w:fldCharType="separate"/>
      </w:r>
      <w:r w:rsidRPr="001C5102">
        <w:rPr>
          <w:noProof/>
          <w:sz w:val="16"/>
          <w:szCs w:val="16"/>
        </w:rPr>
        <w:t>Suna &amp; Resch, 2016)</w:t>
      </w:r>
      <w:r w:rsidRPr="001C5102">
        <w:rPr>
          <w:sz w:val="16"/>
          <w:szCs w:val="16"/>
        </w:rPr>
        <w:fldChar w:fldCharType="end"/>
      </w:r>
      <w:r w:rsidRPr="001C5102">
        <w:rPr>
          <w:sz w:val="16"/>
          <w:szCs w:val="16"/>
        </w:rPr>
        <w:t>.</w:t>
      </w:r>
      <w:bookmarkEnd w:id="80"/>
      <w:bookmarkEnd w:id="81"/>
      <w:r w:rsidRPr="001C5102">
        <w:rPr>
          <w:sz w:val="16"/>
          <w:szCs w:val="16"/>
        </w:rPr>
        <w:t xml:space="preserve"> </w:t>
      </w:r>
    </w:p>
    <w:p w14:paraId="07C0A9C5" w14:textId="4135C74E" w:rsidR="00373AD0" w:rsidRPr="003372AF" w:rsidRDefault="00157AF8" w:rsidP="00373AD0">
      <w:r>
        <w:rPr>
          <w:noProof/>
          <w:lang w:eastAsia="en-GB"/>
        </w:rPr>
        <w:drawing>
          <wp:anchor distT="0" distB="0" distL="114300" distR="114300" simplePos="0" relativeHeight="251678720" behindDoc="0" locked="0" layoutInCell="1" allowOverlap="1" wp14:anchorId="70AE874D" wp14:editId="1146CE92">
            <wp:simplePos x="0" y="0"/>
            <wp:positionH relativeFrom="margin">
              <wp:posOffset>33546</wp:posOffset>
            </wp:positionH>
            <wp:positionV relativeFrom="paragraph">
              <wp:posOffset>2376170</wp:posOffset>
            </wp:positionV>
            <wp:extent cx="5725795" cy="2487930"/>
            <wp:effectExtent l="0" t="0" r="8255" b="762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8">
                      <a:extLst>
                        <a:ext uri="{28A0092B-C50C-407E-A947-70E740481C1C}">
                          <a14:useLocalDpi xmlns:a14="http://schemas.microsoft.com/office/drawing/2010/main" val="0"/>
                        </a:ext>
                      </a:extLst>
                    </a:blip>
                    <a:srcRect l="2654" t="2775" b="2590"/>
                    <a:stretch/>
                  </pic:blipFill>
                  <pic:spPr bwMode="auto">
                    <a:xfrm>
                      <a:off x="0" y="0"/>
                      <a:ext cx="5725795" cy="24879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73AD0">
        <w:t>LCOE (Levelised Cost of Energy) is the sum of net system cost (£) divided by net system production (kWh). Figure 29 depicts overview of LCOE for various EGTs. From the presented data one can see that the estimated LCOE range for NPG (0.1-0.22 £/kWh), and on and offshore wind (0.05-0.1 $/kWh, 0.175-0.36 £/kWh respectively) are unequal.  Given the competitiveness in the renewable energy market pushing electricity prices, and thereby the LCOE down, and with NPG being subject to a sectoral phase-out conversely to the UK</w:t>
      </w:r>
      <w:r w:rsidR="00C2535D">
        <w:t>’</w:t>
      </w:r>
      <w:r w:rsidR="00373AD0">
        <w:t>s continuous development stance and contradictory to its position as market leader in offshore wind, WPG appears to be the ideal source of electricity supply for the future UK energy demand.</w:t>
      </w:r>
    </w:p>
    <w:p w14:paraId="053DAB88" w14:textId="38E2EB03" w:rsidR="00373AD0" w:rsidRPr="00314F9C" w:rsidRDefault="00157AF8" w:rsidP="00157AF8">
      <w:pPr>
        <w:pStyle w:val="Bildetekst"/>
      </w:pPr>
      <w:bookmarkStart w:id="82" w:name="_Toc505794533"/>
      <w:bookmarkStart w:id="83" w:name="_Toc506305271"/>
      <w:r w:rsidRPr="009F51A1">
        <w:t xml:space="preserve">Figure </w:t>
      </w:r>
      <w:r w:rsidR="00B10DCD">
        <w:fldChar w:fldCharType="begin"/>
      </w:r>
      <w:r w:rsidR="00B10DCD">
        <w:instrText xml:space="preserve"> SEQ Figure \* ARABIC </w:instrText>
      </w:r>
      <w:r w:rsidR="00B10DCD">
        <w:fldChar w:fldCharType="separate"/>
      </w:r>
      <w:r w:rsidR="00A76550">
        <w:rPr>
          <w:noProof/>
        </w:rPr>
        <w:t>28</w:t>
      </w:r>
      <w:r w:rsidR="00B10DCD">
        <w:rPr>
          <w:noProof/>
        </w:rPr>
        <w:fldChar w:fldCharType="end"/>
      </w:r>
      <w:r w:rsidRPr="009F51A1">
        <w:t>: Levelised cost of energy ranges for various technologies (Richards, Sabharwaol and Memmot, 2017)</w:t>
      </w:r>
      <w:bookmarkEnd w:id="82"/>
      <w:bookmarkEnd w:id="83"/>
    </w:p>
    <w:p w14:paraId="29EA4664" w14:textId="0CF0A027" w:rsidR="00373AD0" w:rsidRDefault="00373AD0" w:rsidP="00373AD0">
      <w:pPr>
        <w:keepNext/>
      </w:pPr>
    </w:p>
    <w:p w14:paraId="5B491F77" w14:textId="3E5A6462" w:rsidR="00373AD0" w:rsidRDefault="00246791" w:rsidP="00246791">
      <w:r>
        <w:rPr>
          <w:noProof/>
          <w:lang w:eastAsia="en-GB"/>
        </w:rPr>
        <w:drawing>
          <wp:anchor distT="0" distB="0" distL="114300" distR="114300" simplePos="0" relativeHeight="251684864" behindDoc="0" locked="0" layoutInCell="1" allowOverlap="1" wp14:anchorId="000C165C" wp14:editId="447D1BA2">
            <wp:simplePos x="0" y="0"/>
            <wp:positionH relativeFrom="margin">
              <wp:align>right</wp:align>
            </wp:positionH>
            <wp:positionV relativeFrom="paragraph">
              <wp:posOffset>1025525</wp:posOffset>
            </wp:positionV>
            <wp:extent cx="5723890" cy="2493645"/>
            <wp:effectExtent l="0" t="0" r="0" b="190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23890" cy="24936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31EE2">
        <w:t>Overview of the</w:t>
      </w:r>
      <w:r w:rsidR="00160C83">
        <w:t xml:space="preserve"> EGTs</w:t>
      </w:r>
      <w:r w:rsidR="00431EE2">
        <w:t xml:space="preserve"> expected me</w:t>
      </w:r>
      <w:r w:rsidR="00160C83">
        <w:t xml:space="preserve">dium </w:t>
      </w:r>
      <w:r w:rsidR="00431EE2">
        <w:t>CAPEX and OPEX is dep</w:t>
      </w:r>
      <w:r w:rsidR="00131927">
        <w:t xml:space="preserve">icted in figure 30. Based on Sithole et al.’s estimations, </w:t>
      </w:r>
      <w:r w:rsidR="00DE13FE">
        <w:t>offshore WPGs OPEX outweigh those of NPG and onshore WPG. Combined expenses for EGTs show nuclear to be the more economic option albeit the analysis is negatory towards external costs.</w:t>
      </w:r>
    </w:p>
    <w:p w14:paraId="4F4FCD9F" w14:textId="3D6DDE4C" w:rsidR="00373AD0" w:rsidRPr="001C734E" w:rsidRDefault="00373AD0" w:rsidP="003E4DD0">
      <w:pPr>
        <w:pStyle w:val="Bildetekst"/>
      </w:pPr>
      <w:bookmarkStart w:id="84" w:name="_Toc505794536"/>
      <w:bookmarkStart w:id="85" w:name="_Toc506305272"/>
      <w:r w:rsidRPr="009F51A1">
        <w:t>Figure</w:t>
      </w:r>
      <w:r w:rsidR="005D3A44">
        <w:t xml:space="preserve"> 29</w:t>
      </w:r>
      <w:r w:rsidRPr="009F51A1">
        <w:t>: CAPEX and OPEX inputs for different technologies in the UK electricity generation mix (Sithole et al., 2016)</w:t>
      </w:r>
      <w:bookmarkEnd w:id="84"/>
      <w:bookmarkEnd w:id="85"/>
    </w:p>
    <w:p w14:paraId="365EFEFE" w14:textId="723218B8" w:rsidR="00DE13FE" w:rsidRPr="00DE13FE" w:rsidRDefault="00DE13FE" w:rsidP="00DE13FE">
      <w:pPr>
        <w:pStyle w:val="Overskrift2"/>
        <w:numPr>
          <w:ilvl w:val="1"/>
          <w:numId w:val="6"/>
        </w:numPr>
      </w:pPr>
      <w:bookmarkStart w:id="86" w:name="_Toc505793565"/>
      <w:bookmarkStart w:id="87" w:name="_Toc506308012"/>
      <w:bookmarkEnd w:id="86"/>
      <w:r>
        <w:t>Waste</w:t>
      </w:r>
      <w:bookmarkEnd w:id="87"/>
    </w:p>
    <w:p w14:paraId="0BACF90D" w14:textId="5CE8B9E5" w:rsidR="00373AD0" w:rsidRDefault="00373AD0" w:rsidP="00373AD0">
      <w:pPr>
        <w:pStyle w:val="Overskrift3"/>
      </w:pPr>
      <w:bookmarkStart w:id="88" w:name="_Toc505793566"/>
      <w:bookmarkStart w:id="89" w:name="_Toc506308013"/>
      <w:r>
        <w:t>3.2.1 Environmental</w:t>
      </w:r>
      <w:bookmarkEnd w:id="88"/>
      <w:bookmarkEnd w:id="89"/>
      <w:r>
        <w:t xml:space="preserve"> </w:t>
      </w:r>
    </w:p>
    <w:p w14:paraId="05DB2E62" w14:textId="6AB9DE1C" w:rsidR="00373AD0" w:rsidRDefault="00373AD0" w:rsidP="00373AD0">
      <w:r>
        <w:t xml:space="preserve">“Article  3(1)  of  the  amended WFD  defines  waste  as  ‘any  substance  or  object  which  the  holder  discards or intends or is required to discard’” </w:t>
      </w:r>
      <w:r>
        <w:fldChar w:fldCharType="begin" w:fldLock="1"/>
      </w:r>
      <w:r>
        <w:instrText>ADDIN CSL_CITATION { "citationItems" : [ { "id" : "ITEM-1", "itemData" : { "author" : [ { "dropping-particle" : "", "family" : "European Commission", "given" : "", "non-dropping-particle" : "", "parse-names" : false, "suffix" : "" } ], "id" : "ITEM-1", "issued" : { "date-parts" : [ [ "2012" ] ] }, "title" : "Guidance on the interpretation of key provisions of Directive 2008/98/EC on waste", "type" : "article-journal" }, "uris" : [ "http://www.mendeley.com/documents/?uuid=690b8dd4-40de-3aaa-a388-b658982a2806" ] } ], "mendeley" : { "formattedCitation" : "(European Commission, 2012)", "plainTextFormattedCitation" : "(European Commission, 2012)", "previouslyFormattedCitation" : "(European Commission, 2012)" }, "properties" : {  }, "schema" : "https://github.com/citation-style-language/schema/raw/master/csl-citation.json" }</w:instrText>
      </w:r>
      <w:r>
        <w:fldChar w:fldCharType="separate"/>
      </w:r>
      <w:r w:rsidRPr="00EE5207">
        <w:rPr>
          <w:noProof/>
        </w:rPr>
        <w:t>(European Commission, 2012)</w:t>
      </w:r>
      <w:r>
        <w:fldChar w:fldCharType="end"/>
      </w:r>
      <w:r>
        <w:t xml:space="preserve">. Adhering to this definition, as the UK remains under European governance until negotiated date of departure is finalised and elapsed, the amount of ‘waste’ associated with the EGTs in question is substantial </w:t>
      </w:r>
      <w:r>
        <w:fldChar w:fldCharType="begin" w:fldLock="1"/>
      </w:r>
      <w:r>
        <w:instrText>ADDIN CSL_CITATION { "citationItems" : [ { "id" : "ITEM-1", "itemData" : { "author" : [ { "dropping-particle" : "", "family" : "Isachsen", "given" : "Arne Jon", "non-dropping-particle" : "", "parse-names" : false, "suffix" : "" } ], "id" : "ITEM-1", "issued" : { "date-parts" : [ [ "2017" ] ] }, "publisher-place" : "Bergen", "title" : "Om Brexit", "type" : "report" }, "uris" : [ "http://www.mendeley.com/documents/?uuid=b2513c4b-bd5c-3e03-b86f-f6c51d71f71c" ] } ], "mendeley" : { "formattedCitation" : "(Isachsen, 2017)", "plainTextFormattedCitation" : "(Isachsen, 2017)", "previouslyFormattedCitation" : "(Isachsen, 2017)" }, "properties" : {  }, "schema" : "https://github.com/citation-style-language/schema/raw/master/csl-citation.json" }</w:instrText>
      </w:r>
      <w:r>
        <w:fldChar w:fldCharType="separate"/>
      </w:r>
      <w:r w:rsidRPr="00E9237B">
        <w:rPr>
          <w:noProof/>
        </w:rPr>
        <w:t>(Isachsen, 2017)</w:t>
      </w:r>
      <w:r>
        <w:fldChar w:fldCharType="end"/>
      </w:r>
      <w:r>
        <w:t xml:space="preserve">. </w:t>
      </w:r>
    </w:p>
    <w:p w14:paraId="0309B865" w14:textId="6DD714F0" w:rsidR="00DE13FE" w:rsidRDefault="00373AD0" w:rsidP="00DE13FE">
      <w:r>
        <w:t>Environmentally detrimental transboundary implications are not</w:t>
      </w:r>
      <w:r w:rsidR="0028567F">
        <w:t xml:space="preserve"> widely</w:t>
      </w:r>
      <w:r>
        <w:t xml:space="preserve"> associated with WPG</w:t>
      </w:r>
      <w:r w:rsidR="0028567F">
        <w:t>s</w:t>
      </w:r>
      <w:r>
        <w:t xml:space="preserve"> waste as most of its </w:t>
      </w:r>
      <w:r w:rsidR="00953919">
        <w:t xml:space="preserve">airborne </w:t>
      </w:r>
      <w:r>
        <w:t>waste is embedded in the construction phase pollution, and</w:t>
      </w:r>
      <w:r w:rsidR="00953919">
        <w:t xml:space="preserve"> its</w:t>
      </w:r>
      <w:r>
        <w:t xml:space="preserve"> decommissioned materials te</w:t>
      </w:r>
      <w:r w:rsidR="00953919">
        <w:t xml:space="preserve">nd to be recyclable inert waste. This is not the case for NPG as associated transboundary pollution </w:t>
      </w:r>
      <w:r w:rsidR="0028567F">
        <w:t>risks</w:t>
      </w:r>
      <w:r w:rsidR="00953919">
        <w:t xml:space="preserve"> have prompted</w:t>
      </w:r>
      <w:r w:rsidR="0028567F">
        <w:t xml:space="preserve"> countries such as Norway or Italy (figure 1)</w:t>
      </w:r>
      <w:r w:rsidR="00953919">
        <w:t xml:space="preserve"> </w:t>
      </w:r>
      <w:r w:rsidR="00DE13FE">
        <w:t xml:space="preserve"> to</w:t>
      </w:r>
      <w:r w:rsidR="00953919">
        <w:t xml:space="preserve"> deem</w:t>
      </w:r>
      <w:r w:rsidR="00DE13FE">
        <w:t xml:space="preserve"> the environmentally positive properties associated with the NPG</w:t>
      </w:r>
      <w:r w:rsidR="00953919">
        <w:t xml:space="preserve"> to be negatory</w:t>
      </w:r>
      <w:r w:rsidR="00DE13FE">
        <w:t xml:space="preserve"> in importance, and therefore imposed a ban on the proliferation and use of NPG </w:t>
      </w:r>
      <w:r w:rsidR="00DE13FE">
        <w:fldChar w:fldCharType="begin" w:fldLock="1"/>
      </w:r>
      <w:r w:rsidR="00DE13FE">
        <w:instrText>ADDIN CSL_CITATION { "citationItems" : [ { "id" : "ITEM-1", "itemData" : { "DOI" : "10.1016/J.RENENE.2014.02.001", "author" : [ { "dropping-particle" : "", "family" : "Gullberg", "given" : "Anne Therese", "non-dropping-particle" : "", "parse-names" : false, "suffix" : "" }, { "dropping-particle" : "", "family" : "Ohlhorst", "given" : "Dorte", "non-dropping-particle" : "", "parse-names" : false, "suffix" : "" }, { "dropping-particle" : "", "family" : "Schreurs", "given" : "Miranda", "non-dropping-particle" : "", "parse-names" : false, "suffix" : "" } ], "container-title" : "Renewable Energy", "id" : "ITEM-1", "issued" : { "date-parts" : [ [ "2014", "8", "1" ] ] }, "page" : "216-222", "publisher" : "Pergamon", "title" : "Towards a low carbon energy future \u2013 Renewable energy cooperation between Germany and Norway", "type" : "article-journal", "volume" : "68" }, "uris" : [ "http://www.mendeley.com/documents/?uuid=47e8278b-737b-3346-8193-2c165479fbed" ] } ], "mendeley" : { "formattedCitation" : "(Gullberg, Ohlhorst, &amp; Schreurs, 2014)", "plainTextFormattedCitation" : "(Gullberg, Ohlhorst, &amp; Schreurs, 2014)", "previouslyFormattedCitation" : "(Gullberg, Ohlhorst, &amp; Schreurs, 2014)" }, "properties" : {  }, "schema" : "https://github.com/citation-style-language/schema/raw/master/csl-citation.json" }</w:instrText>
      </w:r>
      <w:r w:rsidR="00DE13FE">
        <w:fldChar w:fldCharType="separate"/>
      </w:r>
      <w:r w:rsidR="00DE13FE" w:rsidRPr="0080304B">
        <w:rPr>
          <w:noProof/>
        </w:rPr>
        <w:t>(Gullberg, Ohlhorst, &amp; Schreurs, 2014)</w:t>
      </w:r>
      <w:r w:rsidR="00DE13FE">
        <w:fldChar w:fldCharType="end"/>
      </w:r>
      <w:r w:rsidR="00DE13FE">
        <w:t xml:space="preserve">. Thorium, with regards to the risks associated with the conventional NPGs, again appears to be the preferred facet of nuclear EGTs as it holds no risk of transboundary pollution, and a </w:t>
      </w:r>
      <w:r w:rsidR="00DE13FE">
        <w:lastRenderedPageBreak/>
        <w:t xml:space="preserve">significantly lessened probability of its </w:t>
      </w:r>
      <w:r w:rsidR="00953919">
        <w:t xml:space="preserve">fissile </w:t>
      </w:r>
      <w:r w:rsidR="00DE13FE">
        <w:t xml:space="preserve">waste being proliferated as nuclear armaments </w:t>
      </w:r>
      <w:r w:rsidR="00DE13FE">
        <w:fldChar w:fldCharType="begin" w:fldLock="1"/>
      </w:r>
      <w:r w:rsidR="00DE13FE">
        <w:instrText>ADDIN CSL_CITATION { "citationItems" : [ { "id" : "ITEM-1", "itemData" : { "DOI" : "10.1016/j.enpol.2013.04.062", "abstract" : "Thorium is an abundant nuclear fuel that is well suited to three advanced reactor configurations. Important thorium reactor configurations include molten salt, CANDU, and TRISO systems. Thorium has important nuclear waste disposal advantages relative to pressurized water reactors. Thorium as a nuclear fuel has important advantages relative to weapon non-proliferation. a b s t r a c t It has long been known that thorium-232 is a fertile radioactive material that can produce energy in nuclear reactors for conversion to electricity. Thorium-232 is well suited to a variety of reactor types including molten fluoride salt designs, heavy water CANDU configurations, and helium-cooled TRISO-fueled systems. Among contentious commercial nuclear power issues are the questions of what to do with long-lived radioactive waste and how to minimize weapon proliferation dangers. The substitution of thorium for uranium as fuel in nuclear reactors has significant potential for minimizing both problems. Thorium is three times more abundant in nature than uranium. Whereas uranium has to be imported, there is enough thorium in the United States alone to provide adequate grid power for many centuries. A well-designed thorium reactor could produce electricity less expensively than a next-generation coal-fired plant or a current-generation uranium-fueled nuclear reactor. Importantly, thorium reactors produce substantially less long-lived radioactive waste than uranium reactors. Thorium-fueled reactors with molten salt configurations and very high temperature thorium-based TRISO-fueled reactors are both recommended for priority Generation IV funding in the 2030 time frame.", "author" : [ { "dropping-particle" : "", "family" : "Baker Schaffer", "given" : "Marvin", "non-dropping-particle" : "", "parse-names" : false, "suffix" : "" } ], "container-title" : "Energy Policy", "id" : "ITEM-1", "issued" : { "date-parts" : [ [ "2013" ] ] }, "page" : "4-12", "title" : "Abundant thorium as an alternative nuclear fuel Important waste disposal and weapon proliferation advantages", "type" : "article-journal", "volume" : "60" }, "uris" : [ "http://www.mendeley.com/documents/?uuid=af3ae5bc-b2da-3a95-82fe-928fbabfa7c2" ] } ], "mendeley" : { "formattedCitation" : "(Baker Schaffer, 2013)", "manualFormatting" : "(Baker and Schaffer, 2013)", "plainTextFormattedCitation" : "(Baker Schaffer, 2013)", "previouslyFormattedCitation" : "(Baker Schaffer, 2013)" }, "properties" : {  }, "schema" : "https://github.com/citation-style-language/schema/raw/master/csl-citation.json" }</w:instrText>
      </w:r>
      <w:r w:rsidR="00DE13FE">
        <w:fldChar w:fldCharType="separate"/>
      </w:r>
      <w:r w:rsidR="00DE13FE" w:rsidRPr="0080304B">
        <w:rPr>
          <w:noProof/>
        </w:rPr>
        <w:t xml:space="preserve">(Baker </w:t>
      </w:r>
      <w:r w:rsidR="00DE13FE">
        <w:rPr>
          <w:noProof/>
        </w:rPr>
        <w:t xml:space="preserve">and </w:t>
      </w:r>
      <w:r w:rsidR="00DE13FE" w:rsidRPr="0080304B">
        <w:rPr>
          <w:noProof/>
        </w:rPr>
        <w:t>Schaffer, 2013)</w:t>
      </w:r>
      <w:r w:rsidR="00DE13FE">
        <w:fldChar w:fldCharType="end"/>
      </w:r>
      <w:r w:rsidR="00DE13FE">
        <w:t xml:space="preserve">. Nuclear waste production occurs after heavy metal fuel materials supersedes its burnup rate. This leads to the approximate production on 12,000-15,000 tonnes of hazardous heavy metal waste, where a mere 30% is reprocessed for uranium recovery </w:t>
      </w:r>
      <w:r w:rsidR="00DE13FE">
        <w:fldChar w:fldCharType="begin" w:fldLock="1"/>
      </w:r>
      <w:r w:rsidR="00DE13FE">
        <w:instrText>ADDIN CSL_CITATION { "citationItems" : [ { "id" : "ITEM-1", "itemData" : { "author" : [ { "dropping-particle" : "", "family" : "Giusti", "given" : "L", "non-dropping-particle" : "", "parse-names" : false, "suffix" : "" } ], "container-title" : "Waste Management ", "id" : "ITEM-1", "issued" : { "date-parts" : [ [ "2009" ] ] }, "page" : "2227-2239", "title" : "A review of waste management practices and their impact on human health", "type" : "article-journal", "volume" : "29" }, "uris" : [ "http://www.mendeley.com/documents/?uuid=62ea8296-0888-3c60-8571-fc3c05d19104" ] } ], "mendeley" : { "formattedCitation" : "(Giusti, 2009)", "plainTextFormattedCitation" : "(Giusti, 2009)", "previouslyFormattedCitation" : "(Giusti, 2009)" }, "properties" : {  }, "schema" : "https://github.com/citation-style-language/schema/raw/master/csl-citation.json" }</w:instrText>
      </w:r>
      <w:r w:rsidR="00DE13FE">
        <w:fldChar w:fldCharType="separate"/>
      </w:r>
      <w:r w:rsidR="00DE13FE" w:rsidRPr="002A71F2">
        <w:rPr>
          <w:noProof/>
        </w:rPr>
        <w:t>(Giusti, 2009)</w:t>
      </w:r>
      <w:r w:rsidR="00DE13FE">
        <w:fldChar w:fldCharType="end"/>
      </w:r>
      <w:r w:rsidR="00DE13FE">
        <w:t xml:space="preserve">.  Reprocessing plants are located at Sellafield (UK), Mayak (Russia), and La Hague (France) </w:t>
      </w:r>
      <w:r w:rsidR="00DE13FE">
        <w:fldChar w:fldCharType="begin" w:fldLock="1"/>
      </w:r>
      <w:r w:rsidR="00DE13FE">
        <w:instrText>ADDIN CSL_CITATION { "citationItems" : [ { "id" : "ITEM-1", "itemData" : { "DOI" : "10.1016/j.rser.2013.01.035", "abstract" : "a b s t r a c t Today there are several opportunities for Renewable Energy Sources (RES), as well as for nuclear technologies to contribute to mitigating climate change and to promote sustainable development (SD). In this framework, the main scope of the present study is to provide an analysis and a direct point-to-point comparison of five promising renewable energy technologies, namely, biomass gasification, molten carbonate fuel cells fed with wood gas, Solar Photovoltaics (PV), solar thermal and offshore wind, in contrast to two advanced nuclear technologies, European Pressurized Reactor (EPR) and European Fast Reactor (EFR). The examination was made with regards to technology characteristics, sustainability factors and potential deployment drivers and barriers, obtained from relative studies. The analysis indicated that the examined RES and nuclear technologies both offer substantial contribution to climate change by effectively producing limited amounts of GHG emissions, which are close to zero for the nuclear technologies. The RES produce no significant waste and are generally favored by policy incentives, but some of them are plagued by high production costs and low efficiency. On the contrary, the examined nuclear technologies, despite their enhanced safety, reduced costs and minimized waste, still have to face the major issues of weapons proliferation, safety, waste handling and high costs as well as public acceptance, which have been affected by the recent Fukushima accident.", "author" : [ { "dropping-particle" : "", "family" : "Karakosta", "given" : "Charikleia", "non-dropping-particle" : "", "parse-names" : false, "suffix" : "" }, { "dropping-particle" : "", "family" : "Pappas", "given" : "Charalampos", "non-dropping-particle" : "", "parse-names" : false, "suffix" : "" }, { "dropping-particle" : "", "family" : "Marinakis", "given" : "Vangelis", "non-dropping-particle" : "", "parse-names" : false, "suffix" : "" }, { "dropping-particle" : "", "family" : "Psarras", "given" : "John", "non-dropping-particle" : "", "parse-names" : false, "suffix" : "" } ], "container-title" : "Renewable and Sustainable Energy Reviews", "id" : "ITEM-1", "issued" : { "date-parts" : [ [ "2013" ] ] }, "page" : "187-197", "title" : "Renewable energy and nuclear power towards sustainable development: Characteristics and prospects", "type" : "article-journal", "volume" : "22" }, "uris" : [ "http://www.mendeley.com/documents/?uuid=deb77452-1ce6-35d2-8a9a-204983226b8b" ] } ], "mendeley" : { "formattedCitation" : "(Karakosta, Pappas, Marinakis, &amp; Psarras, 2013)", "manualFormatting" : "(Karakosta et al., 2013)", "plainTextFormattedCitation" : "(Karakosta, Pappas, Marinakis, &amp; Psarras, 2013)", "previouslyFormattedCitation" : "(Karakosta, Pappas, Marinakis, &amp; Psarras, 2013)" }, "properties" : {  }, "schema" : "https://github.com/citation-style-language/schema/raw/master/csl-citation.json" }</w:instrText>
      </w:r>
      <w:r w:rsidR="00DE13FE">
        <w:fldChar w:fldCharType="separate"/>
      </w:r>
      <w:r w:rsidR="00DE13FE" w:rsidRPr="002A71F2">
        <w:rPr>
          <w:noProof/>
        </w:rPr>
        <w:t>(Karakos</w:t>
      </w:r>
      <w:r w:rsidR="00DE13FE">
        <w:rPr>
          <w:noProof/>
        </w:rPr>
        <w:t>ta et al.</w:t>
      </w:r>
      <w:r w:rsidR="00DE13FE" w:rsidRPr="002A71F2">
        <w:rPr>
          <w:noProof/>
        </w:rPr>
        <w:t>, 2013)</w:t>
      </w:r>
      <w:r w:rsidR="00DE13FE">
        <w:fldChar w:fldCharType="end"/>
      </w:r>
      <w:r w:rsidR="00DE13FE">
        <w:t xml:space="preserve">, whereas storage plants acconting for 70% of nuclear waste disposal is located in geological disposal facilities </w:t>
      </w:r>
      <w:r w:rsidR="00953919">
        <w:rPr>
          <w:noProof/>
          <w:lang w:eastAsia="en-GB"/>
        </w:rPr>
        <mc:AlternateContent>
          <mc:Choice Requires="wps">
            <w:drawing>
              <wp:anchor distT="0" distB="0" distL="114300" distR="114300" simplePos="0" relativeHeight="251681792" behindDoc="0" locked="0" layoutInCell="1" allowOverlap="1" wp14:anchorId="3E8E91C8" wp14:editId="5BDF78D1">
                <wp:simplePos x="0" y="0"/>
                <wp:positionH relativeFrom="margin">
                  <wp:align>center</wp:align>
                </wp:positionH>
                <wp:positionV relativeFrom="paragraph">
                  <wp:posOffset>4290407</wp:posOffset>
                </wp:positionV>
                <wp:extent cx="3162300" cy="276225"/>
                <wp:effectExtent l="0" t="0" r="0" b="9525"/>
                <wp:wrapTopAndBottom/>
                <wp:docPr id="7" name="Text Box 7"/>
                <wp:cNvGraphicFramePr/>
                <a:graphic xmlns:a="http://schemas.openxmlformats.org/drawingml/2006/main">
                  <a:graphicData uri="http://schemas.microsoft.com/office/word/2010/wordprocessingShape">
                    <wps:wsp>
                      <wps:cNvSpPr txBox="1"/>
                      <wps:spPr>
                        <a:xfrm>
                          <a:off x="0" y="0"/>
                          <a:ext cx="3162300" cy="276225"/>
                        </a:xfrm>
                        <a:prstGeom prst="rect">
                          <a:avLst/>
                        </a:prstGeom>
                        <a:solidFill>
                          <a:prstClr val="white"/>
                        </a:solidFill>
                        <a:ln>
                          <a:noFill/>
                        </a:ln>
                      </wps:spPr>
                      <wps:txbx>
                        <w:txbxContent>
                          <w:p w14:paraId="3B858BF2" w14:textId="6E0D43DC" w:rsidR="00CB18B3" w:rsidRPr="00836F9D" w:rsidRDefault="00CB18B3" w:rsidP="00A76550">
                            <w:pPr>
                              <w:pStyle w:val="Bildetekst"/>
                              <w:rPr>
                                <w:sz w:val="25"/>
                              </w:rPr>
                            </w:pPr>
                            <w:bookmarkStart w:id="90" w:name="_Toc506305273"/>
                            <w:r>
                              <w:t>Figure</w:t>
                            </w:r>
                            <w:r w:rsidR="005D3A44">
                              <w:t xml:space="preserve"> 30</w:t>
                            </w:r>
                            <w:r>
                              <w:t xml:space="preserve">: Possible design for a geological disposal facility  </w:t>
                            </w:r>
                            <w:r>
                              <w:fldChar w:fldCharType="begin" w:fldLock="1"/>
                            </w:r>
                            <w:r>
                              <w:instrText>ADDIN CSL_CITATION { "citationItems" : [ { "id" : "ITEM-1", "itemData" : { "author" : [ { "dropping-particle" : "", "family" : "DBEIS", "given" : "", "non-dropping-particle" : "", "parse-names" : false, "suffix" : "" }, { "dropping-particle" : "", "family" : "NDA", "given" : "", "non-dropping-particle" : "", "parse-names" : false, "suffix" : "" } ], "id" : "ITEM-1", "issued" : { "date-parts" : [ [ "2016" ] ] }, "title" : "Radioactive Wastes in the UK: A summary fof the 2016 Inventory", "type" : "article-journal" }, "uris" : [ "http://www.mendeley.com/documents/?uuid=7fd1ec94-641f-324c-9098-d9f8cb363269" ] } ], "mendeley" : { "formattedCitation" : "(DBEIS &amp; NDA, 2016)", "plainTextFormattedCitation" : "(DBEIS &amp; NDA, 2016)", "previouslyFormattedCitation" : "(DBEIS &amp; NDA, 2016)" }, "properties" : {  }, "schema" : "https://github.com/citation-style-language/schema/raw/master/csl-citation.json" }</w:instrText>
                            </w:r>
                            <w:r>
                              <w:fldChar w:fldCharType="separate"/>
                            </w:r>
                            <w:r w:rsidRPr="00A76550">
                              <w:rPr>
                                <w:noProof/>
                              </w:rPr>
                              <w:t>(DBEIS &amp; NDA, 2016)</w:t>
                            </w:r>
                            <w:bookmarkEnd w:id="90"/>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8E91C8" id="Text Box 7" o:spid="_x0000_s1029" type="#_x0000_t202" style="position:absolute;left:0;text-align:left;margin-left:0;margin-top:337.85pt;width:249pt;height:21.75pt;z-index:2516817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" stroked="f">
                <v:textbox inset="0,0,0,0">
                  <w:txbxContent>
                    <w:p w14:paraId="3B858BF2" w14:textId="6E0D43DC" w:rsidR="00CB18B3" w:rsidRPr="00836F9D" w:rsidRDefault="00CB18B3" w:rsidP="00A76550">
                      <w:pPr>
                        <w:pStyle w:val="Bildetekst"/>
                        <w:rPr>
                          <w:sz w:val="25"/>
                        </w:rPr>
                      </w:pPr>
                      <w:bookmarkStart w:id="91" w:name="_Toc506305273"/>
                      <w:r>
                        <w:t>Figure</w:t>
                      </w:r>
                      <w:r w:rsidR="005D3A44">
                        <w:t xml:space="preserve"> 30</w:t>
                      </w:r>
                      <w:r>
                        <w:t xml:space="preserve">: Possible design for a geological disposal facility  </w:t>
                      </w:r>
                      <w:r>
                        <w:fldChar w:fldCharType="begin" w:fldLock="1"/>
                      </w:r>
                      <w:r>
                        <w:instrText>ADDIN CSL_CITATION { "citationItems" : [ { "id" : "ITEM-1", "itemData" : { "author" : [ { "dropping-particle" : "", "family" : "DBEIS", "given" : "", "non-dropping-particle" : "", "parse-names" : false, "suffix" : "" }, { "dropping-particle" : "", "family" : "NDA", "given" : "", "non-dropping-particle" : "", "parse-names" : false, "suffix" : "" } ], "id" : "ITEM-1", "issued" : { "date-parts" : [ [ "2016" ] ] }, "title" : "Radioactive Wastes in the UK: A summary fof the 2016 Inventory", "type" : "article-journal" }, "uris" : [ "http://www.mendeley.com/documents/?uuid=7fd1ec94-641f-324c-9098-d9f8cb363269" ] } ], "mendeley" : { "formattedCitation" : "(DBEIS &amp; NDA, 2016)", "plainTextFormattedCitation" : "(DBEIS &amp; NDA, 2016)", "previouslyFormattedCitation" : "(DBEIS &amp; NDA, 2016)" }, "properties" : {  }, "schema" : "https://github.com/citation-style-language/schema/raw/master/csl-citation.json" }</w:instrText>
                      </w:r>
                      <w:r>
                        <w:fldChar w:fldCharType="separate"/>
                      </w:r>
                      <w:r w:rsidRPr="00A76550">
                        <w:rPr>
                          <w:noProof/>
                        </w:rPr>
                        <w:t>(DBEIS &amp; NDA, 2016)</w:t>
                      </w:r>
                      <w:bookmarkEnd w:id="91"/>
                      <w:r>
                        <w:fldChar w:fldCharType="end"/>
                      </w:r>
                    </w:p>
                  </w:txbxContent>
                </v:textbox>
                <w10:wrap type="topAndBottom" anchorx="margin"/>
              </v:shape>
            </w:pict>
          </mc:Fallback>
        </mc:AlternateContent>
      </w:r>
      <w:r w:rsidR="00953919">
        <w:rPr>
          <w:noProof/>
          <w:lang w:eastAsia="en-GB"/>
        </w:rPr>
        <w:drawing>
          <wp:anchor distT="0" distB="0" distL="114300" distR="114300" simplePos="0" relativeHeight="251679744" behindDoc="0" locked="0" layoutInCell="1" allowOverlap="1" wp14:anchorId="10777ADB" wp14:editId="4AD0EDE6">
            <wp:simplePos x="0" y="0"/>
            <wp:positionH relativeFrom="margin">
              <wp:posOffset>807085</wp:posOffset>
            </wp:positionH>
            <wp:positionV relativeFrom="paragraph">
              <wp:posOffset>2137410</wp:posOffset>
            </wp:positionV>
            <wp:extent cx="4105275" cy="2137410"/>
            <wp:effectExtent l="0" t="0" r="952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105275" cy="21374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E13FE">
        <w:t>(figure</w:t>
      </w:r>
      <w:r w:rsidR="001E0D5E">
        <w:t xml:space="preserve"> 31</w:t>
      </w:r>
      <w:r w:rsidR="00DE13FE">
        <w:t xml:space="preserve">). </w:t>
      </w:r>
      <w:r w:rsidR="007061C8">
        <w:t>L</w:t>
      </w:r>
      <w:r w:rsidR="008D5D7A">
        <w:t>ayout depicted in figure 3</w:t>
      </w:r>
      <w:r w:rsidR="00AC5B7C">
        <w:t>0</w:t>
      </w:r>
      <w:r w:rsidR="008D5D7A">
        <w:t xml:space="preserve"> </w:t>
      </w:r>
      <w:r w:rsidR="007061C8">
        <w:t>further proposes</w:t>
      </w:r>
      <w:r w:rsidR="008D5D7A">
        <w:t xml:space="preserve"> vulnerability to seismic activity</w:t>
      </w:r>
      <w:r w:rsidR="007061C8">
        <w:t xml:space="preserve">. </w:t>
      </w:r>
    </w:p>
    <w:p w14:paraId="26F3A2DB" w14:textId="553940E1" w:rsidR="00DE13FE" w:rsidRDefault="00DE13FE" w:rsidP="00DE13FE">
      <w:r>
        <w:t>Inert waste associated with WPG is largely recycled as the technology has diverged from the traditional linear material consumption model reducing landfilling and maximising the utilisation of the resources by moving upwards in the waste</w:t>
      </w:r>
      <w:r w:rsidR="00953919">
        <w:t xml:space="preserve"> hierarchy and  promoting</w:t>
      </w:r>
      <w:r>
        <w:t xml:space="preserve"> a circular economy </w:t>
      </w:r>
      <w:r>
        <w:fldChar w:fldCharType="begin" w:fldLock="1"/>
      </w:r>
      <w:r>
        <w:instrText>ADDIN CSL_CITATION { "citationItems" : [ { "id" : "ITEM-1", "itemData" : { "abstract" : "Resource scarcity led to the use of more sustainable energy sources like wind energy. Wind energy is clean and renewable with no greenhouse emissions. However, a major problem related to this energy is waste derived from wind turbines that have reached their end-of-service lives. This thesis looks into the different materials that wind turbines are composed of, and suggests comprehensive solutions and concrete recycling guidelines in order to tackle the issue of waste management. This is substantiated by analysing secondary data from the existing literature and primary data from interviews and questionnaires, and using reliable theoretical concepts like circular economy and industrial symbiosis. Based on those principles, two detailed recycling guidelines have been created suggesting waste handling solutions of the cables and electrical and electronic equipment included in the wind turbines. i Acknowledgements", "author" : [ { "dropping-particle" : "", "family" : "Karavida", "given" : "Spyridoula", "non-dropping-particle" : "", "parse-names" : false, "suffix" : "" }, { "dropping-particle" : "", "family" : "Supervisors", "given" : "Reet N\u00f5mmik", "non-dropping-particle" : "", "parse-names" : false, "suffix" : "" }, { "dropping-particle" : "", "family" : "Remmen", "given" : "Arne", "non-dropping-particle" : "", "parse-names" : false, "suffix" : "" }, { "dropping-particle" : "", "family" : "Pagh Jensen", "given" : "Jonas", "non-dropping-particle" : "", "parse-names" : false, "suffix" : "" } ], "id" : "ITEM-1", "issued" : { "date-parts" : [ [ "2015" ] ] }, "title" : "Waste Management of End- of-Service Wind Turbines", "type" : "article-journal" }, "uris" : [ "http://www.mendeley.com/documents/?uuid=b5af8ad5-610b-3ff6-8dde-70e5b7361f25" ] } ], "mendeley" : { "formattedCitation" : "(Karavida, Supervisors, Remmen, &amp; Pagh Jensen, 2015)", "plainTextFormattedCitation" : "(Karavida, Supervisors, Remmen, &amp; Pagh Jensen, 2015)", "previouslyFormattedCitation" : "(Karavida, Supervisors, Remmen, &amp; Pagh Jensen, 2015)" }, "properties" : {  }, "schema" : "https://github.com/citation-style-language/schema/raw/master/csl-citation.json" }</w:instrText>
      </w:r>
      <w:r>
        <w:fldChar w:fldCharType="separate"/>
      </w:r>
      <w:r w:rsidRPr="00E605FD">
        <w:rPr>
          <w:noProof/>
        </w:rPr>
        <w:t>(Karavida, Supervisors, Remmen, &amp; Pagh Jensen, 2015)</w:t>
      </w:r>
      <w:r>
        <w:fldChar w:fldCharType="end"/>
      </w:r>
      <w:r>
        <w:t>. This is demonstrated by the assumed model created by Bonous et al. (2016) in figure 3</w:t>
      </w:r>
      <w:r w:rsidR="00AC5B7C">
        <w:t>1</w:t>
      </w:r>
      <w:r>
        <w:t>. However, accordance with the aforementioned definition from the WFD, waste associated with WPG is not solely inert.  Furthermore, waste emerging from nacelle explosions is not accounted for in the information presented.</w:t>
      </w:r>
      <w:bookmarkStart w:id="92" w:name="_GoBack"/>
      <w:bookmarkEnd w:id="92"/>
    </w:p>
    <w:p w14:paraId="6BBB6CD2" w14:textId="77777777" w:rsidR="00DE13FE" w:rsidRDefault="00DE13FE" w:rsidP="00DE13FE">
      <w:pPr>
        <w:keepNext/>
      </w:pPr>
      <w:r>
        <w:rPr>
          <w:noProof/>
          <w:lang w:eastAsia="en-GB"/>
        </w:rPr>
        <w:lastRenderedPageBreak/>
        <w:drawing>
          <wp:inline distT="0" distB="0" distL="0" distR="0" wp14:anchorId="36C4E64C" wp14:editId="3AC3B652">
            <wp:extent cx="5167630" cy="5295265"/>
            <wp:effectExtent l="0" t="0" r="0" b="635"/>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167630" cy="5295265"/>
                    </a:xfrm>
                    <a:prstGeom prst="rect">
                      <a:avLst/>
                    </a:prstGeom>
                    <a:noFill/>
                    <a:ln>
                      <a:noFill/>
                    </a:ln>
                  </pic:spPr>
                </pic:pic>
              </a:graphicData>
            </a:graphic>
          </wp:inline>
        </w:drawing>
      </w:r>
    </w:p>
    <w:p w14:paraId="1BE16432" w14:textId="2268AB5B" w:rsidR="00DE13FE" w:rsidRDefault="00DE13FE" w:rsidP="0044004D">
      <w:pPr>
        <w:pStyle w:val="Bildetekst"/>
      </w:pPr>
      <w:bookmarkStart w:id="93" w:name="_Toc505794538"/>
      <w:bookmarkStart w:id="94" w:name="_Toc506305274"/>
      <w:r w:rsidRPr="009F51A1">
        <w:t>Figure</w:t>
      </w:r>
      <w:r w:rsidR="005D3A44">
        <w:t xml:space="preserve"> 31</w:t>
      </w:r>
      <w:r w:rsidRPr="009F51A1">
        <w:t>: Modelling assumptions for</w:t>
      </w:r>
      <w:r>
        <w:t xml:space="preserve"> the </w:t>
      </w:r>
      <w:r w:rsidRPr="009F51A1">
        <w:t xml:space="preserve">treatment of the main materials in wind power plant systems. </w:t>
      </w:r>
      <w:r w:rsidRPr="009F51A1">
        <w:fldChar w:fldCharType="begin" w:fldLock="1"/>
      </w:r>
      <w:r w:rsidRPr="009F51A1">
        <w:instrText>ADDIN CSL_CITATION { "citationItems" : [ { "id" : "ITEM-1", "itemData" : { "DOI" : "10.1016/j.apenergy.2016.07.058", "abstract" : "An LCA of 2 onshore and 2 offshore wind power plants was performed. Onshore wind power performs better than offshore per kWh delivered to the grid. Materials are responsible for more than 79% and 70% of climate change impacts onshore and offshore respectively. The bigger, direct drive turbines perform better than the smaller geared ones. Climate change is a good KPI for wind power plant hotspot identification. a b s t r a c t This study aims to assess the environmental impacts related to the provision of 1 kWh to the grid from wind power in Europe and to suggest how life cycle assessment can inform technology development and system planning. Four representative power plants onshore (with 2.3 and 3.2 MW turbines) and offshore (4.0 and 6.0 MW turbines) with 2015 state-of-the-art technology data provided by Siemens Wind Power were assessed. The energy payback time was found to be less than 1 year for all technologies. The emis-sions of greenhouse gases amounted to less than 7 g CO 2 -eq/kWh for onshore and 11 g CO 2 -eq/kWh for offshore. Climate change impacts were found to be a good indicator for overall hotspot identification however attention should also be drawn to human toxicity and impacts from respiratory inorganics. The overall higher impact of offshore plants, compared to onshore ones, is mainly due to larger high-impact material requirements for capital infrastructure. In both markets the bigger turbines with more advanced direct drive generator technology is shown to perform better than the smaller geared ones. Capital infrastructure is the most impactful life cycle stage across impacts. It accounts for more than 79% and 70% of climate change impacts onshore and offshore respectively. The end-of-life treatment could lead to significant savings due to recycling, ca. 20\u201330% for climate change. In the manufacturing stage the impacts due to operations at the case company do not exceed 1% of the total life cycle impacts. This finding highlights the shared responsibility across multiple stakeholders and calls for collaborative efforts for comprehensive environmental management across organizations in the value chain. Real life examples are given in order to showcase how LCA results can inform decisions, e.g. for concept and pro-duct development and supply chain management. On a systems level the results can be used by energy planners when comparing with alternative energy sources.", "author" : [ { "dropping-particle" : "", "family" : "Bonou", "given" : "Alexandra", "non-dropping-particle" : "", "parse-names" : false, "suffix" : "" }, { "dropping-particle" : "", "family" : "Laurent", "given" : "Alexis", "non-dropping-particle" : "", "parse-names" : false, "suffix" : "" }, { "dropping-particle" : "", "family" : "Olsen", "given" : "Stig I", "non-dropping-particle" : "", "parse-names" : false, "suffix" : "" } ], "id" : "ITEM-1", "issued" : { "date-parts" : [ [ "2016" ] ] }, "title" : "Life cycle assessment of onshore and offshore wind energy-from theory to application", "type" : "article-journal" }, "uris" : [ "http://www.mendeley.com/documents/?uuid=35e19115-86ea-3225-b727-3dff0c2a2666" ] } ], "mendeley" : { "formattedCitation" : "(Bonou et al., 2016)", "plainTextFormattedCitation" : "(Bonou et al., 2016)", "previouslyFormattedCitation" : "(Bonou et al., 2016)" }, "properties" : {  }, "schema" : "https://github.com/citation-style-language/schema/raw/master/csl-citation.json" }</w:instrText>
      </w:r>
      <w:r w:rsidRPr="009F51A1">
        <w:fldChar w:fldCharType="separate"/>
      </w:r>
      <w:r w:rsidRPr="009F51A1">
        <w:rPr>
          <w:noProof/>
        </w:rPr>
        <w:t>(Bonou et al., 2016)</w:t>
      </w:r>
      <w:bookmarkEnd w:id="93"/>
      <w:bookmarkEnd w:id="94"/>
      <w:r w:rsidRPr="009F51A1">
        <w:fldChar w:fldCharType="end"/>
      </w:r>
    </w:p>
    <w:p w14:paraId="30CDA064" w14:textId="77777777" w:rsidR="00DE13FE" w:rsidRDefault="00DE13FE" w:rsidP="00DE13FE">
      <w:r>
        <w:t xml:space="preserve">Figures 15, 16, and 17 (pp. 12-13) represents an overview of the emissions associated with the waste accumulated during the life cycle of NPG and WPG technologies. From these </w:t>
      </w:r>
      <w:r w:rsidR="00F6176D">
        <w:t>figures,</w:t>
      </w:r>
      <w:r>
        <w:t xml:space="preserve"> one can ascertain the airborne hazardous and generic wastes associated with the respective EGTs to predominantly be embedded in NPG.</w:t>
      </w:r>
    </w:p>
    <w:p w14:paraId="5B8EE814" w14:textId="6A024D26" w:rsidR="00DE13FE" w:rsidRPr="00E605FD" w:rsidRDefault="00DE13FE" w:rsidP="00DE13FE">
      <w:r>
        <w:t>Figure 3</w:t>
      </w:r>
      <w:r w:rsidR="002C4464">
        <w:t>2</w:t>
      </w:r>
      <w:r>
        <w:t xml:space="preserve"> illustrates the hazardous waste associated with the various stages of WPG life cycle. Offshore WPG appears prevalent in all categories excluding operations, and onshore WPG appears nugatory compared with NPG </w:t>
      </w:r>
      <w:r>
        <w:fldChar w:fldCharType="begin" w:fldLock="1"/>
      </w:r>
      <w:r>
        <w:instrText>ADDIN CSL_CITATION { "citationItems" : [ { "id" : "ITEM-1", "itemData" : { "DOI" : "10.1016/j.enpol.2016.03.022", "abstract" : "Given the acknowledged hazards of fossil fuels, it is important to compare the impacts of low-carbon alternatives. This report reviews published data to compare nuclear with hydro, wind, solar and biomass electricity production. Environmental impacts and risks to humans are compared. Specific impacts of wind turbines on bird populations are examined. Conclusions and recommendations for future energy choices are presented. a b s t r a c t Given the widely acknowledged negative impacts of fossil fuels, both on human health and on potential climate change, it is of interest to compare the impacts of low carbon alternative energy sources such as nuclear energy, hydropower, solar, wind and biomass. In this paper, we review the literature in order to summarise the impacts of the different technologies in terms of their materials and energy requirements, their emissions during operation, their health effects during operation, the accident risks, and the as-sociated waste streams. We follow up these comparisons with some more anecdotal evidence on se-lected impacts that are either particularly topical or are important but less commonly addressed. These include impacts of wind turbines on persons and on bird life, the underestimated problems with bio-mass, and concerns about biodiversity reduction. Finally we address the public attitudes towards both renewable energy technologies and to nuclear power. The conclusion is drawn that energy policies of many countries are perhaps more strongly influenced by public and political perceptions of available technologies than they are by rational assessment of the actual benefits and drawbacks. Policy re-commendations follow from this conclusion.", "author" : [ { "dropping-particle" : "", "family" : "Mccombie", "given" : "Charles", "non-dropping-particle" : "", "parse-names" : false, "suffix" : "" }, { "dropping-particle" : "", "family" : "Jefferson", "given" : "Michael", "non-dropping-particle" : "", "parse-names" : false, "suffix" : "" } ], "id" : "ITEM-1", "issued" : { "date-parts" : [ [ "2016" ] ] }, "title" : "Renewable and nuclear electricity: Comparison of environmental impacts", "type" : "article-journal" }, "uris" : [ "http://www.mendeley.com/documents/?uuid=e8418e42-af86-35f3-bf90-8df2b83f4c81" ] } ], "mendeley" : { "formattedCitation" : "(Mccombie &amp; Jefferson, 2016)", "plainTextFormattedCitation" : "(Mccombie &amp; Jefferson, 2016)", "previouslyFormattedCitation" : "(Mccombie &amp; Jefferson, 2016)" }, "properties" : {  }, "schema" : "https://github.com/citation-style-language/schema/raw/master/csl-citation.json" }</w:instrText>
      </w:r>
      <w:r>
        <w:fldChar w:fldCharType="separate"/>
      </w:r>
      <w:r w:rsidRPr="00B81C05">
        <w:rPr>
          <w:noProof/>
        </w:rPr>
        <w:t>(Mccombie &amp; Jefferson, 2016)</w:t>
      </w:r>
      <w:r>
        <w:fldChar w:fldCharType="end"/>
      </w:r>
      <w:r>
        <w:t xml:space="preserve">. </w:t>
      </w:r>
    </w:p>
    <w:p w14:paraId="146A399C" w14:textId="77777777" w:rsidR="00DE13FE" w:rsidRDefault="00DE13FE" w:rsidP="00DE13FE">
      <w:pPr>
        <w:keepNext/>
      </w:pPr>
      <w:r>
        <w:rPr>
          <w:noProof/>
          <w:lang w:eastAsia="en-GB"/>
        </w:rPr>
        <w:lastRenderedPageBreak/>
        <w:drawing>
          <wp:inline distT="0" distB="0" distL="0" distR="0" wp14:anchorId="013630EC" wp14:editId="16FF8C01">
            <wp:extent cx="5732145" cy="2429510"/>
            <wp:effectExtent l="0" t="0" r="1905" b="889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2145" cy="2429510"/>
                    </a:xfrm>
                    <a:prstGeom prst="rect">
                      <a:avLst/>
                    </a:prstGeom>
                    <a:noFill/>
                    <a:ln>
                      <a:noFill/>
                    </a:ln>
                  </pic:spPr>
                </pic:pic>
              </a:graphicData>
            </a:graphic>
          </wp:inline>
        </w:drawing>
      </w:r>
    </w:p>
    <w:p w14:paraId="4A30D031" w14:textId="4AD32740" w:rsidR="00DE13FE" w:rsidRPr="00511756" w:rsidRDefault="00DE13FE" w:rsidP="00DE13FE">
      <w:pPr>
        <w:pStyle w:val="Bildetekst"/>
      </w:pPr>
      <w:bookmarkStart w:id="95" w:name="_Toc505794539"/>
      <w:bookmarkStart w:id="96" w:name="_Toc506305275"/>
      <w:r w:rsidRPr="009F51A1">
        <w:t>Figure</w:t>
      </w:r>
      <w:r w:rsidR="00AC5B7C">
        <w:t xml:space="preserve"> 32</w:t>
      </w:r>
      <w:r w:rsidRPr="009F51A1">
        <w:t xml:space="preserve">: Environmental impacts. (b) hazardous waste </w:t>
      </w:r>
      <w:r w:rsidRPr="009F51A1">
        <w:fldChar w:fldCharType="begin" w:fldLock="1"/>
      </w:r>
      <w:r w:rsidRPr="009F51A1">
        <w:instrText>ADDIN CSL_CITATION { "citationItems" : [ { "id" : "ITEM-1", "itemData" : { "DOI" : "10.1080/15435075.2014.890103", "ISSN" : "1543-5075", "abstract" : "According to the U.S. Department of Energy\u2019s wind energy scenario, 20% share of the U.S. energy portfolio is to come in from wind power plants by the year 2030. This research aims to quantify the direct and supply chain related indirect environmental impacts of onshore and offshore wind energy technologies in the United States. To accomplish this goal, a hybrid life cycle assessment (LCA) model is developed. On average, offshore wind turbines produce 48% less greenhouse gas emissions per kWh produced electricity than onshore wind turbines. It is also found that the more the capacity of the wind turbine, the less the environmental impact when the turbine generates per kWh electricity.", "author" : [ { "dropping-particle" : "", "family" : "Noori", "given" : "M.", "non-dropping-particle" : "", "parse-names" : false, "suffix" : "" }, { "dropping-particle" : "", "family" : "Kucukvar", "given" : "M.", "non-dropping-particle" : "", "parse-names" : false, "suffix" : "" }, { "dropping-particle" : "", "family" : "Tatari", "given" : "O.", "non-dropping-particle" : "", "parse-names" : false, "suffix" : "" } ], "container-title" : "International Journal of Green Energy", "id" : "ITEM-1", "issue" : "9", "issued" : { "date-parts" : [ [ "2015", "9", "2" ] ] }, "page" : "939-948", "publisher" : "Taylor &amp; Francis", "title" : "Economic Input\u2013Output Based Sustainability Analysis of Onshore and Offshore Wind Energy Systems", "type" : "article-journal", "volume" : "12" }, "uris" : [ "http://www.mendeley.com/documents/?uuid=63b94195-3530-368c-bc23-e82a79f32787" ] } ], "mendeley" : { "formattedCitation" : "(Noori et al., 2015)", "plainTextFormattedCitation" : "(Noori et al., 2015)", "previouslyFormattedCitation" : "(Noori et al., 2015)" }, "properties" : {  }, "schema" : "https://github.com/citation-style-language/schema/raw/master/csl-citation.json" }</w:instrText>
      </w:r>
      <w:r w:rsidRPr="009F51A1">
        <w:fldChar w:fldCharType="separate"/>
      </w:r>
      <w:r w:rsidRPr="009F51A1">
        <w:rPr>
          <w:noProof/>
        </w:rPr>
        <w:t>(Noori et al., 2015)</w:t>
      </w:r>
      <w:bookmarkEnd w:id="95"/>
      <w:bookmarkEnd w:id="96"/>
      <w:r w:rsidRPr="009F51A1">
        <w:fldChar w:fldCharType="end"/>
      </w:r>
    </w:p>
    <w:p w14:paraId="4DAFBC52" w14:textId="77777777" w:rsidR="00DE13FE" w:rsidRDefault="00DE13FE" w:rsidP="00DE13FE">
      <w:pPr>
        <w:pStyle w:val="Overskrift4"/>
      </w:pPr>
      <w:bookmarkStart w:id="97" w:name="_Toc505793567"/>
      <w:bookmarkStart w:id="98" w:name="_Toc506308014"/>
      <w:bookmarkEnd w:id="97"/>
      <w:r>
        <w:t>3.2.1.1 Health</w:t>
      </w:r>
      <w:bookmarkEnd w:id="98"/>
    </w:p>
    <w:p w14:paraId="69D86B6E" w14:textId="2B0D5772" w:rsidR="00DE13FE" w:rsidRPr="00441664" w:rsidRDefault="00DE13FE" w:rsidP="00DE13FE">
      <w:r>
        <w:t>Health issues associated with UK</w:t>
      </w:r>
      <w:r w:rsidR="00C2535D">
        <w:t>’</w:t>
      </w:r>
      <w:r>
        <w:t xml:space="preserve">s NPG waste remains a great issue. Regardless of improved waste management legislation, technology and regulatory systems, health detriments are encountered with personnel responsible for handling, treating and disposing of the waste </w:t>
      </w:r>
      <w:r>
        <w:fldChar w:fldCharType="begin" w:fldLock="1"/>
      </w:r>
      <w:r>
        <w:instrText>ADDIN CSL_CITATION { "citationItems" : [ { "id" : "ITEM-1", "itemData" : { "author" : [ { "dropping-particle" : "", "family" : "Giusti", "given" : "L", "non-dropping-particle" : "", "parse-names" : false, "suffix" : "" } ], "container-title" : "Waste Management ", "id" : "ITEM-1", "issued" : { "date-parts" : [ [ "2009" ] ] }, "page" : "2227-2239", "title" : "A review of waste management practices and their impact on human health", "type" : "article-journal", "volume" : "29" }, "uris" : [ "http://www.mendeley.com/documents/?uuid=62ea8296-0888-3c60-8571-fc3c05d19104" ] } ], "mendeley" : { "formattedCitation" : "(Giusti, 2009)", "plainTextFormattedCitation" : "(Giusti, 2009)", "previouslyFormattedCitation" : "(Giusti, 2009)" }, "properties" : {  }, "schema" : "https://github.com/citation-style-language/schema/raw/master/csl-citation.json" }</w:instrText>
      </w:r>
      <w:r>
        <w:fldChar w:fldCharType="separate"/>
      </w:r>
      <w:r w:rsidRPr="00D531B8">
        <w:rPr>
          <w:noProof/>
        </w:rPr>
        <w:t>(Giusti, 2009)</w:t>
      </w:r>
      <w:r>
        <w:fldChar w:fldCharType="end"/>
      </w:r>
      <w:r>
        <w:t xml:space="preserve">. Health issues associated with WPG waste is nugatory </w:t>
      </w:r>
      <w:r>
        <w:fldChar w:fldCharType="begin" w:fldLock="1"/>
      </w:r>
      <w:r>
        <w:instrText>ADDIN CSL_CITATION { "citationItems" : [ { "id" : "ITEM-1", "itemData" : { "DOI" : "10.1016/j.enpol.2013.02.028", "abstract" : "H I G H L I G H T S c The external costs of nuclear electricity are compared with the alternatives. c Frequency and cost of nuclear accidents based on Chernobyl and Fukushima. c Detailed comparison with wind as alternative with the lowest external costs. c High external cost of wind because of natural gas backup (storage too limited). c External costs of wind higher than nuclear but uncertainty ranges overlap. a b s t r a c t Since Fukushima many are calling for a shutdown of nuclear power plants. To see whether such a shutdown would reduce the risks for health and environment, the external costs of nuclear electricity are compared with alternatives that could replace it. The frequency of catastrophic nuclear accidents is based on the historical record, about one in 25 years for the plants built to date, an order of magnitude higher than the safety goals of the U.S. Nuclear Regulatory Commission. Impacts similar to Chernobyl and Fukushima are assumed to estimate the cost. A detailed comparison is presented with wind as alternative with the lowest external cost. The variability of wind necessitates augmentation by other sources, primarily fossil fuels, because storage at the required scale is in most regions too expensive. The external costs of natural gas combined cycle are taken as 0.6 hcent/kWh due to health effects of air pollution and 1.25 hcent/kWh due to greenhouse gases (at 25h=t CO2eq) for the central estimate, but a wide range of different parameters is also considered, both for nuclear and for the alternatives. Although the central estimate of external costs of the wind-based alternative is higher than that of nuclear, the uncertainty ranges overlap.", "author" : [ { "dropping-particle" : "", "family" : "Rabl", "given" : "Ari", "non-dropping-particle" : "", "parse-names" : false, "suffix" : "" }, { "dropping-particle" : "", "family" : "Rabl", "given" : "Veronika A", "non-dropping-particle" : "", "parse-names" : false, "suffix" : "" } ], "container-title" : "Energy Policy", "id" : "ITEM-1", "issued" : { "date-parts" : [ [ "2013" ] ] }, "page" : "575-584", "title" : "External costs of nuclear: Greater or less than the alternatives?", "type" : "article-journal", "volume" : "57" }, "uris" : [ "http://www.mendeley.com/documents/?uuid=18be5cff-1268-318d-8528-502496e9fa6a" ] } ], "mendeley" : { "formattedCitation" : "(Rabl &amp; Rabl, 2013)", "plainTextFormattedCitation" : "(Rabl &amp; Rabl, 2013)", "previouslyFormattedCitation" : "(Rabl &amp; Rabl, 2013)" }, "properties" : {  }, "schema" : "https://github.com/citation-style-language/schema/raw/master/csl-citation.json" }</w:instrText>
      </w:r>
      <w:r>
        <w:fldChar w:fldCharType="separate"/>
      </w:r>
      <w:r w:rsidRPr="006D277E">
        <w:rPr>
          <w:noProof/>
        </w:rPr>
        <w:t>(Rabl &amp; Rabl, 2013)</w:t>
      </w:r>
      <w:r>
        <w:fldChar w:fldCharType="end"/>
      </w:r>
      <w:r>
        <w:t xml:space="preserve">. Regardless of the non-proliferation treaty (NPT) of 1991 legislating a ban on proliferation of nuclear waste to produce nuclear armaments, there are countries neglecting to sign this with ties to non-weapon states such as North Korea </w:t>
      </w:r>
      <w:r>
        <w:fldChar w:fldCharType="begin" w:fldLock="1"/>
      </w:r>
      <w:r>
        <w:instrText>ADDIN CSL_CITATION { "citationItems" : [ { "id" : "ITEM-1", "itemData" : { "DOI" : "10.1016/j.enpol.2013.04.062", "abstract" : "Thorium is an abundant nuclear fuel that is well suited to three advanced reactor configurations. Important thorium reactor configurations include molten salt, CANDU, and TRISO systems. Thorium has important nuclear waste disposal advantages relative to pressurized water reactors. Thorium as a nuclear fuel has important advantages relative to weapon non-proliferation. a b s t r a c t It has long been known that thorium-232 is a fertile radioactive material that can produce energy in nuclear reactors for conversion to electricity. Thorium-232 is well suited to a variety of reactor types including molten fluoride salt designs, heavy water CANDU configurations, and helium-cooled TRISO-fueled systems. Among contentious commercial nuclear power issues are the questions of what to do with long-lived radioactive waste and how to minimize weapon proliferation dangers. The substitution of thorium for uranium as fuel in nuclear reactors has significant potential for minimizing both problems. Thorium is three times more abundant in nature than uranium. Whereas uranium has to be imported, there is enough thorium in the United States alone to provide adequate grid power for many centuries. A well-designed thorium reactor could produce electricity less expensively than a next-generation coal-fired plant or a current-generation uranium-fueled nuclear reactor. Importantly, thorium reactors produce substantially less long-lived radioactive waste than uranium reactors. Thorium-fueled reactors with molten salt configurations and very high temperature thorium-based TRISO-fueled reactors are both recommended for priority Generation IV funding in the 2030 time frame.", "author" : [ { "dropping-particle" : "", "family" : "Baker Schaffer", "given" : "Marvin", "non-dropping-particle" : "", "parse-names" : false, "suffix" : "" } ], "container-title" : "Energy Policy", "id" : "ITEM-1", "issued" : { "date-parts" : [ [ "2013" ] ] }, "page" : "4-12", "title" : "Abundant thorium as an alternative nuclear fuel Important waste disposal and weapon proliferation advantages", "type" : "article-journal", "volume" : "60" }, "uris" : [ "http://www.mendeley.com/documents/?uuid=af3ae5bc-b2da-3a95-82fe-928fbabfa7c2" ] } ], "mendeley" : { "formattedCitation" : "(Baker Schaffer, 2013)", "plainTextFormattedCitation" : "(Baker Schaffer, 2013)", "previouslyFormattedCitation" : "(Baker Schaffer, 2013)" }, "properties" : {  }, "schema" : "https://github.com/citation-style-language/schema/raw/master/csl-citation.json" }</w:instrText>
      </w:r>
      <w:r>
        <w:fldChar w:fldCharType="separate"/>
      </w:r>
      <w:r w:rsidRPr="006D277E">
        <w:rPr>
          <w:noProof/>
        </w:rPr>
        <w:t>(Baker Schaffer, 2013)</w:t>
      </w:r>
      <w:r>
        <w:fldChar w:fldCharType="end"/>
      </w:r>
      <w:r>
        <w:t>.</w:t>
      </w:r>
    </w:p>
    <w:p w14:paraId="2E9E4C67" w14:textId="77777777" w:rsidR="00DE13FE" w:rsidRDefault="00DE13FE" w:rsidP="00DE13FE">
      <w:pPr>
        <w:pStyle w:val="Overskrift3"/>
      </w:pPr>
      <w:bookmarkStart w:id="99" w:name="_Toc505793568"/>
      <w:bookmarkStart w:id="100" w:name="_Toc506308015"/>
      <w:r>
        <w:t>3.2.2 Economic</w:t>
      </w:r>
      <w:bookmarkEnd w:id="99"/>
      <w:bookmarkEnd w:id="100"/>
    </w:p>
    <w:p w14:paraId="09E5E569" w14:textId="1A571AA0" w:rsidR="00DE13FE" w:rsidRDefault="00DE13FE" w:rsidP="00DE13FE">
      <w:r>
        <w:t>Cost of waste (COW) management associated with NPG in France is estimated by Rabl and Rabl (2013) to be approximately 0.3 €cent/kWh, for the UK this sum is subsidised du</w:t>
      </w:r>
      <w:r w:rsidR="00FB0A8F">
        <w:t>e to associated public health risks</w:t>
      </w:r>
      <w:r>
        <w:t xml:space="preserve"> </w:t>
      </w:r>
      <w:r>
        <w:fldChar w:fldCharType="begin" w:fldLock="1"/>
      </w:r>
      <w:r>
        <w:instrText>ADDIN CSL_CITATION { "citationItems" : [ { "id" : "ITEM-1", "itemData" : { "abstract" : "To tackle climate change, reduce pollution, protect our environment and reap the benefits of the green economy, we need to change how we generate our electricity \u2013 away from fossils fuels and nuclear power, and towards renewable and sustainable low-carbon sources. Wind energy is the most technologically mature and cost-effective renewable energy. Wales is blessed with abundant wind resources, and harnessing it quickly and effectively is our best way of quickly moving to a green and prosperous low-carbon future. The extra costs of the environmental and social impacts of conventional fuels are often ignored when calculating the cost of generation. If these costs were accounted for, the costs of generation from fossil fuel sources would massively increase, and wind and hydro power would be recognised as the cheapest 12 . As global energy demand is likely to increase 13 , fossil fuel prices are becoming unpredictable, with a high risk of rising as the accessible fuel reserves decrease. The costs of wind energy can be calculated in advance with great certainty, and so can be classified as a low-risk technology to the economy 14 . Are wind farms responsible for huge increases in electricity bills? 60% of the increase in energy bills between 2010 and 2012 was due to wholesale energy costs (principally gas). 25% was due to network costs and profit, and energy and climate policies accounted for just 15% 15 . From 2004 to 2010, the rise in the wholesale cost of gas added \u00a3290 to the average annual energy bill, whereas government support for renewables added \u00a330 16 . According to the UK Government's Committee on Climate Change, focusing on natural gas could result in the average annual household bill being \" as much as \u00a3600 higher in 2050 than in a low-carbon system \" 17 . Is wind energy subsidised by government? Worldwide, fossil fuels receive $523 billion in direct subsidies \u2013 far greater than the $88 billion for renewables 18 . In 2012 the UK oil and gas industries received a \u00a31 billion tax break 19 . Also, many indirect costs of fossil fuels are paid for by taxpayers, such as pollution, water use, and injuries 20 . Nuclear power receives many hidden subsidies, including taxations on liabilities in the event of an accident, protection against terrorist attack, and the costs of waste disposal and decommissioning. All renewable energy in the UK is primarily supported by the Renewables Obligation 21 . This requires electricity suppliers to get a certain proportion\u2026", "author" : [ { "dropping-particle" : "", "family" : "friends of the earth cymru", "given" : "", "non-dropping-particle" : "", "parse-names" : false, "suffix" : "" } ], "id" : "ITEM-1", "issued" : { "date-parts" : [ [ "2014" ] ] }, "title" : "Do wind farms produce affordable energy? Do wind farms produce much power?", "type" : "article-journal" }, "uris" : [ "http://www.mendeley.com/documents/?uuid=64a0f604-bd49-3a5b-bd4b-47e662a46b86" ] } ], "mendeley" : { "formattedCitation" : "(friends of the earth cymru, 2014)", "plainTextFormattedCitation" : "(friends of the earth cymru, 2014)", "previouslyFormattedCitation" : "(friends of the earth cymru, 2014)" }, "properties" : {  }, "schema" : "https://github.com/citation-style-language/schema/raw/master/csl-citation.json" }</w:instrText>
      </w:r>
      <w:r>
        <w:fldChar w:fldCharType="separate"/>
      </w:r>
      <w:r w:rsidRPr="00755362">
        <w:rPr>
          <w:noProof/>
        </w:rPr>
        <w:t>(friends of the earth cymru, 2014)</w:t>
      </w:r>
      <w:r>
        <w:fldChar w:fldCharType="end"/>
      </w:r>
      <w:r>
        <w:t>. Compared to COW from WPG, which from figures 15, 16 and 17 appears to be negligible due to management of materials</w:t>
      </w:r>
      <w:r w:rsidR="009173F8">
        <w:t xml:space="preserve"> during decomposition</w:t>
      </w:r>
      <w:r>
        <w:t xml:space="preserve"> (figure </w:t>
      </w:r>
      <w:r w:rsidR="009173F8">
        <w:t>32</w:t>
      </w:r>
      <w:r>
        <w:t>) and the positive economic outcome from this process, it could be assumed that</w:t>
      </w:r>
      <w:r w:rsidR="00FB0A8F">
        <w:t xml:space="preserve"> WPGs COW</w:t>
      </w:r>
      <w:r>
        <w:t xml:space="preserve"> is advantaged in terms of economically sustainability. </w:t>
      </w:r>
    </w:p>
    <w:p w14:paraId="1AA538C7" w14:textId="3A5F0F0B" w:rsidR="0037149B" w:rsidRDefault="0037149B" w:rsidP="00DE13FE"/>
    <w:p w14:paraId="6BD0E3D9" w14:textId="77777777" w:rsidR="0037149B" w:rsidRPr="00C43893" w:rsidRDefault="0037149B" w:rsidP="00DE13FE"/>
    <w:p w14:paraId="539EA664" w14:textId="13CBE93B" w:rsidR="00DE13FE" w:rsidRDefault="00DE13FE" w:rsidP="00DE13FE">
      <w:pPr>
        <w:pStyle w:val="Overskrift1"/>
        <w:numPr>
          <w:ilvl w:val="0"/>
          <w:numId w:val="3"/>
        </w:numPr>
      </w:pPr>
      <w:bookmarkStart w:id="101" w:name="_Toc505793569"/>
      <w:bookmarkStart w:id="102" w:name="_Toc506308016"/>
      <w:r>
        <w:lastRenderedPageBreak/>
        <w:t xml:space="preserve">Conclusion </w:t>
      </w:r>
      <w:bookmarkEnd w:id="101"/>
      <w:bookmarkEnd w:id="102"/>
      <w:r w:rsidR="00953919">
        <w:t>and recommendations</w:t>
      </w:r>
    </w:p>
    <w:p w14:paraId="76DD07DD" w14:textId="4425AFE5" w:rsidR="00FB0A8F" w:rsidRDefault="009A1426" w:rsidP="003F62BC">
      <w:r>
        <w:t xml:space="preserve">NPG and WPG both hold substantial electricity generation potential. </w:t>
      </w:r>
      <w:r w:rsidR="009C6D4F">
        <w:t>In determining the optimality of EGTs this paper has found that f</w:t>
      </w:r>
      <w:r w:rsidR="00FB0A8F">
        <w:t xml:space="preserve">or the future of the UK energy market, nuclear energy should be phased out as soon as ETGs of lesser associated risks </w:t>
      </w:r>
      <w:r>
        <w:t xml:space="preserve">and detriments </w:t>
      </w:r>
      <w:r w:rsidR="00FB0A8F">
        <w:t>are capable of</w:t>
      </w:r>
      <w:r w:rsidR="009C6D4F">
        <w:t xml:space="preserve"> supplying</w:t>
      </w:r>
      <w:r>
        <w:t xml:space="preserve"> domestic</w:t>
      </w:r>
      <w:r w:rsidR="00FB0A8F">
        <w:t xml:space="preserve"> </w:t>
      </w:r>
      <w:r w:rsidR="009C6D4F">
        <w:t xml:space="preserve">electricity </w:t>
      </w:r>
      <w:r w:rsidR="00FB0A8F">
        <w:t xml:space="preserve">demand requirements (e.g. </w:t>
      </w:r>
      <w:r w:rsidR="00866AF6">
        <w:t xml:space="preserve">Battery storage of </w:t>
      </w:r>
      <w:r w:rsidR="00FB0A8F">
        <w:t>renewables, thorium MSR</w:t>
      </w:r>
      <w:r w:rsidR="003F62BC">
        <w:t>, or hybridised mix</w:t>
      </w:r>
      <w:r w:rsidR="00FB0A8F">
        <w:t xml:space="preserve">). This is due to the </w:t>
      </w:r>
      <w:r w:rsidR="009C6D4F">
        <w:t xml:space="preserve">majority of </w:t>
      </w:r>
      <w:r w:rsidR="00FB0A8F">
        <w:t xml:space="preserve">economic, social and environmental characteristics associated with </w:t>
      </w:r>
      <w:r w:rsidR="009C6D4F">
        <w:t xml:space="preserve">the energy and waste generated from conventional nuclear plants being </w:t>
      </w:r>
      <w:r w:rsidR="003F62BC">
        <w:t>worse</w:t>
      </w:r>
      <w:r w:rsidR="009C6D4F">
        <w:t xml:space="preserve"> when compared to offshore WPG in particular; whereas onshore WPGs performance in the assessed categories is </w:t>
      </w:r>
      <w:r w:rsidR="003F62BC">
        <w:t>primarily</w:t>
      </w:r>
      <w:r w:rsidR="009C6D4F">
        <w:t xml:space="preserve"> substandard compared to offshore WPG. </w:t>
      </w:r>
    </w:p>
    <w:p w14:paraId="0763DFB3" w14:textId="77777777" w:rsidR="00373AD0" w:rsidRDefault="00373AD0" w:rsidP="00373AD0">
      <w:pPr>
        <w:pStyle w:val="Overskrift1"/>
      </w:pPr>
      <w:bookmarkStart w:id="103" w:name="_Toc505793570"/>
      <w:bookmarkStart w:id="104" w:name="_Toc506308017"/>
      <w:r>
        <w:t>References</w:t>
      </w:r>
      <w:bookmarkEnd w:id="103"/>
      <w:bookmarkEnd w:id="104"/>
    </w:p>
    <w:p w14:paraId="2409B29C" w14:textId="71516844" w:rsidR="004B782B" w:rsidRPr="004B782B" w:rsidRDefault="00DE13FE" w:rsidP="004B782B">
      <w:pPr>
        <w:widowControl w:val="0"/>
        <w:autoSpaceDE w:val="0"/>
        <w:autoSpaceDN w:val="0"/>
        <w:adjustRightInd w:val="0"/>
        <w:ind w:left="480" w:hanging="480"/>
        <w:rPr>
          <w:rFonts w:cs="Times New Roman"/>
          <w:noProof/>
          <w:sz w:val="24"/>
          <w:szCs w:val="24"/>
        </w:rPr>
      </w:pPr>
      <w:r>
        <w:fldChar w:fldCharType="begin" w:fldLock="1"/>
      </w:r>
      <w:r>
        <w:instrText xml:space="preserve">ADDIN Mendeley Bibliography CSL_BIBLIOGRAPHY </w:instrText>
      </w:r>
      <w:r>
        <w:fldChar w:fldCharType="separate"/>
      </w:r>
      <w:r w:rsidR="004B782B" w:rsidRPr="004B782B">
        <w:rPr>
          <w:rFonts w:cs="Times New Roman"/>
          <w:noProof/>
          <w:sz w:val="24"/>
          <w:szCs w:val="24"/>
        </w:rPr>
        <w:t xml:space="preserve">Adamantiades, A., &amp; Kessides, I. (2009). Nuclear power for sustainable development: Current status and future prospects. </w:t>
      </w:r>
      <w:r w:rsidR="004B782B" w:rsidRPr="004B782B">
        <w:rPr>
          <w:rFonts w:cs="Times New Roman"/>
          <w:i/>
          <w:iCs/>
          <w:noProof/>
          <w:sz w:val="24"/>
          <w:szCs w:val="24"/>
        </w:rPr>
        <w:t>Energy Policy</w:t>
      </w:r>
      <w:r w:rsidR="004B782B" w:rsidRPr="004B782B">
        <w:rPr>
          <w:rFonts w:cs="Times New Roman"/>
          <w:noProof/>
          <w:sz w:val="24"/>
          <w:szCs w:val="24"/>
        </w:rPr>
        <w:t xml:space="preserve">, </w:t>
      </w:r>
      <w:r w:rsidR="004B782B" w:rsidRPr="004B782B">
        <w:rPr>
          <w:rFonts w:cs="Times New Roman"/>
          <w:i/>
          <w:iCs/>
          <w:noProof/>
          <w:sz w:val="24"/>
          <w:szCs w:val="24"/>
        </w:rPr>
        <w:t>37</w:t>
      </w:r>
      <w:r w:rsidR="004B782B" w:rsidRPr="004B782B">
        <w:rPr>
          <w:rFonts w:cs="Times New Roman"/>
          <w:noProof/>
          <w:sz w:val="24"/>
          <w:szCs w:val="24"/>
        </w:rPr>
        <w:t>, 5149–5166. https://doi.org/10.1016/j.enpol.2009.07.052</w:t>
      </w:r>
    </w:p>
    <w:p w14:paraId="2315D4C7"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Ashley, S., Vaughan, G., Nuttall, W., Thomas, P., &amp; Higgins, N. (2017). Predicting the cost of the consequences of a large nuclear accident in the UK. </w:t>
      </w:r>
      <w:r w:rsidRPr="004B782B">
        <w:rPr>
          <w:rFonts w:cs="Times New Roman"/>
          <w:i/>
          <w:iCs/>
          <w:noProof/>
          <w:sz w:val="24"/>
          <w:szCs w:val="24"/>
        </w:rPr>
        <w:t>Process Safety and Environmental Protection</w:t>
      </w:r>
      <w:r w:rsidRPr="004B782B">
        <w:rPr>
          <w:rFonts w:cs="Times New Roman"/>
          <w:noProof/>
          <w:sz w:val="24"/>
          <w:szCs w:val="24"/>
        </w:rPr>
        <w:t xml:space="preserve">, </w:t>
      </w:r>
      <w:r w:rsidRPr="004B782B">
        <w:rPr>
          <w:rFonts w:cs="Times New Roman"/>
          <w:i/>
          <w:iCs/>
          <w:noProof/>
          <w:sz w:val="24"/>
          <w:szCs w:val="24"/>
        </w:rPr>
        <w:t>112</w:t>
      </w:r>
      <w:r w:rsidRPr="004B782B">
        <w:rPr>
          <w:rFonts w:cs="Times New Roman"/>
          <w:noProof/>
          <w:sz w:val="24"/>
          <w:szCs w:val="24"/>
        </w:rPr>
        <w:t>(2), 96–113. https://doi.org/10.1016/j.psep.2017.08.032</w:t>
      </w:r>
    </w:p>
    <w:p w14:paraId="1790A26C"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Astariz, S., Vazquez, A., Iglesias, G., &amp; Vazquez, ) A. (2015). Evaluation and comparison of the levelized cost of tidal , wave , and offshore wind energy Wave characteristic analysis and wave energy resource evaluation in the China Sea Evaluation of wave energy generation from buoy heave response based on linear gene. </w:t>
      </w:r>
      <w:r w:rsidRPr="004B782B">
        <w:rPr>
          <w:rFonts w:cs="Times New Roman"/>
          <w:i/>
          <w:iCs/>
          <w:noProof/>
          <w:sz w:val="24"/>
          <w:szCs w:val="24"/>
        </w:rPr>
        <w:t>Journal of Renewable and Sustainable Energy J . Renewable Sustainable Energy Fluids J . Renewable Sustainable Energy J . Renewable Sustainable Energy J . Appl . Phys</w:t>
      </w:r>
      <w:r w:rsidRPr="004B782B">
        <w:rPr>
          <w:rFonts w:cs="Times New Roman"/>
          <w:noProof/>
          <w:sz w:val="24"/>
          <w:szCs w:val="24"/>
        </w:rPr>
        <w:t xml:space="preserve">, </w:t>
      </w:r>
      <w:r w:rsidRPr="004B782B">
        <w:rPr>
          <w:rFonts w:cs="Times New Roman"/>
          <w:i/>
          <w:iCs/>
          <w:noProof/>
          <w:sz w:val="24"/>
          <w:szCs w:val="24"/>
        </w:rPr>
        <w:t>7</w:t>
      </w:r>
      <w:r w:rsidRPr="004B782B">
        <w:rPr>
          <w:rFonts w:cs="Times New Roman"/>
          <w:noProof/>
          <w:sz w:val="24"/>
          <w:szCs w:val="24"/>
        </w:rPr>
        <w:t>(102), 25101–4863096. https://doi.org/10.1063/1.4932154</w:t>
      </w:r>
    </w:p>
    <w:p w14:paraId="22B3D1B1"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Baker Schaffer, M. (2013). Abundant thorium as an alternative nuclear fuel Important waste disposal and weapon proliferation advantages. </w:t>
      </w:r>
      <w:r w:rsidRPr="004B782B">
        <w:rPr>
          <w:rFonts w:cs="Times New Roman"/>
          <w:i/>
          <w:iCs/>
          <w:noProof/>
          <w:sz w:val="24"/>
          <w:szCs w:val="24"/>
        </w:rPr>
        <w:t>Energy Policy</w:t>
      </w:r>
      <w:r w:rsidRPr="004B782B">
        <w:rPr>
          <w:rFonts w:cs="Times New Roman"/>
          <w:noProof/>
          <w:sz w:val="24"/>
          <w:szCs w:val="24"/>
        </w:rPr>
        <w:t xml:space="preserve">, </w:t>
      </w:r>
      <w:r w:rsidRPr="004B782B">
        <w:rPr>
          <w:rFonts w:cs="Times New Roman"/>
          <w:i/>
          <w:iCs/>
          <w:noProof/>
          <w:sz w:val="24"/>
          <w:szCs w:val="24"/>
        </w:rPr>
        <w:t>60</w:t>
      </w:r>
      <w:r w:rsidRPr="004B782B">
        <w:rPr>
          <w:rFonts w:cs="Times New Roman"/>
          <w:noProof/>
          <w:sz w:val="24"/>
          <w:szCs w:val="24"/>
        </w:rPr>
        <w:t>, 4–12. https://doi.org/10.1016/j.enpol.2013.04.062</w:t>
      </w:r>
    </w:p>
    <w:p w14:paraId="67803F93"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Bonou, A., Laurent, A., &amp; Olsen, S. I. (2016). Life cycle assessment of onshore and offshore wind energy-from theory to application. https://doi.org/10.1016/j.apenergy.2016.07.058</w:t>
      </w:r>
    </w:p>
    <w:p w14:paraId="3E13E729"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BP. (2017). </w:t>
      </w:r>
      <w:r w:rsidRPr="004B782B">
        <w:rPr>
          <w:rFonts w:cs="Times New Roman"/>
          <w:i/>
          <w:iCs/>
          <w:noProof/>
          <w:sz w:val="24"/>
          <w:szCs w:val="24"/>
        </w:rPr>
        <w:t>BP Statistical Review of World Energy 2017</w:t>
      </w:r>
      <w:r w:rsidRPr="004B782B">
        <w:rPr>
          <w:rFonts w:cs="Times New Roman"/>
          <w:noProof/>
          <w:sz w:val="24"/>
          <w:szCs w:val="24"/>
        </w:rPr>
        <w:t xml:space="preserve">. Retrieved from </w:t>
      </w:r>
      <w:r w:rsidRPr="004B782B">
        <w:rPr>
          <w:rFonts w:cs="Times New Roman"/>
          <w:noProof/>
          <w:sz w:val="24"/>
          <w:szCs w:val="24"/>
        </w:rPr>
        <w:lastRenderedPageBreak/>
        <w:t>https://www.bp.com/content/dam/bp/en/corporate/pdf/energy-economics/statistical-review-2017/bp-statistical-review-of-world-energy-2017-full-report.pdf</w:t>
      </w:r>
    </w:p>
    <w:p w14:paraId="1C97D3EF" w14:textId="77777777" w:rsidR="004B782B" w:rsidRPr="006E1872" w:rsidRDefault="004B782B" w:rsidP="004B782B">
      <w:pPr>
        <w:widowControl w:val="0"/>
        <w:autoSpaceDE w:val="0"/>
        <w:autoSpaceDN w:val="0"/>
        <w:adjustRightInd w:val="0"/>
        <w:ind w:left="480" w:hanging="480"/>
        <w:rPr>
          <w:rFonts w:cs="Times New Roman"/>
          <w:noProof/>
          <w:sz w:val="24"/>
          <w:szCs w:val="24"/>
          <w:lang w:val="nb-NO"/>
        </w:rPr>
      </w:pPr>
      <w:r w:rsidRPr="004B782B">
        <w:rPr>
          <w:rFonts w:cs="Times New Roman"/>
          <w:noProof/>
          <w:sz w:val="24"/>
          <w:szCs w:val="24"/>
        </w:rPr>
        <w:t xml:space="preserve">Brunborg, H. (2012). Increasing life expectancy and the growing elderly population. </w:t>
      </w:r>
      <w:r w:rsidRPr="006E1872">
        <w:rPr>
          <w:rFonts w:cs="Times New Roman"/>
          <w:i/>
          <w:iCs/>
          <w:noProof/>
          <w:sz w:val="24"/>
          <w:szCs w:val="24"/>
          <w:lang w:val="nb-NO"/>
        </w:rPr>
        <w:t>Norsk Epidemiologi</w:t>
      </w:r>
      <w:r w:rsidRPr="006E1872">
        <w:rPr>
          <w:rFonts w:cs="Times New Roman"/>
          <w:noProof/>
          <w:sz w:val="24"/>
          <w:szCs w:val="24"/>
          <w:lang w:val="nb-NO"/>
        </w:rPr>
        <w:t xml:space="preserve">, </w:t>
      </w:r>
      <w:r w:rsidRPr="006E1872">
        <w:rPr>
          <w:rFonts w:cs="Times New Roman"/>
          <w:i/>
          <w:iCs/>
          <w:noProof/>
          <w:sz w:val="24"/>
          <w:szCs w:val="24"/>
          <w:lang w:val="nb-NO"/>
        </w:rPr>
        <w:t>22</w:t>
      </w:r>
      <w:r w:rsidRPr="006E1872">
        <w:rPr>
          <w:rFonts w:cs="Times New Roman"/>
          <w:noProof/>
          <w:sz w:val="24"/>
          <w:szCs w:val="24"/>
          <w:lang w:val="nb-NO"/>
        </w:rPr>
        <w:t>(2). https://doi.org/10.5324/nje.v22i2.1552</w:t>
      </w:r>
    </w:p>
    <w:p w14:paraId="07AA289B"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6E1872">
        <w:rPr>
          <w:rFonts w:cs="Times New Roman"/>
          <w:noProof/>
          <w:sz w:val="24"/>
          <w:szCs w:val="24"/>
          <w:lang w:val="nb-NO"/>
        </w:rPr>
        <w:t xml:space="preserve">Byers,  edward, Hall, J., &amp; Amezaga, J. (2014). </w:t>
      </w:r>
      <w:r w:rsidRPr="004B782B">
        <w:rPr>
          <w:rFonts w:cs="Times New Roman"/>
          <w:noProof/>
          <w:sz w:val="24"/>
          <w:szCs w:val="24"/>
        </w:rPr>
        <w:t xml:space="preserve">Electricity generation and cooling water use: UK pathways to 2050. </w:t>
      </w:r>
      <w:r w:rsidRPr="004B782B">
        <w:rPr>
          <w:rFonts w:cs="Times New Roman"/>
          <w:i/>
          <w:iCs/>
          <w:noProof/>
          <w:sz w:val="24"/>
          <w:szCs w:val="24"/>
        </w:rPr>
        <w:t>Global Environmental Change</w:t>
      </w:r>
      <w:r w:rsidRPr="004B782B">
        <w:rPr>
          <w:rFonts w:cs="Times New Roman"/>
          <w:noProof/>
          <w:sz w:val="24"/>
          <w:szCs w:val="24"/>
        </w:rPr>
        <w:t xml:space="preserve">, </w:t>
      </w:r>
      <w:r w:rsidRPr="004B782B">
        <w:rPr>
          <w:rFonts w:cs="Times New Roman"/>
          <w:i/>
          <w:iCs/>
          <w:noProof/>
          <w:sz w:val="24"/>
          <w:szCs w:val="24"/>
        </w:rPr>
        <w:t>25</w:t>
      </w:r>
      <w:r w:rsidRPr="004B782B">
        <w:rPr>
          <w:rFonts w:cs="Times New Roman"/>
          <w:noProof/>
          <w:sz w:val="24"/>
          <w:szCs w:val="24"/>
        </w:rPr>
        <w:t>, 16–30. https://doi.org/10.1016/J.GLOENVCHA.2014.01.005</w:t>
      </w:r>
    </w:p>
    <w:p w14:paraId="25E47F4D"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Cheng, M., &amp; Zhu, Y. (2014). The state of the art of wind energy conversion systems and technologies: A review. </w:t>
      </w:r>
      <w:r w:rsidRPr="004B782B">
        <w:rPr>
          <w:rFonts w:cs="Times New Roman"/>
          <w:i/>
          <w:iCs/>
          <w:noProof/>
          <w:sz w:val="24"/>
          <w:szCs w:val="24"/>
        </w:rPr>
        <w:t>Energy Conversion and Management</w:t>
      </w:r>
      <w:r w:rsidRPr="004B782B">
        <w:rPr>
          <w:rFonts w:cs="Times New Roman"/>
          <w:noProof/>
          <w:sz w:val="24"/>
          <w:szCs w:val="24"/>
        </w:rPr>
        <w:t xml:space="preserve">, </w:t>
      </w:r>
      <w:r w:rsidRPr="004B782B">
        <w:rPr>
          <w:rFonts w:cs="Times New Roman"/>
          <w:i/>
          <w:iCs/>
          <w:noProof/>
          <w:sz w:val="24"/>
          <w:szCs w:val="24"/>
        </w:rPr>
        <w:t>88</w:t>
      </w:r>
      <w:r w:rsidRPr="004B782B">
        <w:rPr>
          <w:rFonts w:cs="Times New Roman"/>
          <w:noProof/>
          <w:sz w:val="24"/>
          <w:szCs w:val="24"/>
        </w:rPr>
        <w:t>, 332–347. https://doi.org/10.1016/j.enconman.2014.08.037</w:t>
      </w:r>
    </w:p>
    <w:p w14:paraId="49F48144"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Cheng, V., &amp; Hammond, G. (2017). Life-cycle energy densities and land-take requirements of various power generators: A UK perspective. </w:t>
      </w:r>
      <w:r w:rsidRPr="004B782B">
        <w:rPr>
          <w:rFonts w:cs="Times New Roman"/>
          <w:i/>
          <w:iCs/>
          <w:noProof/>
          <w:sz w:val="24"/>
          <w:szCs w:val="24"/>
        </w:rPr>
        <w:t>Journal of the Energy Institute</w:t>
      </w:r>
      <w:r w:rsidRPr="004B782B">
        <w:rPr>
          <w:rFonts w:cs="Times New Roman"/>
          <w:noProof/>
          <w:sz w:val="24"/>
          <w:szCs w:val="24"/>
        </w:rPr>
        <w:t xml:space="preserve">, </w:t>
      </w:r>
      <w:r w:rsidRPr="004B782B">
        <w:rPr>
          <w:rFonts w:cs="Times New Roman"/>
          <w:i/>
          <w:iCs/>
          <w:noProof/>
          <w:sz w:val="24"/>
          <w:szCs w:val="24"/>
        </w:rPr>
        <w:t>90</w:t>
      </w:r>
      <w:r w:rsidRPr="004B782B">
        <w:rPr>
          <w:rFonts w:cs="Times New Roman"/>
          <w:noProof/>
          <w:sz w:val="24"/>
          <w:szCs w:val="24"/>
        </w:rPr>
        <w:t>(2), 201–213. https://doi.org/10.1016/J.JOEI.2016.02.003</w:t>
      </w:r>
    </w:p>
    <w:p w14:paraId="440FF4CE"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Crown Estate. (2015). </w:t>
      </w:r>
      <w:r w:rsidRPr="004B782B">
        <w:rPr>
          <w:rFonts w:cs="Times New Roman"/>
          <w:i/>
          <w:iCs/>
          <w:noProof/>
          <w:sz w:val="24"/>
          <w:szCs w:val="24"/>
        </w:rPr>
        <w:t>Offshore wind operational report</w:t>
      </w:r>
      <w:r w:rsidRPr="004B782B">
        <w:rPr>
          <w:rFonts w:cs="Times New Roman"/>
          <w:noProof/>
          <w:sz w:val="24"/>
          <w:szCs w:val="24"/>
        </w:rPr>
        <w:t>. London. Retrieved from https://www.thecrownestate.co.uk/media/5462/ei-offshore-wind-operational-report-2015.pdf</w:t>
      </w:r>
    </w:p>
    <w:p w14:paraId="332F5A47"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DBEIS, &amp; NDA. (2016). Radioactive Wastes in the UK: A summary fof the 2016 Inventory. Retrieved from https://ukinventory.nda.gov.uk/wp-content/uploads/sites/18/2017/03/High-Level-Summary-UK-Radwaste-Inventory-2016.pdf</w:t>
      </w:r>
    </w:p>
    <w:p w14:paraId="3AA72EA9"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Dones, R., Heck, T., Emmenegger, M. F., &amp; Jungbluth, N. (2005). Life Cycle Inventories for the Nuclear and Natural Gas Energy Systems, and Examples of Uncertainty Analysis. </w:t>
      </w:r>
      <w:r w:rsidRPr="004B782B">
        <w:rPr>
          <w:rFonts w:cs="Times New Roman"/>
          <w:i/>
          <w:iCs/>
          <w:noProof/>
          <w:sz w:val="24"/>
          <w:szCs w:val="24"/>
        </w:rPr>
        <w:t>Energy Supply</w:t>
      </w:r>
      <w:r w:rsidRPr="004B782B">
        <w:rPr>
          <w:rFonts w:cs="Times New Roman"/>
          <w:noProof/>
          <w:sz w:val="24"/>
          <w:szCs w:val="24"/>
        </w:rPr>
        <w:t xml:space="preserve">, </w:t>
      </w:r>
      <w:r w:rsidRPr="004B782B">
        <w:rPr>
          <w:rFonts w:cs="Times New Roman"/>
          <w:i/>
          <w:iCs/>
          <w:noProof/>
          <w:sz w:val="24"/>
          <w:szCs w:val="24"/>
        </w:rPr>
        <w:t>10</w:t>
      </w:r>
      <w:r w:rsidRPr="004B782B">
        <w:rPr>
          <w:rFonts w:cs="Times New Roman"/>
          <w:noProof/>
          <w:sz w:val="24"/>
          <w:szCs w:val="24"/>
        </w:rPr>
        <w:t>. https://doi.org/10.1065/lca2004.12.181.2</w:t>
      </w:r>
    </w:p>
    <w:p w14:paraId="3AB5CD35" w14:textId="77777777" w:rsidR="004B782B" w:rsidRPr="006E1872" w:rsidRDefault="004B782B" w:rsidP="004B782B">
      <w:pPr>
        <w:widowControl w:val="0"/>
        <w:autoSpaceDE w:val="0"/>
        <w:autoSpaceDN w:val="0"/>
        <w:adjustRightInd w:val="0"/>
        <w:ind w:left="480" w:hanging="480"/>
        <w:rPr>
          <w:rFonts w:cs="Times New Roman"/>
          <w:noProof/>
          <w:sz w:val="24"/>
          <w:szCs w:val="24"/>
          <w:lang w:val="nb-NO"/>
        </w:rPr>
      </w:pPr>
      <w:r w:rsidRPr="004B782B">
        <w:rPr>
          <w:rFonts w:cs="Times New Roman"/>
          <w:noProof/>
          <w:sz w:val="24"/>
          <w:szCs w:val="24"/>
        </w:rPr>
        <w:t xml:space="preserve">Esteban, M. (2011). Why offshore wind energy? </w:t>
      </w:r>
      <w:r w:rsidRPr="006E1872">
        <w:rPr>
          <w:rFonts w:cs="Times New Roman"/>
          <w:i/>
          <w:iCs/>
          <w:noProof/>
          <w:sz w:val="24"/>
          <w:szCs w:val="24"/>
          <w:lang w:val="nb-NO"/>
        </w:rPr>
        <w:t>Renewable Energy</w:t>
      </w:r>
      <w:r w:rsidRPr="006E1872">
        <w:rPr>
          <w:rFonts w:cs="Times New Roman"/>
          <w:noProof/>
          <w:sz w:val="24"/>
          <w:szCs w:val="24"/>
          <w:lang w:val="nb-NO"/>
        </w:rPr>
        <w:t xml:space="preserve">, </w:t>
      </w:r>
      <w:r w:rsidRPr="006E1872">
        <w:rPr>
          <w:rFonts w:cs="Times New Roman"/>
          <w:i/>
          <w:iCs/>
          <w:noProof/>
          <w:sz w:val="24"/>
          <w:szCs w:val="24"/>
          <w:lang w:val="nb-NO"/>
        </w:rPr>
        <w:t>36</w:t>
      </w:r>
      <w:r w:rsidRPr="006E1872">
        <w:rPr>
          <w:rFonts w:cs="Times New Roman"/>
          <w:noProof/>
          <w:sz w:val="24"/>
          <w:szCs w:val="24"/>
          <w:lang w:val="nb-NO"/>
        </w:rPr>
        <w:t>(2), 444–450. https://doi.org/10.1016/J.RENENE.2010.07.009</w:t>
      </w:r>
    </w:p>
    <w:p w14:paraId="6B8E2C7D"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6E1872">
        <w:rPr>
          <w:rFonts w:cs="Times New Roman"/>
          <w:noProof/>
          <w:sz w:val="24"/>
          <w:szCs w:val="24"/>
          <w:lang w:val="nb-NO"/>
        </w:rPr>
        <w:t xml:space="preserve">Eurek, K., Sullivan, P., Gleason, M., Hettinger, D., Heimiller, D., &amp; Lopez, A. (2017). </w:t>
      </w:r>
      <w:r w:rsidRPr="004B782B">
        <w:rPr>
          <w:rFonts w:cs="Times New Roman"/>
          <w:noProof/>
          <w:sz w:val="24"/>
          <w:szCs w:val="24"/>
        </w:rPr>
        <w:t>An Improved Global Wind Resource Estimate for Integrated Assessment Models: Preprint. Retrieved from https://www.nrel.gov/docs/fy17osti/65323.pdf</w:t>
      </w:r>
    </w:p>
    <w:p w14:paraId="484DA721"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European Commission. (2012). Guidance on the interpretation of key provisions of Directive 2008/98/EC on waste. Retrieved from </w:t>
      </w:r>
      <w:r w:rsidRPr="004B782B">
        <w:rPr>
          <w:rFonts w:cs="Times New Roman"/>
          <w:noProof/>
          <w:sz w:val="24"/>
          <w:szCs w:val="24"/>
        </w:rPr>
        <w:lastRenderedPageBreak/>
        <w:t>http://ec.europa.eu/environment/waste/framework/pdf/guidance_doc.pdf</w:t>
      </w:r>
    </w:p>
    <w:p w14:paraId="6611703B"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Fells, I. (2002). Clean and secure energy for the twenty-first century. </w:t>
      </w:r>
      <w:r w:rsidRPr="004B782B">
        <w:rPr>
          <w:rFonts w:cs="Times New Roman"/>
          <w:i/>
          <w:iCs/>
          <w:noProof/>
          <w:sz w:val="24"/>
          <w:szCs w:val="24"/>
        </w:rPr>
        <w:t>Proceedings of the Institution of Mechanical Engineers, Part A: Journal of Power and Energy</w:t>
      </w:r>
      <w:r w:rsidRPr="004B782B">
        <w:rPr>
          <w:rFonts w:cs="Times New Roman"/>
          <w:noProof/>
          <w:sz w:val="24"/>
          <w:szCs w:val="24"/>
        </w:rPr>
        <w:t xml:space="preserve">, </w:t>
      </w:r>
      <w:r w:rsidRPr="004B782B">
        <w:rPr>
          <w:rFonts w:cs="Times New Roman"/>
          <w:i/>
          <w:iCs/>
          <w:noProof/>
          <w:sz w:val="24"/>
          <w:szCs w:val="24"/>
        </w:rPr>
        <w:t>216</w:t>
      </w:r>
      <w:r w:rsidRPr="004B782B">
        <w:rPr>
          <w:rFonts w:cs="Times New Roman"/>
          <w:noProof/>
          <w:sz w:val="24"/>
          <w:szCs w:val="24"/>
        </w:rPr>
        <w:t>(4), 291–294. https://doi.org/10.1243/09576500260251138</w:t>
      </w:r>
    </w:p>
    <w:p w14:paraId="460B8011"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6E1872">
        <w:rPr>
          <w:rFonts w:cs="Times New Roman"/>
          <w:noProof/>
          <w:sz w:val="24"/>
          <w:szCs w:val="24"/>
          <w:lang w:val="nb-NO"/>
        </w:rPr>
        <w:t xml:space="preserve">Fischhendler, I., Herman, L., &amp; Maoz, N. (2017). </w:t>
      </w:r>
      <w:r w:rsidRPr="004B782B">
        <w:rPr>
          <w:rFonts w:cs="Times New Roman"/>
          <w:noProof/>
          <w:sz w:val="24"/>
          <w:szCs w:val="24"/>
        </w:rPr>
        <w:t>The political economy of energy sanctions_ Insights from a global outlook 1938–2017. https://doi.org/10.1016/j.erss.2017.05.008</w:t>
      </w:r>
    </w:p>
    <w:p w14:paraId="423CF6F3"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friends of the earth cymru. (2014). Do wind farms produce affordable energy? Do wind farms produce much power? Retrieved from https://friendsoftheearth.uk/sites/default/files/downloads/wind-power-facts-74229.pdf</w:t>
      </w:r>
    </w:p>
    <w:p w14:paraId="37DA9BE6"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Galahom, A. A. (2017). Minimization of the fission product waste by using thorium based fuel instead of uranium dioxide. https://doi.org/10.1016/j.nucengdes.2017.01.024</w:t>
      </w:r>
    </w:p>
    <w:p w14:paraId="589B954E"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Giusti, L. (2009). A review of waste management practices and their impact on human health. </w:t>
      </w:r>
      <w:r w:rsidRPr="004B782B">
        <w:rPr>
          <w:rFonts w:cs="Times New Roman"/>
          <w:i/>
          <w:iCs/>
          <w:noProof/>
          <w:sz w:val="24"/>
          <w:szCs w:val="24"/>
        </w:rPr>
        <w:t xml:space="preserve">Waste Management </w:t>
      </w:r>
      <w:r w:rsidRPr="004B782B">
        <w:rPr>
          <w:rFonts w:cs="Times New Roman"/>
          <w:noProof/>
          <w:sz w:val="24"/>
          <w:szCs w:val="24"/>
        </w:rPr>
        <w:t xml:space="preserve">, </w:t>
      </w:r>
      <w:r w:rsidRPr="004B782B">
        <w:rPr>
          <w:rFonts w:cs="Times New Roman"/>
          <w:i/>
          <w:iCs/>
          <w:noProof/>
          <w:sz w:val="24"/>
          <w:szCs w:val="24"/>
        </w:rPr>
        <w:t>29</w:t>
      </w:r>
      <w:r w:rsidRPr="004B782B">
        <w:rPr>
          <w:rFonts w:cs="Times New Roman"/>
          <w:noProof/>
          <w:sz w:val="24"/>
          <w:szCs w:val="24"/>
        </w:rPr>
        <w:t>, 2227–2239. Retrieved from doi:10.1016/j.wasman.2009.03.028</w:t>
      </w:r>
    </w:p>
    <w:p w14:paraId="63BBA780"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Goodfellow, M. J., Dewick, P., Wortley, J., &amp; Azapagic, A. (2015). Public perceptions of design options for new nuclear plants in the UK. </w:t>
      </w:r>
      <w:r w:rsidRPr="004B782B">
        <w:rPr>
          <w:rFonts w:cs="Times New Roman"/>
          <w:i/>
          <w:iCs/>
          <w:noProof/>
          <w:sz w:val="24"/>
          <w:szCs w:val="24"/>
        </w:rPr>
        <w:t>Process Safety and Environmental Protection</w:t>
      </w:r>
      <w:r w:rsidRPr="004B782B">
        <w:rPr>
          <w:rFonts w:cs="Times New Roman"/>
          <w:noProof/>
          <w:sz w:val="24"/>
          <w:szCs w:val="24"/>
        </w:rPr>
        <w:t xml:space="preserve">, </w:t>
      </w:r>
      <w:r w:rsidRPr="004B782B">
        <w:rPr>
          <w:rFonts w:cs="Times New Roman"/>
          <w:i/>
          <w:iCs/>
          <w:noProof/>
          <w:sz w:val="24"/>
          <w:szCs w:val="24"/>
        </w:rPr>
        <w:t>9</w:t>
      </w:r>
      <w:r w:rsidRPr="004B782B">
        <w:rPr>
          <w:rFonts w:cs="Times New Roman"/>
          <w:noProof/>
          <w:sz w:val="24"/>
          <w:szCs w:val="24"/>
        </w:rPr>
        <w:t>(2), 72–88. https://doi.org/10.1016/j.psep.2014.12.008</w:t>
      </w:r>
    </w:p>
    <w:p w14:paraId="3115D55C"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Graziano, M., Lecca, P., &amp; Musso, M. (2017). Historic paths and future expectations: The macroeconomic impacts of the offshore wind technologies in the UK. </w:t>
      </w:r>
      <w:r w:rsidRPr="004B782B">
        <w:rPr>
          <w:rFonts w:cs="Times New Roman"/>
          <w:i/>
          <w:iCs/>
          <w:noProof/>
          <w:sz w:val="24"/>
          <w:szCs w:val="24"/>
        </w:rPr>
        <w:t>Energy Policy</w:t>
      </w:r>
      <w:r w:rsidRPr="004B782B">
        <w:rPr>
          <w:rFonts w:cs="Times New Roman"/>
          <w:noProof/>
          <w:sz w:val="24"/>
          <w:szCs w:val="24"/>
        </w:rPr>
        <w:t xml:space="preserve">, </w:t>
      </w:r>
      <w:r w:rsidRPr="004B782B">
        <w:rPr>
          <w:rFonts w:cs="Times New Roman"/>
          <w:i/>
          <w:iCs/>
          <w:noProof/>
          <w:sz w:val="24"/>
          <w:szCs w:val="24"/>
        </w:rPr>
        <w:t>108</w:t>
      </w:r>
      <w:r w:rsidRPr="004B782B">
        <w:rPr>
          <w:rFonts w:cs="Times New Roman"/>
          <w:noProof/>
          <w:sz w:val="24"/>
          <w:szCs w:val="24"/>
        </w:rPr>
        <w:t>, 715–730. https://doi.org/10.1016/J.ENPOL.2017.06.042</w:t>
      </w:r>
    </w:p>
    <w:p w14:paraId="2DA6E791"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Gullberg, A. T., Ohlhorst, D., &amp; Schreurs, M. (2014). Towards a low carbon energy future – Renewable energy cooperation between Germany and Norway. </w:t>
      </w:r>
      <w:r w:rsidRPr="004B782B">
        <w:rPr>
          <w:rFonts w:cs="Times New Roman"/>
          <w:i/>
          <w:iCs/>
          <w:noProof/>
          <w:sz w:val="24"/>
          <w:szCs w:val="24"/>
        </w:rPr>
        <w:t>Renewable Energy</w:t>
      </w:r>
      <w:r w:rsidRPr="004B782B">
        <w:rPr>
          <w:rFonts w:cs="Times New Roman"/>
          <w:noProof/>
          <w:sz w:val="24"/>
          <w:szCs w:val="24"/>
        </w:rPr>
        <w:t xml:space="preserve">, </w:t>
      </w:r>
      <w:r w:rsidRPr="004B782B">
        <w:rPr>
          <w:rFonts w:cs="Times New Roman"/>
          <w:i/>
          <w:iCs/>
          <w:noProof/>
          <w:sz w:val="24"/>
          <w:szCs w:val="24"/>
        </w:rPr>
        <w:t>68</w:t>
      </w:r>
      <w:r w:rsidRPr="004B782B">
        <w:rPr>
          <w:rFonts w:cs="Times New Roman"/>
          <w:noProof/>
          <w:sz w:val="24"/>
          <w:szCs w:val="24"/>
        </w:rPr>
        <w:t>, 216–222. https://doi.org/10.1016/J.RENENE.2014.02.001</w:t>
      </w:r>
    </w:p>
    <w:p w14:paraId="770E618A"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Hatch. (2014). Lifecycle Assessment Literature Review of Nuclear, Wind and Natural Gas Power Generation. </w:t>
      </w:r>
      <w:r w:rsidRPr="004B782B">
        <w:rPr>
          <w:rFonts w:cs="Times New Roman"/>
          <w:i/>
          <w:iCs/>
          <w:noProof/>
          <w:sz w:val="24"/>
          <w:szCs w:val="24"/>
        </w:rPr>
        <w:t>Canadian Nuclear Association</w:t>
      </w:r>
      <w:r w:rsidRPr="004B782B">
        <w:rPr>
          <w:rFonts w:cs="Times New Roman"/>
          <w:noProof/>
          <w:sz w:val="24"/>
          <w:szCs w:val="24"/>
        </w:rPr>
        <w:t>. Retrieved from https://ocni.ca/files/file/hatch-cna-final-report-rev-d.pdf</w:t>
      </w:r>
    </w:p>
    <w:p w14:paraId="7DC0F05A"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Heuer, D., Merle-Lucotte, E., Allibert, M., Brovchenko, M., Ghetta, V., &amp; Rubiolo, P. (2014). Towards the thorium fuel cycle with molten salt fast reactors. </w:t>
      </w:r>
      <w:r w:rsidRPr="004B782B">
        <w:rPr>
          <w:rFonts w:cs="Times New Roman"/>
          <w:i/>
          <w:iCs/>
          <w:noProof/>
          <w:sz w:val="24"/>
          <w:szCs w:val="24"/>
        </w:rPr>
        <w:t>Annals of Nuclear Energy</w:t>
      </w:r>
      <w:r w:rsidRPr="004B782B">
        <w:rPr>
          <w:rFonts w:cs="Times New Roman"/>
          <w:noProof/>
          <w:sz w:val="24"/>
          <w:szCs w:val="24"/>
        </w:rPr>
        <w:t xml:space="preserve">, </w:t>
      </w:r>
      <w:r w:rsidRPr="004B782B">
        <w:rPr>
          <w:rFonts w:cs="Times New Roman"/>
          <w:i/>
          <w:iCs/>
          <w:noProof/>
          <w:sz w:val="24"/>
          <w:szCs w:val="24"/>
        </w:rPr>
        <w:t>64</w:t>
      </w:r>
      <w:r w:rsidRPr="004B782B">
        <w:rPr>
          <w:rFonts w:cs="Times New Roman"/>
          <w:noProof/>
          <w:sz w:val="24"/>
          <w:szCs w:val="24"/>
        </w:rPr>
        <w:t>, 421–429. https://doi.org/10.1016/j.anucene.2013.08.002</w:t>
      </w:r>
    </w:p>
    <w:p w14:paraId="6DD1AB66"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Infrastructure and Projects Authority. (2017). Analysis of the National Infrastructure and </w:t>
      </w:r>
      <w:r w:rsidRPr="004B782B">
        <w:rPr>
          <w:rFonts w:cs="Times New Roman"/>
          <w:noProof/>
          <w:sz w:val="24"/>
          <w:szCs w:val="24"/>
        </w:rPr>
        <w:lastRenderedPageBreak/>
        <w:t>Construction Pipeline. Retrieved from http://www.nationalarchives.gov.uk/doc/open-government-licence/</w:t>
      </w:r>
    </w:p>
    <w:p w14:paraId="1FA947E4"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6E1872">
        <w:rPr>
          <w:rFonts w:cs="Times New Roman"/>
          <w:noProof/>
          <w:sz w:val="24"/>
          <w:szCs w:val="24"/>
          <w:lang w:val="nb-NO"/>
        </w:rPr>
        <w:t xml:space="preserve">Isachsen, A. J. (2017). </w:t>
      </w:r>
      <w:r w:rsidRPr="006E1872">
        <w:rPr>
          <w:rFonts w:cs="Times New Roman"/>
          <w:i/>
          <w:iCs/>
          <w:noProof/>
          <w:sz w:val="24"/>
          <w:szCs w:val="24"/>
          <w:lang w:val="nb-NO"/>
        </w:rPr>
        <w:t>Om Brexit</w:t>
      </w:r>
      <w:r w:rsidRPr="006E1872">
        <w:rPr>
          <w:rFonts w:cs="Times New Roman"/>
          <w:noProof/>
          <w:sz w:val="24"/>
          <w:szCs w:val="24"/>
          <w:lang w:val="nb-NO"/>
        </w:rPr>
        <w:t xml:space="preserve">. </w:t>
      </w:r>
      <w:r w:rsidRPr="004B782B">
        <w:rPr>
          <w:rFonts w:cs="Times New Roman"/>
          <w:noProof/>
          <w:sz w:val="24"/>
          <w:szCs w:val="24"/>
        </w:rPr>
        <w:t>Bergen. Retrieved from http://home.bi.no/fag87025/pdf/mb/201711.pdf</w:t>
      </w:r>
    </w:p>
    <w:p w14:paraId="3C37B598"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Jeffery, R. D., Krogh, C., &amp; Horner, B. (2013). Adverse health effects of industrial wind turbines. </w:t>
      </w:r>
      <w:r w:rsidRPr="004B782B">
        <w:rPr>
          <w:rFonts w:cs="Times New Roman"/>
          <w:i/>
          <w:iCs/>
          <w:noProof/>
          <w:sz w:val="24"/>
          <w:szCs w:val="24"/>
        </w:rPr>
        <w:t>Canadian Family Physician Medecin de Famille Canadien</w:t>
      </w:r>
      <w:r w:rsidRPr="004B782B">
        <w:rPr>
          <w:rFonts w:cs="Times New Roman"/>
          <w:noProof/>
          <w:sz w:val="24"/>
          <w:szCs w:val="24"/>
        </w:rPr>
        <w:t xml:space="preserve">, </w:t>
      </w:r>
      <w:r w:rsidRPr="004B782B">
        <w:rPr>
          <w:rFonts w:cs="Times New Roman"/>
          <w:i/>
          <w:iCs/>
          <w:noProof/>
          <w:sz w:val="24"/>
          <w:szCs w:val="24"/>
        </w:rPr>
        <w:t>59</w:t>
      </w:r>
      <w:r w:rsidRPr="004B782B">
        <w:rPr>
          <w:rFonts w:cs="Times New Roman"/>
          <w:noProof/>
          <w:sz w:val="24"/>
          <w:szCs w:val="24"/>
        </w:rPr>
        <w:t>(5), 473–475. Retrieved from http://www.ncbi.nlm.nih.gov/pubmed/23673580</w:t>
      </w:r>
    </w:p>
    <w:p w14:paraId="403E51CC"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6E1872">
        <w:rPr>
          <w:rFonts w:cs="Times New Roman"/>
          <w:noProof/>
          <w:sz w:val="24"/>
          <w:szCs w:val="24"/>
          <w:lang w:val="nb-NO"/>
        </w:rPr>
        <w:t xml:space="preserve">Karakosta, C., Pappas, C., Marinakis, V., &amp; Psarras, J. (2013). </w:t>
      </w:r>
      <w:r w:rsidRPr="004B782B">
        <w:rPr>
          <w:rFonts w:cs="Times New Roman"/>
          <w:noProof/>
          <w:sz w:val="24"/>
          <w:szCs w:val="24"/>
        </w:rPr>
        <w:t xml:space="preserve">Renewable energy and nuclear power towards sustainable development: Characteristics and prospects. </w:t>
      </w:r>
      <w:r w:rsidRPr="004B782B">
        <w:rPr>
          <w:rFonts w:cs="Times New Roman"/>
          <w:i/>
          <w:iCs/>
          <w:noProof/>
          <w:sz w:val="24"/>
          <w:szCs w:val="24"/>
        </w:rPr>
        <w:t>Renewable and Sustainable Energy Reviews</w:t>
      </w:r>
      <w:r w:rsidRPr="004B782B">
        <w:rPr>
          <w:rFonts w:cs="Times New Roman"/>
          <w:noProof/>
          <w:sz w:val="24"/>
          <w:szCs w:val="24"/>
        </w:rPr>
        <w:t xml:space="preserve">, </w:t>
      </w:r>
      <w:r w:rsidRPr="004B782B">
        <w:rPr>
          <w:rFonts w:cs="Times New Roman"/>
          <w:i/>
          <w:iCs/>
          <w:noProof/>
          <w:sz w:val="24"/>
          <w:szCs w:val="24"/>
        </w:rPr>
        <w:t>22</w:t>
      </w:r>
      <w:r w:rsidRPr="004B782B">
        <w:rPr>
          <w:rFonts w:cs="Times New Roman"/>
          <w:noProof/>
          <w:sz w:val="24"/>
          <w:szCs w:val="24"/>
        </w:rPr>
        <w:t>, 187–197. https://doi.org/10.1016/j.rser.2013.01.035</w:t>
      </w:r>
    </w:p>
    <w:p w14:paraId="31D4E730"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6E1872">
        <w:rPr>
          <w:rFonts w:cs="Times New Roman"/>
          <w:noProof/>
          <w:sz w:val="24"/>
          <w:szCs w:val="24"/>
          <w:lang w:val="nb-NO"/>
        </w:rPr>
        <w:t xml:space="preserve">Karavida, S., Supervisors, R. N., Remmen, A., &amp; Pagh Jensen, J. (2015). </w:t>
      </w:r>
      <w:r w:rsidRPr="004B782B">
        <w:rPr>
          <w:rFonts w:cs="Times New Roman"/>
          <w:noProof/>
          <w:sz w:val="24"/>
          <w:szCs w:val="24"/>
        </w:rPr>
        <w:t>Waste Management of End- of-Service Wind Turbines. Retrieved from http://projekter.aau.dk/projekter/files/213319772/Waste_management_of_end_of_service_wind_turbines.pdf</w:t>
      </w:r>
    </w:p>
    <w:p w14:paraId="4FB5DB60"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Kidd, S. W. (2013). Nuclear power - Economics and public acceptance. </w:t>
      </w:r>
      <w:r w:rsidRPr="004B782B">
        <w:rPr>
          <w:rFonts w:cs="Times New Roman"/>
          <w:i/>
          <w:iCs/>
          <w:noProof/>
          <w:sz w:val="24"/>
          <w:szCs w:val="24"/>
        </w:rPr>
        <w:t>Energy Strategy Reviews</w:t>
      </w:r>
      <w:r w:rsidRPr="004B782B">
        <w:rPr>
          <w:rFonts w:cs="Times New Roman"/>
          <w:noProof/>
          <w:sz w:val="24"/>
          <w:szCs w:val="24"/>
        </w:rPr>
        <w:t xml:space="preserve">, </w:t>
      </w:r>
      <w:r w:rsidRPr="004B782B">
        <w:rPr>
          <w:rFonts w:cs="Times New Roman"/>
          <w:i/>
          <w:iCs/>
          <w:noProof/>
          <w:sz w:val="24"/>
          <w:szCs w:val="24"/>
        </w:rPr>
        <w:t>1</w:t>
      </w:r>
      <w:r w:rsidRPr="004B782B">
        <w:rPr>
          <w:rFonts w:cs="Times New Roman"/>
          <w:noProof/>
          <w:sz w:val="24"/>
          <w:szCs w:val="24"/>
        </w:rPr>
        <w:t>, 277–281. https://doi.org/10.1016/j.esr.2013.03.006</w:t>
      </w:r>
    </w:p>
    <w:p w14:paraId="0EADE1E5"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Lovering, J. R., Yip, A., &amp; Nordhaus, T. (2016). Historical construction costs of global nuclear power reactors. https://doi.org/10.1016/j.enpol.2016.01.011</w:t>
      </w:r>
    </w:p>
    <w:p w14:paraId="3FBFD6DF"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McAlister, G. (2012). General principles of onshore wind environmental impact assessment. </w:t>
      </w:r>
      <w:r w:rsidRPr="004B782B">
        <w:rPr>
          <w:rFonts w:cs="Times New Roman"/>
          <w:i/>
          <w:iCs/>
          <w:noProof/>
          <w:sz w:val="24"/>
          <w:szCs w:val="24"/>
        </w:rPr>
        <w:t>Engineering &amp; Technology Reference</w:t>
      </w:r>
      <w:r w:rsidRPr="004B782B">
        <w:rPr>
          <w:rFonts w:cs="Times New Roman"/>
          <w:noProof/>
          <w:sz w:val="24"/>
          <w:szCs w:val="24"/>
        </w:rPr>
        <w:t xml:space="preserve">, </w:t>
      </w:r>
      <w:r w:rsidRPr="004B782B">
        <w:rPr>
          <w:rFonts w:cs="Times New Roman"/>
          <w:i/>
          <w:iCs/>
          <w:noProof/>
          <w:sz w:val="24"/>
          <w:szCs w:val="24"/>
        </w:rPr>
        <w:t>1</w:t>
      </w:r>
      <w:r w:rsidRPr="004B782B">
        <w:rPr>
          <w:rFonts w:cs="Times New Roman"/>
          <w:noProof/>
          <w:sz w:val="24"/>
          <w:szCs w:val="24"/>
        </w:rPr>
        <w:t>(1). https://doi.org/10.1049/etr.2016.0021</w:t>
      </w:r>
    </w:p>
    <w:p w14:paraId="3DA30A32"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Mccombie, C., &amp; Jefferson, M. (2016). Renewable and nuclear electricity: Comparison of environmental impacts. https://doi.org/10.1016/j.enpol.2016.03.022</w:t>
      </w:r>
    </w:p>
    <w:p w14:paraId="32CAEA32"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Mckeen, T. (2011). ADVANCED GAS COOLED REACTORS. Retrieved from https://www.eolss.net/Sample-Chapters/C08/E3-06-02-05.pdf</w:t>
      </w:r>
    </w:p>
    <w:p w14:paraId="2D874553"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Murthy, K. S. R., &amp; Rahi, O. P. (2017). A comprehensive review of wind resource assessment. https://doi.org/10.1016/j.rser.2016.10.038</w:t>
      </w:r>
    </w:p>
    <w:p w14:paraId="397B4DBB"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6E1872">
        <w:rPr>
          <w:rFonts w:cs="Times New Roman"/>
          <w:noProof/>
          <w:sz w:val="24"/>
          <w:szCs w:val="24"/>
          <w:lang w:val="nb-NO"/>
        </w:rPr>
        <w:t xml:space="preserve">Njiri, J. G., &amp; Söffker, D. (2016). </w:t>
      </w:r>
      <w:r w:rsidRPr="004B782B">
        <w:rPr>
          <w:rFonts w:cs="Times New Roman"/>
          <w:noProof/>
          <w:sz w:val="24"/>
          <w:szCs w:val="24"/>
        </w:rPr>
        <w:t>State-of-the-art in wind turbine control: Trends and challenges. https://doi.org/10.1016/j.rser.2016.01.110</w:t>
      </w:r>
    </w:p>
    <w:p w14:paraId="4A61CAD6"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6E1872">
        <w:rPr>
          <w:rFonts w:cs="Times New Roman"/>
          <w:noProof/>
          <w:sz w:val="24"/>
          <w:szCs w:val="24"/>
          <w:lang w:val="nb-NO"/>
        </w:rPr>
        <w:t xml:space="preserve">Noori, M., Kucukvar, M., &amp; Tatari, O. (2015). </w:t>
      </w:r>
      <w:r w:rsidRPr="004B782B">
        <w:rPr>
          <w:rFonts w:cs="Times New Roman"/>
          <w:noProof/>
          <w:sz w:val="24"/>
          <w:szCs w:val="24"/>
        </w:rPr>
        <w:t xml:space="preserve">Economic Input–Output Based Sustainability </w:t>
      </w:r>
      <w:r w:rsidRPr="004B782B">
        <w:rPr>
          <w:rFonts w:cs="Times New Roman"/>
          <w:noProof/>
          <w:sz w:val="24"/>
          <w:szCs w:val="24"/>
        </w:rPr>
        <w:lastRenderedPageBreak/>
        <w:t xml:space="preserve">Analysis of Onshore and Offshore Wind Energy Systems. </w:t>
      </w:r>
      <w:r w:rsidRPr="004B782B">
        <w:rPr>
          <w:rFonts w:cs="Times New Roman"/>
          <w:i/>
          <w:iCs/>
          <w:noProof/>
          <w:sz w:val="24"/>
          <w:szCs w:val="24"/>
        </w:rPr>
        <w:t>International Journal of Green Energy</w:t>
      </w:r>
      <w:r w:rsidRPr="004B782B">
        <w:rPr>
          <w:rFonts w:cs="Times New Roman"/>
          <w:noProof/>
          <w:sz w:val="24"/>
          <w:szCs w:val="24"/>
        </w:rPr>
        <w:t xml:space="preserve">, </w:t>
      </w:r>
      <w:r w:rsidRPr="004B782B">
        <w:rPr>
          <w:rFonts w:cs="Times New Roman"/>
          <w:i/>
          <w:iCs/>
          <w:noProof/>
          <w:sz w:val="24"/>
          <w:szCs w:val="24"/>
        </w:rPr>
        <w:t>12</w:t>
      </w:r>
      <w:r w:rsidRPr="004B782B">
        <w:rPr>
          <w:rFonts w:cs="Times New Roman"/>
          <w:noProof/>
          <w:sz w:val="24"/>
          <w:szCs w:val="24"/>
        </w:rPr>
        <w:t>(9), 939–948. https://doi.org/10.1080/15435075.2014.890103</w:t>
      </w:r>
    </w:p>
    <w:p w14:paraId="24AF4DA8"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Pachauri, R., Allen, M., Barros, V., Broome, J., Cramer, W., &amp; Christ, R. (2015). Climate change synthesis report 2014. </w:t>
      </w:r>
      <w:r w:rsidRPr="004B782B">
        <w:rPr>
          <w:rFonts w:cs="Times New Roman"/>
          <w:i/>
          <w:iCs/>
          <w:noProof/>
          <w:sz w:val="24"/>
          <w:szCs w:val="24"/>
        </w:rPr>
        <w:t>Odonatologica</w:t>
      </w:r>
      <w:r w:rsidRPr="004B782B">
        <w:rPr>
          <w:rFonts w:cs="Times New Roman"/>
          <w:noProof/>
          <w:sz w:val="24"/>
          <w:szCs w:val="24"/>
        </w:rPr>
        <w:t xml:space="preserve">, </w:t>
      </w:r>
      <w:r w:rsidRPr="004B782B">
        <w:rPr>
          <w:rFonts w:cs="Times New Roman"/>
          <w:i/>
          <w:iCs/>
          <w:noProof/>
          <w:sz w:val="24"/>
          <w:szCs w:val="24"/>
        </w:rPr>
        <w:t>44</w:t>
      </w:r>
      <w:r w:rsidRPr="004B782B">
        <w:rPr>
          <w:rFonts w:cs="Times New Roman"/>
          <w:noProof/>
          <w:sz w:val="24"/>
          <w:szCs w:val="24"/>
        </w:rPr>
        <w:t>(4), 447–678. https://doi.org/10.1017/CBO9781107415324.004</w:t>
      </w:r>
    </w:p>
    <w:p w14:paraId="7442FEAB"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Pfenninger, S., &amp; Keirstead, J. (2015). Renewables, nuclear, or fossil fuels? Scenarios for Great Britainâ€</w:t>
      </w:r>
      <w:r w:rsidRPr="004B782B">
        <w:rPr>
          <w:rFonts w:cs="Times New Roman"/>
          <w:noProof/>
          <w:sz w:val="24"/>
          <w:szCs w:val="24"/>
          <w:vertAlign w:val="superscript"/>
        </w:rPr>
        <w:t>TM</w:t>
      </w:r>
      <w:r w:rsidRPr="004B782B">
        <w:rPr>
          <w:rFonts w:cs="Times New Roman"/>
          <w:noProof/>
          <w:sz w:val="24"/>
          <w:szCs w:val="24"/>
        </w:rPr>
        <w:t xml:space="preserve">s power system considering costs, emissions and energy security. </w:t>
      </w:r>
      <w:r w:rsidRPr="004B782B">
        <w:rPr>
          <w:rFonts w:cs="Times New Roman"/>
          <w:i/>
          <w:iCs/>
          <w:noProof/>
          <w:sz w:val="24"/>
          <w:szCs w:val="24"/>
        </w:rPr>
        <w:t>Applied Energy</w:t>
      </w:r>
      <w:r w:rsidRPr="004B782B">
        <w:rPr>
          <w:rFonts w:cs="Times New Roman"/>
          <w:noProof/>
          <w:sz w:val="24"/>
          <w:szCs w:val="24"/>
        </w:rPr>
        <w:t xml:space="preserve">, </w:t>
      </w:r>
      <w:r w:rsidRPr="004B782B">
        <w:rPr>
          <w:rFonts w:cs="Times New Roman"/>
          <w:i/>
          <w:iCs/>
          <w:noProof/>
          <w:sz w:val="24"/>
          <w:szCs w:val="24"/>
        </w:rPr>
        <w:t>152</w:t>
      </w:r>
      <w:r w:rsidRPr="004B782B">
        <w:rPr>
          <w:rFonts w:cs="Times New Roman"/>
          <w:noProof/>
          <w:sz w:val="24"/>
          <w:szCs w:val="24"/>
        </w:rPr>
        <w:t>, 83–93. https://doi.org/10.1016/j.apenergy.2015.04.102</w:t>
      </w:r>
    </w:p>
    <w:p w14:paraId="4930E1C1"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Rabl, A., &amp; Rabl, V. A. (2013). External costs of nuclear: Greater or less than the alternatives? </w:t>
      </w:r>
      <w:r w:rsidRPr="004B782B">
        <w:rPr>
          <w:rFonts w:cs="Times New Roman"/>
          <w:i/>
          <w:iCs/>
          <w:noProof/>
          <w:sz w:val="24"/>
          <w:szCs w:val="24"/>
        </w:rPr>
        <w:t>Energy Policy</w:t>
      </w:r>
      <w:r w:rsidRPr="004B782B">
        <w:rPr>
          <w:rFonts w:cs="Times New Roman"/>
          <w:noProof/>
          <w:sz w:val="24"/>
          <w:szCs w:val="24"/>
        </w:rPr>
        <w:t xml:space="preserve">, </w:t>
      </w:r>
      <w:r w:rsidRPr="004B782B">
        <w:rPr>
          <w:rFonts w:cs="Times New Roman"/>
          <w:i/>
          <w:iCs/>
          <w:noProof/>
          <w:sz w:val="24"/>
          <w:szCs w:val="24"/>
        </w:rPr>
        <w:t>57</w:t>
      </w:r>
      <w:r w:rsidRPr="004B782B">
        <w:rPr>
          <w:rFonts w:cs="Times New Roman"/>
          <w:noProof/>
          <w:sz w:val="24"/>
          <w:szCs w:val="24"/>
        </w:rPr>
        <w:t>, 575–584. https://doi.org/10.1016/j.enpol.2013.02.028</w:t>
      </w:r>
    </w:p>
    <w:p w14:paraId="735177DC"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Raugei, M., &amp; Leccisi, E. (2016). A comprehensive assessment of the energy performance of the full range of electricity generation technologies deployed in the United Kingdom. https://doi.org/10.1016/j.enpol.2015.12.011</w:t>
      </w:r>
    </w:p>
    <w:p w14:paraId="17702F75" w14:textId="77777777" w:rsidR="004B782B" w:rsidRPr="006E1872" w:rsidRDefault="004B782B" w:rsidP="004B782B">
      <w:pPr>
        <w:widowControl w:val="0"/>
        <w:autoSpaceDE w:val="0"/>
        <w:autoSpaceDN w:val="0"/>
        <w:adjustRightInd w:val="0"/>
        <w:ind w:left="480" w:hanging="480"/>
        <w:rPr>
          <w:rFonts w:cs="Times New Roman"/>
          <w:noProof/>
          <w:sz w:val="24"/>
          <w:szCs w:val="24"/>
          <w:lang w:val="nb-NO"/>
        </w:rPr>
      </w:pPr>
      <w:r w:rsidRPr="004B782B">
        <w:rPr>
          <w:rFonts w:cs="Times New Roman"/>
          <w:noProof/>
          <w:sz w:val="24"/>
          <w:szCs w:val="24"/>
        </w:rPr>
        <w:t xml:space="preserve">Roche, R. C., Walker-Springett, K., Robins, P. E., Jones, J., Veneruso, G., Whitton, T. A., … King, J. W. (2016). Research priorities for assessing potential impacts of emerging marine renewable energy technologies: Insights from developments in Wales (UK). </w:t>
      </w:r>
      <w:r w:rsidRPr="006E1872">
        <w:rPr>
          <w:rFonts w:cs="Times New Roman"/>
          <w:i/>
          <w:iCs/>
          <w:noProof/>
          <w:sz w:val="24"/>
          <w:szCs w:val="24"/>
          <w:lang w:val="nb-NO"/>
        </w:rPr>
        <w:t>Renewable Energy</w:t>
      </w:r>
      <w:r w:rsidRPr="006E1872">
        <w:rPr>
          <w:rFonts w:cs="Times New Roman"/>
          <w:noProof/>
          <w:sz w:val="24"/>
          <w:szCs w:val="24"/>
          <w:lang w:val="nb-NO"/>
        </w:rPr>
        <w:t xml:space="preserve">, </w:t>
      </w:r>
      <w:r w:rsidRPr="006E1872">
        <w:rPr>
          <w:rFonts w:cs="Times New Roman"/>
          <w:i/>
          <w:iCs/>
          <w:noProof/>
          <w:sz w:val="24"/>
          <w:szCs w:val="24"/>
          <w:lang w:val="nb-NO"/>
        </w:rPr>
        <w:t>99</w:t>
      </w:r>
      <w:r w:rsidRPr="006E1872">
        <w:rPr>
          <w:rFonts w:cs="Times New Roman"/>
          <w:noProof/>
          <w:sz w:val="24"/>
          <w:szCs w:val="24"/>
          <w:lang w:val="nb-NO"/>
        </w:rPr>
        <w:t>, 1327–1341. https://doi.org/10.1016/j.renene.2016.08.035</w:t>
      </w:r>
    </w:p>
    <w:p w14:paraId="45D94AC9"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6E1872">
        <w:rPr>
          <w:rFonts w:cs="Times New Roman"/>
          <w:noProof/>
          <w:sz w:val="24"/>
          <w:szCs w:val="24"/>
          <w:lang w:val="nb-NO"/>
        </w:rPr>
        <w:t xml:space="preserve">Rogner, H.-H. (2013). </w:t>
      </w:r>
      <w:r w:rsidRPr="004B782B">
        <w:rPr>
          <w:rFonts w:cs="Times New Roman"/>
          <w:noProof/>
          <w:sz w:val="24"/>
          <w:szCs w:val="24"/>
        </w:rPr>
        <w:t xml:space="preserve">World outlook for nuclear power. </w:t>
      </w:r>
      <w:r w:rsidRPr="004B782B">
        <w:rPr>
          <w:rFonts w:cs="Times New Roman"/>
          <w:i/>
          <w:iCs/>
          <w:noProof/>
          <w:sz w:val="24"/>
          <w:szCs w:val="24"/>
        </w:rPr>
        <w:t>Energy Strategy Reviews</w:t>
      </w:r>
      <w:r w:rsidRPr="004B782B">
        <w:rPr>
          <w:rFonts w:cs="Times New Roman"/>
          <w:noProof/>
          <w:sz w:val="24"/>
          <w:szCs w:val="24"/>
        </w:rPr>
        <w:t xml:space="preserve">, </w:t>
      </w:r>
      <w:r w:rsidRPr="004B782B">
        <w:rPr>
          <w:rFonts w:cs="Times New Roman"/>
          <w:i/>
          <w:iCs/>
          <w:noProof/>
          <w:sz w:val="24"/>
          <w:szCs w:val="24"/>
        </w:rPr>
        <w:t>1</w:t>
      </w:r>
      <w:r w:rsidRPr="004B782B">
        <w:rPr>
          <w:rFonts w:cs="Times New Roman"/>
          <w:noProof/>
          <w:sz w:val="24"/>
          <w:szCs w:val="24"/>
        </w:rPr>
        <w:t>, 291–295. https://doi.org/10.1016/j.esr.2012.12.001</w:t>
      </w:r>
    </w:p>
    <w:p w14:paraId="3C16CC19"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Serp, J., Allibert, M., Rej Bene S, O., Delpech, S., Feynberg, O., Ghetta, V., … Zhimin, D. (2014). The molten salt reactor (MSR) in generation IV: Overview and perspectives. https://doi.org/10.1016/j.pnucene.2014.02.014</w:t>
      </w:r>
    </w:p>
    <w:p w14:paraId="51A0B512"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Sims, R. E. H., Rogner, H.-H., &amp; Gregory, K. (2003). Carbon emission and mitigation cost comparisons between fossil fuel, nuclear and renewable energy resources for electricity generation. </w:t>
      </w:r>
      <w:r w:rsidRPr="004B782B">
        <w:rPr>
          <w:rFonts w:cs="Times New Roman"/>
          <w:i/>
          <w:iCs/>
          <w:noProof/>
          <w:sz w:val="24"/>
          <w:szCs w:val="24"/>
        </w:rPr>
        <w:t>Energy Policy</w:t>
      </w:r>
      <w:r w:rsidRPr="004B782B">
        <w:rPr>
          <w:rFonts w:cs="Times New Roman"/>
          <w:noProof/>
          <w:sz w:val="24"/>
          <w:szCs w:val="24"/>
        </w:rPr>
        <w:t xml:space="preserve">, </w:t>
      </w:r>
      <w:r w:rsidRPr="004B782B">
        <w:rPr>
          <w:rFonts w:cs="Times New Roman"/>
          <w:i/>
          <w:iCs/>
          <w:noProof/>
          <w:sz w:val="24"/>
          <w:szCs w:val="24"/>
        </w:rPr>
        <w:t>31</w:t>
      </w:r>
      <w:r w:rsidRPr="004B782B">
        <w:rPr>
          <w:rFonts w:cs="Times New Roman"/>
          <w:noProof/>
          <w:sz w:val="24"/>
          <w:szCs w:val="24"/>
        </w:rPr>
        <w:t>, 1315–1326. Retrieved from https://ac.els-cdn.com/S0301421502001921/1-s2.0-S0301421502001921-main.pdf?_tid=f43f938e-0687-11e8-b262-00000aacb362&amp;acdnat=1517404342_f6be6eb31a3125f68205b85966940f09</w:t>
      </w:r>
    </w:p>
    <w:p w14:paraId="1D4F5326"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Srinivasan, R., Gopi, R., &amp; Lee, K. (2013). Fukushima and thereafter: Reassessment of risks of nuclear power. </w:t>
      </w:r>
      <w:r w:rsidRPr="004B782B">
        <w:rPr>
          <w:rFonts w:cs="Times New Roman"/>
          <w:i/>
          <w:iCs/>
          <w:noProof/>
          <w:sz w:val="24"/>
          <w:szCs w:val="24"/>
        </w:rPr>
        <w:t>Energy Policy</w:t>
      </w:r>
      <w:r w:rsidRPr="004B782B">
        <w:rPr>
          <w:rFonts w:cs="Times New Roman"/>
          <w:noProof/>
          <w:sz w:val="24"/>
          <w:szCs w:val="24"/>
        </w:rPr>
        <w:t xml:space="preserve">, </w:t>
      </w:r>
      <w:r w:rsidRPr="004B782B">
        <w:rPr>
          <w:rFonts w:cs="Times New Roman"/>
          <w:i/>
          <w:iCs/>
          <w:noProof/>
          <w:sz w:val="24"/>
          <w:szCs w:val="24"/>
        </w:rPr>
        <w:t>52</w:t>
      </w:r>
      <w:r w:rsidRPr="004B782B">
        <w:rPr>
          <w:rFonts w:cs="Times New Roman"/>
          <w:noProof/>
          <w:sz w:val="24"/>
          <w:szCs w:val="24"/>
        </w:rPr>
        <w:t xml:space="preserve">, 726–736. </w:t>
      </w:r>
      <w:r w:rsidRPr="004B782B">
        <w:rPr>
          <w:rFonts w:cs="Times New Roman"/>
          <w:noProof/>
          <w:sz w:val="24"/>
          <w:szCs w:val="24"/>
        </w:rPr>
        <w:lastRenderedPageBreak/>
        <w:t>https://doi.org/10.1016/j.enpol.2012.10.036</w:t>
      </w:r>
    </w:p>
    <w:p w14:paraId="0735A9F5"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Statoil. (2017). </w:t>
      </w:r>
      <w:r w:rsidRPr="004B782B">
        <w:rPr>
          <w:rFonts w:cs="Times New Roman"/>
          <w:i/>
          <w:iCs/>
          <w:noProof/>
          <w:sz w:val="24"/>
          <w:szCs w:val="24"/>
        </w:rPr>
        <w:t>Hywind Scotland</w:t>
      </w:r>
      <w:r w:rsidRPr="004B782B">
        <w:rPr>
          <w:rFonts w:cs="Times New Roman"/>
          <w:noProof/>
          <w:sz w:val="24"/>
          <w:szCs w:val="24"/>
        </w:rPr>
        <w:t>. Retrieved from https://www.statoil.com/content/dam/statoil/documents/newsroom-additional-documents/news-attachments/brochure-hywind-a4.pdf</w:t>
      </w:r>
    </w:p>
    <w:p w14:paraId="30C5C49E"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Suman, S. (2018). Hybrid Nuclear-Renewable Energy Systems: A Review. </w:t>
      </w:r>
      <w:r w:rsidRPr="004B782B">
        <w:rPr>
          <w:rFonts w:cs="Times New Roman"/>
          <w:i/>
          <w:iCs/>
          <w:noProof/>
          <w:sz w:val="24"/>
          <w:szCs w:val="24"/>
        </w:rPr>
        <w:t>Journal of Cleaner Production</w:t>
      </w:r>
      <w:r w:rsidRPr="004B782B">
        <w:rPr>
          <w:rFonts w:cs="Times New Roman"/>
          <w:noProof/>
          <w:sz w:val="24"/>
          <w:szCs w:val="24"/>
        </w:rPr>
        <w:t>. https://doi.org/10.1016/j.jclepro.2018.01.262</w:t>
      </w:r>
    </w:p>
    <w:p w14:paraId="2E14A61C"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Suna, D., &amp; Resch, G. (2016). Is nuclear economical in comparison to renewables? https://doi.org/10.1016/j.enpol.2016.08.023</w:t>
      </w:r>
    </w:p>
    <w:p w14:paraId="6935494D"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Thomas, S. (2016). The Hinkley Point decision: An analysis of the policy process. https://doi.org/10.1016/j.enpol.2016.06.021</w:t>
      </w:r>
    </w:p>
    <w:p w14:paraId="3C49F39A"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Thomson, R. C., &amp; Harrison, G. P. (2018). Costs of Offshore Wind Presentation Costs of Offshore Wind. </w:t>
      </w:r>
      <w:r w:rsidRPr="004B782B">
        <w:rPr>
          <w:rFonts w:cs="Times New Roman"/>
          <w:i/>
          <w:iCs/>
          <w:noProof/>
          <w:sz w:val="24"/>
          <w:szCs w:val="24"/>
        </w:rPr>
        <w:t>Institute for Energy Systems</w:t>
      </w:r>
      <w:r w:rsidRPr="004B782B">
        <w:rPr>
          <w:rFonts w:cs="Times New Roman"/>
          <w:noProof/>
          <w:sz w:val="24"/>
          <w:szCs w:val="24"/>
        </w:rPr>
        <w:t>. Retrieved from http://www.research.ed.ac.uk/portal/files/31255557/ThomsonRCTFinalWithNotes.pdf</w:t>
      </w:r>
    </w:p>
    <w:p w14:paraId="7C13329C"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Tu, Q., Zhu, C., &amp; Mcavoy, D. C. (2015). Converting campus waste into renewable energy â€“ A case study for the University of Cincinnati. </w:t>
      </w:r>
      <w:r w:rsidRPr="004B782B">
        <w:rPr>
          <w:rFonts w:cs="Times New Roman"/>
          <w:i/>
          <w:iCs/>
          <w:noProof/>
          <w:sz w:val="24"/>
          <w:szCs w:val="24"/>
        </w:rPr>
        <w:t>Waste Management</w:t>
      </w:r>
      <w:r w:rsidRPr="004B782B">
        <w:rPr>
          <w:rFonts w:cs="Times New Roman"/>
          <w:noProof/>
          <w:sz w:val="24"/>
          <w:szCs w:val="24"/>
        </w:rPr>
        <w:t xml:space="preserve">, </w:t>
      </w:r>
      <w:r w:rsidRPr="004B782B">
        <w:rPr>
          <w:rFonts w:cs="Times New Roman"/>
          <w:i/>
          <w:iCs/>
          <w:noProof/>
          <w:sz w:val="24"/>
          <w:szCs w:val="24"/>
        </w:rPr>
        <w:t>39</w:t>
      </w:r>
      <w:r w:rsidRPr="004B782B">
        <w:rPr>
          <w:rFonts w:cs="Times New Roman"/>
          <w:noProof/>
          <w:sz w:val="24"/>
          <w:szCs w:val="24"/>
        </w:rPr>
        <w:t>, 258–265. https://doi.org/10.1016/j.wasman.2015.01.016</w:t>
      </w:r>
    </w:p>
    <w:p w14:paraId="07897872"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Van De Graaff, S. (2016). Understanding the nuclear controversy: An application of cultural theory. https://doi.org/10.1016/j.enpol.2016.07.007</w:t>
      </w:r>
    </w:p>
    <w:p w14:paraId="3FDE64F0"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6E1872">
        <w:rPr>
          <w:rFonts w:cs="Times New Roman"/>
          <w:noProof/>
          <w:sz w:val="24"/>
          <w:szCs w:val="24"/>
          <w:lang w:val="nb-NO"/>
        </w:rPr>
        <w:t xml:space="preserve">Verbruggen, A., Laes, E., &amp; Lemmens, S. (2014). </w:t>
      </w:r>
      <w:r w:rsidRPr="004B782B">
        <w:rPr>
          <w:rFonts w:cs="Times New Roman"/>
          <w:noProof/>
          <w:sz w:val="24"/>
          <w:szCs w:val="24"/>
        </w:rPr>
        <w:t xml:space="preserve">Assessment of the actual sustainability of nuclear fission power of nuclear power. </w:t>
      </w:r>
      <w:r w:rsidRPr="004B782B">
        <w:rPr>
          <w:rFonts w:cs="Times New Roman"/>
          <w:i/>
          <w:iCs/>
          <w:noProof/>
          <w:sz w:val="24"/>
          <w:szCs w:val="24"/>
        </w:rPr>
        <w:t>Renewable and Sustainable Energy Reviews</w:t>
      </w:r>
      <w:r w:rsidRPr="004B782B">
        <w:rPr>
          <w:rFonts w:cs="Times New Roman"/>
          <w:noProof/>
          <w:sz w:val="24"/>
          <w:szCs w:val="24"/>
        </w:rPr>
        <w:t xml:space="preserve">, </w:t>
      </w:r>
      <w:r w:rsidRPr="004B782B">
        <w:rPr>
          <w:rFonts w:cs="Times New Roman"/>
          <w:i/>
          <w:iCs/>
          <w:noProof/>
          <w:sz w:val="24"/>
          <w:szCs w:val="24"/>
        </w:rPr>
        <w:t>32</w:t>
      </w:r>
      <w:r w:rsidRPr="004B782B">
        <w:rPr>
          <w:rFonts w:cs="Times New Roman"/>
          <w:noProof/>
          <w:sz w:val="24"/>
          <w:szCs w:val="24"/>
        </w:rPr>
        <w:t>, 16–28. https://doi.org/10.1016/j.rser.2014.01.008</w:t>
      </w:r>
    </w:p>
    <w:p w14:paraId="51D31584" w14:textId="77777777" w:rsidR="004B782B" w:rsidRPr="004B782B" w:rsidRDefault="004B782B" w:rsidP="004B782B">
      <w:pPr>
        <w:widowControl w:val="0"/>
        <w:autoSpaceDE w:val="0"/>
        <w:autoSpaceDN w:val="0"/>
        <w:adjustRightInd w:val="0"/>
        <w:ind w:left="480" w:hanging="480"/>
        <w:rPr>
          <w:rFonts w:cs="Times New Roman"/>
          <w:noProof/>
          <w:sz w:val="24"/>
          <w:szCs w:val="24"/>
        </w:rPr>
      </w:pPr>
      <w:r w:rsidRPr="004B782B">
        <w:rPr>
          <w:rFonts w:cs="Times New Roman"/>
          <w:noProof/>
          <w:sz w:val="24"/>
          <w:szCs w:val="24"/>
        </w:rPr>
        <w:t xml:space="preserve">Whittlesey, R. (2017). Vertical Axis Wind Turbines. In </w:t>
      </w:r>
      <w:r w:rsidRPr="004B782B">
        <w:rPr>
          <w:rFonts w:cs="Times New Roman"/>
          <w:i/>
          <w:iCs/>
          <w:noProof/>
          <w:sz w:val="24"/>
          <w:szCs w:val="24"/>
        </w:rPr>
        <w:t>Wind Energy Engineering</w:t>
      </w:r>
      <w:r w:rsidRPr="004B782B">
        <w:rPr>
          <w:rFonts w:cs="Times New Roman"/>
          <w:noProof/>
          <w:sz w:val="24"/>
          <w:szCs w:val="24"/>
        </w:rPr>
        <w:t xml:space="preserve"> (pp. 185–202). Elsevier. https://doi.org/10.1016/B978-0-12-809451-8.00010-2</w:t>
      </w:r>
    </w:p>
    <w:p w14:paraId="29ED49FD" w14:textId="77777777" w:rsidR="004B782B" w:rsidRPr="004B782B" w:rsidRDefault="004B782B" w:rsidP="004B782B">
      <w:pPr>
        <w:widowControl w:val="0"/>
        <w:autoSpaceDE w:val="0"/>
        <w:autoSpaceDN w:val="0"/>
        <w:adjustRightInd w:val="0"/>
        <w:ind w:left="480" w:hanging="480"/>
        <w:rPr>
          <w:rFonts w:cs="Times New Roman"/>
          <w:noProof/>
          <w:sz w:val="24"/>
        </w:rPr>
      </w:pPr>
      <w:r w:rsidRPr="004B782B">
        <w:rPr>
          <w:rFonts w:cs="Times New Roman"/>
          <w:noProof/>
          <w:sz w:val="24"/>
          <w:szCs w:val="24"/>
        </w:rPr>
        <w:t>world-nuclear.org. (2017). Nuclear Power in the United Kingdom. Retrieved February 5, 2018, from http://www.world-nuclear.org/information-library/country-profiles/countries-t-z/united-kingdom.aspx</w:t>
      </w:r>
    </w:p>
    <w:p w14:paraId="1D898815" w14:textId="6DC91DFD" w:rsidR="00373AD0" w:rsidRPr="0088693E" w:rsidRDefault="00DE13FE" w:rsidP="00373AD0">
      <w:r>
        <w:fldChar w:fldCharType="end"/>
      </w:r>
    </w:p>
    <w:p w14:paraId="40364DFE" w14:textId="77777777" w:rsidR="00373AD0" w:rsidRPr="00F73A19" w:rsidRDefault="00373AD0" w:rsidP="00373AD0"/>
    <w:p w14:paraId="7E5AE43C" w14:textId="77777777" w:rsidR="00373AD0" w:rsidRPr="00F73A19" w:rsidRDefault="00373AD0" w:rsidP="00373AD0"/>
    <w:p w14:paraId="7FF2BF43" w14:textId="77777777" w:rsidR="00373AD0" w:rsidRPr="00F73A19" w:rsidRDefault="00373AD0" w:rsidP="00373AD0"/>
    <w:p w14:paraId="1EA07C15" w14:textId="77777777" w:rsidR="00373AD0" w:rsidRPr="00A177A9" w:rsidRDefault="00373AD0" w:rsidP="00373AD0"/>
    <w:p w14:paraId="0DC4E628" w14:textId="77777777" w:rsidR="00014F59" w:rsidRDefault="00014F59"/>
    <w:sectPr w:rsidR="00014F59" w:rsidSect="00373AD0">
      <w:headerReference w:type="default" r:id="rId53"/>
      <w:footerReference w:type="default" r:id="rId54"/>
      <w:headerReference w:type="first" r:id="rId55"/>
      <w:footerReference w:type="first" r:id="rId5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8637EE" w14:textId="77777777" w:rsidR="00CB18B3" w:rsidRDefault="00CB18B3" w:rsidP="00373AD0">
      <w:pPr>
        <w:spacing w:after="0" w:line="240" w:lineRule="auto"/>
      </w:pPr>
      <w:r>
        <w:separator/>
      </w:r>
    </w:p>
  </w:endnote>
  <w:endnote w:type="continuationSeparator" w:id="0">
    <w:p w14:paraId="73A87A81" w14:textId="77777777" w:rsidR="00CB18B3" w:rsidRDefault="00CB18B3" w:rsidP="00373A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 w:name="Adobe Hebrew">
    <w:altName w:val="Times New Roman"/>
    <w:panose1 w:val="00000000000000000000"/>
    <w:charset w:val="00"/>
    <w:family w:val="roman"/>
    <w:notTrueType/>
    <w:pitch w:val="variable"/>
    <w:sig w:usb0="8000086F" w:usb1="4000204A" w:usb2="00000000" w:usb3="00000000" w:csb0="00000021" w:csb1="00000000"/>
  </w:font>
  <w:font w:name="Adobe Song Std L">
    <w:panose1 w:val="00000000000000000000"/>
    <w:charset w:val="80"/>
    <w:family w:val="roman"/>
    <w:notTrueType/>
    <w:pitch w:val="variable"/>
    <w:sig w:usb0="00000207" w:usb1="0A0F1810" w:usb2="00000016" w:usb3="00000000" w:csb0="0006000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E34B22" w14:textId="77777777" w:rsidR="00F6176D" w:rsidRDefault="00F6176D">
    <w:pPr>
      <w:pStyle w:val="Bunnteks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30E6AA" w14:textId="77777777" w:rsidR="00CB18B3" w:rsidRDefault="00CB18B3">
    <w:pPr>
      <w:pStyle w:val="Bunntekst"/>
      <w:jc w:val="right"/>
    </w:pPr>
  </w:p>
  <w:p w14:paraId="2A0E033E" w14:textId="77777777" w:rsidR="00CB18B3" w:rsidRDefault="00CB18B3">
    <w:pPr>
      <w:pStyle w:val="Bunnteks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2D1861" w14:textId="77777777" w:rsidR="00F6176D" w:rsidRDefault="00F6176D">
    <w:pPr>
      <w:pStyle w:val="Bunnteks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2D8808" w14:textId="77777777" w:rsidR="00CB18B3" w:rsidRDefault="00CB18B3">
    <w:pPr>
      <w:pStyle w:val="Bunnteks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7D6B02" w14:textId="77777777" w:rsidR="00CB18B3" w:rsidRDefault="00CB18B3">
    <w:pPr>
      <w:pStyle w:val="Bunntekst"/>
      <w:jc w:val="right"/>
    </w:pPr>
  </w:p>
  <w:p w14:paraId="757F0154" w14:textId="77777777" w:rsidR="00CB18B3" w:rsidRDefault="00CB18B3">
    <w:pPr>
      <w:pStyle w:val="Bunnteks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4688222"/>
      <w:docPartObj>
        <w:docPartGallery w:val="Page Numbers (Bottom of Page)"/>
        <w:docPartUnique/>
      </w:docPartObj>
    </w:sdtPr>
    <w:sdtEndPr>
      <w:rPr>
        <w:noProof/>
      </w:rPr>
    </w:sdtEndPr>
    <w:sdtContent>
      <w:p w14:paraId="060BD0D6" w14:textId="3DC5BB8A" w:rsidR="00CB18B3" w:rsidRDefault="00CB18B3">
        <w:pPr>
          <w:pStyle w:val="Bunntekst"/>
          <w:jc w:val="right"/>
        </w:pPr>
        <w:r>
          <w:fldChar w:fldCharType="begin"/>
        </w:r>
        <w:r>
          <w:instrText xml:space="preserve"> PAGE   \* MERGEFORMAT </w:instrText>
        </w:r>
        <w:r>
          <w:fldChar w:fldCharType="separate"/>
        </w:r>
        <w:r w:rsidR="00B10DCD">
          <w:rPr>
            <w:noProof/>
          </w:rPr>
          <w:t>10</w:t>
        </w:r>
        <w:r>
          <w:rPr>
            <w:noProof/>
          </w:rPr>
          <w:fldChar w:fldCharType="end"/>
        </w:r>
      </w:p>
    </w:sdtContent>
  </w:sdt>
  <w:p w14:paraId="0E5756B8" w14:textId="77777777" w:rsidR="00CB18B3" w:rsidRDefault="00CB18B3">
    <w:pPr>
      <w:pStyle w:val="Bunntekst"/>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8835555"/>
      <w:docPartObj>
        <w:docPartGallery w:val="Page Numbers (Bottom of Page)"/>
        <w:docPartUnique/>
      </w:docPartObj>
    </w:sdtPr>
    <w:sdtEndPr>
      <w:rPr>
        <w:noProof/>
      </w:rPr>
    </w:sdtEndPr>
    <w:sdtContent>
      <w:p w14:paraId="007B3CCD" w14:textId="2AF233D2" w:rsidR="00CB18B3" w:rsidRDefault="00CB18B3">
        <w:pPr>
          <w:pStyle w:val="Bunntekst"/>
          <w:jc w:val="right"/>
        </w:pPr>
        <w:r>
          <w:fldChar w:fldCharType="begin"/>
        </w:r>
        <w:r>
          <w:instrText xml:space="preserve"> PAGE   \* MERGEFORMAT </w:instrText>
        </w:r>
        <w:r>
          <w:fldChar w:fldCharType="separate"/>
        </w:r>
        <w:r w:rsidR="00C65EE9">
          <w:rPr>
            <w:noProof/>
          </w:rPr>
          <w:t>1</w:t>
        </w:r>
        <w:r>
          <w:rPr>
            <w:noProof/>
          </w:rPr>
          <w:fldChar w:fldCharType="end"/>
        </w:r>
      </w:p>
    </w:sdtContent>
  </w:sdt>
  <w:p w14:paraId="12D8340E" w14:textId="4C5CA208" w:rsidR="00CB18B3" w:rsidRDefault="00CB18B3" w:rsidP="00DB28E9">
    <w:pPr>
      <w:pStyle w:val="Topptekst"/>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F83735" w14:textId="77777777" w:rsidR="00CB18B3" w:rsidRDefault="00CB18B3" w:rsidP="00373AD0">
      <w:pPr>
        <w:spacing w:after="0" w:line="240" w:lineRule="auto"/>
      </w:pPr>
      <w:r>
        <w:separator/>
      </w:r>
    </w:p>
  </w:footnote>
  <w:footnote w:type="continuationSeparator" w:id="0">
    <w:p w14:paraId="54CF16FC" w14:textId="77777777" w:rsidR="00CB18B3" w:rsidRDefault="00CB18B3" w:rsidP="00373A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5191B9" w14:textId="77777777" w:rsidR="00F6176D" w:rsidRDefault="00F6176D">
    <w:pPr>
      <w:pStyle w:val="Toppteks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7369FD" w14:textId="77777777" w:rsidR="00F6176D" w:rsidRDefault="00F6176D">
    <w:pPr>
      <w:pStyle w:val="Toppteks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0EE2D1" w14:textId="77777777" w:rsidR="00F6176D" w:rsidRDefault="00F6176D">
    <w:pPr>
      <w:pStyle w:val="Topptekst"/>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EF5BE9" w14:textId="77777777" w:rsidR="00CB18B3" w:rsidRDefault="00CB18B3">
    <w:pPr>
      <w:pStyle w:val="Topptekst"/>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F505F3" w14:textId="77777777" w:rsidR="00CB18B3" w:rsidRDefault="00CB18B3">
    <w:pPr>
      <w:pStyle w:val="Topptekst"/>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5209D7" w14:textId="77777777" w:rsidR="00CB18B3" w:rsidRDefault="00CB18B3">
    <w:pPr>
      <w:pStyle w:val="Topptekst"/>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9913A8" w14:textId="38661DFF" w:rsidR="00CB18B3" w:rsidRDefault="00CB18B3" w:rsidP="00DB28E9">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91422"/>
    <w:multiLevelType w:val="multilevel"/>
    <w:tmpl w:val="302A2D9A"/>
    <w:lvl w:ilvl="0">
      <w:start w:val="1"/>
      <w:numFmt w:val="decimal"/>
      <w:lvlText w:val="%1."/>
      <w:lvlJc w:val="left"/>
      <w:pPr>
        <w:ind w:left="360" w:hanging="360"/>
      </w:pPr>
      <w:rPr>
        <w:rFonts w:hint="default"/>
      </w:rPr>
    </w:lvl>
    <w:lvl w:ilvl="1">
      <w:start w:val="1"/>
      <w:numFmt w:val="decimal"/>
      <w:isLgl/>
      <w:lvlText w:val="%2."/>
      <w:lvlJc w:val="left"/>
      <w:pPr>
        <w:ind w:left="390" w:hanging="390"/>
      </w:pPr>
      <w:rPr>
        <w:rFonts w:asciiTheme="majorHAnsi" w:eastAsiaTheme="majorEastAsia" w:hAnsiTheme="majorHAnsi" w:cstheme="majorBidi"/>
      </w:rPr>
    </w:lvl>
    <w:lvl w:ilvl="2">
      <w:start w:val="1"/>
      <w:numFmt w:val="decimal"/>
      <w:isLgl/>
      <w:lvlText w:val="%1.%2.%3"/>
      <w:lvlJc w:val="left"/>
      <w:pPr>
        <w:ind w:left="1174" w:hanging="720"/>
      </w:pPr>
      <w:rPr>
        <w:rFonts w:hint="default"/>
      </w:rPr>
    </w:lvl>
    <w:lvl w:ilvl="3">
      <w:start w:val="1"/>
      <w:numFmt w:val="decimal"/>
      <w:isLgl/>
      <w:lvlText w:val="%1.%2.%3.%4"/>
      <w:lvlJc w:val="left"/>
      <w:pPr>
        <w:ind w:left="1174" w:hanging="720"/>
      </w:pPr>
      <w:rPr>
        <w:rFonts w:hint="default"/>
      </w:rPr>
    </w:lvl>
    <w:lvl w:ilvl="4">
      <w:start w:val="1"/>
      <w:numFmt w:val="decimal"/>
      <w:isLgl/>
      <w:lvlText w:val="%1.%2.%3.%4.%5"/>
      <w:lvlJc w:val="left"/>
      <w:pPr>
        <w:ind w:left="1534" w:hanging="1080"/>
      </w:pPr>
      <w:rPr>
        <w:rFonts w:hint="default"/>
      </w:rPr>
    </w:lvl>
    <w:lvl w:ilvl="5">
      <w:start w:val="1"/>
      <w:numFmt w:val="decimal"/>
      <w:isLgl/>
      <w:lvlText w:val="%1.%2.%3.%4.%5.%6"/>
      <w:lvlJc w:val="left"/>
      <w:pPr>
        <w:ind w:left="1534" w:hanging="1080"/>
      </w:pPr>
      <w:rPr>
        <w:rFonts w:hint="default"/>
      </w:rPr>
    </w:lvl>
    <w:lvl w:ilvl="6">
      <w:start w:val="1"/>
      <w:numFmt w:val="decimal"/>
      <w:isLgl/>
      <w:lvlText w:val="%1.%2.%3.%4.%5.%6.%7"/>
      <w:lvlJc w:val="left"/>
      <w:pPr>
        <w:ind w:left="1894" w:hanging="1440"/>
      </w:pPr>
      <w:rPr>
        <w:rFonts w:hint="default"/>
      </w:rPr>
    </w:lvl>
    <w:lvl w:ilvl="7">
      <w:start w:val="1"/>
      <w:numFmt w:val="decimal"/>
      <w:isLgl/>
      <w:lvlText w:val="%1.%2.%3.%4.%5.%6.%7.%8"/>
      <w:lvlJc w:val="left"/>
      <w:pPr>
        <w:ind w:left="1894" w:hanging="1440"/>
      </w:pPr>
      <w:rPr>
        <w:rFonts w:hint="default"/>
      </w:rPr>
    </w:lvl>
    <w:lvl w:ilvl="8">
      <w:start w:val="1"/>
      <w:numFmt w:val="decimal"/>
      <w:isLgl/>
      <w:lvlText w:val="%1.%2.%3.%4.%5.%6.%7.%8.%9"/>
      <w:lvlJc w:val="left"/>
      <w:pPr>
        <w:ind w:left="2254" w:hanging="1800"/>
      </w:pPr>
      <w:rPr>
        <w:rFonts w:hint="default"/>
      </w:rPr>
    </w:lvl>
  </w:abstractNum>
  <w:abstractNum w:abstractNumId="1" w15:restartNumberingAfterBreak="0">
    <w:nsid w:val="15867A05"/>
    <w:multiLevelType w:val="multilevel"/>
    <w:tmpl w:val="CE3091BE"/>
    <w:lvl w:ilvl="0">
      <w:start w:val="1"/>
      <w:numFmt w:val="decimal"/>
      <w:lvlText w:val="%1"/>
      <w:lvlJc w:val="left"/>
      <w:pPr>
        <w:ind w:left="360" w:hanging="360"/>
      </w:pPr>
      <w:rPr>
        <w:rFonts w:hint="default"/>
      </w:rPr>
    </w:lvl>
    <w:lvl w:ilvl="1">
      <w:start w:val="1"/>
      <w:numFmt w:val="decimal"/>
      <w:lvlText w:val="%1.%2"/>
      <w:lvlJc w:val="left"/>
      <w:pPr>
        <w:ind w:left="785" w:hanging="360"/>
      </w:pPr>
      <w:rPr>
        <w:rFonts w:hint="default"/>
      </w:rPr>
    </w:lvl>
    <w:lvl w:ilvl="2">
      <w:start w:val="1"/>
      <w:numFmt w:val="decimal"/>
      <w:lvlText w:val="%1.%2.%3"/>
      <w:lvlJc w:val="left"/>
      <w:pPr>
        <w:ind w:left="1628" w:hanging="720"/>
      </w:pPr>
      <w:rPr>
        <w:rFonts w:hint="default"/>
      </w:rPr>
    </w:lvl>
    <w:lvl w:ilvl="3">
      <w:start w:val="1"/>
      <w:numFmt w:val="decimal"/>
      <w:lvlText w:val="%1.%2.%3.%4"/>
      <w:lvlJc w:val="left"/>
      <w:pPr>
        <w:ind w:left="2082" w:hanging="720"/>
      </w:pPr>
      <w:rPr>
        <w:rFonts w:hint="default"/>
      </w:rPr>
    </w:lvl>
    <w:lvl w:ilvl="4">
      <w:start w:val="1"/>
      <w:numFmt w:val="decimal"/>
      <w:lvlText w:val="%1.%2.%3.%4.%5"/>
      <w:lvlJc w:val="left"/>
      <w:pPr>
        <w:ind w:left="2896" w:hanging="1080"/>
      </w:pPr>
      <w:rPr>
        <w:rFonts w:hint="default"/>
      </w:rPr>
    </w:lvl>
    <w:lvl w:ilvl="5">
      <w:start w:val="1"/>
      <w:numFmt w:val="decimal"/>
      <w:lvlText w:val="%1.%2.%3.%4.%5.%6"/>
      <w:lvlJc w:val="left"/>
      <w:pPr>
        <w:ind w:left="3710" w:hanging="1440"/>
      </w:pPr>
      <w:rPr>
        <w:rFonts w:hint="default"/>
      </w:rPr>
    </w:lvl>
    <w:lvl w:ilvl="6">
      <w:start w:val="1"/>
      <w:numFmt w:val="decimal"/>
      <w:lvlText w:val="%1.%2.%3.%4.%5.%6.%7"/>
      <w:lvlJc w:val="left"/>
      <w:pPr>
        <w:ind w:left="4164" w:hanging="1440"/>
      </w:pPr>
      <w:rPr>
        <w:rFonts w:hint="default"/>
      </w:rPr>
    </w:lvl>
    <w:lvl w:ilvl="7">
      <w:start w:val="1"/>
      <w:numFmt w:val="decimal"/>
      <w:lvlText w:val="%1.%2.%3.%4.%5.%6.%7.%8"/>
      <w:lvlJc w:val="left"/>
      <w:pPr>
        <w:ind w:left="4978" w:hanging="1800"/>
      </w:pPr>
      <w:rPr>
        <w:rFonts w:hint="default"/>
      </w:rPr>
    </w:lvl>
    <w:lvl w:ilvl="8">
      <w:start w:val="1"/>
      <w:numFmt w:val="decimal"/>
      <w:lvlText w:val="%1.%2.%3.%4.%5.%6.%7.%8.%9"/>
      <w:lvlJc w:val="left"/>
      <w:pPr>
        <w:ind w:left="5432" w:hanging="1800"/>
      </w:pPr>
      <w:rPr>
        <w:rFonts w:hint="default"/>
      </w:rPr>
    </w:lvl>
  </w:abstractNum>
  <w:abstractNum w:abstractNumId="2" w15:restartNumberingAfterBreak="0">
    <w:nsid w:val="2CA857D3"/>
    <w:multiLevelType w:val="hybridMultilevel"/>
    <w:tmpl w:val="E17833C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0976A1"/>
    <w:multiLevelType w:val="multilevel"/>
    <w:tmpl w:val="B3D8F47C"/>
    <w:lvl w:ilvl="0">
      <w:start w:val="3"/>
      <w:numFmt w:val="decimal"/>
      <w:lvlText w:val="%1"/>
      <w:lvlJc w:val="left"/>
      <w:pPr>
        <w:ind w:left="720" w:hanging="720"/>
      </w:pPr>
      <w:rPr>
        <w:rFonts w:hint="default"/>
      </w:rPr>
    </w:lvl>
    <w:lvl w:ilvl="1">
      <w:start w:val="1"/>
      <w:numFmt w:val="decimal"/>
      <w:lvlText w:val="%1.%2"/>
      <w:lvlJc w:val="left"/>
      <w:pPr>
        <w:ind w:left="852" w:hanging="720"/>
      </w:pPr>
      <w:rPr>
        <w:rFonts w:hint="default"/>
      </w:rPr>
    </w:lvl>
    <w:lvl w:ilvl="2">
      <w:start w:val="2"/>
      <w:numFmt w:val="decimal"/>
      <w:lvlText w:val="%1.%2.%3"/>
      <w:lvlJc w:val="left"/>
      <w:pPr>
        <w:ind w:left="984" w:hanging="720"/>
      </w:pPr>
      <w:rPr>
        <w:rFonts w:hint="default"/>
      </w:rPr>
    </w:lvl>
    <w:lvl w:ilvl="3">
      <w:start w:val="1"/>
      <w:numFmt w:val="decimal"/>
      <w:lvlText w:val="%1.%2.%3.%4"/>
      <w:lvlJc w:val="left"/>
      <w:pPr>
        <w:ind w:left="1116" w:hanging="720"/>
      </w:pPr>
      <w:rPr>
        <w:rFonts w:hint="default"/>
      </w:rPr>
    </w:lvl>
    <w:lvl w:ilvl="4">
      <w:start w:val="1"/>
      <w:numFmt w:val="decimal"/>
      <w:lvlText w:val="%1.%2.%3.%4.%5"/>
      <w:lvlJc w:val="left"/>
      <w:pPr>
        <w:ind w:left="1608" w:hanging="1080"/>
      </w:pPr>
      <w:rPr>
        <w:rFonts w:hint="default"/>
      </w:rPr>
    </w:lvl>
    <w:lvl w:ilvl="5">
      <w:start w:val="1"/>
      <w:numFmt w:val="decimal"/>
      <w:lvlText w:val="%1.%2.%3.%4.%5.%6"/>
      <w:lvlJc w:val="left"/>
      <w:pPr>
        <w:ind w:left="1740" w:hanging="1080"/>
      </w:pPr>
      <w:rPr>
        <w:rFonts w:hint="default"/>
      </w:rPr>
    </w:lvl>
    <w:lvl w:ilvl="6">
      <w:start w:val="1"/>
      <w:numFmt w:val="decimal"/>
      <w:lvlText w:val="%1.%2.%3.%4.%5.%6.%7"/>
      <w:lvlJc w:val="left"/>
      <w:pPr>
        <w:ind w:left="2232" w:hanging="1440"/>
      </w:pPr>
      <w:rPr>
        <w:rFonts w:hint="default"/>
      </w:rPr>
    </w:lvl>
    <w:lvl w:ilvl="7">
      <w:start w:val="1"/>
      <w:numFmt w:val="decimal"/>
      <w:lvlText w:val="%1.%2.%3.%4.%5.%6.%7.%8"/>
      <w:lvlJc w:val="left"/>
      <w:pPr>
        <w:ind w:left="2364" w:hanging="1440"/>
      </w:pPr>
      <w:rPr>
        <w:rFonts w:hint="default"/>
      </w:rPr>
    </w:lvl>
    <w:lvl w:ilvl="8">
      <w:start w:val="1"/>
      <w:numFmt w:val="decimal"/>
      <w:lvlText w:val="%1.%2.%3.%4.%5.%6.%7.%8.%9"/>
      <w:lvlJc w:val="left"/>
      <w:pPr>
        <w:ind w:left="2856" w:hanging="1800"/>
      </w:pPr>
      <w:rPr>
        <w:rFonts w:hint="default"/>
      </w:rPr>
    </w:lvl>
  </w:abstractNum>
  <w:abstractNum w:abstractNumId="4" w15:restartNumberingAfterBreak="0">
    <w:nsid w:val="7A573652"/>
    <w:multiLevelType w:val="multilevel"/>
    <w:tmpl w:val="5FD84C56"/>
    <w:lvl w:ilvl="0">
      <w:start w:val="3"/>
      <w:numFmt w:val="decimal"/>
      <w:lvlText w:val="%1"/>
      <w:lvlJc w:val="left"/>
      <w:pPr>
        <w:ind w:left="720" w:hanging="720"/>
      </w:pPr>
      <w:rPr>
        <w:rFonts w:hint="default"/>
      </w:rPr>
    </w:lvl>
    <w:lvl w:ilvl="1">
      <w:start w:val="1"/>
      <w:numFmt w:val="decimal"/>
      <w:lvlText w:val="%1.%2"/>
      <w:lvlJc w:val="left"/>
      <w:pPr>
        <w:ind w:left="852" w:hanging="720"/>
      </w:pPr>
      <w:rPr>
        <w:rFonts w:hint="default"/>
      </w:rPr>
    </w:lvl>
    <w:lvl w:ilvl="2">
      <w:start w:val="2"/>
      <w:numFmt w:val="decimal"/>
      <w:lvlText w:val="%1.%2.%3"/>
      <w:lvlJc w:val="left"/>
      <w:pPr>
        <w:ind w:left="984" w:hanging="720"/>
      </w:pPr>
      <w:rPr>
        <w:rFonts w:hint="default"/>
      </w:rPr>
    </w:lvl>
    <w:lvl w:ilvl="3">
      <w:start w:val="1"/>
      <w:numFmt w:val="decimal"/>
      <w:lvlText w:val="%1.%2.%3.%4"/>
      <w:lvlJc w:val="left"/>
      <w:pPr>
        <w:ind w:left="1116" w:hanging="720"/>
      </w:pPr>
      <w:rPr>
        <w:rFonts w:hint="default"/>
      </w:rPr>
    </w:lvl>
    <w:lvl w:ilvl="4">
      <w:start w:val="1"/>
      <w:numFmt w:val="decimal"/>
      <w:lvlText w:val="%1.%2.%3.%4.%5"/>
      <w:lvlJc w:val="left"/>
      <w:pPr>
        <w:ind w:left="1608" w:hanging="1080"/>
      </w:pPr>
      <w:rPr>
        <w:rFonts w:hint="default"/>
      </w:rPr>
    </w:lvl>
    <w:lvl w:ilvl="5">
      <w:start w:val="1"/>
      <w:numFmt w:val="decimal"/>
      <w:lvlText w:val="%1.%2.%3.%4.%5.%6"/>
      <w:lvlJc w:val="left"/>
      <w:pPr>
        <w:ind w:left="1740" w:hanging="1080"/>
      </w:pPr>
      <w:rPr>
        <w:rFonts w:hint="default"/>
      </w:rPr>
    </w:lvl>
    <w:lvl w:ilvl="6">
      <w:start w:val="1"/>
      <w:numFmt w:val="decimal"/>
      <w:lvlText w:val="%1.%2.%3.%4.%5.%6.%7"/>
      <w:lvlJc w:val="left"/>
      <w:pPr>
        <w:ind w:left="2232" w:hanging="1440"/>
      </w:pPr>
      <w:rPr>
        <w:rFonts w:hint="default"/>
      </w:rPr>
    </w:lvl>
    <w:lvl w:ilvl="7">
      <w:start w:val="1"/>
      <w:numFmt w:val="decimal"/>
      <w:lvlText w:val="%1.%2.%3.%4.%5.%6.%7.%8"/>
      <w:lvlJc w:val="left"/>
      <w:pPr>
        <w:ind w:left="2364" w:hanging="1440"/>
      </w:pPr>
      <w:rPr>
        <w:rFonts w:hint="default"/>
      </w:rPr>
    </w:lvl>
    <w:lvl w:ilvl="8">
      <w:start w:val="1"/>
      <w:numFmt w:val="decimal"/>
      <w:lvlText w:val="%1.%2.%3.%4.%5.%6.%7.%8.%9"/>
      <w:lvlJc w:val="left"/>
      <w:pPr>
        <w:ind w:left="2856" w:hanging="1800"/>
      </w:pPr>
      <w:rPr>
        <w:rFonts w:hint="default"/>
      </w:rPr>
    </w:lvl>
  </w:abstractNum>
  <w:abstractNum w:abstractNumId="5" w15:restartNumberingAfterBreak="0">
    <w:nsid w:val="7E7470DA"/>
    <w:multiLevelType w:val="multilevel"/>
    <w:tmpl w:val="5C70B290"/>
    <w:lvl w:ilvl="0">
      <w:start w:val="3"/>
      <w:numFmt w:val="decimal"/>
      <w:lvlText w:val="%1"/>
      <w:lvlJc w:val="left"/>
      <w:pPr>
        <w:ind w:left="720" w:hanging="720"/>
      </w:pPr>
      <w:rPr>
        <w:rFonts w:hint="default"/>
      </w:rPr>
    </w:lvl>
    <w:lvl w:ilvl="1">
      <w:start w:val="1"/>
      <w:numFmt w:val="decimal"/>
      <w:lvlText w:val="%1.%2"/>
      <w:lvlJc w:val="left"/>
      <w:pPr>
        <w:ind w:left="852" w:hanging="720"/>
      </w:pPr>
      <w:rPr>
        <w:rFonts w:hint="default"/>
      </w:rPr>
    </w:lvl>
    <w:lvl w:ilvl="2">
      <w:start w:val="2"/>
      <w:numFmt w:val="decimal"/>
      <w:lvlText w:val="%1.%2.%3"/>
      <w:lvlJc w:val="left"/>
      <w:pPr>
        <w:ind w:left="984" w:hanging="720"/>
      </w:pPr>
      <w:rPr>
        <w:rFonts w:hint="default"/>
      </w:rPr>
    </w:lvl>
    <w:lvl w:ilvl="3">
      <w:start w:val="2"/>
      <w:numFmt w:val="decimal"/>
      <w:lvlText w:val="%1.%2.%3.%4"/>
      <w:lvlJc w:val="left"/>
      <w:pPr>
        <w:ind w:left="1116" w:hanging="720"/>
      </w:pPr>
      <w:rPr>
        <w:rFonts w:hint="default"/>
      </w:rPr>
    </w:lvl>
    <w:lvl w:ilvl="4">
      <w:start w:val="1"/>
      <w:numFmt w:val="decimal"/>
      <w:lvlText w:val="%1.%2.%3.%4.%5"/>
      <w:lvlJc w:val="left"/>
      <w:pPr>
        <w:ind w:left="1608" w:hanging="1080"/>
      </w:pPr>
      <w:rPr>
        <w:rFonts w:hint="default"/>
      </w:rPr>
    </w:lvl>
    <w:lvl w:ilvl="5">
      <w:start w:val="1"/>
      <w:numFmt w:val="decimal"/>
      <w:lvlText w:val="%1.%2.%3.%4.%5.%6"/>
      <w:lvlJc w:val="left"/>
      <w:pPr>
        <w:ind w:left="1740" w:hanging="1080"/>
      </w:pPr>
      <w:rPr>
        <w:rFonts w:hint="default"/>
      </w:rPr>
    </w:lvl>
    <w:lvl w:ilvl="6">
      <w:start w:val="1"/>
      <w:numFmt w:val="decimal"/>
      <w:lvlText w:val="%1.%2.%3.%4.%5.%6.%7"/>
      <w:lvlJc w:val="left"/>
      <w:pPr>
        <w:ind w:left="2232" w:hanging="1440"/>
      </w:pPr>
      <w:rPr>
        <w:rFonts w:hint="default"/>
      </w:rPr>
    </w:lvl>
    <w:lvl w:ilvl="7">
      <w:start w:val="1"/>
      <w:numFmt w:val="decimal"/>
      <w:lvlText w:val="%1.%2.%3.%4.%5.%6.%7.%8"/>
      <w:lvlJc w:val="left"/>
      <w:pPr>
        <w:ind w:left="2364" w:hanging="1440"/>
      </w:pPr>
      <w:rPr>
        <w:rFonts w:hint="default"/>
      </w:rPr>
    </w:lvl>
    <w:lvl w:ilvl="8">
      <w:start w:val="1"/>
      <w:numFmt w:val="decimal"/>
      <w:lvlText w:val="%1.%2.%3.%4.%5.%6.%7.%8.%9"/>
      <w:lvlJc w:val="left"/>
      <w:pPr>
        <w:ind w:left="2856" w:hanging="1800"/>
      </w:pPr>
      <w:rPr>
        <w:rFonts w:hint="default"/>
      </w:r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2"/>
  <w:defaultTabStop w:val="720"/>
  <w:hyphenationZone w:val="425"/>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3AD0"/>
    <w:rsid w:val="00013B17"/>
    <w:rsid w:val="00014F59"/>
    <w:rsid w:val="00046572"/>
    <w:rsid w:val="0005109F"/>
    <w:rsid w:val="00064090"/>
    <w:rsid w:val="00087946"/>
    <w:rsid w:val="000A3433"/>
    <w:rsid w:val="0011395D"/>
    <w:rsid w:val="00131927"/>
    <w:rsid w:val="0013429D"/>
    <w:rsid w:val="00137E5E"/>
    <w:rsid w:val="00157AF8"/>
    <w:rsid w:val="00160C83"/>
    <w:rsid w:val="001636EF"/>
    <w:rsid w:val="00177984"/>
    <w:rsid w:val="001C2B19"/>
    <w:rsid w:val="001C5102"/>
    <w:rsid w:val="001E0D5E"/>
    <w:rsid w:val="00242A97"/>
    <w:rsid w:val="0024428D"/>
    <w:rsid w:val="00246791"/>
    <w:rsid w:val="002821D4"/>
    <w:rsid w:val="0028567F"/>
    <w:rsid w:val="002A71F2"/>
    <w:rsid w:val="002C4464"/>
    <w:rsid w:val="002D6BB2"/>
    <w:rsid w:val="002F5726"/>
    <w:rsid w:val="002F7FB9"/>
    <w:rsid w:val="003163A3"/>
    <w:rsid w:val="0037149B"/>
    <w:rsid w:val="00373AD0"/>
    <w:rsid w:val="003947E4"/>
    <w:rsid w:val="003A61EA"/>
    <w:rsid w:val="003C4892"/>
    <w:rsid w:val="003C6289"/>
    <w:rsid w:val="003D1DC1"/>
    <w:rsid w:val="003E4024"/>
    <w:rsid w:val="003E4DD0"/>
    <w:rsid w:val="003E79C2"/>
    <w:rsid w:val="003F62BC"/>
    <w:rsid w:val="00416ABF"/>
    <w:rsid w:val="004272F1"/>
    <w:rsid w:val="004310BC"/>
    <w:rsid w:val="00431EE2"/>
    <w:rsid w:val="0044004D"/>
    <w:rsid w:val="00495CE2"/>
    <w:rsid w:val="004B782B"/>
    <w:rsid w:val="004C69C8"/>
    <w:rsid w:val="005669E7"/>
    <w:rsid w:val="0058163B"/>
    <w:rsid w:val="005D3A44"/>
    <w:rsid w:val="00644CF9"/>
    <w:rsid w:val="006B396A"/>
    <w:rsid w:val="006C7C32"/>
    <w:rsid w:val="006D1138"/>
    <w:rsid w:val="006D277E"/>
    <w:rsid w:val="006E1872"/>
    <w:rsid w:val="007061C8"/>
    <w:rsid w:val="00755362"/>
    <w:rsid w:val="007B468F"/>
    <w:rsid w:val="00833740"/>
    <w:rsid w:val="00843EB7"/>
    <w:rsid w:val="008444A0"/>
    <w:rsid w:val="008660D9"/>
    <w:rsid w:val="00866AF6"/>
    <w:rsid w:val="00871E60"/>
    <w:rsid w:val="008A5472"/>
    <w:rsid w:val="008C5ADA"/>
    <w:rsid w:val="008D5D7A"/>
    <w:rsid w:val="008F019D"/>
    <w:rsid w:val="008F1E75"/>
    <w:rsid w:val="0091274D"/>
    <w:rsid w:val="009173F8"/>
    <w:rsid w:val="00926E79"/>
    <w:rsid w:val="00953919"/>
    <w:rsid w:val="00965607"/>
    <w:rsid w:val="00991D58"/>
    <w:rsid w:val="009A1426"/>
    <w:rsid w:val="009C471D"/>
    <w:rsid w:val="009C6D4F"/>
    <w:rsid w:val="009D0A2F"/>
    <w:rsid w:val="009F51A1"/>
    <w:rsid w:val="00A11BCD"/>
    <w:rsid w:val="00A23DE8"/>
    <w:rsid w:val="00A76550"/>
    <w:rsid w:val="00AC5B7C"/>
    <w:rsid w:val="00AD42CF"/>
    <w:rsid w:val="00AE1047"/>
    <w:rsid w:val="00B10DCD"/>
    <w:rsid w:val="00B25651"/>
    <w:rsid w:val="00B56BEF"/>
    <w:rsid w:val="00B66377"/>
    <w:rsid w:val="00B81C05"/>
    <w:rsid w:val="00B87250"/>
    <w:rsid w:val="00B9080F"/>
    <w:rsid w:val="00BE546B"/>
    <w:rsid w:val="00BE58A1"/>
    <w:rsid w:val="00C2535D"/>
    <w:rsid w:val="00C412DF"/>
    <w:rsid w:val="00C42C0F"/>
    <w:rsid w:val="00C65EE9"/>
    <w:rsid w:val="00CB09C5"/>
    <w:rsid w:val="00CB18B3"/>
    <w:rsid w:val="00CC5EA9"/>
    <w:rsid w:val="00CD3D6A"/>
    <w:rsid w:val="00CD45B5"/>
    <w:rsid w:val="00D13C2D"/>
    <w:rsid w:val="00D14BA4"/>
    <w:rsid w:val="00D4557F"/>
    <w:rsid w:val="00D531B8"/>
    <w:rsid w:val="00DB28E9"/>
    <w:rsid w:val="00DC129F"/>
    <w:rsid w:val="00DE13FE"/>
    <w:rsid w:val="00E00163"/>
    <w:rsid w:val="00E20E2D"/>
    <w:rsid w:val="00E45328"/>
    <w:rsid w:val="00E53B82"/>
    <w:rsid w:val="00E605FD"/>
    <w:rsid w:val="00E618F7"/>
    <w:rsid w:val="00E6305D"/>
    <w:rsid w:val="00E8590D"/>
    <w:rsid w:val="00EB165C"/>
    <w:rsid w:val="00EF226D"/>
    <w:rsid w:val="00F133A0"/>
    <w:rsid w:val="00F6176D"/>
    <w:rsid w:val="00FB0A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F6BEB18"/>
  <w15:chartTrackingRefBased/>
  <w15:docId w15:val="{07DA2EE9-E4A9-47F6-97DA-FDA700073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73AD0"/>
    <w:pPr>
      <w:spacing w:line="360" w:lineRule="auto"/>
      <w:ind w:firstLine="397"/>
      <w:jc w:val="both"/>
    </w:pPr>
    <w:rPr>
      <w:rFonts w:ascii="Times New Roman" w:hAnsi="Times New Roman"/>
      <w:sz w:val="25"/>
    </w:rPr>
  </w:style>
  <w:style w:type="paragraph" w:styleId="Overskrift1">
    <w:name w:val="heading 1"/>
    <w:basedOn w:val="Normal"/>
    <w:next w:val="Normal"/>
    <w:link w:val="Overskrift1Tegn"/>
    <w:uiPriority w:val="9"/>
    <w:qFormat/>
    <w:rsid w:val="00373AD0"/>
    <w:pPr>
      <w:keepNext/>
      <w:keepLines/>
      <w:spacing w:before="240" w:after="0"/>
      <w:outlineLvl w:val="0"/>
    </w:pPr>
    <w:rPr>
      <w:rFonts w:eastAsiaTheme="majorEastAsia" w:cstheme="majorBidi"/>
      <w:color w:val="000000" w:themeColor="text1"/>
      <w:sz w:val="32"/>
      <w:szCs w:val="32"/>
    </w:rPr>
  </w:style>
  <w:style w:type="paragraph" w:styleId="Overskrift2">
    <w:name w:val="heading 2"/>
    <w:basedOn w:val="Normal"/>
    <w:next w:val="Normal"/>
    <w:link w:val="Overskrift2Tegn"/>
    <w:uiPriority w:val="9"/>
    <w:unhideWhenUsed/>
    <w:qFormat/>
    <w:rsid w:val="00373AD0"/>
    <w:pPr>
      <w:keepNext/>
      <w:keepLines/>
      <w:spacing w:before="40" w:after="0"/>
      <w:outlineLvl w:val="1"/>
    </w:pPr>
    <w:rPr>
      <w:rFonts w:eastAsiaTheme="majorEastAsia" w:cstheme="majorBidi"/>
      <w:color w:val="000000" w:themeColor="text1"/>
      <w:sz w:val="26"/>
      <w:szCs w:val="26"/>
    </w:rPr>
  </w:style>
  <w:style w:type="paragraph" w:styleId="Overskrift3">
    <w:name w:val="heading 3"/>
    <w:basedOn w:val="Normal"/>
    <w:next w:val="Normal"/>
    <w:link w:val="Overskrift3Tegn"/>
    <w:uiPriority w:val="9"/>
    <w:unhideWhenUsed/>
    <w:qFormat/>
    <w:rsid w:val="00373AD0"/>
    <w:pPr>
      <w:keepNext/>
      <w:keepLines/>
      <w:spacing w:before="40" w:after="0"/>
      <w:outlineLvl w:val="2"/>
    </w:pPr>
    <w:rPr>
      <w:rFonts w:eastAsiaTheme="majorEastAsia" w:cstheme="majorBidi"/>
      <w:color w:val="000000" w:themeColor="text1"/>
      <w:sz w:val="24"/>
      <w:szCs w:val="24"/>
    </w:rPr>
  </w:style>
  <w:style w:type="paragraph" w:styleId="Overskrift4">
    <w:name w:val="heading 4"/>
    <w:basedOn w:val="Normal"/>
    <w:next w:val="Normal"/>
    <w:link w:val="Overskrift4Tegn"/>
    <w:uiPriority w:val="9"/>
    <w:unhideWhenUsed/>
    <w:qFormat/>
    <w:rsid w:val="00373AD0"/>
    <w:pPr>
      <w:keepNext/>
      <w:keepLines/>
      <w:spacing w:before="40" w:after="0"/>
      <w:outlineLvl w:val="3"/>
    </w:pPr>
    <w:rPr>
      <w:rFonts w:eastAsiaTheme="majorEastAsia" w:cstheme="majorBidi"/>
      <w:i/>
      <w:iCs/>
    </w:rPr>
  </w:style>
  <w:style w:type="character" w:default="1" w:styleId="Standardskriftforavsnitt">
    <w:name w:val="Default Paragraph Font"/>
    <w:uiPriority w:val="1"/>
    <w:semiHidden/>
    <w:unhideWhenUsed/>
  </w:style>
  <w:style w:type="table" w:default="1" w:styleId="Vanligtabell">
    <w:name w:val="Normal Table"/>
    <w:uiPriority w:val="99"/>
    <w:semiHidden/>
    <w:unhideWhenUsed/>
    <w:tblPr>
      <w:tblInd w:w="0" w:type="dxa"/>
      <w:tblCellMar>
        <w:top w:w="0" w:type="dxa"/>
        <w:left w:w="108" w:type="dxa"/>
        <w:bottom w:w="0" w:type="dxa"/>
        <w:right w:w="108" w:type="dxa"/>
      </w:tblCellMar>
    </w:tblPr>
  </w:style>
  <w:style w:type="numbering" w:default="1" w:styleId="Ingenliste">
    <w:name w:val="No List"/>
    <w:uiPriority w:val="99"/>
    <w:semiHidden/>
    <w:unhideWhenUsed/>
  </w:style>
  <w:style w:type="character" w:customStyle="1" w:styleId="Overskrift1Tegn">
    <w:name w:val="Overskrift 1 Tegn"/>
    <w:basedOn w:val="Standardskriftforavsnitt"/>
    <w:link w:val="Overskrift1"/>
    <w:uiPriority w:val="9"/>
    <w:rsid w:val="00373AD0"/>
    <w:rPr>
      <w:rFonts w:ascii="Times New Roman" w:eastAsiaTheme="majorEastAsia" w:hAnsi="Times New Roman" w:cstheme="majorBidi"/>
      <w:color w:val="000000" w:themeColor="text1"/>
      <w:sz w:val="32"/>
      <w:szCs w:val="32"/>
    </w:rPr>
  </w:style>
  <w:style w:type="character" w:customStyle="1" w:styleId="Overskrift2Tegn">
    <w:name w:val="Overskrift 2 Tegn"/>
    <w:basedOn w:val="Standardskriftforavsnitt"/>
    <w:link w:val="Overskrift2"/>
    <w:uiPriority w:val="9"/>
    <w:rsid w:val="00373AD0"/>
    <w:rPr>
      <w:rFonts w:ascii="Times New Roman" w:eastAsiaTheme="majorEastAsia" w:hAnsi="Times New Roman" w:cstheme="majorBidi"/>
      <w:color w:val="000000" w:themeColor="text1"/>
      <w:sz w:val="26"/>
      <w:szCs w:val="26"/>
    </w:rPr>
  </w:style>
  <w:style w:type="character" w:customStyle="1" w:styleId="Overskrift3Tegn">
    <w:name w:val="Overskrift 3 Tegn"/>
    <w:basedOn w:val="Standardskriftforavsnitt"/>
    <w:link w:val="Overskrift3"/>
    <w:uiPriority w:val="9"/>
    <w:rsid w:val="00373AD0"/>
    <w:rPr>
      <w:rFonts w:ascii="Times New Roman" w:eastAsiaTheme="majorEastAsia" w:hAnsi="Times New Roman" w:cstheme="majorBidi"/>
      <w:color w:val="000000" w:themeColor="text1"/>
      <w:sz w:val="24"/>
      <w:szCs w:val="24"/>
    </w:rPr>
  </w:style>
  <w:style w:type="character" w:customStyle="1" w:styleId="Overskrift4Tegn">
    <w:name w:val="Overskrift 4 Tegn"/>
    <w:basedOn w:val="Standardskriftforavsnitt"/>
    <w:link w:val="Overskrift4"/>
    <w:uiPriority w:val="9"/>
    <w:rsid w:val="00373AD0"/>
    <w:rPr>
      <w:rFonts w:ascii="Times New Roman" w:eastAsiaTheme="majorEastAsia" w:hAnsi="Times New Roman" w:cstheme="majorBidi"/>
      <w:i/>
      <w:iCs/>
      <w:sz w:val="25"/>
    </w:rPr>
  </w:style>
  <w:style w:type="paragraph" w:styleId="Ingenmellomrom">
    <w:name w:val="No Spacing"/>
    <w:link w:val="IngenmellomromTegn"/>
    <w:uiPriority w:val="1"/>
    <w:qFormat/>
    <w:rsid w:val="00373AD0"/>
    <w:pPr>
      <w:spacing w:after="0" w:line="240" w:lineRule="auto"/>
    </w:pPr>
    <w:rPr>
      <w:rFonts w:eastAsiaTheme="minorEastAsia"/>
      <w:lang w:val="en-US"/>
    </w:rPr>
  </w:style>
  <w:style w:type="character" w:customStyle="1" w:styleId="IngenmellomromTegn">
    <w:name w:val="Ingen mellomrom Tegn"/>
    <w:basedOn w:val="Standardskriftforavsnitt"/>
    <w:link w:val="Ingenmellomrom"/>
    <w:uiPriority w:val="1"/>
    <w:rsid w:val="00373AD0"/>
    <w:rPr>
      <w:rFonts w:eastAsiaTheme="minorEastAsia"/>
      <w:lang w:val="en-US"/>
    </w:rPr>
  </w:style>
  <w:style w:type="paragraph" w:styleId="Listeavsnitt">
    <w:name w:val="List Paragraph"/>
    <w:basedOn w:val="Normal"/>
    <w:uiPriority w:val="34"/>
    <w:qFormat/>
    <w:rsid w:val="00373AD0"/>
    <w:pPr>
      <w:ind w:left="720"/>
      <w:contextualSpacing/>
    </w:pPr>
  </w:style>
  <w:style w:type="paragraph" w:styleId="Topptekst">
    <w:name w:val="header"/>
    <w:basedOn w:val="Normal"/>
    <w:link w:val="TopptekstTegn"/>
    <w:uiPriority w:val="99"/>
    <w:unhideWhenUsed/>
    <w:rsid w:val="00373AD0"/>
    <w:pPr>
      <w:tabs>
        <w:tab w:val="center" w:pos="4513"/>
        <w:tab w:val="right" w:pos="9026"/>
      </w:tabs>
      <w:spacing w:after="0" w:line="240" w:lineRule="auto"/>
    </w:pPr>
  </w:style>
  <w:style w:type="character" w:customStyle="1" w:styleId="TopptekstTegn">
    <w:name w:val="Topptekst Tegn"/>
    <w:basedOn w:val="Standardskriftforavsnitt"/>
    <w:link w:val="Topptekst"/>
    <w:uiPriority w:val="99"/>
    <w:rsid w:val="00373AD0"/>
    <w:rPr>
      <w:rFonts w:ascii="Times New Roman" w:hAnsi="Times New Roman"/>
      <w:sz w:val="25"/>
    </w:rPr>
  </w:style>
  <w:style w:type="paragraph" w:styleId="Bunntekst">
    <w:name w:val="footer"/>
    <w:basedOn w:val="Normal"/>
    <w:link w:val="BunntekstTegn"/>
    <w:uiPriority w:val="99"/>
    <w:unhideWhenUsed/>
    <w:rsid w:val="00373AD0"/>
    <w:pPr>
      <w:tabs>
        <w:tab w:val="center" w:pos="4513"/>
        <w:tab w:val="right" w:pos="9026"/>
      </w:tabs>
      <w:spacing w:after="0" w:line="240" w:lineRule="auto"/>
    </w:pPr>
  </w:style>
  <w:style w:type="character" w:customStyle="1" w:styleId="BunntekstTegn">
    <w:name w:val="Bunntekst Tegn"/>
    <w:basedOn w:val="Standardskriftforavsnitt"/>
    <w:link w:val="Bunntekst"/>
    <w:uiPriority w:val="99"/>
    <w:rsid w:val="00373AD0"/>
    <w:rPr>
      <w:rFonts w:ascii="Times New Roman" w:hAnsi="Times New Roman"/>
      <w:sz w:val="25"/>
    </w:rPr>
  </w:style>
  <w:style w:type="table" w:styleId="Rutenettabell4">
    <w:name w:val="Grid Table 4"/>
    <w:basedOn w:val="Vanligtabell"/>
    <w:uiPriority w:val="49"/>
    <w:rsid w:val="00373AD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ildetekst">
    <w:name w:val="caption"/>
    <w:basedOn w:val="Normal"/>
    <w:next w:val="Normal"/>
    <w:uiPriority w:val="35"/>
    <w:unhideWhenUsed/>
    <w:qFormat/>
    <w:rsid w:val="00373AD0"/>
    <w:pPr>
      <w:spacing w:after="200" w:line="240" w:lineRule="auto"/>
      <w:jc w:val="center"/>
    </w:pPr>
    <w:rPr>
      <w:b/>
      <w:i/>
      <w:iCs/>
      <w:sz w:val="18"/>
      <w:szCs w:val="18"/>
    </w:rPr>
  </w:style>
  <w:style w:type="paragraph" w:styleId="Overskriftforinnholdsfortegnelse">
    <w:name w:val="TOC Heading"/>
    <w:basedOn w:val="Overskrift1"/>
    <w:next w:val="Normal"/>
    <w:uiPriority w:val="39"/>
    <w:unhideWhenUsed/>
    <w:qFormat/>
    <w:rsid w:val="00373AD0"/>
    <w:pPr>
      <w:spacing w:line="259" w:lineRule="auto"/>
      <w:ind w:firstLine="0"/>
      <w:outlineLvl w:val="9"/>
    </w:pPr>
    <w:rPr>
      <w:color w:val="2E74B5" w:themeColor="accent1" w:themeShade="BF"/>
      <w:lang w:val="en-US"/>
    </w:rPr>
  </w:style>
  <w:style w:type="paragraph" w:styleId="INNH1">
    <w:name w:val="toc 1"/>
    <w:basedOn w:val="Normal"/>
    <w:next w:val="Normal"/>
    <w:autoRedefine/>
    <w:uiPriority w:val="39"/>
    <w:unhideWhenUsed/>
    <w:rsid w:val="00373AD0"/>
    <w:pPr>
      <w:spacing w:after="100"/>
    </w:pPr>
  </w:style>
  <w:style w:type="paragraph" w:styleId="INNH2">
    <w:name w:val="toc 2"/>
    <w:basedOn w:val="Normal"/>
    <w:next w:val="Normal"/>
    <w:autoRedefine/>
    <w:uiPriority w:val="39"/>
    <w:unhideWhenUsed/>
    <w:rsid w:val="00373AD0"/>
    <w:pPr>
      <w:spacing w:after="100"/>
      <w:ind w:left="250"/>
    </w:pPr>
  </w:style>
  <w:style w:type="paragraph" w:styleId="INNH3">
    <w:name w:val="toc 3"/>
    <w:basedOn w:val="Normal"/>
    <w:next w:val="Normal"/>
    <w:autoRedefine/>
    <w:uiPriority w:val="39"/>
    <w:unhideWhenUsed/>
    <w:rsid w:val="00373AD0"/>
    <w:pPr>
      <w:spacing w:after="100"/>
      <w:ind w:left="500"/>
    </w:pPr>
  </w:style>
  <w:style w:type="character" w:styleId="Hyperkobling">
    <w:name w:val="Hyperlink"/>
    <w:basedOn w:val="Standardskriftforavsnitt"/>
    <w:uiPriority w:val="99"/>
    <w:unhideWhenUsed/>
    <w:rsid w:val="00373AD0"/>
    <w:rPr>
      <w:color w:val="0563C1" w:themeColor="hyperlink"/>
      <w:u w:val="single"/>
    </w:rPr>
  </w:style>
  <w:style w:type="table" w:styleId="Vanligtabell5">
    <w:name w:val="Plain Table 5"/>
    <w:basedOn w:val="Vanligtabell"/>
    <w:uiPriority w:val="45"/>
    <w:rsid w:val="00373AD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Figurliste">
    <w:name w:val="table of figures"/>
    <w:basedOn w:val="Normal"/>
    <w:next w:val="Normal"/>
    <w:uiPriority w:val="99"/>
    <w:unhideWhenUsed/>
    <w:rsid w:val="00373AD0"/>
    <w:pPr>
      <w:spacing w:after="0"/>
    </w:pPr>
  </w:style>
  <w:style w:type="paragraph" w:styleId="INNH4">
    <w:name w:val="toc 4"/>
    <w:basedOn w:val="Normal"/>
    <w:next w:val="Normal"/>
    <w:autoRedefine/>
    <w:uiPriority w:val="39"/>
    <w:unhideWhenUsed/>
    <w:rsid w:val="00373AD0"/>
    <w:pPr>
      <w:spacing w:after="100"/>
      <w:ind w:left="750"/>
    </w:pPr>
  </w:style>
  <w:style w:type="table" w:styleId="Tabellrutenett">
    <w:name w:val="Table Grid"/>
    <w:basedOn w:val="Vanligtabell"/>
    <w:uiPriority w:val="39"/>
    <w:rsid w:val="000640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Rutenettabell1lys">
    <w:name w:val="Grid Table 1 Light"/>
    <w:basedOn w:val="Vanligtabell"/>
    <w:uiPriority w:val="46"/>
    <w:rsid w:val="006C7C3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header" Target="header4.xml"/><Relationship Id="rId26" Type="http://schemas.openxmlformats.org/officeDocument/2006/relationships/image" Target="media/image6.png"/><Relationship Id="rId39" Type="http://schemas.openxmlformats.org/officeDocument/2006/relationships/image" Target="media/image19.png"/><Relationship Id="rId21" Type="http://schemas.openxmlformats.org/officeDocument/2006/relationships/footer" Target="footer5.xml"/><Relationship Id="rId34" Type="http://schemas.openxmlformats.org/officeDocument/2006/relationships/image" Target="media/image14.png"/><Relationship Id="rId42" Type="http://schemas.openxmlformats.org/officeDocument/2006/relationships/image" Target="media/image22.png"/><Relationship Id="rId47" Type="http://schemas.openxmlformats.org/officeDocument/2006/relationships/image" Target="media/image27.png"/><Relationship Id="rId50" Type="http://schemas.openxmlformats.org/officeDocument/2006/relationships/image" Target="media/image30.png"/><Relationship Id="rId55" Type="http://schemas.openxmlformats.org/officeDocument/2006/relationships/header" Target="header7.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uowtsd-my.sharepoint.com/personal/lhavro_147450_student_uwtsd_ac_uk/Documents/Energy%20and%20waste%20assignment%20draft%205.docx" TargetMode="External"/><Relationship Id="rId29" Type="http://schemas.openxmlformats.org/officeDocument/2006/relationships/image" Target="media/image9.png"/><Relationship Id="rId11" Type="http://schemas.openxmlformats.org/officeDocument/2006/relationships/footer" Target="footer1.xml"/><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image" Target="media/image20.png"/><Relationship Id="rId45" Type="http://schemas.openxmlformats.org/officeDocument/2006/relationships/image" Target="media/image25.png"/><Relationship Id="rId53" Type="http://schemas.openxmlformats.org/officeDocument/2006/relationships/header" Target="header6.xm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footer" Target="footer4.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png"/><Relationship Id="rId43" Type="http://schemas.openxmlformats.org/officeDocument/2006/relationships/image" Target="media/image23.png"/><Relationship Id="rId48" Type="http://schemas.openxmlformats.org/officeDocument/2006/relationships/image" Target="media/image28.png"/><Relationship Id="rId56" Type="http://schemas.openxmlformats.org/officeDocument/2006/relationships/footer" Target="footer7.xml"/><Relationship Id="rId8" Type="http://schemas.openxmlformats.org/officeDocument/2006/relationships/image" Target="media/image1.jpeg"/><Relationship Id="rId51" Type="http://schemas.openxmlformats.org/officeDocument/2006/relationships/image" Target="media/image31.pn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hyperlink" Target="https://uowtsd-my.sharepoint.com/personal/lhavro_147450_student_uwtsd_ac_uk/Documents/Energy%20and%20waste%20assignment%20draft%205.docx" TargetMode="External"/><Relationship Id="rId25" Type="http://schemas.openxmlformats.org/officeDocument/2006/relationships/image" Target="media/image5.png"/><Relationship Id="rId33" Type="http://schemas.openxmlformats.org/officeDocument/2006/relationships/image" Target="media/image13.png"/><Relationship Id="rId38" Type="http://schemas.openxmlformats.org/officeDocument/2006/relationships/image" Target="media/image18.png"/><Relationship Id="rId46" Type="http://schemas.openxmlformats.org/officeDocument/2006/relationships/image" Target="media/image26.png"/><Relationship Id="rId20" Type="http://schemas.openxmlformats.org/officeDocument/2006/relationships/header" Target="header5.xml"/><Relationship Id="rId41" Type="http://schemas.openxmlformats.org/officeDocument/2006/relationships/image" Target="media/image21.png"/><Relationship Id="rId54"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uowtsd-my.sharepoint.com/personal/lhavro_147450_student_uwtsd_ac_uk/Documents/Energy%20and%20waste%20assignment%20draft%205.docx"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image" Target="media/image16.png"/><Relationship Id="rId49" Type="http://schemas.openxmlformats.org/officeDocument/2006/relationships/image" Target="media/image29.png"/><Relationship Id="rId57" Type="http://schemas.openxmlformats.org/officeDocument/2006/relationships/fontTable" Target="fontTable.xml"/><Relationship Id="rId10" Type="http://schemas.openxmlformats.org/officeDocument/2006/relationships/header" Target="header2.xml"/><Relationship Id="rId31" Type="http://schemas.openxmlformats.org/officeDocument/2006/relationships/image" Target="media/image11.png"/><Relationship Id="rId44" Type="http://schemas.openxmlformats.org/officeDocument/2006/relationships/image" Target="media/image24.png"/><Relationship Id="rId52"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17249F-C092-4056-8536-68D64CF74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37</Pages>
  <Words>35120</Words>
  <Characters>186136</Characters>
  <Application>Microsoft Office Word</Application>
  <DocSecurity>0</DocSecurity>
  <Lines>1551</Lines>
  <Paragraphs>441</Paragraphs>
  <ScaleCrop>false</ScaleCrop>
  <HeadingPairs>
    <vt:vector size="4" baseType="variant">
      <vt:variant>
        <vt:lpstr>Tittel</vt:lpstr>
      </vt:variant>
      <vt:variant>
        <vt:i4>1</vt:i4>
      </vt:variant>
      <vt:variant>
        <vt:lpstr>Title</vt:lpstr>
      </vt:variant>
      <vt:variant>
        <vt:i4>1</vt:i4>
      </vt:variant>
    </vt:vector>
  </HeadingPairs>
  <TitlesOfParts>
    <vt:vector size="2" baseType="lpstr">
      <vt:lpstr>Comparative analysis of energy and waste from Nuclear and Renewable electricity generation technologies</vt:lpstr>
      <vt:lpstr>Comparative analysis of energy and waste from Nuclear and Renewable electricity generation technologies</vt:lpstr>
    </vt:vector>
  </TitlesOfParts>
  <Company>University of Wales Trinity Saint David</Company>
  <LinksUpToDate>false</LinksUpToDate>
  <CharactersWithSpaces>220815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Comparative analysis of energy and waste from Nuclear and Renewable electricity generation technologies</dc:title>
  <dc:subject/>
  <dc:creator>Lars Ivar Nitter Havro</dc:creator>
  <cp:keywords/>
  <dc:description/>
  <cp:lastModifiedBy>Lars Nitter</cp:lastModifiedBy>
  <cp:revision>2</cp:revision>
  <dcterms:created xsi:type="dcterms:W3CDTF">2018-02-13T23:31:00Z</dcterms:created>
  <dcterms:modified xsi:type="dcterms:W3CDTF">2018-02-13T23:31:00Z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http://www.zotero.org/styles/ieee</vt:lpwstr>
  </property>
  <property fmtid="{D5CDD505-2E9C-101B-9397-08002B2CF9AE}" pid="13" name="Mendeley Recent Style Name 5_1">
    <vt:lpwstr>IEEE</vt:lpwstr>
  </property>
  <property fmtid="{D5CDD505-2E9C-101B-9397-08002B2CF9AE}" pid="14" name="Mendeley Recent Style Id 6_1">
    <vt:lpwstr>http://www.zotero.org/styles/modern-humanities-research-association</vt:lpwstr>
  </property>
  <property fmtid="{D5CDD505-2E9C-101B-9397-08002B2CF9AE}" pid="15" name="Mendeley Recent Style Name 6_1">
    <vt:lpwstr>Modern Humanities Research Association 3rd edition (note with bibliography)</vt:lpwstr>
  </property>
  <property fmtid="{D5CDD505-2E9C-101B-9397-08002B2CF9AE}" pid="16" name="Mendeley Recent Style Id 7_1">
    <vt:lpwstr>http://www.zotero.org/styles/modern-language-association</vt:lpwstr>
  </property>
  <property fmtid="{D5CDD505-2E9C-101B-9397-08002B2CF9AE}" pid="17" name="Mendeley Recent Style Name 7_1">
    <vt:lpwstr>Modern Language Association 8th edition</vt:lpwstr>
  </property>
  <property fmtid="{D5CDD505-2E9C-101B-9397-08002B2CF9AE}" pid="18" name="Mendeley Recent Style Id 8_1">
    <vt:lpwstr>http://www.zotero.org/styles/nature</vt:lpwstr>
  </property>
  <property fmtid="{D5CDD505-2E9C-101B-9397-08002B2CF9AE}" pid="19" name="Mendeley Recent Style Name 8_1">
    <vt:lpwstr>Nature</vt:lpwstr>
  </property>
  <property fmtid="{D5CDD505-2E9C-101B-9397-08002B2CF9AE}" pid="20" name="Mendeley Recent Style Id 9_1">
    <vt:lpwstr>http://www.zotero.org/styles/harvard-university-of-the-west-of-england</vt:lpwstr>
  </property>
  <property fmtid="{D5CDD505-2E9C-101B-9397-08002B2CF9AE}" pid="21" name="Mendeley Recent Style Name 9_1">
    <vt:lpwstr>University of the West of England (Bristol) - Harvard</vt:lpwstr>
  </property>
  <property fmtid="{D5CDD505-2E9C-101B-9397-08002B2CF9AE}" pid="22" name="Mendeley Document_1">
    <vt:lpwstr>True</vt:lpwstr>
  </property>
  <property fmtid="{D5CDD505-2E9C-101B-9397-08002B2CF9AE}" pid="23" name="Mendeley Unique User Id_1">
    <vt:lpwstr>313edb9d-e2ec-38c9-a121-3e3e58e1d13b</vt:lpwstr>
  </property>
  <property fmtid="{D5CDD505-2E9C-101B-9397-08002B2CF9AE}" pid="24" name="Mendeley Citation Style_1">
    <vt:lpwstr>http://www.zotero.org/styles/apa</vt:lpwstr>
  </property>
</Properties>
</file>