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A34DF" w14:textId="77777777" w:rsidR="00864067" w:rsidRPr="00BD7B7F" w:rsidRDefault="00864067" w:rsidP="00023B51">
      <w:pPr>
        <w:jc w:val="center"/>
      </w:pPr>
    </w:p>
    <w:p w14:paraId="5923FB7F" w14:textId="77777777" w:rsidR="00864067" w:rsidRPr="00BD7B7F" w:rsidRDefault="00864067" w:rsidP="00023B51">
      <w:pPr>
        <w:jc w:val="center"/>
      </w:pPr>
    </w:p>
    <w:p w14:paraId="4C572BA4" w14:textId="755C0D93" w:rsidR="00B6244F" w:rsidRPr="00BD7B7F" w:rsidRDefault="002B1448" w:rsidP="00023B51">
      <w:pPr>
        <w:jc w:val="center"/>
      </w:pPr>
      <w:r>
        <w:rPr>
          <w:noProof/>
        </w:rPr>
        <w:drawing>
          <wp:inline distT="0" distB="0" distL="0" distR="0" wp14:anchorId="6781A40E" wp14:editId="31E98D4E">
            <wp:extent cx="4514850" cy="2257425"/>
            <wp:effectExtent l="0" t="0" r="0" b="9525"/>
            <wp:docPr id="6717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1998" name="Picture 67171998"/>
                    <pic:cNvPicPr/>
                  </pic:nvPicPr>
                  <pic:blipFill>
                    <a:blip r:embed="rId6">
                      <a:extLst>
                        <a:ext uri="{28A0092B-C50C-407E-A947-70E740481C1C}">
                          <a14:useLocalDpi xmlns:a14="http://schemas.microsoft.com/office/drawing/2010/main" val="0"/>
                        </a:ext>
                      </a:extLst>
                    </a:blip>
                    <a:stretch>
                      <a:fillRect/>
                    </a:stretch>
                  </pic:blipFill>
                  <pic:spPr>
                    <a:xfrm>
                      <a:off x="0" y="0"/>
                      <a:ext cx="4514850" cy="2257425"/>
                    </a:xfrm>
                    <a:prstGeom prst="rect">
                      <a:avLst/>
                    </a:prstGeom>
                  </pic:spPr>
                </pic:pic>
              </a:graphicData>
            </a:graphic>
          </wp:inline>
        </w:drawing>
      </w:r>
    </w:p>
    <w:p w14:paraId="5DB02D4D" w14:textId="77777777" w:rsidR="00B6244F" w:rsidRPr="00BD7B7F" w:rsidRDefault="00B6244F"/>
    <w:p w14:paraId="48FADE8E" w14:textId="16759CED" w:rsidR="00B6244F" w:rsidRPr="00BD7B7F" w:rsidRDefault="00002AA9" w:rsidP="00002AA9">
      <w:pPr>
        <w:jc w:val="center"/>
        <w:rPr>
          <w:rFonts w:ascii="Arial" w:hAnsi="Arial" w:cs="Arial"/>
          <w:b/>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D7B7F">
        <w:rPr>
          <w:rFonts w:ascii="Arial" w:hAnsi="Arial" w:cs="Arial"/>
          <w:b/>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BANKING FINANCIAL MANAGEMENT AND FINANCIAL MARKETS</w:t>
      </w:r>
    </w:p>
    <w:p w14:paraId="2F60CE94" w14:textId="77777777" w:rsidR="00B6244F" w:rsidRPr="00BD7B7F" w:rsidRDefault="00B6244F"/>
    <w:p w14:paraId="734DFBBB" w14:textId="77777777" w:rsidR="00E35EDE" w:rsidRPr="00BD7B7F" w:rsidRDefault="00E35EDE"/>
    <w:p w14:paraId="6B66FF80" w14:textId="77777777" w:rsidR="00E35EDE" w:rsidRDefault="00E35EDE"/>
    <w:p w14:paraId="045D0496" w14:textId="77777777" w:rsidR="002B1448" w:rsidRDefault="002B1448"/>
    <w:p w14:paraId="437E45F5" w14:textId="77777777" w:rsidR="002B1448" w:rsidRDefault="002B1448"/>
    <w:p w14:paraId="095330C4" w14:textId="77777777" w:rsidR="002B1448" w:rsidRDefault="002B1448"/>
    <w:p w14:paraId="586C7F23" w14:textId="77777777" w:rsidR="00E35EDE" w:rsidRPr="00BD7B7F" w:rsidRDefault="00E35EDE"/>
    <w:p w14:paraId="6C287ADD" w14:textId="77777777" w:rsidR="00E35EDE" w:rsidRPr="00BD7B7F" w:rsidRDefault="00E35EDE"/>
    <w:p w14:paraId="124CA97E" w14:textId="5F949237" w:rsidR="002B1448" w:rsidRPr="002B1448" w:rsidRDefault="002B1448" w:rsidP="002B1448">
      <w:pPr>
        <w:rPr>
          <w:rFonts w:ascii="Times New Roman" w:hAnsi="Times New Roman" w:cs="Times New Roman"/>
          <w:sz w:val="36"/>
          <w:szCs w:val="36"/>
        </w:rPr>
      </w:pPr>
      <w:r>
        <w:rPr>
          <w:rFonts w:ascii="Times New Roman" w:hAnsi="Times New Roman" w:cs="Times New Roman"/>
          <w:sz w:val="36"/>
          <w:szCs w:val="36"/>
        </w:rPr>
        <w:t>N</w:t>
      </w:r>
      <w:r w:rsidRPr="002B1448">
        <w:rPr>
          <w:rFonts w:ascii="Times New Roman" w:hAnsi="Times New Roman" w:cs="Times New Roman"/>
          <w:sz w:val="36"/>
          <w:szCs w:val="36"/>
        </w:rPr>
        <w:t>AME: BADAGOWNI SRAVANA LAKSHMI</w:t>
      </w:r>
    </w:p>
    <w:p w14:paraId="220EFB86" w14:textId="77777777" w:rsidR="002B1448" w:rsidRPr="002B1448" w:rsidRDefault="002B1448" w:rsidP="002B1448">
      <w:pPr>
        <w:rPr>
          <w:rFonts w:ascii="Times New Roman" w:hAnsi="Times New Roman" w:cs="Times New Roman"/>
          <w:sz w:val="36"/>
          <w:szCs w:val="36"/>
        </w:rPr>
      </w:pPr>
      <w:r w:rsidRPr="002B1448">
        <w:rPr>
          <w:rFonts w:ascii="Times New Roman" w:hAnsi="Times New Roman" w:cs="Times New Roman"/>
          <w:sz w:val="36"/>
          <w:szCs w:val="36"/>
        </w:rPr>
        <w:t>STUDENT NUMBER: 2116474</w:t>
      </w:r>
    </w:p>
    <w:p w14:paraId="33D418B9" w14:textId="62356231" w:rsidR="002B1448" w:rsidRPr="002B1448" w:rsidRDefault="002B1448" w:rsidP="002B1448">
      <w:pPr>
        <w:rPr>
          <w:rFonts w:ascii="Times New Roman" w:hAnsi="Times New Roman" w:cs="Times New Roman"/>
          <w:sz w:val="36"/>
          <w:szCs w:val="36"/>
        </w:rPr>
      </w:pPr>
      <w:r w:rsidRPr="002B1448">
        <w:rPr>
          <w:rFonts w:ascii="Times New Roman" w:hAnsi="Times New Roman" w:cs="Times New Roman"/>
          <w:sz w:val="36"/>
          <w:szCs w:val="36"/>
        </w:rPr>
        <w:t xml:space="preserve">LECTURER: </w:t>
      </w:r>
      <w:r>
        <w:rPr>
          <w:rFonts w:ascii="Times New Roman" w:hAnsi="Times New Roman" w:cs="Times New Roman"/>
          <w:sz w:val="36"/>
          <w:szCs w:val="36"/>
        </w:rPr>
        <w:t>DAVID COKER</w:t>
      </w:r>
    </w:p>
    <w:p w14:paraId="6AC55143" w14:textId="55520541" w:rsidR="002B1448" w:rsidRPr="002B1448" w:rsidRDefault="002B1448" w:rsidP="002B1448">
      <w:pPr>
        <w:rPr>
          <w:rFonts w:ascii="Times New Roman" w:hAnsi="Times New Roman" w:cs="Times New Roman"/>
          <w:sz w:val="36"/>
          <w:szCs w:val="36"/>
        </w:rPr>
      </w:pPr>
      <w:r w:rsidRPr="002B1448">
        <w:rPr>
          <w:rFonts w:ascii="Times New Roman" w:hAnsi="Times New Roman" w:cs="Times New Roman"/>
          <w:sz w:val="36"/>
          <w:szCs w:val="36"/>
        </w:rPr>
        <w:t>WORD COUNT:</w:t>
      </w:r>
      <w:r>
        <w:rPr>
          <w:rFonts w:ascii="Times New Roman" w:hAnsi="Times New Roman" w:cs="Times New Roman"/>
          <w:sz w:val="36"/>
          <w:szCs w:val="36"/>
        </w:rPr>
        <w:t>5532</w:t>
      </w:r>
    </w:p>
    <w:p w14:paraId="1A65E343" w14:textId="1C762C92" w:rsidR="00002E03" w:rsidRPr="002B1448" w:rsidRDefault="002B1448">
      <w:pPr>
        <w:rPr>
          <w:rFonts w:ascii="Times New Roman" w:hAnsi="Times New Roman" w:cs="Times New Roman"/>
          <w:sz w:val="36"/>
          <w:szCs w:val="36"/>
        </w:rPr>
      </w:pPr>
      <w:r w:rsidRPr="002B1448">
        <w:rPr>
          <w:rFonts w:ascii="Times New Roman" w:hAnsi="Times New Roman" w:cs="Times New Roman"/>
          <w:sz w:val="36"/>
          <w:szCs w:val="36"/>
        </w:rPr>
        <w:t>SUBMISSION DATE: 0</w:t>
      </w:r>
      <w:r>
        <w:rPr>
          <w:rFonts w:ascii="Times New Roman" w:hAnsi="Times New Roman" w:cs="Times New Roman"/>
          <w:sz w:val="36"/>
          <w:szCs w:val="36"/>
        </w:rPr>
        <w:t>3</w:t>
      </w:r>
      <w:r w:rsidRPr="002B1448">
        <w:rPr>
          <w:rFonts w:ascii="Times New Roman" w:hAnsi="Times New Roman" w:cs="Times New Roman"/>
          <w:sz w:val="36"/>
          <w:szCs w:val="36"/>
        </w:rPr>
        <w:t>-MAY-2023</w:t>
      </w:r>
    </w:p>
    <w:p w14:paraId="024D5FA6" w14:textId="77777777" w:rsidR="002B1448" w:rsidRPr="00BD7B7F" w:rsidRDefault="002B1448">
      <w:pPr>
        <w:rPr>
          <w:rFonts w:ascii="Times New Roman" w:hAnsi="Times New Roman" w:cs="Times New Roman"/>
          <w:sz w:val="24"/>
          <w:szCs w:val="24"/>
        </w:rPr>
      </w:pPr>
    </w:p>
    <w:p w14:paraId="24F8A63C" w14:textId="77777777" w:rsidR="00002E03" w:rsidRPr="00BD7B7F" w:rsidRDefault="00002E03">
      <w:pPr>
        <w:rPr>
          <w:rFonts w:ascii="Times New Roman" w:hAnsi="Times New Roman" w:cs="Times New Roman"/>
          <w:sz w:val="24"/>
          <w:szCs w:val="24"/>
        </w:rPr>
      </w:pPr>
    </w:p>
    <w:p w14:paraId="0333C0B2" w14:textId="51CC4825" w:rsidR="00B6244F" w:rsidRPr="00434398" w:rsidRDefault="00C54CA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CONTEXT</w:t>
      </w:r>
    </w:p>
    <w:p w14:paraId="4106B662" w14:textId="039CE00E" w:rsidR="00381E22" w:rsidRPr="00BD7B7F" w:rsidRDefault="00381E22" w:rsidP="00381E2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INTRODUCTION</w:t>
      </w:r>
    </w:p>
    <w:p w14:paraId="6CA298A1" w14:textId="746E6C0D" w:rsidR="005A2798" w:rsidRPr="00BD7B7F" w:rsidRDefault="005A2798" w:rsidP="00381E2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COUNTRIES THAT ARE MOST AFFECTED BY THE 2008 FINANCIAL CRISIS</w:t>
      </w:r>
    </w:p>
    <w:p w14:paraId="36231E43" w14:textId="363FE5A3" w:rsidR="00CB679B" w:rsidRPr="00BD7B7F" w:rsidRDefault="00CB679B" w:rsidP="00381E2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 xml:space="preserve">CAUSES OF </w:t>
      </w:r>
      <w:r w:rsidR="000909B8" w:rsidRPr="00BD7B7F">
        <w:rPr>
          <w:rFonts w:ascii="Times New Roman" w:hAnsi="Times New Roman" w:cs="Times New Roman"/>
          <w:sz w:val="24"/>
          <w:szCs w:val="24"/>
        </w:rPr>
        <w:t>2008 FINANCIAL CRISIS</w:t>
      </w:r>
    </w:p>
    <w:p w14:paraId="1B4931D6" w14:textId="48324509" w:rsidR="000909B8" w:rsidRPr="00BD7B7F" w:rsidRDefault="00527D73" w:rsidP="00381E2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KEY LAW</w:t>
      </w:r>
      <w:r w:rsidR="00BA1DF0" w:rsidRPr="00BD7B7F">
        <w:rPr>
          <w:rFonts w:ascii="Times New Roman" w:hAnsi="Times New Roman" w:cs="Times New Roman"/>
          <w:sz w:val="24"/>
          <w:szCs w:val="24"/>
        </w:rPr>
        <w:t>S AND REGULATIONS ENACTED IN THE UK AND EU</w:t>
      </w:r>
    </w:p>
    <w:p w14:paraId="4A21714E" w14:textId="503C5383" w:rsidR="00AB081C" w:rsidRPr="00BD7B7F" w:rsidRDefault="00BA1DF0" w:rsidP="00B65EB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KEY LAWS AND REGULATIONS ENACTED IN US</w:t>
      </w:r>
    </w:p>
    <w:p w14:paraId="11F0AE15" w14:textId="3AFFB25A" w:rsidR="00CA15E2" w:rsidRPr="00BD7B7F" w:rsidRDefault="00CA15E2" w:rsidP="00CA15E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COMPONENTS OF THE DODD- FRANK ACT</w:t>
      </w:r>
    </w:p>
    <w:p w14:paraId="47DCFC10" w14:textId="77777777" w:rsidR="00B65EB8" w:rsidRPr="00BD7B7F" w:rsidRDefault="00B65EB8" w:rsidP="00B65EB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PRIORITY REFORMS</w:t>
      </w:r>
    </w:p>
    <w:p w14:paraId="1D220EB9" w14:textId="77777777" w:rsidR="00F65098" w:rsidRPr="00BD7B7F" w:rsidRDefault="00F65098" w:rsidP="00F6509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EFFECTIVENESS OF REFORMS IN THE UK</w:t>
      </w:r>
    </w:p>
    <w:p w14:paraId="1DC22A40" w14:textId="77777777" w:rsidR="00F65098" w:rsidRPr="00BD7B7F" w:rsidRDefault="00F65098" w:rsidP="00F6509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EFFECTIVENESS OF REFORMS IN THE US</w:t>
      </w:r>
    </w:p>
    <w:p w14:paraId="69577278" w14:textId="16C4DDB1" w:rsidR="00CA15E2" w:rsidRPr="00BD7B7F" w:rsidRDefault="00F65098" w:rsidP="00CA15E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 xml:space="preserve">BARCLAYS BANK </w:t>
      </w:r>
      <w:r w:rsidR="000F643A" w:rsidRPr="00BD7B7F">
        <w:rPr>
          <w:rFonts w:ascii="Times New Roman" w:hAnsi="Times New Roman" w:cs="Times New Roman"/>
          <w:sz w:val="24"/>
          <w:szCs w:val="24"/>
        </w:rPr>
        <w:t>BACKGROUND</w:t>
      </w:r>
    </w:p>
    <w:p w14:paraId="73557C23" w14:textId="1459E48E" w:rsidR="00CA15E2" w:rsidRPr="00BD7B7F" w:rsidRDefault="005A2798" w:rsidP="00CA15E2">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IMPACT ON REGULATORY REFORMS ON BARCLAYS</w:t>
      </w:r>
    </w:p>
    <w:p w14:paraId="1C19ECFB" w14:textId="77777777" w:rsidR="005A2798" w:rsidRPr="00BD7B7F" w:rsidRDefault="005A2798" w:rsidP="005A279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COMPLIANCE/NON-COMPLIANCE OF BARCLAYS WITH REGULATORY REFORMS</w:t>
      </w:r>
    </w:p>
    <w:p w14:paraId="1E1E0BF3" w14:textId="12C6BF97" w:rsidR="00CA15E2" w:rsidRPr="00BD7B7F" w:rsidRDefault="005A2798" w:rsidP="00423BD8">
      <w:pPr>
        <w:pStyle w:val="ListParagraph"/>
        <w:numPr>
          <w:ilvl w:val="0"/>
          <w:numId w:val="1"/>
        </w:numPr>
        <w:rPr>
          <w:rFonts w:ascii="Times New Roman" w:hAnsi="Times New Roman" w:cs="Times New Roman"/>
          <w:sz w:val="24"/>
          <w:szCs w:val="24"/>
        </w:rPr>
      </w:pPr>
      <w:r w:rsidRPr="00BD7B7F">
        <w:rPr>
          <w:rFonts w:ascii="Times New Roman" w:hAnsi="Times New Roman" w:cs="Times New Roman"/>
          <w:sz w:val="24"/>
          <w:szCs w:val="24"/>
        </w:rPr>
        <w:t>REFERNCES</w:t>
      </w:r>
    </w:p>
    <w:p w14:paraId="24DA3383" w14:textId="77777777" w:rsidR="00175F0A" w:rsidRPr="00BD7B7F" w:rsidRDefault="00175F0A" w:rsidP="00175F0A">
      <w:pPr>
        <w:rPr>
          <w:rFonts w:ascii="Times New Roman" w:hAnsi="Times New Roman" w:cs="Times New Roman"/>
          <w:sz w:val="24"/>
          <w:szCs w:val="24"/>
        </w:rPr>
      </w:pPr>
    </w:p>
    <w:p w14:paraId="57AFDAF9" w14:textId="77777777" w:rsidR="00175F0A" w:rsidRPr="00BD7B7F" w:rsidRDefault="00175F0A" w:rsidP="00175F0A">
      <w:pPr>
        <w:rPr>
          <w:rFonts w:ascii="Times New Roman" w:hAnsi="Times New Roman" w:cs="Times New Roman"/>
          <w:sz w:val="24"/>
          <w:szCs w:val="24"/>
        </w:rPr>
      </w:pPr>
    </w:p>
    <w:p w14:paraId="4537D740" w14:textId="77777777" w:rsidR="00175F0A" w:rsidRPr="00BD7B7F" w:rsidRDefault="00175F0A" w:rsidP="00175F0A">
      <w:pPr>
        <w:rPr>
          <w:rFonts w:ascii="Times New Roman" w:hAnsi="Times New Roman" w:cs="Times New Roman"/>
          <w:sz w:val="24"/>
          <w:szCs w:val="24"/>
        </w:rPr>
      </w:pPr>
    </w:p>
    <w:p w14:paraId="43003AFC" w14:textId="77777777" w:rsidR="00175F0A" w:rsidRPr="00BD7B7F" w:rsidRDefault="00175F0A" w:rsidP="00175F0A">
      <w:pPr>
        <w:rPr>
          <w:rFonts w:ascii="Times New Roman" w:hAnsi="Times New Roman" w:cs="Times New Roman"/>
          <w:sz w:val="24"/>
          <w:szCs w:val="24"/>
        </w:rPr>
      </w:pPr>
    </w:p>
    <w:p w14:paraId="0AA427F6" w14:textId="77777777" w:rsidR="00175F0A" w:rsidRPr="00BD7B7F" w:rsidRDefault="00175F0A" w:rsidP="00175F0A">
      <w:pPr>
        <w:rPr>
          <w:rFonts w:ascii="Times New Roman" w:hAnsi="Times New Roman" w:cs="Times New Roman"/>
          <w:sz w:val="24"/>
          <w:szCs w:val="24"/>
        </w:rPr>
      </w:pPr>
    </w:p>
    <w:p w14:paraId="7C8C9B84" w14:textId="77777777" w:rsidR="00175F0A" w:rsidRPr="00BD7B7F" w:rsidRDefault="00175F0A" w:rsidP="00175F0A">
      <w:pPr>
        <w:rPr>
          <w:rFonts w:ascii="Times New Roman" w:hAnsi="Times New Roman" w:cs="Times New Roman"/>
          <w:sz w:val="24"/>
          <w:szCs w:val="24"/>
        </w:rPr>
      </w:pPr>
    </w:p>
    <w:p w14:paraId="11636C93" w14:textId="77777777" w:rsidR="00175F0A" w:rsidRPr="00BD7B7F" w:rsidRDefault="00175F0A" w:rsidP="00175F0A">
      <w:pPr>
        <w:rPr>
          <w:rFonts w:ascii="Times New Roman" w:hAnsi="Times New Roman" w:cs="Times New Roman"/>
          <w:sz w:val="24"/>
          <w:szCs w:val="24"/>
        </w:rPr>
      </w:pPr>
    </w:p>
    <w:p w14:paraId="419B373F" w14:textId="77777777" w:rsidR="00175F0A" w:rsidRPr="00BD7B7F" w:rsidRDefault="00175F0A" w:rsidP="00175F0A">
      <w:pPr>
        <w:rPr>
          <w:rFonts w:ascii="Times New Roman" w:hAnsi="Times New Roman" w:cs="Times New Roman"/>
          <w:sz w:val="24"/>
          <w:szCs w:val="24"/>
        </w:rPr>
      </w:pPr>
    </w:p>
    <w:p w14:paraId="622FFF57" w14:textId="77777777" w:rsidR="00175F0A" w:rsidRPr="00BD7B7F" w:rsidRDefault="00175F0A" w:rsidP="00175F0A">
      <w:pPr>
        <w:rPr>
          <w:rFonts w:ascii="Times New Roman" w:hAnsi="Times New Roman" w:cs="Times New Roman"/>
          <w:sz w:val="24"/>
          <w:szCs w:val="24"/>
        </w:rPr>
      </w:pPr>
    </w:p>
    <w:p w14:paraId="14154A7C" w14:textId="77777777" w:rsidR="00175F0A" w:rsidRPr="00BD7B7F" w:rsidRDefault="00175F0A" w:rsidP="00175F0A">
      <w:pPr>
        <w:rPr>
          <w:rFonts w:ascii="Times New Roman" w:hAnsi="Times New Roman" w:cs="Times New Roman"/>
          <w:sz w:val="24"/>
          <w:szCs w:val="24"/>
        </w:rPr>
      </w:pPr>
    </w:p>
    <w:p w14:paraId="4D8F9C74" w14:textId="77777777" w:rsidR="00175F0A" w:rsidRPr="00BD7B7F" w:rsidRDefault="00175F0A" w:rsidP="00175F0A">
      <w:pPr>
        <w:rPr>
          <w:rFonts w:ascii="Times New Roman" w:hAnsi="Times New Roman" w:cs="Times New Roman"/>
          <w:sz w:val="24"/>
          <w:szCs w:val="24"/>
        </w:rPr>
      </w:pPr>
    </w:p>
    <w:p w14:paraId="427892DF" w14:textId="77777777" w:rsidR="00175F0A" w:rsidRPr="00BD7B7F" w:rsidRDefault="00175F0A" w:rsidP="00175F0A">
      <w:pPr>
        <w:rPr>
          <w:rFonts w:ascii="Times New Roman" w:hAnsi="Times New Roman" w:cs="Times New Roman"/>
          <w:sz w:val="24"/>
          <w:szCs w:val="24"/>
        </w:rPr>
      </w:pPr>
    </w:p>
    <w:p w14:paraId="7C9CC673" w14:textId="77777777" w:rsidR="00175F0A" w:rsidRPr="00BD7B7F" w:rsidRDefault="00175F0A" w:rsidP="00175F0A">
      <w:pPr>
        <w:rPr>
          <w:rFonts w:ascii="Times New Roman" w:hAnsi="Times New Roman" w:cs="Times New Roman"/>
          <w:sz w:val="24"/>
          <w:szCs w:val="24"/>
        </w:rPr>
      </w:pPr>
    </w:p>
    <w:p w14:paraId="3F582966" w14:textId="77777777" w:rsidR="00175F0A" w:rsidRPr="00BD7B7F" w:rsidRDefault="00175F0A" w:rsidP="00175F0A">
      <w:pPr>
        <w:rPr>
          <w:rFonts w:ascii="Times New Roman" w:hAnsi="Times New Roman" w:cs="Times New Roman"/>
          <w:sz w:val="24"/>
          <w:szCs w:val="24"/>
        </w:rPr>
      </w:pPr>
    </w:p>
    <w:p w14:paraId="0A7C8F52" w14:textId="77777777" w:rsidR="00FB6E31" w:rsidRPr="00BD7B7F" w:rsidRDefault="00FB6E31" w:rsidP="00175F0A">
      <w:pPr>
        <w:rPr>
          <w:rFonts w:ascii="Times New Roman" w:hAnsi="Times New Roman" w:cs="Times New Roman"/>
          <w:sz w:val="24"/>
          <w:szCs w:val="24"/>
        </w:rPr>
      </w:pPr>
    </w:p>
    <w:p w14:paraId="0AF38DBD" w14:textId="77777777" w:rsidR="00175F0A" w:rsidRPr="00BD7B7F" w:rsidRDefault="00175F0A" w:rsidP="00175F0A">
      <w:pPr>
        <w:rPr>
          <w:rFonts w:ascii="Times New Roman" w:hAnsi="Times New Roman" w:cs="Times New Roman"/>
          <w:sz w:val="24"/>
          <w:szCs w:val="24"/>
        </w:rPr>
      </w:pPr>
    </w:p>
    <w:p w14:paraId="3A4B42A8" w14:textId="77777777" w:rsidR="000F643A" w:rsidRPr="00BD7B7F" w:rsidRDefault="000F643A" w:rsidP="0067079A">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881EA0" w14:textId="77777777" w:rsidR="000F643A" w:rsidRPr="00BD7B7F" w:rsidRDefault="000F643A" w:rsidP="0067079A">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533415" w14:textId="77777777" w:rsidR="005A2798" w:rsidRPr="00BD7B7F" w:rsidRDefault="005A2798" w:rsidP="0067079A">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6639EB" w14:textId="77777777" w:rsidR="005A2798" w:rsidRPr="00BD7B7F" w:rsidRDefault="005A2798" w:rsidP="0067079A">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0BD754" w14:textId="6001E976" w:rsidR="00175F0A" w:rsidRPr="00434398" w:rsidRDefault="00175F0A" w:rsidP="0067079A">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0345C942" w14:textId="32E61C2F" w:rsidR="00E167DD" w:rsidRPr="00BD7B7F" w:rsidRDefault="00C227E3" w:rsidP="00884817">
      <w:pPr>
        <w:jc w:val="both"/>
        <w:rPr>
          <w:rFonts w:ascii="Times New Roman" w:hAnsi="Times New Roman" w:cs="Times New Roman"/>
          <w:sz w:val="24"/>
          <w:szCs w:val="24"/>
        </w:rPr>
      </w:pPr>
      <w:r w:rsidRPr="00BD7B7F">
        <w:rPr>
          <w:rFonts w:ascii="Times New Roman" w:hAnsi="Times New Roman" w:cs="Times New Roman"/>
          <w:sz w:val="24"/>
          <w:szCs w:val="24"/>
        </w:rPr>
        <w:t>This report’s</w:t>
      </w:r>
      <w:r w:rsidR="00464A55" w:rsidRPr="00BD7B7F">
        <w:rPr>
          <w:rFonts w:ascii="Times New Roman" w:hAnsi="Times New Roman" w:cs="Times New Roman"/>
          <w:sz w:val="24"/>
          <w:szCs w:val="24"/>
        </w:rPr>
        <w:t xml:space="preserve"> goal is to evaluate critically the </w:t>
      </w:r>
      <w:r w:rsidR="004F0707" w:rsidRPr="00BD7B7F">
        <w:rPr>
          <w:rFonts w:ascii="Times New Roman" w:hAnsi="Times New Roman" w:cs="Times New Roman"/>
          <w:sz w:val="24"/>
          <w:szCs w:val="24"/>
        </w:rPr>
        <w:t xml:space="preserve">countries that are affected </w:t>
      </w:r>
      <w:r w:rsidR="001D784E" w:rsidRPr="00BD7B7F">
        <w:rPr>
          <w:rFonts w:ascii="Times New Roman" w:hAnsi="Times New Roman" w:cs="Times New Roman"/>
          <w:sz w:val="24"/>
          <w:szCs w:val="24"/>
        </w:rPr>
        <w:t>by the 2008 Financial crisis</w:t>
      </w:r>
      <w:r w:rsidR="00215223" w:rsidRPr="00BD7B7F">
        <w:rPr>
          <w:rFonts w:ascii="Times New Roman" w:hAnsi="Times New Roman" w:cs="Times New Roman"/>
          <w:sz w:val="24"/>
          <w:szCs w:val="24"/>
        </w:rPr>
        <w:t xml:space="preserve"> by mainly focusing on </w:t>
      </w:r>
      <w:r w:rsidR="00003E0C" w:rsidRPr="00BD7B7F">
        <w:rPr>
          <w:rFonts w:ascii="Times New Roman" w:hAnsi="Times New Roman" w:cs="Times New Roman"/>
          <w:sz w:val="24"/>
          <w:szCs w:val="24"/>
        </w:rPr>
        <w:t>UK, US</w:t>
      </w:r>
      <w:r w:rsidR="004E687E" w:rsidRPr="00BD7B7F">
        <w:rPr>
          <w:rFonts w:ascii="Times New Roman" w:hAnsi="Times New Roman" w:cs="Times New Roman"/>
          <w:sz w:val="24"/>
          <w:szCs w:val="24"/>
        </w:rPr>
        <w:t>,</w:t>
      </w:r>
      <w:r w:rsidR="00003E0C" w:rsidRPr="00BD7B7F">
        <w:rPr>
          <w:rFonts w:ascii="Times New Roman" w:hAnsi="Times New Roman" w:cs="Times New Roman"/>
          <w:sz w:val="24"/>
          <w:szCs w:val="24"/>
        </w:rPr>
        <w:t xml:space="preserve"> EU countries</w:t>
      </w:r>
      <w:r w:rsidR="004E687E" w:rsidRPr="00BD7B7F">
        <w:rPr>
          <w:rFonts w:ascii="Times New Roman" w:hAnsi="Times New Roman" w:cs="Times New Roman"/>
          <w:sz w:val="24"/>
          <w:szCs w:val="24"/>
        </w:rPr>
        <w:t xml:space="preserve"> or the countries that are mostly affected</w:t>
      </w:r>
      <w:r w:rsidR="00ED2812" w:rsidRPr="00BD7B7F">
        <w:rPr>
          <w:rFonts w:ascii="Times New Roman" w:hAnsi="Times New Roman" w:cs="Times New Roman"/>
          <w:sz w:val="24"/>
          <w:szCs w:val="24"/>
        </w:rPr>
        <w:t>.</w:t>
      </w:r>
      <w:r w:rsidRPr="00BD7B7F">
        <w:rPr>
          <w:rFonts w:ascii="Times New Roman" w:hAnsi="Times New Roman" w:cs="Times New Roman"/>
          <w:sz w:val="24"/>
          <w:szCs w:val="24"/>
        </w:rPr>
        <w:t xml:space="preserve"> </w:t>
      </w:r>
      <w:r w:rsidR="00E648FD" w:rsidRPr="00BD7B7F">
        <w:rPr>
          <w:rFonts w:ascii="Times New Roman" w:hAnsi="Times New Roman" w:cs="Times New Roman"/>
          <w:sz w:val="24"/>
          <w:szCs w:val="24"/>
        </w:rPr>
        <w:t>In addition to that</w:t>
      </w:r>
      <w:r w:rsidR="00377391" w:rsidRPr="00BD7B7F">
        <w:rPr>
          <w:rFonts w:ascii="Times New Roman" w:hAnsi="Times New Roman" w:cs="Times New Roman"/>
          <w:sz w:val="24"/>
          <w:szCs w:val="24"/>
        </w:rPr>
        <w:t xml:space="preserve">, the report will also emphasize on </w:t>
      </w:r>
      <w:r w:rsidR="00734D6D" w:rsidRPr="00BD7B7F">
        <w:rPr>
          <w:rFonts w:ascii="Times New Roman" w:hAnsi="Times New Roman" w:cs="Times New Roman"/>
          <w:sz w:val="24"/>
          <w:szCs w:val="24"/>
        </w:rPr>
        <w:t>post 2008 Financial Crisis</w:t>
      </w:r>
      <w:r w:rsidR="00722E2F" w:rsidRPr="00BD7B7F">
        <w:rPr>
          <w:rFonts w:ascii="Times New Roman" w:hAnsi="Times New Roman" w:cs="Times New Roman"/>
          <w:sz w:val="24"/>
          <w:szCs w:val="24"/>
        </w:rPr>
        <w:t xml:space="preserve">, the reforms </w:t>
      </w:r>
      <w:r w:rsidR="00D169BE" w:rsidRPr="00BD7B7F">
        <w:rPr>
          <w:rFonts w:ascii="Times New Roman" w:hAnsi="Times New Roman" w:cs="Times New Roman"/>
          <w:sz w:val="24"/>
          <w:szCs w:val="24"/>
        </w:rPr>
        <w:t xml:space="preserve">that </w:t>
      </w:r>
      <w:r w:rsidR="00722E2F" w:rsidRPr="00BD7B7F">
        <w:rPr>
          <w:rFonts w:ascii="Times New Roman" w:hAnsi="Times New Roman" w:cs="Times New Roman"/>
          <w:sz w:val="24"/>
          <w:szCs w:val="24"/>
        </w:rPr>
        <w:t xml:space="preserve">have contributed </w:t>
      </w:r>
      <w:r w:rsidR="009A128D" w:rsidRPr="00BD7B7F">
        <w:rPr>
          <w:rFonts w:ascii="Times New Roman" w:hAnsi="Times New Roman" w:cs="Times New Roman"/>
          <w:sz w:val="24"/>
          <w:szCs w:val="24"/>
        </w:rPr>
        <w:t>towards stabilising the financial system</w:t>
      </w:r>
      <w:r w:rsidR="000A0622" w:rsidRPr="00BD7B7F">
        <w:rPr>
          <w:rFonts w:ascii="Times New Roman" w:hAnsi="Times New Roman" w:cs="Times New Roman"/>
          <w:sz w:val="24"/>
          <w:szCs w:val="24"/>
        </w:rPr>
        <w:t>s.</w:t>
      </w:r>
      <w:r w:rsidR="008008FE" w:rsidRPr="00BD7B7F">
        <w:rPr>
          <w:rFonts w:ascii="Times New Roman" w:hAnsi="Times New Roman" w:cs="Times New Roman"/>
          <w:sz w:val="24"/>
          <w:szCs w:val="24"/>
        </w:rPr>
        <w:t xml:space="preserve"> The report will also </w:t>
      </w:r>
      <w:r w:rsidR="00496D63" w:rsidRPr="00BD7B7F">
        <w:rPr>
          <w:rFonts w:ascii="Times New Roman" w:hAnsi="Times New Roman" w:cs="Times New Roman"/>
          <w:sz w:val="24"/>
          <w:szCs w:val="24"/>
        </w:rPr>
        <w:t xml:space="preserve">emphasize on </w:t>
      </w:r>
      <w:r w:rsidR="005E096F" w:rsidRPr="00BD7B7F">
        <w:rPr>
          <w:rFonts w:ascii="Times New Roman" w:hAnsi="Times New Roman" w:cs="Times New Roman"/>
          <w:sz w:val="24"/>
          <w:szCs w:val="24"/>
        </w:rPr>
        <w:t xml:space="preserve">a listed company </w:t>
      </w:r>
      <w:r w:rsidR="005C4AEC" w:rsidRPr="00BD7B7F">
        <w:rPr>
          <w:rFonts w:ascii="Times New Roman" w:hAnsi="Times New Roman" w:cs="Times New Roman"/>
          <w:sz w:val="24"/>
          <w:szCs w:val="24"/>
        </w:rPr>
        <w:t>and analy</w:t>
      </w:r>
      <w:r w:rsidR="00DB4742" w:rsidRPr="00BD7B7F">
        <w:rPr>
          <w:rFonts w:ascii="Times New Roman" w:hAnsi="Times New Roman" w:cs="Times New Roman"/>
          <w:sz w:val="24"/>
          <w:szCs w:val="24"/>
        </w:rPr>
        <w:t xml:space="preserve">se the </w:t>
      </w:r>
      <w:r w:rsidR="00ED2812" w:rsidRPr="00BD7B7F">
        <w:rPr>
          <w:rFonts w:ascii="Times New Roman" w:hAnsi="Times New Roman" w:cs="Times New Roman"/>
          <w:sz w:val="24"/>
          <w:szCs w:val="24"/>
        </w:rPr>
        <w:t>extent th</w:t>
      </w:r>
      <w:r w:rsidR="000A0E91" w:rsidRPr="00BD7B7F">
        <w:rPr>
          <w:rFonts w:ascii="Times New Roman" w:hAnsi="Times New Roman" w:cs="Times New Roman"/>
          <w:sz w:val="24"/>
          <w:szCs w:val="24"/>
        </w:rPr>
        <w:t>at by which of these reforms have impacted on their business model.</w:t>
      </w:r>
      <w:r w:rsidR="00733002" w:rsidRPr="00BD7B7F">
        <w:rPr>
          <w:rFonts w:ascii="Times New Roman" w:hAnsi="Times New Roman" w:cs="Times New Roman"/>
          <w:sz w:val="24"/>
          <w:szCs w:val="24"/>
        </w:rPr>
        <w:t xml:space="preserve"> The chosen public listed company is </w:t>
      </w:r>
      <w:r w:rsidR="00BB5936">
        <w:rPr>
          <w:rFonts w:ascii="Times New Roman" w:hAnsi="Times New Roman" w:cs="Times New Roman"/>
          <w:sz w:val="24"/>
          <w:szCs w:val="24"/>
        </w:rPr>
        <w:t>BARCLAYS</w:t>
      </w:r>
      <w:r w:rsidR="00795B2E" w:rsidRPr="00BD7B7F">
        <w:rPr>
          <w:rFonts w:ascii="Times New Roman" w:hAnsi="Times New Roman" w:cs="Times New Roman"/>
          <w:sz w:val="24"/>
          <w:szCs w:val="24"/>
        </w:rPr>
        <w:t xml:space="preserve"> BANK</w:t>
      </w:r>
    </w:p>
    <w:p w14:paraId="6D81891C" w14:textId="6097E6D1" w:rsidR="000F643A" w:rsidRDefault="0059298B" w:rsidP="00884817">
      <w:pPr>
        <w:jc w:val="both"/>
        <w:rPr>
          <w:rFonts w:ascii="Times New Roman" w:hAnsi="Times New Roman" w:cs="Times New Roman"/>
          <w:sz w:val="24"/>
          <w:szCs w:val="24"/>
        </w:rPr>
      </w:pPr>
      <w:r w:rsidRPr="00BD7B7F">
        <w:rPr>
          <w:rFonts w:ascii="Times New Roman" w:hAnsi="Times New Roman" w:cs="Times New Roman"/>
          <w:sz w:val="24"/>
          <w:szCs w:val="24"/>
        </w:rPr>
        <w:t>The 2007–2008 financial crisis, also known as the subprime mortgage crisis, was brought on by the collapse of the U.S. housing market and resulted in a major contraction of liquidity in international financial markets. This danger to topple the global financial system started the Great Recession, the worst economic slump since the Great Depression, and was also responsible for the demise of numerous significant commercial and investment banks, mortgage lenders, insurance firms, and savings and loan associations.</w:t>
      </w:r>
    </w:p>
    <w:p w14:paraId="79B3BE70" w14:textId="77777777" w:rsidR="00434398" w:rsidRPr="00BD7B7F" w:rsidRDefault="00434398" w:rsidP="00884817">
      <w:pPr>
        <w:jc w:val="both"/>
        <w:rPr>
          <w:rFonts w:ascii="Times New Roman" w:hAnsi="Times New Roman" w:cs="Times New Roman"/>
          <w:sz w:val="24"/>
          <w:szCs w:val="24"/>
        </w:rPr>
      </w:pPr>
    </w:p>
    <w:p w14:paraId="4FEDE313" w14:textId="036B618F" w:rsidR="000F643A" w:rsidRPr="00434398" w:rsidRDefault="000F643A" w:rsidP="00884817">
      <w:pPr>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COUNTRIES THAT ARE MOST AND LEAST AFFECTED BY THE 2008 FINANCIAL CRISIS</w:t>
      </w:r>
    </w:p>
    <w:p w14:paraId="3B295816" w14:textId="73614F4E" w:rsidR="00791CAE" w:rsidRPr="00BD7B7F" w:rsidRDefault="00791CAE" w:rsidP="00791CAE">
      <w:pPr>
        <w:jc w:val="both"/>
        <w:rPr>
          <w:rFonts w:ascii="Times New Roman" w:hAnsi="Times New Roman" w:cs="Times New Roman"/>
          <w:sz w:val="24"/>
          <w:szCs w:val="24"/>
        </w:rPr>
      </w:pPr>
      <w:r w:rsidRPr="00BD7B7F">
        <w:rPr>
          <w:rFonts w:ascii="Times New Roman" w:hAnsi="Times New Roman" w:cs="Times New Roman"/>
          <w:sz w:val="24"/>
          <w:szCs w:val="24"/>
        </w:rPr>
        <w:t>Comparing 198 nations based on the percentage change in GDP between 2007 and 2009, Eastern European and advanced economies that depend on trade are the most affected.</w:t>
      </w:r>
    </w:p>
    <w:p w14:paraId="7B14A678" w14:textId="482E42FB" w:rsidR="00791CAE" w:rsidRPr="00BD7B7F" w:rsidRDefault="00791CAE" w:rsidP="00884817">
      <w:pPr>
        <w:jc w:val="both"/>
        <w:rPr>
          <w:rFonts w:ascii="Times New Roman" w:hAnsi="Times New Roman" w:cs="Times New Roman"/>
          <w:sz w:val="24"/>
          <w:szCs w:val="24"/>
        </w:rPr>
      </w:pPr>
      <w:r w:rsidRPr="00BD7B7F">
        <w:rPr>
          <w:rFonts w:ascii="Times New Roman" w:hAnsi="Times New Roman" w:cs="Times New Roman"/>
          <w:noProof/>
          <w:sz w:val="24"/>
          <w:szCs w:val="24"/>
          <w:lang w:val="en-US"/>
        </w:rPr>
        <w:drawing>
          <wp:inline distT="0" distB="0" distL="0" distR="0" wp14:anchorId="31CC6C01" wp14:editId="015DA0F4">
            <wp:extent cx="5731510" cy="3399790"/>
            <wp:effectExtent l="0" t="0" r="2540" b="0"/>
            <wp:docPr id="227744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44613" name="Picture 227744613"/>
                    <pic:cNvPicPr/>
                  </pic:nvPicPr>
                  <pic:blipFill>
                    <a:blip r:embed="rId7">
                      <a:extLst>
                        <a:ext uri="{28A0092B-C50C-407E-A947-70E740481C1C}">
                          <a14:useLocalDpi xmlns:a14="http://schemas.microsoft.com/office/drawing/2010/main" val="0"/>
                        </a:ext>
                      </a:extLst>
                    </a:blip>
                    <a:stretch>
                      <a:fillRect/>
                    </a:stretch>
                  </pic:blipFill>
                  <pic:spPr>
                    <a:xfrm>
                      <a:off x="0" y="0"/>
                      <a:ext cx="5731510" cy="3399790"/>
                    </a:xfrm>
                    <a:prstGeom prst="rect">
                      <a:avLst/>
                    </a:prstGeom>
                  </pic:spPr>
                </pic:pic>
              </a:graphicData>
            </a:graphic>
          </wp:inline>
        </w:drawing>
      </w:r>
    </w:p>
    <w:p w14:paraId="4652D6F2" w14:textId="1B95B5BA" w:rsidR="0067079A" w:rsidRPr="00BD7B7F" w:rsidRDefault="00791CAE" w:rsidP="00791CAE">
      <w:pPr>
        <w:jc w:val="center"/>
        <w:rPr>
          <w:rFonts w:ascii="Times New Roman" w:hAnsi="Times New Roman" w:cs="Times New Roman"/>
          <w:sz w:val="24"/>
          <w:szCs w:val="24"/>
        </w:rPr>
      </w:pPr>
      <w:r w:rsidRPr="00BD7B7F">
        <w:rPr>
          <w:rFonts w:ascii="Times New Roman" w:hAnsi="Times New Roman" w:cs="Times New Roman"/>
          <w:sz w:val="24"/>
          <w:szCs w:val="24"/>
        </w:rPr>
        <w:t>Source: bigeconomics.org</w:t>
      </w:r>
    </w:p>
    <w:p w14:paraId="38B32311" w14:textId="33578699" w:rsidR="00791CAE" w:rsidRPr="00BD7B7F" w:rsidRDefault="00791CAE" w:rsidP="00791CAE">
      <w:pPr>
        <w:jc w:val="both"/>
        <w:rPr>
          <w:rFonts w:ascii="Times New Roman" w:hAnsi="Times New Roman" w:cs="Times New Roman"/>
          <w:sz w:val="24"/>
          <w:szCs w:val="24"/>
        </w:rPr>
      </w:pPr>
      <w:r w:rsidRPr="00BD7B7F">
        <w:rPr>
          <w:rFonts w:ascii="Times New Roman" w:hAnsi="Times New Roman" w:cs="Times New Roman"/>
          <w:sz w:val="24"/>
          <w:szCs w:val="24"/>
        </w:rPr>
        <w:t>As seen in above graph it depicts the economic trajectory since 2007 and highlights the substantial differences in long-term results by the financial crisis’s various effects on each country.</w:t>
      </w:r>
    </w:p>
    <w:p w14:paraId="3B4F587A" w14:textId="77777777" w:rsidR="00791CAE" w:rsidRPr="00BD7B7F" w:rsidRDefault="00791CAE" w:rsidP="00791CAE">
      <w:pPr>
        <w:jc w:val="both"/>
        <w:rPr>
          <w:rFonts w:ascii="Times New Roman" w:hAnsi="Times New Roman" w:cs="Times New Roman"/>
          <w:sz w:val="24"/>
          <w:szCs w:val="24"/>
        </w:rPr>
      </w:pPr>
      <w:r w:rsidRPr="00BD7B7F">
        <w:rPr>
          <w:rFonts w:ascii="Times New Roman" w:hAnsi="Times New Roman" w:cs="Times New Roman"/>
          <w:sz w:val="24"/>
          <w:szCs w:val="24"/>
        </w:rPr>
        <w:lastRenderedPageBreak/>
        <w:t>As seen in graph Estonia (#1) and Ukraine (#3), the two most afflicted nations, still had weak economies five years after the crisis, with GDP levels that were 5-7% lower.</w:t>
      </w:r>
    </w:p>
    <w:p w14:paraId="6219E3E9" w14:textId="77777777" w:rsidR="00791CAE" w:rsidRPr="00BD7B7F" w:rsidRDefault="00791CAE" w:rsidP="00791CAE">
      <w:pPr>
        <w:jc w:val="both"/>
        <w:rPr>
          <w:rFonts w:ascii="Times New Roman" w:hAnsi="Times New Roman" w:cs="Times New Roman"/>
          <w:sz w:val="24"/>
          <w:szCs w:val="24"/>
        </w:rPr>
      </w:pPr>
      <w:r w:rsidRPr="00BD7B7F">
        <w:rPr>
          <w:rFonts w:ascii="Times New Roman" w:hAnsi="Times New Roman" w:cs="Times New Roman"/>
          <w:sz w:val="24"/>
          <w:szCs w:val="24"/>
        </w:rPr>
        <w:t xml:space="preserve">Advanced economies like the US (#46) and Germany (#28) didn't reach their pre-crisis levels until 2010, and by 2012, they had only expanded by roughly 3.5% over the previous five years. </w:t>
      </w:r>
    </w:p>
    <w:p w14:paraId="2B78227F" w14:textId="1333CD72" w:rsidR="00791CAE" w:rsidRPr="00BD7B7F" w:rsidRDefault="00791CAE" w:rsidP="00791CAE">
      <w:pPr>
        <w:jc w:val="both"/>
        <w:rPr>
          <w:rFonts w:ascii="Times New Roman" w:hAnsi="Times New Roman" w:cs="Times New Roman"/>
          <w:sz w:val="24"/>
          <w:szCs w:val="24"/>
        </w:rPr>
      </w:pPr>
      <w:r w:rsidRPr="00BD7B7F">
        <w:rPr>
          <w:rFonts w:ascii="Times New Roman" w:hAnsi="Times New Roman" w:cs="Times New Roman"/>
          <w:sz w:val="24"/>
          <w:szCs w:val="24"/>
        </w:rPr>
        <w:t>The least affected nations, such as China (#189) and Qatar (#197), never saw negative growth and during the course of five years, grew by 75% and 60%, respectively.</w:t>
      </w:r>
    </w:p>
    <w:p w14:paraId="6B9353A7" w14:textId="77777777" w:rsidR="00791CAE" w:rsidRPr="00BD7B7F" w:rsidRDefault="00791CAE" w:rsidP="00791CAE">
      <w:pPr>
        <w:jc w:val="both"/>
        <w:rPr>
          <w:rFonts w:ascii="Times New Roman" w:hAnsi="Times New Roman" w:cs="Times New Roman"/>
          <w:sz w:val="24"/>
          <w:szCs w:val="24"/>
        </w:rPr>
      </w:pPr>
    </w:p>
    <w:p w14:paraId="7F6CBCD3" w14:textId="5A42F4F6" w:rsidR="00197E90" w:rsidRPr="00434398" w:rsidRDefault="007B7BDC" w:rsidP="00CA15E2">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CAUSES OF THE CRISIS:</w:t>
      </w:r>
    </w:p>
    <w:p w14:paraId="16867854" w14:textId="77777777" w:rsidR="00402AEB" w:rsidRPr="00BD7B7F" w:rsidRDefault="00402AEB" w:rsidP="00402AEB">
      <w:pPr>
        <w:jc w:val="both"/>
        <w:rPr>
          <w:rFonts w:ascii="Times New Roman" w:hAnsi="Times New Roman" w:cs="Times New Roman"/>
          <w:sz w:val="24"/>
          <w:szCs w:val="24"/>
        </w:rPr>
      </w:pPr>
      <w:r w:rsidRPr="00BD7B7F">
        <w:rPr>
          <w:rFonts w:ascii="Times New Roman" w:hAnsi="Times New Roman" w:cs="Times New Roman"/>
          <w:sz w:val="24"/>
          <w:szCs w:val="24"/>
        </w:rPr>
        <w:t>Mortgages made available to American homeowners set off a series of circumstances that resulted in trillions of dollars' worth of losses on worldwide investments, nearly took down the entire financial system, and caused the worst economic downturn since the Great Depression or the Great Recession.</w:t>
      </w:r>
    </w:p>
    <w:p w14:paraId="0993A658" w14:textId="3FC2F360" w:rsidR="005F0129" w:rsidRPr="00BD7B7F" w:rsidRDefault="00402AEB" w:rsidP="00402AEB">
      <w:pPr>
        <w:jc w:val="both"/>
        <w:rPr>
          <w:rFonts w:ascii="Times New Roman" w:hAnsi="Times New Roman" w:cs="Times New Roman"/>
          <w:sz w:val="24"/>
          <w:szCs w:val="24"/>
        </w:rPr>
      </w:pPr>
      <w:r w:rsidRPr="00BD7B7F">
        <w:rPr>
          <w:rFonts w:ascii="Times New Roman" w:hAnsi="Times New Roman" w:cs="Times New Roman"/>
          <w:sz w:val="24"/>
          <w:szCs w:val="24"/>
        </w:rPr>
        <w:t>It all began with the U.S. housing market, which was the place to be in the 1990s and the early 2000s. Due to a surge in demand, home prices have soared by more than 100% in less than 10 years. The housing industry accounted for about half of all newly created jobs, and the number of construction starts had significantly increased.</w:t>
      </w:r>
    </w:p>
    <w:p w14:paraId="75CB9FB2" w14:textId="4D14F866" w:rsidR="00DD2CC4" w:rsidRPr="00BD7B7F" w:rsidRDefault="00DD2CC4" w:rsidP="00884817">
      <w:pPr>
        <w:jc w:val="both"/>
        <w:rPr>
          <w:rFonts w:ascii="Times New Roman" w:hAnsi="Times New Roman" w:cs="Times New Roman"/>
          <w:sz w:val="24"/>
          <w:szCs w:val="24"/>
        </w:rPr>
      </w:pPr>
      <w:r w:rsidRPr="00BD7B7F">
        <w:rPr>
          <w:rFonts w:ascii="Times New Roman" w:hAnsi="Times New Roman" w:cs="Times New Roman"/>
          <w:noProof/>
          <w:sz w:val="24"/>
          <w:szCs w:val="24"/>
          <w:lang w:val="en-US"/>
        </w:rPr>
        <w:drawing>
          <wp:inline distT="0" distB="0" distL="0" distR="0" wp14:anchorId="388A2CBC" wp14:editId="494185EA">
            <wp:extent cx="5731510" cy="2210435"/>
            <wp:effectExtent l="0" t="0" r="2540" b="0"/>
            <wp:docPr id="1171221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221824" name="Picture 1171221824"/>
                    <pic:cNvPicPr/>
                  </pic:nvPicPr>
                  <pic:blipFill>
                    <a:blip r:embed="rId8">
                      <a:extLst>
                        <a:ext uri="{28A0092B-C50C-407E-A947-70E740481C1C}">
                          <a14:useLocalDpi xmlns:a14="http://schemas.microsoft.com/office/drawing/2010/main" val="0"/>
                        </a:ext>
                      </a:extLst>
                    </a:blip>
                    <a:stretch>
                      <a:fillRect/>
                    </a:stretch>
                  </pic:blipFill>
                  <pic:spPr>
                    <a:xfrm>
                      <a:off x="0" y="0"/>
                      <a:ext cx="5731510" cy="2210435"/>
                    </a:xfrm>
                    <a:prstGeom prst="rect">
                      <a:avLst/>
                    </a:prstGeom>
                  </pic:spPr>
                </pic:pic>
              </a:graphicData>
            </a:graphic>
          </wp:inline>
        </w:drawing>
      </w:r>
    </w:p>
    <w:p w14:paraId="3C13B2CA" w14:textId="4993CE27" w:rsidR="00A34E1F" w:rsidRPr="00BD7B7F" w:rsidRDefault="0075778A" w:rsidP="0075778A">
      <w:pPr>
        <w:jc w:val="center"/>
      </w:pPr>
      <w:r w:rsidRPr="00BD7B7F">
        <w:rPr>
          <w:rFonts w:ascii="Times New Roman" w:hAnsi="Times New Roman" w:cs="Times New Roman"/>
          <w:sz w:val="24"/>
          <w:szCs w:val="24"/>
        </w:rPr>
        <w:t>Source:</w:t>
      </w:r>
      <w:r w:rsidRPr="00BD7B7F">
        <w:t xml:space="preserve"> thestreet.com (S&amp;P Dow Jones Indices LLC)</w:t>
      </w:r>
    </w:p>
    <w:p w14:paraId="1347EE76" w14:textId="77777777" w:rsidR="0075778A" w:rsidRPr="00BD7B7F" w:rsidRDefault="0075778A" w:rsidP="0075778A">
      <w:pPr>
        <w:jc w:val="both"/>
        <w:rPr>
          <w:rFonts w:ascii="Times New Roman" w:hAnsi="Times New Roman" w:cs="Times New Roman"/>
          <w:sz w:val="24"/>
          <w:szCs w:val="24"/>
        </w:rPr>
      </w:pPr>
    </w:p>
    <w:p w14:paraId="4DE220D6" w14:textId="053BADFD" w:rsidR="0075778A" w:rsidRPr="00BD7B7F" w:rsidRDefault="000B27DE" w:rsidP="0075778A">
      <w:pPr>
        <w:jc w:val="both"/>
        <w:rPr>
          <w:rFonts w:ascii="Times New Roman" w:hAnsi="Times New Roman" w:cs="Times New Roman"/>
          <w:sz w:val="24"/>
          <w:szCs w:val="24"/>
        </w:rPr>
      </w:pPr>
      <w:r w:rsidRPr="00BD7B7F">
        <w:rPr>
          <w:rFonts w:ascii="Times New Roman" w:hAnsi="Times New Roman" w:cs="Times New Roman"/>
          <w:sz w:val="24"/>
          <w:szCs w:val="24"/>
        </w:rPr>
        <w:t>The Federal Reserve's low sustained interest rates and increased lending facilitated the first-time homebuyers' perfect environment.</w:t>
      </w:r>
      <w:r w:rsidR="0075778A" w:rsidRPr="00BD7B7F">
        <w:rPr>
          <w:rFonts w:ascii="Times New Roman" w:hAnsi="Times New Roman" w:cs="Times New Roman"/>
          <w:sz w:val="24"/>
          <w:szCs w:val="24"/>
        </w:rPr>
        <w:t xml:space="preserve"> But regrettably, there would be significant defaults if there was insufficient regulation at both ends of the financial spectrum.</w:t>
      </w:r>
    </w:p>
    <w:p w14:paraId="1ECF507C" w14:textId="21575076" w:rsidR="0075778A" w:rsidRPr="00BD7B7F" w:rsidRDefault="000B27DE" w:rsidP="0075778A">
      <w:pPr>
        <w:jc w:val="both"/>
        <w:rPr>
          <w:rFonts w:ascii="Times New Roman" w:hAnsi="Times New Roman" w:cs="Times New Roman"/>
          <w:sz w:val="24"/>
          <w:szCs w:val="24"/>
        </w:rPr>
      </w:pPr>
      <w:r w:rsidRPr="00BD7B7F">
        <w:rPr>
          <w:rFonts w:ascii="Times New Roman" w:hAnsi="Times New Roman" w:cs="Times New Roman"/>
          <w:sz w:val="24"/>
          <w:szCs w:val="24"/>
        </w:rPr>
        <w:t xml:space="preserve">With the promise of home ownership through a recently constituted mortgage category: a subprime mortgage, predatory lenders have targeted low-income consumers. </w:t>
      </w:r>
      <w:r w:rsidR="0075778A" w:rsidRPr="00BD7B7F">
        <w:rPr>
          <w:rFonts w:ascii="Times New Roman" w:hAnsi="Times New Roman" w:cs="Times New Roman"/>
          <w:sz w:val="24"/>
          <w:szCs w:val="24"/>
        </w:rPr>
        <w:t>These loans were given to applicants with less- than perfect credit, and frequently no income documentation or even a down payment was required. They had adjustable rates that initially began off low but would “reset” to a higher rate each year or whenever the going interest rate climbed.</w:t>
      </w:r>
    </w:p>
    <w:p w14:paraId="6C820ADB" w14:textId="4F715438" w:rsidR="0075778A" w:rsidRPr="00BD7B7F" w:rsidRDefault="0075778A" w:rsidP="0075778A">
      <w:pPr>
        <w:jc w:val="both"/>
        <w:rPr>
          <w:rFonts w:ascii="Times New Roman" w:hAnsi="Times New Roman" w:cs="Times New Roman"/>
          <w:sz w:val="24"/>
          <w:szCs w:val="24"/>
        </w:rPr>
      </w:pPr>
      <w:r w:rsidRPr="00BD7B7F">
        <w:rPr>
          <w:rFonts w:ascii="Times New Roman" w:hAnsi="Times New Roman" w:cs="Times New Roman"/>
          <w:sz w:val="24"/>
          <w:szCs w:val="24"/>
        </w:rPr>
        <w:t xml:space="preserve">Subprime mortgages were difficult to understand and had complicated terms. In 2004, the Fed started a series of interest rate hikes to combat inflation. Between 2004 and 2006, millions of </w:t>
      </w:r>
      <w:r w:rsidRPr="00BD7B7F">
        <w:rPr>
          <w:rFonts w:ascii="Times New Roman" w:hAnsi="Times New Roman" w:cs="Times New Roman"/>
          <w:sz w:val="24"/>
          <w:szCs w:val="24"/>
        </w:rPr>
        <w:lastRenderedPageBreak/>
        <w:t>borrowers were unable to pay their significantly more costly mortgages and defaulted as a result. Banks were left to pay the bill.</w:t>
      </w:r>
    </w:p>
    <w:p w14:paraId="458E7095" w14:textId="77777777" w:rsidR="00FC668D" w:rsidRPr="00BD7B7F" w:rsidRDefault="00FC668D" w:rsidP="00CA15E2">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DF1A73" w14:textId="56DBB3D2" w:rsidR="00527D73" w:rsidRPr="00434398" w:rsidRDefault="00BA1DF0" w:rsidP="00CA15E2">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LAWS AND REGULATIONS ENACTED IN THE UK</w:t>
      </w:r>
    </w:p>
    <w:p w14:paraId="31067F13" w14:textId="77777777" w:rsidR="00527D73" w:rsidRPr="00BD7B7F" w:rsidRDefault="00527D73" w:rsidP="00527D73">
      <w:pPr>
        <w:jc w:val="both"/>
        <w:rPr>
          <w:rFonts w:ascii="Times New Roman" w:hAnsi="Times New Roman" w:cs="Times New Roman"/>
          <w:sz w:val="24"/>
          <w:szCs w:val="24"/>
        </w:rPr>
      </w:pPr>
      <w:r w:rsidRPr="00BD7B7F">
        <w:rPr>
          <w:rFonts w:ascii="Times New Roman" w:hAnsi="Times New Roman" w:cs="Times New Roman"/>
          <w:sz w:val="24"/>
          <w:szCs w:val="24"/>
        </w:rPr>
        <w:t>The UK government took a range of measures to address the causes of the financial crisis, including enacting new laws and regulations aimed at strengthening the country's financial system. Some of the key laws and regulations enacted in the UK post-2008 include:</w:t>
      </w:r>
    </w:p>
    <w:p w14:paraId="11C57D94" w14:textId="77777777" w:rsidR="000B27DE" w:rsidRPr="00BD7B7F" w:rsidRDefault="005F0129" w:rsidP="00527D73">
      <w:pPr>
        <w:jc w:val="both"/>
        <w:rPr>
          <w:rFonts w:ascii="Times New Roman" w:hAnsi="Times New Roman" w:cs="Times New Roman"/>
          <w:sz w:val="24"/>
          <w:szCs w:val="24"/>
        </w:rPr>
      </w:pPr>
      <w:r w:rsidRPr="00BD7B7F">
        <w:rPr>
          <w:rFonts w:ascii="Times New Roman" w:hAnsi="Times New Roman" w:cs="Times New Roman"/>
          <w:b/>
          <w:bCs/>
          <w:sz w:val="24"/>
          <w:szCs w:val="24"/>
        </w:rPr>
        <w:t>THE FINANCIAL SERVICES ACT 2010</w:t>
      </w:r>
      <w:r w:rsidRPr="00BD7B7F">
        <w:rPr>
          <w:rFonts w:ascii="Times New Roman" w:hAnsi="Times New Roman" w:cs="Times New Roman"/>
          <w:sz w:val="24"/>
          <w:szCs w:val="24"/>
        </w:rPr>
        <w:t xml:space="preserve"> </w:t>
      </w:r>
      <w:r w:rsidR="00527D73" w:rsidRPr="00BD7B7F">
        <w:rPr>
          <w:rFonts w:ascii="Times New Roman" w:hAnsi="Times New Roman" w:cs="Times New Roman"/>
          <w:sz w:val="24"/>
          <w:szCs w:val="24"/>
        </w:rPr>
        <w:t xml:space="preserve">- This Act aimed to strengthen the regulation of the UK financial services industry, including measures to prevent future financial crises. </w:t>
      </w:r>
      <w:r w:rsidR="000B27DE" w:rsidRPr="00BD7B7F">
        <w:rPr>
          <w:rFonts w:ascii="Times New Roman" w:hAnsi="Times New Roman" w:cs="Times New Roman"/>
          <w:sz w:val="24"/>
          <w:szCs w:val="24"/>
        </w:rPr>
        <w:t>The Financial Policy Committee (FPC), which was established under the Act, is in charge of detecting, monitoring, and addressing systemic threats to the financial system.</w:t>
      </w:r>
      <w:r w:rsidR="00527D73" w:rsidRPr="00BD7B7F">
        <w:rPr>
          <w:rFonts w:ascii="Times New Roman" w:hAnsi="Times New Roman" w:cs="Times New Roman"/>
          <w:sz w:val="24"/>
          <w:szCs w:val="24"/>
        </w:rPr>
        <w:t xml:space="preserve"> </w:t>
      </w:r>
      <w:r w:rsidR="000B27DE" w:rsidRPr="00BD7B7F">
        <w:rPr>
          <w:rFonts w:ascii="Times New Roman" w:hAnsi="Times New Roman" w:cs="Times New Roman"/>
          <w:sz w:val="24"/>
          <w:szCs w:val="24"/>
        </w:rPr>
        <w:t>The Act also created the UK's banking and financial services industries' regulatory bodies, the Prudential Regulation Authority (PRA) and the Financial Conduct Authority (FCA).</w:t>
      </w:r>
    </w:p>
    <w:p w14:paraId="5969E9A4" w14:textId="77777777" w:rsidR="000B27DE" w:rsidRPr="00BD7B7F" w:rsidRDefault="005F0129" w:rsidP="00527D73">
      <w:pPr>
        <w:jc w:val="both"/>
        <w:rPr>
          <w:rFonts w:ascii="Times New Roman" w:hAnsi="Times New Roman" w:cs="Times New Roman"/>
          <w:sz w:val="24"/>
          <w:szCs w:val="24"/>
        </w:rPr>
      </w:pPr>
      <w:r w:rsidRPr="00BD7B7F">
        <w:rPr>
          <w:rFonts w:ascii="Times New Roman" w:hAnsi="Times New Roman" w:cs="Times New Roman"/>
          <w:b/>
          <w:bCs/>
          <w:sz w:val="24"/>
          <w:szCs w:val="24"/>
        </w:rPr>
        <w:t>THE BANKING ACT 2009</w:t>
      </w:r>
      <w:r w:rsidRPr="00BD7B7F">
        <w:rPr>
          <w:rFonts w:ascii="Times New Roman" w:hAnsi="Times New Roman" w:cs="Times New Roman"/>
          <w:sz w:val="24"/>
          <w:szCs w:val="24"/>
        </w:rPr>
        <w:t xml:space="preserve"> </w:t>
      </w:r>
      <w:r w:rsidR="00527D73" w:rsidRPr="00BD7B7F">
        <w:rPr>
          <w:rFonts w:ascii="Times New Roman" w:hAnsi="Times New Roman" w:cs="Times New Roman"/>
          <w:sz w:val="24"/>
          <w:szCs w:val="24"/>
        </w:rPr>
        <w:t xml:space="preserve">- </w:t>
      </w:r>
      <w:r w:rsidR="000B27DE" w:rsidRPr="00BD7B7F">
        <w:rPr>
          <w:rFonts w:ascii="Times New Roman" w:hAnsi="Times New Roman" w:cs="Times New Roman"/>
          <w:sz w:val="24"/>
          <w:szCs w:val="24"/>
        </w:rPr>
        <w:t>The purpose of this Act was to address the problem of banks being "too big to fail" by establishing a framework for the swift resolution of failing institutions.</w:t>
      </w:r>
      <w:r w:rsidR="00527D73" w:rsidRPr="00BD7B7F">
        <w:rPr>
          <w:rFonts w:ascii="Times New Roman" w:hAnsi="Times New Roman" w:cs="Times New Roman"/>
          <w:sz w:val="24"/>
          <w:szCs w:val="24"/>
        </w:rPr>
        <w:t xml:space="preserve"> The Act established the Special Resolution Regime (SRR), which gives the Bank of England the power to take over and resolve a failing bank in an orderly manner, without disrupting the wider financial system.</w:t>
      </w:r>
      <w:r w:rsidR="00CB2B81" w:rsidRPr="00BD7B7F">
        <w:rPr>
          <w:rFonts w:ascii="Times New Roman" w:hAnsi="Times New Roman" w:cs="Times New Roman"/>
          <w:sz w:val="24"/>
          <w:szCs w:val="24"/>
        </w:rPr>
        <w:t xml:space="preserve"> </w:t>
      </w:r>
      <w:r w:rsidR="000B27DE" w:rsidRPr="00BD7B7F">
        <w:rPr>
          <w:rFonts w:ascii="Times New Roman" w:hAnsi="Times New Roman" w:cs="Times New Roman"/>
          <w:sz w:val="24"/>
          <w:szCs w:val="24"/>
        </w:rPr>
        <w:t>The Banking Act 2009 was passed on February 12, 2009, and its primary provisions took effect when the Banking Act of 2008 expired on February 21, 2009.</w:t>
      </w:r>
    </w:p>
    <w:p w14:paraId="6659B09F" w14:textId="3DE370C4" w:rsidR="00527D73" w:rsidRPr="00BD7B7F" w:rsidRDefault="005F0129" w:rsidP="00527D73">
      <w:pPr>
        <w:jc w:val="both"/>
        <w:rPr>
          <w:rFonts w:ascii="Times New Roman" w:hAnsi="Times New Roman" w:cs="Times New Roman"/>
          <w:sz w:val="24"/>
          <w:szCs w:val="24"/>
        </w:rPr>
      </w:pPr>
      <w:r w:rsidRPr="00BD7B7F">
        <w:rPr>
          <w:rFonts w:ascii="Times New Roman" w:hAnsi="Times New Roman" w:cs="Times New Roman"/>
          <w:b/>
          <w:bCs/>
          <w:sz w:val="24"/>
          <w:szCs w:val="24"/>
        </w:rPr>
        <w:t>THE FINANCIAL SERVICES (BANKING REFORM) ACT 2013</w:t>
      </w:r>
      <w:r w:rsidRPr="00BD7B7F">
        <w:rPr>
          <w:rFonts w:ascii="Times New Roman" w:hAnsi="Times New Roman" w:cs="Times New Roman"/>
          <w:sz w:val="24"/>
          <w:szCs w:val="24"/>
        </w:rPr>
        <w:t xml:space="preserve"> </w:t>
      </w:r>
      <w:r w:rsidR="00527D73" w:rsidRPr="00BD7B7F">
        <w:rPr>
          <w:rFonts w:ascii="Times New Roman" w:hAnsi="Times New Roman" w:cs="Times New Roman"/>
          <w:sz w:val="24"/>
          <w:szCs w:val="24"/>
        </w:rPr>
        <w:t>- This Act aimed to strengthen the UK banking sector by introducing a range of reforms, including ring-fencing, which requires banks to separate their retail and investment banking operations. The Act also introduced a range of measures to improve corporate governance and increase accountability within the banking sector.</w:t>
      </w:r>
    </w:p>
    <w:p w14:paraId="0C93B413" w14:textId="0E88FF7D" w:rsidR="00CA15E2" w:rsidRPr="00BD7B7F" w:rsidRDefault="005F0129" w:rsidP="00791CAE">
      <w:pPr>
        <w:jc w:val="both"/>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D7B7F">
        <w:rPr>
          <w:rFonts w:ascii="Times New Roman" w:hAnsi="Times New Roman" w:cs="Times New Roman"/>
          <w:b/>
          <w:bCs/>
          <w:sz w:val="24"/>
          <w:szCs w:val="24"/>
        </w:rPr>
        <w:t>THE SENIOR MANAGERS AND CERTIFICATION REGIME (SMCR)</w:t>
      </w:r>
      <w:r w:rsidRPr="00BD7B7F">
        <w:rPr>
          <w:rFonts w:ascii="Times New Roman" w:hAnsi="Times New Roman" w:cs="Times New Roman"/>
          <w:sz w:val="24"/>
          <w:szCs w:val="24"/>
        </w:rPr>
        <w:t xml:space="preserve"> </w:t>
      </w:r>
      <w:r w:rsidR="00527D73" w:rsidRPr="00BD7B7F">
        <w:rPr>
          <w:rFonts w:ascii="Times New Roman" w:hAnsi="Times New Roman" w:cs="Times New Roman"/>
          <w:sz w:val="24"/>
          <w:szCs w:val="24"/>
        </w:rPr>
        <w:t>- This regime came into force in March 2016 and aimed to increase accountability within the banking sector by introducing a new framework for senior management responsibility. The regime requires senior managers to be held accountable for the conduct of their business areas and to demonstrate that they have taken reasonable steps to prevent misconduct.</w:t>
      </w:r>
    </w:p>
    <w:p w14:paraId="573F519C" w14:textId="77777777" w:rsidR="00FB6E31" w:rsidRPr="00BD7B7F" w:rsidRDefault="00FB6E31" w:rsidP="00CA15E2">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7F1511" w14:textId="2D50B746" w:rsidR="00527D73" w:rsidRPr="00434398" w:rsidRDefault="005F0129" w:rsidP="00CA15E2">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LAWS AND REGULATIONS ENACTED IN THE US</w:t>
      </w:r>
    </w:p>
    <w:p w14:paraId="13580E23" w14:textId="77777777" w:rsidR="00527D73" w:rsidRPr="00BD7B7F" w:rsidRDefault="00527D73" w:rsidP="00527D73">
      <w:pPr>
        <w:jc w:val="both"/>
        <w:rPr>
          <w:rFonts w:ascii="Times New Roman" w:hAnsi="Times New Roman" w:cs="Times New Roman"/>
          <w:sz w:val="24"/>
          <w:szCs w:val="24"/>
        </w:rPr>
      </w:pPr>
      <w:r w:rsidRPr="00BD7B7F">
        <w:rPr>
          <w:rFonts w:ascii="Times New Roman" w:hAnsi="Times New Roman" w:cs="Times New Roman"/>
          <w:sz w:val="24"/>
          <w:szCs w:val="24"/>
        </w:rPr>
        <w:t>The US government responded to the financial crisis by enacting a range of new laws and regulations aimed at strengthening the country's financial system. Some of the key laws and regulations enacted in the US post-2008 include:</w:t>
      </w:r>
    </w:p>
    <w:p w14:paraId="031C5C91" w14:textId="1E6D51CF" w:rsidR="00FC668D" w:rsidRDefault="000B27DE" w:rsidP="00527D73">
      <w:pPr>
        <w:jc w:val="both"/>
        <w:rPr>
          <w:rFonts w:ascii="Times New Roman" w:hAnsi="Times New Roman" w:cs="Times New Roman"/>
          <w:sz w:val="24"/>
          <w:szCs w:val="24"/>
        </w:rPr>
      </w:pPr>
      <w:r w:rsidRPr="00BD7B7F">
        <w:rPr>
          <w:rFonts w:ascii="Times New Roman" w:hAnsi="Times New Roman" w:cs="Times New Roman"/>
          <w:b/>
          <w:bCs/>
          <w:sz w:val="24"/>
          <w:szCs w:val="24"/>
        </w:rPr>
        <w:t xml:space="preserve">WALL STREET REFORM AND CONSUMER PROTECTION ACT OF DODD-FRANK </w:t>
      </w:r>
      <w:r w:rsidR="005F0129" w:rsidRPr="00BD7B7F">
        <w:rPr>
          <w:rFonts w:ascii="Times New Roman" w:hAnsi="Times New Roman" w:cs="Times New Roman"/>
          <w:b/>
          <w:bCs/>
          <w:sz w:val="24"/>
          <w:szCs w:val="24"/>
        </w:rPr>
        <w:t>-</w:t>
      </w:r>
      <w:r w:rsidR="005F0129" w:rsidRPr="00BD7B7F">
        <w:rPr>
          <w:rFonts w:ascii="Times New Roman" w:hAnsi="Times New Roman" w:cs="Times New Roman"/>
          <w:sz w:val="24"/>
          <w:szCs w:val="24"/>
        </w:rPr>
        <w:t xml:space="preserve"> </w:t>
      </w:r>
      <w:r w:rsidRPr="00BD7B7F">
        <w:rPr>
          <w:rFonts w:ascii="Times New Roman" w:hAnsi="Times New Roman" w:cs="Times New Roman"/>
          <w:sz w:val="24"/>
          <w:szCs w:val="24"/>
        </w:rPr>
        <w:t xml:space="preserve">By implementing a number of reforms to the US financial sector, this Act, which was passed in 2010, sought to avert further financial disasters. The Financial Stability Oversight Council (FSOC), which is in charge of identifying and keeping track of systemic threats to the US financial system, was established by the Act. The Consumer Financial </w:t>
      </w:r>
      <w:r w:rsidRPr="00BD7B7F">
        <w:rPr>
          <w:rFonts w:ascii="Times New Roman" w:hAnsi="Times New Roman" w:cs="Times New Roman"/>
          <w:sz w:val="24"/>
          <w:szCs w:val="24"/>
        </w:rPr>
        <w:lastRenderedPageBreak/>
        <w:t>Protection Bureau (CFPB), which is in charge of defending consumers against financial fraud and abuse, was also established under the Act.</w:t>
      </w:r>
    </w:p>
    <w:p w14:paraId="0D7E6094" w14:textId="76F4B6EE" w:rsidR="00887370" w:rsidRPr="00BD7B7F" w:rsidRDefault="00887370" w:rsidP="00527D73">
      <w:pPr>
        <w:jc w:val="both"/>
        <w:rPr>
          <w:rFonts w:ascii="Times New Roman" w:hAnsi="Times New Roman" w:cs="Times New Roman"/>
          <w:sz w:val="24"/>
          <w:szCs w:val="24"/>
        </w:rPr>
      </w:pPr>
    </w:p>
    <w:p w14:paraId="0E250F85" w14:textId="1154C575" w:rsidR="00405A40" w:rsidRPr="00434398" w:rsidRDefault="00CA15E2" w:rsidP="00CA15E2">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4398">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 OF THE DODD- FRANK ACT:</w:t>
      </w:r>
    </w:p>
    <w:p w14:paraId="576DA159" w14:textId="2D4A38F6" w:rsidR="00405A40" w:rsidRPr="00BD7B7F" w:rsidRDefault="00405A40" w:rsidP="00527D73">
      <w:pPr>
        <w:jc w:val="both"/>
        <w:rPr>
          <w:rFonts w:ascii="Times New Roman" w:hAnsi="Times New Roman" w:cs="Times New Roman"/>
          <w:sz w:val="24"/>
          <w:szCs w:val="24"/>
        </w:rPr>
      </w:pPr>
      <w:r w:rsidRPr="00BD7B7F">
        <w:rPr>
          <w:rFonts w:ascii="Times New Roman" w:hAnsi="Times New Roman" w:cs="Times New Roman"/>
          <w:sz w:val="24"/>
          <w:szCs w:val="24"/>
        </w:rPr>
        <w:t>The following list of essential legal provisions explains how they operate:</w:t>
      </w:r>
    </w:p>
    <w:p w14:paraId="5A3F4AFD" w14:textId="6F6DBF31" w:rsidR="00756EF6" w:rsidRPr="00BD7B7F" w:rsidRDefault="00405A40" w:rsidP="00527D73">
      <w:pPr>
        <w:jc w:val="both"/>
        <w:rPr>
          <w:rFonts w:ascii="Times New Roman" w:hAnsi="Times New Roman" w:cs="Times New Roman"/>
          <w:sz w:val="24"/>
          <w:szCs w:val="24"/>
        </w:rPr>
      </w:pPr>
      <w:r w:rsidRPr="00BD7B7F">
        <w:rPr>
          <w:rFonts w:ascii="Times New Roman" w:hAnsi="Times New Roman" w:cs="Times New Roman"/>
          <w:b/>
          <w:bCs/>
          <w:sz w:val="24"/>
          <w:szCs w:val="24"/>
        </w:rPr>
        <w:t>FINANCIAL STABILITY:</w:t>
      </w:r>
      <w:r w:rsidRPr="00BD7B7F">
        <w:rPr>
          <w:rFonts w:ascii="Times New Roman" w:hAnsi="Times New Roman" w:cs="Times New Roman"/>
          <w:sz w:val="24"/>
          <w:szCs w:val="24"/>
        </w:rPr>
        <w:t xml:space="preserve"> </w:t>
      </w:r>
      <w:r w:rsidR="00756EF6" w:rsidRPr="00BD7B7F">
        <w:rPr>
          <w:rFonts w:ascii="Times New Roman" w:hAnsi="Times New Roman" w:cs="Times New Roman"/>
          <w:sz w:val="24"/>
          <w:szCs w:val="24"/>
        </w:rPr>
        <w:t xml:space="preserve">According to the Dodd-Frank Act, the financial soundness Oversight Council and the Orderly Liquidation Authority are in charge of monitoring the financial soundness of major financial institutions. </w:t>
      </w:r>
      <w:r w:rsidR="004B6011" w:rsidRPr="00BD7B7F">
        <w:rPr>
          <w:rFonts w:ascii="Times New Roman" w:hAnsi="Times New Roman" w:cs="Times New Roman"/>
          <w:sz w:val="24"/>
          <w:szCs w:val="24"/>
        </w:rPr>
        <w:t xml:space="preserve">It is believed that these businesses are "too big to fail," and their failure might have a serious negative effect on the American economy. Through the Orderly Liquidation Fund, the law also permits liquidations and restructurings. This fund was formed to help with the liquidation of financial institutions that have been put under receivership in order to prevent utilising tax funds to maintain such institutions. Banks that the council decides pose a systemic risk and are considered to be excessively large may be dissolved. Additionally, it might compel banks to raise their reserve requirements. </w:t>
      </w:r>
      <w:r w:rsidR="00756EF6" w:rsidRPr="00BD7B7F">
        <w:rPr>
          <w:rFonts w:ascii="Times New Roman" w:hAnsi="Times New Roman" w:cs="Times New Roman"/>
          <w:sz w:val="24"/>
          <w:szCs w:val="24"/>
        </w:rPr>
        <w:t>The newly created Federal Insurance Office was tasked with locating and managing insurance companies that also appeared to be too large to fail.</w:t>
      </w:r>
    </w:p>
    <w:p w14:paraId="00E7BE84" w14:textId="77777777" w:rsidR="00756EF6" w:rsidRPr="00BD7B7F" w:rsidRDefault="00405A40" w:rsidP="00527D73">
      <w:pPr>
        <w:jc w:val="both"/>
        <w:rPr>
          <w:rFonts w:ascii="Times New Roman" w:hAnsi="Times New Roman" w:cs="Times New Roman"/>
          <w:sz w:val="24"/>
          <w:szCs w:val="24"/>
        </w:rPr>
      </w:pPr>
      <w:r w:rsidRPr="00BD7B7F">
        <w:rPr>
          <w:rFonts w:ascii="Times New Roman" w:hAnsi="Times New Roman" w:cs="Times New Roman"/>
          <w:b/>
          <w:bCs/>
          <w:sz w:val="24"/>
          <w:szCs w:val="24"/>
        </w:rPr>
        <w:t>CONSUMER FINANCIAL PROTECTION BUREAU (CFPB):</w:t>
      </w:r>
      <w:r w:rsidRPr="00BD7B7F">
        <w:rPr>
          <w:rFonts w:ascii="Times New Roman" w:hAnsi="Times New Roman" w:cs="Times New Roman"/>
          <w:sz w:val="24"/>
          <w:szCs w:val="24"/>
        </w:rPr>
        <w:t xml:space="preserve"> </w:t>
      </w:r>
      <w:r w:rsidR="00756EF6" w:rsidRPr="00BD7B7F">
        <w:rPr>
          <w:rFonts w:ascii="Times New Roman" w:hAnsi="Times New Roman" w:cs="Times New Roman"/>
          <w:sz w:val="24"/>
          <w:szCs w:val="24"/>
        </w:rPr>
        <w:t>In order to stop predatory mortgage lending and help customers understand a mortgage's terms before signing, the CFPB was established under Dodd-Frank. This was in line with the commonly held perception that the subprime mortgage industry was the main cause of the catastrophe in 2007–2008. The Consumer Financial Protection Bureau (CFPB) forbids mortgage brokers from accepting greater commissions when they conclude loans with higher fees and/or interest rates. It forbids mortgage brokers from steering potential borrowers towards loans that will generate the highest commission for the broker. In addition, the CFPB handles consumer complaints and oversees other types of consumer lending, including debit and credit cards. With the exception of auto lenders, lenders must give information that is easy for customers to read and understand. One such instance is the new, simpler terms on credit card applications.</w:t>
      </w:r>
    </w:p>
    <w:p w14:paraId="5F28F6F5" w14:textId="77777777" w:rsidR="00756EF6" w:rsidRPr="00BD7B7F" w:rsidRDefault="00CA15E2" w:rsidP="00527D73">
      <w:pPr>
        <w:jc w:val="both"/>
        <w:rPr>
          <w:rFonts w:ascii="Times New Roman" w:hAnsi="Times New Roman" w:cs="Times New Roman"/>
          <w:sz w:val="24"/>
          <w:szCs w:val="24"/>
        </w:rPr>
      </w:pPr>
      <w:r w:rsidRPr="00BD7B7F">
        <w:rPr>
          <w:rFonts w:ascii="Times New Roman" w:hAnsi="Times New Roman" w:cs="Times New Roman"/>
          <w:b/>
          <w:bCs/>
          <w:sz w:val="24"/>
          <w:szCs w:val="24"/>
        </w:rPr>
        <w:t>VOLCKER RULE:</w:t>
      </w:r>
      <w:r w:rsidRPr="00BD7B7F">
        <w:rPr>
          <w:rFonts w:ascii="Times New Roman" w:hAnsi="Times New Roman" w:cs="Times New Roman"/>
          <w:sz w:val="24"/>
          <w:szCs w:val="24"/>
        </w:rPr>
        <w:t xml:space="preserve"> </w:t>
      </w:r>
      <w:r w:rsidR="00756EF6" w:rsidRPr="00BD7B7F">
        <w:rPr>
          <w:rFonts w:ascii="Times New Roman" w:hAnsi="Times New Roman" w:cs="Times New Roman"/>
          <w:sz w:val="24"/>
          <w:szCs w:val="24"/>
        </w:rPr>
        <w:t>The Volcker Rule restricts banks' ability to invest and imposes constraints on speculative trading and proprietary trading. Working with banks is not permitted for hedge funds and private equity firms due to their reputation as being too hazardous. To avoid conflicts of interest, financial institutions are not permitted to trade proprietarily without having enough "skin in the game." The Volcker Rule is obviously opposing the Glass-Steagall Act of 1933, which was the first to recognise the risks involved in financial institutions providing both commercial and investment banking services at the same time. A regulation of derivatives, particularly credit default swaps, which were mainly attributed to the financial crisis of 2007–2008, is also included in the legislation. Dodd-Frank established centralised exchanges for trading swaps to reduce the risk of counterparty default. A larger disclosure of swap transaction information was required to increase openness in such marketplaces. The Volcker Rule also regulates how financial institutions employ derivatives in an effort to prevent "too big to fail" businesses from taking huge risks that could hurt the economy as a whole.</w:t>
      </w:r>
    </w:p>
    <w:p w14:paraId="7538FABB" w14:textId="77777777" w:rsidR="000D4B43" w:rsidRPr="00BD7B7F" w:rsidRDefault="00CA15E2" w:rsidP="00527D73">
      <w:pPr>
        <w:jc w:val="both"/>
        <w:rPr>
          <w:rFonts w:ascii="Times New Roman" w:hAnsi="Times New Roman" w:cs="Times New Roman"/>
          <w:sz w:val="24"/>
          <w:szCs w:val="24"/>
        </w:rPr>
      </w:pPr>
      <w:r w:rsidRPr="00BD7B7F">
        <w:rPr>
          <w:rFonts w:ascii="Times New Roman" w:hAnsi="Times New Roman" w:cs="Times New Roman"/>
          <w:b/>
          <w:bCs/>
          <w:sz w:val="24"/>
          <w:szCs w:val="24"/>
        </w:rPr>
        <w:t>THE SECURITIES AND EXCHANGE COMMISSION (SEC):</w:t>
      </w:r>
      <w:r w:rsidRPr="00BD7B7F">
        <w:rPr>
          <w:rFonts w:ascii="Times New Roman" w:hAnsi="Times New Roman" w:cs="Times New Roman"/>
          <w:sz w:val="24"/>
          <w:szCs w:val="24"/>
        </w:rPr>
        <w:t xml:space="preserve"> </w:t>
      </w:r>
      <w:r w:rsidR="000D4B43" w:rsidRPr="00BD7B7F">
        <w:rPr>
          <w:rFonts w:ascii="Times New Roman" w:hAnsi="Times New Roman" w:cs="Times New Roman"/>
          <w:sz w:val="24"/>
          <w:szCs w:val="24"/>
        </w:rPr>
        <w:t xml:space="preserve">Dodd-Frank established the Office of Credit Ratings at the Securities and Exchange Commission (SEC) in response to allegations that investment ratings provided by credit rating agencies in the years prior to the </w:t>
      </w:r>
      <w:r w:rsidR="000D4B43" w:rsidRPr="00BD7B7F">
        <w:rPr>
          <w:rFonts w:ascii="Times New Roman" w:hAnsi="Times New Roman" w:cs="Times New Roman"/>
          <w:sz w:val="24"/>
          <w:szCs w:val="24"/>
        </w:rPr>
        <w:lastRenderedPageBreak/>
        <w:t>financial crisis were deceptively favourable. It is the duty of the agency to ensure that the organisations it examines provide accurate and reliable credit ratings for businesses, governments, and other bodies.</w:t>
      </w:r>
    </w:p>
    <w:p w14:paraId="1EBEEDCD" w14:textId="7C14F7E4" w:rsidR="00B65EB8" w:rsidRDefault="00CA15E2" w:rsidP="00527D73">
      <w:pPr>
        <w:jc w:val="both"/>
        <w:rPr>
          <w:rFonts w:ascii="Times New Roman" w:hAnsi="Times New Roman" w:cs="Times New Roman"/>
          <w:sz w:val="24"/>
          <w:szCs w:val="24"/>
        </w:rPr>
      </w:pPr>
      <w:r w:rsidRPr="00BD7B7F">
        <w:rPr>
          <w:rFonts w:ascii="Times New Roman" w:hAnsi="Times New Roman" w:cs="Times New Roman"/>
          <w:b/>
          <w:bCs/>
          <w:sz w:val="24"/>
          <w:szCs w:val="24"/>
        </w:rPr>
        <w:t>WHISTLE BLOWER PROGRAMME:</w:t>
      </w:r>
      <w:r w:rsidRPr="00BD7B7F">
        <w:rPr>
          <w:rFonts w:ascii="Times New Roman" w:hAnsi="Times New Roman" w:cs="Times New Roman"/>
          <w:sz w:val="24"/>
          <w:szCs w:val="24"/>
        </w:rPr>
        <w:t xml:space="preserve"> </w:t>
      </w:r>
      <w:r w:rsidR="000D4B43" w:rsidRPr="00BD7B7F">
        <w:rPr>
          <w:rFonts w:ascii="Times New Roman" w:hAnsi="Times New Roman" w:cs="Times New Roman"/>
          <w:sz w:val="24"/>
          <w:szCs w:val="24"/>
        </w:rPr>
        <w:t>Dodd-Frank improved and enlarged the whistle blower programme of the Sarbanes-Oxley Act (SOX) of 2002. It specifically expanded the definition of a covered employee to include employees of a company's subsidiaries and affiliates, established a mandatory whistle blower reward programme under which informants can receive 10% to 30% of the proceeds from a litigation settlement, and increased the statute of limitations for informants to file a claim against their employer from 90 to 180 days after the discovery of a violation.</w:t>
      </w:r>
    </w:p>
    <w:p w14:paraId="32178931" w14:textId="77777777" w:rsidR="0094055B" w:rsidRPr="00BD7B7F" w:rsidRDefault="0094055B" w:rsidP="00527D73">
      <w:pPr>
        <w:jc w:val="both"/>
        <w:rPr>
          <w:rFonts w:ascii="Times New Roman" w:hAnsi="Times New Roman" w:cs="Times New Roman"/>
          <w:sz w:val="24"/>
          <w:szCs w:val="24"/>
        </w:rPr>
      </w:pPr>
    </w:p>
    <w:p w14:paraId="2747AC3C" w14:textId="77777777" w:rsidR="00B65EB8" w:rsidRPr="0094055B" w:rsidRDefault="00B65EB8" w:rsidP="00B65EB8">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PRIORITY REFORMS</w:t>
      </w:r>
    </w:p>
    <w:p w14:paraId="7EC6140F" w14:textId="77777777" w:rsidR="00891CC0" w:rsidRPr="00BD7B7F" w:rsidRDefault="00891CC0" w:rsidP="00891CC0">
      <w:pPr>
        <w:jc w:val="both"/>
        <w:rPr>
          <w:rFonts w:ascii="Times New Roman" w:hAnsi="Times New Roman" w:cs="Times New Roman"/>
          <w:sz w:val="24"/>
          <w:szCs w:val="24"/>
        </w:rPr>
      </w:pPr>
      <w:r w:rsidRPr="00BD7B7F">
        <w:rPr>
          <w:rFonts w:ascii="Times New Roman" w:hAnsi="Times New Roman" w:cs="Times New Roman"/>
          <w:sz w:val="24"/>
          <w:szCs w:val="24"/>
        </w:rPr>
        <w:t>The G20 determined to radically alter the global financial system in light of the severe economic and social devastation brought on by the 2008 financial crisis. In order to better fulfil the needs of the actual economy, the objectives were to solve the structural problems that contributed to the global financial crisis and to provide safer, more predictable sources of funding. A comprehensive framework for international regulation and oversight of the current global financial system was required by the G20 and will be developed and coordinated by the FSB.</w:t>
      </w:r>
    </w:p>
    <w:p w14:paraId="6105E456" w14:textId="77777777" w:rsidR="00891CC0" w:rsidRPr="00BD7B7F" w:rsidRDefault="00891CC0" w:rsidP="00891CC0">
      <w:pPr>
        <w:jc w:val="both"/>
        <w:rPr>
          <w:rFonts w:ascii="Times New Roman" w:hAnsi="Times New Roman" w:cs="Times New Roman"/>
          <w:sz w:val="24"/>
          <w:szCs w:val="24"/>
        </w:rPr>
      </w:pPr>
      <w:r w:rsidRPr="00BD7B7F">
        <w:rPr>
          <w:rFonts w:ascii="Times New Roman" w:hAnsi="Times New Roman" w:cs="Times New Roman"/>
          <w:sz w:val="24"/>
          <w:szCs w:val="24"/>
        </w:rPr>
        <w:t>By reducing the likelihood of future financial crises and the effects of financial instability on the real economy, these measures provided a significant contribution to the G20's primary goal of robust, sustainable, and balanced growth.</w:t>
      </w:r>
    </w:p>
    <w:p w14:paraId="0228C21A" w14:textId="62CCAC96" w:rsidR="00B65EB8" w:rsidRPr="00BD7B7F" w:rsidRDefault="00B65EB8" w:rsidP="00891CC0">
      <w:pPr>
        <w:jc w:val="both"/>
        <w:rPr>
          <w:rFonts w:ascii="Times New Roman" w:hAnsi="Times New Roman" w:cs="Times New Roman"/>
          <w:sz w:val="24"/>
          <w:szCs w:val="24"/>
        </w:rPr>
      </w:pPr>
      <w:r w:rsidRPr="00BD7B7F">
        <w:rPr>
          <w:rFonts w:ascii="Times New Roman" w:hAnsi="Times New Roman" w:cs="Times New Roman"/>
          <w:sz w:val="24"/>
          <w:szCs w:val="24"/>
        </w:rPr>
        <w:t>Below are few Priority reforms</w:t>
      </w:r>
    </w:p>
    <w:p w14:paraId="70AB1218"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Making Financial Institutions More Resistant</w:t>
      </w:r>
    </w:p>
    <w:p w14:paraId="6DE21AD4"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Eliminating "too big to fail"</w:t>
      </w:r>
    </w:p>
    <w:p w14:paraId="162C2E61"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Policies and Procedures for Effective Resolution</w:t>
      </w:r>
    </w:p>
    <w:p w14:paraId="37FC005A"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Improved Supervision</w:t>
      </w:r>
    </w:p>
    <w:p w14:paraId="59A6509D"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Improving market safety for derivatives</w:t>
      </w:r>
    </w:p>
    <w:p w14:paraId="5C6F81A8" w14:textId="77777777" w:rsidR="00B65EB8" w:rsidRPr="00BD7B7F" w:rsidRDefault="00B65EB8" w:rsidP="00B65EB8">
      <w:pPr>
        <w:pStyle w:val="ListParagraph"/>
        <w:numPr>
          <w:ilvl w:val="0"/>
          <w:numId w:val="3"/>
        </w:numPr>
        <w:jc w:val="both"/>
        <w:rPr>
          <w:rFonts w:ascii="Times New Roman" w:hAnsi="Times New Roman" w:cs="Times New Roman"/>
          <w:sz w:val="24"/>
          <w:szCs w:val="24"/>
        </w:rPr>
      </w:pPr>
      <w:r w:rsidRPr="00BD7B7F">
        <w:rPr>
          <w:rFonts w:ascii="Times New Roman" w:hAnsi="Times New Roman" w:cs="Times New Roman"/>
          <w:sz w:val="24"/>
          <w:szCs w:val="24"/>
        </w:rPr>
        <w:t>Improvising non-bank financial intermediation's resilience</w:t>
      </w:r>
    </w:p>
    <w:p w14:paraId="3CCDF614" w14:textId="77777777" w:rsidR="00B65EB8" w:rsidRPr="00BD7B7F" w:rsidRDefault="00B65EB8" w:rsidP="00B65EB8">
      <w:pPr>
        <w:jc w:val="both"/>
        <w:rPr>
          <w:rFonts w:ascii="Times New Roman" w:hAnsi="Times New Roman" w:cs="Times New Roman"/>
          <w:sz w:val="24"/>
          <w:szCs w:val="24"/>
        </w:rPr>
      </w:pPr>
      <w:r w:rsidRPr="00BD7B7F">
        <w:rPr>
          <w:rFonts w:ascii="Times New Roman" w:hAnsi="Times New Roman" w:cs="Times New Roman"/>
          <w:sz w:val="24"/>
          <w:szCs w:val="24"/>
        </w:rPr>
        <w:t>Below are few other reforms</w:t>
      </w:r>
    </w:p>
    <w:p w14:paraId="44663442" w14:textId="77777777" w:rsidR="00B65EB8" w:rsidRPr="00BD7B7F" w:rsidRDefault="00B65EB8" w:rsidP="00B65EB8">
      <w:pPr>
        <w:pStyle w:val="ListParagraph"/>
        <w:numPr>
          <w:ilvl w:val="0"/>
          <w:numId w:val="5"/>
        </w:numPr>
        <w:jc w:val="both"/>
        <w:rPr>
          <w:rFonts w:ascii="Times New Roman" w:hAnsi="Times New Roman" w:cs="Times New Roman"/>
          <w:sz w:val="24"/>
          <w:szCs w:val="24"/>
        </w:rPr>
      </w:pPr>
      <w:r w:rsidRPr="00BD7B7F">
        <w:rPr>
          <w:rFonts w:ascii="Times New Roman" w:hAnsi="Times New Roman" w:cs="Times New Roman"/>
          <w:sz w:val="24"/>
          <w:szCs w:val="24"/>
        </w:rPr>
        <w:t>Taking Care of Data Gaps</w:t>
      </w:r>
    </w:p>
    <w:p w14:paraId="1FEF9D66" w14:textId="77777777" w:rsidR="00B65EB8" w:rsidRPr="00BD7B7F" w:rsidRDefault="00B65EB8" w:rsidP="00B65EB8">
      <w:pPr>
        <w:pStyle w:val="ListParagraph"/>
        <w:numPr>
          <w:ilvl w:val="0"/>
          <w:numId w:val="5"/>
        </w:numPr>
        <w:jc w:val="both"/>
        <w:rPr>
          <w:rFonts w:ascii="Times New Roman" w:hAnsi="Times New Roman" w:cs="Times New Roman"/>
          <w:sz w:val="24"/>
          <w:szCs w:val="24"/>
        </w:rPr>
      </w:pPr>
      <w:r w:rsidRPr="00BD7B7F">
        <w:rPr>
          <w:rFonts w:ascii="Times New Roman" w:hAnsi="Times New Roman" w:cs="Times New Roman"/>
          <w:sz w:val="24"/>
          <w:szCs w:val="24"/>
        </w:rPr>
        <w:t>Legal Entity Identifier (LEI)</w:t>
      </w:r>
    </w:p>
    <w:p w14:paraId="4676083A" w14:textId="77777777" w:rsidR="00B65EB8" w:rsidRPr="00BD7B7F" w:rsidRDefault="00B65EB8" w:rsidP="00B65EB8">
      <w:pPr>
        <w:pStyle w:val="ListParagraph"/>
        <w:numPr>
          <w:ilvl w:val="0"/>
          <w:numId w:val="5"/>
        </w:numPr>
        <w:jc w:val="both"/>
        <w:rPr>
          <w:rFonts w:ascii="Times New Roman" w:hAnsi="Times New Roman" w:cs="Times New Roman"/>
          <w:sz w:val="24"/>
          <w:szCs w:val="24"/>
        </w:rPr>
      </w:pPr>
      <w:r w:rsidRPr="00BD7B7F">
        <w:rPr>
          <w:rFonts w:ascii="Times New Roman" w:hAnsi="Times New Roman" w:cs="Times New Roman"/>
          <w:sz w:val="24"/>
          <w:szCs w:val="24"/>
        </w:rPr>
        <w:t>Decreased Dependence on Credit Ratings</w:t>
      </w:r>
    </w:p>
    <w:p w14:paraId="39267F6C" w14:textId="77777777" w:rsidR="00B65EB8" w:rsidRPr="00BD7B7F" w:rsidRDefault="00B65EB8" w:rsidP="00B65EB8">
      <w:pPr>
        <w:pStyle w:val="ListParagraph"/>
        <w:numPr>
          <w:ilvl w:val="0"/>
          <w:numId w:val="5"/>
        </w:numPr>
        <w:jc w:val="both"/>
        <w:rPr>
          <w:rFonts w:ascii="Times New Roman" w:hAnsi="Times New Roman" w:cs="Times New Roman"/>
          <w:sz w:val="24"/>
          <w:szCs w:val="24"/>
        </w:rPr>
      </w:pPr>
      <w:r w:rsidRPr="00BD7B7F">
        <w:rPr>
          <w:rFonts w:ascii="Times New Roman" w:hAnsi="Times New Roman" w:cs="Times New Roman"/>
          <w:sz w:val="24"/>
          <w:szCs w:val="24"/>
        </w:rPr>
        <w:t>Making Risk Disclosures Better</w:t>
      </w:r>
    </w:p>
    <w:p w14:paraId="71B77D1D" w14:textId="77777777" w:rsidR="00B65EB8" w:rsidRPr="00BD7B7F" w:rsidRDefault="00B65EB8" w:rsidP="00527D73">
      <w:pPr>
        <w:jc w:val="both"/>
        <w:rPr>
          <w:rFonts w:ascii="Times New Roman" w:hAnsi="Times New Roman" w:cs="Times New Roman"/>
          <w:sz w:val="24"/>
          <w:szCs w:val="24"/>
        </w:rPr>
      </w:pPr>
    </w:p>
    <w:p w14:paraId="1E2D65BC" w14:textId="77777777" w:rsidR="00B65EB8" w:rsidRPr="00BD7B7F" w:rsidRDefault="00B65EB8" w:rsidP="00527D73">
      <w:pPr>
        <w:jc w:val="both"/>
        <w:rPr>
          <w:rFonts w:ascii="Times New Roman" w:hAnsi="Times New Roman" w:cs="Times New Roman"/>
          <w:sz w:val="24"/>
          <w:szCs w:val="24"/>
        </w:rPr>
      </w:pPr>
    </w:p>
    <w:p w14:paraId="4AD8E1C7" w14:textId="77777777" w:rsidR="00CA15E2" w:rsidRPr="00BD7B7F" w:rsidRDefault="00CA15E2" w:rsidP="00527D73">
      <w:pPr>
        <w:jc w:val="both"/>
        <w:rPr>
          <w:rFonts w:ascii="Times New Roman" w:hAnsi="Times New Roman" w:cs="Times New Roman"/>
          <w:sz w:val="24"/>
          <w:szCs w:val="24"/>
        </w:rPr>
      </w:pPr>
    </w:p>
    <w:p w14:paraId="3576D9CA" w14:textId="77777777" w:rsidR="00B243C5" w:rsidRPr="00BD7B7F" w:rsidRDefault="00B243C5" w:rsidP="00FC668D">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EB2DE6" w14:textId="77777777" w:rsidR="00B243C5" w:rsidRPr="00BD7B7F" w:rsidRDefault="00B243C5" w:rsidP="00FC668D">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F52A19" w14:textId="2AA834AC" w:rsidR="00527D73" w:rsidRPr="0094055B" w:rsidRDefault="00FC668D" w:rsidP="00FC668D">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EFFECTIVENESS OF REFORMS IN THE UK</w:t>
      </w:r>
    </w:p>
    <w:p w14:paraId="425D022F" w14:textId="77777777" w:rsidR="00527D73" w:rsidRPr="00BD7B7F" w:rsidRDefault="00527D73" w:rsidP="00FC668D">
      <w:pPr>
        <w:jc w:val="both"/>
        <w:rPr>
          <w:rFonts w:ascii="Times New Roman" w:hAnsi="Times New Roman" w:cs="Times New Roman"/>
          <w:sz w:val="24"/>
          <w:szCs w:val="24"/>
        </w:rPr>
      </w:pPr>
      <w:r w:rsidRPr="00BD7B7F">
        <w:rPr>
          <w:rFonts w:ascii="Times New Roman" w:hAnsi="Times New Roman" w:cs="Times New Roman"/>
          <w:sz w:val="24"/>
          <w:szCs w:val="24"/>
        </w:rPr>
        <w:t>The UK government introduced a range of reforms aimed at strengthening the regulation of the financial services industry, addressing the issue of banks being "too big to fail," and increasing accountability within the banking sector. The effectiveness of these reforms can be evaluated based on their impact on the financial system and the banking institutions.</w:t>
      </w:r>
    </w:p>
    <w:p w14:paraId="4E7ACC12" w14:textId="231B31DF" w:rsidR="00875605" w:rsidRPr="00BD7B7F" w:rsidRDefault="00527D73" w:rsidP="00FC668D">
      <w:pPr>
        <w:jc w:val="both"/>
        <w:rPr>
          <w:rFonts w:ascii="Times New Roman" w:hAnsi="Times New Roman" w:cs="Times New Roman"/>
          <w:sz w:val="24"/>
          <w:szCs w:val="24"/>
        </w:rPr>
      </w:pPr>
      <w:r w:rsidRPr="00BD7B7F">
        <w:rPr>
          <w:rFonts w:ascii="Times New Roman" w:hAnsi="Times New Roman" w:cs="Times New Roman"/>
          <w:sz w:val="24"/>
          <w:szCs w:val="24"/>
        </w:rPr>
        <w:t xml:space="preserve">The </w:t>
      </w:r>
      <w:r w:rsidRPr="00BD7B7F">
        <w:rPr>
          <w:rFonts w:ascii="Times New Roman" w:hAnsi="Times New Roman" w:cs="Times New Roman"/>
          <w:b/>
          <w:sz w:val="24"/>
          <w:szCs w:val="24"/>
        </w:rPr>
        <w:t>Financial Services Act 2010</w:t>
      </w:r>
      <w:r w:rsidRPr="00BD7B7F">
        <w:rPr>
          <w:rFonts w:ascii="Times New Roman" w:hAnsi="Times New Roman" w:cs="Times New Roman"/>
          <w:sz w:val="24"/>
          <w:szCs w:val="24"/>
        </w:rPr>
        <w:t>, which established the Financial Policy Committee (FPC), Prudential Regulation Authority (PRA), and the Financial Conduct Authority (FCA), has had a positive impact on the financial system. The FPC's monitoring and regulatory activities have contributed towards reducing systemic risks to the UK financial system. The PRA's oversight of banks and financial institutions has helped to strengthen their financial resilience and stability. The FCA's consumer protection measures have ensured that the financial products and services offered by the industry are fair and transparent.</w:t>
      </w:r>
      <w:r w:rsidR="00077A7E" w:rsidRPr="00BD7B7F">
        <w:rPr>
          <w:rFonts w:ascii="Times New Roman" w:hAnsi="Times New Roman" w:cs="Times New Roman"/>
          <w:sz w:val="24"/>
          <w:szCs w:val="24"/>
        </w:rPr>
        <w:t xml:space="preserve"> </w:t>
      </w:r>
      <w:r w:rsidR="004F6C2E" w:rsidRPr="00BD7B7F">
        <w:rPr>
          <w:rFonts w:ascii="Times New Roman" w:hAnsi="Times New Roman" w:cs="Times New Roman"/>
          <w:sz w:val="24"/>
          <w:szCs w:val="24"/>
        </w:rPr>
        <w:t xml:space="preserve">The FPC </w:t>
      </w:r>
      <w:r w:rsidR="0078470B" w:rsidRPr="00BD7B7F">
        <w:rPr>
          <w:rFonts w:ascii="Times New Roman" w:hAnsi="Times New Roman" w:cs="Times New Roman"/>
          <w:sz w:val="24"/>
          <w:szCs w:val="24"/>
        </w:rPr>
        <w:t>was given</w:t>
      </w:r>
      <w:r w:rsidR="004F6C2E" w:rsidRPr="00BD7B7F">
        <w:rPr>
          <w:rFonts w:ascii="Times New Roman" w:hAnsi="Times New Roman" w:cs="Times New Roman"/>
          <w:sz w:val="24"/>
          <w:szCs w:val="24"/>
        </w:rPr>
        <w:t xml:space="preserve"> charge</w:t>
      </w:r>
      <w:r w:rsidR="0078470B" w:rsidRPr="00BD7B7F">
        <w:rPr>
          <w:rFonts w:ascii="Times New Roman" w:hAnsi="Times New Roman" w:cs="Times New Roman"/>
          <w:sz w:val="24"/>
          <w:szCs w:val="24"/>
        </w:rPr>
        <w:t xml:space="preserve"> and authority of identifying</w:t>
      </w:r>
      <w:r w:rsidR="004F6C2E" w:rsidRPr="00BD7B7F">
        <w:rPr>
          <w:rFonts w:ascii="Times New Roman" w:hAnsi="Times New Roman" w:cs="Times New Roman"/>
          <w:sz w:val="24"/>
          <w:szCs w:val="24"/>
        </w:rPr>
        <w:t xml:space="preserve">, monitoring, and responding to </w:t>
      </w:r>
      <w:r w:rsidR="0078470B" w:rsidRPr="00BD7B7F">
        <w:rPr>
          <w:rFonts w:ascii="Times New Roman" w:hAnsi="Times New Roman" w:cs="Times New Roman"/>
          <w:sz w:val="24"/>
          <w:szCs w:val="24"/>
        </w:rPr>
        <w:t>errors in systems of</w:t>
      </w:r>
      <w:r w:rsidR="004F6C2E" w:rsidRPr="00BD7B7F">
        <w:rPr>
          <w:rFonts w:ascii="Times New Roman" w:hAnsi="Times New Roman" w:cs="Times New Roman"/>
          <w:sz w:val="24"/>
          <w:szCs w:val="24"/>
        </w:rPr>
        <w:t xml:space="preserve"> the financial system. Its responsibilities include establishing macro prudential policy and suggesting regulatory reforms. The PRA </w:t>
      </w:r>
      <w:r w:rsidR="001C4A65" w:rsidRPr="00BD7B7F">
        <w:rPr>
          <w:rFonts w:ascii="Times New Roman" w:hAnsi="Times New Roman" w:cs="Times New Roman"/>
          <w:sz w:val="24"/>
          <w:szCs w:val="24"/>
        </w:rPr>
        <w:t>looks after the</w:t>
      </w:r>
      <w:r w:rsidR="004F6C2E" w:rsidRPr="00BD7B7F">
        <w:rPr>
          <w:rFonts w:ascii="Times New Roman" w:hAnsi="Times New Roman" w:cs="Times New Roman"/>
          <w:sz w:val="24"/>
          <w:szCs w:val="24"/>
        </w:rPr>
        <w:t xml:space="preserve"> prudential regulation and </w:t>
      </w:r>
      <w:r w:rsidR="001C4A65" w:rsidRPr="00BD7B7F">
        <w:rPr>
          <w:rFonts w:ascii="Times New Roman" w:hAnsi="Times New Roman" w:cs="Times New Roman"/>
          <w:sz w:val="24"/>
          <w:szCs w:val="24"/>
        </w:rPr>
        <w:t xml:space="preserve">various activities in </w:t>
      </w:r>
      <w:r w:rsidR="004F6C2E" w:rsidRPr="00BD7B7F">
        <w:rPr>
          <w:rFonts w:ascii="Times New Roman" w:hAnsi="Times New Roman" w:cs="Times New Roman"/>
          <w:sz w:val="24"/>
          <w:szCs w:val="24"/>
        </w:rPr>
        <w:t xml:space="preserve">supervision of banks, </w:t>
      </w:r>
      <w:r w:rsidR="001C4A65" w:rsidRPr="00BD7B7F">
        <w:rPr>
          <w:rFonts w:ascii="Times New Roman" w:hAnsi="Times New Roman" w:cs="Times New Roman"/>
          <w:sz w:val="24"/>
          <w:szCs w:val="24"/>
        </w:rPr>
        <w:t xml:space="preserve">unique </w:t>
      </w:r>
      <w:r w:rsidR="004F6C2E" w:rsidRPr="00BD7B7F">
        <w:rPr>
          <w:rFonts w:ascii="Times New Roman" w:hAnsi="Times New Roman" w:cs="Times New Roman"/>
          <w:sz w:val="24"/>
          <w:szCs w:val="24"/>
        </w:rPr>
        <w:t xml:space="preserve">insurers, and other financial </w:t>
      </w:r>
      <w:r w:rsidR="001C4A65" w:rsidRPr="00BD7B7F">
        <w:rPr>
          <w:rFonts w:ascii="Times New Roman" w:hAnsi="Times New Roman" w:cs="Times New Roman"/>
          <w:sz w:val="24"/>
          <w:szCs w:val="24"/>
        </w:rPr>
        <w:t>activity places</w:t>
      </w:r>
      <w:r w:rsidR="004F6C2E" w:rsidRPr="00BD7B7F">
        <w:rPr>
          <w:rFonts w:ascii="Times New Roman" w:hAnsi="Times New Roman" w:cs="Times New Roman"/>
          <w:sz w:val="24"/>
          <w:szCs w:val="24"/>
        </w:rPr>
        <w:t xml:space="preserve">, with an </w:t>
      </w:r>
      <w:r w:rsidR="008E4C45" w:rsidRPr="00BD7B7F">
        <w:rPr>
          <w:rFonts w:ascii="Times New Roman" w:hAnsi="Times New Roman" w:cs="Times New Roman"/>
          <w:sz w:val="24"/>
          <w:szCs w:val="24"/>
        </w:rPr>
        <w:t>importance</w:t>
      </w:r>
      <w:r w:rsidR="004F6C2E" w:rsidRPr="00BD7B7F">
        <w:rPr>
          <w:rFonts w:ascii="Times New Roman" w:hAnsi="Times New Roman" w:cs="Times New Roman"/>
          <w:sz w:val="24"/>
          <w:szCs w:val="24"/>
        </w:rPr>
        <w:t xml:space="preserve"> on </w:t>
      </w:r>
      <w:r w:rsidR="008E4C45" w:rsidRPr="00BD7B7F">
        <w:rPr>
          <w:rFonts w:ascii="Times New Roman" w:hAnsi="Times New Roman" w:cs="Times New Roman"/>
          <w:sz w:val="24"/>
          <w:szCs w:val="24"/>
        </w:rPr>
        <w:t>making sure that the financial system is working safely</w:t>
      </w:r>
      <w:r w:rsidR="004F6C2E" w:rsidRPr="00BD7B7F">
        <w:rPr>
          <w:rFonts w:ascii="Times New Roman" w:hAnsi="Times New Roman" w:cs="Times New Roman"/>
          <w:sz w:val="24"/>
          <w:szCs w:val="24"/>
        </w:rPr>
        <w:t xml:space="preserve"> </w:t>
      </w:r>
      <w:r w:rsidR="008E4C45" w:rsidRPr="00BD7B7F">
        <w:rPr>
          <w:rFonts w:ascii="Times New Roman" w:hAnsi="Times New Roman" w:cs="Times New Roman"/>
          <w:sz w:val="24"/>
          <w:szCs w:val="24"/>
        </w:rPr>
        <w:t>or not.</w:t>
      </w:r>
      <w:r w:rsidR="004F6C2E" w:rsidRPr="00BD7B7F">
        <w:rPr>
          <w:rFonts w:ascii="Times New Roman" w:hAnsi="Times New Roman" w:cs="Times New Roman"/>
          <w:sz w:val="24"/>
          <w:szCs w:val="24"/>
        </w:rPr>
        <w:t xml:space="preserve"> The FCA is in charge of regulating financial institutions' behaviour and ensuring that their clients are treated properly. In a variety of ways, the development of these bodies has benefited the financial system.</w:t>
      </w:r>
      <w:r w:rsidR="00875605" w:rsidRPr="00BD7B7F">
        <w:rPr>
          <w:rFonts w:ascii="Times New Roman" w:hAnsi="Times New Roman" w:cs="Times New Roman"/>
          <w:sz w:val="24"/>
          <w:szCs w:val="24"/>
        </w:rPr>
        <w:t xml:space="preserve"> </w:t>
      </w:r>
      <w:r w:rsidR="004F6C2E" w:rsidRPr="00BD7B7F">
        <w:rPr>
          <w:rFonts w:ascii="Times New Roman" w:hAnsi="Times New Roman" w:cs="Times New Roman"/>
          <w:sz w:val="24"/>
          <w:szCs w:val="24"/>
        </w:rPr>
        <w:t xml:space="preserve">The FPC has been successful in </w:t>
      </w:r>
      <w:r w:rsidR="005738DF" w:rsidRPr="00BD7B7F">
        <w:rPr>
          <w:rFonts w:ascii="Times New Roman" w:hAnsi="Times New Roman" w:cs="Times New Roman"/>
          <w:sz w:val="24"/>
          <w:szCs w:val="24"/>
        </w:rPr>
        <w:t xml:space="preserve">making sure that they are </w:t>
      </w:r>
      <w:r w:rsidR="004F6C2E" w:rsidRPr="00BD7B7F">
        <w:rPr>
          <w:rFonts w:ascii="Times New Roman" w:hAnsi="Times New Roman" w:cs="Times New Roman"/>
          <w:sz w:val="24"/>
          <w:szCs w:val="24"/>
        </w:rPr>
        <w:t xml:space="preserve">detecting and managing systemic risks to the </w:t>
      </w:r>
      <w:r w:rsidR="005738DF" w:rsidRPr="00BD7B7F">
        <w:rPr>
          <w:rFonts w:ascii="Times New Roman" w:hAnsi="Times New Roman" w:cs="Times New Roman"/>
          <w:sz w:val="24"/>
          <w:szCs w:val="24"/>
        </w:rPr>
        <w:t xml:space="preserve">various </w:t>
      </w:r>
      <w:r w:rsidR="004F6C2E" w:rsidRPr="00BD7B7F">
        <w:rPr>
          <w:rFonts w:ascii="Times New Roman" w:hAnsi="Times New Roman" w:cs="Times New Roman"/>
          <w:sz w:val="24"/>
          <w:szCs w:val="24"/>
        </w:rPr>
        <w:t>financial system</w:t>
      </w:r>
      <w:r w:rsidR="005738DF" w:rsidRPr="00BD7B7F">
        <w:rPr>
          <w:rFonts w:ascii="Times New Roman" w:hAnsi="Times New Roman" w:cs="Times New Roman"/>
          <w:sz w:val="24"/>
          <w:szCs w:val="24"/>
        </w:rPr>
        <w:t>s</w:t>
      </w:r>
      <w:r w:rsidR="004F6C2E" w:rsidRPr="00BD7B7F">
        <w:rPr>
          <w:rFonts w:ascii="Times New Roman" w:hAnsi="Times New Roman" w:cs="Times New Roman"/>
          <w:sz w:val="24"/>
          <w:szCs w:val="24"/>
        </w:rPr>
        <w:t xml:space="preserve">, while the PRA has assisted </w:t>
      </w:r>
      <w:r w:rsidR="005738DF" w:rsidRPr="00BD7B7F">
        <w:rPr>
          <w:rFonts w:ascii="Times New Roman" w:hAnsi="Times New Roman" w:cs="Times New Roman"/>
          <w:sz w:val="24"/>
          <w:szCs w:val="24"/>
        </w:rPr>
        <w:t>to make sure</w:t>
      </w:r>
      <w:r w:rsidR="004F6C2E" w:rsidRPr="00BD7B7F">
        <w:rPr>
          <w:rFonts w:ascii="Times New Roman" w:hAnsi="Times New Roman" w:cs="Times New Roman"/>
          <w:sz w:val="24"/>
          <w:szCs w:val="24"/>
        </w:rPr>
        <w:t xml:space="preserve"> that financial institutions are </w:t>
      </w:r>
      <w:r w:rsidR="005738DF" w:rsidRPr="00BD7B7F">
        <w:rPr>
          <w:rFonts w:ascii="Times New Roman" w:hAnsi="Times New Roman" w:cs="Times New Roman"/>
          <w:sz w:val="24"/>
          <w:szCs w:val="24"/>
        </w:rPr>
        <w:t>having enough capital</w:t>
      </w:r>
      <w:r w:rsidR="004F6C2E" w:rsidRPr="00BD7B7F">
        <w:rPr>
          <w:rFonts w:ascii="Times New Roman" w:hAnsi="Times New Roman" w:cs="Times New Roman"/>
          <w:sz w:val="24"/>
          <w:szCs w:val="24"/>
        </w:rPr>
        <w:t xml:space="preserve"> and managed</w:t>
      </w:r>
      <w:r w:rsidR="006C02BC" w:rsidRPr="00BD7B7F">
        <w:rPr>
          <w:rFonts w:ascii="Times New Roman" w:hAnsi="Times New Roman" w:cs="Times New Roman"/>
          <w:sz w:val="24"/>
          <w:szCs w:val="24"/>
        </w:rPr>
        <w:t xml:space="preserve"> (</w:t>
      </w:r>
      <w:proofErr w:type="spellStart"/>
      <w:r w:rsidR="006C02BC" w:rsidRPr="00BD7B7F">
        <w:rPr>
          <w:rFonts w:ascii="Times New Roman" w:hAnsi="Times New Roman" w:cs="Times New Roman"/>
          <w:sz w:val="24"/>
          <w:szCs w:val="24"/>
        </w:rPr>
        <w:t>Quaglia</w:t>
      </w:r>
      <w:proofErr w:type="spellEnd"/>
      <w:r w:rsidR="006C02BC" w:rsidRPr="00BD7B7F">
        <w:rPr>
          <w:rFonts w:ascii="Times New Roman" w:hAnsi="Times New Roman" w:cs="Times New Roman"/>
          <w:sz w:val="24"/>
          <w:szCs w:val="24"/>
        </w:rPr>
        <w:t>, 2019)</w:t>
      </w:r>
      <w:r w:rsidR="004F6C2E" w:rsidRPr="00BD7B7F">
        <w:rPr>
          <w:rFonts w:ascii="Times New Roman" w:hAnsi="Times New Roman" w:cs="Times New Roman"/>
          <w:sz w:val="24"/>
          <w:szCs w:val="24"/>
        </w:rPr>
        <w:t>. The FCA has aided in improving financial firms' conduct and culture, as well as promoting competition, consumer protection, and market integrity. The increased emphasis on macro prudential policy, the formation of the PRA, and the increased emphasis on consumer protection and market integrity through the FCA have all led to enhanced financial stability and resilience in the UK financial system</w:t>
      </w:r>
      <w:r w:rsidR="00926F1E" w:rsidRPr="00BD7B7F">
        <w:rPr>
          <w:rFonts w:ascii="Times New Roman" w:hAnsi="Times New Roman" w:cs="Times New Roman"/>
          <w:sz w:val="24"/>
          <w:szCs w:val="24"/>
        </w:rPr>
        <w:t>.</w:t>
      </w:r>
    </w:p>
    <w:p w14:paraId="395305A0" w14:textId="77777777" w:rsidR="00875605" w:rsidRPr="00BD7B7F" w:rsidRDefault="00875605" w:rsidP="00FC668D">
      <w:pPr>
        <w:jc w:val="both"/>
        <w:rPr>
          <w:rFonts w:ascii="Times New Roman" w:hAnsi="Times New Roman" w:cs="Times New Roman"/>
          <w:sz w:val="24"/>
          <w:szCs w:val="24"/>
        </w:rPr>
      </w:pPr>
    </w:p>
    <w:p w14:paraId="7432C249" w14:textId="50E3AF2E" w:rsidR="00B64215" w:rsidRPr="00BD7B7F" w:rsidRDefault="00527D73" w:rsidP="00FC668D">
      <w:pPr>
        <w:jc w:val="both"/>
        <w:rPr>
          <w:rFonts w:ascii="Times New Roman" w:hAnsi="Times New Roman" w:cs="Times New Roman"/>
          <w:sz w:val="24"/>
          <w:szCs w:val="24"/>
        </w:rPr>
      </w:pPr>
      <w:r w:rsidRPr="00BD7B7F">
        <w:rPr>
          <w:rFonts w:ascii="Times New Roman" w:hAnsi="Times New Roman" w:cs="Times New Roman"/>
          <w:sz w:val="24"/>
          <w:szCs w:val="24"/>
        </w:rPr>
        <w:t xml:space="preserve">The </w:t>
      </w:r>
      <w:r w:rsidRPr="00BD7B7F">
        <w:rPr>
          <w:rFonts w:ascii="Times New Roman" w:hAnsi="Times New Roman" w:cs="Times New Roman"/>
          <w:b/>
          <w:sz w:val="24"/>
          <w:szCs w:val="24"/>
        </w:rPr>
        <w:t>Banking Act 2009</w:t>
      </w:r>
      <w:r w:rsidRPr="00BD7B7F">
        <w:rPr>
          <w:rFonts w:ascii="Times New Roman" w:hAnsi="Times New Roman" w:cs="Times New Roman"/>
          <w:sz w:val="24"/>
          <w:szCs w:val="24"/>
        </w:rPr>
        <w:t>, which established the Special Resolution Regime (SRR), has also had a positive impact on the financial system. The SRR has provided the Bank of England with a framework for the orderly resolution of failing banks, preventing a repeat of the chaos that followed the collapse of Lehman Brothers in 2008.</w:t>
      </w:r>
      <w:r w:rsidR="00B64215" w:rsidRPr="00BD7B7F">
        <w:rPr>
          <w:rFonts w:ascii="Times New Roman" w:hAnsi="Times New Roman" w:cs="Times New Roman"/>
          <w:sz w:val="24"/>
          <w:szCs w:val="24"/>
        </w:rPr>
        <w:t xml:space="preserve"> </w:t>
      </w:r>
      <w:r w:rsidR="00222FC0" w:rsidRPr="00BD7B7F">
        <w:rPr>
          <w:rFonts w:ascii="Times New Roman" w:hAnsi="Times New Roman" w:cs="Times New Roman"/>
          <w:sz w:val="24"/>
          <w:szCs w:val="24"/>
        </w:rPr>
        <w:t>Banks are required by the SRR to establish recovery and resolution plans, which outline how the bank will be resolved in the case of a crisis. This proactive approach to crisis management is usually regarded as a positive move in the sector, as it aids in preventing a crisis from growing and minimises the probability of a bank failing. The SRR also gives the government the authority to intervene and take control of a failing bank if required, which has shown to be an effective instrument in averting a systemic crisis. The government can use these powers to guarantee that a failing bank is wound down in a controlled way, protecting depositors and other creditors</w:t>
      </w:r>
      <w:r w:rsidR="00807335" w:rsidRPr="00BD7B7F">
        <w:rPr>
          <w:rFonts w:ascii="Times New Roman" w:hAnsi="Times New Roman" w:cs="Times New Roman"/>
          <w:sz w:val="24"/>
          <w:szCs w:val="24"/>
        </w:rPr>
        <w:t xml:space="preserve"> (</w:t>
      </w:r>
      <w:proofErr w:type="spellStart"/>
      <w:r w:rsidR="00807335" w:rsidRPr="00BD7B7F">
        <w:rPr>
          <w:rFonts w:ascii="Times New Roman" w:hAnsi="Times New Roman" w:cs="Times New Roman"/>
          <w:sz w:val="24"/>
          <w:szCs w:val="24"/>
        </w:rPr>
        <w:t>Massoc</w:t>
      </w:r>
      <w:proofErr w:type="spellEnd"/>
      <w:r w:rsidR="00807335" w:rsidRPr="00BD7B7F">
        <w:rPr>
          <w:rFonts w:ascii="Times New Roman" w:hAnsi="Times New Roman" w:cs="Times New Roman"/>
          <w:sz w:val="24"/>
          <w:szCs w:val="24"/>
        </w:rPr>
        <w:t>, 2020)</w:t>
      </w:r>
      <w:r w:rsidR="00222FC0" w:rsidRPr="00BD7B7F">
        <w:rPr>
          <w:rFonts w:ascii="Times New Roman" w:hAnsi="Times New Roman" w:cs="Times New Roman"/>
          <w:sz w:val="24"/>
          <w:szCs w:val="24"/>
        </w:rPr>
        <w:t xml:space="preserve">. </w:t>
      </w:r>
      <w:r w:rsidR="00D77B3C" w:rsidRPr="00BD7B7F">
        <w:rPr>
          <w:rFonts w:ascii="Times New Roman" w:hAnsi="Times New Roman" w:cs="Times New Roman"/>
          <w:sz w:val="24"/>
          <w:szCs w:val="24"/>
        </w:rPr>
        <w:t xml:space="preserve">It needs to be clear that </w:t>
      </w:r>
      <w:r w:rsidR="00222FC0" w:rsidRPr="00BD7B7F">
        <w:rPr>
          <w:rFonts w:ascii="Times New Roman" w:hAnsi="Times New Roman" w:cs="Times New Roman"/>
          <w:sz w:val="24"/>
          <w:szCs w:val="24"/>
        </w:rPr>
        <w:t xml:space="preserve">it is important to </w:t>
      </w:r>
      <w:r w:rsidR="0062687D" w:rsidRPr="00BD7B7F">
        <w:rPr>
          <w:rFonts w:ascii="Times New Roman" w:hAnsi="Times New Roman" w:cs="Times New Roman"/>
          <w:sz w:val="24"/>
          <w:szCs w:val="24"/>
        </w:rPr>
        <w:t>notice</w:t>
      </w:r>
      <w:r w:rsidR="00222FC0" w:rsidRPr="00BD7B7F">
        <w:rPr>
          <w:rFonts w:ascii="Times New Roman" w:hAnsi="Times New Roman" w:cs="Times New Roman"/>
          <w:sz w:val="24"/>
          <w:szCs w:val="24"/>
        </w:rPr>
        <w:t xml:space="preserve"> the SRR's effectiveness in</w:t>
      </w:r>
      <w:r w:rsidR="0062687D" w:rsidRPr="00BD7B7F">
        <w:rPr>
          <w:rFonts w:ascii="Times New Roman" w:hAnsi="Times New Roman" w:cs="Times New Roman"/>
          <w:sz w:val="24"/>
          <w:szCs w:val="24"/>
        </w:rPr>
        <w:t xml:space="preserve"> the process of</w:t>
      </w:r>
      <w:r w:rsidR="00222FC0" w:rsidRPr="00BD7B7F">
        <w:rPr>
          <w:rFonts w:ascii="Times New Roman" w:hAnsi="Times New Roman" w:cs="Times New Roman"/>
          <w:sz w:val="24"/>
          <w:szCs w:val="24"/>
        </w:rPr>
        <w:t xml:space="preserve"> stabilising the financial system is </w:t>
      </w:r>
      <w:r w:rsidR="0062687D" w:rsidRPr="00BD7B7F">
        <w:rPr>
          <w:rFonts w:ascii="Times New Roman" w:hAnsi="Times New Roman" w:cs="Times New Roman"/>
          <w:sz w:val="24"/>
          <w:szCs w:val="24"/>
        </w:rPr>
        <w:t xml:space="preserve">completely </w:t>
      </w:r>
      <w:r w:rsidR="00222FC0" w:rsidRPr="00BD7B7F">
        <w:rPr>
          <w:rFonts w:ascii="Times New Roman" w:hAnsi="Times New Roman" w:cs="Times New Roman"/>
          <w:sz w:val="24"/>
          <w:szCs w:val="24"/>
        </w:rPr>
        <w:t>dependent on a number of factors, including the quality of recovery</w:t>
      </w:r>
      <w:r w:rsidR="0062687D" w:rsidRPr="00BD7B7F">
        <w:rPr>
          <w:rFonts w:ascii="Times New Roman" w:hAnsi="Times New Roman" w:cs="Times New Roman"/>
          <w:sz w:val="24"/>
          <w:szCs w:val="24"/>
        </w:rPr>
        <w:t xml:space="preserve"> plans</w:t>
      </w:r>
      <w:r w:rsidR="00222FC0" w:rsidRPr="00BD7B7F">
        <w:rPr>
          <w:rFonts w:ascii="Times New Roman" w:hAnsi="Times New Roman" w:cs="Times New Roman"/>
          <w:sz w:val="24"/>
          <w:szCs w:val="24"/>
        </w:rPr>
        <w:t xml:space="preserve"> and resolution plans</w:t>
      </w:r>
      <w:r w:rsidR="0062687D" w:rsidRPr="00BD7B7F">
        <w:rPr>
          <w:rFonts w:ascii="Times New Roman" w:hAnsi="Times New Roman" w:cs="Times New Roman"/>
          <w:sz w:val="24"/>
          <w:szCs w:val="24"/>
        </w:rPr>
        <w:t xml:space="preserve"> themes</w:t>
      </w:r>
      <w:r w:rsidR="00222FC0" w:rsidRPr="00BD7B7F">
        <w:rPr>
          <w:rFonts w:ascii="Times New Roman" w:hAnsi="Times New Roman" w:cs="Times New Roman"/>
          <w:sz w:val="24"/>
          <w:szCs w:val="24"/>
        </w:rPr>
        <w:t>,</w:t>
      </w:r>
      <w:r w:rsidR="00EC6DBA" w:rsidRPr="00BD7B7F">
        <w:rPr>
          <w:rFonts w:ascii="Times New Roman" w:hAnsi="Times New Roman" w:cs="Times New Roman"/>
          <w:sz w:val="24"/>
          <w:szCs w:val="24"/>
        </w:rPr>
        <w:t xml:space="preserve"> how much the bank wishes</w:t>
      </w:r>
      <w:r w:rsidR="00222FC0" w:rsidRPr="00BD7B7F">
        <w:rPr>
          <w:rFonts w:ascii="Times New Roman" w:hAnsi="Times New Roman" w:cs="Times New Roman"/>
          <w:sz w:val="24"/>
          <w:szCs w:val="24"/>
        </w:rPr>
        <w:t xml:space="preserve"> to cooperate with authorities, and the government's </w:t>
      </w:r>
      <w:r w:rsidR="003933F7" w:rsidRPr="00BD7B7F">
        <w:rPr>
          <w:rFonts w:ascii="Times New Roman" w:hAnsi="Times New Roman" w:cs="Times New Roman"/>
          <w:sz w:val="24"/>
          <w:szCs w:val="24"/>
        </w:rPr>
        <w:t>wish and power</w:t>
      </w:r>
      <w:r w:rsidR="00222FC0" w:rsidRPr="00BD7B7F">
        <w:rPr>
          <w:rFonts w:ascii="Times New Roman" w:hAnsi="Times New Roman" w:cs="Times New Roman"/>
          <w:sz w:val="24"/>
          <w:szCs w:val="24"/>
        </w:rPr>
        <w:t xml:space="preserve"> to effectively implement the SRR. </w:t>
      </w:r>
      <w:r w:rsidR="001E7AD0" w:rsidRPr="00BD7B7F">
        <w:rPr>
          <w:rFonts w:ascii="Times New Roman" w:hAnsi="Times New Roman" w:cs="Times New Roman"/>
          <w:sz w:val="24"/>
          <w:szCs w:val="24"/>
        </w:rPr>
        <w:t>Also,</w:t>
      </w:r>
      <w:r w:rsidR="00C82583" w:rsidRPr="00BD7B7F">
        <w:rPr>
          <w:rFonts w:ascii="Times New Roman" w:hAnsi="Times New Roman" w:cs="Times New Roman"/>
          <w:sz w:val="24"/>
          <w:szCs w:val="24"/>
        </w:rPr>
        <w:t xml:space="preserve"> it can be seen in various newspapers and articles that</w:t>
      </w:r>
      <w:r w:rsidR="001E7AD0" w:rsidRPr="00BD7B7F">
        <w:rPr>
          <w:rFonts w:ascii="Times New Roman" w:hAnsi="Times New Roman" w:cs="Times New Roman"/>
          <w:sz w:val="24"/>
          <w:szCs w:val="24"/>
        </w:rPr>
        <w:t xml:space="preserve"> there are </w:t>
      </w:r>
      <w:r w:rsidR="00222FC0" w:rsidRPr="00BD7B7F">
        <w:rPr>
          <w:rFonts w:ascii="Times New Roman" w:hAnsi="Times New Roman" w:cs="Times New Roman"/>
          <w:sz w:val="24"/>
          <w:szCs w:val="24"/>
        </w:rPr>
        <w:t xml:space="preserve">some critics </w:t>
      </w:r>
      <w:r w:rsidR="001E7AD0" w:rsidRPr="00BD7B7F">
        <w:rPr>
          <w:rFonts w:ascii="Times New Roman" w:hAnsi="Times New Roman" w:cs="Times New Roman"/>
          <w:sz w:val="24"/>
          <w:szCs w:val="24"/>
        </w:rPr>
        <w:t xml:space="preserve">who </w:t>
      </w:r>
      <w:r w:rsidR="00222FC0" w:rsidRPr="00BD7B7F">
        <w:rPr>
          <w:rFonts w:ascii="Times New Roman" w:hAnsi="Times New Roman" w:cs="Times New Roman"/>
          <w:sz w:val="24"/>
          <w:szCs w:val="24"/>
        </w:rPr>
        <w:t xml:space="preserve">argue that the SRR may not be </w:t>
      </w:r>
      <w:r w:rsidR="001E7AD0" w:rsidRPr="00BD7B7F">
        <w:rPr>
          <w:rFonts w:ascii="Times New Roman" w:hAnsi="Times New Roman" w:cs="Times New Roman"/>
          <w:sz w:val="24"/>
          <w:szCs w:val="24"/>
        </w:rPr>
        <w:t xml:space="preserve">strong </w:t>
      </w:r>
      <w:r w:rsidR="00222FC0" w:rsidRPr="00BD7B7F">
        <w:rPr>
          <w:rFonts w:ascii="Times New Roman" w:hAnsi="Times New Roman" w:cs="Times New Roman"/>
          <w:sz w:val="24"/>
          <w:szCs w:val="24"/>
        </w:rPr>
        <w:t xml:space="preserve">enough to </w:t>
      </w:r>
      <w:r w:rsidR="00553A6D" w:rsidRPr="00BD7B7F">
        <w:rPr>
          <w:rFonts w:ascii="Times New Roman" w:hAnsi="Times New Roman" w:cs="Times New Roman"/>
          <w:sz w:val="24"/>
          <w:szCs w:val="24"/>
        </w:rPr>
        <w:t>even come close to stop</w:t>
      </w:r>
      <w:r w:rsidR="00222FC0" w:rsidRPr="00BD7B7F">
        <w:rPr>
          <w:rFonts w:ascii="Times New Roman" w:hAnsi="Times New Roman" w:cs="Times New Roman"/>
          <w:sz w:val="24"/>
          <w:szCs w:val="24"/>
        </w:rPr>
        <w:t xml:space="preserve"> another financial crisis and that more </w:t>
      </w:r>
      <w:r w:rsidR="00F508DC" w:rsidRPr="00BD7B7F">
        <w:rPr>
          <w:rFonts w:ascii="Times New Roman" w:hAnsi="Times New Roman" w:cs="Times New Roman"/>
          <w:sz w:val="24"/>
          <w:szCs w:val="24"/>
        </w:rPr>
        <w:t>essential</w:t>
      </w:r>
      <w:r w:rsidR="00222FC0" w:rsidRPr="00BD7B7F">
        <w:rPr>
          <w:rFonts w:ascii="Times New Roman" w:hAnsi="Times New Roman" w:cs="Times New Roman"/>
          <w:sz w:val="24"/>
          <w:szCs w:val="24"/>
        </w:rPr>
        <w:t xml:space="preserve"> reforms are </w:t>
      </w:r>
      <w:r w:rsidR="006B1BBC" w:rsidRPr="00BD7B7F">
        <w:rPr>
          <w:rFonts w:ascii="Times New Roman" w:hAnsi="Times New Roman" w:cs="Times New Roman"/>
          <w:sz w:val="24"/>
          <w:szCs w:val="24"/>
        </w:rPr>
        <w:lastRenderedPageBreak/>
        <w:t>required and</w:t>
      </w:r>
      <w:r w:rsidR="00704DAA" w:rsidRPr="00BD7B7F">
        <w:rPr>
          <w:rFonts w:ascii="Times New Roman" w:hAnsi="Times New Roman" w:cs="Times New Roman"/>
          <w:sz w:val="24"/>
          <w:szCs w:val="24"/>
        </w:rPr>
        <w:t xml:space="preserve"> must be planned in order </w:t>
      </w:r>
      <w:r w:rsidR="00222FC0" w:rsidRPr="00BD7B7F">
        <w:rPr>
          <w:rFonts w:ascii="Times New Roman" w:hAnsi="Times New Roman" w:cs="Times New Roman"/>
          <w:sz w:val="24"/>
          <w:szCs w:val="24"/>
        </w:rPr>
        <w:t xml:space="preserve">to ensure the financial system's </w:t>
      </w:r>
      <w:r w:rsidR="006B1BBC" w:rsidRPr="00BD7B7F">
        <w:rPr>
          <w:rFonts w:ascii="Times New Roman" w:hAnsi="Times New Roman" w:cs="Times New Roman"/>
          <w:sz w:val="24"/>
          <w:szCs w:val="24"/>
        </w:rPr>
        <w:t>stability for times to come.</w:t>
      </w:r>
    </w:p>
    <w:p w14:paraId="2EC50008" w14:textId="569EF1EB" w:rsidR="002B4DB9" w:rsidRPr="00BD7B7F" w:rsidRDefault="002B4DB9" w:rsidP="00FC668D">
      <w:pPr>
        <w:jc w:val="both"/>
        <w:rPr>
          <w:rFonts w:ascii="Times New Roman" w:hAnsi="Times New Roman" w:cs="Times New Roman"/>
          <w:sz w:val="24"/>
          <w:szCs w:val="24"/>
        </w:rPr>
      </w:pPr>
    </w:p>
    <w:p w14:paraId="72A9174C" w14:textId="77777777" w:rsidR="00B64215" w:rsidRPr="00BD7B7F" w:rsidRDefault="00B64215" w:rsidP="00FC668D">
      <w:pPr>
        <w:jc w:val="both"/>
        <w:rPr>
          <w:rFonts w:ascii="Times New Roman" w:hAnsi="Times New Roman" w:cs="Times New Roman"/>
          <w:sz w:val="24"/>
          <w:szCs w:val="24"/>
        </w:rPr>
      </w:pPr>
    </w:p>
    <w:p w14:paraId="6E6573FD" w14:textId="5EAF8B19" w:rsidR="00E45BFC" w:rsidRPr="00BD7B7F" w:rsidRDefault="00527D73" w:rsidP="00FC668D">
      <w:pPr>
        <w:jc w:val="both"/>
        <w:rPr>
          <w:rFonts w:ascii="Times New Roman" w:hAnsi="Times New Roman" w:cs="Times New Roman"/>
          <w:sz w:val="24"/>
          <w:szCs w:val="24"/>
        </w:rPr>
      </w:pPr>
      <w:r w:rsidRPr="00BD7B7F">
        <w:rPr>
          <w:rFonts w:ascii="Times New Roman" w:hAnsi="Times New Roman" w:cs="Times New Roman"/>
          <w:sz w:val="24"/>
          <w:szCs w:val="24"/>
        </w:rPr>
        <w:t xml:space="preserve">The </w:t>
      </w:r>
      <w:r w:rsidRPr="00BD7B7F">
        <w:rPr>
          <w:rFonts w:ascii="Times New Roman" w:hAnsi="Times New Roman" w:cs="Times New Roman"/>
          <w:b/>
          <w:sz w:val="24"/>
          <w:szCs w:val="24"/>
        </w:rPr>
        <w:t>Financial Services (Banking Reform) Act 2013</w:t>
      </w:r>
      <w:r w:rsidRPr="00BD7B7F">
        <w:rPr>
          <w:rFonts w:ascii="Times New Roman" w:hAnsi="Times New Roman" w:cs="Times New Roman"/>
          <w:sz w:val="24"/>
          <w:szCs w:val="24"/>
        </w:rPr>
        <w:t xml:space="preserve"> has introduced a range of reforms aimed at strengthening the UK banking sector, including ring-fencing and improving corporate governance. The implementation of ring-fencing has helped to protect retail banking operations from the risks associated with investment banking. The introduction of the SMCR has also helped to increase accountability within the banking sector.</w:t>
      </w:r>
      <w:r w:rsidR="00E45BFC" w:rsidRPr="00BD7B7F">
        <w:rPr>
          <w:rFonts w:ascii="Times New Roman" w:hAnsi="Times New Roman" w:cs="Times New Roman"/>
          <w:sz w:val="24"/>
          <w:szCs w:val="24"/>
        </w:rPr>
        <w:t xml:space="preserve"> </w:t>
      </w:r>
      <w:r w:rsidR="002B7B5E" w:rsidRPr="00BD7B7F">
        <w:rPr>
          <w:rFonts w:ascii="Times New Roman" w:hAnsi="Times New Roman" w:cs="Times New Roman"/>
          <w:sz w:val="24"/>
          <w:szCs w:val="24"/>
        </w:rPr>
        <w:t>Ring-fencing is the practise of segregating a bank's retail operations from its riskier investment banking operations in order to safeguard depositors and taxpayers from losses caused by the latter</w:t>
      </w:r>
      <w:r w:rsidR="00735EEC" w:rsidRPr="00BD7B7F">
        <w:rPr>
          <w:rFonts w:ascii="Times New Roman" w:hAnsi="Times New Roman" w:cs="Times New Roman"/>
          <w:sz w:val="24"/>
          <w:szCs w:val="24"/>
        </w:rPr>
        <w:t xml:space="preserve"> (Ahmed, </w:t>
      </w:r>
      <w:proofErr w:type="spellStart"/>
      <w:r w:rsidR="00735EEC" w:rsidRPr="00BD7B7F">
        <w:rPr>
          <w:rFonts w:ascii="Times New Roman" w:hAnsi="Times New Roman" w:cs="Times New Roman"/>
          <w:sz w:val="24"/>
          <w:szCs w:val="24"/>
        </w:rPr>
        <w:t>Bangassa</w:t>
      </w:r>
      <w:proofErr w:type="spellEnd"/>
      <w:r w:rsidR="00735EEC" w:rsidRPr="00BD7B7F">
        <w:rPr>
          <w:rFonts w:ascii="Times New Roman" w:hAnsi="Times New Roman" w:cs="Times New Roman"/>
          <w:sz w:val="24"/>
          <w:szCs w:val="24"/>
        </w:rPr>
        <w:t xml:space="preserve"> and Akbar, 2020)</w:t>
      </w:r>
      <w:r w:rsidR="002B7B5E" w:rsidRPr="00BD7B7F">
        <w:rPr>
          <w:rFonts w:ascii="Times New Roman" w:hAnsi="Times New Roman" w:cs="Times New Roman"/>
          <w:sz w:val="24"/>
          <w:szCs w:val="24"/>
        </w:rPr>
        <w:t xml:space="preserve">. The Act also </w:t>
      </w:r>
      <w:r w:rsidR="009E2E3D" w:rsidRPr="00BD7B7F">
        <w:rPr>
          <w:rFonts w:ascii="Times New Roman" w:hAnsi="Times New Roman" w:cs="Times New Roman"/>
          <w:sz w:val="24"/>
          <w:szCs w:val="24"/>
        </w:rPr>
        <w:t>instructed</w:t>
      </w:r>
      <w:r w:rsidR="002B7B5E" w:rsidRPr="00BD7B7F">
        <w:rPr>
          <w:rFonts w:ascii="Times New Roman" w:hAnsi="Times New Roman" w:cs="Times New Roman"/>
          <w:sz w:val="24"/>
          <w:szCs w:val="24"/>
        </w:rPr>
        <w:t xml:space="preserve"> that banks </w:t>
      </w:r>
      <w:r w:rsidR="009E2E3D" w:rsidRPr="00BD7B7F">
        <w:rPr>
          <w:rFonts w:ascii="Times New Roman" w:hAnsi="Times New Roman" w:cs="Times New Roman"/>
          <w:sz w:val="24"/>
          <w:szCs w:val="24"/>
        </w:rPr>
        <w:t>to accept</w:t>
      </w:r>
      <w:r w:rsidR="002B7B5E" w:rsidRPr="00BD7B7F">
        <w:rPr>
          <w:rFonts w:ascii="Times New Roman" w:hAnsi="Times New Roman" w:cs="Times New Roman"/>
          <w:sz w:val="24"/>
          <w:szCs w:val="24"/>
        </w:rPr>
        <w:t xml:space="preserve"> a new senior management </w:t>
      </w:r>
      <w:r w:rsidR="009E2E3D" w:rsidRPr="00BD7B7F">
        <w:rPr>
          <w:rFonts w:ascii="Times New Roman" w:hAnsi="Times New Roman" w:cs="Times New Roman"/>
          <w:sz w:val="24"/>
          <w:szCs w:val="24"/>
        </w:rPr>
        <w:t>administration</w:t>
      </w:r>
      <w:r w:rsidR="002B7B5E" w:rsidRPr="00BD7B7F">
        <w:rPr>
          <w:rFonts w:ascii="Times New Roman" w:hAnsi="Times New Roman" w:cs="Times New Roman"/>
          <w:sz w:val="24"/>
          <w:szCs w:val="24"/>
        </w:rPr>
        <w:t xml:space="preserve"> </w:t>
      </w:r>
      <w:r w:rsidR="009E2E3D" w:rsidRPr="00BD7B7F">
        <w:rPr>
          <w:rFonts w:ascii="Times New Roman" w:hAnsi="Times New Roman" w:cs="Times New Roman"/>
          <w:sz w:val="24"/>
          <w:szCs w:val="24"/>
        </w:rPr>
        <w:t xml:space="preserve">inside their system and hierarchy </w:t>
      </w:r>
      <w:r w:rsidR="002B7B5E" w:rsidRPr="00BD7B7F">
        <w:rPr>
          <w:rFonts w:ascii="Times New Roman" w:hAnsi="Times New Roman" w:cs="Times New Roman"/>
          <w:sz w:val="24"/>
          <w:szCs w:val="24"/>
        </w:rPr>
        <w:t xml:space="preserve">and a code of conduct for their employees in order to improve corporate </w:t>
      </w:r>
      <w:r w:rsidR="00A24423" w:rsidRPr="00BD7B7F">
        <w:rPr>
          <w:rFonts w:ascii="Times New Roman" w:hAnsi="Times New Roman" w:cs="Times New Roman"/>
          <w:sz w:val="24"/>
          <w:szCs w:val="24"/>
        </w:rPr>
        <w:t>authority for them</w:t>
      </w:r>
      <w:r w:rsidR="002B7B5E" w:rsidRPr="00BD7B7F">
        <w:rPr>
          <w:rFonts w:ascii="Times New Roman" w:hAnsi="Times New Roman" w:cs="Times New Roman"/>
          <w:sz w:val="24"/>
          <w:szCs w:val="24"/>
        </w:rPr>
        <w:t xml:space="preserve"> in the banking sector. This was done to encourage greater accountability and responsibility among senior bank executives, as well as to ensure that banks operate responsibly and ethically.</w:t>
      </w:r>
      <w:r w:rsidR="00E45BFC" w:rsidRPr="00BD7B7F">
        <w:rPr>
          <w:rFonts w:ascii="Times New Roman" w:hAnsi="Times New Roman" w:cs="Times New Roman"/>
          <w:sz w:val="24"/>
          <w:szCs w:val="24"/>
        </w:rPr>
        <w:t xml:space="preserve"> </w:t>
      </w:r>
      <w:r w:rsidR="002B7B5E" w:rsidRPr="00BD7B7F">
        <w:rPr>
          <w:rFonts w:ascii="Times New Roman" w:hAnsi="Times New Roman" w:cs="Times New Roman"/>
          <w:sz w:val="24"/>
          <w:szCs w:val="24"/>
        </w:rPr>
        <w:t>The Financial Services (Banking Reform) Act 2013 reforms have had a favourable influence on the UK banking system</w:t>
      </w:r>
      <w:r w:rsidR="005B1B5A" w:rsidRPr="00BD7B7F">
        <w:rPr>
          <w:rFonts w:ascii="Times New Roman" w:hAnsi="Times New Roman" w:cs="Times New Roman"/>
          <w:sz w:val="24"/>
          <w:szCs w:val="24"/>
        </w:rPr>
        <w:t xml:space="preserve"> (</w:t>
      </w:r>
      <w:proofErr w:type="spellStart"/>
      <w:r w:rsidR="005B1B5A" w:rsidRPr="00BD7B7F">
        <w:rPr>
          <w:rFonts w:ascii="Times New Roman" w:hAnsi="Times New Roman" w:cs="Times New Roman"/>
          <w:sz w:val="24"/>
          <w:szCs w:val="24"/>
        </w:rPr>
        <w:t>Quaglia</w:t>
      </w:r>
      <w:proofErr w:type="spellEnd"/>
      <w:r w:rsidR="005B1B5A" w:rsidRPr="00BD7B7F">
        <w:rPr>
          <w:rFonts w:ascii="Times New Roman" w:hAnsi="Times New Roman" w:cs="Times New Roman"/>
          <w:sz w:val="24"/>
          <w:szCs w:val="24"/>
        </w:rPr>
        <w:t>, 2019)</w:t>
      </w:r>
      <w:r w:rsidR="002B7B5E" w:rsidRPr="00BD7B7F">
        <w:rPr>
          <w:rFonts w:ascii="Times New Roman" w:hAnsi="Times New Roman" w:cs="Times New Roman"/>
          <w:sz w:val="24"/>
          <w:szCs w:val="24"/>
        </w:rPr>
        <w:t xml:space="preserve">. The segregation of retail operations has aided in the protection of depositors and the reduction of the probability of another financial crisis, while advances in corporate governance have aided in the promotion of a more responsible and ethical banking culture. There are also fears that the ring-fencing </w:t>
      </w:r>
      <w:r w:rsidR="00F95D95" w:rsidRPr="00BD7B7F">
        <w:rPr>
          <w:rFonts w:ascii="Times New Roman" w:hAnsi="Times New Roman" w:cs="Times New Roman"/>
          <w:sz w:val="24"/>
          <w:szCs w:val="24"/>
        </w:rPr>
        <w:t>procedures</w:t>
      </w:r>
      <w:r w:rsidR="002B7B5E" w:rsidRPr="00BD7B7F">
        <w:rPr>
          <w:rFonts w:ascii="Times New Roman" w:hAnsi="Times New Roman" w:cs="Times New Roman"/>
          <w:sz w:val="24"/>
          <w:szCs w:val="24"/>
        </w:rPr>
        <w:t xml:space="preserve"> may not be enough to prevent</w:t>
      </w:r>
      <w:r w:rsidR="00F95D95" w:rsidRPr="00BD7B7F">
        <w:rPr>
          <w:rFonts w:ascii="Times New Roman" w:hAnsi="Times New Roman" w:cs="Times New Roman"/>
          <w:sz w:val="24"/>
          <w:szCs w:val="24"/>
        </w:rPr>
        <w:t xml:space="preserve"> or even come close to stopping</w:t>
      </w:r>
      <w:r w:rsidR="002B7B5E" w:rsidRPr="00BD7B7F">
        <w:rPr>
          <w:rFonts w:ascii="Times New Roman" w:hAnsi="Times New Roman" w:cs="Times New Roman"/>
          <w:sz w:val="24"/>
          <w:szCs w:val="24"/>
        </w:rPr>
        <w:t xml:space="preserve"> future financial crises, and that the reforms may have </w:t>
      </w:r>
      <w:r w:rsidR="00152DBF" w:rsidRPr="00BD7B7F">
        <w:rPr>
          <w:rFonts w:ascii="Times New Roman" w:hAnsi="Times New Roman" w:cs="Times New Roman"/>
          <w:sz w:val="24"/>
          <w:szCs w:val="24"/>
        </w:rPr>
        <w:t xml:space="preserve">many unknown problems in its </w:t>
      </w:r>
      <w:r w:rsidR="00817A54" w:rsidRPr="00BD7B7F">
        <w:rPr>
          <w:rFonts w:ascii="Times New Roman" w:hAnsi="Times New Roman" w:cs="Times New Roman"/>
          <w:sz w:val="24"/>
          <w:szCs w:val="24"/>
        </w:rPr>
        <w:t>implementation</w:t>
      </w:r>
      <w:r w:rsidR="002B7B5E" w:rsidRPr="00BD7B7F">
        <w:rPr>
          <w:rFonts w:ascii="Times New Roman" w:hAnsi="Times New Roman" w:cs="Times New Roman"/>
          <w:sz w:val="24"/>
          <w:szCs w:val="24"/>
        </w:rPr>
        <w:t>, such as increased bank costs and decreased banking sector competitiveness</w:t>
      </w:r>
      <w:r w:rsidR="00152DBF" w:rsidRPr="00BD7B7F">
        <w:rPr>
          <w:rFonts w:ascii="Times New Roman" w:hAnsi="Times New Roman" w:cs="Times New Roman"/>
          <w:sz w:val="24"/>
          <w:szCs w:val="24"/>
        </w:rPr>
        <w:t xml:space="preserve"> from other banks</w:t>
      </w:r>
      <w:r w:rsidR="002B7B5E" w:rsidRPr="00BD7B7F">
        <w:rPr>
          <w:rFonts w:ascii="Times New Roman" w:hAnsi="Times New Roman" w:cs="Times New Roman"/>
          <w:sz w:val="24"/>
          <w:szCs w:val="24"/>
        </w:rPr>
        <w:t xml:space="preserve">. Nonetheless, the Act's reforms </w:t>
      </w:r>
      <w:r w:rsidR="00152DBF" w:rsidRPr="00BD7B7F">
        <w:rPr>
          <w:rFonts w:ascii="Times New Roman" w:hAnsi="Times New Roman" w:cs="Times New Roman"/>
          <w:sz w:val="24"/>
          <w:szCs w:val="24"/>
        </w:rPr>
        <w:t>are crucial for making sure that</w:t>
      </w:r>
      <w:r w:rsidR="00817A54" w:rsidRPr="00BD7B7F">
        <w:rPr>
          <w:rFonts w:ascii="Times New Roman" w:hAnsi="Times New Roman" w:cs="Times New Roman"/>
          <w:sz w:val="24"/>
          <w:szCs w:val="24"/>
        </w:rPr>
        <w:t xml:space="preserve"> the UK banking sector is stable</w:t>
      </w:r>
      <w:r w:rsidR="002B7B5E" w:rsidRPr="00BD7B7F">
        <w:rPr>
          <w:rFonts w:ascii="Times New Roman" w:hAnsi="Times New Roman" w:cs="Times New Roman"/>
          <w:sz w:val="24"/>
          <w:szCs w:val="24"/>
        </w:rPr>
        <w:t xml:space="preserve">, and </w:t>
      </w:r>
      <w:r w:rsidR="00817A54" w:rsidRPr="00BD7B7F">
        <w:rPr>
          <w:rFonts w:ascii="Times New Roman" w:hAnsi="Times New Roman" w:cs="Times New Roman"/>
          <w:sz w:val="24"/>
          <w:szCs w:val="24"/>
        </w:rPr>
        <w:t>there will always be</w:t>
      </w:r>
      <w:r w:rsidR="002B7B5E" w:rsidRPr="00BD7B7F">
        <w:rPr>
          <w:rFonts w:ascii="Times New Roman" w:hAnsi="Times New Roman" w:cs="Times New Roman"/>
          <w:sz w:val="24"/>
          <w:szCs w:val="24"/>
        </w:rPr>
        <w:t xml:space="preserve"> ongoing review and evaluation</w:t>
      </w:r>
      <w:r w:rsidR="00817A54" w:rsidRPr="00BD7B7F">
        <w:rPr>
          <w:rFonts w:ascii="Times New Roman" w:hAnsi="Times New Roman" w:cs="Times New Roman"/>
          <w:sz w:val="24"/>
          <w:szCs w:val="24"/>
        </w:rPr>
        <w:t xml:space="preserve"> from time to time</w:t>
      </w:r>
      <w:r w:rsidR="002B7B5E" w:rsidRPr="00BD7B7F">
        <w:rPr>
          <w:rFonts w:ascii="Times New Roman" w:hAnsi="Times New Roman" w:cs="Times New Roman"/>
          <w:sz w:val="24"/>
          <w:szCs w:val="24"/>
        </w:rPr>
        <w:t xml:space="preserve"> to ensure their effectiveness.</w:t>
      </w:r>
    </w:p>
    <w:p w14:paraId="6717AE1D" w14:textId="77777777" w:rsidR="00E45BFC" w:rsidRPr="00BD7B7F" w:rsidRDefault="00E45BFC" w:rsidP="00FC668D">
      <w:pPr>
        <w:jc w:val="both"/>
        <w:rPr>
          <w:rFonts w:ascii="Times New Roman" w:hAnsi="Times New Roman" w:cs="Times New Roman"/>
          <w:sz w:val="24"/>
          <w:szCs w:val="24"/>
        </w:rPr>
      </w:pPr>
    </w:p>
    <w:p w14:paraId="36086163" w14:textId="68B0FBD9" w:rsidR="00791CAE" w:rsidRDefault="00527D73" w:rsidP="00791CAE">
      <w:pPr>
        <w:jc w:val="both"/>
        <w:rPr>
          <w:rFonts w:ascii="Times New Roman" w:hAnsi="Times New Roman" w:cs="Times New Roman"/>
          <w:sz w:val="24"/>
          <w:szCs w:val="24"/>
        </w:rPr>
      </w:pPr>
      <w:r w:rsidRPr="00BD7B7F">
        <w:rPr>
          <w:rFonts w:ascii="Times New Roman" w:hAnsi="Times New Roman" w:cs="Times New Roman"/>
          <w:sz w:val="24"/>
          <w:szCs w:val="24"/>
        </w:rPr>
        <w:t>Overall, the reforms introduced in the UK have contributed towards stabilizing the financial system and the different banking institutions. The introduction of the FPC, PRA, and FCA has helped to strengthen the regulation of the financial services industry, while the SRR has provided a framework for the orderly resolution of failing banks. The implementation of ring-fencing and the SMCR has increased accountability within the banking sector, improving corporate governance and protecting retail banking operations from the risks associated with investment banking.</w:t>
      </w:r>
      <w:r w:rsidR="000F31F9" w:rsidRPr="00BD7B7F">
        <w:rPr>
          <w:rFonts w:ascii="Times New Roman" w:hAnsi="Times New Roman" w:cs="Times New Roman"/>
          <w:sz w:val="24"/>
          <w:szCs w:val="24"/>
        </w:rPr>
        <w:t xml:space="preserve"> </w:t>
      </w:r>
    </w:p>
    <w:p w14:paraId="7E5A6CF2" w14:textId="77777777" w:rsidR="0094055B" w:rsidRPr="00BD7B7F" w:rsidRDefault="0094055B" w:rsidP="00791CAE">
      <w:pPr>
        <w:jc w:val="both"/>
        <w:rPr>
          <w:rFonts w:ascii="Times New Roman" w:hAnsi="Times New Roman" w:cs="Times New Roman"/>
          <w:sz w:val="24"/>
          <w:szCs w:val="24"/>
        </w:rPr>
      </w:pPr>
    </w:p>
    <w:p w14:paraId="5035B5BB" w14:textId="42EDC0C0" w:rsidR="00527D73" w:rsidRPr="0094055B" w:rsidRDefault="0093075F" w:rsidP="00791CAE">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EFFECTIVENESS OF REFORMS IN THE US</w:t>
      </w:r>
    </w:p>
    <w:p w14:paraId="3902F9E9" w14:textId="7A5D6991" w:rsidR="00527D73" w:rsidRPr="00BD7B7F" w:rsidRDefault="00527D73" w:rsidP="0086598C">
      <w:pPr>
        <w:jc w:val="both"/>
        <w:rPr>
          <w:rFonts w:ascii="Times New Roman" w:hAnsi="Times New Roman" w:cs="Times New Roman"/>
          <w:sz w:val="24"/>
          <w:szCs w:val="24"/>
        </w:rPr>
      </w:pPr>
      <w:r w:rsidRPr="00BD7B7F">
        <w:rPr>
          <w:rFonts w:ascii="Times New Roman" w:hAnsi="Times New Roman" w:cs="Times New Roman"/>
          <w:sz w:val="24"/>
          <w:szCs w:val="24"/>
        </w:rPr>
        <w:t>The US government introduced a range of reforms aimed at preventing future financial crises, including the Dodd-Frank Wall Street Reform and Consumer Protection Act, the Volcker Rule, and the establishment of the Financial Stability Oversight Council (FSOC) and the Consumer Financial Protection Bureau (CFPB).</w:t>
      </w:r>
    </w:p>
    <w:p w14:paraId="4AF0876E" w14:textId="3CE7F90B" w:rsidR="00527D73" w:rsidRPr="00BD7B7F" w:rsidRDefault="00527D73" w:rsidP="0086598C">
      <w:pPr>
        <w:jc w:val="both"/>
        <w:rPr>
          <w:rFonts w:ascii="Times New Roman" w:hAnsi="Times New Roman" w:cs="Times New Roman"/>
          <w:sz w:val="24"/>
          <w:szCs w:val="24"/>
        </w:rPr>
      </w:pPr>
      <w:r w:rsidRPr="00BD7B7F">
        <w:rPr>
          <w:rFonts w:ascii="Times New Roman" w:hAnsi="Times New Roman" w:cs="Times New Roman"/>
          <w:sz w:val="24"/>
          <w:szCs w:val="24"/>
        </w:rPr>
        <w:lastRenderedPageBreak/>
        <w:t>The Dodd-Frank Act, which established the FSOC and the CFPB, has had a positive impact on the financial system. The FSOC's monitoring and regulatory activities have contributed towards reducing systemic risks to the US financial system, while the CFPB has helped to protect consumers from financial fraud and abuse.</w:t>
      </w:r>
    </w:p>
    <w:p w14:paraId="74AB567C" w14:textId="3E14FF73" w:rsidR="00527D73" w:rsidRPr="00BD7B7F" w:rsidRDefault="00527D73" w:rsidP="0086598C">
      <w:pPr>
        <w:jc w:val="both"/>
        <w:rPr>
          <w:rFonts w:ascii="Times New Roman" w:hAnsi="Times New Roman" w:cs="Times New Roman"/>
          <w:sz w:val="24"/>
          <w:szCs w:val="24"/>
        </w:rPr>
      </w:pPr>
      <w:r w:rsidRPr="00BD7B7F">
        <w:rPr>
          <w:rFonts w:ascii="Times New Roman" w:hAnsi="Times New Roman" w:cs="Times New Roman"/>
          <w:sz w:val="24"/>
          <w:szCs w:val="24"/>
        </w:rPr>
        <w:t>The Volcker Rule, which prohibits banks from engaging in proprietary trading and limits their investments in private equity and hedge funds, has also had a positive impact on the financial system. The rule has helped to prevent banks from taking excessive risks and has contributed towards the stability of the financial system.</w:t>
      </w:r>
    </w:p>
    <w:p w14:paraId="14F8789A" w14:textId="10BCC486" w:rsidR="00527D73" w:rsidRPr="00BD7B7F" w:rsidRDefault="00527D73" w:rsidP="0086598C">
      <w:pPr>
        <w:jc w:val="both"/>
        <w:rPr>
          <w:rFonts w:ascii="Times New Roman" w:hAnsi="Times New Roman" w:cs="Times New Roman"/>
          <w:sz w:val="24"/>
          <w:szCs w:val="24"/>
        </w:rPr>
      </w:pPr>
      <w:r w:rsidRPr="00BD7B7F">
        <w:rPr>
          <w:rFonts w:ascii="Times New Roman" w:hAnsi="Times New Roman" w:cs="Times New Roman"/>
          <w:sz w:val="24"/>
          <w:szCs w:val="24"/>
        </w:rPr>
        <w:t>However, there have been criticisms of the Dodd-Frank Act, with some arguing that it has had a negative impact on the banking industry. The Act has increased regulatory compliance costs for banks, making it harder for smaller banks to compete with larger ones.</w:t>
      </w:r>
    </w:p>
    <w:p w14:paraId="6E7E0080" w14:textId="77777777" w:rsidR="00791CAE" w:rsidRPr="00BD7B7F" w:rsidRDefault="00791CAE" w:rsidP="0086598C">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E32439" w14:textId="6F320F33" w:rsidR="0086598C" w:rsidRPr="0094055B" w:rsidRDefault="0086598C" w:rsidP="0086598C">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OF </w:t>
      </w:r>
      <w:r w:rsidR="00795B2E"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BARCLAYS</w:t>
      </w:r>
    </w:p>
    <w:p w14:paraId="48377575" w14:textId="2812B5E6" w:rsidR="0086598C" w:rsidRPr="00BD7B7F" w:rsidRDefault="006101F9" w:rsidP="0086598C">
      <w:pPr>
        <w:jc w:val="both"/>
        <w:rPr>
          <w:rFonts w:ascii="Times New Roman" w:hAnsi="Times New Roman" w:cs="Times New Roman"/>
          <w:sz w:val="24"/>
          <w:szCs w:val="24"/>
          <w:lang w:val="en-GB"/>
        </w:rPr>
      </w:pPr>
      <w:r w:rsidRPr="00BD7B7F">
        <w:rPr>
          <w:rFonts w:ascii="Times New Roman" w:hAnsi="Times New Roman" w:cs="Times New Roman"/>
          <w:sz w:val="24"/>
          <w:szCs w:val="24"/>
          <w:lang w:val="en-GB"/>
        </w:rPr>
        <w:t>One of the UK's oldest banks is Barclays. It</w:t>
      </w:r>
      <w:r w:rsidR="0082275A" w:rsidRPr="00BD7B7F">
        <w:rPr>
          <w:rFonts w:ascii="Times New Roman" w:hAnsi="Times New Roman" w:cs="Times New Roman"/>
          <w:sz w:val="24"/>
          <w:szCs w:val="24"/>
          <w:lang w:val="en-GB"/>
        </w:rPr>
        <w:t xml:space="preserve"> </w:t>
      </w:r>
      <w:r w:rsidRPr="00BD7B7F">
        <w:rPr>
          <w:rFonts w:ascii="Times New Roman" w:hAnsi="Times New Roman" w:cs="Times New Roman"/>
          <w:sz w:val="24"/>
          <w:szCs w:val="24"/>
          <w:lang w:val="en-GB"/>
        </w:rPr>
        <w:t>is currently one of the big four banks with the greatest market share of clients in the UK</w:t>
      </w:r>
      <w:r w:rsidR="001C1A2D" w:rsidRPr="00BD7B7F">
        <w:rPr>
          <w:rFonts w:ascii="Times New Roman" w:hAnsi="Times New Roman" w:cs="Times New Roman"/>
          <w:sz w:val="24"/>
          <w:szCs w:val="24"/>
          <w:lang w:val="en-GB"/>
        </w:rPr>
        <w:fldChar w:fldCharType="begin"/>
      </w:r>
      <w:r w:rsidR="001C1A2D" w:rsidRPr="00BD7B7F">
        <w:rPr>
          <w:rFonts w:ascii="Times New Roman" w:hAnsi="Times New Roman" w:cs="Times New Roman"/>
          <w:sz w:val="24"/>
          <w:szCs w:val="24"/>
          <w:lang w:val="en-GB"/>
        </w:rPr>
        <w:instrText xml:space="preserve"> ADDIN ZOTERO_ITEM CSL_CITATION {"citationID":"5UqjuTxw","properties":{"formattedCitation":"(Barclays, 2023)","plainCitation":"(Barclays, 2023)","noteIndex":0},"citationItems":[{"id":1,"uris":["http://zotero.org/users/local/RSvuDjHI/items/XHIVMH9C"],"itemData":{"id":1,"type":"webpage","abstract":"Barclays has more than 300 years of history. Find out more about our key moments, the Barclays connection and our history around the UK here.","language":"en","title":"Barclays Our Story and History | Barclays","URL":"https://home.barclays/who-we-are/our-history/","author":[{"family":"Barclays","given":""}],"accessed":{"date-parts":[["2023",4,28]]},"issued":{"date-parts":[["2023"]]}}}],"schema":"https://github.com/citation-style-language/schema/raw/master/csl-citation.json"} </w:instrText>
      </w:r>
      <w:r w:rsidR="001C1A2D" w:rsidRPr="00BD7B7F">
        <w:rPr>
          <w:rFonts w:ascii="Times New Roman" w:hAnsi="Times New Roman" w:cs="Times New Roman"/>
          <w:sz w:val="24"/>
          <w:szCs w:val="24"/>
          <w:lang w:val="en-GB"/>
        </w:rPr>
        <w:fldChar w:fldCharType="separate"/>
      </w:r>
      <w:r w:rsidR="001C1A2D" w:rsidRPr="00BD7B7F">
        <w:rPr>
          <w:rFonts w:ascii="Times New Roman" w:hAnsi="Times New Roman" w:cs="Times New Roman"/>
          <w:sz w:val="24"/>
        </w:rPr>
        <w:t>(Barclays, 2023)</w:t>
      </w:r>
      <w:r w:rsidR="001C1A2D" w:rsidRPr="00BD7B7F">
        <w:rPr>
          <w:rFonts w:ascii="Times New Roman" w:hAnsi="Times New Roman" w:cs="Times New Roman"/>
          <w:sz w:val="24"/>
          <w:szCs w:val="24"/>
          <w:lang w:val="en-GB"/>
        </w:rPr>
        <w:fldChar w:fldCharType="end"/>
      </w:r>
      <w:r w:rsidR="00545E9C" w:rsidRPr="00BD7B7F">
        <w:rPr>
          <w:rFonts w:ascii="Times New Roman" w:hAnsi="Times New Roman" w:cs="Times New Roman"/>
          <w:sz w:val="24"/>
          <w:szCs w:val="24"/>
          <w:lang w:val="en-GB"/>
        </w:rPr>
        <w:t>. The largest commercial banking concern in the United Kingdom, Barclays Bank operates about 5,000 offices in England and Wales, as well as internationally, and has several subsidiaries in Britain and other countries. Barclays PLC is a British banking and trust company that was founded on July 20, 1896, under the name Barclay &amp; Co. Ltd. and changed its name to Barclays Bank Ltd. in 1917.</w:t>
      </w:r>
    </w:p>
    <w:p w14:paraId="4F286674" w14:textId="23BB4346" w:rsidR="0082275A" w:rsidRPr="00BD7B7F" w:rsidRDefault="0082275A" w:rsidP="0086598C">
      <w:pPr>
        <w:jc w:val="both"/>
        <w:rPr>
          <w:rFonts w:ascii="Times New Roman" w:hAnsi="Times New Roman" w:cs="Times New Roman"/>
          <w:sz w:val="24"/>
          <w:szCs w:val="24"/>
          <w:lang w:val="en-GB"/>
        </w:rPr>
      </w:pPr>
      <w:r w:rsidRPr="00BD7B7F">
        <w:rPr>
          <w:rFonts w:ascii="Times New Roman" w:hAnsi="Times New Roman" w:cs="Times New Roman"/>
          <w:sz w:val="24"/>
          <w:szCs w:val="24"/>
          <w:lang w:val="en-GB"/>
        </w:rPr>
        <w:t>When the bank was established in 1896, the banking operations of Gurney &amp; Co., Bouverie &amp; Co., Barclay &amp; Co., Bevan &amp; Tritton, Ransom</w:t>
      </w:r>
      <w:r w:rsidR="00C07A01" w:rsidRPr="00BD7B7F">
        <w:rPr>
          <w:rFonts w:ascii="Times New Roman" w:hAnsi="Times New Roman" w:cs="Times New Roman"/>
          <w:sz w:val="24"/>
          <w:szCs w:val="24"/>
          <w:lang w:val="en-GB"/>
        </w:rPr>
        <w:t>.</w:t>
      </w:r>
      <w:r w:rsidRPr="00BD7B7F">
        <w:rPr>
          <w:rFonts w:ascii="Times New Roman" w:hAnsi="Times New Roman" w:cs="Times New Roman"/>
          <w:sz w:val="24"/>
          <w:szCs w:val="24"/>
          <w:lang w:val="en-GB"/>
        </w:rPr>
        <w:t>, and numerous other private banking firms were combined. Over the years, it acquired several additional banks, the majority of which were located in Britain, but also in Commonwealth countries, continental Europe, and other regions. The name of the organisation was changed to Barclays American Corporation by Barclays after it acquired American Credit Corporation in 1979. The bank began a massive development programme in the United States through this subsidiary in the early 1980s, acquiring a large number of consumer financing firms and trust company activities.</w:t>
      </w:r>
      <w:r w:rsidR="00C07A01" w:rsidRPr="00BD7B7F">
        <w:t xml:space="preserve"> </w:t>
      </w:r>
      <w:r w:rsidR="00C07A01" w:rsidRPr="00BD7B7F">
        <w:rPr>
          <w:rFonts w:ascii="Times New Roman" w:hAnsi="Times New Roman" w:cs="Times New Roman"/>
          <w:sz w:val="24"/>
          <w:szCs w:val="24"/>
          <w:lang w:val="en-GB"/>
        </w:rPr>
        <w:t>In 1958, during the height of feminism in the 1950s, Hilda Harding was appointed as the bank's first female manager. She worked there until her retirement in 1970.</w:t>
      </w:r>
    </w:p>
    <w:p w14:paraId="7860DB70" w14:textId="65D9D3CE" w:rsidR="00DA0ADB" w:rsidRPr="00BD7B7F" w:rsidRDefault="00DA0ADB" w:rsidP="0086598C">
      <w:pPr>
        <w:jc w:val="both"/>
        <w:rPr>
          <w:rFonts w:ascii="Times New Roman" w:hAnsi="Times New Roman" w:cs="Times New Roman"/>
          <w:sz w:val="24"/>
          <w:szCs w:val="24"/>
          <w:lang w:val="en-GB"/>
        </w:rPr>
      </w:pPr>
      <w:r w:rsidRPr="00BD7B7F">
        <w:rPr>
          <w:rFonts w:ascii="Times New Roman" w:hAnsi="Times New Roman" w:cs="Times New Roman"/>
          <w:sz w:val="24"/>
          <w:szCs w:val="24"/>
          <w:lang w:val="en-GB"/>
        </w:rPr>
        <w:t>Shareholders own the British universal bank Barclays. Since it is a limited liability business, when the bank defaults on its obligations, the shareholder's property cannot be sold. The Vanguard Group Inc., Dodge and Cox, BlackRock fund advisors, and Qatar Investment Authority are some of the major owners in Barclays Bank. The Barclays Execution Services (BX), which oversees the two major units, Barclays International and Barclays UK, is at the top of the hierarchical ladder. To ensure that the bank operates effectively, the CEO chooses directors to each of its functional divisions (Barnes and Newton, 2022).</w:t>
      </w:r>
      <w:r w:rsidRPr="00BD7B7F">
        <w:t xml:space="preserve"> </w:t>
      </w:r>
      <w:r w:rsidRPr="00BD7B7F">
        <w:rPr>
          <w:rFonts w:ascii="Times New Roman" w:hAnsi="Times New Roman" w:cs="Times New Roman"/>
          <w:sz w:val="24"/>
          <w:szCs w:val="24"/>
          <w:lang w:val="en-GB"/>
        </w:rPr>
        <w:t>Sales and trade make up the bank's main business model, with sales representatives asking potential customers for ideas and business opportunities. In order to ensure that the client's objectives are met, traders simultaneously offer advice to clients and carry out orders. It is crucial to remember that the leadership structure of the organisation permits a closed feedback loop.</w:t>
      </w:r>
    </w:p>
    <w:p w14:paraId="4091E984" w14:textId="10FB5DAC" w:rsidR="00DA0ADB" w:rsidRPr="00BD7B7F" w:rsidRDefault="001D12A9" w:rsidP="001D12A9">
      <w:pPr>
        <w:jc w:val="center"/>
        <w:rPr>
          <w:rFonts w:ascii="Times New Roman" w:hAnsi="Times New Roman" w:cs="Times New Roman"/>
          <w:sz w:val="24"/>
          <w:szCs w:val="24"/>
          <w:lang w:val="en-GB"/>
        </w:rPr>
      </w:pPr>
      <w:r w:rsidRPr="00BD7B7F">
        <w:rPr>
          <w:rFonts w:ascii="Times New Roman" w:hAnsi="Times New Roman" w:cs="Times New Roman"/>
          <w:noProof/>
          <w:sz w:val="24"/>
          <w:szCs w:val="24"/>
          <w:lang w:val="en-US"/>
        </w:rPr>
        <w:lastRenderedPageBreak/>
        <w:drawing>
          <wp:inline distT="0" distB="0" distL="0" distR="0" wp14:anchorId="16455CF7" wp14:editId="6EAA05EF">
            <wp:extent cx="3990786" cy="2895600"/>
            <wp:effectExtent l="0" t="0" r="0" b="0"/>
            <wp:docPr id="15357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473" name="Picture 15357473"/>
                    <pic:cNvPicPr/>
                  </pic:nvPicPr>
                  <pic:blipFill>
                    <a:blip r:embed="rId9">
                      <a:extLst>
                        <a:ext uri="{28A0092B-C50C-407E-A947-70E740481C1C}">
                          <a14:useLocalDpi xmlns:a14="http://schemas.microsoft.com/office/drawing/2010/main" val="0"/>
                        </a:ext>
                      </a:extLst>
                    </a:blip>
                    <a:stretch>
                      <a:fillRect/>
                    </a:stretch>
                  </pic:blipFill>
                  <pic:spPr>
                    <a:xfrm>
                      <a:off x="0" y="0"/>
                      <a:ext cx="4093534" cy="2970151"/>
                    </a:xfrm>
                    <a:prstGeom prst="rect">
                      <a:avLst/>
                    </a:prstGeom>
                  </pic:spPr>
                </pic:pic>
              </a:graphicData>
            </a:graphic>
          </wp:inline>
        </w:drawing>
      </w:r>
    </w:p>
    <w:p w14:paraId="25DBAA9F" w14:textId="31852B8E" w:rsidR="001D12A9" w:rsidRPr="00BD7B7F" w:rsidRDefault="001D12A9" w:rsidP="001D12A9">
      <w:pPr>
        <w:jc w:val="center"/>
        <w:rPr>
          <w:rFonts w:ascii="Times New Roman" w:eastAsia="Times New Roman" w:hAnsi="Times New Roman" w:cs="Times New Roman"/>
          <w:sz w:val="24"/>
          <w:szCs w:val="24"/>
          <w:lang w:eastAsia="en-IN"/>
        </w:rPr>
      </w:pPr>
      <w:r w:rsidRPr="00BD7B7F">
        <w:rPr>
          <w:rFonts w:ascii="Times New Roman" w:hAnsi="Times New Roman" w:cs="Times New Roman"/>
          <w:sz w:val="24"/>
          <w:szCs w:val="24"/>
          <w:lang w:val="en-GB"/>
        </w:rPr>
        <w:t xml:space="preserve">Source: </w:t>
      </w:r>
      <w:r w:rsidRPr="00BD7B7F">
        <w:rPr>
          <w:rFonts w:ascii="Times New Roman" w:eastAsia="Times New Roman" w:hAnsi="Times New Roman" w:cs="Times New Roman"/>
          <w:sz w:val="24"/>
          <w:szCs w:val="24"/>
          <w:lang w:eastAsia="en-IN"/>
        </w:rPr>
        <w:t>Barclays Business Structure (</w:t>
      </w:r>
      <w:proofErr w:type="spellStart"/>
      <w:r w:rsidRPr="00BD7B7F">
        <w:rPr>
          <w:rFonts w:ascii="Times New Roman" w:eastAsia="Times New Roman" w:hAnsi="Times New Roman" w:cs="Times New Roman"/>
          <w:sz w:val="24"/>
          <w:szCs w:val="24"/>
          <w:lang w:eastAsia="en-IN"/>
        </w:rPr>
        <w:t>Ozili</w:t>
      </w:r>
      <w:proofErr w:type="spellEnd"/>
      <w:r w:rsidRPr="00BD7B7F">
        <w:rPr>
          <w:rFonts w:ascii="Times New Roman" w:eastAsia="Times New Roman" w:hAnsi="Times New Roman" w:cs="Times New Roman"/>
          <w:sz w:val="24"/>
          <w:szCs w:val="24"/>
          <w:lang w:eastAsia="en-IN"/>
        </w:rPr>
        <w:t>, 2022).</w:t>
      </w:r>
    </w:p>
    <w:p w14:paraId="760B0CCC" w14:textId="44609DE4" w:rsidR="00BA1DF0" w:rsidRPr="00BD7B7F" w:rsidRDefault="00BA1DF0" w:rsidP="003D0D04">
      <w:pPr>
        <w:jc w:val="both"/>
        <w:rPr>
          <w:rFonts w:ascii="Times New Roman" w:hAnsi="Times New Roman" w:cs="Times New Roman"/>
          <w:sz w:val="24"/>
          <w:szCs w:val="24"/>
        </w:rPr>
      </w:pPr>
      <w:r w:rsidRPr="00BD7B7F">
        <w:rPr>
          <w:rFonts w:ascii="Times New Roman" w:hAnsi="Times New Roman" w:cs="Times New Roman"/>
          <w:sz w:val="24"/>
          <w:szCs w:val="24"/>
        </w:rPr>
        <w:t xml:space="preserve">In the wake of the 2008 financial crisis, regulatory reforms were introduced by governments and regulators across the world to prevent a repeat of the crisis. These reforms aimed at increasing the stability of the financial system, preventing banks from taking excessive risks, and increasing accountability within the banking sector. </w:t>
      </w:r>
      <w:r w:rsidR="003D0D04" w:rsidRPr="00BD7B7F">
        <w:rPr>
          <w:rFonts w:ascii="Times New Roman" w:hAnsi="Times New Roman" w:cs="Times New Roman"/>
          <w:sz w:val="24"/>
          <w:szCs w:val="24"/>
        </w:rPr>
        <w:t>Now</w:t>
      </w:r>
      <w:r w:rsidRPr="00BD7B7F">
        <w:rPr>
          <w:rFonts w:ascii="Times New Roman" w:hAnsi="Times New Roman" w:cs="Times New Roman"/>
          <w:sz w:val="24"/>
          <w:szCs w:val="24"/>
        </w:rPr>
        <w:t>, we will analyse the impact of these regulatory reforms on a publicly listed company, Barclays, and the extent to which they have complied with these reforms.</w:t>
      </w:r>
    </w:p>
    <w:p w14:paraId="20F6E147" w14:textId="77777777" w:rsidR="00BA1DF0" w:rsidRPr="00BD7B7F" w:rsidRDefault="00BA1DF0" w:rsidP="00BA1DF0">
      <w:pPr>
        <w:rPr>
          <w:rFonts w:ascii="Times New Roman" w:hAnsi="Times New Roman" w:cs="Times New Roman"/>
          <w:sz w:val="24"/>
          <w:szCs w:val="24"/>
        </w:rPr>
      </w:pPr>
    </w:p>
    <w:p w14:paraId="3A2D1B50" w14:textId="37785F9E" w:rsidR="00BA1DF0" w:rsidRPr="0094055B" w:rsidRDefault="00EA58D7" w:rsidP="003D0D04">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REGULATORY REFORMS ON BARCLAYS</w:t>
      </w:r>
    </w:p>
    <w:p w14:paraId="6F7DA094" w14:textId="77777777" w:rsidR="00BA1DF0" w:rsidRPr="00BD7B7F" w:rsidRDefault="00BA1DF0" w:rsidP="003D0D04">
      <w:pPr>
        <w:jc w:val="both"/>
        <w:rPr>
          <w:rFonts w:ascii="Times New Roman" w:hAnsi="Times New Roman" w:cs="Times New Roman"/>
          <w:sz w:val="24"/>
          <w:szCs w:val="24"/>
        </w:rPr>
      </w:pPr>
      <w:r w:rsidRPr="00BD7B7F">
        <w:rPr>
          <w:rFonts w:ascii="Times New Roman" w:hAnsi="Times New Roman" w:cs="Times New Roman"/>
          <w:sz w:val="24"/>
          <w:szCs w:val="24"/>
        </w:rPr>
        <w:t>Barclays is a British multinational investment bank and financial services company, headquartered in London, with operations in over 40 countries. As a major player in the financial services industry, Barclays has been subject to a range of regulatory reforms introduced by the UK and EU authorities.</w:t>
      </w:r>
    </w:p>
    <w:p w14:paraId="57C8FC15" w14:textId="2F004DCC" w:rsidR="00BA1DF0" w:rsidRPr="00BD7B7F" w:rsidRDefault="00EA58D7" w:rsidP="00EA58D7">
      <w:pPr>
        <w:jc w:val="both"/>
        <w:rPr>
          <w:rFonts w:ascii="Times New Roman" w:hAnsi="Times New Roman" w:cs="Times New Roman"/>
          <w:b/>
          <w:bCs/>
          <w:sz w:val="24"/>
          <w:szCs w:val="24"/>
        </w:rPr>
      </w:pPr>
      <w:r w:rsidRPr="00BD7B7F">
        <w:rPr>
          <w:rFonts w:ascii="Times New Roman" w:hAnsi="Times New Roman" w:cs="Times New Roman"/>
          <w:b/>
          <w:bCs/>
          <w:sz w:val="24"/>
          <w:szCs w:val="24"/>
        </w:rPr>
        <w:t>IMPACT OF THE FINANCIAL SERVICES ACT 2010 ON BARCLAYS</w:t>
      </w:r>
    </w:p>
    <w:p w14:paraId="547B9296" w14:textId="77777777"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The Financial Services Act 2010 established the Financial Policy Committee (FPC), Prudential Regulation Authority (PRA), and the Financial Conduct Authority (FCA) to strengthen the regulation of the financial services industry. The FPC, PRA, and FCA have had a significant impact on the operations of Barclays.</w:t>
      </w:r>
    </w:p>
    <w:p w14:paraId="3375F1B5" w14:textId="77777777"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The PRA has imposed stringent capital requirements on banks to increase their resilience to financial shocks. As a result, Barclays has had to raise significant amounts of capital to meet these requirements. In 2013, Barclays raised £5.8 billion through a rights issue to bolster its capital position.</w:t>
      </w:r>
    </w:p>
    <w:p w14:paraId="2EFE5FB9" w14:textId="77777777"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The FCA has introduced regulations aimed at ensuring that financial products and services offered by banks are fair and transparent. In 2015, Barclays was fined £72 million by the FCA for failing to handle financial crime risks adequately. The FCA found that Barclays had breached its obligations to prevent the use of the financial system for money laundering.</w:t>
      </w:r>
    </w:p>
    <w:p w14:paraId="0F4075A4" w14:textId="7D172528" w:rsidR="00BA1DF0" w:rsidRPr="00BD7B7F" w:rsidRDefault="00EA58D7" w:rsidP="00EA58D7">
      <w:pPr>
        <w:jc w:val="both"/>
        <w:rPr>
          <w:rFonts w:ascii="Times New Roman" w:hAnsi="Times New Roman" w:cs="Times New Roman"/>
          <w:b/>
          <w:bCs/>
          <w:sz w:val="24"/>
          <w:szCs w:val="24"/>
        </w:rPr>
      </w:pPr>
      <w:r w:rsidRPr="00BD7B7F">
        <w:rPr>
          <w:rFonts w:ascii="Times New Roman" w:hAnsi="Times New Roman" w:cs="Times New Roman"/>
          <w:b/>
          <w:bCs/>
          <w:sz w:val="24"/>
          <w:szCs w:val="24"/>
        </w:rPr>
        <w:lastRenderedPageBreak/>
        <w:t>IMPACT OF THE BANKING ACT 2009 ON BARCLAYS</w:t>
      </w:r>
    </w:p>
    <w:p w14:paraId="36EDD1F2" w14:textId="2FA27D45"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The Banking Act 2009 established the Special Resolution Regime (SRR) to provide a framework for the orderly resolution of failing banks. The SRR has had a significant impact on Barclays, which was one of the banks that required a government bailout during the financial crisis.</w:t>
      </w:r>
    </w:p>
    <w:p w14:paraId="1645597A" w14:textId="417E60FA" w:rsidR="00234048" w:rsidRPr="00BD7B7F" w:rsidRDefault="00BA1DF0" w:rsidP="00F15D88">
      <w:pPr>
        <w:jc w:val="both"/>
        <w:rPr>
          <w:rFonts w:ascii="Times New Roman" w:hAnsi="Times New Roman" w:cs="Times New Roman"/>
          <w:sz w:val="24"/>
          <w:szCs w:val="24"/>
        </w:rPr>
      </w:pPr>
      <w:r w:rsidRPr="00BD7B7F">
        <w:rPr>
          <w:rFonts w:ascii="Times New Roman" w:hAnsi="Times New Roman" w:cs="Times New Roman"/>
          <w:sz w:val="24"/>
          <w:szCs w:val="24"/>
        </w:rPr>
        <w:t>The SRR has imposed greater regulatory oversight on Barclays, with the bank required to demonstrate that it has adequate plans in place for the resolution of failing banks. Barclays has had to restructure its operations to comply with the SRR, including separating its retail banking operations from its investment banking operations.</w:t>
      </w:r>
      <w:r w:rsidR="00F15D88" w:rsidRPr="00BD7B7F">
        <w:t xml:space="preserve"> </w:t>
      </w:r>
      <w:r w:rsidR="00234048" w:rsidRPr="00BD7B7F">
        <w:rPr>
          <w:rFonts w:ascii="Times New Roman" w:hAnsi="Times New Roman" w:cs="Times New Roman"/>
          <w:sz w:val="24"/>
          <w:szCs w:val="24"/>
        </w:rPr>
        <w:t>The necessity for banks to produce "living wills," or plans for how they would be resolved in the case of financial hardship, was one of the primary provisions implemented by the Banking Act 2009</w:t>
      </w:r>
      <w:r w:rsidR="00E25E14" w:rsidRPr="00BD7B7F">
        <w:rPr>
          <w:rFonts w:ascii="Times New Roman" w:hAnsi="Times New Roman" w:cs="Times New Roman"/>
          <w:sz w:val="24"/>
          <w:szCs w:val="24"/>
        </w:rPr>
        <w:t xml:space="preserve"> (West, 2019).</w:t>
      </w:r>
      <w:r w:rsidR="00234048" w:rsidRPr="00BD7B7F">
        <w:rPr>
          <w:rFonts w:ascii="Times New Roman" w:hAnsi="Times New Roman" w:cs="Times New Roman"/>
          <w:sz w:val="24"/>
          <w:szCs w:val="24"/>
        </w:rPr>
        <w:t xml:space="preserve"> Barclays was one of the first banks to create a living will, and it has been obligated to renew it on a regular basis to maintain its effectiveness. This has impacted Barclays in terms of the resources and skills required to create and manage the living will, as well as the possible damage on company reputation if it fails. The Banking Act of 2009 also established the Financial Services Compensation Scheme (FSCS), which </w:t>
      </w:r>
      <w:r w:rsidR="00F17B14" w:rsidRPr="00BD7B7F">
        <w:rPr>
          <w:rFonts w:ascii="Times New Roman" w:hAnsi="Times New Roman" w:cs="Times New Roman"/>
          <w:sz w:val="24"/>
          <w:szCs w:val="24"/>
        </w:rPr>
        <w:t xml:space="preserve">once implemented well, </w:t>
      </w:r>
      <w:r w:rsidR="00234048" w:rsidRPr="00BD7B7F">
        <w:rPr>
          <w:rFonts w:ascii="Times New Roman" w:hAnsi="Times New Roman" w:cs="Times New Roman"/>
          <w:sz w:val="24"/>
          <w:szCs w:val="24"/>
        </w:rPr>
        <w:t>protects bank and other financial institution</w:t>
      </w:r>
      <w:r w:rsidR="00F17B14" w:rsidRPr="00BD7B7F">
        <w:rPr>
          <w:rFonts w:ascii="Times New Roman" w:hAnsi="Times New Roman" w:cs="Times New Roman"/>
          <w:sz w:val="24"/>
          <w:szCs w:val="24"/>
        </w:rPr>
        <w:t>s and their</w:t>
      </w:r>
      <w:r w:rsidR="00234048" w:rsidRPr="00BD7B7F">
        <w:rPr>
          <w:rFonts w:ascii="Times New Roman" w:hAnsi="Times New Roman" w:cs="Times New Roman"/>
          <w:sz w:val="24"/>
          <w:szCs w:val="24"/>
        </w:rPr>
        <w:t xml:space="preserve"> consumers in the case </w:t>
      </w:r>
      <w:r w:rsidR="00F17B14" w:rsidRPr="00BD7B7F">
        <w:rPr>
          <w:rFonts w:ascii="Times New Roman" w:hAnsi="Times New Roman" w:cs="Times New Roman"/>
          <w:sz w:val="24"/>
          <w:szCs w:val="24"/>
        </w:rPr>
        <w:t xml:space="preserve">something goes wrong. </w:t>
      </w:r>
      <w:r w:rsidR="00234048" w:rsidRPr="00BD7B7F">
        <w:rPr>
          <w:rFonts w:ascii="Times New Roman" w:hAnsi="Times New Roman" w:cs="Times New Roman"/>
          <w:sz w:val="24"/>
          <w:szCs w:val="24"/>
        </w:rPr>
        <w:t xml:space="preserve"> </w:t>
      </w:r>
      <w:r w:rsidR="00F17B14" w:rsidRPr="00BD7B7F">
        <w:rPr>
          <w:rFonts w:ascii="Times New Roman" w:hAnsi="Times New Roman" w:cs="Times New Roman"/>
          <w:sz w:val="24"/>
          <w:szCs w:val="24"/>
        </w:rPr>
        <w:t xml:space="preserve"> </w:t>
      </w:r>
    </w:p>
    <w:p w14:paraId="7EDEE530" w14:textId="2783311C" w:rsidR="00F15D88" w:rsidRPr="00BD7B7F" w:rsidRDefault="00A43C00" w:rsidP="00EA58D7">
      <w:pPr>
        <w:jc w:val="both"/>
        <w:rPr>
          <w:rFonts w:ascii="Times New Roman" w:hAnsi="Times New Roman" w:cs="Times New Roman"/>
          <w:sz w:val="24"/>
          <w:szCs w:val="24"/>
        </w:rPr>
      </w:pPr>
      <w:r w:rsidRPr="00BD7B7F">
        <w:rPr>
          <w:rFonts w:ascii="Times New Roman" w:hAnsi="Times New Roman" w:cs="Times New Roman"/>
          <w:sz w:val="24"/>
          <w:szCs w:val="24"/>
        </w:rPr>
        <w:t>Customers are more likely to have confidence</w:t>
      </w:r>
      <w:r w:rsidR="00AB64B8" w:rsidRPr="00BD7B7F">
        <w:rPr>
          <w:rFonts w:ascii="Times New Roman" w:hAnsi="Times New Roman" w:cs="Times New Roman"/>
          <w:sz w:val="24"/>
          <w:szCs w:val="24"/>
        </w:rPr>
        <w:t xml:space="preserve"> and trust</w:t>
      </w:r>
      <w:r w:rsidRPr="00BD7B7F">
        <w:rPr>
          <w:rFonts w:ascii="Times New Roman" w:hAnsi="Times New Roman" w:cs="Times New Roman"/>
          <w:sz w:val="24"/>
          <w:szCs w:val="24"/>
        </w:rPr>
        <w:t xml:space="preserve"> in the bank</w:t>
      </w:r>
      <w:r w:rsidR="00AB64B8" w:rsidRPr="00BD7B7F">
        <w:rPr>
          <w:rFonts w:ascii="Times New Roman" w:hAnsi="Times New Roman" w:cs="Times New Roman"/>
          <w:sz w:val="24"/>
          <w:szCs w:val="24"/>
        </w:rPr>
        <w:t xml:space="preserve"> they are keeping their money in</w:t>
      </w:r>
      <w:r w:rsidRPr="00BD7B7F">
        <w:rPr>
          <w:rFonts w:ascii="Times New Roman" w:hAnsi="Times New Roman" w:cs="Times New Roman"/>
          <w:sz w:val="24"/>
          <w:szCs w:val="24"/>
        </w:rPr>
        <w:t xml:space="preserve"> if they are </w:t>
      </w:r>
      <w:r w:rsidR="00AB64B8" w:rsidRPr="00BD7B7F">
        <w:rPr>
          <w:rFonts w:ascii="Times New Roman" w:hAnsi="Times New Roman" w:cs="Times New Roman"/>
          <w:sz w:val="24"/>
          <w:szCs w:val="24"/>
        </w:rPr>
        <w:t>find out</w:t>
      </w:r>
      <w:r w:rsidRPr="00BD7B7F">
        <w:rPr>
          <w:rFonts w:ascii="Times New Roman" w:hAnsi="Times New Roman" w:cs="Times New Roman"/>
          <w:sz w:val="24"/>
          <w:szCs w:val="24"/>
        </w:rPr>
        <w:t xml:space="preserve"> that their deposits are protected</w:t>
      </w:r>
      <w:r w:rsidR="00AB64B8" w:rsidRPr="00BD7B7F">
        <w:rPr>
          <w:rFonts w:ascii="Times New Roman" w:hAnsi="Times New Roman" w:cs="Times New Roman"/>
          <w:sz w:val="24"/>
          <w:szCs w:val="24"/>
        </w:rPr>
        <w:t xml:space="preserve"> from any harm</w:t>
      </w:r>
      <w:r w:rsidRPr="00BD7B7F">
        <w:rPr>
          <w:rFonts w:ascii="Times New Roman" w:hAnsi="Times New Roman" w:cs="Times New Roman"/>
          <w:sz w:val="24"/>
          <w:szCs w:val="24"/>
        </w:rPr>
        <w:t xml:space="preserve">, which has </w:t>
      </w:r>
      <w:r w:rsidR="00ED18B3" w:rsidRPr="00BD7B7F">
        <w:rPr>
          <w:rFonts w:ascii="Times New Roman" w:hAnsi="Times New Roman" w:cs="Times New Roman"/>
          <w:sz w:val="24"/>
          <w:szCs w:val="24"/>
        </w:rPr>
        <w:t xml:space="preserve">definitely created an </w:t>
      </w:r>
      <w:r w:rsidRPr="00BD7B7F">
        <w:rPr>
          <w:rFonts w:ascii="Times New Roman" w:hAnsi="Times New Roman" w:cs="Times New Roman"/>
          <w:sz w:val="24"/>
          <w:szCs w:val="24"/>
        </w:rPr>
        <w:t xml:space="preserve">effect on Barclays' ability to </w:t>
      </w:r>
      <w:r w:rsidR="00ED18B3" w:rsidRPr="00BD7B7F">
        <w:rPr>
          <w:rFonts w:ascii="Times New Roman" w:hAnsi="Times New Roman" w:cs="Times New Roman"/>
          <w:sz w:val="24"/>
          <w:szCs w:val="24"/>
        </w:rPr>
        <w:t xml:space="preserve">bring and accept more customers to </w:t>
      </w:r>
      <w:r w:rsidRPr="00BD7B7F">
        <w:rPr>
          <w:rFonts w:ascii="Times New Roman" w:hAnsi="Times New Roman" w:cs="Times New Roman"/>
          <w:sz w:val="24"/>
          <w:szCs w:val="24"/>
        </w:rPr>
        <w:t>keep them as clients. Banks must pay fees to support the FSCS, which is another burden the organisation throws on them. The UK government now has the authority</w:t>
      </w:r>
      <w:r w:rsidR="006F2814" w:rsidRPr="00BD7B7F">
        <w:rPr>
          <w:rFonts w:ascii="Times New Roman" w:hAnsi="Times New Roman" w:cs="Times New Roman"/>
          <w:sz w:val="24"/>
          <w:szCs w:val="24"/>
        </w:rPr>
        <w:t xml:space="preserve"> and power</w:t>
      </w:r>
      <w:r w:rsidRPr="00BD7B7F">
        <w:rPr>
          <w:rFonts w:ascii="Times New Roman" w:hAnsi="Times New Roman" w:cs="Times New Roman"/>
          <w:sz w:val="24"/>
          <w:szCs w:val="24"/>
        </w:rPr>
        <w:t xml:space="preserve"> to become involved in the bank</w:t>
      </w:r>
      <w:r w:rsidR="006F2814" w:rsidRPr="00BD7B7F">
        <w:rPr>
          <w:rFonts w:ascii="Times New Roman" w:hAnsi="Times New Roman" w:cs="Times New Roman"/>
          <w:sz w:val="24"/>
          <w:szCs w:val="24"/>
        </w:rPr>
        <w:t>’</w:t>
      </w:r>
      <w:r w:rsidRPr="00BD7B7F">
        <w:rPr>
          <w:rFonts w:ascii="Times New Roman" w:hAnsi="Times New Roman" w:cs="Times New Roman"/>
          <w:sz w:val="24"/>
          <w:szCs w:val="24"/>
        </w:rPr>
        <w:t>s</w:t>
      </w:r>
      <w:r w:rsidR="006F2814" w:rsidRPr="00BD7B7F">
        <w:rPr>
          <w:rFonts w:ascii="Times New Roman" w:hAnsi="Times New Roman" w:cs="Times New Roman"/>
          <w:sz w:val="24"/>
          <w:szCs w:val="24"/>
        </w:rPr>
        <w:t xml:space="preserve"> resources and activities</w:t>
      </w:r>
      <w:r w:rsidRPr="00BD7B7F">
        <w:rPr>
          <w:rFonts w:ascii="Times New Roman" w:hAnsi="Times New Roman" w:cs="Times New Roman"/>
          <w:sz w:val="24"/>
          <w:szCs w:val="24"/>
        </w:rPr>
        <w:t xml:space="preserve"> </w:t>
      </w:r>
      <w:r w:rsidR="006F2814" w:rsidRPr="00BD7B7F">
        <w:rPr>
          <w:rFonts w:ascii="Times New Roman" w:hAnsi="Times New Roman" w:cs="Times New Roman"/>
          <w:sz w:val="24"/>
          <w:szCs w:val="24"/>
        </w:rPr>
        <w:t xml:space="preserve">and </w:t>
      </w:r>
      <w:r w:rsidR="00993C9E" w:rsidRPr="00BD7B7F">
        <w:rPr>
          <w:rFonts w:ascii="Times New Roman" w:hAnsi="Times New Roman" w:cs="Times New Roman"/>
          <w:sz w:val="24"/>
          <w:szCs w:val="24"/>
        </w:rPr>
        <w:t xml:space="preserve">help </w:t>
      </w:r>
      <w:r w:rsidR="006F2814" w:rsidRPr="00BD7B7F">
        <w:rPr>
          <w:rFonts w:ascii="Times New Roman" w:hAnsi="Times New Roman" w:cs="Times New Roman"/>
          <w:sz w:val="24"/>
          <w:szCs w:val="24"/>
        </w:rPr>
        <w:t>the banks which</w:t>
      </w:r>
      <w:r w:rsidRPr="00BD7B7F">
        <w:rPr>
          <w:rFonts w:ascii="Times New Roman" w:hAnsi="Times New Roman" w:cs="Times New Roman"/>
          <w:sz w:val="24"/>
          <w:szCs w:val="24"/>
        </w:rPr>
        <w:t xml:space="preserve"> are thought to be in financial trouble according to the Banking Act of 2009</w:t>
      </w:r>
      <w:r w:rsidR="00F336EC" w:rsidRPr="00BD7B7F">
        <w:rPr>
          <w:rFonts w:ascii="Times New Roman" w:hAnsi="Times New Roman" w:cs="Times New Roman"/>
          <w:sz w:val="24"/>
          <w:szCs w:val="24"/>
        </w:rPr>
        <w:t xml:space="preserve"> (</w:t>
      </w:r>
      <w:proofErr w:type="spellStart"/>
      <w:r w:rsidR="00F336EC" w:rsidRPr="00BD7B7F">
        <w:rPr>
          <w:rFonts w:ascii="Times New Roman" w:hAnsi="Times New Roman" w:cs="Times New Roman"/>
          <w:sz w:val="24"/>
          <w:szCs w:val="24"/>
        </w:rPr>
        <w:t>Laeven</w:t>
      </w:r>
      <w:proofErr w:type="spellEnd"/>
      <w:r w:rsidR="00F336EC" w:rsidRPr="00BD7B7F">
        <w:rPr>
          <w:rFonts w:ascii="Times New Roman" w:hAnsi="Times New Roman" w:cs="Times New Roman"/>
          <w:sz w:val="24"/>
          <w:szCs w:val="24"/>
        </w:rPr>
        <w:t xml:space="preserve"> and Valencia, 2020).</w:t>
      </w:r>
      <w:r w:rsidRPr="00BD7B7F">
        <w:rPr>
          <w:rFonts w:ascii="Times New Roman" w:hAnsi="Times New Roman" w:cs="Times New Roman"/>
          <w:sz w:val="24"/>
          <w:szCs w:val="24"/>
        </w:rPr>
        <w:t xml:space="preserve"> </w:t>
      </w:r>
      <w:r w:rsidR="003B461D" w:rsidRPr="00BD7B7F">
        <w:rPr>
          <w:rFonts w:ascii="Times New Roman" w:hAnsi="Times New Roman" w:cs="Times New Roman"/>
          <w:sz w:val="24"/>
          <w:szCs w:val="24"/>
        </w:rPr>
        <w:t xml:space="preserve">This </w:t>
      </w:r>
      <w:r w:rsidRPr="00BD7B7F">
        <w:rPr>
          <w:rFonts w:ascii="Times New Roman" w:hAnsi="Times New Roman" w:cs="Times New Roman"/>
          <w:sz w:val="24"/>
          <w:szCs w:val="24"/>
        </w:rPr>
        <w:t>could have a significant impact on the bank's operations and profitability, this has an effect on Barclays.</w:t>
      </w:r>
      <w:r w:rsidR="00F15D88" w:rsidRPr="00BD7B7F">
        <w:rPr>
          <w:rFonts w:ascii="Times New Roman" w:hAnsi="Times New Roman" w:cs="Times New Roman"/>
          <w:sz w:val="24"/>
          <w:szCs w:val="24"/>
        </w:rPr>
        <w:t xml:space="preserve"> </w:t>
      </w:r>
      <w:r w:rsidRPr="00BD7B7F">
        <w:rPr>
          <w:rFonts w:ascii="Times New Roman" w:hAnsi="Times New Roman" w:cs="Times New Roman"/>
          <w:sz w:val="24"/>
          <w:szCs w:val="24"/>
        </w:rPr>
        <w:t>Customers and investors now feel more secure knowing that the bank is being closely watched and that their interests are being protected</w:t>
      </w:r>
      <w:r w:rsidR="00B552F0" w:rsidRPr="00BD7B7F">
        <w:rPr>
          <w:rFonts w:ascii="Times New Roman" w:hAnsi="Times New Roman" w:cs="Times New Roman"/>
          <w:sz w:val="24"/>
          <w:szCs w:val="24"/>
        </w:rPr>
        <w:t xml:space="preserve"> accordingly and the consumers do not feel scared anymore,</w:t>
      </w:r>
      <w:r w:rsidRPr="00BD7B7F">
        <w:rPr>
          <w:rFonts w:ascii="Times New Roman" w:hAnsi="Times New Roman" w:cs="Times New Roman"/>
          <w:sz w:val="24"/>
          <w:szCs w:val="24"/>
        </w:rPr>
        <w:t xml:space="preserve"> thanks to the government's authority to step in. The Banking Act of 2009 has had a substantial effect on Barclays in terms of the expertise and resources </w:t>
      </w:r>
      <w:r w:rsidR="00364C91" w:rsidRPr="00BD7B7F">
        <w:rPr>
          <w:rFonts w:ascii="Times New Roman" w:hAnsi="Times New Roman" w:cs="Times New Roman"/>
          <w:sz w:val="24"/>
          <w:szCs w:val="24"/>
        </w:rPr>
        <w:t xml:space="preserve">which are specifically </w:t>
      </w:r>
      <w:r w:rsidRPr="00BD7B7F">
        <w:rPr>
          <w:rFonts w:ascii="Times New Roman" w:hAnsi="Times New Roman" w:cs="Times New Roman"/>
          <w:sz w:val="24"/>
          <w:szCs w:val="24"/>
        </w:rPr>
        <w:t xml:space="preserve">needed to </w:t>
      </w:r>
      <w:r w:rsidR="00364C91" w:rsidRPr="00BD7B7F">
        <w:rPr>
          <w:rFonts w:ascii="Times New Roman" w:hAnsi="Times New Roman" w:cs="Times New Roman"/>
          <w:sz w:val="24"/>
          <w:szCs w:val="24"/>
        </w:rPr>
        <w:t>obey</w:t>
      </w:r>
      <w:r w:rsidRPr="00BD7B7F">
        <w:rPr>
          <w:rFonts w:ascii="Times New Roman" w:hAnsi="Times New Roman" w:cs="Times New Roman"/>
          <w:sz w:val="24"/>
          <w:szCs w:val="24"/>
        </w:rPr>
        <w:t xml:space="preserve"> with the new laws</w:t>
      </w:r>
      <w:r w:rsidR="00364C91" w:rsidRPr="00BD7B7F">
        <w:rPr>
          <w:rFonts w:ascii="Times New Roman" w:hAnsi="Times New Roman" w:cs="Times New Roman"/>
          <w:sz w:val="24"/>
          <w:szCs w:val="24"/>
        </w:rPr>
        <w:t xml:space="preserve"> which were created</w:t>
      </w:r>
      <w:r w:rsidRPr="00BD7B7F">
        <w:rPr>
          <w:rFonts w:ascii="Times New Roman" w:hAnsi="Times New Roman" w:cs="Times New Roman"/>
          <w:sz w:val="24"/>
          <w:szCs w:val="24"/>
        </w:rPr>
        <w:t xml:space="preserve">, as well as the possible effects on its reputation and capacity to keep </w:t>
      </w:r>
      <w:r w:rsidR="002B0EE2" w:rsidRPr="00BD7B7F">
        <w:rPr>
          <w:rFonts w:ascii="Times New Roman" w:hAnsi="Times New Roman" w:cs="Times New Roman"/>
          <w:sz w:val="24"/>
          <w:szCs w:val="24"/>
        </w:rPr>
        <w:t xml:space="preserve">more </w:t>
      </w:r>
      <w:r w:rsidRPr="00BD7B7F">
        <w:rPr>
          <w:rFonts w:ascii="Times New Roman" w:hAnsi="Times New Roman" w:cs="Times New Roman"/>
          <w:sz w:val="24"/>
          <w:szCs w:val="24"/>
        </w:rPr>
        <w:t xml:space="preserve">clients. However, the </w:t>
      </w:r>
      <w:r w:rsidR="009952B2" w:rsidRPr="00BD7B7F">
        <w:rPr>
          <w:rFonts w:ascii="Times New Roman" w:hAnsi="Times New Roman" w:cs="Times New Roman"/>
          <w:sz w:val="24"/>
          <w:szCs w:val="24"/>
        </w:rPr>
        <w:t xml:space="preserve">criteria </w:t>
      </w:r>
      <w:r w:rsidRPr="00BD7B7F">
        <w:rPr>
          <w:rFonts w:ascii="Times New Roman" w:hAnsi="Times New Roman" w:cs="Times New Roman"/>
          <w:sz w:val="24"/>
          <w:szCs w:val="24"/>
        </w:rPr>
        <w:t>put in place by the act have also given customers and investors some peace of mind and helped to maintain the stability of the UK financial system.</w:t>
      </w:r>
    </w:p>
    <w:p w14:paraId="74AC43BD" w14:textId="77777777" w:rsidR="00F15D88" w:rsidRPr="00BD7B7F" w:rsidRDefault="00F15D88" w:rsidP="00EA58D7">
      <w:pPr>
        <w:jc w:val="both"/>
        <w:rPr>
          <w:rFonts w:ascii="Times New Roman" w:hAnsi="Times New Roman" w:cs="Times New Roman"/>
          <w:sz w:val="24"/>
          <w:szCs w:val="24"/>
        </w:rPr>
      </w:pPr>
    </w:p>
    <w:p w14:paraId="67A150D5" w14:textId="38205E22" w:rsidR="00BA1DF0" w:rsidRPr="00BD7B7F" w:rsidRDefault="00EA58D7" w:rsidP="00EA58D7">
      <w:pPr>
        <w:jc w:val="both"/>
        <w:rPr>
          <w:rFonts w:ascii="Times New Roman" w:hAnsi="Times New Roman" w:cs="Times New Roman"/>
          <w:b/>
          <w:bCs/>
          <w:sz w:val="24"/>
          <w:szCs w:val="24"/>
        </w:rPr>
      </w:pPr>
      <w:r w:rsidRPr="00BD7B7F">
        <w:rPr>
          <w:rFonts w:ascii="Times New Roman" w:hAnsi="Times New Roman" w:cs="Times New Roman"/>
          <w:b/>
          <w:bCs/>
          <w:sz w:val="24"/>
          <w:szCs w:val="24"/>
        </w:rPr>
        <w:t>IMPACT OF THE FINANCIAL SERVICES (BANKING REFORM) ACT 2013 ON BARCLAYS</w:t>
      </w:r>
    </w:p>
    <w:p w14:paraId="32A6F1B1" w14:textId="77777777"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The Financial Services (Banking Reform) Act 2013 introduced reforms aimed at strengthening the UK banking sector, including ring-fencing and improving corporate governance. The introduction of ring-fencing has had a significant impact on Barclays, which has had to separate its retail banking operations from its investment banking operations.</w:t>
      </w:r>
    </w:p>
    <w:p w14:paraId="4992E5DF" w14:textId="77777777" w:rsidR="00BA1DF0" w:rsidRPr="00BD7B7F" w:rsidRDefault="00BA1DF0" w:rsidP="00EA58D7">
      <w:pPr>
        <w:jc w:val="both"/>
        <w:rPr>
          <w:rFonts w:ascii="Times New Roman" w:hAnsi="Times New Roman" w:cs="Times New Roman"/>
          <w:sz w:val="24"/>
          <w:szCs w:val="24"/>
        </w:rPr>
      </w:pPr>
    </w:p>
    <w:p w14:paraId="6C7232BE" w14:textId="3CFEFF86" w:rsidR="00BA1DF0" w:rsidRDefault="00BA1DF0" w:rsidP="005F161F">
      <w:pPr>
        <w:jc w:val="both"/>
        <w:rPr>
          <w:rFonts w:ascii="Times New Roman" w:hAnsi="Times New Roman" w:cs="Times New Roman"/>
          <w:sz w:val="24"/>
          <w:szCs w:val="24"/>
        </w:rPr>
      </w:pPr>
      <w:r w:rsidRPr="00BD7B7F">
        <w:rPr>
          <w:rFonts w:ascii="Times New Roman" w:hAnsi="Times New Roman" w:cs="Times New Roman"/>
          <w:sz w:val="24"/>
          <w:szCs w:val="24"/>
        </w:rPr>
        <w:lastRenderedPageBreak/>
        <w:t>Barclays has also had to comply with the Senior Managers and Certification Regime (SMCR), which was introduced by the Act to increase accountability within the banking sector. The SMCR requires banks to identify and allocate responsibilities to senior managers and ensure that they are held accountable for their actions.</w:t>
      </w:r>
      <w:r w:rsidR="005C6A7D" w:rsidRPr="00BD7B7F">
        <w:rPr>
          <w:rFonts w:ascii="Times New Roman" w:hAnsi="Times New Roman" w:cs="Times New Roman"/>
          <w:sz w:val="24"/>
          <w:szCs w:val="24"/>
        </w:rPr>
        <w:t xml:space="preserve"> </w:t>
      </w:r>
      <w:r w:rsidR="00A43C00" w:rsidRPr="00BD7B7F">
        <w:rPr>
          <w:rFonts w:ascii="Times New Roman" w:hAnsi="Times New Roman" w:cs="Times New Roman"/>
          <w:sz w:val="24"/>
          <w:szCs w:val="24"/>
        </w:rPr>
        <w:t xml:space="preserve">The act compelled Barclays to create a ring-fenced bank that would retain deposits from individuals and small businesses and conduct standard retail banking operations. It was founded in April 2018 and is a division of Barclays PLC. It is known as Barclays Bank UK PLC. Barclays Bank PLC, another subsidiary of Barclays PLC, was given control over the investment banking operations formerly carried out by Barclays. In addition to ring-fencing, the act introduced measures aimed at enhancing corporate governance in banks, such as the necessity for banks to set up a whistleblowing system, reinforce the independence of non-executive directors, and publish data regarding the gender diversity of their boards. </w:t>
      </w:r>
      <w:r w:rsidR="005F161F" w:rsidRPr="00BD7B7F">
        <w:rPr>
          <w:rFonts w:ascii="Times New Roman" w:hAnsi="Times New Roman" w:cs="Times New Roman"/>
          <w:sz w:val="24"/>
          <w:szCs w:val="24"/>
        </w:rPr>
        <w:t>Barclays was compelled to adhere to these regulations, and the bank changed its governance structure in a number of ways to do so.</w:t>
      </w:r>
      <w:r w:rsidR="000C4365" w:rsidRPr="00BD7B7F">
        <w:rPr>
          <w:rFonts w:ascii="Times New Roman" w:hAnsi="Times New Roman" w:cs="Times New Roman"/>
          <w:sz w:val="24"/>
          <w:szCs w:val="24"/>
        </w:rPr>
        <w:t xml:space="preserve"> As per </w:t>
      </w:r>
      <w:proofErr w:type="spellStart"/>
      <w:r w:rsidR="000C4365" w:rsidRPr="00BD7B7F">
        <w:rPr>
          <w:rFonts w:ascii="Times New Roman" w:hAnsi="Times New Roman" w:cs="Times New Roman"/>
          <w:sz w:val="24"/>
          <w:szCs w:val="24"/>
        </w:rPr>
        <w:t>Bongini</w:t>
      </w:r>
      <w:proofErr w:type="spellEnd"/>
      <w:r w:rsidR="000C4365" w:rsidRPr="00BD7B7F">
        <w:rPr>
          <w:rFonts w:ascii="Times New Roman" w:hAnsi="Times New Roman" w:cs="Times New Roman"/>
          <w:sz w:val="24"/>
          <w:szCs w:val="24"/>
        </w:rPr>
        <w:t xml:space="preserve"> et al. (2019), t</w:t>
      </w:r>
      <w:r w:rsidR="005F161F" w:rsidRPr="00BD7B7F">
        <w:rPr>
          <w:rFonts w:ascii="Times New Roman" w:hAnsi="Times New Roman" w:cs="Times New Roman"/>
          <w:sz w:val="24"/>
          <w:szCs w:val="24"/>
        </w:rPr>
        <w:t xml:space="preserve">he Financial Services (Banking Reform) Act of 2013 had a substantial effect on Barclays. A </w:t>
      </w:r>
      <w:r w:rsidR="00A443DC" w:rsidRPr="00BD7B7F">
        <w:rPr>
          <w:rFonts w:ascii="Times New Roman" w:hAnsi="Times New Roman" w:cs="Times New Roman"/>
          <w:sz w:val="24"/>
          <w:szCs w:val="24"/>
        </w:rPr>
        <w:t>large</w:t>
      </w:r>
      <w:r w:rsidR="005F161F" w:rsidRPr="00BD7B7F">
        <w:rPr>
          <w:rFonts w:ascii="Times New Roman" w:hAnsi="Times New Roman" w:cs="Times New Roman"/>
          <w:sz w:val="24"/>
          <w:szCs w:val="24"/>
        </w:rPr>
        <w:t xml:space="preserve"> </w:t>
      </w:r>
      <w:r w:rsidR="00A443DC" w:rsidRPr="00BD7B7F">
        <w:rPr>
          <w:rFonts w:ascii="Times New Roman" w:hAnsi="Times New Roman" w:cs="Times New Roman"/>
          <w:sz w:val="24"/>
          <w:szCs w:val="24"/>
        </w:rPr>
        <w:t>reorganizing</w:t>
      </w:r>
      <w:r w:rsidR="005F161F" w:rsidRPr="00BD7B7F">
        <w:rPr>
          <w:rFonts w:ascii="Times New Roman" w:hAnsi="Times New Roman" w:cs="Times New Roman"/>
          <w:sz w:val="24"/>
          <w:szCs w:val="24"/>
        </w:rPr>
        <w:t xml:space="preserve"> of the bank's operations was necessary to create a ring-fenced bank and separate the activities of investment banking from those of retail banking. Additional compliance standards were also introduced by the act, necessitating Barclays' investment in systems and procedures to guarantee compliance. The corporate governance rules of the act caused modifications to the bank's governance structure, such as the recruitment of extra non-executive directors, the creation of a procedure for reporting fraud, and enhanced openness regarding the gender diversity of its board.</w:t>
      </w:r>
      <w:r w:rsidR="005C6A7D" w:rsidRPr="00BD7B7F">
        <w:rPr>
          <w:rFonts w:ascii="Times New Roman" w:hAnsi="Times New Roman" w:cs="Times New Roman"/>
          <w:sz w:val="24"/>
          <w:szCs w:val="24"/>
        </w:rPr>
        <w:t xml:space="preserve"> </w:t>
      </w:r>
      <w:r w:rsidR="005F161F" w:rsidRPr="00BD7B7F">
        <w:rPr>
          <w:rFonts w:ascii="Times New Roman" w:hAnsi="Times New Roman" w:cs="Times New Roman"/>
          <w:sz w:val="24"/>
          <w:szCs w:val="24"/>
        </w:rPr>
        <w:t>These adjustments were made with the goal of increasing responsibility and lowering the likelihood of misbehaviour within the bank. Although Barclays</w:t>
      </w:r>
      <w:r w:rsidR="00440DC1" w:rsidRPr="00BD7B7F">
        <w:rPr>
          <w:rFonts w:ascii="Times New Roman" w:hAnsi="Times New Roman" w:cs="Times New Roman"/>
          <w:sz w:val="24"/>
          <w:szCs w:val="24"/>
        </w:rPr>
        <w:t xml:space="preserve"> have already</w:t>
      </w:r>
      <w:r w:rsidR="005F161F" w:rsidRPr="00BD7B7F">
        <w:rPr>
          <w:rFonts w:ascii="Times New Roman" w:hAnsi="Times New Roman" w:cs="Times New Roman"/>
          <w:sz w:val="24"/>
          <w:szCs w:val="24"/>
        </w:rPr>
        <w:t xml:space="preserve"> faced many difficulties </w:t>
      </w:r>
      <w:r w:rsidR="00440DC1" w:rsidRPr="00BD7B7F">
        <w:rPr>
          <w:rFonts w:ascii="Times New Roman" w:hAnsi="Times New Roman" w:cs="Times New Roman"/>
          <w:sz w:val="24"/>
          <w:szCs w:val="24"/>
        </w:rPr>
        <w:t>in terms</w:t>
      </w:r>
      <w:r w:rsidR="005F161F" w:rsidRPr="00BD7B7F">
        <w:rPr>
          <w:rFonts w:ascii="Times New Roman" w:hAnsi="Times New Roman" w:cs="Times New Roman"/>
          <w:sz w:val="24"/>
          <w:szCs w:val="24"/>
        </w:rPr>
        <w:t xml:space="preserve"> of the Financial Services (Banking Reform) Act 2013, the main goals of the reforms were to </w:t>
      </w:r>
      <w:r w:rsidR="0048539C" w:rsidRPr="00BD7B7F">
        <w:rPr>
          <w:rFonts w:ascii="Times New Roman" w:hAnsi="Times New Roman" w:cs="Times New Roman"/>
          <w:sz w:val="24"/>
          <w:szCs w:val="24"/>
        </w:rPr>
        <w:t xml:space="preserve">make </w:t>
      </w:r>
      <w:r w:rsidR="005F161F" w:rsidRPr="00BD7B7F">
        <w:rPr>
          <w:rFonts w:ascii="Times New Roman" w:hAnsi="Times New Roman" w:cs="Times New Roman"/>
          <w:sz w:val="24"/>
          <w:szCs w:val="24"/>
        </w:rPr>
        <w:t xml:space="preserve">the UK banking industry </w:t>
      </w:r>
      <w:r w:rsidR="0048539C" w:rsidRPr="00BD7B7F">
        <w:rPr>
          <w:rFonts w:ascii="Times New Roman" w:hAnsi="Times New Roman" w:cs="Times New Roman"/>
          <w:sz w:val="24"/>
          <w:szCs w:val="24"/>
        </w:rPr>
        <w:t xml:space="preserve">quite strong </w:t>
      </w:r>
      <w:r w:rsidR="005F161F" w:rsidRPr="00BD7B7F">
        <w:rPr>
          <w:rFonts w:ascii="Times New Roman" w:hAnsi="Times New Roman" w:cs="Times New Roman"/>
          <w:sz w:val="24"/>
          <w:szCs w:val="24"/>
        </w:rPr>
        <w:t xml:space="preserve">and lessen the </w:t>
      </w:r>
      <w:r w:rsidR="0048539C" w:rsidRPr="00BD7B7F">
        <w:rPr>
          <w:rFonts w:ascii="Times New Roman" w:hAnsi="Times New Roman" w:cs="Times New Roman"/>
          <w:sz w:val="24"/>
          <w:szCs w:val="24"/>
        </w:rPr>
        <w:t xml:space="preserve">chances </w:t>
      </w:r>
      <w:r w:rsidR="005F161F" w:rsidRPr="00BD7B7F">
        <w:rPr>
          <w:rFonts w:ascii="Times New Roman" w:hAnsi="Times New Roman" w:cs="Times New Roman"/>
          <w:sz w:val="24"/>
          <w:szCs w:val="24"/>
        </w:rPr>
        <w:t>of another financial crisis like the one that occurred in 2008</w:t>
      </w:r>
      <w:r w:rsidR="00E76E06" w:rsidRPr="00BD7B7F">
        <w:rPr>
          <w:rFonts w:ascii="Times New Roman" w:hAnsi="Times New Roman" w:cs="Times New Roman"/>
          <w:sz w:val="24"/>
          <w:szCs w:val="24"/>
        </w:rPr>
        <w:t xml:space="preserve"> (</w:t>
      </w:r>
      <w:proofErr w:type="spellStart"/>
      <w:r w:rsidR="00E76E06" w:rsidRPr="00BD7B7F">
        <w:rPr>
          <w:rFonts w:ascii="Times New Roman" w:hAnsi="Times New Roman" w:cs="Times New Roman"/>
          <w:sz w:val="24"/>
          <w:szCs w:val="24"/>
        </w:rPr>
        <w:t>Iacovone</w:t>
      </w:r>
      <w:proofErr w:type="spellEnd"/>
      <w:r w:rsidR="00E76E06" w:rsidRPr="00BD7B7F">
        <w:rPr>
          <w:rFonts w:ascii="Times New Roman" w:hAnsi="Times New Roman" w:cs="Times New Roman"/>
          <w:sz w:val="24"/>
          <w:szCs w:val="24"/>
        </w:rPr>
        <w:t xml:space="preserve"> et al., 2019)</w:t>
      </w:r>
      <w:r w:rsidR="005F161F" w:rsidRPr="00BD7B7F">
        <w:rPr>
          <w:rFonts w:ascii="Times New Roman" w:hAnsi="Times New Roman" w:cs="Times New Roman"/>
          <w:sz w:val="24"/>
          <w:szCs w:val="24"/>
        </w:rPr>
        <w:t xml:space="preserve">. Barclays had to abide by the act's requirements since it is a significant player in the UK banking sector. </w:t>
      </w:r>
    </w:p>
    <w:p w14:paraId="28BD513D" w14:textId="77777777" w:rsidR="00434398" w:rsidRPr="00BD7B7F" w:rsidRDefault="00434398" w:rsidP="005F161F">
      <w:pPr>
        <w:jc w:val="both"/>
        <w:rPr>
          <w:rFonts w:ascii="Times New Roman" w:hAnsi="Times New Roman" w:cs="Times New Roman"/>
          <w:sz w:val="24"/>
          <w:szCs w:val="24"/>
        </w:rPr>
      </w:pPr>
    </w:p>
    <w:p w14:paraId="741199A2" w14:textId="6A422DE6" w:rsidR="00BA1DF0" w:rsidRPr="0094055B" w:rsidRDefault="00EA58D7" w:rsidP="00EA58D7">
      <w:pPr>
        <w:jc w:val="both"/>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COMPLIANCE/NON-COMPLIANCE OF BARCLAYS WITH REGULATORY REFORMS</w:t>
      </w:r>
    </w:p>
    <w:p w14:paraId="623FCA5E" w14:textId="77777777" w:rsidR="00BA1DF0"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Barclays has generally complied with the regulatory reforms introduced by the UK and EU authorities. However, there have been instances where the bank has been found to be non-compliant.</w:t>
      </w:r>
    </w:p>
    <w:p w14:paraId="5686E640" w14:textId="608529C2" w:rsidR="002B36FE"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In 2015, Barclays was fined £72 million by the FCA for failing to handle financial crime risks adequately. The FCA found that Barclays had breached its obligations to prevent the use of the financial system for money laundering.</w:t>
      </w:r>
      <w:r w:rsidR="006449FB" w:rsidRPr="00BD7B7F">
        <w:rPr>
          <w:rFonts w:ascii="Times New Roman" w:hAnsi="Times New Roman" w:cs="Times New Roman"/>
          <w:sz w:val="24"/>
          <w:szCs w:val="24"/>
        </w:rPr>
        <w:t xml:space="preserve"> </w:t>
      </w:r>
      <w:r w:rsidR="002B36FE" w:rsidRPr="00BD7B7F">
        <w:rPr>
          <w:rFonts w:ascii="Times New Roman" w:hAnsi="Times New Roman" w:cs="Times New Roman"/>
          <w:sz w:val="24"/>
          <w:szCs w:val="24"/>
        </w:rPr>
        <w:t xml:space="preserve">The severity of the penalty reflected the gravity of the violation, as well as the FCA's expectation that financial institutions take their responsibilities to combat financial crime seriously. </w:t>
      </w:r>
      <w:r w:rsidRPr="00BD7B7F">
        <w:rPr>
          <w:rFonts w:ascii="Times New Roman" w:hAnsi="Times New Roman" w:cs="Times New Roman"/>
          <w:sz w:val="24"/>
          <w:szCs w:val="24"/>
        </w:rPr>
        <w:t>This was a significant breach of regulatory compliance and highlighted the need for Barclays to improve its controls and risk management processes.</w:t>
      </w:r>
      <w:r w:rsidR="00A43660" w:rsidRPr="00BD7B7F">
        <w:rPr>
          <w:rFonts w:ascii="Times New Roman" w:hAnsi="Times New Roman" w:cs="Times New Roman"/>
          <w:sz w:val="24"/>
          <w:szCs w:val="24"/>
        </w:rPr>
        <w:t xml:space="preserve"> </w:t>
      </w:r>
      <w:r w:rsidR="009555B0" w:rsidRPr="00BD7B7F">
        <w:rPr>
          <w:rFonts w:ascii="Times New Roman" w:hAnsi="Times New Roman" w:cs="Times New Roman"/>
          <w:sz w:val="24"/>
          <w:szCs w:val="24"/>
        </w:rPr>
        <w:t>Looking forward for n</w:t>
      </w:r>
      <w:r w:rsidR="002B36FE" w:rsidRPr="00BD7B7F">
        <w:rPr>
          <w:rFonts w:ascii="Times New Roman" w:hAnsi="Times New Roman" w:cs="Times New Roman"/>
          <w:sz w:val="24"/>
          <w:szCs w:val="24"/>
        </w:rPr>
        <w:t>oncompliance with regulat</w:t>
      </w:r>
      <w:r w:rsidR="009555B0" w:rsidRPr="00BD7B7F">
        <w:rPr>
          <w:rFonts w:ascii="Times New Roman" w:hAnsi="Times New Roman" w:cs="Times New Roman"/>
          <w:sz w:val="24"/>
          <w:szCs w:val="24"/>
        </w:rPr>
        <w:t>ory standards can have serious problems in a bank</w:t>
      </w:r>
      <w:r w:rsidR="002B36FE" w:rsidRPr="00BD7B7F">
        <w:rPr>
          <w:rFonts w:ascii="Times New Roman" w:hAnsi="Times New Roman" w:cs="Times New Roman"/>
          <w:sz w:val="24"/>
          <w:szCs w:val="24"/>
        </w:rPr>
        <w:t xml:space="preserve">, not only in terms of cash </w:t>
      </w:r>
      <w:r w:rsidR="009555B0" w:rsidRPr="00BD7B7F">
        <w:rPr>
          <w:rFonts w:ascii="Times New Roman" w:hAnsi="Times New Roman" w:cs="Times New Roman"/>
          <w:sz w:val="24"/>
          <w:szCs w:val="24"/>
        </w:rPr>
        <w:t>issues</w:t>
      </w:r>
      <w:r w:rsidR="002B36FE" w:rsidRPr="00BD7B7F">
        <w:rPr>
          <w:rFonts w:ascii="Times New Roman" w:hAnsi="Times New Roman" w:cs="Times New Roman"/>
          <w:sz w:val="24"/>
          <w:szCs w:val="24"/>
        </w:rPr>
        <w:t xml:space="preserve"> but also </w:t>
      </w:r>
      <w:r w:rsidR="009555B0" w:rsidRPr="00BD7B7F">
        <w:rPr>
          <w:rFonts w:ascii="Times New Roman" w:hAnsi="Times New Roman" w:cs="Times New Roman"/>
          <w:sz w:val="24"/>
          <w:szCs w:val="24"/>
        </w:rPr>
        <w:t xml:space="preserve">the reputation of a bank is at stake. </w:t>
      </w:r>
    </w:p>
    <w:p w14:paraId="44C07C74" w14:textId="2BD7A3B7" w:rsidR="005C71F2" w:rsidRPr="00BD7B7F" w:rsidRDefault="00BA1DF0" w:rsidP="00EA58D7">
      <w:pPr>
        <w:jc w:val="both"/>
        <w:rPr>
          <w:rFonts w:ascii="Times New Roman" w:hAnsi="Times New Roman" w:cs="Times New Roman"/>
          <w:sz w:val="24"/>
          <w:szCs w:val="24"/>
        </w:rPr>
      </w:pPr>
      <w:r w:rsidRPr="00BD7B7F">
        <w:rPr>
          <w:rFonts w:ascii="Times New Roman" w:hAnsi="Times New Roman" w:cs="Times New Roman"/>
          <w:sz w:val="24"/>
          <w:szCs w:val="24"/>
        </w:rPr>
        <w:t>Barclays has also faced criticism for its compliance with the ring-fencing requirements introduced by the Financial Services (Banking Reform) Act 2013.</w:t>
      </w:r>
      <w:r w:rsidR="00A43660" w:rsidRPr="00BD7B7F">
        <w:rPr>
          <w:rFonts w:ascii="Times New Roman" w:hAnsi="Times New Roman" w:cs="Times New Roman"/>
          <w:sz w:val="24"/>
          <w:szCs w:val="24"/>
        </w:rPr>
        <w:t xml:space="preserve"> </w:t>
      </w:r>
      <w:r w:rsidR="002B36FE" w:rsidRPr="00BD7B7F">
        <w:rPr>
          <w:rFonts w:ascii="Times New Roman" w:hAnsi="Times New Roman" w:cs="Times New Roman"/>
          <w:sz w:val="24"/>
          <w:szCs w:val="24"/>
        </w:rPr>
        <w:t xml:space="preserve">While Barclays' ring-fencing plans have been implemented, there have been concerns about the adequacy of its preparations. The Bank </w:t>
      </w:r>
      <w:r w:rsidR="00E2089C" w:rsidRPr="00BD7B7F">
        <w:rPr>
          <w:rFonts w:ascii="Times New Roman" w:hAnsi="Times New Roman" w:cs="Times New Roman"/>
          <w:sz w:val="24"/>
          <w:szCs w:val="24"/>
        </w:rPr>
        <w:t>that is typically based in</w:t>
      </w:r>
      <w:r w:rsidR="002B36FE" w:rsidRPr="00BD7B7F">
        <w:rPr>
          <w:rFonts w:ascii="Times New Roman" w:hAnsi="Times New Roman" w:cs="Times New Roman"/>
          <w:sz w:val="24"/>
          <w:szCs w:val="24"/>
        </w:rPr>
        <w:t xml:space="preserve"> England's Prudential Regulation Authority (PRA) </w:t>
      </w:r>
      <w:r w:rsidR="002B36FE" w:rsidRPr="00BD7B7F">
        <w:rPr>
          <w:rFonts w:ascii="Times New Roman" w:hAnsi="Times New Roman" w:cs="Times New Roman"/>
          <w:sz w:val="24"/>
          <w:szCs w:val="24"/>
        </w:rPr>
        <w:lastRenderedPageBreak/>
        <w:t xml:space="preserve">determined in 2018 that Barclays' ring-fencing plans were </w:t>
      </w:r>
      <w:r w:rsidR="00A12D59" w:rsidRPr="00BD7B7F">
        <w:rPr>
          <w:rFonts w:ascii="Times New Roman" w:hAnsi="Times New Roman" w:cs="Times New Roman"/>
          <w:sz w:val="24"/>
          <w:szCs w:val="24"/>
        </w:rPr>
        <w:t>not good enough</w:t>
      </w:r>
      <w:r w:rsidR="002B36FE" w:rsidRPr="00BD7B7F">
        <w:rPr>
          <w:rFonts w:ascii="Times New Roman" w:hAnsi="Times New Roman" w:cs="Times New Roman"/>
          <w:sz w:val="24"/>
          <w:szCs w:val="24"/>
        </w:rPr>
        <w:t xml:space="preserve"> and directed the bank to take action</w:t>
      </w:r>
      <w:r w:rsidR="00A12D59" w:rsidRPr="00BD7B7F">
        <w:rPr>
          <w:rFonts w:ascii="Times New Roman" w:hAnsi="Times New Roman" w:cs="Times New Roman"/>
          <w:sz w:val="24"/>
          <w:szCs w:val="24"/>
        </w:rPr>
        <w:t>s which are needed to correct it</w:t>
      </w:r>
      <w:r w:rsidR="002B36FE" w:rsidRPr="00BD7B7F">
        <w:rPr>
          <w:rFonts w:ascii="Times New Roman" w:hAnsi="Times New Roman" w:cs="Times New Roman"/>
          <w:sz w:val="24"/>
          <w:szCs w:val="24"/>
        </w:rPr>
        <w:t>. The conclusions of the PRA emphasise the persistent problems that banks confront in complying with regulatory reforms, as well as the necessity for continuous improvement in their risk management operations.</w:t>
      </w:r>
    </w:p>
    <w:p w14:paraId="6437DBE1" w14:textId="77777777" w:rsidR="006424C4" w:rsidRPr="00BD7B7F" w:rsidRDefault="006424C4" w:rsidP="00EA58D7">
      <w:pPr>
        <w:jc w:val="both"/>
        <w:rPr>
          <w:rFonts w:ascii="Times New Roman" w:hAnsi="Times New Roman" w:cs="Times New Roman"/>
          <w:sz w:val="24"/>
          <w:szCs w:val="24"/>
        </w:rPr>
      </w:pPr>
    </w:p>
    <w:p w14:paraId="2BB7337A" w14:textId="77777777" w:rsidR="00116D76" w:rsidRPr="00BD7B7F" w:rsidRDefault="00116D76" w:rsidP="006424C4">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DB9EE0" w14:textId="77777777" w:rsidR="00116D76" w:rsidRPr="00BD7B7F" w:rsidRDefault="00116D76" w:rsidP="006424C4">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F80A0D" w14:textId="77777777" w:rsidR="00116D76" w:rsidRPr="00BD7B7F" w:rsidRDefault="00116D76" w:rsidP="006424C4">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8608BF" w14:textId="77777777" w:rsidR="00B65EB8" w:rsidRPr="00BD7B7F" w:rsidRDefault="00B65EB8"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A60942" w14:textId="77777777" w:rsidR="00B65EB8" w:rsidRPr="00BD7B7F" w:rsidRDefault="00B65EB8"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0EC25A"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9CA308"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DD425E"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698F41"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DB70B6"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4265C3"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065FBF"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76C34A"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076905"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820BF1"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8EA999"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EB9DAB"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ECACDD"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EB323C"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AE5588"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BCC9D5"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38FA6B"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FC98C2"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31C5BC" w14:textId="77777777" w:rsidR="00182B16" w:rsidRPr="00BD7B7F" w:rsidRDefault="00182B16" w:rsidP="00116D76">
      <w:pPr>
        <w:jc w:val="cente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AB7F85" w14:textId="147B9EA2" w:rsidR="001C1A2D" w:rsidRPr="0094055B" w:rsidRDefault="00FE30B1" w:rsidP="00116D76">
      <w:pPr>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055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201C92C1" w14:textId="77777777" w:rsidR="0004211F" w:rsidRPr="00BD7B7F" w:rsidRDefault="0004211F" w:rsidP="00840E25">
      <w:pPr>
        <w:jc w:val="both"/>
        <w:rPr>
          <w:rFonts w:ascii="Times New Roman" w:hAnsi="Times New Roman" w:cs="Times New Roman"/>
          <w:sz w:val="24"/>
          <w:szCs w:val="24"/>
        </w:rPr>
      </w:pPr>
    </w:p>
    <w:p w14:paraId="0336B129" w14:textId="77777777" w:rsidR="0004211F" w:rsidRPr="00BD7B7F" w:rsidRDefault="0004211F" w:rsidP="00D12AA6">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t>Abdelbadie</w:t>
      </w:r>
      <w:proofErr w:type="spellEnd"/>
      <w:r w:rsidRPr="00BD7B7F">
        <w:rPr>
          <w:rFonts w:ascii="Times New Roman" w:hAnsi="Times New Roman" w:cs="Times New Roman"/>
          <w:sz w:val="24"/>
          <w:szCs w:val="24"/>
          <w:shd w:val="clear" w:color="auto" w:fill="FFFFFF"/>
        </w:rPr>
        <w:t xml:space="preserve">, R.A. and Salama, A., (2019). Corporate governance and financial stability in US banks: do indirect interlocks </w:t>
      </w:r>
      <w:proofErr w:type="gramStart"/>
      <w:r w:rsidRPr="00BD7B7F">
        <w:rPr>
          <w:rFonts w:ascii="Times New Roman" w:hAnsi="Times New Roman" w:cs="Times New Roman"/>
          <w:sz w:val="24"/>
          <w:szCs w:val="24"/>
          <w:shd w:val="clear" w:color="auto" w:fill="FFFFFF"/>
        </w:rPr>
        <w:t>matter?.</w:t>
      </w:r>
      <w:proofErr w:type="gramEnd"/>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Journal of Business Research</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104</w:t>
      </w:r>
      <w:r w:rsidRPr="00BD7B7F">
        <w:rPr>
          <w:rFonts w:ascii="Times New Roman" w:hAnsi="Times New Roman" w:cs="Times New Roman"/>
          <w:sz w:val="24"/>
          <w:szCs w:val="24"/>
          <w:shd w:val="clear" w:color="auto" w:fill="FFFFFF"/>
        </w:rPr>
        <w:t>, pp.85-105.</w:t>
      </w:r>
      <w:r w:rsidRPr="00BD7B7F">
        <w:rPr>
          <w:rFonts w:ascii="Times New Roman" w:hAnsi="Times New Roman" w:cs="Times New Roman"/>
          <w:sz w:val="24"/>
          <w:szCs w:val="24"/>
        </w:rPr>
        <w:t xml:space="preserve"> </w:t>
      </w:r>
      <w:hyperlink r:id="rId10" w:history="1">
        <w:r w:rsidRPr="00BD7B7F">
          <w:rPr>
            <w:rStyle w:val="Hyperlink"/>
            <w:rFonts w:ascii="Times New Roman" w:hAnsi="Times New Roman" w:cs="Times New Roman"/>
            <w:color w:val="auto"/>
            <w:sz w:val="24"/>
            <w:szCs w:val="24"/>
            <w:shd w:val="clear" w:color="auto" w:fill="FFFFFF"/>
          </w:rPr>
          <w:t>https://www.sciencedirect.com/science/article/pii/S0148296319304072</w:t>
        </w:r>
      </w:hyperlink>
    </w:p>
    <w:p w14:paraId="64372A77" w14:textId="77777777" w:rsidR="0004211F" w:rsidRPr="00BD7B7F" w:rsidRDefault="0004211F" w:rsidP="00D12AA6">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shd w:val="clear" w:color="auto" w:fill="FFFFFF"/>
        </w:rPr>
        <w:t xml:space="preserve">Ahmed, S., </w:t>
      </w:r>
      <w:proofErr w:type="spellStart"/>
      <w:r w:rsidRPr="00BD7B7F">
        <w:rPr>
          <w:rFonts w:ascii="Times New Roman" w:hAnsi="Times New Roman" w:cs="Times New Roman"/>
          <w:sz w:val="24"/>
          <w:szCs w:val="24"/>
          <w:shd w:val="clear" w:color="auto" w:fill="FFFFFF"/>
        </w:rPr>
        <w:t>Bangassa</w:t>
      </w:r>
      <w:proofErr w:type="spellEnd"/>
      <w:r w:rsidRPr="00BD7B7F">
        <w:rPr>
          <w:rFonts w:ascii="Times New Roman" w:hAnsi="Times New Roman" w:cs="Times New Roman"/>
          <w:sz w:val="24"/>
          <w:szCs w:val="24"/>
          <w:shd w:val="clear" w:color="auto" w:fill="FFFFFF"/>
        </w:rPr>
        <w:t>, K. and Akbar, S., (2020). A study on trust restoration efforts in the UK retail banking industry. </w:t>
      </w:r>
      <w:r w:rsidRPr="00BD7B7F">
        <w:rPr>
          <w:rFonts w:ascii="Times New Roman" w:hAnsi="Times New Roman" w:cs="Times New Roman"/>
          <w:i/>
          <w:iCs/>
          <w:sz w:val="24"/>
          <w:szCs w:val="24"/>
          <w:shd w:val="clear" w:color="auto" w:fill="FFFFFF"/>
        </w:rPr>
        <w:t>The British Accounting Review</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52</w:t>
      </w:r>
      <w:r w:rsidRPr="00BD7B7F">
        <w:rPr>
          <w:rFonts w:ascii="Times New Roman" w:hAnsi="Times New Roman" w:cs="Times New Roman"/>
          <w:sz w:val="24"/>
          <w:szCs w:val="24"/>
          <w:shd w:val="clear" w:color="auto" w:fill="FFFFFF"/>
        </w:rPr>
        <w:t>(1), p.100871.</w:t>
      </w:r>
      <w:r w:rsidRPr="00BD7B7F">
        <w:rPr>
          <w:rFonts w:ascii="Times New Roman" w:hAnsi="Times New Roman" w:cs="Times New Roman"/>
          <w:sz w:val="24"/>
          <w:szCs w:val="24"/>
        </w:rPr>
        <w:t xml:space="preserve"> </w:t>
      </w:r>
      <w:hyperlink r:id="rId11" w:history="1">
        <w:r w:rsidRPr="00BD7B7F">
          <w:rPr>
            <w:rStyle w:val="Hyperlink"/>
            <w:rFonts w:ascii="Times New Roman" w:hAnsi="Times New Roman" w:cs="Times New Roman"/>
            <w:color w:val="auto"/>
            <w:sz w:val="24"/>
            <w:szCs w:val="24"/>
            <w:shd w:val="clear" w:color="auto" w:fill="FFFFFF"/>
          </w:rPr>
          <w:t>https://www.sciencedirect.com/science/article/pii/S0890838919300964</w:t>
        </w:r>
      </w:hyperlink>
    </w:p>
    <w:p w14:paraId="3364F665" w14:textId="77777777" w:rsidR="0004211F" w:rsidRPr="00BD7B7F" w:rsidRDefault="0004211F" w:rsidP="00475480">
      <w:pPr>
        <w:pStyle w:val="ListParagraph"/>
        <w:numPr>
          <w:ilvl w:val="0"/>
          <w:numId w:val="2"/>
        </w:numPr>
        <w:spacing w:after="0" w:line="360" w:lineRule="atLeast"/>
        <w:jc w:val="both"/>
        <w:rPr>
          <w:rStyle w:val="Hyperlink"/>
          <w:rFonts w:ascii="Times New Roman" w:hAnsi="Times New Roman" w:cs="Times New Roman"/>
          <w:color w:val="auto"/>
          <w:sz w:val="24"/>
          <w:szCs w:val="24"/>
          <w:u w:val="none"/>
        </w:rPr>
      </w:pPr>
      <w:r w:rsidRPr="00BD7B7F">
        <w:rPr>
          <w:rFonts w:ascii="Times New Roman" w:hAnsi="Times New Roman" w:cs="Times New Roman"/>
          <w:sz w:val="24"/>
          <w:szCs w:val="24"/>
        </w:rPr>
        <w:t xml:space="preserve">Banking Act 2009. (2009). Retrieved from </w:t>
      </w:r>
      <w:hyperlink r:id="rId12" w:history="1">
        <w:r w:rsidRPr="00BD7B7F">
          <w:rPr>
            <w:rStyle w:val="Hyperlink"/>
            <w:rFonts w:ascii="Times New Roman" w:hAnsi="Times New Roman" w:cs="Times New Roman"/>
            <w:color w:val="auto"/>
            <w:sz w:val="24"/>
            <w:szCs w:val="24"/>
          </w:rPr>
          <w:t>http://www.legislation.gov.uk/ukpga/2009/1/contents/enacted</w:t>
        </w:r>
      </w:hyperlink>
    </w:p>
    <w:p w14:paraId="434D3F08" w14:textId="77777777" w:rsidR="0004211F" w:rsidRPr="00BD7B7F" w:rsidRDefault="0004211F" w:rsidP="00475480">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rPr>
        <w:t xml:space="preserve">Barclays (n.d.). Barclays history | Barclays. [online] </w:t>
      </w:r>
      <w:proofErr w:type="spellStart"/>
      <w:r w:rsidRPr="00BD7B7F">
        <w:rPr>
          <w:rFonts w:ascii="Times New Roman" w:hAnsi="Times New Roman" w:cs="Times New Roman"/>
          <w:sz w:val="24"/>
          <w:szCs w:val="24"/>
        </w:rPr>
        <w:t>Home.barclays</w:t>
      </w:r>
      <w:proofErr w:type="spellEnd"/>
      <w:r w:rsidRPr="00BD7B7F">
        <w:rPr>
          <w:rFonts w:ascii="Times New Roman" w:hAnsi="Times New Roman" w:cs="Times New Roman"/>
          <w:sz w:val="24"/>
          <w:szCs w:val="24"/>
        </w:rPr>
        <w:t xml:space="preserve">. Available at: </w:t>
      </w:r>
      <w:hyperlink r:id="rId13" w:history="1">
        <w:r w:rsidRPr="00BD7B7F">
          <w:rPr>
            <w:rStyle w:val="Hyperlink"/>
            <w:rFonts w:ascii="Times New Roman" w:hAnsi="Times New Roman" w:cs="Times New Roman"/>
            <w:color w:val="auto"/>
            <w:sz w:val="24"/>
            <w:szCs w:val="24"/>
          </w:rPr>
          <w:t>https://home.barclays/who-we-are/our-history/</w:t>
        </w:r>
      </w:hyperlink>
      <w:r w:rsidRPr="00BD7B7F">
        <w:rPr>
          <w:rFonts w:ascii="Times New Roman" w:hAnsi="Times New Roman" w:cs="Times New Roman"/>
          <w:sz w:val="24"/>
          <w:szCs w:val="24"/>
        </w:rPr>
        <w:t>.</w:t>
      </w:r>
    </w:p>
    <w:p w14:paraId="0577F48B" w14:textId="77777777" w:rsidR="0004211F" w:rsidRPr="00BD7B7F" w:rsidRDefault="0004211F" w:rsidP="00475480">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rPr>
        <w:t>Barclays</w:t>
      </w:r>
      <w:r w:rsidRPr="00BD7B7F">
        <w:rPr>
          <w:rFonts w:ascii="Calibri" w:eastAsia="Times New Roman" w:hAnsi="Calibri" w:cs="Calibri"/>
          <w:sz w:val="27"/>
          <w:szCs w:val="27"/>
          <w:lang w:eastAsia="en-IN"/>
        </w:rPr>
        <w:t xml:space="preserve"> </w:t>
      </w:r>
      <w:r w:rsidRPr="00BD7B7F">
        <w:rPr>
          <w:rFonts w:ascii="Times New Roman" w:hAnsi="Times New Roman" w:cs="Times New Roman"/>
          <w:sz w:val="24"/>
          <w:szCs w:val="24"/>
        </w:rPr>
        <w:t xml:space="preserve">PLC | British bank. (2019). In: Encyclopædia Britannica. [online] Available at: </w:t>
      </w:r>
      <w:hyperlink r:id="rId14" w:history="1">
        <w:r w:rsidRPr="00BD7B7F">
          <w:rPr>
            <w:rStyle w:val="Hyperlink"/>
            <w:rFonts w:ascii="Times New Roman" w:hAnsi="Times New Roman" w:cs="Times New Roman"/>
            <w:color w:val="auto"/>
            <w:sz w:val="24"/>
            <w:szCs w:val="24"/>
          </w:rPr>
          <w:t>https://www.britannica.com/topic/Barclays-PLC</w:t>
        </w:r>
      </w:hyperlink>
      <w:r w:rsidRPr="00BD7B7F">
        <w:rPr>
          <w:rFonts w:ascii="Times New Roman" w:hAnsi="Times New Roman" w:cs="Times New Roman"/>
          <w:sz w:val="24"/>
          <w:szCs w:val="24"/>
        </w:rPr>
        <w:t>.</w:t>
      </w:r>
    </w:p>
    <w:p w14:paraId="65ED3BC8" w14:textId="77777777" w:rsidR="0004211F" w:rsidRPr="00BD7B7F" w:rsidRDefault="0004211F" w:rsidP="00840E25">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t>Bongini</w:t>
      </w:r>
      <w:proofErr w:type="spellEnd"/>
      <w:r w:rsidRPr="00BD7B7F">
        <w:rPr>
          <w:rFonts w:ascii="Times New Roman" w:hAnsi="Times New Roman" w:cs="Times New Roman"/>
          <w:sz w:val="24"/>
          <w:szCs w:val="24"/>
          <w:shd w:val="clear" w:color="auto" w:fill="FFFFFF"/>
        </w:rPr>
        <w:t xml:space="preserve">, P., </w:t>
      </w:r>
      <w:proofErr w:type="spellStart"/>
      <w:r w:rsidRPr="00BD7B7F">
        <w:rPr>
          <w:rFonts w:ascii="Times New Roman" w:hAnsi="Times New Roman" w:cs="Times New Roman"/>
          <w:sz w:val="24"/>
          <w:szCs w:val="24"/>
          <w:shd w:val="clear" w:color="auto" w:fill="FFFFFF"/>
        </w:rPr>
        <w:t>Cucinelli</w:t>
      </w:r>
      <w:proofErr w:type="spellEnd"/>
      <w:r w:rsidRPr="00BD7B7F">
        <w:rPr>
          <w:rFonts w:ascii="Times New Roman" w:hAnsi="Times New Roman" w:cs="Times New Roman"/>
          <w:sz w:val="24"/>
          <w:szCs w:val="24"/>
          <w:shd w:val="clear" w:color="auto" w:fill="FFFFFF"/>
        </w:rPr>
        <w:t xml:space="preserve">, D., Di Battista, M.L. and </w:t>
      </w:r>
      <w:proofErr w:type="spellStart"/>
      <w:r w:rsidRPr="00BD7B7F">
        <w:rPr>
          <w:rFonts w:ascii="Times New Roman" w:hAnsi="Times New Roman" w:cs="Times New Roman"/>
          <w:sz w:val="24"/>
          <w:szCs w:val="24"/>
          <w:shd w:val="clear" w:color="auto" w:fill="FFFFFF"/>
        </w:rPr>
        <w:t>Nieri</w:t>
      </w:r>
      <w:proofErr w:type="spellEnd"/>
      <w:r w:rsidRPr="00BD7B7F">
        <w:rPr>
          <w:rFonts w:ascii="Times New Roman" w:hAnsi="Times New Roman" w:cs="Times New Roman"/>
          <w:sz w:val="24"/>
          <w:szCs w:val="24"/>
          <w:shd w:val="clear" w:color="auto" w:fill="FFFFFF"/>
        </w:rPr>
        <w:t>, L., (2019). Profitability shocks and recovery in time of crisis evidence from European banks. </w:t>
      </w:r>
      <w:r w:rsidRPr="00BD7B7F">
        <w:rPr>
          <w:rFonts w:ascii="Times New Roman" w:hAnsi="Times New Roman" w:cs="Times New Roman"/>
          <w:i/>
          <w:iCs/>
          <w:sz w:val="24"/>
          <w:szCs w:val="24"/>
          <w:shd w:val="clear" w:color="auto" w:fill="FFFFFF"/>
        </w:rPr>
        <w:t>Finance Research Letters</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30</w:t>
      </w:r>
      <w:r w:rsidRPr="00BD7B7F">
        <w:rPr>
          <w:rFonts w:ascii="Times New Roman" w:hAnsi="Times New Roman" w:cs="Times New Roman"/>
          <w:sz w:val="24"/>
          <w:szCs w:val="24"/>
          <w:shd w:val="clear" w:color="auto" w:fill="FFFFFF"/>
        </w:rPr>
        <w:t>, pp.233-239.</w:t>
      </w:r>
      <w:r w:rsidRPr="00BD7B7F">
        <w:rPr>
          <w:rFonts w:ascii="Times New Roman" w:hAnsi="Times New Roman" w:cs="Times New Roman"/>
          <w:sz w:val="24"/>
          <w:szCs w:val="24"/>
        </w:rPr>
        <w:t xml:space="preserve"> </w:t>
      </w:r>
      <w:hyperlink r:id="rId15" w:history="1">
        <w:r w:rsidRPr="00BD7B7F">
          <w:rPr>
            <w:rStyle w:val="Hyperlink"/>
            <w:rFonts w:ascii="Times New Roman" w:hAnsi="Times New Roman" w:cs="Times New Roman"/>
            <w:color w:val="auto"/>
            <w:sz w:val="24"/>
            <w:szCs w:val="24"/>
            <w:shd w:val="clear" w:color="auto" w:fill="FFFFFF"/>
          </w:rPr>
          <w:t>https://www.sciencedirect.com/science/article/pii/S154461231830391X</w:t>
        </w:r>
      </w:hyperlink>
    </w:p>
    <w:p w14:paraId="591B45D7"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Boyle, M.J. (2020). The Great Recession. [online] Investopedia. Available at: </w:t>
      </w:r>
      <w:hyperlink r:id="rId16" w:history="1">
        <w:r w:rsidRPr="00BD7B7F">
          <w:rPr>
            <w:rStyle w:val="Hyperlink"/>
            <w:rFonts w:ascii="Times New Roman" w:hAnsi="Times New Roman" w:cs="Times New Roman"/>
            <w:color w:val="auto"/>
            <w:sz w:val="24"/>
            <w:szCs w:val="24"/>
          </w:rPr>
          <w:t>https://www.investopedia.com/terms/g/great-recession.asp</w:t>
        </w:r>
      </w:hyperlink>
      <w:r w:rsidRPr="00BD7B7F">
        <w:rPr>
          <w:rFonts w:ascii="Times New Roman" w:hAnsi="Times New Roman" w:cs="Times New Roman"/>
          <w:sz w:val="24"/>
          <w:szCs w:val="24"/>
        </w:rPr>
        <w:t>.</w:t>
      </w:r>
    </w:p>
    <w:p w14:paraId="06532F50"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Capital Requirements Directive IV. (2013). Retrieved from </w:t>
      </w:r>
      <w:hyperlink r:id="rId17" w:history="1">
        <w:r w:rsidRPr="00BD7B7F">
          <w:rPr>
            <w:rStyle w:val="Hyperlink"/>
            <w:rFonts w:ascii="Times New Roman" w:hAnsi="Times New Roman" w:cs="Times New Roman"/>
            <w:color w:val="auto"/>
            <w:sz w:val="24"/>
            <w:szCs w:val="24"/>
          </w:rPr>
          <w:t>https://eur-lex.europa.eu/legal-content/EN/TXT/?uri=CELEX%3A32013L0036</w:t>
        </w:r>
      </w:hyperlink>
    </w:p>
    <w:p w14:paraId="404ABA3F" w14:textId="77777777" w:rsidR="0004211F" w:rsidRPr="00BD7B7F" w:rsidRDefault="0004211F" w:rsidP="00B65EB8">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‌cms-lawnow.com. (n.d.). The Banking Act 2009: Legislation for failing banks replaces emergency powers. [online] Available at: https://cms-lawnow.com/en/ealerts/2009/02/the-banking-act-2009-legislation-for-failing-banks-replaces-emergency-powers#:~:text=The%20Banking%20Act%202009%20%28the%20%E2%80%9CBanking%20Act%E2%80%9D%20or [Accessed 28 Apr. 2023].</w:t>
      </w:r>
    </w:p>
    <w:p w14:paraId="0DD7E6D8"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Connelly, S. (2016). A Short History of Barclays Bank. [online] </w:t>
      </w:r>
      <w:proofErr w:type="spellStart"/>
      <w:r w:rsidRPr="00BD7B7F">
        <w:rPr>
          <w:rFonts w:ascii="Times New Roman" w:hAnsi="Times New Roman" w:cs="Times New Roman"/>
          <w:sz w:val="24"/>
          <w:szCs w:val="24"/>
        </w:rPr>
        <w:t>Cashfloat</w:t>
      </w:r>
      <w:proofErr w:type="spellEnd"/>
      <w:r w:rsidRPr="00BD7B7F">
        <w:rPr>
          <w:rFonts w:ascii="Times New Roman" w:hAnsi="Times New Roman" w:cs="Times New Roman"/>
          <w:sz w:val="24"/>
          <w:szCs w:val="24"/>
        </w:rPr>
        <w:t xml:space="preserve">. Available at: </w:t>
      </w:r>
      <w:hyperlink r:id="rId18" w:history="1">
        <w:r w:rsidRPr="00BD7B7F">
          <w:rPr>
            <w:rStyle w:val="Hyperlink"/>
            <w:rFonts w:ascii="Times New Roman" w:hAnsi="Times New Roman" w:cs="Times New Roman"/>
            <w:color w:val="auto"/>
            <w:sz w:val="24"/>
            <w:szCs w:val="24"/>
          </w:rPr>
          <w:t>https://www.cashfloat.co.uk/blog/money-saving/history-barclays-bank/</w:t>
        </w:r>
      </w:hyperlink>
      <w:r w:rsidRPr="00BD7B7F">
        <w:rPr>
          <w:rFonts w:ascii="Times New Roman" w:hAnsi="Times New Roman" w:cs="Times New Roman"/>
          <w:sz w:val="24"/>
          <w:szCs w:val="24"/>
        </w:rPr>
        <w:t>.</w:t>
      </w:r>
    </w:p>
    <w:p w14:paraId="2EBFABC9" w14:textId="77777777" w:rsidR="0004211F" w:rsidRPr="00BD7B7F" w:rsidRDefault="0004211F" w:rsidP="003A3F78">
      <w:pPr>
        <w:pStyle w:val="ListParagraph"/>
        <w:numPr>
          <w:ilvl w:val="0"/>
          <w:numId w:val="2"/>
        </w:numPr>
        <w:jc w:val="both"/>
        <w:rPr>
          <w:rStyle w:val="Hyperlink"/>
          <w:rFonts w:ascii="Times New Roman" w:hAnsi="Times New Roman" w:cs="Times New Roman"/>
          <w:color w:val="auto"/>
          <w:sz w:val="24"/>
          <w:szCs w:val="24"/>
          <w:u w:val="none"/>
        </w:rPr>
      </w:pPr>
      <w:r w:rsidRPr="00BD7B7F">
        <w:rPr>
          <w:rFonts w:ascii="Times New Roman" w:hAnsi="Times New Roman" w:cs="Times New Roman"/>
          <w:sz w:val="24"/>
          <w:szCs w:val="24"/>
        </w:rPr>
        <w:t xml:space="preserve">Dodd-Frank Wall Street Reform and Consumer Protection Act (2010), available at </w:t>
      </w:r>
      <w:hyperlink r:id="rId19" w:history="1">
        <w:r w:rsidRPr="00BD7B7F">
          <w:rPr>
            <w:rStyle w:val="Hyperlink"/>
            <w:rFonts w:ascii="Times New Roman" w:hAnsi="Times New Roman" w:cs="Times New Roman"/>
            <w:color w:val="auto"/>
            <w:sz w:val="24"/>
            <w:szCs w:val="24"/>
          </w:rPr>
          <w:t>https://www.congress.gov/111/plaws/publ203/PLAW-111publ203.pdf</w:t>
        </w:r>
      </w:hyperlink>
    </w:p>
    <w:p w14:paraId="0A2E0428" w14:textId="77777777" w:rsidR="0004211F" w:rsidRPr="00BD7B7F" w:rsidRDefault="0004211F" w:rsidP="00475480">
      <w:pPr>
        <w:pStyle w:val="ListParagraph"/>
        <w:numPr>
          <w:ilvl w:val="0"/>
          <w:numId w:val="2"/>
        </w:numPr>
        <w:spacing w:after="0" w:line="360" w:lineRule="atLeast"/>
        <w:jc w:val="both"/>
        <w:rPr>
          <w:rStyle w:val="Hyperlink"/>
          <w:rFonts w:ascii="Times New Roman" w:hAnsi="Times New Roman" w:cs="Times New Roman"/>
          <w:color w:val="auto"/>
          <w:sz w:val="24"/>
          <w:szCs w:val="24"/>
          <w:u w:val="none"/>
        </w:rPr>
      </w:pPr>
      <w:r w:rsidRPr="00BD7B7F">
        <w:rPr>
          <w:rFonts w:ascii="Times New Roman" w:hAnsi="Times New Roman" w:cs="Times New Roman"/>
          <w:sz w:val="24"/>
          <w:szCs w:val="24"/>
        </w:rPr>
        <w:t xml:space="preserve">Financial Services (Banking Reform) Act 2013. (2013). Retrieved from </w:t>
      </w:r>
      <w:hyperlink r:id="rId20" w:history="1">
        <w:r w:rsidRPr="00BD7B7F">
          <w:rPr>
            <w:rStyle w:val="Hyperlink"/>
            <w:rFonts w:ascii="Times New Roman" w:hAnsi="Times New Roman" w:cs="Times New Roman"/>
            <w:color w:val="auto"/>
            <w:sz w:val="24"/>
            <w:szCs w:val="24"/>
          </w:rPr>
          <w:t>http://www.legislation.gov.uk/ukpga/2013/33/contents/enacted</w:t>
        </w:r>
      </w:hyperlink>
    </w:p>
    <w:p w14:paraId="2262269C" w14:textId="77777777" w:rsidR="0004211F" w:rsidRPr="00BD7B7F" w:rsidRDefault="0004211F" w:rsidP="00475480">
      <w:pPr>
        <w:pStyle w:val="ListParagraph"/>
        <w:numPr>
          <w:ilvl w:val="0"/>
          <w:numId w:val="2"/>
        </w:numPr>
        <w:spacing w:after="0" w:line="360" w:lineRule="atLeast"/>
        <w:jc w:val="both"/>
        <w:rPr>
          <w:rStyle w:val="Hyperlink"/>
          <w:rFonts w:ascii="Times New Roman" w:hAnsi="Times New Roman" w:cs="Times New Roman"/>
          <w:color w:val="auto"/>
          <w:sz w:val="24"/>
          <w:szCs w:val="24"/>
          <w:u w:val="none"/>
        </w:rPr>
      </w:pPr>
      <w:r w:rsidRPr="00BD7B7F">
        <w:rPr>
          <w:rFonts w:ascii="Times New Roman" w:hAnsi="Times New Roman" w:cs="Times New Roman"/>
          <w:sz w:val="24"/>
          <w:szCs w:val="24"/>
        </w:rPr>
        <w:t xml:space="preserve">Financial Services Act 2010. (2010). Retrieved from </w:t>
      </w:r>
      <w:hyperlink r:id="rId21" w:history="1">
        <w:r w:rsidRPr="00BD7B7F">
          <w:rPr>
            <w:rStyle w:val="Hyperlink"/>
            <w:rFonts w:ascii="Times New Roman" w:hAnsi="Times New Roman" w:cs="Times New Roman"/>
            <w:color w:val="auto"/>
            <w:sz w:val="24"/>
            <w:szCs w:val="24"/>
          </w:rPr>
          <w:t>http://www.legislation.gov.uk/ukpga/2010/15/contents/enacted</w:t>
        </w:r>
      </w:hyperlink>
    </w:p>
    <w:p w14:paraId="2A6FEB5E" w14:textId="77777777" w:rsidR="0004211F" w:rsidRPr="00BD7B7F" w:rsidRDefault="0004211F" w:rsidP="00B65EB8">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Financial Stability Board (2020). Post-2008 financial crisis reforms. [online] www.fsb.org. Available at: </w:t>
      </w:r>
      <w:hyperlink r:id="rId22" w:history="1">
        <w:r w:rsidRPr="00BD7B7F">
          <w:rPr>
            <w:rStyle w:val="Hyperlink"/>
            <w:rFonts w:ascii="Times New Roman" w:hAnsi="Times New Roman" w:cs="Times New Roman"/>
            <w:color w:val="auto"/>
            <w:sz w:val="24"/>
            <w:szCs w:val="24"/>
          </w:rPr>
          <w:t>https://www.fsb.org/work-of-the-fsb/market-and-institutional-resilience/post-2008-financial-crisis-reforms/</w:t>
        </w:r>
      </w:hyperlink>
      <w:r w:rsidRPr="00BD7B7F">
        <w:rPr>
          <w:rFonts w:ascii="Times New Roman" w:hAnsi="Times New Roman" w:cs="Times New Roman"/>
          <w:sz w:val="24"/>
          <w:szCs w:val="24"/>
        </w:rPr>
        <w:t>.</w:t>
      </w:r>
    </w:p>
    <w:p w14:paraId="22A52D92" w14:textId="77777777" w:rsidR="0004211F" w:rsidRPr="00BD7B7F" w:rsidRDefault="0004211F" w:rsidP="00840E25">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lastRenderedPageBreak/>
        <w:t>Iacovone</w:t>
      </w:r>
      <w:proofErr w:type="spellEnd"/>
      <w:r w:rsidRPr="00BD7B7F">
        <w:rPr>
          <w:rFonts w:ascii="Times New Roman" w:hAnsi="Times New Roman" w:cs="Times New Roman"/>
          <w:sz w:val="24"/>
          <w:szCs w:val="24"/>
          <w:shd w:val="clear" w:color="auto" w:fill="FFFFFF"/>
        </w:rPr>
        <w:t xml:space="preserve">, L., Ferro, E., Pereira-López, M. and </w:t>
      </w:r>
      <w:proofErr w:type="spellStart"/>
      <w:r w:rsidRPr="00BD7B7F">
        <w:rPr>
          <w:rFonts w:ascii="Times New Roman" w:hAnsi="Times New Roman" w:cs="Times New Roman"/>
          <w:sz w:val="24"/>
          <w:szCs w:val="24"/>
          <w:shd w:val="clear" w:color="auto" w:fill="FFFFFF"/>
        </w:rPr>
        <w:t>Zavacka</w:t>
      </w:r>
      <w:proofErr w:type="spellEnd"/>
      <w:r w:rsidRPr="00BD7B7F">
        <w:rPr>
          <w:rFonts w:ascii="Times New Roman" w:hAnsi="Times New Roman" w:cs="Times New Roman"/>
          <w:sz w:val="24"/>
          <w:szCs w:val="24"/>
          <w:shd w:val="clear" w:color="auto" w:fill="FFFFFF"/>
        </w:rPr>
        <w:t>, V., (2019). Banking crises and exports: Lessons from the past. </w:t>
      </w:r>
      <w:r w:rsidRPr="00BD7B7F">
        <w:rPr>
          <w:rFonts w:ascii="Times New Roman" w:hAnsi="Times New Roman" w:cs="Times New Roman"/>
          <w:i/>
          <w:iCs/>
          <w:sz w:val="24"/>
          <w:szCs w:val="24"/>
          <w:shd w:val="clear" w:color="auto" w:fill="FFFFFF"/>
        </w:rPr>
        <w:t>Journal of Development Economics</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138</w:t>
      </w:r>
      <w:r w:rsidRPr="00BD7B7F">
        <w:rPr>
          <w:rFonts w:ascii="Times New Roman" w:hAnsi="Times New Roman" w:cs="Times New Roman"/>
          <w:sz w:val="24"/>
          <w:szCs w:val="24"/>
          <w:shd w:val="clear" w:color="auto" w:fill="FFFFFF"/>
        </w:rPr>
        <w:t>, pp.192-204.</w:t>
      </w:r>
      <w:r w:rsidRPr="00BD7B7F">
        <w:rPr>
          <w:rFonts w:ascii="Times New Roman" w:hAnsi="Times New Roman" w:cs="Times New Roman"/>
          <w:sz w:val="24"/>
          <w:szCs w:val="24"/>
        </w:rPr>
        <w:t xml:space="preserve"> </w:t>
      </w:r>
      <w:hyperlink r:id="rId23" w:history="1">
        <w:r w:rsidRPr="00BD7B7F">
          <w:rPr>
            <w:rStyle w:val="Hyperlink"/>
            <w:rFonts w:ascii="Times New Roman" w:hAnsi="Times New Roman" w:cs="Times New Roman"/>
            <w:color w:val="auto"/>
            <w:sz w:val="24"/>
            <w:szCs w:val="24"/>
            <w:shd w:val="clear" w:color="auto" w:fill="FFFFFF"/>
          </w:rPr>
          <w:t>https://www.sciencedirect.com/science/article/pii/S0304387818304292</w:t>
        </w:r>
      </w:hyperlink>
    </w:p>
    <w:p w14:paraId="35D20B43" w14:textId="77777777" w:rsidR="0004211F" w:rsidRPr="00BD7B7F" w:rsidRDefault="0004211F" w:rsidP="00840E25">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t>Laeven</w:t>
      </w:r>
      <w:proofErr w:type="spellEnd"/>
      <w:r w:rsidRPr="00BD7B7F">
        <w:rPr>
          <w:rFonts w:ascii="Times New Roman" w:hAnsi="Times New Roman" w:cs="Times New Roman"/>
          <w:sz w:val="24"/>
          <w:szCs w:val="24"/>
          <w:shd w:val="clear" w:color="auto" w:fill="FFFFFF"/>
        </w:rPr>
        <w:t>, L. and Valencia, F., (2020). Systemic banking crises database II. </w:t>
      </w:r>
      <w:r w:rsidRPr="00BD7B7F">
        <w:rPr>
          <w:rFonts w:ascii="Times New Roman" w:hAnsi="Times New Roman" w:cs="Times New Roman"/>
          <w:i/>
          <w:iCs/>
          <w:sz w:val="24"/>
          <w:szCs w:val="24"/>
          <w:shd w:val="clear" w:color="auto" w:fill="FFFFFF"/>
        </w:rPr>
        <w:t>IMF Economic Review</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68</w:t>
      </w:r>
      <w:r w:rsidRPr="00BD7B7F">
        <w:rPr>
          <w:rFonts w:ascii="Times New Roman" w:hAnsi="Times New Roman" w:cs="Times New Roman"/>
          <w:sz w:val="24"/>
          <w:szCs w:val="24"/>
          <w:shd w:val="clear" w:color="auto" w:fill="FFFFFF"/>
        </w:rPr>
        <w:t>, pp.307-361.</w:t>
      </w:r>
      <w:r w:rsidRPr="00BD7B7F">
        <w:rPr>
          <w:rFonts w:ascii="Times New Roman" w:hAnsi="Times New Roman" w:cs="Times New Roman"/>
          <w:sz w:val="24"/>
          <w:szCs w:val="24"/>
        </w:rPr>
        <w:t xml:space="preserve"> </w:t>
      </w:r>
      <w:hyperlink r:id="rId24" w:history="1">
        <w:r w:rsidRPr="00BD7B7F">
          <w:rPr>
            <w:rStyle w:val="Hyperlink"/>
            <w:rFonts w:ascii="Times New Roman" w:hAnsi="Times New Roman" w:cs="Times New Roman"/>
            <w:color w:val="auto"/>
            <w:sz w:val="24"/>
            <w:szCs w:val="24"/>
            <w:shd w:val="clear" w:color="auto" w:fill="FFFFFF"/>
          </w:rPr>
          <w:t>https://link.springer.com/article/10.1057/s41308-020-00107-3</w:t>
        </w:r>
      </w:hyperlink>
    </w:p>
    <w:p w14:paraId="5606DF48"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Loo, A. (2022). 2008-2009 Global Financial Crisis. [online] Corporate Finance Institute. Available at: </w:t>
      </w:r>
      <w:hyperlink r:id="rId25" w:history="1">
        <w:r w:rsidRPr="00BD7B7F">
          <w:rPr>
            <w:rStyle w:val="Hyperlink"/>
            <w:rFonts w:ascii="Times New Roman" w:hAnsi="Times New Roman" w:cs="Times New Roman"/>
            <w:color w:val="auto"/>
            <w:sz w:val="24"/>
            <w:szCs w:val="24"/>
          </w:rPr>
          <w:t>https://corporatefinanceinstitute.com/resources/economics/2008-2009-global-financial-crisis/</w:t>
        </w:r>
      </w:hyperlink>
      <w:r w:rsidRPr="00BD7B7F">
        <w:rPr>
          <w:rFonts w:ascii="Times New Roman" w:hAnsi="Times New Roman" w:cs="Times New Roman"/>
          <w:sz w:val="24"/>
          <w:szCs w:val="24"/>
        </w:rPr>
        <w:t>.</w:t>
      </w:r>
    </w:p>
    <w:p w14:paraId="60B0B41B" w14:textId="77777777" w:rsidR="0004211F" w:rsidRPr="00BD7B7F" w:rsidRDefault="0004211F" w:rsidP="003C54B9">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t>Massoc</w:t>
      </w:r>
      <w:proofErr w:type="spellEnd"/>
      <w:r w:rsidRPr="00BD7B7F">
        <w:rPr>
          <w:rFonts w:ascii="Times New Roman" w:hAnsi="Times New Roman" w:cs="Times New Roman"/>
          <w:sz w:val="24"/>
          <w:szCs w:val="24"/>
          <w:shd w:val="clear" w:color="auto" w:fill="FFFFFF"/>
        </w:rPr>
        <w:t>, E., (2020). Banks, power, and political institutions: the divergent priorities of European states towards “too-big-to-fail” banks: the cases of competition in retail banking and the banking structural reform. </w:t>
      </w:r>
      <w:r w:rsidRPr="00BD7B7F">
        <w:rPr>
          <w:rFonts w:ascii="Times New Roman" w:hAnsi="Times New Roman" w:cs="Times New Roman"/>
          <w:i/>
          <w:iCs/>
          <w:sz w:val="24"/>
          <w:szCs w:val="24"/>
          <w:shd w:val="clear" w:color="auto" w:fill="FFFFFF"/>
        </w:rPr>
        <w:t>Business and politics</w:t>
      </w:r>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22</w:t>
      </w:r>
      <w:r w:rsidRPr="00BD7B7F">
        <w:rPr>
          <w:rFonts w:ascii="Times New Roman" w:hAnsi="Times New Roman" w:cs="Times New Roman"/>
          <w:sz w:val="24"/>
          <w:szCs w:val="24"/>
          <w:shd w:val="clear" w:color="auto" w:fill="FFFFFF"/>
        </w:rPr>
        <w:t>(1), pp.135-160.</w:t>
      </w:r>
      <w:r w:rsidRPr="00BD7B7F">
        <w:rPr>
          <w:rFonts w:ascii="Times New Roman" w:hAnsi="Times New Roman" w:cs="Times New Roman"/>
          <w:sz w:val="24"/>
          <w:szCs w:val="24"/>
        </w:rPr>
        <w:t xml:space="preserve"> </w:t>
      </w:r>
      <w:hyperlink r:id="rId26" w:history="1">
        <w:r w:rsidRPr="00BD7B7F">
          <w:rPr>
            <w:rStyle w:val="Hyperlink"/>
            <w:rFonts w:ascii="Times New Roman" w:hAnsi="Times New Roman" w:cs="Times New Roman"/>
            <w:color w:val="auto"/>
            <w:sz w:val="24"/>
            <w:szCs w:val="24"/>
            <w:shd w:val="clear" w:color="auto" w:fill="FFFFFF"/>
          </w:rPr>
          <w:t>https://www.cambridge.org/core/journals/business-and-politics/article/banks-power-and-political-institutions-the-divergent-priorities-of-european-states-towards-toobigtofail-banks-the-cases-of-competition-in-retail-banking-and-the-banking-structural-reform/8B030C0A9169935B0199C24428C2DE3F</w:t>
        </w:r>
      </w:hyperlink>
    </w:p>
    <w:p w14:paraId="75FA5FAC" w14:textId="77777777" w:rsidR="0004211F" w:rsidRPr="00BD7B7F" w:rsidRDefault="0004211F" w:rsidP="00D12AA6">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shd w:val="clear" w:color="auto" w:fill="FFFFFF"/>
        </w:rPr>
        <w:t>Nakatani, R., (2020). Macroprudential policy and the probability of a banking crisis. </w:t>
      </w:r>
      <w:r w:rsidRPr="00BD7B7F">
        <w:rPr>
          <w:rFonts w:ascii="Times New Roman" w:hAnsi="Times New Roman" w:cs="Times New Roman"/>
          <w:i/>
          <w:iCs/>
          <w:sz w:val="24"/>
          <w:szCs w:val="24"/>
          <w:shd w:val="clear" w:color="auto" w:fill="FFFFFF"/>
        </w:rPr>
        <w:t xml:space="preserve">Journal of policy </w:t>
      </w:r>
      <w:proofErr w:type="spellStart"/>
      <w:r w:rsidRPr="00BD7B7F">
        <w:rPr>
          <w:rFonts w:ascii="Times New Roman" w:hAnsi="Times New Roman" w:cs="Times New Roman"/>
          <w:i/>
          <w:iCs/>
          <w:sz w:val="24"/>
          <w:szCs w:val="24"/>
          <w:shd w:val="clear" w:color="auto" w:fill="FFFFFF"/>
        </w:rPr>
        <w:t>modeling</w:t>
      </w:r>
      <w:proofErr w:type="spellEnd"/>
      <w:r w:rsidRPr="00BD7B7F">
        <w:rPr>
          <w:rFonts w:ascii="Times New Roman" w:hAnsi="Times New Roman" w:cs="Times New Roman"/>
          <w:sz w:val="24"/>
          <w:szCs w:val="24"/>
          <w:shd w:val="clear" w:color="auto" w:fill="FFFFFF"/>
        </w:rPr>
        <w:t>, </w:t>
      </w:r>
      <w:r w:rsidRPr="00BD7B7F">
        <w:rPr>
          <w:rFonts w:ascii="Times New Roman" w:hAnsi="Times New Roman" w:cs="Times New Roman"/>
          <w:i/>
          <w:iCs/>
          <w:sz w:val="24"/>
          <w:szCs w:val="24"/>
          <w:shd w:val="clear" w:color="auto" w:fill="FFFFFF"/>
        </w:rPr>
        <w:t>42</w:t>
      </w:r>
      <w:r w:rsidRPr="00BD7B7F">
        <w:rPr>
          <w:rFonts w:ascii="Times New Roman" w:hAnsi="Times New Roman" w:cs="Times New Roman"/>
          <w:sz w:val="24"/>
          <w:szCs w:val="24"/>
          <w:shd w:val="clear" w:color="auto" w:fill="FFFFFF"/>
        </w:rPr>
        <w:t>(6), pp.1169-1186.</w:t>
      </w:r>
      <w:r w:rsidRPr="00BD7B7F">
        <w:rPr>
          <w:rFonts w:ascii="Times New Roman" w:hAnsi="Times New Roman" w:cs="Times New Roman"/>
          <w:sz w:val="24"/>
          <w:szCs w:val="24"/>
        </w:rPr>
        <w:t xml:space="preserve"> </w:t>
      </w:r>
      <w:hyperlink r:id="rId27" w:history="1">
        <w:r w:rsidRPr="00BD7B7F">
          <w:rPr>
            <w:rStyle w:val="Hyperlink"/>
            <w:rFonts w:ascii="Times New Roman" w:hAnsi="Times New Roman" w:cs="Times New Roman"/>
            <w:color w:val="auto"/>
            <w:sz w:val="24"/>
            <w:szCs w:val="24"/>
            <w:shd w:val="clear" w:color="auto" w:fill="FFFFFF"/>
          </w:rPr>
          <w:t>https://www.sciencedirect.com/science/article/pii/S0161893820300867</w:t>
        </w:r>
      </w:hyperlink>
    </w:p>
    <w:p w14:paraId="213550F5" w14:textId="77777777" w:rsidR="0004211F" w:rsidRPr="00BD7B7F" w:rsidRDefault="0004211F" w:rsidP="003A3F78">
      <w:pPr>
        <w:pStyle w:val="ListParagraph"/>
        <w:numPr>
          <w:ilvl w:val="0"/>
          <w:numId w:val="2"/>
        </w:numPr>
        <w:spacing w:after="0" w:line="360" w:lineRule="atLeast"/>
        <w:jc w:val="both"/>
        <w:rPr>
          <w:rFonts w:ascii="Times New Roman" w:hAnsi="Times New Roman" w:cs="Times New Roman"/>
          <w:sz w:val="24"/>
          <w:szCs w:val="24"/>
        </w:rPr>
      </w:pPr>
      <w:proofErr w:type="spellStart"/>
      <w:r w:rsidRPr="00BD7B7F">
        <w:rPr>
          <w:rFonts w:ascii="Times New Roman" w:hAnsi="Times New Roman" w:cs="Times New Roman"/>
          <w:sz w:val="24"/>
          <w:szCs w:val="24"/>
        </w:rPr>
        <w:t>Novik</w:t>
      </w:r>
      <w:proofErr w:type="spellEnd"/>
      <w:r w:rsidRPr="00BD7B7F">
        <w:rPr>
          <w:rFonts w:ascii="Times New Roman" w:hAnsi="Times New Roman" w:cs="Times New Roman"/>
          <w:sz w:val="24"/>
          <w:szCs w:val="24"/>
        </w:rPr>
        <w:t xml:space="preserve">, V. (2020). The Countries Most and Least Affected by the 2008 Financial Crisis. [online] Big Economics. Available at: </w:t>
      </w:r>
      <w:hyperlink r:id="rId28" w:anchor=":~:text=The%20most%20affected%20countries%20Estonia%20%28%231%29%20and%20Ukraine" w:history="1">
        <w:r w:rsidRPr="00BD7B7F">
          <w:rPr>
            <w:rStyle w:val="Hyperlink"/>
            <w:rFonts w:ascii="Times New Roman" w:hAnsi="Times New Roman" w:cs="Times New Roman"/>
            <w:color w:val="auto"/>
            <w:sz w:val="24"/>
            <w:szCs w:val="24"/>
          </w:rPr>
          <w:t>https://bigeconomics.org/the-countries-most-and-least-affected-by-the-2008-financial-crisis/#:~:text=The%20most%20affected%20countries%20Estonia%20%28%231%29%20and%20Ukraine</w:t>
        </w:r>
      </w:hyperlink>
      <w:r w:rsidRPr="00BD7B7F">
        <w:rPr>
          <w:rFonts w:ascii="Times New Roman" w:hAnsi="Times New Roman" w:cs="Times New Roman"/>
          <w:sz w:val="24"/>
          <w:szCs w:val="24"/>
        </w:rPr>
        <w:t>.</w:t>
      </w:r>
    </w:p>
    <w:p w14:paraId="156F8A11" w14:textId="77777777" w:rsidR="0004211F" w:rsidRPr="00BD7B7F" w:rsidRDefault="0004211F" w:rsidP="003C54B9">
      <w:pPr>
        <w:pStyle w:val="ListParagraph"/>
        <w:numPr>
          <w:ilvl w:val="0"/>
          <w:numId w:val="2"/>
        </w:numPr>
        <w:jc w:val="both"/>
        <w:rPr>
          <w:rFonts w:ascii="Times New Roman" w:hAnsi="Times New Roman" w:cs="Times New Roman"/>
          <w:sz w:val="24"/>
          <w:szCs w:val="24"/>
        </w:rPr>
      </w:pPr>
      <w:proofErr w:type="spellStart"/>
      <w:r w:rsidRPr="00BD7B7F">
        <w:rPr>
          <w:rFonts w:ascii="Times New Roman" w:hAnsi="Times New Roman" w:cs="Times New Roman"/>
          <w:sz w:val="24"/>
          <w:szCs w:val="24"/>
          <w:shd w:val="clear" w:color="auto" w:fill="FFFFFF"/>
        </w:rPr>
        <w:t>Quaglia</w:t>
      </w:r>
      <w:proofErr w:type="spellEnd"/>
      <w:r w:rsidRPr="00BD7B7F">
        <w:rPr>
          <w:rFonts w:ascii="Times New Roman" w:hAnsi="Times New Roman" w:cs="Times New Roman"/>
          <w:sz w:val="24"/>
          <w:szCs w:val="24"/>
          <w:shd w:val="clear" w:color="auto" w:fill="FFFFFF"/>
        </w:rPr>
        <w:t>, L., (2019). European Union financial regulation, banking union, capital markets union and the UK. </w:t>
      </w:r>
      <w:r w:rsidRPr="00BD7B7F">
        <w:rPr>
          <w:rFonts w:ascii="Times New Roman" w:hAnsi="Times New Roman" w:cs="Times New Roman"/>
          <w:i/>
          <w:iCs/>
          <w:sz w:val="24"/>
          <w:szCs w:val="24"/>
          <w:shd w:val="clear" w:color="auto" w:fill="FFFFFF"/>
        </w:rPr>
        <w:t>Diverging capitalisms: Britain, the City of London and Europe</w:t>
      </w:r>
      <w:r w:rsidRPr="00BD7B7F">
        <w:rPr>
          <w:rFonts w:ascii="Times New Roman" w:hAnsi="Times New Roman" w:cs="Times New Roman"/>
          <w:sz w:val="24"/>
          <w:szCs w:val="24"/>
          <w:shd w:val="clear" w:color="auto" w:fill="FFFFFF"/>
        </w:rPr>
        <w:t>, pp.99-123.</w:t>
      </w:r>
      <w:r w:rsidRPr="00BD7B7F">
        <w:rPr>
          <w:rFonts w:ascii="Times New Roman" w:hAnsi="Times New Roman" w:cs="Times New Roman"/>
          <w:sz w:val="24"/>
          <w:szCs w:val="24"/>
        </w:rPr>
        <w:t xml:space="preserve"> </w:t>
      </w:r>
      <w:hyperlink r:id="rId29" w:history="1">
        <w:r w:rsidRPr="00BD7B7F">
          <w:rPr>
            <w:rStyle w:val="Hyperlink"/>
            <w:rFonts w:ascii="Times New Roman" w:hAnsi="Times New Roman" w:cs="Times New Roman"/>
            <w:color w:val="auto"/>
            <w:sz w:val="24"/>
            <w:szCs w:val="24"/>
            <w:shd w:val="clear" w:color="auto" w:fill="FFFFFF"/>
          </w:rPr>
          <w:t>https://link.springer.com/chapter/10.1007/978-3-030-03415-3_5</w:t>
        </w:r>
      </w:hyperlink>
    </w:p>
    <w:p w14:paraId="73107774" w14:textId="77777777" w:rsidR="0004211F" w:rsidRPr="00BD7B7F" w:rsidRDefault="0004211F" w:rsidP="00B65EB8">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Recession | economics. (2019). In: Encyclopædia Britannica. [online] Available at: </w:t>
      </w:r>
      <w:hyperlink r:id="rId30" w:history="1">
        <w:r w:rsidRPr="00BD7B7F">
          <w:rPr>
            <w:rFonts w:ascii="Times New Roman" w:hAnsi="Times New Roman" w:cs="Times New Roman"/>
            <w:sz w:val="24"/>
            <w:szCs w:val="24"/>
          </w:rPr>
          <w:t>https://www.britannica.com/topic/recession</w:t>
        </w:r>
      </w:hyperlink>
    </w:p>
    <w:p w14:paraId="59C38FB4" w14:textId="77777777" w:rsidR="0004211F" w:rsidRPr="00BD7B7F" w:rsidRDefault="0004211F" w:rsidP="00475480">
      <w:pPr>
        <w:pStyle w:val="ListParagraph"/>
        <w:numPr>
          <w:ilvl w:val="0"/>
          <w:numId w:val="2"/>
        </w:numPr>
        <w:spacing w:before="100" w:beforeAutospacing="1" w:after="100" w:afterAutospacing="1" w:line="240" w:lineRule="auto"/>
        <w:jc w:val="both"/>
        <w:rPr>
          <w:rFonts w:ascii="Times New Roman" w:hAnsi="Times New Roman" w:cs="Times New Roman"/>
          <w:sz w:val="24"/>
          <w:szCs w:val="24"/>
        </w:rPr>
      </w:pPr>
      <w:proofErr w:type="spellStart"/>
      <w:r w:rsidRPr="00BD7B7F">
        <w:rPr>
          <w:rFonts w:ascii="Times New Roman" w:hAnsi="Times New Roman" w:cs="Times New Roman"/>
          <w:sz w:val="24"/>
          <w:szCs w:val="24"/>
        </w:rPr>
        <w:t>Rodini</w:t>
      </w:r>
      <w:proofErr w:type="spellEnd"/>
      <w:r w:rsidRPr="00BD7B7F">
        <w:rPr>
          <w:rFonts w:ascii="Times New Roman" w:hAnsi="Times New Roman" w:cs="Times New Roman"/>
          <w:sz w:val="24"/>
          <w:szCs w:val="24"/>
        </w:rPr>
        <w:t xml:space="preserve">, L. (2022). What Was the Financial Crisis of 2007-2008? Causes, Outcomes &amp; Lessons Learned. [online] TheStreet. Available at: </w:t>
      </w:r>
      <w:hyperlink r:id="rId31" w:history="1">
        <w:r w:rsidRPr="00BD7B7F">
          <w:rPr>
            <w:rStyle w:val="Hyperlink"/>
            <w:rFonts w:ascii="Times New Roman" w:hAnsi="Times New Roman" w:cs="Times New Roman"/>
            <w:color w:val="auto"/>
            <w:sz w:val="24"/>
            <w:szCs w:val="24"/>
          </w:rPr>
          <w:t>https://www.thestreet.com/dictionary/f/financial-crisis-2007-2008</w:t>
        </w:r>
      </w:hyperlink>
      <w:r w:rsidRPr="00BD7B7F">
        <w:rPr>
          <w:rFonts w:ascii="Times New Roman" w:hAnsi="Times New Roman" w:cs="Times New Roman"/>
          <w:sz w:val="24"/>
          <w:szCs w:val="24"/>
        </w:rPr>
        <w:t>.‌</w:t>
      </w:r>
    </w:p>
    <w:p w14:paraId="3E6CE241"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‌Ross, S. (2019). What major laws regulating financial institutions were created in response to the 2008 financial crisis? [online] Investopedia. Available at: </w:t>
      </w:r>
      <w:hyperlink r:id="rId32" w:history="1">
        <w:r w:rsidRPr="00BD7B7F">
          <w:rPr>
            <w:rStyle w:val="Hyperlink"/>
            <w:rFonts w:ascii="Times New Roman" w:hAnsi="Times New Roman" w:cs="Times New Roman"/>
            <w:color w:val="auto"/>
            <w:sz w:val="24"/>
            <w:szCs w:val="24"/>
          </w:rPr>
          <w:t>https://www.investopedia.com/ask/answers/063015/what-are-major-laws-acts-regulating-financial-institutions-were-created-response-2008-financial.asp</w:t>
        </w:r>
      </w:hyperlink>
      <w:r w:rsidRPr="00BD7B7F">
        <w:rPr>
          <w:rFonts w:ascii="Times New Roman" w:hAnsi="Times New Roman" w:cs="Times New Roman"/>
          <w:sz w:val="24"/>
          <w:szCs w:val="24"/>
        </w:rPr>
        <w:t>.</w:t>
      </w:r>
    </w:p>
    <w:p w14:paraId="7230A6BC" w14:textId="77777777" w:rsidR="0004211F" w:rsidRPr="00BD7B7F" w:rsidRDefault="0004211F" w:rsidP="00475480">
      <w:pPr>
        <w:pStyle w:val="ListParagraph"/>
        <w:numPr>
          <w:ilvl w:val="0"/>
          <w:numId w:val="2"/>
        </w:numPr>
        <w:spacing w:after="0" w:line="360" w:lineRule="atLeast"/>
        <w:jc w:val="both"/>
        <w:rPr>
          <w:rStyle w:val="Hyperlink"/>
          <w:rFonts w:ascii="Times New Roman" w:hAnsi="Times New Roman" w:cs="Times New Roman"/>
          <w:color w:val="auto"/>
          <w:sz w:val="24"/>
          <w:szCs w:val="24"/>
          <w:u w:val="none"/>
        </w:rPr>
      </w:pPr>
      <w:r w:rsidRPr="00BD7B7F">
        <w:rPr>
          <w:rFonts w:ascii="Times New Roman" w:hAnsi="Times New Roman" w:cs="Times New Roman"/>
          <w:sz w:val="24"/>
          <w:szCs w:val="24"/>
        </w:rPr>
        <w:t xml:space="preserve">The Dodd-Frank Wall Street Reform and Consumer Protection Act. (2010). Retrieved from </w:t>
      </w:r>
      <w:hyperlink r:id="rId33" w:history="1">
        <w:r w:rsidRPr="00BD7B7F">
          <w:rPr>
            <w:rStyle w:val="Hyperlink"/>
            <w:rFonts w:ascii="Times New Roman" w:hAnsi="Times New Roman" w:cs="Times New Roman"/>
            <w:color w:val="auto"/>
            <w:sz w:val="24"/>
            <w:szCs w:val="24"/>
          </w:rPr>
          <w:t>https://www.congress.gov/bill/111th-congress/house-bill/4173</w:t>
        </w:r>
      </w:hyperlink>
    </w:p>
    <w:p w14:paraId="4F79734E" w14:textId="77777777" w:rsidR="0004211F" w:rsidRPr="00BD7B7F" w:rsidRDefault="0004211F" w:rsidP="00D12AA6">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shd w:val="clear" w:color="auto" w:fill="FFFFFF"/>
        </w:rPr>
        <w:t>West, R.C., (2019). </w:t>
      </w:r>
      <w:r w:rsidRPr="00BD7B7F">
        <w:rPr>
          <w:rFonts w:ascii="Times New Roman" w:hAnsi="Times New Roman" w:cs="Times New Roman"/>
          <w:i/>
          <w:iCs/>
          <w:sz w:val="24"/>
          <w:szCs w:val="24"/>
          <w:shd w:val="clear" w:color="auto" w:fill="FFFFFF"/>
        </w:rPr>
        <w:t>Banking reform and the Federal Reserve, 1863-1923</w:t>
      </w:r>
      <w:r w:rsidRPr="00BD7B7F">
        <w:rPr>
          <w:rFonts w:ascii="Times New Roman" w:hAnsi="Times New Roman" w:cs="Times New Roman"/>
          <w:sz w:val="24"/>
          <w:szCs w:val="24"/>
          <w:shd w:val="clear" w:color="auto" w:fill="FFFFFF"/>
        </w:rPr>
        <w:t>. Cornell University Press.</w:t>
      </w:r>
      <w:r w:rsidRPr="00BD7B7F">
        <w:rPr>
          <w:rFonts w:ascii="Times New Roman" w:hAnsi="Times New Roman" w:cs="Times New Roman"/>
          <w:sz w:val="24"/>
          <w:szCs w:val="24"/>
        </w:rPr>
        <w:t xml:space="preserve"> </w:t>
      </w:r>
      <w:hyperlink r:id="rId34" w:history="1">
        <w:r w:rsidRPr="00BD7B7F">
          <w:rPr>
            <w:rStyle w:val="Hyperlink"/>
            <w:rFonts w:ascii="Times New Roman" w:hAnsi="Times New Roman" w:cs="Times New Roman"/>
            <w:color w:val="auto"/>
            <w:sz w:val="24"/>
            <w:szCs w:val="24"/>
            <w:shd w:val="clear" w:color="auto" w:fill="FFFFFF"/>
          </w:rPr>
          <w:t>https://books.google.com/books?hl=en&amp;lr=&amp;id=Z_-tDwAAQBAJ&amp;oi=fnd&amp;pg=PA9&amp;dq=reforms+banking+US&amp;ots=fba0nPQyOX&amp;sig=EQ7SI3CM2HrcXRYwEdo_tXQdbj8</w:t>
        </w:r>
      </w:hyperlink>
    </w:p>
    <w:p w14:paraId="01495EAB" w14:textId="77777777" w:rsidR="0004211F" w:rsidRPr="00BD7B7F" w:rsidRDefault="0004211F" w:rsidP="00D12AA6">
      <w:pPr>
        <w:pStyle w:val="ListParagraph"/>
        <w:numPr>
          <w:ilvl w:val="0"/>
          <w:numId w:val="2"/>
        </w:numPr>
        <w:jc w:val="both"/>
        <w:rPr>
          <w:rFonts w:ascii="Times New Roman" w:hAnsi="Times New Roman" w:cs="Times New Roman"/>
          <w:sz w:val="24"/>
          <w:szCs w:val="24"/>
        </w:rPr>
      </w:pPr>
      <w:r w:rsidRPr="00BD7B7F">
        <w:rPr>
          <w:rFonts w:ascii="Times New Roman" w:hAnsi="Times New Roman" w:cs="Times New Roman"/>
          <w:sz w:val="24"/>
          <w:szCs w:val="24"/>
          <w:shd w:val="clear" w:color="auto" w:fill="FFFFFF"/>
        </w:rPr>
        <w:lastRenderedPageBreak/>
        <w:t>World Bank, (2019). </w:t>
      </w:r>
      <w:r w:rsidRPr="00BD7B7F">
        <w:rPr>
          <w:rFonts w:ascii="Times New Roman" w:hAnsi="Times New Roman" w:cs="Times New Roman"/>
          <w:i/>
          <w:iCs/>
          <w:sz w:val="24"/>
          <w:szCs w:val="24"/>
          <w:shd w:val="clear" w:color="auto" w:fill="FFFFFF"/>
        </w:rPr>
        <w:t>Global financial development report 2019/2020: Bank regulation and supervision a decade after the global financial crisis</w:t>
      </w:r>
      <w:r w:rsidRPr="00BD7B7F">
        <w:rPr>
          <w:rFonts w:ascii="Times New Roman" w:hAnsi="Times New Roman" w:cs="Times New Roman"/>
          <w:sz w:val="24"/>
          <w:szCs w:val="24"/>
          <w:shd w:val="clear" w:color="auto" w:fill="FFFFFF"/>
        </w:rPr>
        <w:t>. The World Bank.</w:t>
      </w:r>
      <w:r w:rsidRPr="00BD7B7F">
        <w:rPr>
          <w:rFonts w:ascii="Times New Roman" w:hAnsi="Times New Roman" w:cs="Times New Roman"/>
          <w:sz w:val="24"/>
          <w:szCs w:val="24"/>
        </w:rPr>
        <w:t xml:space="preserve"> </w:t>
      </w:r>
      <w:hyperlink r:id="rId35" w:history="1">
        <w:r w:rsidRPr="00BD7B7F">
          <w:rPr>
            <w:rStyle w:val="Hyperlink"/>
            <w:rFonts w:ascii="Times New Roman" w:hAnsi="Times New Roman" w:cs="Times New Roman"/>
            <w:color w:val="auto"/>
            <w:sz w:val="24"/>
            <w:szCs w:val="24"/>
            <w:shd w:val="clear" w:color="auto" w:fill="FFFFFF"/>
          </w:rPr>
          <w:t>https://elibrary.worldbank.org/doi/abs/10.1596/978-1-4648-1447-1</w:t>
        </w:r>
      </w:hyperlink>
    </w:p>
    <w:p w14:paraId="76C165BD" w14:textId="77777777" w:rsidR="0004211F" w:rsidRPr="00BD7B7F" w:rsidRDefault="0004211F" w:rsidP="00475480">
      <w:pPr>
        <w:pStyle w:val="ListParagraph"/>
        <w:numPr>
          <w:ilvl w:val="0"/>
          <w:numId w:val="2"/>
        </w:numPr>
        <w:spacing w:after="0" w:line="360" w:lineRule="atLeast"/>
        <w:jc w:val="both"/>
        <w:rPr>
          <w:rFonts w:ascii="Times New Roman" w:hAnsi="Times New Roman" w:cs="Times New Roman"/>
          <w:sz w:val="24"/>
          <w:szCs w:val="24"/>
        </w:rPr>
      </w:pPr>
      <w:r w:rsidRPr="00BD7B7F">
        <w:rPr>
          <w:rFonts w:ascii="Times New Roman" w:hAnsi="Times New Roman" w:cs="Times New Roman"/>
          <w:sz w:val="24"/>
          <w:szCs w:val="24"/>
        </w:rPr>
        <w:t xml:space="preserve">‌www.mondaq.com. (n.d.). An Overview of the Financial Services Act 2010 - Finance and Banking - UK. [online] Available at: </w:t>
      </w:r>
      <w:hyperlink r:id="rId36" w:history="1">
        <w:r w:rsidRPr="00BD7B7F">
          <w:rPr>
            <w:rStyle w:val="Hyperlink"/>
            <w:rFonts w:ascii="Times New Roman" w:hAnsi="Times New Roman" w:cs="Times New Roman"/>
            <w:color w:val="auto"/>
            <w:sz w:val="24"/>
            <w:szCs w:val="24"/>
          </w:rPr>
          <w:t>https://www.mondaq.com/uk/financial-services/101274/an-overview-of-the-financial-services-act-2010</w:t>
        </w:r>
      </w:hyperlink>
      <w:r w:rsidRPr="00BD7B7F">
        <w:rPr>
          <w:rFonts w:ascii="Times New Roman" w:hAnsi="Times New Roman" w:cs="Times New Roman"/>
          <w:sz w:val="24"/>
          <w:szCs w:val="24"/>
        </w:rPr>
        <w:t>.</w:t>
      </w:r>
    </w:p>
    <w:p w14:paraId="04B3B0D9" w14:textId="77777777" w:rsidR="003A3F78" w:rsidRPr="00BD7B7F" w:rsidRDefault="003A3F78" w:rsidP="00002E03">
      <w:pPr>
        <w:pStyle w:val="ListParagraph"/>
        <w:jc w:val="both"/>
        <w:rPr>
          <w:rFonts w:ascii="Times New Roman" w:hAnsi="Times New Roman" w:cs="Times New Roman"/>
          <w:sz w:val="24"/>
          <w:szCs w:val="24"/>
        </w:rPr>
      </w:pPr>
    </w:p>
    <w:p w14:paraId="1076E34D" w14:textId="77777777" w:rsidR="00B22DC7" w:rsidRPr="00BD7B7F" w:rsidRDefault="00B22DC7" w:rsidP="00475480">
      <w:pPr>
        <w:jc w:val="both"/>
        <w:rPr>
          <w:rFonts w:ascii="Times New Roman" w:hAnsi="Times New Roman" w:cs="Times New Roman"/>
          <w:sz w:val="24"/>
          <w:szCs w:val="24"/>
        </w:rPr>
      </w:pPr>
    </w:p>
    <w:sectPr w:rsidR="00B22DC7" w:rsidRPr="00BD7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D4FA7"/>
    <w:multiLevelType w:val="hybridMultilevel"/>
    <w:tmpl w:val="E9AE43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8433F26"/>
    <w:multiLevelType w:val="hybridMultilevel"/>
    <w:tmpl w:val="C2D62B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B527891"/>
    <w:multiLevelType w:val="hybridMultilevel"/>
    <w:tmpl w:val="8CC4E2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5BC00F5"/>
    <w:multiLevelType w:val="hybridMultilevel"/>
    <w:tmpl w:val="E75EA2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E540E98"/>
    <w:multiLevelType w:val="hybridMultilevel"/>
    <w:tmpl w:val="01AA0D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3577369">
    <w:abstractNumId w:val="3"/>
  </w:num>
  <w:num w:numId="2" w16cid:durableId="337195860">
    <w:abstractNumId w:val="2"/>
  </w:num>
  <w:num w:numId="3" w16cid:durableId="2020809047">
    <w:abstractNumId w:val="0"/>
  </w:num>
  <w:num w:numId="4" w16cid:durableId="1067529795">
    <w:abstractNumId w:val="4"/>
  </w:num>
  <w:num w:numId="5" w16cid:durableId="1000499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CA2"/>
    <w:rsid w:val="00002AA9"/>
    <w:rsid w:val="00002E03"/>
    <w:rsid w:val="00003E0C"/>
    <w:rsid w:val="00023B51"/>
    <w:rsid w:val="000248C4"/>
    <w:rsid w:val="00037C54"/>
    <w:rsid w:val="0004211F"/>
    <w:rsid w:val="00050935"/>
    <w:rsid w:val="00072BA2"/>
    <w:rsid w:val="00077A7E"/>
    <w:rsid w:val="000909B8"/>
    <w:rsid w:val="000A0622"/>
    <w:rsid w:val="000A0E91"/>
    <w:rsid w:val="000A4E01"/>
    <w:rsid w:val="000B1669"/>
    <w:rsid w:val="000B27DE"/>
    <w:rsid w:val="000B2B8B"/>
    <w:rsid w:val="000B2C8C"/>
    <w:rsid w:val="000C4365"/>
    <w:rsid w:val="000D22CC"/>
    <w:rsid w:val="000D4B43"/>
    <w:rsid w:val="000E5C60"/>
    <w:rsid w:val="000F31F9"/>
    <w:rsid w:val="000F643A"/>
    <w:rsid w:val="00103FBE"/>
    <w:rsid w:val="00116D76"/>
    <w:rsid w:val="00127B07"/>
    <w:rsid w:val="00152DBF"/>
    <w:rsid w:val="00161D11"/>
    <w:rsid w:val="00174AD1"/>
    <w:rsid w:val="00175F0A"/>
    <w:rsid w:val="00182B16"/>
    <w:rsid w:val="00197E90"/>
    <w:rsid w:val="001B7D8E"/>
    <w:rsid w:val="001C1500"/>
    <w:rsid w:val="001C1A2D"/>
    <w:rsid w:val="001C4A65"/>
    <w:rsid w:val="001D12A9"/>
    <w:rsid w:val="001D2CA9"/>
    <w:rsid w:val="001D784E"/>
    <w:rsid w:val="001E7AD0"/>
    <w:rsid w:val="00200396"/>
    <w:rsid w:val="00215223"/>
    <w:rsid w:val="00222FC0"/>
    <w:rsid w:val="00234048"/>
    <w:rsid w:val="002370CB"/>
    <w:rsid w:val="00260532"/>
    <w:rsid w:val="0028374A"/>
    <w:rsid w:val="00291F47"/>
    <w:rsid w:val="002B0EE2"/>
    <w:rsid w:val="002B1448"/>
    <w:rsid w:val="002B36FE"/>
    <w:rsid w:val="002B4DB9"/>
    <w:rsid w:val="002B7B5E"/>
    <w:rsid w:val="00364C91"/>
    <w:rsid w:val="00377391"/>
    <w:rsid w:val="00381E22"/>
    <w:rsid w:val="003933F7"/>
    <w:rsid w:val="00397C83"/>
    <w:rsid w:val="003A0E0B"/>
    <w:rsid w:val="003A3F78"/>
    <w:rsid w:val="003B461D"/>
    <w:rsid w:val="003C54B9"/>
    <w:rsid w:val="003D0D04"/>
    <w:rsid w:val="003F32C9"/>
    <w:rsid w:val="00402AEB"/>
    <w:rsid w:val="00405A40"/>
    <w:rsid w:val="00425511"/>
    <w:rsid w:val="00434398"/>
    <w:rsid w:val="00440DC1"/>
    <w:rsid w:val="00453833"/>
    <w:rsid w:val="00460225"/>
    <w:rsid w:val="00464A55"/>
    <w:rsid w:val="00475480"/>
    <w:rsid w:val="004771A7"/>
    <w:rsid w:val="0048539C"/>
    <w:rsid w:val="00496D63"/>
    <w:rsid w:val="004A0F54"/>
    <w:rsid w:val="004A12D2"/>
    <w:rsid w:val="004B1DDE"/>
    <w:rsid w:val="004B6011"/>
    <w:rsid w:val="004D2660"/>
    <w:rsid w:val="004E687E"/>
    <w:rsid w:val="004F0707"/>
    <w:rsid w:val="004F6C2E"/>
    <w:rsid w:val="005235C0"/>
    <w:rsid w:val="00527D73"/>
    <w:rsid w:val="00545E9C"/>
    <w:rsid w:val="00553A6D"/>
    <w:rsid w:val="005738DF"/>
    <w:rsid w:val="005743BA"/>
    <w:rsid w:val="0059298B"/>
    <w:rsid w:val="005A2798"/>
    <w:rsid w:val="005B1B5A"/>
    <w:rsid w:val="005C3CA2"/>
    <w:rsid w:val="005C4AEC"/>
    <w:rsid w:val="005C6A7D"/>
    <w:rsid w:val="005C71F2"/>
    <w:rsid w:val="005E096F"/>
    <w:rsid w:val="005E3C7B"/>
    <w:rsid w:val="005F0129"/>
    <w:rsid w:val="005F161F"/>
    <w:rsid w:val="006101F9"/>
    <w:rsid w:val="0062687D"/>
    <w:rsid w:val="006424C4"/>
    <w:rsid w:val="006449FB"/>
    <w:rsid w:val="00664411"/>
    <w:rsid w:val="00667F78"/>
    <w:rsid w:val="0067079A"/>
    <w:rsid w:val="006760BB"/>
    <w:rsid w:val="006B1BBC"/>
    <w:rsid w:val="006C02BC"/>
    <w:rsid w:val="006F2814"/>
    <w:rsid w:val="006F7EA3"/>
    <w:rsid w:val="00704DAA"/>
    <w:rsid w:val="00706E3B"/>
    <w:rsid w:val="00722E2F"/>
    <w:rsid w:val="00733002"/>
    <w:rsid w:val="00734D6D"/>
    <w:rsid w:val="00735EEC"/>
    <w:rsid w:val="00756EF6"/>
    <w:rsid w:val="0075778A"/>
    <w:rsid w:val="00767EBE"/>
    <w:rsid w:val="0078470B"/>
    <w:rsid w:val="00784BD9"/>
    <w:rsid w:val="00791CAE"/>
    <w:rsid w:val="00795B2E"/>
    <w:rsid w:val="007B50EE"/>
    <w:rsid w:val="007B6365"/>
    <w:rsid w:val="007B7BDC"/>
    <w:rsid w:val="007C2668"/>
    <w:rsid w:val="007C29D5"/>
    <w:rsid w:val="008008FE"/>
    <w:rsid w:val="00807335"/>
    <w:rsid w:val="00815D05"/>
    <w:rsid w:val="00817A54"/>
    <w:rsid w:val="0082275A"/>
    <w:rsid w:val="00840E25"/>
    <w:rsid w:val="00864067"/>
    <w:rsid w:val="0086598C"/>
    <w:rsid w:val="00875605"/>
    <w:rsid w:val="00884817"/>
    <w:rsid w:val="00885736"/>
    <w:rsid w:val="00887370"/>
    <w:rsid w:val="00891CC0"/>
    <w:rsid w:val="008B2653"/>
    <w:rsid w:val="008E4C45"/>
    <w:rsid w:val="0091316F"/>
    <w:rsid w:val="00926F1E"/>
    <w:rsid w:val="0093075F"/>
    <w:rsid w:val="0094055B"/>
    <w:rsid w:val="009555B0"/>
    <w:rsid w:val="00993C9E"/>
    <w:rsid w:val="009952B2"/>
    <w:rsid w:val="009A128D"/>
    <w:rsid w:val="009B23F4"/>
    <w:rsid w:val="009E2E3D"/>
    <w:rsid w:val="009E6F56"/>
    <w:rsid w:val="009F52BC"/>
    <w:rsid w:val="00A12D59"/>
    <w:rsid w:val="00A24423"/>
    <w:rsid w:val="00A33F89"/>
    <w:rsid w:val="00A34E1F"/>
    <w:rsid w:val="00A43660"/>
    <w:rsid w:val="00A43C00"/>
    <w:rsid w:val="00A443DC"/>
    <w:rsid w:val="00AA6A95"/>
    <w:rsid w:val="00AB081C"/>
    <w:rsid w:val="00AB64B8"/>
    <w:rsid w:val="00B04D6E"/>
    <w:rsid w:val="00B22DC7"/>
    <w:rsid w:val="00B243C5"/>
    <w:rsid w:val="00B552F0"/>
    <w:rsid w:val="00B6244F"/>
    <w:rsid w:val="00B64215"/>
    <w:rsid w:val="00B65EB8"/>
    <w:rsid w:val="00BA0BF6"/>
    <w:rsid w:val="00BA1DF0"/>
    <w:rsid w:val="00BB586A"/>
    <w:rsid w:val="00BB5936"/>
    <w:rsid w:val="00BC6E5A"/>
    <w:rsid w:val="00BC7618"/>
    <w:rsid w:val="00BD7B7F"/>
    <w:rsid w:val="00C07A01"/>
    <w:rsid w:val="00C173F6"/>
    <w:rsid w:val="00C227E3"/>
    <w:rsid w:val="00C54CAB"/>
    <w:rsid w:val="00C82583"/>
    <w:rsid w:val="00C866C3"/>
    <w:rsid w:val="00C94340"/>
    <w:rsid w:val="00CA15E2"/>
    <w:rsid w:val="00CA5492"/>
    <w:rsid w:val="00CB2B81"/>
    <w:rsid w:val="00CB679B"/>
    <w:rsid w:val="00CD2BFA"/>
    <w:rsid w:val="00D07840"/>
    <w:rsid w:val="00D12AA6"/>
    <w:rsid w:val="00D169BE"/>
    <w:rsid w:val="00D350B7"/>
    <w:rsid w:val="00D4246F"/>
    <w:rsid w:val="00D77B3C"/>
    <w:rsid w:val="00DA0ADB"/>
    <w:rsid w:val="00DB06EE"/>
    <w:rsid w:val="00DB4653"/>
    <w:rsid w:val="00DB4742"/>
    <w:rsid w:val="00DC1767"/>
    <w:rsid w:val="00DD2CC4"/>
    <w:rsid w:val="00DE7736"/>
    <w:rsid w:val="00E0253C"/>
    <w:rsid w:val="00E167DD"/>
    <w:rsid w:val="00E2089C"/>
    <w:rsid w:val="00E22ED2"/>
    <w:rsid w:val="00E25E14"/>
    <w:rsid w:val="00E35EDE"/>
    <w:rsid w:val="00E45BFC"/>
    <w:rsid w:val="00E46DED"/>
    <w:rsid w:val="00E648FD"/>
    <w:rsid w:val="00E67C2D"/>
    <w:rsid w:val="00E76E06"/>
    <w:rsid w:val="00E77AF0"/>
    <w:rsid w:val="00EA58D7"/>
    <w:rsid w:val="00EC6DBA"/>
    <w:rsid w:val="00ED18B3"/>
    <w:rsid w:val="00ED2812"/>
    <w:rsid w:val="00EF15A9"/>
    <w:rsid w:val="00EF2AE4"/>
    <w:rsid w:val="00F02DDF"/>
    <w:rsid w:val="00F15D88"/>
    <w:rsid w:val="00F17B14"/>
    <w:rsid w:val="00F270C0"/>
    <w:rsid w:val="00F336EC"/>
    <w:rsid w:val="00F508DC"/>
    <w:rsid w:val="00F623D0"/>
    <w:rsid w:val="00F63D9D"/>
    <w:rsid w:val="00F65098"/>
    <w:rsid w:val="00F95D95"/>
    <w:rsid w:val="00FB6E31"/>
    <w:rsid w:val="00FC668D"/>
    <w:rsid w:val="00FE30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A1A18"/>
  <w15:chartTrackingRefBased/>
  <w15:docId w15:val="{9C2C82C1-C3F0-4E3D-85AD-15D635CFB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35C0"/>
    <w:rPr>
      <w:color w:val="0563C1" w:themeColor="hyperlink"/>
      <w:u w:val="single"/>
    </w:rPr>
  </w:style>
  <w:style w:type="character" w:customStyle="1" w:styleId="UnresolvedMention1">
    <w:name w:val="Unresolved Mention1"/>
    <w:basedOn w:val="DefaultParagraphFont"/>
    <w:uiPriority w:val="99"/>
    <w:semiHidden/>
    <w:unhideWhenUsed/>
    <w:rsid w:val="005235C0"/>
    <w:rPr>
      <w:color w:val="605E5C"/>
      <w:shd w:val="clear" w:color="auto" w:fill="E1DFDD"/>
    </w:rPr>
  </w:style>
  <w:style w:type="paragraph" w:styleId="ListParagraph">
    <w:name w:val="List Paragraph"/>
    <w:basedOn w:val="Normal"/>
    <w:uiPriority w:val="34"/>
    <w:qFormat/>
    <w:rsid w:val="00381E22"/>
    <w:pPr>
      <w:ind w:left="720"/>
      <w:contextualSpacing/>
    </w:pPr>
  </w:style>
  <w:style w:type="paragraph" w:styleId="NoSpacing">
    <w:name w:val="No Spacing"/>
    <w:uiPriority w:val="1"/>
    <w:qFormat/>
    <w:rsid w:val="00FC668D"/>
    <w:pPr>
      <w:spacing w:after="0" w:line="240" w:lineRule="auto"/>
    </w:pPr>
  </w:style>
  <w:style w:type="paragraph" w:styleId="Bibliography">
    <w:name w:val="Bibliography"/>
    <w:basedOn w:val="Normal"/>
    <w:next w:val="Normal"/>
    <w:uiPriority w:val="37"/>
    <w:unhideWhenUsed/>
    <w:rsid w:val="001C1A2D"/>
    <w:pPr>
      <w:spacing w:after="240" w:line="240" w:lineRule="auto"/>
    </w:pPr>
  </w:style>
  <w:style w:type="paragraph" w:styleId="NormalWeb">
    <w:name w:val="Normal (Web)"/>
    <w:basedOn w:val="Normal"/>
    <w:uiPriority w:val="99"/>
    <w:semiHidden/>
    <w:unhideWhenUsed/>
    <w:rsid w:val="00260532"/>
    <w:pPr>
      <w:spacing w:before="100" w:beforeAutospacing="1" w:after="100" w:afterAutospacing="1" w:line="240" w:lineRule="auto"/>
    </w:pPr>
    <w:rPr>
      <w:rFonts w:ascii="Times New Roman" w:eastAsiaTheme="minorEastAsia" w:hAnsi="Times New Roman" w:cs="Times New Roman"/>
      <w:sz w:val="24"/>
      <w:szCs w:val="24"/>
      <w:lang w:eastAsia="en-IN"/>
    </w:rPr>
  </w:style>
  <w:style w:type="character" w:styleId="Emphasis">
    <w:name w:val="Emphasis"/>
    <w:basedOn w:val="DefaultParagraphFont"/>
    <w:uiPriority w:val="20"/>
    <w:qFormat/>
    <w:rsid w:val="001D12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59178">
      <w:bodyDiv w:val="1"/>
      <w:marLeft w:val="0"/>
      <w:marRight w:val="0"/>
      <w:marTop w:val="0"/>
      <w:marBottom w:val="0"/>
      <w:divBdr>
        <w:top w:val="none" w:sz="0" w:space="0" w:color="auto"/>
        <w:left w:val="none" w:sz="0" w:space="0" w:color="auto"/>
        <w:bottom w:val="none" w:sz="0" w:space="0" w:color="auto"/>
        <w:right w:val="none" w:sz="0" w:space="0" w:color="auto"/>
      </w:divBdr>
    </w:div>
    <w:div w:id="95104029">
      <w:bodyDiv w:val="1"/>
      <w:marLeft w:val="0"/>
      <w:marRight w:val="0"/>
      <w:marTop w:val="0"/>
      <w:marBottom w:val="0"/>
      <w:divBdr>
        <w:top w:val="none" w:sz="0" w:space="0" w:color="auto"/>
        <w:left w:val="none" w:sz="0" w:space="0" w:color="auto"/>
        <w:bottom w:val="none" w:sz="0" w:space="0" w:color="auto"/>
        <w:right w:val="none" w:sz="0" w:space="0" w:color="auto"/>
      </w:divBdr>
    </w:div>
    <w:div w:id="98379232">
      <w:bodyDiv w:val="1"/>
      <w:marLeft w:val="0"/>
      <w:marRight w:val="0"/>
      <w:marTop w:val="0"/>
      <w:marBottom w:val="0"/>
      <w:divBdr>
        <w:top w:val="none" w:sz="0" w:space="0" w:color="auto"/>
        <w:left w:val="none" w:sz="0" w:space="0" w:color="auto"/>
        <w:bottom w:val="none" w:sz="0" w:space="0" w:color="auto"/>
        <w:right w:val="none" w:sz="0" w:space="0" w:color="auto"/>
      </w:divBdr>
    </w:div>
    <w:div w:id="346180097">
      <w:bodyDiv w:val="1"/>
      <w:marLeft w:val="0"/>
      <w:marRight w:val="0"/>
      <w:marTop w:val="0"/>
      <w:marBottom w:val="0"/>
      <w:divBdr>
        <w:top w:val="none" w:sz="0" w:space="0" w:color="auto"/>
        <w:left w:val="none" w:sz="0" w:space="0" w:color="auto"/>
        <w:bottom w:val="none" w:sz="0" w:space="0" w:color="auto"/>
        <w:right w:val="none" w:sz="0" w:space="0" w:color="auto"/>
      </w:divBdr>
    </w:div>
    <w:div w:id="439884912">
      <w:bodyDiv w:val="1"/>
      <w:marLeft w:val="0"/>
      <w:marRight w:val="0"/>
      <w:marTop w:val="0"/>
      <w:marBottom w:val="0"/>
      <w:divBdr>
        <w:top w:val="none" w:sz="0" w:space="0" w:color="auto"/>
        <w:left w:val="none" w:sz="0" w:space="0" w:color="auto"/>
        <w:bottom w:val="none" w:sz="0" w:space="0" w:color="auto"/>
        <w:right w:val="none" w:sz="0" w:space="0" w:color="auto"/>
      </w:divBdr>
    </w:div>
    <w:div w:id="458381737">
      <w:bodyDiv w:val="1"/>
      <w:marLeft w:val="0"/>
      <w:marRight w:val="0"/>
      <w:marTop w:val="0"/>
      <w:marBottom w:val="0"/>
      <w:divBdr>
        <w:top w:val="none" w:sz="0" w:space="0" w:color="auto"/>
        <w:left w:val="none" w:sz="0" w:space="0" w:color="auto"/>
        <w:bottom w:val="none" w:sz="0" w:space="0" w:color="auto"/>
        <w:right w:val="none" w:sz="0" w:space="0" w:color="auto"/>
      </w:divBdr>
    </w:div>
    <w:div w:id="586153986">
      <w:bodyDiv w:val="1"/>
      <w:marLeft w:val="0"/>
      <w:marRight w:val="0"/>
      <w:marTop w:val="0"/>
      <w:marBottom w:val="0"/>
      <w:divBdr>
        <w:top w:val="none" w:sz="0" w:space="0" w:color="auto"/>
        <w:left w:val="none" w:sz="0" w:space="0" w:color="auto"/>
        <w:bottom w:val="none" w:sz="0" w:space="0" w:color="auto"/>
        <w:right w:val="none" w:sz="0" w:space="0" w:color="auto"/>
      </w:divBdr>
    </w:div>
    <w:div w:id="810169726">
      <w:bodyDiv w:val="1"/>
      <w:marLeft w:val="0"/>
      <w:marRight w:val="0"/>
      <w:marTop w:val="0"/>
      <w:marBottom w:val="0"/>
      <w:divBdr>
        <w:top w:val="none" w:sz="0" w:space="0" w:color="auto"/>
        <w:left w:val="none" w:sz="0" w:space="0" w:color="auto"/>
        <w:bottom w:val="none" w:sz="0" w:space="0" w:color="auto"/>
        <w:right w:val="none" w:sz="0" w:space="0" w:color="auto"/>
      </w:divBdr>
      <w:divsChild>
        <w:div w:id="833839332">
          <w:marLeft w:val="0"/>
          <w:marRight w:val="0"/>
          <w:marTop w:val="0"/>
          <w:marBottom w:val="0"/>
          <w:divBdr>
            <w:top w:val="none" w:sz="0" w:space="0" w:color="auto"/>
            <w:left w:val="none" w:sz="0" w:space="0" w:color="auto"/>
            <w:bottom w:val="none" w:sz="0" w:space="0" w:color="auto"/>
            <w:right w:val="none" w:sz="0" w:space="0" w:color="auto"/>
          </w:divBdr>
        </w:div>
      </w:divsChild>
    </w:div>
    <w:div w:id="1019936932">
      <w:bodyDiv w:val="1"/>
      <w:marLeft w:val="0"/>
      <w:marRight w:val="0"/>
      <w:marTop w:val="0"/>
      <w:marBottom w:val="0"/>
      <w:divBdr>
        <w:top w:val="none" w:sz="0" w:space="0" w:color="auto"/>
        <w:left w:val="none" w:sz="0" w:space="0" w:color="auto"/>
        <w:bottom w:val="none" w:sz="0" w:space="0" w:color="auto"/>
        <w:right w:val="none" w:sz="0" w:space="0" w:color="auto"/>
      </w:divBdr>
    </w:div>
    <w:div w:id="1094589900">
      <w:bodyDiv w:val="1"/>
      <w:marLeft w:val="0"/>
      <w:marRight w:val="0"/>
      <w:marTop w:val="0"/>
      <w:marBottom w:val="0"/>
      <w:divBdr>
        <w:top w:val="none" w:sz="0" w:space="0" w:color="auto"/>
        <w:left w:val="none" w:sz="0" w:space="0" w:color="auto"/>
        <w:bottom w:val="none" w:sz="0" w:space="0" w:color="auto"/>
        <w:right w:val="none" w:sz="0" w:space="0" w:color="auto"/>
      </w:divBdr>
    </w:div>
    <w:div w:id="1121415551">
      <w:bodyDiv w:val="1"/>
      <w:marLeft w:val="0"/>
      <w:marRight w:val="0"/>
      <w:marTop w:val="0"/>
      <w:marBottom w:val="0"/>
      <w:divBdr>
        <w:top w:val="none" w:sz="0" w:space="0" w:color="auto"/>
        <w:left w:val="none" w:sz="0" w:space="0" w:color="auto"/>
        <w:bottom w:val="none" w:sz="0" w:space="0" w:color="auto"/>
        <w:right w:val="none" w:sz="0" w:space="0" w:color="auto"/>
      </w:divBdr>
    </w:div>
    <w:div w:id="1239290917">
      <w:bodyDiv w:val="1"/>
      <w:marLeft w:val="0"/>
      <w:marRight w:val="0"/>
      <w:marTop w:val="0"/>
      <w:marBottom w:val="0"/>
      <w:divBdr>
        <w:top w:val="none" w:sz="0" w:space="0" w:color="auto"/>
        <w:left w:val="none" w:sz="0" w:space="0" w:color="auto"/>
        <w:bottom w:val="none" w:sz="0" w:space="0" w:color="auto"/>
        <w:right w:val="none" w:sz="0" w:space="0" w:color="auto"/>
      </w:divBdr>
    </w:div>
    <w:div w:id="1282955067">
      <w:bodyDiv w:val="1"/>
      <w:marLeft w:val="0"/>
      <w:marRight w:val="0"/>
      <w:marTop w:val="0"/>
      <w:marBottom w:val="0"/>
      <w:divBdr>
        <w:top w:val="none" w:sz="0" w:space="0" w:color="auto"/>
        <w:left w:val="none" w:sz="0" w:space="0" w:color="auto"/>
        <w:bottom w:val="none" w:sz="0" w:space="0" w:color="auto"/>
        <w:right w:val="none" w:sz="0" w:space="0" w:color="auto"/>
      </w:divBdr>
    </w:div>
    <w:div w:id="1309935860">
      <w:bodyDiv w:val="1"/>
      <w:marLeft w:val="0"/>
      <w:marRight w:val="0"/>
      <w:marTop w:val="0"/>
      <w:marBottom w:val="0"/>
      <w:divBdr>
        <w:top w:val="none" w:sz="0" w:space="0" w:color="auto"/>
        <w:left w:val="none" w:sz="0" w:space="0" w:color="auto"/>
        <w:bottom w:val="none" w:sz="0" w:space="0" w:color="auto"/>
        <w:right w:val="none" w:sz="0" w:space="0" w:color="auto"/>
      </w:divBdr>
      <w:divsChild>
        <w:div w:id="613053537">
          <w:marLeft w:val="0"/>
          <w:marRight w:val="0"/>
          <w:marTop w:val="0"/>
          <w:marBottom w:val="0"/>
          <w:divBdr>
            <w:top w:val="none" w:sz="0" w:space="0" w:color="auto"/>
            <w:left w:val="none" w:sz="0" w:space="0" w:color="auto"/>
            <w:bottom w:val="none" w:sz="0" w:space="0" w:color="auto"/>
            <w:right w:val="none" w:sz="0" w:space="0" w:color="auto"/>
          </w:divBdr>
        </w:div>
      </w:divsChild>
    </w:div>
    <w:div w:id="1349408261">
      <w:bodyDiv w:val="1"/>
      <w:marLeft w:val="0"/>
      <w:marRight w:val="0"/>
      <w:marTop w:val="0"/>
      <w:marBottom w:val="0"/>
      <w:divBdr>
        <w:top w:val="none" w:sz="0" w:space="0" w:color="auto"/>
        <w:left w:val="none" w:sz="0" w:space="0" w:color="auto"/>
        <w:bottom w:val="none" w:sz="0" w:space="0" w:color="auto"/>
        <w:right w:val="none" w:sz="0" w:space="0" w:color="auto"/>
      </w:divBdr>
    </w:div>
    <w:div w:id="1350568649">
      <w:bodyDiv w:val="1"/>
      <w:marLeft w:val="0"/>
      <w:marRight w:val="0"/>
      <w:marTop w:val="0"/>
      <w:marBottom w:val="0"/>
      <w:divBdr>
        <w:top w:val="none" w:sz="0" w:space="0" w:color="auto"/>
        <w:left w:val="none" w:sz="0" w:space="0" w:color="auto"/>
        <w:bottom w:val="none" w:sz="0" w:space="0" w:color="auto"/>
        <w:right w:val="none" w:sz="0" w:space="0" w:color="auto"/>
      </w:divBdr>
    </w:div>
    <w:div w:id="214192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who-we-are/our-history/" TargetMode="External"/><Relationship Id="rId18" Type="http://schemas.openxmlformats.org/officeDocument/2006/relationships/hyperlink" Target="https://www.cashfloat.co.uk/blog/money-saving/history-barclays-bank/" TargetMode="External"/><Relationship Id="rId26" Type="http://schemas.openxmlformats.org/officeDocument/2006/relationships/hyperlink" Target="https://www.cambridge.org/core/journals/business-and-politics/article/banks-power-and-political-institutions-the-divergent-priorities-of-european-states-towards-toobigtofail-banks-the-cases-of-competition-in-retail-banking-and-the-banking-structural-reform/8B030C0A9169935B0199C24428C2DE3F" TargetMode="External"/><Relationship Id="rId21" Type="http://schemas.openxmlformats.org/officeDocument/2006/relationships/hyperlink" Target="http://www.legislation.gov.uk/ukpga/2010/15/contents/enacted" TargetMode="External"/><Relationship Id="rId34" Type="http://schemas.openxmlformats.org/officeDocument/2006/relationships/hyperlink" Target="https://books.google.com/books?hl=en&amp;lr=&amp;id=Z_-tDwAAQBAJ&amp;oi=fnd&amp;pg=PA9&amp;dq=reforms+banking+US&amp;ots=fba0nPQyOX&amp;sig=EQ7SI3CM2HrcXRYwEdo_tXQdbj8" TargetMode="External"/><Relationship Id="rId7" Type="http://schemas.openxmlformats.org/officeDocument/2006/relationships/image" Target="media/image2.png"/><Relationship Id="rId12" Type="http://schemas.openxmlformats.org/officeDocument/2006/relationships/hyperlink" Target="http://www.legislation.gov.uk/ukpga/2009/1/contents/enacted" TargetMode="External"/><Relationship Id="rId17" Type="http://schemas.openxmlformats.org/officeDocument/2006/relationships/hyperlink" Target="https://eur-lex.europa.eu/legal-content/EN/TXT/?uri=CELEX%3A32013L0036" TargetMode="External"/><Relationship Id="rId25" Type="http://schemas.openxmlformats.org/officeDocument/2006/relationships/hyperlink" Target="https://corporatefinanceinstitute.com/resources/economics/2008-2009-global-financial-crisis/" TargetMode="External"/><Relationship Id="rId33" Type="http://schemas.openxmlformats.org/officeDocument/2006/relationships/hyperlink" Target="https://www.congress.gov/bill/111th-congress/house-bill/4173"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vestopedia.com/terms/g/great-recession.asp" TargetMode="External"/><Relationship Id="rId20" Type="http://schemas.openxmlformats.org/officeDocument/2006/relationships/hyperlink" Target="http://www.legislation.gov.uk/ukpga/2013/33/contents/enacted" TargetMode="External"/><Relationship Id="rId29" Type="http://schemas.openxmlformats.org/officeDocument/2006/relationships/hyperlink" Target="https://link.springer.com/chapter/10.1007/978-3-030-03415-3_5"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ciencedirect.com/science/article/pii/S0890838919300964" TargetMode="External"/><Relationship Id="rId24" Type="http://schemas.openxmlformats.org/officeDocument/2006/relationships/hyperlink" Target="https://link.springer.com/article/10.1057/s41308-020-00107-3" TargetMode="External"/><Relationship Id="rId32" Type="http://schemas.openxmlformats.org/officeDocument/2006/relationships/hyperlink" Target="https://www.investopedia.com/ask/answers/063015/what-are-major-laws-acts-regulating-financial-institutions-were-created-response-2008-financial.asp"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154461231830391X" TargetMode="External"/><Relationship Id="rId23" Type="http://schemas.openxmlformats.org/officeDocument/2006/relationships/hyperlink" Target="https://www.sciencedirect.com/science/article/pii/S0304387818304292" TargetMode="External"/><Relationship Id="rId28" Type="http://schemas.openxmlformats.org/officeDocument/2006/relationships/hyperlink" Target="https://bigeconomics.org/the-countries-most-and-least-affected-by-the-2008-financial-crisis/" TargetMode="External"/><Relationship Id="rId36" Type="http://schemas.openxmlformats.org/officeDocument/2006/relationships/hyperlink" Target="https://www.mondaq.com/uk/financial-services/101274/an-overview-of-the-financial-services-act-2010" TargetMode="External"/><Relationship Id="rId10" Type="http://schemas.openxmlformats.org/officeDocument/2006/relationships/hyperlink" Target="https://www.sciencedirect.com/science/article/pii/S0148296319304072" TargetMode="External"/><Relationship Id="rId19" Type="http://schemas.openxmlformats.org/officeDocument/2006/relationships/hyperlink" Target="https://www.congress.gov/111/plaws/publ203/PLAW-111publ203.pdf" TargetMode="External"/><Relationship Id="rId31" Type="http://schemas.openxmlformats.org/officeDocument/2006/relationships/hyperlink" Target="https://www.thestreet.com/dictionary/f/financial-crisis-2007-2008"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www.britannica.com/topic/Barclays-PLC" TargetMode="External"/><Relationship Id="rId22" Type="http://schemas.openxmlformats.org/officeDocument/2006/relationships/hyperlink" Target="https://www.fsb.org/work-of-the-fsb/market-and-institutional-resilience/post-2008-financial-crisis-reforms/" TargetMode="External"/><Relationship Id="rId27" Type="http://schemas.openxmlformats.org/officeDocument/2006/relationships/hyperlink" Target="https://www.sciencedirect.com/science/article/pii/S0161893820300867" TargetMode="External"/><Relationship Id="rId30" Type="http://schemas.openxmlformats.org/officeDocument/2006/relationships/hyperlink" Target="https://www.britannica.com/topic/recession" TargetMode="External"/><Relationship Id="rId35" Type="http://schemas.openxmlformats.org/officeDocument/2006/relationships/hyperlink" Target="https://elibrary.worldbank.org/doi/abs/10.1596/978-1-4648-1447-1" TargetMode="External"/><Relationship Id="rId8" Type="http://schemas.openxmlformats.org/officeDocument/2006/relationships/image" Target="media/image3.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34A62-8EA0-4213-8F75-F0E56FC29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17</Pages>
  <Words>6254</Words>
  <Characters>35650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8</cp:revision>
  <dcterms:created xsi:type="dcterms:W3CDTF">2023-05-02T15:38:00Z</dcterms:created>
  <dcterms:modified xsi:type="dcterms:W3CDTF">2023-05-02T16:31:00Z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id="ol3xEmEi"/&gt;&lt;style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