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40"/>
        <w:ind w:right="0" w:left="0" w:firstLine="0"/>
        <w:jc w:val="right"/>
        <w:rPr>
          <w:rFonts w:ascii="Arial" w:hAnsi="Arial" w:cs="Arial" w:eastAsia="Arial"/>
          <w:b/>
          <w:color w:val="auto"/>
          <w:spacing w:val="0"/>
          <w:position w:val="0"/>
          <w:sz w:val="28"/>
          <w:shd w:fill="auto" w:val="clear"/>
        </w:rPr>
      </w:pPr>
      <w:r>
        <w:object w:dxaOrig="3420" w:dyaOrig="1368">
          <v:rect xmlns:o="urn:schemas-microsoft-com:office:office" xmlns:v="urn:schemas-microsoft-com:vml" id="rectole0000000000" style="width:171.000000pt;height:68.4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r>
        <w:rPr>
          <w:rFonts w:ascii="Arial" w:hAnsi="Arial" w:cs="Arial" w:eastAsia="Arial"/>
          <w:color w:val="auto"/>
          <w:spacing w:val="0"/>
          <w:position w:val="0"/>
          <w:sz w:val="20"/>
          <w:shd w:fill="auto" w:val="clear"/>
        </w:rPr>
        <w:t xml:space="preserve"> </w:t>
        <w:br/>
      </w:r>
    </w:p>
    <w:p>
      <w:pPr>
        <w:spacing w:before="0" w:after="0" w:line="240"/>
        <w:ind w:right="0" w:left="0" w:firstLine="0"/>
        <w:jc w:val="left"/>
        <w:rPr>
          <w:rFonts w:ascii="Arial" w:hAnsi="Arial" w:cs="Arial" w:eastAsia="Arial"/>
          <w:color w:val="auto"/>
          <w:spacing w:val="0"/>
          <w:position w:val="0"/>
          <w:sz w:val="20"/>
          <w:shd w:fill="auto" w:val="clear"/>
        </w:rPr>
      </w:pPr>
    </w:p>
    <w:tbl>
      <w:tblPr>
        <w:tblInd w:w="392" w:type="dxa"/>
      </w:tblPr>
      <w:tblGrid>
        <w:gridCol w:w="8850"/>
      </w:tblGrid>
      <w:tr>
        <w:trPr>
          <w:trHeight w:val="1" w:hRule="atLeast"/>
          <w:jc w:val="left"/>
        </w:trPr>
        <w:tc>
          <w:tcPr>
            <w:tcW w:w="8850" w:type="dxa"/>
            <w:tcBorders>
              <w:top w:val="single" w:color="000000" w:sz="4"/>
              <w:left w:val="single" w:color="000000" w:sz="4"/>
              <w:bottom w:val="single" w:color="000000" w:sz="4"/>
              <w:right w:val="single" w:color="000000" w:sz="4"/>
            </w:tcBorders>
            <w:shd w:color="auto" w:fill="c0c0c0" w:val="clear"/>
            <w:tcMar>
              <w:left w:w="108" w:type="dxa"/>
              <w:right w:w="108" w:type="dxa"/>
            </w:tcMar>
            <w:vAlign w:val="top"/>
          </w:tcPr>
          <w:p>
            <w:pPr>
              <w:keepNext w:val="true"/>
              <w:spacing w:before="120" w:after="120" w:line="240"/>
              <w:ind w:right="0" w:left="0" w:firstLine="0"/>
              <w:jc w:val="center"/>
              <w:rPr>
                <w:color w:val="auto"/>
                <w:spacing w:val="0"/>
                <w:position w:val="0"/>
                <w:shd w:fill="auto" w:val="clear"/>
              </w:rPr>
            </w:pPr>
            <w:r>
              <w:rPr>
                <w:rFonts w:ascii="Arial" w:hAnsi="Arial" w:cs="Arial" w:eastAsia="Arial"/>
                <w:b/>
                <w:color w:val="auto"/>
                <w:spacing w:val="0"/>
                <w:position w:val="0"/>
                <w:sz w:val="40"/>
                <w:shd w:fill="auto" w:val="clear"/>
              </w:rPr>
              <w:t xml:space="preserve">LEVEL 4 ASSESSMENT SPECIFICATION </w:t>
            </w:r>
          </w:p>
        </w:tc>
      </w:tr>
    </w:tbl>
    <w:p>
      <w:pPr>
        <w:spacing w:before="0" w:after="0" w:line="240"/>
        <w:ind w:right="0" w:left="0" w:firstLine="0"/>
        <w:jc w:val="center"/>
        <w:rPr>
          <w:rFonts w:ascii="Arial" w:hAnsi="Arial" w:cs="Arial" w:eastAsia="Arial"/>
          <w:b/>
          <w:i/>
          <w:color w:val="auto"/>
          <w:spacing w:val="0"/>
          <w:position w:val="0"/>
          <w:sz w:val="32"/>
          <w:shd w:fill="auto" w:val="clear"/>
        </w:rPr>
      </w:pPr>
    </w:p>
    <w:tbl>
      <w:tblPr>
        <w:tblInd w:w="392" w:type="dxa"/>
      </w:tblPr>
      <w:tblGrid>
        <w:gridCol w:w="2093"/>
        <w:gridCol w:w="3293"/>
        <w:gridCol w:w="2268"/>
        <w:gridCol w:w="2268"/>
      </w:tblGrid>
      <w:tr>
        <w:trPr>
          <w:trHeight w:val="1" w:hRule="atLeast"/>
          <w:jc w:val="left"/>
        </w:trPr>
        <w:tc>
          <w:tcPr>
            <w:tcW w:w="209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Student name:</w:t>
            </w:r>
          </w:p>
        </w:tc>
        <w:tc>
          <w:tcPr>
            <w:tcW w:w="329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     </w:t>
            </w:r>
            <w:r>
              <w:rPr>
                <w:rFonts w:ascii="Arial" w:hAnsi="Arial" w:cs="Arial" w:eastAsia="Arial"/>
                <w:b/>
                <w:color w:val="auto"/>
                <w:spacing w:val="0"/>
                <w:position w:val="0"/>
                <w:sz w:val="22"/>
                <w:shd w:fill="auto" w:val="clear"/>
              </w:rPr>
              <w:t xml:space="preserve">Yoana Stancheva </w:t>
            </w:r>
          </w:p>
        </w:tc>
        <w:tc>
          <w:tcPr>
            <w:tcW w:w="2268"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Student ID number:</w:t>
            </w:r>
          </w:p>
        </w:tc>
        <w:tc>
          <w:tcPr>
            <w:tcW w:w="226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2225354</w:t>
            </w:r>
          </w:p>
        </w:tc>
      </w:tr>
      <w:tr>
        <w:trPr>
          <w:trHeight w:val="1" w:hRule="atLeast"/>
          <w:jc w:val="left"/>
        </w:trPr>
        <w:tc>
          <w:tcPr>
            <w:tcW w:w="209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Programme:</w:t>
            </w:r>
          </w:p>
        </w:tc>
        <w:tc>
          <w:tcPr>
            <w:tcW w:w="7829"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CertHE Law and Legal Practice, Professional Policing</w:t>
            </w:r>
          </w:p>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BSc Professional Policing </w:t>
            </w:r>
          </w:p>
        </w:tc>
      </w:tr>
      <w:tr>
        <w:trPr>
          <w:trHeight w:val="1" w:hRule="atLeast"/>
          <w:jc w:val="left"/>
        </w:trPr>
        <w:tc>
          <w:tcPr>
            <w:tcW w:w="209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Module:</w:t>
            </w:r>
          </w:p>
        </w:tc>
        <w:tc>
          <w:tcPr>
            <w:tcW w:w="7829" w:type="dxa"/>
            <w:gridSpan w:val="3"/>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Legal Process</w:t>
            </w:r>
          </w:p>
        </w:tc>
      </w:tr>
      <w:tr>
        <w:trPr>
          <w:trHeight w:val="1" w:hRule="atLeast"/>
          <w:jc w:val="left"/>
        </w:trPr>
        <w:tc>
          <w:tcPr>
            <w:tcW w:w="209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Module code:</w:t>
            </w:r>
          </w:p>
        </w:tc>
        <w:tc>
          <w:tcPr>
            <w:tcW w:w="329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BMPL4005, BMLW4006</w:t>
            </w:r>
          </w:p>
        </w:tc>
        <w:tc>
          <w:tcPr>
            <w:tcW w:w="2268"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keepNext w:val="true"/>
              <w:spacing w:before="0" w:after="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Contribution to Overall Module Assessment (%):</w:t>
            </w:r>
          </w:p>
        </w:tc>
        <w:tc>
          <w:tcPr>
            <w:tcW w:w="226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50%</w:t>
            </w:r>
          </w:p>
        </w:tc>
      </w:tr>
      <w:tr>
        <w:trPr>
          <w:trHeight w:val="1" w:hRule="atLeast"/>
          <w:jc w:val="left"/>
        </w:trPr>
        <w:tc>
          <w:tcPr>
            <w:tcW w:w="209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Lecturer:</w:t>
            </w:r>
          </w:p>
        </w:tc>
        <w:tc>
          <w:tcPr>
            <w:tcW w:w="329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Zita Draper and Sian Turvey</w:t>
            </w:r>
          </w:p>
        </w:tc>
        <w:tc>
          <w:tcPr>
            <w:tcW w:w="2268"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Internal Verifier:</w:t>
            </w:r>
          </w:p>
        </w:tc>
        <w:tc>
          <w:tcPr>
            <w:tcW w:w="226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Sian Turvey and Zita Draper </w:t>
            </w:r>
          </w:p>
        </w:tc>
      </w:tr>
      <w:tr>
        <w:trPr>
          <w:trHeight w:val="1" w:hRule="atLeast"/>
          <w:jc w:val="left"/>
        </w:trPr>
        <w:tc>
          <w:tcPr>
            <w:tcW w:w="209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Assignment Title:</w:t>
            </w:r>
          </w:p>
        </w:tc>
        <w:tc>
          <w:tcPr>
            <w:tcW w:w="329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The Magistracy</w:t>
            </w:r>
          </w:p>
        </w:tc>
        <w:tc>
          <w:tcPr>
            <w:tcW w:w="2268"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Word count (or equivalent):</w:t>
            </w:r>
          </w:p>
        </w:tc>
        <w:tc>
          <w:tcPr>
            <w:tcW w:w="226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1500</w:t>
            </w:r>
          </w:p>
        </w:tc>
      </w:tr>
    </w:tbl>
    <w:p>
      <w:pPr>
        <w:spacing w:before="0" w:after="0" w:line="240"/>
        <w:ind w:right="0" w:left="0" w:firstLine="0"/>
        <w:jc w:val="left"/>
        <w:rPr>
          <w:rFonts w:ascii="Arial" w:hAnsi="Arial" w:cs="Arial" w:eastAsia="Arial"/>
          <w:b/>
          <w:color w:val="auto"/>
          <w:spacing w:val="0"/>
          <w:position w:val="0"/>
          <w:sz w:val="20"/>
          <w:shd w:fill="auto" w:val="clear"/>
        </w:rPr>
      </w:pPr>
    </w:p>
    <w:p>
      <w:pPr>
        <w:spacing w:before="0" w:after="0" w:line="240"/>
        <w:ind w:right="0" w:left="0" w:firstLine="0"/>
        <w:jc w:val="left"/>
        <w:rPr>
          <w:rFonts w:ascii="Arial" w:hAnsi="Arial" w:cs="Arial" w:eastAsia="Arial"/>
          <w:b/>
          <w:color w:val="auto"/>
          <w:spacing w:val="0"/>
          <w:position w:val="0"/>
          <w:sz w:val="20"/>
          <w:shd w:fill="auto" w:val="clear"/>
        </w:rPr>
      </w:pPr>
    </w:p>
    <w:p>
      <w:pPr>
        <w:spacing w:before="0" w:after="0" w:line="240"/>
        <w:ind w:right="0" w:left="0" w:firstLine="0"/>
        <w:jc w:val="left"/>
        <w:rPr>
          <w:rFonts w:ascii="Arial" w:hAnsi="Arial" w:cs="Arial" w:eastAsia="Arial"/>
          <w:b/>
          <w:color w:val="auto"/>
          <w:spacing w:val="0"/>
          <w:position w:val="0"/>
          <w:sz w:val="20"/>
          <w:shd w:fill="auto" w:val="clear"/>
        </w:rPr>
      </w:pPr>
    </w:p>
    <w:tbl>
      <w:tblPr>
        <w:tblInd w:w="392" w:type="dxa"/>
      </w:tblPr>
      <w:tblGrid>
        <w:gridCol w:w="8850"/>
      </w:tblGrid>
      <w:tr>
        <w:trPr>
          <w:trHeight w:val="1" w:hRule="atLeast"/>
          <w:jc w:val="left"/>
        </w:trPr>
        <w:tc>
          <w:tcPr>
            <w:tcW w:w="8850" w:type="dxa"/>
            <w:tcBorders>
              <w:top w:val="single" w:color="000000" w:sz="4"/>
              <w:left w:val="single" w:color="000000" w:sz="4"/>
              <w:bottom w:val="single" w:color="000000" w:sz="4"/>
              <w:right w:val="single" w:color="000000" w:sz="4"/>
            </w:tcBorders>
            <w:shd w:color="auto" w:fill="c0c0c0"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720" w:firstLine="0"/>
        <w:jc w:val="left"/>
        <w:rPr>
          <w:rFonts w:ascii="Arial" w:hAnsi="Arial" w:cs="Arial" w:eastAsia="Arial"/>
          <w:color w:val="auto"/>
          <w:spacing w:val="0"/>
          <w:position w:val="0"/>
          <w:sz w:val="24"/>
          <w:shd w:fill="auto" w:val="clear"/>
        </w:rPr>
      </w:pPr>
    </w:p>
    <w:p>
      <w:pPr>
        <w:spacing w:before="0" w:after="0" w:line="240"/>
        <w:ind w:right="0" w:left="720" w:firstLine="0"/>
        <w:jc w:val="left"/>
        <w:rPr>
          <w:rFonts w:ascii="Arial" w:hAnsi="Arial" w:cs="Arial" w:eastAsia="Arial"/>
          <w:color w:val="auto"/>
          <w:spacing w:val="0"/>
          <w:position w:val="0"/>
          <w:sz w:val="24"/>
          <w:shd w:fill="auto" w:val="clear"/>
        </w:rPr>
      </w:pPr>
    </w:p>
    <w:p>
      <w:pPr>
        <w:spacing w:before="0" w:after="0" w:line="240"/>
        <w:ind w:right="0" w:left="720" w:firstLine="0"/>
        <w:jc w:val="left"/>
        <w:rPr>
          <w:rFonts w:ascii="Arial" w:hAnsi="Arial" w:cs="Arial" w:eastAsia="Arial"/>
          <w:color w:val="auto"/>
          <w:spacing w:val="0"/>
          <w:position w:val="0"/>
          <w:sz w:val="24"/>
          <w:shd w:fill="auto" w:val="clear"/>
        </w:rPr>
      </w:pPr>
    </w:p>
    <w:p>
      <w:pPr>
        <w:spacing w:before="0" w:after="0" w:line="240"/>
        <w:ind w:right="0" w:left="720" w:firstLine="0"/>
        <w:jc w:val="left"/>
        <w:rPr>
          <w:rFonts w:ascii="Arial" w:hAnsi="Arial" w:cs="Arial" w:eastAsia="Arial"/>
          <w:color w:val="auto"/>
          <w:spacing w:val="0"/>
          <w:position w:val="0"/>
          <w:sz w:val="24"/>
          <w:shd w:fill="auto" w:val="clear"/>
        </w:rPr>
      </w:pPr>
    </w:p>
    <w:p>
      <w:pPr>
        <w:spacing w:before="0" w:after="0" w:line="240"/>
        <w:ind w:right="0" w:left="720" w:firstLine="0"/>
        <w:jc w:val="left"/>
        <w:rPr>
          <w:rFonts w:ascii="Arial" w:hAnsi="Arial" w:cs="Arial" w:eastAsia="Arial"/>
          <w:color w:val="auto"/>
          <w:spacing w:val="0"/>
          <w:position w:val="0"/>
          <w:sz w:val="24"/>
          <w:shd w:fill="auto" w:val="clear"/>
        </w:rPr>
      </w:pPr>
    </w:p>
    <w:p>
      <w:pPr>
        <w:spacing w:before="0" w:after="0" w:line="240"/>
        <w:ind w:right="0" w:left="720" w:firstLine="0"/>
        <w:jc w:val="left"/>
        <w:rPr>
          <w:rFonts w:ascii="Arial" w:hAnsi="Arial" w:cs="Arial" w:eastAsia="Arial"/>
          <w:color w:val="auto"/>
          <w:spacing w:val="0"/>
          <w:position w:val="0"/>
          <w:sz w:val="24"/>
          <w:shd w:fill="auto" w:val="clear"/>
        </w:rPr>
      </w:pPr>
    </w:p>
    <w:p>
      <w:pPr>
        <w:spacing w:before="0" w:after="0" w:line="240"/>
        <w:ind w:right="0" w:left="720" w:firstLine="0"/>
        <w:jc w:val="left"/>
        <w:rPr>
          <w:rFonts w:ascii="Arial" w:hAnsi="Arial" w:cs="Arial" w:eastAsia="Arial"/>
          <w:color w:val="auto"/>
          <w:spacing w:val="0"/>
          <w:position w:val="0"/>
          <w:sz w:val="24"/>
          <w:shd w:fill="auto" w:val="clear"/>
        </w:rPr>
      </w:pPr>
    </w:p>
    <w:p>
      <w:pPr>
        <w:spacing w:before="0" w:after="0" w:line="240"/>
        <w:ind w:right="0" w:left="720" w:firstLine="0"/>
        <w:jc w:val="left"/>
        <w:rPr>
          <w:rFonts w:ascii="Arial" w:hAnsi="Arial" w:cs="Arial" w:eastAsia="Arial"/>
          <w:color w:val="auto"/>
          <w:spacing w:val="0"/>
          <w:position w:val="0"/>
          <w:sz w:val="24"/>
          <w:shd w:fill="auto" w:val="clear"/>
        </w:rPr>
      </w:pPr>
    </w:p>
    <w:p>
      <w:pPr>
        <w:spacing w:before="0" w:after="0" w:line="240"/>
        <w:ind w:right="0" w:left="720" w:firstLine="0"/>
        <w:jc w:val="left"/>
        <w:rPr>
          <w:rFonts w:ascii="Arial" w:hAnsi="Arial" w:cs="Arial" w:eastAsia="Arial"/>
          <w:color w:val="auto"/>
          <w:spacing w:val="0"/>
          <w:position w:val="0"/>
          <w:sz w:val="24"/>
          <w:shd w:fill="auto" w:val="clear"/>
        </w:rPr>
      </w:pPr>
    </w:p>
    <w:p>
      <w:pPr>
        <w:spacing w:before="0" w:after="0" w:line="240"/>
        <w:ind w:right="0" w:left="720" w:firstLine="0"/>
        <w:jc w:val="left"/>
        <w:rPr>
          <w:rFonts w:ascii="Arial" w:hAnsi="Arial" w:cs="Arial" w:eastAsia="Arial"/>
          <w:color w:val="auto"/>
          <w:spacing w:val="0"/>
          <w:position w:val="0"/>
          <w:sz w:val="24"/>
          <w:shd w:fill="auto" w:val="clear"/>
        </w:rPr>
      </w:pPr>
    </w:p>
    <w:p>
      <w:pPr>
        <w:spacing w:before="0" w:after="0" w:line="240"/>
        <w:ind w:right="0" w:left="720" w:firstLine="0"/>
        <w:jc w:val="left"/>
        <w:rPr>
          <w:rFonts w:ascii="Arial" w:hAnsi="Arial" w:cs="Arial" w:eastAsia="Arial"/>
          <w:color w:val="auto"/>
          <w:spacing w:val="0"/>
          <w:position w:val="0"/>
          <w:sz w:val="24"/>
          <w:shd w:fill="auto" w:val="clear"/>
        </w:rPr>
      </w:pPr>
    </w:p>
    <w:p>
      <w:pPr>
        <w:spacing w:before="0" w:after="0" w:line="240"/>
        <w:ind w:right="0" w:left="720" w:firstLine="0"/>
        <w:jc w:val="left"/>
        <w:rPr>
          <w:rFonts w:ascii="Arial" w:hAnsi="Arial" w:cs="Arial" w:eastAsia="Arial"/>
          <w:color w:val="auto"/>
          <w:spacing w:val="0"/>
          <w:position w:val="0"/>
          <w:sz w:val="24"/>
          <w:shd w:fill="auto" w:val="clear"/>
        </w:rPr>
      </w:pPr>
    </w:p>
    <w:p>
      <w:pPr>
        <w:spacing w:before="0" w:after="0" w:line="240"/>
        <w:ind w:right="0" w:left="720" w:firstLine="0"/>
        <w:jc w:val="left"/>
        <w:rPr>
          <w:rFonts w:ascii="Arial" w:hAnsi="Arial" w:cs="Arial" w:eastAsia="Arial"/>
          <w:color w:val="auto"/>
          <w:spacing w:val="0"/>
          <w:position w:val="0"/>
          <w:sz w:val="24"/>
          <w:shd w:fill="auto" w:val="clear"/>
        </w:rPr>
      </w:pPr>
    </w:p>
    <w:p>
      <w:pPr>
        <w:spacing w:before="0" w:after="0" w:line="240"/>
        <w:ind w:right="0" w:left="720" w:firstLine="0"/>
        <w:jc w:val="left"/>
        <w:rPr>
          <w:rFonts w:ascii="Arial" w:hAnsi="Arial" w:cs="Arial" w:eastAsia="Arial"/>
          <w:color w:val="auto"/>
          <w:spacing w:val="0"/>
          <w:position w:val="0"/>
          <w:sz w:val="24"/>
          <w:shd w:fill="auto" w:val="clear"/>
        </w:rPr>
      </w:pPr>
    </w:p>
    <w:p>
      <w:pPr>
        <w:spacing w:before="0" w:after="0" w:line="240"/>
        <w:ind w:right="0" w:left="720" w:firstLine="0"/>
        <w:jc w:val="left"/>
        <w:rPr>
          <w:rFonts w:ascii="Arial" w:hAnsi="Arial" w:cs="Arial" w:eastAsia="Arial"/>
          <w:color w:val="auto"/>
          <w:spacing w:val="0"/>
          <w:position w:val="0"/>
          <w:sz w:val="24"/>
          <w:shd w:fill="auto" w:val="clear"/>
        </w:rPr>
      </w:pPr>
    </w:p>
    <w:p>
      <w:pPr>
        <w:keepNext w:val="true"/>
        <w:keepLines w:val="true"/>
        <w:spacing w:before="480" w:after="0" w:line="360"/>
        <w:ind w:right="0" w:left="0" w:firstLine="0"/>
        <w:jc w:val="both"/>
        <w:rPr>
          <w:rFonts w:ascii="Arial" w:hAnsi="Arial" w:cs="Arial" w:eastAsia="Arial"/>
          <w:b/>
          <w:color w:val="365F91"/>
          <w:spacing w:val="0"/>
          <w:position w:val="0"/>
          <w:sz w:val="24"/>
          <w:shd w:fill="auto" w:val="clear"/>
        </w:rPr>
      </w:pPr>
    </w:p>
    <w:p>
      <w:pPr>
        <w:keepNext w:val="true"/>
        <w:keepLines w:val="true"/>
        <w:spacing w:before="480" w:after="0" w:line="360"/>
        <w:ind w:right="0" w:left="0" w:firstLine="0"/>
        <w:jc w:val="both"/>
        <w:rPr>
          <w:rFonts w:ascii="Arial" w:hAnsi="Arial" w:cs="Arial" w:eastAsia="Arial"/>
          <w:b/>
          <w:color w:val="365F91"/>
          <w:spacing w:val="0"/>
          <w:position w:val="0"/>
          <w:sz w:val="24"/>
          <w:shd w:fill="auto" w:val="clear"/>
        </w:rPr>
      </w:pPr>
    </w:p>
    <w:p>
      <w:pPr>
        <w:keepNext w:val="true"/>
        <w:keepLines w:val="true"/>
        <w:spacing w:before="480" w:after="0" w:line="360"/>
        <w:ind w:right="0" w:left="0" w:firstLine="0"/>
        <w:jc w:val="both"/>
        <w:rPr>
          <w:rFonts w:ascii="Arial" w:hAnsi="Arial" w:cs="Arial" w:eastAsia="Arial"/>
          <w:b/>
          <w:color w:val="365F91"/>
          <w:spacing w:val="0"/>
          <w:position w:val="0"/>
          <w:sz w:val="24"/>
          <w:shd w:fill="auto" w:val="clear"/>
        </w:rPr>
      </w:pPr>
    </w:p>
    <w:p>
      <w:pPr>
        <w:keepNext w:val="true"/>
        <w:keepLines w:val="true"/>
        <w:spacing w:before="480" w:after="0" w:line="360"/>
        <w:ind w:right="0" w:left="0" w:firstLine="0"/>
        <w:jc w:val="both"/>
        <w:rPr>
          <w:rFonts w:ascii="Arial" w:hAnsi="Arial" w:cs="Arial" w:eastAsia="Arial"/>
          <w:b/>
          <w:color w:val="365F91"/>
          <w:spacing w:val="0"/>
          <w:position w:val="0"/>
          <w:sz w:val="24"/>
          <w:shd w:fill="auto" w:val="clear"/>
        </w:rPr>
      </w:pPr>
    </w:p>
    <w:p>
      <w:pPr>
        <w:keepNext w:val="true"/>
        <w:keepLines w:val="true"/>
        <w:spacing w:before="480" w:after="0" w:line="360"/>
        <w:ind w:right="0" w:left="0" w:firstLine="0"/>
        <w:jc w:val="both"/>
        <w:rPr>
          <w:rFonts w:ascii="Arial" w:hAnsi="Arial" w:cs="Arial" w:eastAsia="Arial"/>
          <w:b/>
          <w:color w:val="365F91"/>
          <w:spacing w:val="0"/>
          <w:position w:val="0"/>
          <w:sz w:val="24"/>
          <w:shd w:fill="auto" w:val="clear"/>
        </w:rPr>
      </w:pPr>
    </w:p>
    <w:p>
      <w:pPr>
        <w:keepNext w:val="true"/>
        <w:keepLines w:val="true"/>
        <w:spacing w:before="480" w:after="0" w:line="360"/>
        <w:ind w:right="0" w:left="0" w:firstLine="0"/>
        <w:jc w:val="both"/>
        <w:rPr>
          <w:rFonts w:ascii="Arial" w:hAnsi="Arial" w:cs="Arial" w:eastAsia="Arial"/>
          <w:b/>
          <w:color w:val="365F91"/>
          <w:spacing w:val="0"/>
          <w:position w:val="0"/>
          <w:sz w:val="24"/>
          <w:shd w:fill="auto" w:val="clear"/>
        </w:rPr>
      </w:pPr>
    </w:p>
    <w:p>
      <w:pPr>
        <w:keepNext w:val="true"/>
        <w:keepLines w:val="true"/>
        <w:spacing w:before="480" w:after="0" w:line="360"/>
        <w:ind w:right="0" w:left="0" w:firstLine="0"/>
        <w:jc w:val="both"/>
        <w:rPr>
          <w:rFonts w:ascii="Arial" w:hAnsi="Arial" w:cs="Arial" w:eastAsia="Arial"/>
          <w:b/>
          <w:color w:val="365F91"/>
          <w:spacing w:val="0"/>
          <w:position w:val="0"/>
          <w:sz w:val="24"/>
          <w:shd w:fill="auto" w:val="clear"/>
        </w:rPr>
      </w:pPr>
      <w:r>
        <w:rPr>
          <w:rFonts w:ascii="Arial" w:hAnsi="Arial" w:cs="Arial" w:eastAsia="Arial"/>
          <w:b/>
          <w:color w:val="365F91"/>
          <w:spacing w:val="0"/>
          <w:position w:val="0"/>
          <w:sz w:val="24"/>
          <w:shd w:fill="auto" w:val="clear"/>
        </w:rPr>
        <w:t xml:space="preserve">Introduction</w:t>
      </w:r>
    </w:p>
    <w:p>
      <w:pPr>
        <w:keepNext w:val="true"/>
        <w:keepLines w:val="true"/>
        <w:spacing w:before="48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Understanding the specifics, details and stages of the legal process is of critical importance for the law professionals, legal advisers and solicitors. Understanding the process helping for proper and successful claims and court hearings. The legal process and system in UK is quiet complex and complicate when comparing with other countries and this sets the need of proper knowledge and skills in order to be successful professional. </w:t>
      </w:r>
    </w:p>
    <w:p>
      <w:pPr>
        <w:keepNext w:val="true"/>
        <w:keepLines w:val="true"/>
        <w:spacing w:before="480" w:after="0" w:line="360"/>
        <w:ind w:right="0" w:left="0" w:firstLine="0"/>
        <w:jc w:val="both"/>
        <w:rPr>
          <w:rFonts w:ascii="Arial" w:hAnsi="Arial" w:cs="Arial" w:eastAsia="Arial"/>
          <w:b/>
          <w:color w:val="365F91"/>
          <w:spacing w:val="0"/>
          <w:position w:val="0"/>
          <w:sz w:val="24"/>
          <w:shd w:fill="auto" w:val="clear"/>
        </w:rPr>
      </w:pPr>
    </w:p>
    <w:p>
      <w:pPr>
        <w:keepNext w:val="true"/>
        <w:keepLines w:val="true"/>
        <w:spacing w:before="480" w:after="0" w:line="360"/>
        <w:ind w:right="0" w:left="0" w:firstLine="0"/>
        <w:jc w:val="both"/>
        <w:rPr>
          <w:rFonts w:ascii="Arial" w:hAnsi="Arial" w:cs="Arial" w:eastAsia="Arial"/>
          <w:b/>
          <w:color w:val="365F91"/>
          <w:spacing w:val="0"/>
          <w:position w:val="0"/>
          <w:sz w:val="24"/>
          <w:shd w:fill="auto" w:val="clear"/>
        </w:rPr>
      </w:pPr>
      <w:r>
        <w:rPr>
          <w:rFonts w:ascii="Arial" w:hAnsi="Arial" w:cs="Arial" w:eastAsia="Arial"/>
          <w:b/>
          <w:color w:val="365F91"/>
          <w:spacing w:val="0"/>
          <w:position w:val="0"/>
          <w:sz w:val="24"/>
          <w:shd w:fill="auto" w:val="clear"/>
        </w:rPr>
        <w:t xml:space="preserve">What is a magistrate?</w:t>
      </w:r>
    </w:p>
    <w:p>
      <w:pPr>
        <w:spacing w:before="0" w:after="200" w:line="360"/>
        <w:ind w:right="0" w:left="0" w:firstLine="0"/>
        <w:jc w:val="both"/>
        <w:rPr>
          <w:rFonts w:ascii="Arial" w:hAnsi="Arial" w:cs="Arial" w:eastAsia="Arial"/>
          <w:color w:val="auto"/>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Judges are unpaid volunteers who preside over cases in local courts. Hearings can be held in both family and criminal courts. Usually, each case is heard by her three judges, including one of hers who has special presidency training. Under section 16(3) of the Magistrates Act 1979, the difference between magistrates and magistrates is that magistrates have the same powers as magistrates but sit alone. Unlike many high court judges, magistrates and district judges do not wear robes or wigs in court (Aikens,2020).</w:t>
      </w:r>
    </w:p>
    <w:p>
      <w:pPr>
        <w:keepNext w:val="true"/>
        <w:keepLines w:val="true"/>
        <w:spacing w:before="480" w:after="0" w:line="360"/>
        <w:ind w:right="0" w:left="0" w:firstLine="0"/>
        <w:jc w:val="both"/>
        <w:rPr>
          <w:rFonts w:ascii="Arial" w:hAnsi="Arial" w:cs="Arial" w:eastAsia="Arial"/>
          <w:b/>
          <w:color w:val="365F91"/>
          <w:spacing w:val="0"/>
          <w:position w:val="0"/>
          <w:sz w:val="24"/>
          <w:shd w:fill="auto" w:val="clear"/>
        </w:rPr>
      </w:pPr>
      <w:r>
        <w:rPr>
          <w:rFonts w:ascii="Arial" w:hAnsi="Arial" w:cs="Arial" w:eastAsia="Arial"/>
          <w:b/>
          <w:color w:val="365F91"/>
          <w:spacing w:val="0"/>
          <w:position w:val="0"/>
          <w:sz w:val="24"/>
          <w:shd w:fill="auto" w:val="clear"/>
        </w:rPr>
        <w:t xml:space="preserve">A discussion about magistrates in the United Kingdom</w:t>
      </w:r>
    </w:p>
    <w:p>
      <w:pPr>
        <w:spacing w:before="0" w:after="200" w:line="360"/>
        <w:ind w:right="0" w:left="0" w:firstLine="0"/>
        <w:jc w:val="both"/>
        <w:rPr>
          <w:rFonts w:ascii="Arial" w:hAnsi="Arial" w:cs="Arial" w:eastAsia="Arial"/>
          <w:color w:val="auto"/>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p>
    <w:p>
      <w:pPr>
        <w:keepNext w:val="true"/>
        <w:keepLines w:val="true"/>
        <w:spacing w:before="480" w:after="0" w:line="360"/>
        <w:ind w:right="0" w:left="0" w:firstLine="0"/>
        <w:jc w:val="both"/>
        <w:rPr>
          <w:rFonts w:ascii="Arial" w:hAnsi="Arial" w:cs="Arial" w:eastAsia="Arial"/>
          <w:b/>
          <w:color w:val="365F91"/>
          <w:spacing w:val="0"/>
          <w:position w:val="0"/>
          <w:sz w:val="24"/>
          <w:shd w:fill="auto" w:val="clear"/>
        </w:rPr>
      </w:pPr>
      <w:r>
        <w:rPr>
          <w:rFonts w:ascii="Arial" w:hAnsi="Arial" w:cs="Arial" w:eastAsia="Arial"/>
          <w:b/>
          <w:color w:val="365F91"/>
          <w:spacing w:val="0"/>
          <w:position w:val="0"/>
          <w:sz w:val="24"/>
          <w:shd w:fill="auto" w:val="clear"/>
        </w:rPr>
        <w:t xml:space="preserve">Main responsibilities</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England and Wales, judges do not make the majority of judicial decisions that are made. They are created by typical individuals who have worked in a wide variety of fields and had no previous affiliation with the legal industry. But they have a sense of justice. In addition, they have the ability to actively listen, reason logically, and act as active ambassadors for their communities. By the way, I am a judge. Magistrates, commonly referred to as magistrates, are people from various professions who are passionate about improving their communities. They voluntarily attend many cases in court, and a year he attends at least 13 days of training courses (Blackham,2018).</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No prior education or legal training is required to become a judge. However, the candidate must demonstrate his five qualities listed below. To make decisions that are fair, impartial and transparent, judges must be able to act quickly and make transparent, unbiased, fair and reasonable judgments. Judges must also understand a lot of material and be able to recognize related issues.</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Understand and appreciate other perspectives: Judges must be able to distinguish between different points of view, treat people with compassion, and show genuine understanding and empathy for their plight. , you must be ready to understand them.  Communicate with care and respect. Judges should be able to speak privately, confidently and sensitively, but also be able to listen actively and attentively. Additionally, you should be able to adapt your communication style to the situation and effectively explain the reasons for your decisions (Smith,2021).</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Learn new things with confidence:</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Judges must be flexible, open-minded, and willing to consider and accept other points of view. In addition, they must be able to take advantage of opportunities to learn and maintain skills and use successful methods to maintain their own well-being. Judges who work professionally and interact with people must be personable, trustworthy, and able to inspire confidence in others.</w:t>
      </w:r>
    </w:p>
    <w:p>
      <w:pPr>
        <w:spacing w:before="0" w:after="200" w:line="360"/>
        <w:ind w:right="0" w:left="0" w:firstLine="0"/>
        <w:jc w:val="both"/>
        <w:rPr>
          <w:rFonts w:ascii="Arial" w:hAnsi="Arial" w:cs="Arial" w:eastAsia="Arial"/>
          <w:color w:val="auto"/>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p>
    <w:p>
      <w:pPr>
        <w:keepNext w:val="true"/>
        <w:keepLines w:val="true"/>
        <w:spacing w:before="480" w:after="0" w:line="360"/>
        <w:ind w:right="0" w:left="0" w:firstLine="0"/>
        <w:jc w:val="both"/>
        <w:rPr>
          <w:rFonts w:ascii="Arial" w:hAnsi="Arial" w:cs="Arial" w:eastAsia="Arial"/>
          <w:b/>
          <w:color w:val="365F91"/>
          <w:spacing w:val="0"/>
          <w:position w:val="0"/>
          <w:sz w:val="24"/>
          <w:shd w:fill="auto" w:val="clear"/>
        </w:rPr>
      </w:pPr>
      <w:r>
        <w:rPr>
          <w:rFonts w:ascii="Arial" w:hAnsi="Arial" w:cs="Arial" w:eastAsia="Arial"/>
          <w:b/>
          <w:color w:val="365F91"/>
          <w:spacing w:val="0"/>
          <w:position w:val="0"/>
          <w:sz w:val="24"/>
          <w:shd w:fill="auto" w:val="clear"/>
        </w:rPr>
        <w:t xml:space="preserve">Court closures </w:t>
      </w:r>
    </w:p>
    <w:p>
      <w:pPr>
        <w:spacing w:before="0" w:after="200" w:line="360"/>
        <w:ind w:right="0" w:left="0" w:firstLine="0"/>
        <w:jc w:val="both"/>
        <w:rPr>
          <w:rFonts w:ascii="Arial" w:hAnsi="Arial" w:cs="Arial" w:eastAsia="Arial"/>
          <w:color w:val="auto"/>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government plans to close 77 more courts by 2025 or 2026, according to an analysis by the National Audit Office. Following our call to postpone any future closures, the government said in May 2019 that it would not close the courts until it had evidence that its changes had reduced the use of these structures. After consultation with the Chief Justice, and after consultation with the Master of Rolls, the Registrar of the High Court, or the President of the Family Division, as appropriate, the work may be transferred from the closed court to the receiving court appointed by the Enclave. Must be delegated. Instructions under section 2 of the County Courts Act 1984.</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Assignments of work shall, wherever possible, be subject to directions from the judge in the particular case and shall be subject to the attached schedules, i.e., "Schedule 1 - Civil Litigation (General)", "Schedule 2 - Family Litigation" and "Appendix 3 - Insolvency Proceedings” (collectively, the “Appendices”). The court of last resort shall notify all parties that if the case is transferred from the court of last resort to the receiving court, they may, within seven days of service of the order of referral, apply to the receiving court to change the court to which the case is filed. need to do it. An order under Rule 3.3(4) of the Code of Civil Procedure or Rule 4.3(4) of the Code of Family Procedure (Howard,2022).</w:t>
      </w:r>
    </w:p>
    <w:p>
      <w:pPr>
        <w:keepNext w:val="true"/>
        <w:keepLines w:val="true"/>
        <w:spacing w:before="480" w:after="0" w:line="360"/>
        <w:ind w:right="0" w:left="0" w:firstLine="0"/>
        <w:jc w:val="both"/>
        <w:rPr>
          <w:rFonts w:ascii="Arial" w:hAnsi="Arial" w:cs="Arial" w:eastAsia="Arial"/>
          <w:b/>
          <w:color w:val="365F91"/>
          <w:spacing w:val="0"/>
          <w:position w:val="0"/>
          <w:sz w:val="24"/>
          <w:shd w:fill="auto" w:val="clear"/>
        </w:rPr>
      </w:pPr>
    </w:p>
    <w:p>
      <w:pPr>
        <w:keepNext w:val="true"/>
        <w:keepLines w:val="true"/>
        <w:spacing w:before="480" w:after="0" w:line="360"/>
        <w:ind w:right="0" w:left="0" w:firstLine="0"/>
        <w:jc w:val="both"/>
        <w:rPr>
          <w:rFonts w:ascii="Arial" w:hAnsi="Arial" w:cs="Arial" w:eastAsia="Arial"/>
          <w:b/>
          <w:color w:val="365F91"/>
          <w:spacing w:val="0"/>
          <w:position w:val="0"/>
          <w:sz w:val="24"/>
          <w:shd w:fill="auto" w:val="clear"/>
        </w:rPr>
      </w:pPr>
      <w:r>
        <w:rPr>
          <w:rFonts w:ascii="Arial" w:hAnsi="Arial" w:cs="Arial" w:eastAsia="Arial"/>
          <w:b/>
          <w:color w:val="365F91"/>
          <w:spacing w:val="0"/>
          <w:position w:val="0"/>
          <w:sz w:val="24"/>
          <w:shd w:fill="auto" w:val="clear"/>
        </w:rPr>
        <w:t xml:space="preserve">You must include evidence of any other advantages or disadvantages</w:t>
      </w:r>
    </w:p>
    <w:p>
      <w:pPr>
        <w:spacing w:before="0" w:after="200" w:line="360"/>
        <w:ind w:right="0" w:left="0" w:firstLine="0"/>
        <w:jc w:val="both"/>
        <w:rPr>
          <w:rFonts w:ascii="Arial" w:hAnsi="Arial" w:cs="Arial" w:eastAsia="Arial"/>
          <w:color w:val="auto"/>
          <w:spacing w:val="0"/>
          <w:position w:val="0"/>
          <w:sz w:val="24"/>
          <w:shd w:fill="auto" w:val="clear"/>
        </w:rPr>
      </w:pPr>
    </w:p>
    <w:p>
      <w:pPr>
        <w:keepNext w:val="true"/>
        <w:keepLines w:val="true"/>
        <w:spacing w:before="200" w:after="0" w:line="360"/>
        <w:ind w:right="0" w:left="0" w:firstLine="0"/>
        <w:jc w:val="both"/>
        <w:rPr>
          <w:rFonts w:ascii="Arial" w:hAnsi="Arial" w:cs="Arial" w:eastAsia="Arial"/>
          <w:b/>
          <w:color w:val="4F81BD"/>
          <w:spacing w:val="0"/>
          <w:position w:val="0"/>
          <w:sz w:val="24"/>
          <w:shd w:fill="auto" w:val="clear"/>
        </w:rPr>
      </w:pPr>
      <w:r>
        <w:rPr>
          <w:rFonts w:ascii="Arial" w:hAnsi="Arial" w:cs="Arial" w:eastAsia="Arial"/>
          <w:b/>
          <w:color w:val="4F81BD"/>
          <w:spacing w:val="0"/>
          <w:position w:val="0"/>
          <w:sz w:val="24"/>
          <w:shd w:fill="auto" w:val="clear"/>
        </w:rPr>
        <w:t xml:space="preserve">Advantages</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Judges earn £90,000. Cost judges are not compensated. Without a prosecutor he would have to install 1000 extra judges, saving £100 million. Local Knowledge </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 Speed </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up court proceedings. They live nearby, so they know the local news. More accessible than judges, as no training is required. We need 1000 more judges. People of different nationalities representing society. Women make up 49%. Public self-guarantee: According to research conducted in 2000 and 2001, people do not limit the functioning of judges (Rab,2021).</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Justice is upheld by judges. A judge, in his capacity as a judicial office, undertakes "to give justice to men of every kind, without fear, favor, affection, or malice, according to the laws and customs of this kingdom." They are integral to the administration of justice in England and Wales. Judges are well suited for this task as they are the most diverse judiciary. The Association of Magistrates (MA) found that 25% of the 40,000 expressions of interest were from potential candidates with minority backgrounds, and a similar percentage were under the age of 40. I was encouraged to take note of what had happened.</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judges are familiar with the area. "Justice from a Peer" is his one of the magistrate's guidelines. As a result, judges are ordinary people (who may have no prior legal training) who use their current skills and expertise to serve their communities. And with the help of a lawyer, it shows that you can make decisions in favour of your neighbours. Magistrates have a passion for public relations. Because judges are passionate about what they do, they often take an active part in educating people about judicial work and this special volunteer opportunity. Members of the MA give lectures on a variety of topics at schools, colleges, religious centers, and other community groups/institutions as part of the Magistrates Program, a community program that promotes community involvement.</w:t>
      </w:r>
    </w:p>
    <w:p>
      <w:pPr>
        <w:keepNext w:val="true"/>
        <w:keepLines w:val="true"/>
        <w:spacing w:before="200" w:after="0" w:line="360"/>
        <w:ind w:right="0" w:left="0" w:firstLine="0"/>
        <w:jc w:val="both"/>
        <w:rPr>
          <w:rFonts w:ascii="Arial" w:hAnsi="Arial" w:cs="Arial" w:eastAsia="Arial"/>
          <w:b/>
          <w:color w:val="4F81BD"/>
          <w:spacing w:val="0"/>
          <w:position w:val="0"/>
          <w:sz w:val="24"/>
          <w:shd w:fill="auto" w:val="clear"/>
        </w:rPr>
      </w:pPr>
      <w:r>
        <w:rPr>
          <w:rFonts w:ascii="Arial" w:hAnsi="Arial" w:cs="Arial" w:eastAsia="Arial"/>
          <w:b/>
          <w:color w:val="4F81BD"/>
          <w:spacing w:val="0"/>
          <w:position w:val="0"/>
          <w:sz w:val="24"/>
          <w:shd w:fill="auto" w:val="clear"/>
        </w:rPr>
        <w:t xml:space="preserve">Disadvantages</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Biased Law Enforcement:</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Lacking training, they were able to support the officers. at Rv. In Bingham ex parte Jowitt, one man's words were used against the police and the judge sided with them.</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Inconsistent and he only works 13 days a year can forget sentences. In Essex, 77% of the accused were convicted, compared to 21% for ABH. Case hardening:  Evaluate the defendant based on past cases. R vs Bingham 1974 Ex parte Jowitt</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Only busy people. It does not represent society. Most judges are middle-aged. Most of the defendants are under the age of 25, but 50% of the judges are over the age of 60. Rely on a Lawyer </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 You are influenced by a lawyer because you have no legal training (Raine,2018).</w:t>
      </w:r>
    </w:p>
    <w:p>
      <w:pPr>
        <w:spacing w:before="0" w:after="200" w:line="360"/>
        <w:ind w:right="0" w:left="0" w:firstLine="0"/>
        <w:jc w:val="both"/>
        <w:rPr>
          <w:rFonts w:ascii="Arial" w:hAnsi="Arial" w:cs="Arial" w:eastAsia="Arial"/>
          <w:color w:val="auto"/>
          <w:spacing w:val="0"/>
          <w:position w:val="0"/>
          <w:sz w:val="24"/>
          <w:shd w:fill="auto" w:val="clear"/>
        </w:rPr>
      </w:pPr>
    </w:p>
    <w:p>
      <w:pPr>
        <w:keepNext w:val="true"/>
        <w:keepLines w:val="true"/>
        <w:spacing w:before="480" w:after="0" w:line="360"/>
        <w:ind w:right="0" w:left="0" w:firstLine="0"/>
        <w:jc w:val="both"/>
        <w:rPr>
          <w:rFonts w:ascii="Arial" w:hAnsi="Arial" w:cs="Arial" w:eastAsia="Arial"/>
          <w:b/>
          <w:color w:val="365F91"/>
          <w:spacing w:val="0"/>
          <w:position w:val="0"/>
          <w:sz w:val="24"/>
          <w:shd w:fill="auto" w:val="clear"/>
        </w:rPr>
      </w:pPr>
      <w:r>
        <w:rPr>
          <w:rFonts w:ascii="Arial" w:hAnsi="Arial" w:cs="Arial" w:eastAsia="Arial"/>
          <w:b/>
          <w:color w:val="365F91"/>
          <w:spacing w:val="0"/>
          <w:position w:val="0"/>
          <w:sz w:val="24"/>
          <w:shd w:fill="auto" w:val="clear"/>
        </w:rPr>
        <w:t xml:space="preserve">Reform </w:t>
      </w:r>
    </w:p>
    <w:p>
      <w:pPr>
        <w:spacing w:before="0" w:after="200" w:line="360"/>
        <w:ind w:right="0" w:left="0" w:firstLine="0"/>
        <w:jc w:val="both"/>
        <w:rPr>
          <w:rFonts w:ascii="Arial" w:hAnsi="Arial" w:cs="Arial" w:eastAsia="Arial"/>
          <w:color w:val="auto"/>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Judges have the knowledge, authority and ability to handle most of these issues, but last year about 9,800 defendants were convicted by judges, then sent to criminal courts and sentenced to prison terms. dressed in Of these, 40% were sentenced to up to six months in prison. This means they are criminals who could be sentenced in a magistrate's court. The Magistrate's Court is close to the affected area, and his average daily cost for a general hearing is £1,400 for him, compared to around £2,150 for the 2012 Crown Court. Her 3,200 offenders under the age of 18 have also been brought to criminal court for trial (Soubise,2017).</w:t>
      </w:r>
    </w:p>
    <w:p>
      <w:pPr>
        <w:spacing w:before="0" w:after="200" w:line="360"/>
        <w:ind w:right="0" w:left="0" w:firstLine="0"/>
        <w:jc w:val="both"/>
        <w:rPr>
          <w:rFonts w:ascii="Arial" w:hAnsi="Arial" w:cs="Arial" w:eastAsia="Arial"/>
          <w:color w:val="auto"/>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p>
    <w:p>
      <w:pPr>
        <w:keepNext w:val="true"/>
        <w:keepLines w:val="true"/>
        <w:spacing w:before="480" w:after="0" w:line="360"/>
        <w:ind w:right="0" w:left="0" w:firstLine="0"/>
        <w:jc w:val="both"/>
        <w:rPr>
          <w:rFonts w:ascii="Arial" w:hAnsi="Arial" w:cs="Arial" w:eastAsia="Arial"/>
          <w:b/>
          <w:color w:val="365F91"/>
          <w:spacing w:val="0"/>
          <w:position w:val="0"/>
          <w:sz w:val="24"/>
          <w:shd w:fill="auto" w:val="clear"/>
        </w:rPr>
      </w:pPr>
      <w:r>
        <w:rPr>
          <w:rFonts w:ascii="Arial" w:hAnsi="Arial" w:cs="Arial" w:eastAsia="Arial"/>
          <w:b/>
          <w:color w:val="365F91"/>
          <w:spacing w:val="0"/>
          <w:position w:val="0"/>
          <w:sz w:val="24"/>
          <w:shd w:fill="auto" w:val="clear"/>
        </w:rPr>
        <w:t xml:space="preserve">Conclusion </w:t>
      </w:r>
    </w:p>
    <w:p>
      <w:pPr>
        <w:spacing w:before="0" w:after="200" w:line="360"/>
        <w:ind w:right="0" w:left="0" w:firstLine="0"/>
        <w:jc w:val="both"/>
        <w:rPr>
          <w:rFonts w:ascii="Arial" w:hAnsi="Arial" w:cs="Arial" w:eastAsia="Arial"/>
          <w:color w:val="auto"/>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magistrates plays complicate and important role for the court hearings and as from the provided above information is clear that their role can save a lot of time and cost for the courts. Understanding the role also is critical moment for the court system, society and community of the UK. Proper function and role of the magistrates can lead to more trust into the court and judges system across the UK and also providing more preventive actions for reducing crime and legal challenges. </w:t>
      </w: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Referencing list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Adisa, O., 2018. Access to justice: assessing the impact of the magistrates’ court closures in Suffolk’. a research report, University of Suffolk.</w:t>
      </w:r>
    </w:p>
    <w:p>
      <w:pPr>
        <w:spacing w:before="0" w:after="20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Aikens, R.H.S.R., 2020. UK</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England and Wales. In Courts in Evolving Societies (pp. 59-70). Brill Nijhoff.</w:t>
      </w:r>
    </w:p>
    <w:p>
      <w:pPr>
        <w:spacing w:before="0" w:after="20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Appleby, G. and Blackham, A., 2018. The shadow of the court: The growing imperative to reform ethical regulation of former judges. International &amp; Comparative Law Quarterly, 67(3), pp.505-546.</w:t>
      </w:r>
    </w:p>
    <w:p>
      <w:pPr>
        <w:spacing w:before="0" w:after="20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Chamberlain, P., Keppel-Palmer, M., Reardon, S. and Smith, T., 2021. It is criminal: The state of magistrates’ court reporting in England and Wales. Journalism, 22(9), pp.2404-2420.</w:t>
      </w:r>
    </w:p>
    <w:p>
      <w:pPr>
        <w:spacing w:before="0" w:after="20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Howard, H., 2022. Effective participation of mentally vulnerable defendants in the English magistrates’ courts: The crucial role of liaison and diversion. The Howard Journal of Crime and Justice, 61(2), pp.203-220.</w:t>
      </w:r>
    </w:p>
    <w:p>
      <w:pPr>
        <w:spacing w:before="0" w:after="20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Rab, S., 2021. Legal systems in the UK (England and Wales): overview. URL: </w:t>
      </w:r>
      <w:hyperlink xmlns:r="http://schemas.openxmlformats.org/officeDocument/2006/relationships" r:id="docRId2">
        <w:r>
          <w:rPr>
            <w:rFonts w:ascii="Arial" w:hAnsi="Arial" w:cs="Arial" w:eastAsia="Arial"/>
            <w:color w:val="0000FF"/>
            <w:spacing w:val="0"/>
            <w:position w:val="0"/>
            <w:sz w:val="24"/>
            <w:u w:val="single"/>
            <w:shd w:fill="auto" w:val="clear"/>
          </w:rPr>
          <w:t xml:space="preserve">https://uk</w:t>
        </w:r>
      </w:hyperlink>
      <w:r>
        <w:rPr>
          <w:rFonts w:ascii="Arial" w:hAnsi="Arial" w:cs="Arial" w:eastAsia="Arial"/>
          <w:color w:val="auto"/>
          <w:spacing w:val="0"/>
          <w:position w:val="0"/>
          <w:sz w:val="24"/>
          <w:shd w:fill="auto" w:val="clear"/>
        </w:rPr>
        <w:t xml:space="preserve">. practicallaw. thomsonreuters. com/5-636-24, 98.</w:t>
      </w:r>
    </w:p>
    <w:p>
      <w:pPr>
        <w:spacing w:before="0" w:after="20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Raine, J.W., 2018. Justice in the lower courts. In Beyond Bureaucracy? (pp. 201-217). Routledge.</w:t>
      </w:r>
    </w:p>
    <w:p>
      <w:pPr>
        <w:spacing w:before="0" w:after="200" w:line="276"/>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Soubise, L., 2017. Prosecuting in the magistrates' courts in a time of austerity. Criminal Law Review, 11, pp.847-859.</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numbering.xml" Id="docRId3" Type="http://schemas.openxmlformats.org/officeDocument/2006/relationships/numbering" /><Relationship Target="embeddings/oleObject0.bin" Id="docRId0" Type="http://schemas.openxmlformats.org/officeDocument/2006/relationships/oleObject" /><Relationship TargetMode="External" Target="https://uk/" Id="docRId2" Type="http://schemas.openxmlformats.org/officeDocument/2006/relationships/hyperlink" /><Relationship Target="styles.xml" Id="docRId4" Type="http://schemas.openxmlformats.org/officeDocument/2006/relationships/styles" /></Relationships>
</file>