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3ED2F" w14:textId="2EA69E13" w:rsidR="00684147" w:rsidRDefault="00684147" w:rsidP="00880BDE">
      <w:pPr>
        <w:spacing w:after="120" w:line="276" w:lineRule="auto"/>
        <w:rPr>
          <w:rFonts w:ascii="Calibri" w:hAnsi="Calibri" w:cs="Calibri"/>
          <w:i/>
          <w:iCs/>
          <w:color w:val="000000" w:themeColor="text1"/>
          <w:sz w:val="24"/>
          <w:szCs w:val="24"/>
        </w:rPr>
      </w:pPr>
      <w:r w:rsidRPr="006A1B86">
        <w:rPr>
          <w:rFonts w:ascii="Calibri" w:hAnsi="Calibri" w:cs="Calibri"/>
          <w:i/>
          <w:iCs/>
          <w:color w:val="000000" w:themeColor="text1"/>
          <w:sz w:val="24"/>
          <w:szCs w:val="24"/>
        </w:rPr>
        <w:t>From the point of view of your chosen academic approach, is it meaningful to speak of human progress through the ages? Is there a useful distinction to be made regarding technological, cultural and moral progress?</w:t>
      </w:r>
    </w:p>
    <w:p w14:paraId="200A6648" w14:textId="77777777" w:rsidR="00686C59" w:rsidRPr="008F0D18" w:rsidRDefault="00686C59" w:rsidP="005D52FD">
      <w:pPr>
        <w:spacing w:after="120" w:line="240" w:lineRule="auto"/>
        <w:rPr>
          <w:rFonts w:ascii="Calibri" w:hAnsi="Calibri" w:cs="Calibri"/>
          <w:i/>
          <w:iCs/>
          <w:color w:val="000000" w:themeColor="text1"/>
          <w:sz w:val="24"/>
          <w:szCs w:val="24"/>
        </w:rPr>
      </w:pPr>
    </w:p>
    <w:p w14:paraId="205B32FC" w14:textId="481BB994" w:rsidR="006A1B86" w:rsidRPr="001E6887" w:rsidRDefault="008F515A" w:rsidP="00880BDE">
      <w:pPr>
        <w:spacing w:after="100" w:afterAutospacing="1" w:line="360" w:lineRule="auto"/>
        <w:rPr>
          <w:rFonts w:ascii="Calibri" w:hAnsi="Calibri" w:cs="Calibri"/>
          <w:color w:val="000000" w:themeColor="text1"/>
          <w:sz w:val="24"/>
          <w:szCs w:val="24"/>
        </w:rPr>
      </w:pPr>
      <w:r>
        <w:rPr>
          <w:rFonts w:ascii="Calibri" w:hAnsi="Calibri" w:cs="Calibri"/>
          <w:color w:val="000000" w:themeColor="text1"/>
          <w:sz w:val="24"/>
          <w:szCs w:val="24"/>
        </w:rPr>
        <w:t>Progress</w:t>
      </w:r>
      <w:r w:rsidR="00A10DE4">
        <w:rPr>
          <w:rFonts w:ascii="Calibri" w:hAnsi="Calibri" w:cs="Calibri"/>
          <w:color w:val="000000" w:themeColor="text1"/>
          <w:sz w:val="24"/>
          <w:szCs w:val="24"/>
        </w:rPr>
        <w:t xml:space="preserve"> comes from the Latin 'progressus,' meaning 'to move forward.' </w:t>
      </w:r>
      <w:r w:rsidR="00B76615">
        <w:rPr>
          <w:rFonts w:ascii="Calibri" w:hAnsi="Calibri" w:cs="Calibri"/>
          <w:color w:val="000000" w:themeColor="text1"/>
          <w:sz w:val="24"/>
          <w:szCs w:val="24"/>
        </w:rPr>
        <w:t xml:space="preserve">Though not interchangeable, </w:t>
      </w:r>
      <w:r w:rsidR="005E18FB">
        <w:rPr>
          <w:rFonts w:ascii="Calibri" w:hAnsi="Calibri" w:cs="Calibri"/>
          <w:color w:val="000000" w:themeColor="text1"/>
          <w:sz w:val="24"/>
          <w:szCs w:val="24"/>
        </w:rPr>
        <w:t>it</w:t>
      </w:r>
      <w:r w:rsidR="00B76615">
        <w:rPr>
          <w:rFonts w:ascii="Calibri" w:hAnsi="Calibri" w:cs="Calibri"/>
          <w:color w:val="000000" w:themeColor="text1"/>
          <w:sz w:val="24"/>
          <w:szCs w:val="24"/>
        </w:rPr>
        <w:t xml:space="preserve"> signif</w:t>
      </w:r>
      <w:r w:rsidR="005E18FB">
        <w:rPr>
          <w:rFonts w:ascii="Calibri" w:hAnsi="Calibri" w:cs="Calibri"/>
          <w:color w:val="000000" w:themeColor="text1"/>
          <w:sz w:val="24"/>
          <w:szCs w:val="24"/>
        </w:rPr>
        <w:t>ies</w:t>
      </w:r>
      <w:r w:rsidR="00B76615">
        <w:rPr>
          <w:rFonts w:ascii="Calibri" w:hAnsi="Calibri" w:cs="Calibri"/>
          <w:color w:val="000000" w:themeColor="text1"/>
          <w:sz w:val="24"/>
          <w:szCs w:val="24"/>
        </w:rPr>
        <w:t xml:space="preserve"> a journey toward improved stages and </w:t>
      </w:r>
      <w:r w:rsidR="005E18FB">
        <w:rPr>
          <w:rFonts w:ascii="Calibri" w:hAnsi="Calibri" w:cs="Calibri"/>
          <w:color w:val="000000" w:themeColor="text1"/>
          <w:sz w:val="24"/>
          <w:szCs w:val="24"/>
        </w:rPr>
        <w:t>is</w:t>
      </w:r>
      <w:r w:rsidR="00B76615">
        <w:rPr>
          <w:rFonts w:ascii="Calibri" w:hAnsi="Calibri" w:cs="Calibri"/>
          <w:color w:val="000000" w:themeColor="text1"/>
          <w:sz w:val="24"/>
          <w:szCs w:val="24"/>
        </w:rPr>
        <w:t xml:space="preserve"> often associated with evolution</w:t>
      </w:r>
      <w:r w:rsidR="00A10DE4">
        <w:rPr>
          <w:rFonts w:ascii="Calibri" w:hAnsi="Calibri" w:cs="Calibri"/>
          <w:color w:val="000000" w:themeColor="text1"/>
          <w:sz w:val="24"/>
          <w:szCs w:val="24"/>
        </w:rPr>
        <w:t>.</w:t>
      </w:r>
      <w:r w:rsidR="009740AA">
        <w:rPr>
          <w:rFonts w:ascii="Calibri" w:hAnsi="Calibri" w:cs="Calibri"/>
          <w:color w:val="000000" w:themeColor="text1"/>
          <w:sz w:val="24"/>
          <w:szCs w:val="24"/>
        </w:rPr>
        <w:t xml:space="preserve"> </w:t>
      </w:r>
      <w:r w:rsidR="00D64AB2">
        <w:rPr>
          <w:rFonts w:ascii="Calibri" w:hAnsi="Calibri" w:cs="Calibri"/>
          <w:color w:val="000000" w:themeColor="text1"/>
          <w:sz w:val="24"/>
          <w:szCs w:val="24"/>
        </w:rPr>
        <w:t xml:space="preserve">Progress is distinct from change. </w:t>
      </w:r>
      <w:r w:rsidR="009740AA">
        <w:rPr>
          <w:rFonts w:ascii="Calibri" w:hAnsi="Calibri" w:cs="Calibri"/>
          <w:color w:val="000000" w:themeColor="text1"/>
          <w:sz w:val="24"/>
          <w:szCs w:val="24"/>
        </w:rPr>
        <w:t xml:space="preserve">Concepts of </w:t>
      </w:r>
      <w:r w:rsidR="0008522D">
        <w:rPr>
          <w:rFonts w:ascii="Calibri" w:hAnsi="Calibri" w:cs="Calibri"/>
          <w:color w:val="000000" w:themeColor="text1"/>
          <w:sz w:val="24"/>
          <w:szCs w:val="24"/>
        </w:rPr>
        <w:t>progress vary widely across academic disciplines</w:t>
      </w:r>
      <w:r w:rsidR="004B1E23">
        <w:rPr>
          <w:rFonts w:ascii="Calibri" w:hAnsi="Calibri" w:cs="Calibri"/>
          <w:color w:val="000000" w:themeColor="text1"/>
          <w:sz w:val="24"/>
          <w:szCs w:val="24"/>
        </w:rPr>
        <w:t>,</w:t>
      </w:r>
      <w:r w:rsidR="004D2482">
        <w:rPr>
          <w:rFonts w:ascii="Calibri" w:hAnsi="Calibri" w:cs="Calibri"/>
          <w:color w:val="000000" w:themeColor="text1"/>
          <w:sz w:val="24"/>
          <w:szCs w:val="24"/>
        </w:rPr>
        <w:t xml:space="preserve"> with some </w:t>
      </w:r>
      <w:r w:rsidR="00A10DE4">
        <w:rPr>
          <w:rFonts w:ascii="Calibri" w:hAnsi="Calibri" w:cs="Calibri"/>
          <w:color w:val="000000" w:themeColor="text1"/>
          <w:sz w:val="24"/>
          <w:szCs w:val="24"/>
        </w:rPr>
        <w:t>view</w:t>
      </w:r>
      <w:r w:rsidR="004D2482">
        <w:rPr>
          <w:rFonts w:ascii="Calibri" w:hAnsi="Calibri" w:cs="Calibri"/>
          <w:color w:val="000000" w:themeColor="text1"/>
          <w:sz w:val="24"/>
          <w:szCs w:val="24"/>
        </w:rPr>
        <w:t>ing it</w:t>
      </w:r>
      <w:r w:rsidR="00A10DE4">
        <w:rPr>
          <w:rFonts w:ascii="Calibri" w:hAnsi="Calibri" w:cs="Calibri"/>
          <w:color w:val="000000" w:themeColor="text1"/>
          <w:sz w:val="24"/>
          <w:szCs w:val="24"/>
        </w:rPr>
        <w:t xml:space="preserve"> as a departure from tradition, suggesting that anything new must be superior </w:t>
      </w:r>
      <w:r w:rsidR="00F606B7" w:rsidRPr="001E6887">
        <w:rPr>
          <w:rFonts w:ascii="Calibri" w:hAnsi="Calibri" w:cs="Calibri"/>
          <w:color w:val="000000" w:themeColor="text1"/>
          <w:sz w:val="24"/>
          <w:szCs w:val="24"/>
        </w:rPr>
        <w:t>(Woods, 1907, pp. 779-780)</w:t>
      </w:r>
      <w:r w:rsidR="004D2482">
        <w:rPr>
          <w:rFonts w:ascii="Calibri" w:hAnsi="Calibri" w:cs="Calibri"/>
          <w:color w:val="000000" w:themeColor="text1"/>
          <w:sz w:val="24"/>
          <w:szCs w:val="24"/>
        </w:rPr>
        <w:t xml:space="preserve">. </w:t>
      </w:r>
      <w:r w:rsidR="005E18FB">
        <w:rPr>
          <w:rFonts w:ascii="Calibri" w:hAnsi="Calibri" w:cs="Calibri"/>
          <w:color w:val="000000" w:themeColor="text1"/>
          <w:sz w:val="24"/>
          <w:szCs w:val="24"/>
        </w:rPr>
        <w:t>Karl</w:t>
      </w:r>
      <w:r w:rsidR="003F1286">
        <w:rPr>
          <w:rFonts w:ascii="Calibri" w:hAnsi="Calibri" w:cs="Calibri"/>
          <w:color w:val="000000" w:themeColor="text1"/>
          <w:sz w:val="24"/>
          <w:szCs w:val="24"/>
        </w:rPr>
        <w:t xml:space="preserve"> Marx argue</w:t>
      </w:r>
      <w:r w:rsidR="005E18FB">
        <w:rPr>
          <w:rFonts w:ascii="Calibri" w:hAnsi="Calibri" w:cs="Calibri"/>
          <w:color w:val="000000" w:themeColor="text1"/>
          <w:sz w:val="24"/>
          <w:szCs w:val="24"/>
        </w:rPr>
        <w:t>d</w:t>
      </w:r>
      <w:r w:rsidR="003F1286">
        <w:rPr>
          <w:rFonts w:ascii="Calibri" w:hAnsi="Calibri" w:cs="Calibri"/>
          <w:color w:val="000000" w:themeColor="text1"/>
          <w:sz w:val="24"/>
          <w:szCs w:val="24"/>
        </w:rPr>
        <w:t xml:space="preserve"> that </w:t>
      </w:r>
      <w:r w:rsidR="009108FE">
        <w:rPr>
          <w:rFonts w:ascii="Calibri" w:hAnsi="Calibri" w:cs="Calibri"/>
          <w:color w:val="000000" w:themeColor="text1"/>
          <w:sz w:val="24"/>
          <w:szCs w:val="24"/>
        </w:rPr>
        <w:t>expanding</w:t>
      </w:r>
      <w:r w:rsidR="003F1286">
        <w:rPr>
          <w:rFonts w:ascii="Calibri" w:hAnsi="Calibri" w:cs="Calibri"/>
          <w:color w:val="000000" w:themeColor="text1"/>
          <w:sz w:val="24"/>
          <w:szCs w:val="24"/>
        </w:rPr>
        <w:t xml:space="preserve"> human productive capabilities</w:t>
      </w:r>
      <w:r w:rsidR="00475A1D" w:rsidRPr="00475A1D">
        <w:rPr>
          <w:rFonts w:ascii="Calibri" w:hAnsi="Calibri" w:cs="Calibri"/>
          <w:color w:val="000000" w:themeColor="text1"/>
          <w:sz w:val="24"/>
          <w:szCs w:val="24"/>
        </w:rPr>
        <w:t xml:space="preserve"> is </w:t>
      </w:r>
      <w:r w:rsidR="009108FE">
        <w:rPr>
          <w:rFonts w:ascii="Calibri" w:hAnsi="Calibri" w:cs="Calibri"/>
          <w:color w:val="000000" w:themeColor="text1"/>
          <w:sz w:val="24"/>
          <w:szCs w:val="24"/>
        </w:rPr>
        <w:t>the primary driver of historical change</w:t>
      </w:r>
      <w:r w:rsidR="003F1286">
        <w:rPr>
          <w:rFonts w:ascii="Calibri" w:hAnsi="Calibri" w:cs="Calibri"/>
          <w:color w:val="000000" w:themeColor="text1"/>
          <w:sz w:val="24"/>
          <w:szCs w:val="24"/>
        </w:rPr>
        <w:t>, with social structures adapting to meet these demands (</w:t>
      </w:r>
      <w:r w:rsidR="00241975">
        <w:rPr>
          <w:rFonts w:ascii="Calibri" w:hAnsi="Calibri" w:cs="Calibri"/>
          <w:color w:val="000000" w:themeColor="text1"/>
          <w:sz w:val="24"/>
          <w:szCs w:val="24"/>
        </w:rPr>
        <w:t xml:space="preserve">Satz, </w:t>
      </w:r>
      <w:r w:rsidR="0003427F">
        <w:rPr>
          <w:rFonts w:ascii="Calibri" w:hAnsi="Calibri" w:cs="Calibri"/>
          <w:color w:val="000000" w:themeColor="text1"/>
          <w:sz w:val="24"/>
          <w:szCs w:val="24"/>
        </w:rPr>
        <w:t>1989).</w:t>
      </w:r>
    </w:p>
    <w:p w14:paraId="1836FEB4" w14:textId="14FB636A" w:rsidR="00FB42CB" w:rsidRPr="007E64C3" w:rsidRDefault="00261BD8" w:rsidP="00880BDE">
      <w:pPr>
        <w:spacing w:after="100" w:afterAutospacing="1" w:line="360" w:lineRule="auto"/>
        <w:rPr>
          <w:rFonts w:ascii="Calibri" w:hAnsi="Calibri" w:cs="Calibri"/>
          <w:color w:val="000000" w:themeColor="text1"/>
          <w:sz w:val="24"/>
          <w:szCs w:val="24"/>
        </w:rPr>
      </w:pPr>
      <w:r>
        <w:rPr>
          <w:rFonts w:ascii="Calibri" w:hAnsi="Calibri" w:cs="Calibri"/>
          <w:color w:val="000000" w:themeColor="text1"/>
          <w:sz w:val="24"/>
          <w:szCs w:val="24"/>
        </w:rPr>
        <w:t>This essay explores human progress through</w:t>
      </w:r>
      <w:r w:rsidR="00BC78B0">
        <w:rPr>
          <w:rFonts w:ascii="Calibri" w:hAnsi="Calibri" w:cs="Calibri"/>
          <w:color w:val="000000" w:themeColor="text1"/>
          <w:sz w:val="24"/>
          <w:szCs w:val="24"/>
        </w:rPr>
        <w:t xml:space="preserve"> the academic discipline of </w:t>
      </w:r>
      <w:r>
        <w:rPr>
          <w:rFonts w:ascii="Calibri" w:hAnsi="Calibri" w:cs="Calibri"/>
          <w:color w:val="000000" w:themeColor="text1"/>
          <w:sz w:val="24"/>
          <w:szCs w:val="24"/>
        </w:rPr>
        <w:t>archaeology</w:t>
      </w:r>
      <w:r w:rsidR="0084630E">
        <w:rPr>
          <w:rFonts w:ascii="Calibri" w:hAnsi="Calibri" w:cs="Calibri"/>
          <w:color w:val="000000" w:themeColor="text1"/>
          <w:sz w:val="24"/>
          <w:szCs w:val="24"/>
        </w:rPr>
        <w:t xml:space="preserve">, </w:t>
      </w:r>
      <w:r>
        <w:rPr>
          <w:rFonts w:ascii="Calibri" w:hAnsi="Calibri" w:cs="Calibri"/>
          <w:color w:val="000000" w:themeColor="text1"/>
          <w:sz w:val="24"/>
          <w:szCs w:val="24"/>
        </w:rPr>
        <w:t xml:space="preserve">which </w:t>
      </w:r>
      <w:r w:rsidR="00BB6A23">
        <w:rPr>
          <w:rFonts w:ascii="Calibri" w:hAnsi="Calibri" w:cs="Calibri"/>
          <w:color w:val="000000" w:themeColor="text1"/>
          <w:sz w:val="24"/>
          <w:szCs w:val="24"/>
        </w:rPr>
        <w:t xml:space="preserve">uncovers and </w:t>
      </w:r>
      <w:r w:rsidR="00041A58">
        <w:rPr>
          <w:rFonts w:ascii="Calibri" w:hAnsi="Calibri" w:cs="Calibri"/>
          <w:color w:val="000000" w:themeColor="text1"/>
          <w:sz w:val="24"/>
          <w:szCs w:val="24"/>
        </w:rPr>
        <w:t>analyses</w:t>
      </w:r>
      <w:r>
        <w:rPr>
          <w:rFonts w:ascii="Calibri" w:hAnsi="Calibri" w:cs="Calibri"/>
          <w:color w:val="000000" w:themeColor="text1"/>
          <w:sz w:val="24"/>
          <w:szCs w:val="24"/>
        </w:rPr>
        <w:t xml:space="preserve"> </w:t>
      </w:r>
      <w:r w:rsidR="00BB6A23">
        <w:rPr>
          <w:rFonts w:ascii="Calibri" w:hAnsi="Calibri" w:cs="Calibri"/>
          <w:color w:val="000000" w:themeColor="text1"/>
          <w:sz w:val="24"/>
          <w:szCs w:val="24"/>
        </w:rPr>
        <w:t>material</w:t>
      </w:r>
      <w:r>
        <w:rPr>
          <w:rFonts w:ascii="Calibri" w:hAnsi="Calibri" w:cs="Calibri"/>
          <w:color w:val="000000" w:themeColor="text1"/>
          <w:sz w:val="24"/>
          <w:szCs w:val="24"/>
        </w:rPr>
        <w:t xml:space="preserve"> evidence to understand </w:t>
      </w:r>
      <w:r w:rsidR="00BB6A23">
        <w:rPr>
          <w:rFonts w:ascii="Calibri" w:hAnsi="Calibri" w:cs="Calibri"/>
          <w:color w:val="000000" w:themeColor="text1"/>
          <w:sz w:val="24"/>
          <w:szCs w:val="24"/>
        </w:rPr>
        <w:t>human</w:t>
      </w:r>
      <w:r w:rsidR="005E18FB">
        <w:rPr>
          <w:rFonts w:ascii="Calibri" w:hAnsi="Calibri" w:cs="Calibri"/>
          <w:color w:val="000000" w:themeColor="text1"/>
          <w:sz w:val="24"/>
          <w:szCs w:val="24"/>
        </w:rPr>
        <w:t xml:space="preserve"> evolution, culture, and daily lives</w:t>
      </w:r>
      <w:r>
        <w:rPr>
          <w:rFonts w:ascii="Calibri" w:hAnsi="Calibri" w:cs="Calibri"/>
          <w:color w:val="000000" w:themeColor="text1"/>
          <w:sz w:val="24"/>
          <w:szCs w:val="24"/>
        </w:rPr>
        <w:t xml:space="preserve">. By intersecting with social anthropology and historical sciences, archaeology examines human experiences across time (Schafer-Elliott, 2016, pp. 7-9). Archaeological sites </w:t>
      </w:r>
      <w:r w:rsidR="00BC78B0">
        <w:rPr>
          <w:rFonts w:ascii="Calibri" w:hAnsi="Calibri" w:cs="Calibri"/>
          <w:color w:val="000000" w:themeColor="text1"/>
          <w:sz w:val="24"/>
          <w:szCs w:val="24"/>
        </w:rPr>
        <w:t xml:space="preserve">often </w:t>
      </w:r>
      <w:r>
        <w:rPr>
          <w:rFonts w:ascii="Calibri" w:hAnsi="Calibri" w:cs="Calibri"/>
          <w:color w:val="000000" w:themeColor="text1"/>
          <w:sz w:val="24"/>
          <w:szCs w:val="24"/>
        </w:rPr>
        <w:t xml:space="preserve">reveal societal functions, levels of </w:t>
      </w:r>
      <w:r w:rsidR="00D6439F">
        <w:rPr>
          <w:rFonts w:ascii="Calibri" w:hAnsi="Calibri" w:cs="Calibri"/>
          <w:color w:val="000000" w:themeColor="text1"/>
          <w:sz w:val="24"/>
          <w:szCs w:val="24"/>
        </w:rPr>
        <w:t>civilisation</w:t>
      </w:r>
      <w:r>
        <w:rPr>
          <w:rFonts w:ascii="Calibri" w:hAnsi="Calibri" w:cs="Calibri"/>
          <w:color w:val="000000" w:themeColor="text1"/>
          <w:sz w:val="24"/>
          <w:szCs w:val="24"/>
        </w:rPr>
        <w:t xml:space="preserve">, </w:t>
      </w:r>
      <w:r w:rsidR="005E18FB">
        <w:rPr>
          <w:rFonts w:ascii="Calibri" w:hAnsi="Calibri" w:cs="Calibri"/>
          <w:color w:val="000000" w:themeColor="text1"/>
          <w:sz w:val="24"/>
          <w:szCs w:val="24"/>
        </w:rPr>
        <w:t>technological advancements</w:t>
      </w:r>
      <w:r>
        <w:rPr>
          <w:rFonts w:ascii="Calibri" w:hAnsi="Calibri" w:cs="Calibri"/>
          <w:color w:val="000000" w:themeColor="text1"/>
          <w:sz w:val="24"/>
          <w:szCs w:val="24"/>
        </w:rPr>
        <w:t xml:space="preserve">, and historical processes, highlighting </w:t>
      </w:r>
      <w:r w:rsidR="00041A58">
        <w:rPr>
          <w:rFonts w:ascii="Calibri" w:hAnsi="Calibri" w:cs="Calibri"/>
          <w:color w:val="000000" w:themeColor="text1"/>
          <w:sz w:val="24"/>
          <w:szCs w:val="24"/>
        </w:rPr>
        <w:t xml:space="preserve">the </w:t>
      </w:r>
      <w:r>
        <w:rPr>
          <w:rFonts w:ascii="Calibri" w:hAnsi="Calibri" w:cs="Calibri"/>
          <w:color w:val="000000" w:themeColor="text1"/>
          <w:sz w:val="24"/>
          <w:szCs w:val="24"/>
        </w:rPr>
        <w:t xml:space="preserve">unique characteristics of various locations (Gramescu </w:t>
      </w:r>
      <w:r w:rsidRPr="00511E98">
        <w:rPr>
          <w:rFonts w:ascii="Calibri" w:hAnsi="Calibri" w:cs="Calibri"/>
          <w:i/>
          <w:iCs/>
          <w:color w:val="000000" w:themeColor="text1"/>
          <w:sz w:val="24"/>
          <w:szCs w:val="24"/>
        </w:rPr>
        <w:t>et al.,</w:t>
      </w:r>
      <w:r>
        <w:rPr>
          <w:rFonts w:ascii="Calibri" w:hAnsi="Calibri" w:cs="Calibri"/>
          <w:color w:val="000000" w:themeColor="text1"/>
          <w:sz w:val="24"/>
          <w:szCs w:val="24"/>
        </w:rPr>
        <w:t xml:space="preserve"> 2021</w:t>
      </w:r>
      <w:r w:rsidR="00AA1676">
        <w:rPr>
          <w:rFonts w:ascii="Calibri" w:hAnsi="Calibri" w:cs="Calibri"/>
          <w:color w:val="000000" w:themeColor="text1"/>
          <w:sz w:val="24"/>
          <w:szCs w:val="24"/>
        </w:rPr>
        <w:t>; Shanks, 1992, pp. 117-119</w:t>
      </w:r>
      <w:r>
        <w:rPr>
          <w:rFonts w:ascii="Calibri" w:hAnsi="Calibri" w:cs="Calibri"/>
          <w:color w:val="000000" w:themeColor="text1"/>
          <w:sz w:val="24"/>
          <w:szCs w:val="24"/>
        </w:rPr>
        <w:t>).</w:t>
      </w:r>
      <w:r w:rsidR="00EE6CD4">
        <w:rPr>
          <w:rFonts w:ascii="Calibri" w:hAnsi="Calibri" w:cs="Calibri"/>
          <w:color w:val="000000" w:themeColor="text1"/>
          <w:sz w:val="24"/>
          <w:szCs w:val="24"/>
        </w:rPr>
        <w:t xml:space="preserve"> </w:t>
      </w:r>
      <w:r w:rsidR="00BC78B0">
        <w:rPr>
          <w:rFonts w:ascii="Calibri" w:hAnsi="Calibri" w:cs="Calibri"/>
          <w:color w:val="000000" w:themeColor="text1"/>
          <w:sz w:val="24"/>
          <w:szCs w:val="24"/>
        </w:rPr>
        <w:t xml:space="preserve">The essay argues that although archaeological methods can reveal and quantify technological advancements, </w:t>
      </w:r>
      <w:r w:rsidR="0084630E">
        <w:rPr>
          <w:rFonts w:ascii="Calibri" w:hAnsi="Calibri" w:cs="Calibri"/>
          <w:color w:val="000000" w:themeColor="text1"/>
          <w:sz w:val="24"/>
          <w:szCs w:val="24"/>
        </w:rPr>
        <w:t xml:space="preserve">cultural and moral progress concepts </w:t>
      </w:r>
      <w:r w:rsidR="00BC78B0">
        <w:rPr>
          <w:rFonts w:ascii="Calibri" w:hAnsi="Calibri" w:cs="Calibri"/>
          <w:color w:val="000000" w:themeColor="text1"/>
          <w:sz w:val="24"/>
          <w:szCs w:val="24"/>
        </w:rPr>
        <w:t>are more complex, being neither universal nor linear.</w:t>
      </w:r>
      <w:r w:rsidR="007E64C3">
        <w:rPr>
          <w:rFonts w:ascii="Calibri" w:hAnsi="Calibri" w:cs="Calibri"/>
          <w:color w:val="000000" w:themeColor="text1"/>
          <w:sz w:val="24"/>
          <w:szCs w:val="24"/>
        </w:rPr>
        <w:t xml:space="preserve"> The inherent contradictions between these dimensions highlight the complexities of human progress, as cultural and moral transformations are often subjective and context-dependent; therefore, they do not consistently correlate with technological developments. </w:t>
      </w:r>
      <w:r w:rsidR="0084630E">
        <w:rPr>
          <w:rFonts w:ascii="Calibri" w:hAnsi="Calibri" w:cs="Calibri"/>
          <w:color w:val="000000" w:themeColor="text1"/>
          <w:sz w:val="24"/>
          <w:szCs w:val="24"/>
        </w:rPr>
        <w:t>Technological progress does not ensure advancements in culture or morality. Usually, technological developments are interpreted through the lens of Western civilisation's idea of progress, which can marginalise alternative knowledge systems and ways of living.</w:t>
      </w:r>
      <w:r w:rsidR="007E64C3">
        <w:rPr>
          <w:rFonts w:ascii="Calibri" w:hAnsi="Calibri" w:cs="Calibri"/>
          <w:color w:val="000000" w:themeColor="text1"/>
          <w:sz w:val="24"/>
          <w:szCs w:val="24"/>
        </w:rPr>
        <w:t xml:space="preserve"> Different societies have varying priorities, resulting in unique definitions of progress. Indigenous cultures, for instance, have long practised sustainable living by respecting ecological limits. Throughout history, there have been advancements in technology, but these can sometimes have detrimental effects on the environment and social living standards, raising important questions of morality and ethics.</w:t>
      </w:r>
    </w:p>
    <w:p w14:paraId="15D622C9" w14:textId="04058616" w:rsidR="000D65B1" w:rsidRPr="00631754" w:rsidRDefault="000D65B1" w:rsidP="00880BDE">
      <w:pPr>
        <w:spacing w:after="120" w:line="360" w:lineRule="auto"/>
        <w:rPr>
          <w:rFonts w:ascii="Calibri" w:hAnsi="Calibri" w:cs="Calibri"/>
          <w:sz w:val="24"/>
          <w:szCs w:val="24"/>
        </w:rPr>
      </w:pPr>
      <w:r w:rsidRPr="00631754">
        <w:rPr>
          <w:rFonts w:ascii="Calibri" w:hAnsi="Calibri" w:cs="Calibri"/>
          <w:sz w:val="24"/>
          <w:szCs w:val="24"/>
        </w:rPr>
        <w:lastRenderedPageBreak/>
        <w:t>Archaeology differs from history in several ways. It encompasses the entire history of humanity, stretching back over 3 million years</w:t>
      </w:r>
      <w:r w:rsidR="00E605B1" w:rsidRPr="00631754">
        <w:rPr>
          <w:rFonts w:ascii="Calibri" w:hAnsi="Calibri" w:cs="Calibri"/>
          <w:sz w:val="24"/>
          <w:szCs w:val="24"/>
        </w:rPr>
        <w:t xml:space="preserve"> and</w:t>
      </w:r>
      <w:r w:rsidRPr="00631754">
        <w:rPr>
          <w:rFonts w:ascii="Calibri" w:hAnsi="Calibri" w:cs="Calibri"/>
          <w:sz w:val="24"/>
          <w:szCs w:val="24"/>
        </w:rPr>
        <w:t xml:space="preserve"> is the primary means of obtaining information for more than 99% of that duration. Traditional historical sources only emerge with the advent of written documentation around 3000 BC (Renfrew and Bahn, 2020, p. 13).</w:t>
      </w:r>
      <w:r w:rsidR="00C30AB9" w:rsidRPr="00631754">
        <w:rPr>
          <w:rFonts w:ascii="Calibri" w:hAnsi="Calibri" w:cs="Calibri"/>
          <w:sz w:val="24"/>
          <w:szCs w:val="24"/>
        </w:rPr>
        <w:t xml:space="preserve"> </w:t>
      </w:r>
      <w:r w:rsidRPr="00631754">
        <w:rPr>
          <w:rFonts w:ascii="Calibri" w:hAnsi="Calibri" w:cs="Calibri"/>
          <w:sz w:val="24"/>
          <w:szCs w:val="24"/>
        </w:rPr>
        <w:t xml:space="preserve">Archaeology offers crucial insights into the fundamental traits of human societies working with various experts from science, the humanities, and social sciences who use archaeological data to support their key arguments </w:t>
      </w:r>
      <w:r w:rsidR="00EA7918" w:rsidRPr="00631754">
        <w:rPr>
          <w:rFonts w:ascii="Calibri" w:hAnsi="Calibri" w:cs="Calibri"/>
          <w:sz w:val="24"/>
          <w:szCs w:val="24"/>
        </w:rPr>
        <w:t xml:space="preserve">(Kintigh </w:t>
      </w:r>
      <w:r w:rsidR="00EA7918" w:rsidRPr="00511E98">
        <w:rPr>
          <w:rFonts w:ascii="Calibri" w:hAnsi="Calibri" w:cs="Calibri"/>
          <w:i/>
          <w:iCs/>
          <w:sz w:val="24"/>
          <w:szCs w:val="24"/>
        </w:rPr>
        <w:t>et al.,</w:t>
      </w:r>
      <w:r w:rsidR="00EA7918" w:rsidRPr="00631754">
        <w:rPr>
          <w:rFonts w:ascii="Calibri" w:hAnsi="Calibri" w:cs="Calibri"/>
          <w:sz w:val="24"/>
          <w:szCs w:val="24"/>
        </w:rPr>
        <w:t xml:space="preserve"> 2014</w:t>
      </w:r>
      <w:r w:rsidRPr="00631754">
        <w:rPr>
          <w:rFonts w:ascii="Calibri" w:hAnsi="Calibri" w:cs="Calibri"/>
          <w:sz w:val="24"/>
          <w:szCs w:val="24"/>
        </w:rPr>
        <w:t xml:space="preserve">; </w:t>
      </w:r>
      <w:r w:rsidR="00EA7918" w:rsidRPr="00631754">
        <w:rPr>
          <w:rFonts w:ascii="Calibri" w:hAnsi="Calibri" w:cs="Calibri"/>
          <w:sz w:val="24"/>
          <w:szCs w:val="24"/>
        </w:rPr>
        <w:t>Schafer-Elliott, 2016, pp. 10-14).</w:t>
      </w:r>
      <w:r w:rsidR="00C30AB9" w:rsidRPr="00631754">
        <w:rPr>
          <w:rFonts w:ascii="Calibri" w:hAnsi="Calibri" w:cs="Calibri"/>
          <w:sz w:val="24"/>
          <w:szCs w:val="24"/>
        </w:rPr>
        <w:t xml:space="preserve"> </w:t>
      </w:r>
      <w:r w:rsidR="00E605B1" w:rsidRPr="00631754">
        <w:rPr>
          <w:rFonts w:ascii="Calibri" w:hAnsi="Calibri" w:cs="Calibri"/>
          <w:sz w:val="24"/>
          <w:szCs w:val="24"/>
        </w:rPr>
        <w:t>Archaeology studies human behaviour through material culture, enhancing our understanding of human progress. Evidence</w:t>
      </w:r>
      <w:r w:rsidR="005E18FB">
        <w:rPr>
          <w:rFonts w:ascii="Calibri" w:hAnsi="Calibri" w:cs="Calibri"/>
          <w:sz w:val="24"/>
          <w:szCs w:val="24"/>
        </w:rPr>
        <w:t>, such as</w:t>
      </w:r>
      <w:r w:rsidR="00E605B1" w:rsidRPr="00631754">
        <w:rPr>
          <w:rFonts w:ascii="Calibri" w:hAnsi="Calibri" w:cs="Calibri"/>
          <w:sz w:val="24"/>
          <w:szCs w:val="24"/>
        </w:rPr>
        <w:t xml:space="preserve"> stone tools from 2.5 million years ago in </w:t>
      </w:r>
      <w:r w:rsidR="00E605B1" w:rsidRPr="00D05BE8">
        <w:rPr>
          <w:rFonts w:ascii="Calibri" w:hAnsi="Calibri" w:cs="Calibri"/>
          <w:sz w:val="24"/>
          <w:szCs w:val="24"/>
        </w:rPr>
        <w:t xml:space="preserve">Gona, </w:t>
      </w:r>
      <w:r w:rsidR="00E605B1" w:rsidRPr="00631754">
        <w:rPr>
          <w:rFonts w:ascii="Calibri" w:hAnsi="Calibri" w:cs="Calibri"/>
          <w:sz w:val="24"/>
          <w:szCs w:val="24"/>
        </w:rPr>
        <w:t>Ethiopia, reveals developments in human behaviour over time. These excavated artefacts offer insights into environments and the evolution of behaviour. Examining variations since our divergence from other apes around seven million years ago is crucial for understanding human evolution. Archaeology complements paleoanthropology by focusing on long-term behavioural changes alongside biological factors</w:t>
      </w:r>
      <w:r w:rsidR="00511183" w:rsidRPr="00631754">
        <w:rPr>
          <w:rFonts w:ascii="Calibri" w:hAnsi="Calibri" w:cs="Calibri"/>
          <w:sz w:val="24"/>
          <w:szCs w:val="24"/>
        </w:rPr>
        <w:t xml:space="preserve"> (Tryon </w:t>
      </w:r>
      <w:r w:rsidR="00511183" w:rsidRPr="00511E98">
        <w:rPr>
          <w:rFonts w:ascii="Calibri" w:hAnsi="Calibri" w:cs="Calibri"/>
          <w:i/>
          <w:iCs/>
          <w:sz w:val="24"/>
          <w:szCs w:val="24"/>
        </w:rPr>
        <w:t>et al.,</w:t>
      </w:r>
      <w:r w:rsidR="00511183" w:rsidRPr="00631754">
        <w:rPr>
          <w:rFonts w:ascii="Calibri" w:hAnsi="Calibri" w:cs="Calibri"/>
          <w:sz w:val="24"/>
          <w:szCs w:val="24"/>
        </w:rPr>
        <w:t xml:space="preserve"> 2010).</w:t>
      </w:r>
    </w:p>
    <w:p w14:paraId="5711868F" w14:textId="37B47E5E" w:rsidR="00511E98" w:rsidRPr="00D05BE8" w:rsidRDefault="00DA551E" w:rsidP="00880BDE">
      <w:pPr>
        <w:spacing w:after="120" w:line="360" w:lineRule="auto"/>
        <w:rPr>
          <w:rFonts w:ascii="Calibri" w:hAnsi="Calibri" w:cs="Calibri"/>
          <w:color w:val="000000" w:themeColor="text1"/>
          <w:sz w:val="24"/>
          <w:szCs w:val="24"/>
        </w:rPr>
      </w:pPr>
      <w:r w:rsidRPr="00631754">
        <w:rPr>
          <w:rFonts w:ascii="Calibri" w:hAnsi="Calibri" w:cs="Calibri"/>
          <w:sz w:val="24"/>
          <w:szCs w:val="24"/>
        </w:rPr>
        <w:t xml:space="preserve">Human progress is a continuous journey toward well-being and satisfaction through achieving specific goals. As one objective is met, individuals pursue new ones to enhance collective welfare and strive for a sustainable society. This pursuit involves expanding </w:t>
      </w:r>
      <w:r w:rsidRPr="001E6887">
        <w:rPr>
          <w:rFonts w:ascii="Calibri" w:hAnsi="Calibri" w:cs="Calibri"/>
          <w:color w:val="000000" w:themeColor="text1"/>
          <w:sz w:val="24"/>
          <w:szCs w:val="24"/>
        </w:rPr>
        <w:t xml:space="preserve">knowledge, technology, and culture to improve health, communication, wealth, and freedom (Coccia, 2018). </w:t>
      </w:r>
      <w:r w:rsidR="0014022D" w:rsidRPr="001E6887">
        <w:rPr>
          <w:rFonts w:ascii="Calibri" w:hAnsi="Calibri" w:cs="Calibri"/>
          <w:color w:val="000000" w:themeColor="text1"/>
          <w:sz w:val="24"/>
          <w:szCs w:val="24"/>
        </w:rPr>
        <w:t>Significant advancements have been made despite the challenges posed by ongoing issues like war, hunger, and poverty</w:t>
      </w:r>
      <w:r w:rsidRPr="001E6887">
        <w:rPr>
          <w:rFonts w:ascii="Calibri" w:hAnsi="Calibri" w:cs="Calibri"/>
          <w:color w:val="000000" w:themeColor="text1"/>
          <w:sz w:val="24"/>
          <w:szCs w:val="24"/>
        </w:rPr>
        <w:t xml:space="preserve">. Historically, life was harsh, with an average global life </w:t>
      </w:r>
      <w:r w:rsidR="00475A1D" w:rsidRPr="001E6887">
        <w:rPr>
          <w:rFonts w:ascii="Calibri" w:hAnsi="Calibri" w:cs="Calibri"/>
          <w:color w:val="000000" w:themeColor="text1"/>
          <w:sz w:val="24"/>
          <w:szCs w:val="24"/>
        </w:rPr>
        <w:t>probability</w:t>
      </w:r>
      <w:r w:rsidRPr="001E6887">
        <w:rPr>
          <w:rFonts w:ascii="Calibri" w:hAnsi="Calibri" w:cs="Calibri"/>
          <w:color w:val="000000" w:themeColor="text1"/>
          <w:sz w:val="24"/>
          <w:szCs w:val="24"/>
        </w:rPr>
        <w:t xml:space="preserve"> of </w:t>
      </w:r>
      <w:r w:rsidR="00475A1D" w:rsidRPr="001E6887">
        <w:rPr>
          <w:rFonts w:ascii="Calibri" w:hAnsi="Calibri" w:cs="Calibri"/>
          <w:color w:val="000000" w:themeColor="text1"/>
          <w:sz w:val="24"/>
          <w:szCs w:val="24"/>
        </w:rPr>
        <w:t>approximately</w:t>
      </w:r>
      <w:r w:rsidRPr="001E6887">
        <w:rPr>
          <w:rFonts w:ascii="Calibri" w:hAnsi="Calibri" w:cs="Calibri"/>
          <w:color w:val="000000" w:themeColor="text1"/>
          <w:sz w:val="24"/>
          <w:szCs w:val="24"/>
        </w:rPr>
        <w:t xml:space="preserve"> 30 years from the Upper Palaeolithic to 1900. However, in 2019, global life expectancy reached 73.1 years, reflecting the progress made, particularly in the last two centuries</w:t>
      </w:r>
      <w:r w:rsidR="00E85E40">
        <w:rPr>
          <w:rFonts w:ascii="Calibri" w:hAnsi="Calibri" w:cs="Calibri"/>
          <w:color w:val="000000" w:themeColor="text1"/>
          <w:sz w:val="24"/>
          <w:szCs w:val="24"/>
        </w:rPr>
        <w:t xml:space="preserve"> </w:t>
      </w:r>
      <w:r w:rsidR="00704DD1" w:rsidRPr="001E6887">
        <w:rPr>
          <w:rFonts w:ascii="Calibri" w:hAnsi="Calibri" w:cs="Calibri"/>
          <w:color w:val="000000" w:themeColor="text1"/>
          <w:sz w:val="24"/>
          <w:szCs w:val="24"/>
        </w:rPr>
        <w:t>(W</w:t>
      </w:r>
      <w:r w:rsidR="0065218E">
        <w:rPr>
          <w:rFonts w:ascii="Calibri" w:hAnsi="Calibri" w:cs="Calibri"/>
          <w:color w:val="000000" w:themeColor="text1"/>
          <w:sz w:val="24"/>
          <w:szCs w:val="24"/>
        </w:rPr>
        <w:t>.</w:t>
      </w:r>
      <w:r w:rsidR="00704DD1" w:rsidRPr="001E6887">
        <w:rPr>
          <w:rFonts w:ascii="Calibri" w:hAnsi="Calibri" w:cs="Calibri"/>
          <w:color w:val="000000" w:themeColor="text1"/>
          <w:sz w:val="24"/>
          <w:szCs w:val="24"/>
        </w:rPr>
        <w:t>H</w:t>
      </w:r>
      <w:r w:rsidR="0065218E">
        <w:rPr>
          <w:rFonts w:ascii="Calibri" w:hAnsi="Calibri" w:cs="Calibri"/>
          <w:color w:val="000000" w:themeColor="text1"/>
          <w:sz w:val="24"/>
          <w:szCs w:val="24"/>
        </w:rPr>
        <w:t>.</w:t>
      </w:r>
      <w:r w:rsidR="00704DD1" w:rsidRPr="001E6887">
        <w:rPr>
          <w:rFonts w:ascii="Calibri" w:hAnsi="Calibri" w:cs="Calibri"/>
          <w:color w:val="000000" w:themeColor="text1"/>
          <w:sz w:val="24"/>
          <w:szCs w:val="24"/>
        </w:rPr>
        <w:t>O</w:t>
      </w:r>
      <w:r w:rsidR="0065218E">
        <w:rPr>
          <w:rFonts w:ascii="Calibri" w:hAnsi="Calibri" w:cs="Calibri"/>
          <w:color w:val="000000" w:themeColor="text1"/>
          <w:sz w:val="24"/>
          <w:szCs w:val="24"/>
        </w:rPr>
        <w:t>.</w:t>
      </w:r>
      <w:r w:rsidR="00704DD1" w:rsidRPr="001E6887">
        <w:rPr>
          <w:rFonts w:ascii="Calibri" w:hAnsi="Calibri" w:cs="Calibri"/>
          <w:color w:val="000000" w:themeColor="text1"/>
          <w:sz w:val="24"/>
          <w:szCs w:val="24"/>
        </w:rPr>
        <w:t>, 2024; Tupy, 2013).</w:t>
      </w:r>
      <w:r w:rsidR="00804D80">
        <w:rPr>
          <w:rFonts w:ascii="Calibri" w:hAnsi="Calibri" w:cs="Calibri"/>
          <w:color w:val="000000" w:themeColor="text1"/>
          <w:sz w:val="24"/>
          <w:szCs w:val="24"/>
        </w:rPr>
        <w:t xml:space="preserve"> </w:t>
      </w:r>
      <w:r w:rsidR="00BE37E2" w:rsidRPr="00BE37E2">
        <w:rPr>
          <w:rFonts w:ascii="Calibri" w:hAnsi="Calibri" w:cs="Calibri"/>
          <w:color w:val="000000" w:themeColor="text1"/>
          <w:sz w:val="24"/>
          <w:szCs w:val="24"/>
        </w:rPr>
        <w:t xml:space="preserve">While historians debate perspectives on progress, societal evolution often </w:t>
      </w:r>
      <w:r w:rsidR="005E36D1">
        <w:rPr>
          <w:rFonts w:ascii="Calibri" w:hAnsi="Calibri" w:cs="Calibri"/>
          <w:color w:val="000000" w:themeColor="text1"/>
          <w:sz w:val="24"/>
          <w:szCs w:val="24"/>
        </w:rPr>
        <w:t>falls</w:t>
      </w:r>
      <w:r w:rsidR="00BE37E2" w:rsidRPr="00BE37E2">
        <w:rPr>
          <w:rFonts w:ascii="Calibri" w:hAnsi="Calibri" w:cs="Calibri"/>
          <w:color w:val="000000" w:themeColor="text1"/>
          <w:sz w:val="24"/>
          <w:szCs w:val="24"/>
        </w:rPr>
        <w:t xml:space="preserve"> behind technology</w:t>
      </w:r>
      <w:r w:rsidR="001D0BE5">
        <w:rPr>
          <w:rFonts w:ascii="Calibri" w:hAnsi="Calibri" w:cs="Calibri"/>
          <w:color w:val="000000" w:themeColor="text1"/>
          <w:sz w:val="24"/>
          <w:szCs w:val="24"/>
        </w:rPr>
        <w:t xml:space="preserve"> </w:t>
      </w:r>
      <w:r w:rsidR="004C1921" w:rsidRPr="001E6887">
        <w:rPr>
          <w:rFonts w:ascii="Calibri" w:hAnsi="Calibri" w:cs="Calibri"/>
          <w:color w:val="000000" w:themeColor="text1"/>
          <w:sz w:val="24"/>
          <w:szCs w:val="24"/>
        </w:rPr>
        <w:t>(Viney, 1999).</w:t>
      </w:r>
      <w:r w:rsidR="005A7CA7">
        <w:rPr>
          <w:rFonts w:ascii="Calibri" w:hAnsi="Calibri" w:cs="Calibri"/>
          <w:color w:val="000000" w:themeColor="text1"/>
          <w:sz w:val="24"/>
          <w:szCs w:val="24"/>
        </w:rPr>
        <w:t xml:space="preserve"> </w:t>
      </w:r>
      <w:r w:rsidR="005A7CA7" w:rsidRPr="001E6887">
        <w:rPr>
          <w:rFonts w:ascii="Calibri" w:hAnsi="Calibri" w:cs="Calibri"/>
          <w:color w:val="000000" w:themeColor="text1"/>
          <w:spacing w:val="2"/>
          <w:sz w:val="24"/>
          <w:szCs w:val="24"/>
          <w:shd w:val="clear" w:color="auto" w:fill="FFFFFF"/>
        </w:rPr>
        <w:t>Progress does not follow a predictable or automatic path; it arises from deliberate human efforts</w:t>
      </w:r>
      <w:r w:rsidR="005A7CA7">
        <w:rPr>
          <w:rFonts w:ascii="Calibri" w:hAnsi="Calibri" w:cs="Calibri"/>
          <w:color w:val="000000" w:themeColor="text1"/>
          <w:spacing w:val="2"/>
          <w:sz w:val="24"/>
          <w:szCs w:val="24"/>
          <w:shd w:val="clear" w:color="auto" w:fill="FFFFFF"/>
        </w:rPr>
        <w:t xml:space="preserve"> </w:t>
      </w:r>
      <w:r w:rsidR="005A7CA7" w:rsidRPr="001E6887">
        <w:rPr>
          <w:rFonts w:ascii="Calibri" w:hAnsi="Calibri" w:cs="Calibri"/>
          <w:color w:val="000000" w:themeColor="text1"/>
          <w:spacing w:val="2"/>
          <w:sz w:val="24"/>
          <w:szCs w:val="24"/>
          <w:shd w:val="clear" w:color="auto" w:fill="FFFFFF"/>
        </w:rPr>
        <w:t>(Fay, 1947).</w:t>
      </w:r>
    </w:p>
    <w:p w14:paraId="2AC97FC2" w14:textId="6DFF6B73" w:rsidR="000768B0" w:rsidRPr="00B5143A" w:rsidRDefault="009A5540" w:rsidP="00880BDE">
      <w:pPr>
        <w:spacing w:after="120" w:line="360" w:lineRule="auto"/>
        <w:rPr>
          <w:rFonts w:ascii="Calibri" w:hAnsi="Calibri" w:cs="Calibri"/>
          <w:spacing w:val="2"/>
          <w:sz w:val="24"/>
          <w:szCs w:val="24"/>
          <w:shd w:val="clear" w:color="auto" w:fill="FFFFFF"/>
        </w:rPr>
      </w:pPr>
      <w:r w:rsidRPr="00631754">
        <w:rPr>
          <w:rFonts w:ascii="Calibri" w:hAnsi="Calibri" w:cs="Calibri"/>
          <w:spacing w:val="2"/>
          <w:sz w:val="24"/>
          <w:szCs w:val="24"/>
          <w:shd w:val="clear" w:color="auto" w:fill="FFFFFF"/>
        </w:rPr>
        <w:t>Traditional narratives often depict human history as a Newtonian or linear trajectory of advancement culminating in industrial societies</w:t>
      </w:r>
      <w:r w:rsidR="006D5632">
        <w:rPr>
          <w:rFonts w:ascii="Calibri" w:hAnsi="Calibri" w:cs="Calibri"/>
          <w:spacing w:val="2"/>
          <w:sz w:val="24"/>
          <w:szCs w:val="24"/>
          <w:shd w:val="clear" w:color="auto" w:fill="FFFFFF"/>
        </w:rPr>
        <w:t xml:space="preserve"> (Fiori, 2012)</w:t>
      </w:r>
      <w:r w:rsidRPr="00631754">
        <w:rPr>
          <w:rFonts w:ascii="Calibri" w:hAnsi="Calibri" w:cs="Calibri"/>
          <w:spacing w:val="2"/>
          <w:sz w:val="24"/>
          <w:szCs w:val="24"/>
          <w:shd w:val="clear" w:color="auto" w:fill="FFFFFF"/>
        </w:rPr>
        <w:t xml:space="preserve">. This viewpoint highlights significant milestones, including the advent of agriculture, the emergence of </w:t>
      </w:r>
      <w:r w:rsidR="00DA551E" w:rsidRPr="00631754">
        <w:rPr>
          <w:rFonts w:ascii="Calibri" w:hAnsi="Calibri" w:cs="Calibri"/>
          <w:spacing w:val="2"/>
          <w:sz w:val="24"/>
          <w:szCs w:val="24"/>
          <w:shd w:val="clear" w:color="auto" w:fill="FFFFFF"/>
        </w:rPr>
        <w:t>civilisations</w:t>
      </w:r>
      <w:r w:rsidRPr="00631754">
        <w:rPr>
          <w:rFonts w:ascii="Calibri" w:hAnsi="Calibri" w:cs="Calibri"/>
          <w:spacing w:val="2"/>
          <w:sz w:val="24"/>
          <w:szCs w:val="24"/>
          <w:shd w:val="clear" w:color="auto" w:fill="FFFFFF"/>
        </w:rPr>
        <w:t>, and technological revolutions. Nonetheless, archaeological findings frequently contest this perspective</w:t>
      </w:r>
      <w:r w:rsidR="00F05FF5" w:rsidRPr="00631754">
        <w:rPr>
          <w:rFonts w:ascii="Calibri" w:hAnsi="Calibri" w:cs="Calibri"/>
          <w:spacing w:val="2"/>
          <w:sz w:val="24"/>
          <w:szCs w:val="24"/>
          <w:shd w:val="clear" w:color="auto" w:fill="FFFFFF"/>
        </w:rPr>
        <w:t xml:space="preserve"> </w:t>
      </w:r>
      <w:r w:rsidR="00F05FF5" w:rsidRPr="00631754">
        <w:rPr>
          <w:rFonts w:ascii="Calibri" w:hAnsi="Calibri" w:cs="Calibri"/>
          <w:sz w:val="24"/>
          <w:szCs w:val="24"/>
        </w:rPr>
        <w:t>and reveal cycles of rise and fall rather than continuous development.</w:t>
      </w:r>
      <w:r w:rsidRPr="00631754">
        <w:rPr>
          <w:rFonts w:ascii="Calibri" w:hAnsi="Calibri" w:cs="Calibri"/>
          <w:spacing w:val="2"/>
          <w:sz w:val="24"/>
          <w:szCs w:val="24"/>
          <w:shd w:val="clear" w:color="auto" w:fill="FFFFFF"/>
        </w:rPr>
        <w:t xml:space="preserve"> History </w:t>
      </w:r>
      <w:r w:rsidR="0014022D" w:rsidRPr="00631754">
        <w:rPr>
          <w:rFonts w:ascii="Calibri" w:hAnsi="Calibri" w:cs="Calibri"/>
          <w:spacing w:val="2"/>
          <w:sz w:val="24"/>
          <w:szCs w:val="24"/>
          <w:shd w:val="clear" w:color="auto" w:fill="FFFFFF"/>
        </w:rPr>
        <w:lastRenderedPageBreak/>
        <w:t>follows</w:t>
      </w:r>
      <w:r w:rsidRPr="00631754">
        <w:rPr>
          <w:rFonts w:ascii="Calibri" w:hAnsi="Calibri" w:cs="Calibri"/>
          <w:spacing w:val="2"/>
          <w:sz w:val="24"/>
          <w:szCs w:val="24"/>
          <w:shd w:val="clear" w:color="auto" w:fill="FFFFFF"/>
        </w:rPr>
        <w:t xml:space="preserve"> a non-linear course, </w:t>
      </w:r>
      <w:r w:rsidR="00DA551E" w:rsidRPr="00631754">
        <w:rPr>
          <w:rFonts w:ascii="Calibri" w:hAnsi="Calibri" w:cs="Calibri"/>
          <w:spacing w:val="2"/>
          <w:sz w:val="24"/>
          <w:szCs w:val="24"/>
          <w:shd w:val="clear" w:color="auto" w:fill="FFFFFF"/>
        </w:rPr>
        <w:t>characterised</w:t>
      </w:r>
      <w:r w:rsidRPr="00631754">
        <w:rPr>
          <w:rFonts w:ascii="Calibri" w:hAnsi="Calibri" w:cs="Calibri"/>
          <w:spacing w:val="2"/>
          <w:sz w:val="24"/>
          <w:szCs w:val="24"/>
          <w:shd w:val="clear" w:color="auto" w:fill="FFFFFF"/>
        </w:rPr>
        <w:t xml:space="preserve"> by intervals of innovation, stagnation, and decline (Gerding and Ingemark, 2021).</w:t>
      </w:r>
      <w:r w:rsidR="00DA551E" w:rsidRPr="00631754">
        <w:rPr>
          <w:rFonts w:ascii="Calibri" w:hAnsi="Calibri" w:cs="Calibri"/>
          <w:spacing w:val="2"/>
          <w:sz w:val="24"/>
          <w:szCs w:val="24"/>
          <w:shd w:val="clear" w:color="auto" w:fill="FFFFFF"/>
        </w:rPr>
        <w:t xml:space="preserve"> </w:t>
      </w:r>
      <w:r w:rsidR="00702435" w:rsidRPr="00631754">
        <w:rPr>
          <w:rFonts w:ascii="Calibri" w:hAnsi="Calibri" w:cs="Calibri"/>
          <w:spacing w:val="2"/>
          <w:sz w:val="24"/>
          <w:szCs w:val="24"/>
          <w:shd w:val="clear" w:color="auto" w:fill="FFFFFF"/>
        </w:rPr>
        <w:t xml:space="preserve">The development of human societies and, more broadly, human history does not progress in a straight line but is primarily based on the reciprocal influences among various elements </w:t>
      </w:r>
      <w:r w:rsidR="001A7847" w:rsidRPr="00631754">
        <w:rPr>
          <w:rFonts w:ascii="Calibri" w:hAnsi="Calibri" w:cs="Calibri"/>
          <w:spacing w:val="2"/>
          <w:sz w:val="24"/>
          <w:szCs w:val="24"/>
          <w:shd w:val="clear" w:color="auto" w:fill="FFFFFF"/>
        </w:rPr>
        <w:t>(</w:t>
      </w:r>
      <w:r w:rsidR="00702435" w:rsidRPr="00631754">
        <w:rPr>
          <w:rFonts w:ascii="Calibri" w:hAnsi="Calibri" w:cs="Calibri"/>
          <w:spacing w:val="2"/>
          <w:sz w:val="24"/>
          <w:szCs w:val="24"/>
          <w:shd w:val="clear" w:color="auto" w:fill="FFFFFF"/>
        </w:rPr>
        <w:t xml:space="preserve">Liritzis, </w:t>
      </w:r>
      <w:r w:rsidR="001A7847" w:rsidRPr="00631754">
        <w:rPr>
          <w:rFonts w:ascii="Calibri" w:hAnsi="Calibri" w:cs="Calibri"/>
          <w:spacing w:val="2"/>
          <w:sz w:val="24"/>
          <w:szCs w:val="24"/>
          <w:shd w:val="clear" w:color="auto" w:fill="FFFFFF"/>
        </w:rPr>
        <w:t>2013).</w:t>
      </w:r>
      <w:r w:rsidR="00B5143A">
        <w:rPr>
          <w:rFonts w:ascii="Calibri" w:hAnsi="Calibri" w:cs="Calibri"/>
          <w:spacing w:val="2"/>
          <w:sz w:val="24"/>
          <w:szCs w:val="24"/>
          <w:shd w:val="clear" w:color="auto" w:fill="FFFFFF"/>
        </w:rPr>
        <w:t xml:space="preserve"> </w:t>
      </w:r>
      <w:r w:rsidR="006D0009" w:rsidRPr="0089487C">
        <w:rPr>
          <w:rFonts w:ascii="Calibri" w:hAnsi="Calibri" w:cs="Calibri"/>
          <w:spacing w:val="2"/>
          <w:sz w:val="24"/>
          <w:szCs w:val="24"/>
          <w:shd w:val="clear" w:color="auto" w:fill="FFFFFF"/>
        </w:rPr>
        <w:t>Karl Marx identified five stages of socio-economic development: primitive communities, slave societies, feudalism, capitalism, and a future classless society</w:t>
      </w:r>
      <w:r w:rsidR="0089487C" w:rsidRPr="0089487C">
        <w:rPr>
          <w:rFonts w:ascii="Calibri" w:hAnsi="Calibri" w:cs="Calibri"/>
          <w:spacing w:val="2"/>
          <w:sz w:val="24"/>
          <w:szCs w:val="24"/>
          <w:shd w:val="clear" w:color="auto" w:fill="FFFFFF"/>
        </w:rPr>
        <w:t xml:space="preserve"> (Hoogvelt, 1982, pp. 149-170)</w:t>
      </w:r>
      <w:r w:rsidR="006D0009" w:rsidRPr="0089487C">
        <w:rPr>
          <w:rFonts w:ascii="Calibri" w:hAnsi="Calibri" w:cs="Calibri"/>
          <w:spacing w:val="2"/>
          <w:sz w:val="24"/>
          <w:szCs w:val="24"/>
          <w:shd w:val="clear" w:color="auto" w:fill="FFFFFF"/>
        </w:rPr>
        <w:t>. This linear progression was influential in the twentieth century, but history often unfolds non-linearly, with regressions and hybrid systems, meaning many societies do not fit neatly into Marx's framework</w:t>
      </w:r>
      <w:r w:rsidR="006D0009">
        <w:rPr>
          <w:rFonts w:ascii="Calibri" w:hAnsi="Calibri" w:cs="Calibri"/>
          <w:b/>
          <w:bCs/>
          <w:color w:val="C00000"/>
          <w:spacing w:val="2"/>
          <w:sz w:val="24"/>
          <w:szCs w:val="24"/>
          <w:shd w:val="clear" w:color="auto" w:fill="FFFFFF"/>
        </w:rPr>
        <w:t>.</w:t>
      </w:r>
    </w:p>
    <w:p w14:paraId="572428BF" w14:textId="52B5880F" w:rsidR="00DF3759" w:rsidRPr="00E8254D" w:rsidRDefault="003B746D" w:rsidP="00880BDE">
      <w:pPr>
        <w:spacing w:after="120" w:line="360" w:lineRule="auto"/>
        <w:rPr>
          <w:rFonts w:ascii="Calibri" w:hAnsi="Calibri" w:cs="Calibri"/>
          <w:spacing w:val="2"/>
          <w:sz w:val="24"/>
          <w:szCs w:val="24"/>
          <w:shd w:val="clear" w:color="auto" w:fill="FFFFFF"/>
        </w:rPr>
      </w:pPr>
      <w:r w:rsidRPr="00E8254D">
        <w:rPr>
          <w:rFonts w:ascii="Calibri" w:hAnsi="Calibri" w:cs="Calibri"/>
          <w:spacing w:val="2"/>
          <w:sz w:val="24"/>
          <w:szCs w:val="24"/>
          <w:shd w:val="clear" w:color="auto" w:fill="FFFFFF"/>
        </w:rPr>
        <w:t xml:space="preserve">The rise and fall of the Western Roman Empire exemplifies a non-linear historical trajectory. It collapsed due to internal chaos and external threats, particularly from the Goths and Vandals. During the fifth to seventh centuries, archaeological findings reveal a </w:t>
      </w:r>
      <w:r w:rsidR="00475A1D" w:rsidRPr="00E8254D">
        <w:rPr>
          <w:rFonts w:ascii="Calibri" w:hAnsi="Calibri" w:cs="Calibri"/>
          <w:spacing w:val="2"/>
          <w:sz w:val="24"/>
          <w:szCs w:val="24"/>
          <w:shd w:val="clear" w:color="auto" w:fill="FFFFFF"/>
        </w:rPr>
        <w:t>substantial</w:t>
      </w:r>
      <w:r w:rsidRPr="00E8254D">
        <w:rPr>
          <w:rFonts w:ascii="Calibri" w:hAnsi="Calibri" w:cs="Calibri"/>
          <w:spacing w:val="2"/>
          <w:sz w:val="24"/>
          <w:szCs w:val="24"/>
          <w:shd w:val="clear" w:color="auto" w:fill="FFFFFF"/>
        </w:rPr>
        <w:t xml:space="preserve"> </w:t>
      </w:r>
      <w:r w:rsidR="00475A1D" w:rsidRPr="00E8254D">
        <w:rPr>
          <w:rFonts w:ascii="Calibri" w:hAnsi="Calibri" w:cs="Calibri"/>
          <w:spacing w:val="2"/>
          <w:sz w:val="24"/>
          <w:szCs w:val="24"/>
          <w:shd w:val="clear" w:color="auto" w:fill="FFFFFF"/>
        </w:rPr>
        <w:t>deterioration</w:t>
      </w:r>
      <w:r w:rsidRPr="00E8254D">
        <w:rPr>
          <w:rFonts w:ascii="Calibri" w:hAnsi="Calibri" w:cs="Calibri"/>
          <w:spacing w:val="2"/>
          <w:sz w:val="24"/>
          <w:szCs w:val="24"/>
          <w:shd w:val="clear" w:color="auto" w:fill="FFFFFF"/>
        </w:rPr>
        <w:t xml:space="preserve"> in the advanced features of Roman life, marking the end of </w:t>
      </w:r>
      <w:r w:rsidR="0084630E">
        <w:rPr>
          <w:rFonts w:ascii="Calibri" w:hAnsi="Calibri" w:cs="Calibri"/>
          <w:spacing w:val="2"/>
          <w:sz w:val="24"/>
          <w:szCs w:val="24"/>
          <w:shd w:val="clear" w:color="auto" w:fill="FFFFFF"/>
        </w:rPr>
        <w:t>the</w:t>
      </w:r>
      <w:r w:rsidRPr="00E8254D">
        <w:rPr>
          <w:rFonts w:ascii="Calibri" w:hAnsi="Calibri" w:cs="Calibri"/>
          <w:spacing w:val="2"/>
          <w:sz w:val="24"/>
          <w:szCs w:val="24"/>
          <w:shd w:val="clear" w:color="auto" w:fill="FFFFFF"/>
        </w:rPr>
        <w:t xml:space="preserve"> </w:t>
      </w:r>
      <w:r w:rsidR="005E18FB">
        <w:rPr>
          <w:rFonts w:ascii="Calibri" w:hAnsi="Calibri" w:cs="Calibri"/>
          <w:spacing w:val="2"/>
          <w:sz w:val="24"/>
          <w:szCs w:val="24"/>
          <w:shd w:val="clear" w:color="auto" w:fill="FFFFFF"/>
        </w:rPr>
        <w:t>civilisation</w:t>
      </w:r>
      <w:r w:rsidRPr="00E8254D">
        <w:rPr>
          <w:rFonts w:ascii="Calibri" w:hAnsi="Calibri" w:cs="Calibri"/>
          <w:spacing w:val="2"/>
          <w:sz w:val="24"/>
          <w:szCs w:val="24"/>
          <w:shd w:val="clear" w:color="auto" w:fill="FFFFFF"/>
        </w:rPr>
        <w:t>. Urban decline in Rome is evident as monumental structures were repurposed or neglected, and technological skills diminished. This transformation coincided with Germanic invasions, indicating that war and the breakdown of trading networks were key factors. Although Western Europe eventually recovered, it took nearly a thousand years to regain the previous levels of economic activity and living standards</w:t>
      </w:r>
      <w:r w:rsidR="00E8254D" w:rsidRPr="00E8254D">
        <w:rPr>
          <w:rFonts w:ascii="Calibri" w:hAnsi="Calibri" w:cs="Calibri"/>
          <w:spacing w:val="2"/>
          <w:sz w:val="24"/>
          <w:szCs w:val="24"/>
          <w:shd w:val="clear" w:color="auto" w:fill="FFFFFF"/>
        </w:rPr>
        <w:t xml:space="preserve"> </w:t>
      </w:r>
      <w:r w:rsidR="003A39E6" w:rsidRPr="00E8254D">
        <w:rPr>
          <w:rFonts w:ascii="Calibri" w:hAnsi="Calibri" w:cs="Calibri"/>
          <w:spacing w:val="2"/>
          <w:sz w:val="24"/>
          <w:szCs w:val="24"/>
          <w:shd w:val="clear" w:color="auto" w:fill="FFFFFF"/>
        </w:rPr>
        <w:t>(Ward-Perkins, 2005).</w:t>
      </w:r>
    </w:p>
    <w:p w14:paraId="760BD494" w14:textId="7FF73B6F" w:rsidR="00BB3F70" w:rsidRPr="00D05BE8" w:rsidRDefault="00D05BE8" w:rsidP="00D05BE8">
      <w:pPr>
        <w:spacing w:line="360" w:lineRule="auto"/>
        <w:rPr>
          <w:rFonts w:ascii="Calibri" w:hAnsi="Calibri" w:cs="Calibri"/>
          <w:color w:val="000000" w:themeColor="text1"/>
          <w:sz w:val="24"/>
          <w:szCs w:val="24"/>
        </w:rPr>
      </w:pPr>
      <w:r>
        <w:rPr>
          <w:noProof/>
        </w:rPr>
        <w:drawing>
          <wp:anchor distT="0" distB="0" distL="114300" distR="114300" simplePos="0" relativeHeight="251639296" behindDoc="1" locked="0" layoutInCell="1" allowOverlap="1" wp14:anchorId="09E8705F" wp14:editId="31162315">
            <wp:simplePos x="0" y="0"/>
            <wp:positionH relativeFrom="margin">
              <wp:posOffset>2620645</wp:posOffset>
            </wp:positionH>
            <wp:positionV relativeFrom="margin">
              <wp:posOffset>6652895</wp:posOffset>
            </wp:positionV>
            <wp:extent cx="3121025" cy="2209800"/>
            <wp:effectExtent l="19050" t="19050" r="22225" b="19050"/>
            <wp:wrapSquare wrapText="bothSides"/>
            <wp:docPr id="2105011039" name="Picture 1" descr="A stone structure with a group of peopl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11039" name="Picture 1" descr="A stone structure with a group of people o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1025" cy="220980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3E4A6F">
        <w:rPr>
          <w:rFonts w:ascii="Calibri" w:hAnsi="Calibri" w:cs="Calibri"/>
          <w:sz w:val="24"/>
          <w:szCs w:val="24"/>
        </w:rPr>
        <w:t>The collapse of complex societies like the Indus Valley</w:t>
      </w:r>
      <w:r>
        <w:rPr>
          <w:rFonts w:ascii="Calibri" w:hAnsi="Calibri" w:cs="Calibri"/>
          <w:sz w:val="24"/>
          <w:szCs w:val="24"/>
        </w:rPr>
        <w:t xml:space="preserve"> (See Figure 1)</w:t>
      </w:r>
      <w:r w:rsidR="003E4A6F">
        <w:rPr>
          <w:rFonts w:ascii="Calibri" w:hAnsi="Calibri" w:cs="Calibri"/>
          <w:sz w:val="24"/>
          <w:szCs w:val="24"/>
        </w:rPr>
        <w:t xml:space="preserve"> highlights how progress can </w:t>
      </w:r>
      <w:r w:rsidR="0084630E">
        <w:rPr>
          <w:rFonts w:ascii="Calibri" w:hAnsi="Calibri" w:cs="Calibri"/>
          <w:sz w:val="24"/>
          <w:szCs w:val="24"/>
        </w:rPr>
        <w:t>be undone</w:t>
      </w:r>
      <w:r w:rsidR="003E4A6F">
        <w:rPr>
          <w:rFonts w:ascii="Calibri" w:hAnsi="Calibri" w:cs="Calibri"/>
          <w:sz w:val="24"/>
          <w:szCs w:val="24"/>
        </w:rPr>
        <w:t>, leading to the loss of advanced technology and knowledge. Archaeological evidence shows that the Bronze Age Indus civili</w:t>
      </w:r>
      <w:r w:rsidR="00BB763A">
        <w:rPr>
          <w:rFonts w:ascii="Calibri" w:hAnsi="Calibri" w:cs="Calibri"/>
          <w:sz w:val="24"/>
          <w:szCs w:val="24"/>
        </w:rPr>
        <w:t>s</w:t>
      </w:r>
      <w:r w:rsidR="003E4A6F">
        <w:rPr>
          <w:rFonts w:ascii="Calibri" w:hAnsi="Calibri" w:cs="Calibri"/>
          <w:sz w:val="24"/>
          <w:szCs w:val="24"/>
        </w:rPr>
        <w:t>ation was a highly sophisticated urban society that emerged in the third millennium BC, covering regions of modern-day Pakistan and India</w:t>
      </w:r>
      <w:r w:rsidR="00E132D3">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(Menon, 2019</w:t>
      </w:r>
      <w:r w:rsidR="00120B5A">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Robinson, 2021, pp.</w:t>
      </w:r>
      <w:r w:rsidR="00120B5A">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27-46</w:t>
      </w:r>
      <w:r w:rsidR="00BB763A">
        <w:rPr>
          <w:rFonts w:ascii="Calibri" w:hAnsi="Calibri" w:cs="Calibri"/>
          <w:color w:val="000000" w:themeColor="text1"/>
          <w:sz w:val="24"/>
          <w:szCs w:val="24"/>
        </w:rPr>
        <w:t xml:space="preserve">). The </w:t>
      </w:r>
      <w:r w:rsidR="00BB763A" w:rsidRPr="00D05BE8">
        <w:rPr>
          <w:rFonts w:ascii="Calibri" w:hAnsi="Calibri" w:cs="Calibri"/>
          <w:sz w:val="24"/>
          <w:szCs w:val="24"/>
        </w:rPr>
        <w:t>Indus</w:t>
      </w:r>
      <w:r w:rsidR="00BB763A">
        <w:rPr>
          <w:rFonts w:ascii="Calibri" w:hAnsi="Calibri" w:cs="Calibri"/>
          <w:color w:val="000000" w:themeColor="text1"/>
          <w:sz w:val="24"/>
          <w:szCs w:val="24"/>
        </w:rPr>
        <w:t xml:space="preserve"> River civilisation had over 5 million people across 1,399 sites, with Mohenjo-Daro and Harappa housing </w:t>
      </w:r>
      <w:r w:rsidR="00475A1D">
        <w:rPr>
          <w:rFonts w:ascii="Calibri" w:hAnsi="Calibri" w:cs="Calibri"/>
          <w:color w:val="000000" w:themeColor="text1"/>
          <w:sz w:val="24"/>
          <w:szCs w:val="24"/>
        </w:rPr>
        <w:t>between</w:t>
      </w:r>
      <w:r w:rsidR="00BB763A">
        <w:rPr>
          <w:rFonts w:ascii="Calibri" w:hAnsi="Calibri" w:cs="Calibri"/>
          <w:color w:val="000000" w:themeColor="text1"/>
          <w:sz w:val="24"/>
          <w:szCs w:val="24"/>
        </w:rPr>
        <w:t xml:space="preserve"> 30,000 and 40,000 residents, respectively</w:t>
      </w:r>
      <w:r w:rsidR="00445F83">
        <w:rPr>
          <w:rFonts w:ascii="Calibri" w:hAnsi="Calibri" w:cs="Calibri"/>
          <w:color w:val="000000" w:themeColor="text1"/>
          <w:sz w:val="24"/>
          <w:szCs w:val="24"/>
        </w:rPr>
        <w:t xml:space="preserve"> </w:t>
      </w:r>
      <w:r w:rsidR="00DA551E" w:rsidRPr="001E6887">
        <w:rPr>
          <w:rFonts w:ascii="Calibri" w:hAnsi="Calibri" w:cs="Calibri"/>
          <w:color w:val="000000" w:themeColor="text1"/>
          <w:sz w:val="24"/>
          <w:szCs w:val="24"/>
        </w:rPr>
        <w:t xml:space="preserve">(Maisels, 2001, pp. 180-181). </w:t>
      </w:r>
      <w:r w:rsidR="00475A1D">
        <w:rPr>
          <w:rFonts w:ascii="Calibri" w:hAnsi="Calibri" w:cs="Calibri"/>
          <w:color w:val="000000" w:themeColor="text1"/>
          <w:sz w:val="24"/>
          <w:szCs w:val="24"/>
        </w:rPr>
        <w:t xml:space="preserve">These urban areas featured fortified citadels, walls, gateways, and the Great Bath located at Mohenjo-Daro. Additionally, they comprised </w:t>
      </w:r>
      <w:r w:rsidR="00475A1D">
        <w:rPr>
          <w:rFonts w:ascii="Calibri" w:hAnsi="Calibri" w:cs="Calibri"/>
          <w:color w:val="000000" w:themeColor="text1"/>
          <w:sz w:val="24"/>
          <w:szCs w:val="24"/>
        </w:rPr>
        <w:lastRenderedPageBreak/>
        <w:t>standard residences equipped with wells, bathrooms, and drainage systems</w:t>
      </w:r>
      <w:r w:rsidR="00DA551E" w:rsidRPr="001E6887">
        <w:rPr>
          <w:rFonts w:ascii="Calibri" w:hAnsi="Calibri" w:cs="Calibri"/>
          <w:color w:val="000000" w:themeColor="text1"/>
          <w:sz w:val="24"/>
          <w:szCs w:val="24"/>
        </w:rPr>
        <w:t xml:space="preserve"> (Robinson, 2021, pp. 46-62</w:t>
      </w:r>
      <w:r w:rsidR="0016653B">
        <w:rPr>
          <w:rFonts w:ascii="Calibri" w:hAnsi="Calibri" w:cs="Calibri"/>
          <w:color w:val="000000" w:themeColor="text1"/>
          <w:sz w:val="24"/>
          <w:szCs w:val="24"/>
        </w:rPr>
        <w:t xml:space="preserve">). The decline of the </w:t>
      </w:r>
      <w:r w:rsidR="005E18FB">
        <w:rPr>
          <w:rFonts w:ascii="Calibri" w:hAnsi="Calibri" w:cs="Calibri"/>
          <w:color w:val="000000" w:themeColor="text1"/>
          <w:sz w:val="24"/>
          <w:szCs w:val="24"/>
        </w:rPr>
        <w:t>civilisation</w:t>
      </w:r>
      <w:r w:rsidR="0016653B">
        <w:rPr>
          <w:rFonts w:ascii="Calibri" w:hAnsi="Calibri" w:cs="Calibri"/>
          <w:color w:val="000000" w:themeColor="text1"/>
          <w:sz w:val="24"/>
          <w:szCs w:val="24"/>
        </w:rPr>
        <w:t xml:space="preserve"> is attributed to environmental, social, and economic factors. </w:t>
      </w:r>
      <w:r w:rsidR="00475A1D">
        <w:rPr>
          <w:rFonts w:ascii="Calibri" w:hAnsi="Calibri" w:cs="Calibri"/>
          <w:color w:val="000000" w:themeColor="text1"/>
          <w:sz w:val="24"/>
          <w:szCs w:val="24"/>
        </w:rPr>
        <w:t>Climate-related stress due to a diminished monsoon affected urban areas such as Harappa</w:t>
      </w:r>
      <w:r w:rsidR="0016653B">
        <w:rPr>
          <w:rFonts w:ascii="Calibri" w:hAnsi="Calibri" w:cs="Calibri"/>
          <w:color w:val="000000" w:themeColor="text1"/>
          <w:sz w:val="24"/>
          <w:szCs w:val="24"/>
        </w:rPr>
        <w:t xml:space="preserve">, disrupting regional networks and urban stability. This led to heightened vulnerability among </w:t>
      </w:r>
      <w:r w:rsidR="005E18FB">
        <w:rPr>
          <w:rFonts w:ascii="Calibri" w:hAnsi="Calibri" w:cs="Calibri"/>
          <w:color w:val="000000" w:themeColor="text1"/>
          <w:sz w:val="24"/>
          <w:szCs w:val="24"/>
        </w:rPr>
        <w:t>marginalised</w:t>
      </w:r>
      <w:r w:rsidR="0016653B">
        <w:rPr>
          <w:rFonts w:ascii="Calibri" w:hAnsi="Calibri" w:cs="Calibri"/>
          <w:color w:val="000000" w:themeColor="text1"/>
          <w:sz w:val="24"/>
          <w:szCs w:val="24"/>
        </w:rPr>
        <w:t xml:space="preserve"> communities, exacerbated by rising infections and diseases </w:t>
      </w:r>
      <w:r w:rsidR="00DA551E" w:rsidRPr="001E6887">
        <w:rPr>
          <w:rFonts w:ascii="Calibri" w:hAnsi="Calibri" w:cs="Calibri"/>
          <w:color w:val="000000" w:themeColor="text1"/>
          <w:sz w:val="24"/>
          <w:szCs w:val="24"/>
        </w:rPr>
        <w:t xml:space="preserve">(Robbins Schug </w:t>
      </w:r>
      <w:r w:rsidR="00DA551E" w:rsidRPr="00511E98">
        <w:rPr>
          <w:rFonts w:ascii="Calibri" w:hAnsi="Calibri" w:cs="Calibri"/>
          <w:i/>
          <w:iCs/>
          <w:color w:val="000000" w:themeColor="text1"/>
          <w:sz w:val="24"/>
          <w:szCs w:val="24"/>
        </w:rPr>
        <w:t>et al.,</w:t>
      </w:r>
      <w:r w:rsidR="00DA551E" w:rsidRPr="001E6887">
        <w:rPr>
          <w:rFonts w:ascii="Calibri" w:hAnsi="Calibri" w:cs="Calibri"/>
          <w:color w:val="000000" w:themeColor="text1"/>
          <w:sz w:val="24"/>
          <w:szCs w:val="24"/>
        </w:rPr>
        <w:t xml:space="preserve"> 2013).</w:t>
      </w:r>
    </w:p>
    <w:p w14:paraId="243814ED" w14:textId="2B5D817F" w:rsidR="009E6F84" w:rsidRDefault="00FA4726" w:rsidP="00880BDE">
      <w:pPr>
        <w:spacing w:after="120" w:line="360" w:lineRule="auto"/>
        <w:rPr>
          <w:rFonts w:ascii="Calibri" w:hAnsi="Calibri" w:cs="Calibri"/>
          <w:color w:val="000000" w:themeColor="text1"/>
          <w:sz w:val="24"/>
          <w:szCs w:val="24"/>
        </w:rPr>
      </w:pPr>
      <w:r w:rsidRPr="00631754">
        <w:rPr>
          <w:rFonts w:ascii="Calibri" w:hAnsi="Calibri" w:cs="Calibri"/>
          <w:sz w:val="24"/>
          <w:szCs w:val="24"/>
        </w:rPr>
        <w:t xml:space="preserve">The term ‘technology’ comes </w:t>
      </w:r>
      <w:r>
        <w:rPr>
          <w:rFonts w:ascii="Calibri" w:hAnsi="Calibri" w:cs="Calibri"/>
          <w:color w:val="000000" w:themeColor="text1"/>
          <w:sz w:val="24"/>
          <w:szCs w:val="24"/>
        </w:rPr>
        <w:t xml:space="preserve">from the Greek word ‘techne,’ meaning ‘art or craft.’ Modern definitions vary by discipline. </w:t>
      </w:r>
      <w:r w:rsidR="00A80205" w:rsidRPr="00A80205">
        <w:rPr>
          <w:rFonts w:ascii="Calibri" w:hAnsi="Calibri" w:cs="Calibri"/>
          <w:color w:val="000000" w:themeColor="text1"/>
          <w:sz w:val="24"/>
          <w:szCs w:val="24"/>
        </w:rPr>
        <w:t>While current concepts aid in understanding ancient technologies, they may misinterpret pre-industrial societies.</w:t>
      </w:r>
      <w:r>
        <w:rPr>
          <w:rFonts w:ascii="Calibri" w:hAnsi="Calibri" w:cs="Calibri"/>
          <w:color w:val="000000" w:themeColor="text1"/>
          <w:sz w:val="24"/>
          <w:szCs w:val="24"/>
        </w:rPr>
        <w:t xml:space="preserve"> The idea of </w:t>
      </w:r>
      <w:r w:rsidR="00CD4A1F">
        <w:rPr>
          <w:rFonts w:ascii="Calibri" w:hAnsi="Calibri" w:cs="Calibri"/>
          <w:color w:val="000000" w:themeColor="text1"/>
          <w:sz w:val="24"/>
          <w:szCs w:val="24"/>
        </w:rPr>
        <w:t>‘</w:t>
      </w:r>
      <w:r>
        <w:rPr>
          <w:rFonts w:ascii="Calibri" w:hAnsi="Calibri" w:cs="Calibri"/>
          <w:color w:val="000000" w:themeColor="text1"/>
          <w:sz w:val="24"/>
          <w:szCs w:val="24"/>
        </w:rPr>
        <w:t>progress</w:t>
      </w:r>
      <w:r w:rsidR="00CD4A1F">
        <w:rPr>
          <w:rFonts w:ascii="Calibri" w:hAnsi="Calibri" w:cs="Calibri"/>
          <w:color w:val="000000" w:themeColor="text1"/>
          <w:sz w:val="24"/>
          <w:szCs w:val="24"/>
        </w:rPr>
        <w:t>’</w:t>
      </w:r>
      <w:r>
        <w:rPr>
          <w:rFonts w:ascii="Calibri" w:hAnsi="Calibri" w:cs="Calibri"/>
          <w:color w:val="000000" w:themeColor="text1"/>
          <w:sz w:val="24"/>
          <w:szCs w:val="24"/>
        </w:rPr>
        <w:t xml:space="preserve"> is often tied to post-Enlightenment imperialism and technological determinism, which consider non-industrialized societies as inherently flawed</w:t>
      </w:r>
      <w:r w:rsidR="00CD4A1F">
        <w:rPr>
          <w:rFonts w:ascii="Calibri" w:hAnsi="Calibri" w:cs="Calibri"/>
          <w:color w:val="000000" w:themeColor="text1"/>
          <w:sz w:val="24"/>
          <w:szCs w:val="24"/>
        </w:rPr>
        <w:t xml:space="preserve"> </w:t>
      </w:r>
      <w:r w:rsidR="00DB2FE1" w:rsidRPr="001E6887">
        <w:rPr>
          <w:rFonts w:ascii="Calibri" w:hAnsi="Calibri" w:cs="Calibri"/>
          <w:color w:val="000000" w:themeColor="text1"/>
          <w:sz w:val="24"/>
          <w:szCs w:val="24"/>
        </w:rPr>
        <w:t>(Lancaster, 2016).</w:t>
      </w:r>
      <w:r w:rsidR="009E6F84">
        <w:rPr>
          <w:rFonts w:ascii="Calibri" w:hAnsi="Calibri" w:cs="Calibri"/>
          <w:color w:val="000000" w:themeColor="text1"/>
          <w:sz w:val="24"/>
          <w:szCs w:val="24"/>
        </w:rPr>
        <w:t xml:space="preserve"> </w:t>
      </w:r>
    </w:p>
    <w:p w14:paraId="524FF45D" w14:textId="00EF4F35" w:rsidR="003A39E6" w:rsidRPr="0059481A" w:rsidRDefault="0084630E" w:rsidP="00880BDE">
      <w:pPr>
        <w:spacing w:after="120" w:line="360" w:lineRule="auto"/>
        <w:rPr>
          <w:rFonts w:ascii="Calibri" w:hAnsi="Calibri" w:cs="Calibri"/>
          <w:color w:val="000000" w:themeColor="text1"/>
          <w:sz w:val="24"/>
          <w:szCs w:val="24"/>
        </w:rPr>
      </w:pPr>
      <w:r>
        <w:rPr>
          <w:noProof/>
        </w:rPr>
        <w:drawing>
          <wp:anchor distT="0" distB="0" distL="114300" distR="114300" simplePos="0" relativeHeight="251660800" behindDoc="1" locked="0" layoutInCell="1" allowOverlap="1" wp14:anchorId="3CB42653" wp14:editId="43F0FCBE">
            <wp:simplePos x="0" y="0"/>
            <wp:positionH relativeFrom="margin">
              <wp:posOffset>61595</wp:posOffset>
            </wp:positionH>
            <wp:positionV relativeFrom="margin">
              <wp:posOffset>6071870</wp:posOffset>
            </wp:positionV>
            <wp:extent cx="2694940" cy="2066925"/>
            <wp:effectExtent l="19050" t="19050" r="10160" b="28575"/>
            <wp:wrapTight wrapText="bothSides">
              <wp:wrapPolygon edited="0">
                <wp:start x="-153" y="-199"/>
                <wp:lineTo x="-153" y="21700"/>
                <wp:lineTo x="21529" y="21700"/>
                <wp:lineTo x="21529" y="-199"/>
                <wp:lineTo x="-153" y="-199"/>
              </wp:wrapPolygon>
            </wp:wrapTight>
            <wp:docPr id="483075243" name="Picture 3" descr="Several different rock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075243" name="Picture 3" descr="Several different rocks on a white su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4940" cy="206692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584" behindDoc="1" locked="0" layoutInCell="1" allowOverlap="1" wp14:anchorId="40A8E86B" wp14:editId="371DC8FF">
            <wp:simplePos x="0" y="0"/>
            <wp:positionH relativeFrom="margin">
              <wp:posOffset>3115310</wp:posOffset>
            </wp:positionH>
            <wp:positionV relativeFrom="margin">
              <wp:posOffset>2985135</wp:posOffset>
            </wp:positionV>
            <wp:extent cx="2552700" cy="2330450"/>
            <wp:effectExtent l="19050" t="19050" r="19050" b="12700"/>
            <wp:wrapSquare wrapText="bothSides"/>
            <wp:docPr id="409251710" name="Picture 2" descr="A close-up of a c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51710" name="Picture 2" descr="A close-up of a cav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2700" cy="233045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1B3184">
        <w:rPr>
          <w:rFonts w:ascii="Calibri" w:hAnsi="Calibri" w:cs="Calibri"/>
          <w:color w:val="000000" w:themeColor="text1"/>
          <w:sz w:val="24"/>
          <w:szCs w:val="24"/>
        </w:rPr>
        <w:t xml:space="preserve">Archaeology </w:t>
      </w:r>
      <w:r w:rsidR="000E6C8B">
        <w:rPr>
          <w:rFonts w:ascii="Calibri" w:hAnsi="Calibri" w:cs="Calibri"/>
          <w:sz w:val="24"/>
          <w:szCs w:val="24"/>
        </w:rPr>
        <w:t>reveals a comprehensive timeline of innovations</w:t>
      </w:r>
      <w:r w:rsidR="00120C99">
        <w:rPr>
          <w:rFonts w:ascii="Calibri" w:hAnsi="Calibri" w:cs="Calibri"/>
          <w:sz w:val="24"/>
          <w:szCs w:val="24"/>
        </w:rPr>
        <w:t xml:space="preserve"> and </w:t>
      </w:r>
      <w:r w:rsidR="001B3184">
        <w:rPr>
          <w:rFonts w:ascii="Calibri" w:hAnsi="Calibri" w:cs="Calibri"/>
          <w:color w:val="000000" w:themeColor="text1"/>
          <w:sz w:val="24"/>
          <w:szCs w:val="24"/>
        </w:rPr>
        <w:t xml:space="preserve">enhances our understanding of human progress by illuminating technological advancements. One of the earliest indications of improved foresight in our ancestors was fire control, which represents a significant technological milestone. The ability to control fire provided warmth, protection, and a means for food preparation. Evidence suggests that controlled use of fire dates back approximately 1.6 million years, with consistent usage emerging around 400,000 to 300,000 years ago. Excavations at </w:t>
      </w:r>
      <w:r w:rsidR="001B3184" w:rsidRPr="00D05BE8">
        <w:rPr>
          <w:rFonts w:ascii="Calibri" w:hAnsi="Calibri" w:cs="Calibri"/>
          <w:sz w:val="24"/>
          <w:szCs w:val="24"/>
        </w:rPr>
        <w:t>Qesem Cave</w:t>
      </w:r>
      <w:r w:rsidR="00D05BE8" w:rsidRPr="00D05BE8">
        <w:rPr>
          <w:rFonts w:ascii="Calibri" w:hAnsi="Calibri" w:cs="Calibri"/>
          <w:sz w:val="24"/>
          <w:szCs w:val="24"/>
        </w:rPr>
        <w:t xml:space="preserve"> </w:t>
      </w:r>
      <w:r w:rsidR="00D05BE8">
        <w:rPr>
          <w:rFonts w:ascii="Calibri" w:hAnsi="Calibri" w:cs="Calibri"/>
          <w:color w:val="000000" w:themeColor="text1"/>
          <w:sz w:val="24"/>
          <w:szCs w:val="24"/>
        </w:rPr>
        <w:t>(See Figure 2)</w:t>
      </w:r>
      <w:r w:rsidR="001B3184">
        <w:rPr>
          <w:rFonts w:ascii="Calibri" w:hAnsi="Calibri" w:cs="Calibri"/>
          <w:color w:val="000000" w:themeColor="text1"/>
          <w:sz w:val="24"/>
          <w:szCs w:val="24"/>
        </w:rPr>
        <w:t xml:space="preserve"> in Israel reveal a notable increase in fire usage around 300,000 years ago, indicating </w:t>
      </w:r>
      <w:r w:rsidR="005E18FB">
        <w:rPr>
          <w:rFonts w:ascii="Calibri" w:hAnsi="Calibri" w:cs="Calibri"/>
          <w:color w:val="000000" w:themeColor="text1"/>
          <w:sz w:val="24"/>
          <w:szCs w:val="24"/>
        </w:rPr>
        <w:t>essential</w:t>
      </w:r>
      <w:r w:rsidR="001B3184">
        <w:rPr>
          <w:rFonts w:ascii="Calibri" w:hAnsi="Calibri" w:cs="Calibri"/>
          <w:color w:val="000000" w:themeColor="text1"/>
          <w:sz w:val="24"/>
          <w:szCs w:val="24"/>
        </w:rPr>
        <w:t xml:space="preserve"> shifts in human behaviour</w:t>
      </w:r>
      <w:r w:rsidR="001D5EC8">
        <w:rPr>
          <w:rFonts w:ascii="Calibri" w:hAnsi="Calibri" w:cs="Calibri"/>
          <w:color w:val="1B1B1B"/>
          <w:sz w:val="24"/>
          <w:szCs w:val="24"/>
          <w:shd w:val="clear" w:color="auto" w:fill="FFFFFF"/>
        </w:rPr>
        <w:t xml:space="preserve">. </w:t>
      </w:r>
      <w:r w:rsidR="001727AF">
        <w:rPr>
          <w:rFonts w:ascii="Calibri" w:hAnsi="Calibri" w:cs="Calibri"/>
          <w:color w:val="000000" w:themeColor="text1"/>
          <w:sz w:val="24"/>
          <w:szCs w:val="24"/>
        </w:rPr>
        <w:t xml:space="preserve">Archaeologists connect stone tool evidence to key questions about human evolution. Early stone tools, such </w:t>
      </w:r>
      <w:r w:rsidR="001727AF" w:rsidRPr="00D05BE8">
        <w:rPr>
          <w:rFonts w:ascii="Calibri" w:hAnsi="Calibri" w:cs="Calibri"/>
          <w:sz w:val="24"/>
          <w:szCs w:val="24"/>
        </w:rPr>
        <w:t xml:space="preserve">as </w:t>
      </w:r>
      <w:r w:rsidR="007C7141" w:rsidRPr="00D05BE8">
        <w:rPr>
          <w:rFonts w:ascii="Calibri" w:hAnsi="Calibri" w:cs="Calibri"/>
          <w:sz w:val="24"/>
          <w:szCs w:val="24"/>
        </w:rPr>
        <w:t xml:space="preserve">Oldowan </w:t>
      </w:r>
      <w:r w:rsidR="001727AF">
        <w:rPr>
          <w:rFonts w:ascii="Calibri" w:hAnsi="Calibri" w:cs="Calibri"/>
          <w:color w:val="000000" w:themeColor="text1"/>
          <w:sz w:val="24"/>
          <w:szCs w:val="24"/>
        </w:rPr>
        <w:t xml:space="preserve">tools </w:t>
      </w:r>
      <w:r w:rsidR="00D05BE8">
        <w:rPr>
          <w:rFonts w:ascii="Calibri" w:hAnsi="Calibri" w:cs="Calibri"/>
          <w:color w:val="000000" w:themeColor="text1"/>
          <w:sz w:val="24"/>
          <w:szCs w:val="24"/>
        </w:rPr>
        <w:t xml:space="preserve">(See Figure 3) </w:t>
      </w:r>
      <w:r w:rsidR="001727AF">
        <w:rPr>
          <w:rFonts w:ascii="Calibri" w:hAnsi="Calibri" w:cs="Calibri"/>
          <w:color w:val="000000" w:themeColor="text1"/>
          <w:sz w:val="24"/>
          <w:szCs w:val="24"/>
        </w:rPr>
        <w:t xml:space="preserve">(2.5 </w:t>
      </w:r>
      <w:r w:rsidR="001727AF">
        <w:rPr>
          <w:rFonts w:ascii="Calibri" w:hAnsi="Calibri" w:cs="Calibri"/>
          <w:color w:val="000000" w:themeColor="text1"/>
          <w:sz w:val="24"/>
          <w:szCs w:val="24"/>
        </w:rPr>
        <w:lastRenderedPageBreak/>
        <w:t>million years ago) and</w:t>
      </w:r>
      <w:r>
        <w:rPr>
          <w:rFonts w:ascii="Calibri" w:hAnsi="Calibri" w:cs="Calibri"/>
          <w:color w:val="000000" w:themeColor="text1"/>
          <w:sz w:val="24"/>
          <w:szCs w:val="24"/>
        </w:rPr>
        <w:t xml:space="preserve"> </w:t>
      </w:r>
      <w:r w:rsidR="001727AF" w:rsidRPr="00D05BE8">
        <w:rPr>
          <w:rFonts w:ascii="Calibri" w:hAnsi="Calibri" w:cs="Calibri"/>
          <w:sz w:val="24"/>
          <w:szCs w:val="24"/>
        </w:rPr>
        <w:t>Acheulean axes</w:t>
      </w:r>
      <w:r w:rsidR="00D05BE8" w:rsidRPr="00D05BE8">
        <w:rPr>
          <w:rFonts w:ascii="Calibri" w:hAnsi="Calibri" w:cs="Calibri"/>
          <w:b/>
          <w:bCs/>
          <w:sz w:val="24"/>
          <w:szCs w:val="24"/>
        </w:rPr>
        <w:t xml:space="preserve"> </w:t>
      </w:r>
      <w:r w:rsidR="00D05BE8" w:rsidRPr="00D05BE8">
        <w:rPr>
          <w:noProof/>
        </w:rPr>
        <w:drawing>
          <wp:anchor distT="0" distB="0" distL="114300" distR="114300" simplePos="0" relativeHeight="251664896" behindDoc="1" locked="0" layoutInCell="1" allowOverlap="1" wp14:anchorId="13B08CA0" wp14:editId="002569BB">
            <wp:simplePos x="0" y="0"/>
            <wp:positionH relativeFrom="margin">
              <wp:posOffset>2890520</wp:posOffset>
            </wp:positionH>
            <wp:positionV relativeFrom="margin">
              <wp:posOffset>23495</wp:posOffset>
            </wp:positionV>
            <wp:extent cx="2849880" cy="2369185"/>
            <wp:effectExtent l="19050" t="19050" r="26670" b="12065"/>
            <wp:wrapSquare wrapText="bothSides"/>
            <wp:docPr id="1678446989" name="Picture 4" descr="A group of stone a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46989" name="Picture 4" descr="A group of stone ax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9880" cy="236918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D05BE8" w:rsidRPr="00D05BE8">
        <w:rPr>
          <w:rFonts w:ascii="Calibri" w:hAnsi="Calibri" w:cs="Calibri"/>
          <w:sz w:val="24"/>
          <w:szCs w:val="24"/>
        </w:rPr>
        <w:t>(See Figure 4)</w:t>
      </w:r>
      <w:r w:rsidR="001727AF" w:rsidRPr="00D05BE8">
        <w:rPr>
          <w:rFonts w:ascii="Calibri" w:hAnsi="Calibri" w:cs="Calibri"/>
          <w:sz w:val="24"/>
          <w:szCs w:val="24"/>
        </w:rPr>
        <w:t xml:space="preserve"> </w:t>
      </w:r>
      <w:r w:rsidR="001727AF">
        <w:rPr>
          <w:rFonts w:ascii="Calibri" w:hAnsi="Calibri" w:cs="Calibri"/>
          <w:color w:val="000000" w:themeColor="text1"/>
          <w:sz w:val="24"/>
          <w:szCs w:val="24"/>
        </w:rPr>
        <w:t xml:space="preserve">(1.8 million years ago), highlight advanced cognitive skills. Modern individuals struggle to replicate these tools, </w:t>
      </w:r>
      <w:r w:rsidR="005E18FB">
        <w:rPr>
          <w:rFonts w:ascii="Calibri" w:hAnsi="Calibri" w:cs="Calibri"/>
          <w:color w:val="000000" w:themeColor="text1"/>
          <w:sz w:val="24"/>
          <w:szCs w:val="24"/>
        </w:rPr>
        <w:t>emphasising</w:t>
      </w:r>
      <w:r w:rsidR="001727AF">
        <w:rPr>
          <w:rFonts w:ascii="Calibri" w:hAnsi="Calibri" w:cs="Calibri"/>
          <w:color w:val="000000" w:themeColor="text1"/>
          <w:sz w:val="24"/>
          <w:szCs w:val="24"/>
        </w:rPr>
        <w:t xml:space="preserve"> the role of social learning in flintknapping. Around 300,000 years ago, a shift to smaller, varied tools </w:t>
      </w:r>
      <w:r w:rsidR="005E18FB">
        <w:rPr>
          <w:rFonts w:ascii="Calibri" w:hAnsi="Calibri" w:cs="Calibri"/>
          <w:color w:val="000000" w:themeColor="text1"/>
          <w:sz w:val="24"/>
          <w:szCs w:val="24"/>
        </w:rPr>
        <w:t>reflected</w:t>
      </w:r>
      <w:r w:rsidR="001727AF">
        <w:rPr>
          <w:rFonts w:ascii="Calibri" w:hAnsi="Calibri" w:cs="Calibri"/>
          <w:color w:val="000000" w:themeColor="text1"/>
          <w:sz w:val="24"/>
          <w:szCs w:val="24"/>
        </w:rPr>
        <w:t xml:space="preserve"> improved planning during the Middle Stone Age (Langley and </w:t>
      </w:r>
      <w:proofErr w:type="spellStart"/>
      <w:r w:rsidR="001727AF">
        <w:rPr>
          <w:rFonts w:ascii="Calibri" w:hAnsi="Calibri" w:cs="Calibri"/>
          <w:color w:val="000000" w:themeColor="text1"/>
          <w:sz w:val="24"/>
          <w:szCs w:val="24"/>
        </w:rPr>
        <w:t>Suddendorf</w:t>
      </w:r>
      <w:proofErr w:type="spellEnd"/>
      <w:r w:rsidR="001727AF">
        <w:rPr>
          <w:rFonts w:ascii="Calibri" w:hAnsi="Calibri" w:cs="Calibri"/>
          <w:color w:val="000000" w:themeColor="text1"/>
          <w:sz w:val="24"/>
          <w:szCs w:val="24"/>
        </w:rPr>
        <w:t xml:space="preserve">, 2022). Lithic miniaturisation, seen in </w:t>
      </w:r>
      <w:r w:rsidR="001727AF" w:rsidRPr="00D05BE8">
        <w:rPr>
          <w:rFonts w:ascii="Calibri" w:hAnsi="Calibri" w:cs="Calibri"/>
          <w:sz w:val="24"/>
          <w:szCs w:val="24"/>
        </w:rPr>
        <w:t>Pleistocene toolmaking</w:t>
      </w:r>
      <w:r w:rsidR="00D05BE8" w:rsidRPr="00D05BE8">
        <w:rPr>
          <w:rFonts w:ascii="Calibri" w:hAnsi="Calibri" w:cs="Calibri"/>
          <w:sz w:val="24"/>
          <w:szCs w:val="24"/>
        </w:rPr>
        <w:t xml:space="preserve"> (See Figure 5)</w:t>
      </w:r>
      <w:r w:rsidR="001727AF" w:rsidRPr="00D05BE8">
        <w:rPr>
          <w:rFonts w:ascii="Calibri" w:hAnsi="Calibri" w:cs="Calibri"/>
          <w:sz w:val="24"/>
          <w:szCs w:val="24"/>
        </w:rPr>
        <w:t xml:space="preserve">, </w:t>
      </w:r>
      <w:r w:rsidR="001727AF">
        <w:rPr>
          <w:rFonts w:ascii="Calibri" w:hAnsi="Calibri" w:cs="Calibri"/>
          <w:color w:val="000000" w:themeColor="text1"/>
          <w:sz w:val="24"/>
          <w:szCs w:val="24"/>
        </w:rPr>
        <w:t>involves creating small-backed tools and bladelets</w:t>
      </w:r>
      <w:r w:rsidR="00D05BE8">
        <w:rPr>
          <w:rFonts w:ascii="Calibri" w:hAnsi="Calibri" w:cs="Calibri"/>
          <w:color w:val="000000" w:themeColor="text1"/>
          <w:sz w:val="24"/>
          <w:szCs w:val="24"/>
        </w:rPr>
        <w:t>. It</w:t>
      </w:r>
      <w:r w:rsidR="001727AF">
        <w:rPr>
          <w:rFonts w:ascii="Calibri" w:hAnsi="Calibri" w:cs="Calibri"/>
          <w:color w:val="000000" w:themeColor="text1"/>
          <w:sz w:val="24"/>
          <w:szCs w:val="24"/>
        </w:rPr>
        <w:t xml:space="preserve"> showcases the complex relationship between design and functionality, highlighting its evolutionary </w:t>
      </w:r>
      <w:r w:rsidR="00D05BE8">
        <w:rPr>
          <w:noProof/>
        </w:rPr>
        <w:drawing>
          <wp:anchor distT="0" distB="0" distL="114300" distR="114300" simplePos="0" relativeHeight="251673088" behindDoc="1" locked="0" layoutInCell="1" allowOverlap="1" wp14:anchorId="317C7116" wp14:editId="79A55F3F">
            <wp:simplePos x="0" y="0"/>
            <wp:positionH relativeFrom="margin">
              <wp:align>left</wp:align>
            </wp:positionH>
            <wp:positionV relativeFrom="margin">
              <wp:align>center</wp:align>
            </wp:positionV>
            <wp:extent cx="3467100" cy="2066925"/>
            <wp:effectExtent l="19050" t="19050" r="19050" b="28575"/>
            <wp:wrapSquare wrapText="bothSides"/>
            <wp:docPr id="2049926048" name="Picture 5" descr="Several stone tool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26048" name="Picture 5" descr="Several stone tools on a black backgroun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7100" cy="206692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1727AF">
        <w:rPr>
          <w:rFonts w:ascii="Calibri" w:hAnsi="Calibri" w:cs="Calibri"/>
          <w:color w:val="000000" w:themeColor="text1"/>
          <w:sz w:val="24"/>
          <w:szCs w:val="24"/>
        </w:rPr>
        <w:t>importance (Pargeter and Shea, 2019).</w:t>
      </w:r>
    </w:p>
    <w:p w14:paraId="6A80953E" w14:textId="300FC454" w:rsidR="00BB3F70" w:rsidRPr="00942ABC" w:rsidRDefault="00C60C81" w:rsidP="00880BDE">
      <w:pPr>
        <w:spacing w:after="120" w:line="360" w:lineRule="auto"/>
        <w:rPr>
          <w:rFonts w:ascii="Calibri" w:hAnsi="Calibri" w:cs="Calibri"/>
          <w:color w:val="000000" w:themeColor="text1"/>
          <w:sz w:val="24"/>
          <w:szCs w:val="24"/>
          <w:shd w:val="clear" w:color="auto" w:fill="FFFFFF"/>
        </w:rPr>
      </w:pPr>
      <w:r>
        <w:rPr>
          <w:rFonts w:ascii="Calibri" w:hAnsi="Calibri" w:cs="Calibri"/>
          <w:color w:val="000000" w:themeColor="text1"/>
          <w:sz w:val="24"/>
          <w:szCs w:val="24"/>
          <w:shd w:val="clear" w:color="auto" w:fill="FFFFFF"/>
        </w:rPr>
        <w:t xml:space="preserve">Technological progress does not automatically improve our cultural or ethical systems. Advanced weaponry has changed human morality, pushing societies to adapt to new conflict realities. While these technologies support defence, they lead to destruction and ethical dilemmas. </w:t>
      </w:r>
      <w:r w:rsidR="0084630E">
        <w:rPr>
          <w:rFonts w:ascii="Calibri" w:hAnsi="Calibri" w:cs="Calibri"/>
          <w:color w:val="000000" w:themeColor="text1"/>
          <w:sz w:val="24"/>
          <w:szCs w:val="24"/>
          <w:shd w:val="clear" w:color="auto" w:fill="FFFFFF"/>
        </w:rPr>
        <w:t>Throughout history, weapons have significantly influenced empires and global politics, as demonstrated by the bombings of Dresden, Hiroshima, and Nagasaki during the Second World War.</w:t>
      </w:r>
      <w:r>
        <w:rPr>
          <w:rFonts w:ascii="Calibri" w:hAnsi="Calibri" w:cs="Calibri"/>
          <w:color w:val="000000" w:themeColor="text1"/>
          <w:sz w:val="24"/>
          <w:szCs w:val="24"/>
          <w:shd w:val="clear" w:color="auto" w:fill="FFFFFF"/>
        </w:rPr>
        <w:t xml:space="preserve"> Today, innovations like artificial intelligence and cyber capabilities are transforming warfare dynamics, reducing certain risks but increasing the potential for military force for political purposes</w:t>
      </w:r>
      <w:r w:rsidR="00342B85">
        <w:rPr>
          <w:rFonts w:ascii="Calibri" w:hAnsi="Calibri" w:cs="Calibri"/>
          <w:color w:val="000000" w:themeColor="text1"/>
          <w:sz w:val="24"/>
          <w:szCs w:val="24"/>
          <w:shd w:val="clear" w:color="auto" w:fill="FFFFFF"/>
        </w:rPr>
        <w:t xml:space="preserve"> (Anthony, 2020). </w:t>
      </w:r>
      <w:r w:rsidR="0084630E">
        <w:rPr>
          <w:rFonts w:ascii="Calibri" w:hAnsi="Calibri" w:cs="Calibri"/>
          <w:color w:val="000000" w:themeColor="text1"/>
          <w:sz w:val="24"/>
          <w:szCs w:val="24"/>
          <w:shd w:val="clear" w:color="auto" w:fill="FFFFFF"/>
        </w:rPr>
        <w:t>Integrating</w:t>
      </w:r>
      <w:r w:rsidR="00342B85">
        <w:rPr>
          <w:rFonts w:ascii="Calibri" w:hAnsi="Calibri" w:cs="Calibri"/>
          <w:color w:val="000000" w:themeColor="text1"/>
          <w:sz w:val="24"/>
          <w:szCs w:val="24"/>
          <w:shd w:val="clear" w:color="auto" w:fill="FFFFFF"/>
        </w:rPr>
        <w:t xml:space="preserve"> A</w:t>
      </w:r>
      <w:r w:rsidR="0084630E">
        <w:rPr>
          <w:rFonts w:ascii="Calibri" w:hAnsi="Calibri" w:cs="Calibri"/>
          <w:color w:val="000000" w:themeColor="text1"/>
          <w:sz w:val="24"/>
          <w:szCs w:val="24"/>
          <w:shd w:val="clear" w:color="auto" w:fill="FFFFFF"/>
        </w:rPr>
        <w:t>rtificial Intelligence (AI)</w:t>
      </w:r>
      <w:r w:rsidR="00342B85">
        <w:rPr>
          <w:rFonts w:ascii="Calibri" w:hAnsi="Calibri" w:cs="Calibri"/>
          <w:color w:val="000000" w:themeColor="text1"/>
          <w:sz w:val="24"/>
          <w:szCs w:val="24"/>
          <w:shd w:val="clear" w:color="auto" w:fill="FFFFFF"/>
        </w:rPr>
        <w:t xml:space="preserve"> in military contexts poses significant challenges regarding moral responsibility. </w:t>
      </w:r>
      <w:r w:rsidR="00342B85" w:rsidRPr="00631754">
        <w:rPr>
          <w:rFonts w:ascii="Calibri" w:hAnsi="Calibri" w:cs="Calibri"/>
          <w:sz w:val="24"/>
          <w:szCs w:val="24"/>
          <w:shd w:val="clear" w:color="auto" w:fill="FFFFFF"/>
        </w:rPr>
        <w:t xml:space="preserve">Dr Elke Schwarz </w:t>
      </w:r>
      <w:r w:rsidR="00342B85">
        <w:rPr>
          <w:rFonts w:ascii="Calibri" w:hAnsi="Calibri" w:cs="Calibri"/>
          <w:color w:val="000000" w:themeColor="text1"/>
          <w:sz w:val="24"/>
          <w:szCs w:val="24"/>
          <w:shd w:val="clear" w:color="auto" w:fill="FFFFFF"/>
        </w:rPr>
        <w:t>(2024) warns, ‘We don’t want to reach a point where AI is used to make decisions about taking a life when no human can be held responsible for that decision</w:t>
      </w:r>
      <w:r w:rsidR="009D129C">
        <w:rPr>
          <w:rFonts w:ascii="Calibri" w:hAnsi="Calibri" w:cs="Calibri"/>
          <w:color w:val="000000" w:themeColor="text1"/>
          <w:sz w:val="24"/>
          <w:szCs w:val="24"/>
          <w:shd w:val="clear" w:color="auto" w:fill="FFFFFF"/>
        </w:rPr>
        <w:t xml:space="preserve">’, </w:t>
      </w:r>
      <w:r w:rsidR="00342B85">
        <w:rPr>
          <w:rFonts w:ascii="Calibri" w:hAnsi="Calibri" w:cs="Calibri"/>
          <w:color w:val="000000" w:themeColor="text1"/>
          <w:sz w:val="24"/>
          <w:szCs w:val="24"/>
          <w:shd w:val="clear" w:color="auto" w:fill="FFFFFF"/>
        </w:rPr>
        <w:t>highlighting the complex implications of technological advancements on ethics.</w:t>
      </w:r>
    </w:p>
    <w:p w14:paraId="7C266EA2" w14:textId="77777777" w:rsidR="001E6887" w:rsidRPr="001E6887" w:rsidRDefault="001E6887" w:rsidP="00880BDE">
      <w:pPr>
        <w:spacing w:after="120" w:line="360" w:lineRule="auto"/>
        <w:rPr>
          <w:rFonts w:ascii="Calibri" w:hAnsi="Calibri" w:cs="Calibri"/>
          <w:b/>
          <w:bCs/>
          <w:color w:val="000000" w:themeColor="text1"/>
          <w:sz w:val="24"/>
          <w:szCs w:val="24"/>
          <w:u w:val="single"/>
        </w:rPr>
      </w:pPr>
    </w:p>
    <w:p w14:paraId="5DEAADEC" w14:textId="698B2321" w:rsidR="00910940" w:rsidRPr="000E2271" w:rsidRDefault="00D05BE8" w:rsidP="00880BDE">
      <w:pPr>
        <w:spacing w:after="120" w:line="360" w:lineRule="auto"/>
        <w:rPr>
          <w:rFonts w:ascii="Calibri" w:hAnsi="Calibri" w:cs="Calibri"/>
          <w:sz w:val="24"/>
          <w:szCs w:val="24"/>
        </w:rPr>
      </w:pPr>
      <w:r>
        <w:rPr>
          <w:noProof/>
        </w:rPr>
        <w:lastRenderedPageBreak/>
        <w:drawing>
          <wp:anchor distT="0" distB="0" distL="114300" distR="114300" simplePos="0" relativeHeight="251675136" behindDoc="1" locked="0" layoutInCell="1" allowOverlap="1" wp14:anchorId="44DCD423" wp14:editId="58291B68">
            <wp:simplePos x="0" y="0"/>
            <wp:positionH relativeFrom="margin">
              <wp:posOffset>19050</wp:posOffset>
            </wp:positionH>
            <wp:positionV relativeFrom="margin">
              <wp:posOffset>3072765</wp:posOffset>
            </wp:positionV>
            <wp:extent cx="3400425" cy="2453640"/>
            <wp:effectExtent l="19050" t="19050" r="28575" b="22860"/>
            <wp:wrapSquare wrapText="bothSides"/>
            <wp:docPr id="312065037" name="Picture 6" descr="A close-up of a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65037" name="Picture 6" descr="A close-up of a po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0425" cy="245364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027D05" w:rsidRPr="005E3C4E">
        <w:rPr>
          <w:rFonts w:ascii="Calibri" w:hAnsi="Calibri" w:cs="Calibri"/>
          <w:sz w:val="24"/>
          <w:szCs w:val="24"/>
        </w:rPr>
        <w:t xml:space="preserve">Cultural evolution is the idea that changes in human culture resemble Darwinian evolution. This means that biological methods for studying evolution can also apply to cultural change. </w:t>
      </w:r>
      <w:r w:rsidR="0084630E">
        <w:rPr>
          <w:rFonts w:ascii="Calibri" w:hAnsi="Calibri" w:cs="Calibri"/>
          <w:sz w:val="24"/>
          <w:szCs w:val="24"/>
        </w:rPr>
        <w:t>Researchers studying cultural evolution seek to understand the complexities of culture, much like biologists explain the diversity of life</w:t>
      </w:r>
      <w:r w:rsidR="00027D05" w:rsidRPr="005E3C4E">
        <w:rPr>
          <w:rFonts w:ascii="Calibri" w:hAnsi="Calibri" w:cs="Calibri"/>
          <w:sz w:val="24"/>
          <w:szCs w:val="24"/>
        </w:rPr>
        <w:t xml:space="preserve"> </w:t>
      </w:r>
      <w:r w:rsidR="008E4480" w:rsidRPr="005E3C4E">
        <w:rPr>
          <w:rFonts w:ascii="Calibri" w:hAnsi="Calibri" w:cs="Calibri"/>
          <w:sz w:val="24"/>
          <w:szCs w:val="24"/>
        </w:rPr>
        <w:t>(</w:t>
      </w:r>
      <w:proofErr w:type="spellStart"/>
      <w:r w:rsidR="008E4480" w:rsidRPr="005E3C4E">
        <w:rPr>
          <w:rFonts w:ascii="Calibri" w:hAnsi="Calibri" w:cs="Calibri"/>
          <w:sz w:val="24"/>
          <w:szCs w:val="24"/>
        </w:rPr>
        <w:t>Mesoudi</w:t>
      </w:r>
      <w:proofErr w:type="spellEnd"/>
      <w:r w:rsidR="008E4480" w:rsidRPr="005E3C4E">
        <w:rPr>
          <w:rFonts w:ascii="Calibri" w:hAnsi="Calibri" w:cs="Calibri"/>
          <w:sz w:val="24"/>
          <w:szCs w:val="24"/>
        </w:rPr>
        <w:t>, 2016).</w:t>
      </w:r>
      <w:r w:rsidR="005E3C4E" w:rsidRPr="005E3C4E">
        <w:rPr>
          <w:rFonts w:ascii="Calibri" w:hAnsi="Calibri" w:cs="Calibri"/>
          <w:sz w:val="24"/>
          <w:szCs w:val="24"/>
        </w:rPr>
        <w:t xml:space="preserve"> </w:t>
      </w:r>
      <w:r w:rsidR="00511183" w:rsidRPr="005E3C4E">
        <w:rPr>
          <w:rFonts w:ascii="Calibri" w:hAnsi="Calibri" w:cs="Calibri"/>
          <w:sz w:val="24"/>
          <w:szCs w:val="24"/>
        </w:rPr>
        <w:t>Culture encompasses what the anthropologist Edward Tylor defined in 1871 as ‘knowledge, belief, art, morals, law, custom, and any other skills and practices developed by individuals as part of society</w:t>
      </w:r>
      <w:r w:rsidR="00331847" w:rsidRPr="005E3C4E">
        <w:rPr>
          <w:rFonts w:ascii="Calibri" w:hAnsi="Calibri" w:cs="Calibri"/>
          <w:sz w:val="24"/>
          <w:szCs w:val="24"/>
        </w:rPr>
        <w:t xml:space="preserve">’ </w:t>
      </w:r>
      <w:r w:rsidR="00511183" w:rsidRPr="005E3C4E">
        <w:rPr>
          <w:rFonts w:ascii="Calibri" w:hAnsi="Calibri" w:cs="Calibri"/>
          <w:sz w:val="24"/>
          <w:szCs w:val="24"/>
        </w:rPr>
        <w:t>(Renfrew and Bahn, 2020, p. 12).</w:t>
      </w:r>
      <w:r w:rsidR="002162D7">
        <w:rPr>
          <w:rFonts w:ascii="Calibri" w:hAnsi="Calibri" w:cs="Calibri"/>
          <w:sz w:val="24"/>
          <w:szCs w:val="24"/>
        </w:rPr>
        <w:t xml:space="preserve"> </w:t>
      </w:r>
      <w:r w:rsidR="00625409">
        <w:rPr>
          <w:rFonts w:ascii="Calibri" w:hAnsi="Calibri" w:cs="Calibri"/>
          <w:sz w:val="24"/>
          <w:szCs w:val="24"/>
        </w:rPr>
        <w:t xml:space="preserve">Archaeology uncovers cultural progress by studying symbols, rituals, and art from past societies. Significant milestones include language, structured communities, and advancements in agriculture and trade, showcasing adaptation and innovation. Cultural-historical approaches identify ancient practices like pottery making and monument construction, often classifying them under single cultures that serve as historical periods. European history features many classifications, such as the </w:t>
      </w:r>
      <w:r w:rsidR="00625409" w:rsidRPr="0084630E">
        <w:rPr>
          <w:rFonts w:ascii="Calibri" w:hAnsi="Calibri" w:cs="Calibri"/>
          <w:sz w:val="24"/>
          <w:szCs w:val="24"/>
        </w:rPr>
        <w:t>Beaker</w:t>
      </w:r>
      <w:r w:rsidR="00625409">
        <w:rPr>
          <w:rFonts w:ascii="Calibri" w:hAnsi="Calibri" w:cs="Calibri"/>
          <w:sz w:val="24"/>
          <w:szCs w:val="24"/>
        </w:rPr>
        <w:t xml:space="preserve"> Folk of the Copper Age, known for their pottery</w:t>
      </w:r>
      <w:r>
        <w:rPr>
          <w:rFonts w:ascii="Calibri" w:hAnsi="Calibri" w:cs="Calibri"/>
          <w:sz w:val="24"/>
          <w:szCs w:val="24"/>
        </w:rPr>
        <w:t xml:space="preserve"> (See Figure 6)</w:t>
      </w:r>
      <w:r w:rsidR="00625409">
        <w:rPr>
          <w:rFonts w:ascii="Calibri" w:hAnsi="Calibri" w:cs="Calibri"/>
          <w:sz w:val="24"/>
          <w:szCs w:val="24"/>
        </w:rPr>
        <w:t>. While culture historians generally note no direct link between archaeological cultures and ethnic groups, such assumptions often persist. Today, cultural history remains a primary archaeological method, with classification essential for identifying and dating artefacts</w:t>
      </w:r>
      <w:r w:rsidR="00291524" w:rsidRPr="001E6887">
        <w:rPr>
          <w:rFonts w:ascii="Calibri" w:hAnsi="Calibri" w:cs="Calibri"/>
          <w:color w:val="000000" w:themeColor="text1"/>
          <w:sz w:val="24"/>
          <w:szCs w:val="24"/>
        </w:rPr>
        <w:t xml:space="preserve"> (Harris and Cipolla, 2017).</w:t>
      </w:r>
    </w:p>
    <w:p w14:paraId="10F42CE3" w14:textId="7E6B4212" w:rsidR="000A5B79" w:rsidRPr="00631754" w:rsidRDefault="003474A6" w:rsidP="00880BDE">
      <w:pPr>
        <w:spacing w:after="120" w:line="360" w:lineRule="auto"/>
        <w:rPr>
          <w:rFonts w:ascii="Calibri" w:hAnsi="Calibri" w:cs="Calibri"/>
          <w:sz w:val="24"/>
          <w:szCs w:val="24"/>
        </w:rPr>
      </w:pPr>
      <w:r w:rsidRPr="003474A6">
        <w:rPr>
          <w:rFonts w:ascii="Calibri" w:hAnsi="Calibri" w:cs="Calibri"/>
          <w:sz w:val="24"/>
          <w:szCs w:val="24"/>
        </w:rPr>
        <w:t xml:space="preserve">Archaeological evidence </w:t>
      </w:r>
      <w:r w:rsidR="00877F71">
        <w:rPr>
          <w:rFonts w:ascii="Calibri" w:hAnsi="Calibri" w:cs="Calibri"/>
          <w:sz w:val="24"/>
          <w:szCs w:val="24"/>
        </w:rPr>
        <w:t>contributes fundamentally</w:t>
      </w:r>
      <w:r w:rsidRPr="003474A6">
        <w:rPr>
          <w:rFonts w:ascii="Calibri" w:hAnsi="Calibri" w:cs="Calibri"/>
          <w:sz w:val="24"/>
          <w:szCs w:val="24"/>
        </w:rPr>
        <w:t xml:space="preserve"> </w:t>
      </w:r>
      <w:proofErr w:type="gramStart"/>
      <w:r w:rsidRPr="003474A6">
        <w:rPr>
          <w:rFonts w:ascii="Calibri" w:hAnsi="Calibri" w:cs="Calibri"/>
          <w:sz w:val="24"/>
          <w:szCs w:val="24"/>
        </w:rPr>
        <w:t>in</w:t>
      </w:r>
      <w:proofErr w:type="gramEnd"/>
      <w:r w:rsidRPr="003474A6">
        <w:rPr>
          <w:rFonts w:ascii="Calibri" w:hAnsi="Calibri" w:cs="Calibri"/>
          <w:sz w:val="24"/>
          <w:szCs w:val="24"/>
        </w:rPr>
        <w:t xml:space="preserve"> studying cultural development and understanding the long-term impacts of various processes. However, we have </w:t>
      </w:r>
      <w:r w:rsidR="00D05BE8">
        <w:rPr>
          <w:rFonts w:ascii="Calibri" w:hAnsi="Calibri" w:cs="Calibri"/>
          <w:sz w:val="24"/>
          <w:szCs w:val="24"/>
        </w:rPr>
        <w:t>yet to fully take</w:t>
      </w:r>
      <w:r w:rsidRPr="003474A6">
        <w:rPr>
          <w:rFonts w:ascii="Calibri" w:hAnsi="Calibri" w:cs="Calibri"/>
          <w:sz w:val="24"/>
          <w:szCs w:val="24"/>
        </w:rPr>
        <w:t xml:space="preserve"> advantage of archaeology's potential in this area. The anthropological and contextual data collected can inform evolutionary models in archaeology, tackling real-world complexities such as cultural, ecological, and demographic interactions. Integrating archaeology with cultural studies is essential for comprehending the long-term effects of evolutionary processes (Garvey, 2018). By examining diverse cultures throughout history, archaeology can deepen our understanding of multiculturalism, identity, </w:t>
      </w:r>
      <w:r w:rsidR="005E18FB">
        <w:rPr>
          <w:rFonts w:ascii="Calibri" w:hAnsi="Calibri" w:cs="Calibri"/>
          <w:sz w:val="24"/>
          <w:szCs w:val="24"/>
        </w:rPr>
        <w:t>colonisation</w:t>
      </w:r>
      <w:r w:rsidRPr="003474A6">
        <w:rPr>
          <w:rFonts w:ascii="Calibri" w:hAnsi="Calibri" w:cs="Calibri"/>
          <w:sz w:val="24"/>
          <w:szCs w:val="24"/>
        </w:rPr>
        <w:t xml:space="preserve">, and </w:t>
      </w:r>
      <w:r w:rsidR="00631754">
        <w:rPr>
          <w:rFonts w:ascii="Calibri" w:hAnsi="Calibri" w:cs="Calibri"/>
          <w:sz w:val="24"/>
          <w:szCs w:val="24"/>
        </w:rPr>
        <w:t>decolonisation</w:t>
      </w:r>
      <w:r w:rsidRPr="003474A6">
        <w:rPr>
          <w:rFonts w:ascii="Calibri" w:hAnsi="Calibri" w:cs="Calibri"/>
          <w:sz w:val="24"/>
          <w:szCs w:val="24"/>
        </w:rPr>
        <w:t xml:space="preserve"> (Murray, 2011).</w:t>
      </w:r>
      <w:r w:rsidR="001B5667">
        <w:rPr>
          <w:rFonts w:ascii="Calibri" w:hAnsi="Calibri" w:cs="Calibri"/>
          <w:sz w:val="24"/>
          <w:szCs w:val="24"/>
        </w:rPr>
        <w:t xml:space="preserve"> </w:t>
      </w:r>
      <w:r w:rsidR="00585F6D" w:rsidRPr="00585F6D">
        <w:rPr>
          <w:rFonts w:ascii="Calibri" w:hAnsi="Calibri" w:cs="Calibri"/>
          <w:sz w:val="24"/>
          <w:szCs w:val="24"/>
        </w:rPr>
        <w:t xml:space="preserve">Culture is inherently relative and varies </w:t>
      </w:r>
      <w:r w:rsidR="005E18FB">
        <w:rPr>
          <w:rFonts w:ascii="Calibri" w:hAnsi="Calibri" w:cs="Calibri"/>
          <w:sz w:val="24"/>
          <w:szCs w:val="24"/>
        </w:rPr>
        <w:t>significantly</w:t>
      </w:r>
      <w:r w:rsidR="00585F6D" w:rsidRPr="00585F6D">
        <w:rPr>
          <w:rFonts w:ascii="Calibri" w:hAnsi="Calibri" w:cs="Calibri"/>
          <w:sz w:val="24"/>
          <w:szCs w:val="24"/>
        </w:rPr>
        <w:t xml:space="preserve"> across </w:t>
      </w:r>
      <w:r w:rsidR="00585F6D" w:rsidRPr="00585F6D">
        <w:rPr>
          <w:rFonts w:ascii="Calibri" w:hAnsi="Calibri" w:cs="Calibri"/>
          <w:sz w:val="24"/>
          <w:szCs w:val="24"/>
        </w:rPr>
        <w:lastRenderedPageBreak/>
        <w:t xml:space="preserve">different societies. The moral systems that guide interactions within these societies are also unique (Carnegie Council, 2024). However, common elements can emerge when cultures engage with one another, adopt innovations, or respond to shared challenges. A well-rounded perspective appreciates </w:t>
      </w:r>
      <w:r w:rsidR="005E18FB">
        <w:rPr>
          <w:rFonts w:ascii="Calibri" w:hAnsi="Calibri" w:cs="Calibri"/>
          <w:sz w:val="24"/>
          <w:szCs w:val="24"/>
        </w:rPr>
        <w:t>cultural expressions' distinctiveness while</w:t>
      </w:r>
      <w:r w:rsidR="00585F6D" w:rsidRPr="00585F6D">
        <w:rPr>
          <w:rFonts w:ascii="Calibri" w:hAnsi="Calibri" w:cs="Calibri"/>
          <w:sz w:val="24"/>
          <w:szCs w:val="24"/>
        </w:rPr>
        <w:t xml:space="preserve"> acknowledging the shared human experiences and influences that connect us all.</w:t>
      </w:r>
    </w:p>
    <w:p w14:paraId="552C48CB" w14:textId="00E4D85C" w:rsidR="00511E98" w:rsidRPr="001B5667" w:rsidRDefault="00D05BE8" w:rsidP="00880BDE">
      <w:pPr>
        <w:spacing w:after="120" w:line="360" w:lineRule="auto"/>
        <w:rPr>
          <w:rFonts w:ascii="Calibri" w:hAnsi="Calibri" w:cs="Calibri"/>
          <w:sz w:val="24"/>
          <w:szCs w:val="24"/>
        </w:rPr>
      </w:pPr>
      <w:r>
        <w:rPr>
          <w:noProof/>
        </w:rPr>
        <w:drawing>
          <wp:anchor distT="0" distB="0" distL="114300" distR="114300" simplePos="0" relativeHeight="251677184" behindDoc="1" locked="0" layoutInCell="1" allowOverlap="1" wp14:anchorId="639D100B" wp14:editId="764769D7">
            <wp:simplePos x="0" y="0"/>
            <wp:positionH relativeFrom="margin">
              <wp:posOffset>2001520</wp:posOffset>
            </wp:positionH>
            <wp:positionV relativeFrom="margin">
              <wp:posOffset>3157220</wp:posOffset>
            </wp:positionV>
            <wp:extent cx="3726815" cy="1962150"/>
            <wp:effectExtent l="19050" t="19050" r="26035" b="19050"/>
            <wp:wrapTight wrapText="bothSides">
              <wp:wrapPolygon edited="0">
                <wp:start x="-110" y="-210"/>
                <wp:lineTo x="-110" y="21600"/>
                <wp:lineTo x="21640" y="21600"/>
                <wp:lineTo x="21640" y="-210"/>
                <wp:lineTo x="-110" y="-210"/>
              </wp:wrapPolygon>
            </wp:wrapTight>
            <wp:docPr id="16526956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26815" cy="196215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sidR="00111899" w:rsidRPr="007753E1">
        <w:rPr>
          <w:rFonts w:ascii="Calibri" w:hAnsi="Calibri" w:cs="Calibri"/>
          <w:sz w:val="24"/>
          <w:szCs w:val="24"/>
        </w:rPr>
        <w:t>Measuring human moral progress through archaeology is a subjective concept influenced by cultural and historical contexts. Archaeological evidence, such as burial practices, provides insights into changes in human values and ethical systems. By examining how societies treated their dead, archaeologists can infer attitudes toward life, death, the afterlife, and social order, reflecting respect for individuals, communal solidarity, and moral or religious beliefs.</w:t>
      </w:r>
      <w:r w:rsidR="007753E1">
        <w:rPr>
          <w:rFonts w:ascii="Calibri" w:hAnsi="Calibri" w:cs="Calibri"/>
          <w:sz w:val="24"/>
          <w:szCs w:val="24"/>
        </w:rPr>
        <w:t xml:space="preserve"> </w:t>
      </w:r>
      <w:r w:rsidR="00111899" w:rsidRPr="007753E1">
        <w:rPr>
          <w:rFonts w:ascii="Calibri" w:hAnsi="Calibri" w:cs="Calibri"/>
          <w:sz w:val="24"/>
          <w:szCs w:val="24"/>
        </w:rPr>
        <w:t xml:space="preserve">The burial practices at </w:t>
      </w:r>
      <w:proofErr w:type="spellStart"/>
      <w:r w:rsidR="00111899" w:rsidRPr="00D05BE8">
        <w:rPr>
          <w:rFonts w:ascii="Calibri" w:hAnsi="Calibri" w:cs="Calibri"/>
          <w:sz w:val="24"/>
          <w:szCs w:val="24"/>
        </w:rPr>
        <w:t>Çatalhöyük</w:t>
      </w:r>
      <w:proofErr w:type="spellEnd"/>
      <w:r w:rsidR="00111899" w:rsidRPr="00D05BE8">
        <w:rPr>
          <w:rFonts w:ascii="Calibri" w:hAnsi="Calibri" w:cs="Calibri"/>
          <w:sz w:val="24"/>
          <w:szCs w:val="24"/>
        </w:rPr>
        <w:t xml:space="preserve">, </w:t>
      </w:r>
      <w:r w:rsidR="00111899" w:rsidRPr="007753E1">
        <w:rPr>
          <w:rFonts w:ascii="Calibri" w:hAnsi="Calibri" w:cs="Calibri"/>
          <w:sz w:val="24"/>
          <w:szCs w:val="24"/>
        </w:rPr>
        <w:t xml:space="preserve">a Neolithic settlement in present-day Turkey, offer valuable insights into the moral values and social structures of one of the world's earliest urban societies. The residents of this community </w:t>
      </w:r>
      <w:r w:rsidR="00415EBE">
        <w:rPr>
          <w:rFonts w:ascii="Calibri" w:hAnsi="Calibri" w:cs="Calibri"/>
          <w:sz w:val="24"/>
          <w:szCs w:val="24"/>
        </w:rPr>
        <w:t>practised</w:t>
      </w:r>
      <w:r w:rsidR="00111899" w:rsidRPr="007753E1">
        <w:rPr>
          <w:rFonts w:ascii="Calibri" w:hAnsi="Calibri" w:cs="Calibri"/>
          <w:sz w:val="24"/>
          <w:szCs w:val="24"/>
        </w:rPr>
        <w:t xml:space="preserve"> a distinctive burial tradition, where the skeletons of the deceased were painted with substances like red ochre for all, cinnabar for males, and </w:t>
      </w:r>
      <w:proofErr w:type="gramStart"/>
      <w:r w:rsidR="00111899" w:rsidRPr="007753E1">
        <w:rPr>
          <w:rFonts w:ascii="Calibri" w:hAnsi="Calibri" w:cs="Calibri"/>
          <w:sz w:val="24"/>
          <w:szCs w:val="24"/>
        </w:rPr>
        <w:t>blue-green</w:t>
      </w:r>
      <w:proofErr w:type="gramEnd"/>
      <w:r w:rsidR="00111899" w:rsidRPr="007753E1">
        <w:rPr>
          <w:rFonts w:ascii="Calibri" w:hAnsi="Calibri" w:cs="Calibri"/>
          <w:sz w:val="24"/>
          <w:szCs w:val="24"/>
        </w:rPr>
        <w:t xml:space="preserve"> for females</w:t>
      </w:r>
      <w:r>
        <w:rPr>
          <w:rFonts w:ascii="Calibri" w:hAnsi="Calibri" w:cs="Calibri"/>
          <w:sz w:val="24"/>
          <w:szCs w:val="24"/>
        </w:rPr>
        <w:t xml:space="preserve"> (See Figure 7)</w:t>
      </w:r>
      <w:r w:rsidR="00111899" w:rsidRPr="007753E1">
        <w:rPr>
          <w:rFonts w:ascii="Calibri" w:hAnsi="Calibri" w:cs="Calibri"/>
          <w:sz w:val="24"/>
          <w:szCs w:val="24"/>
        </w:rPr>
        <w:t xml:space="preserve">. The use of red ochre likely held symbolic meaning, possibly serving to </w:t>
      </w:r>
      <w:r w:rsidR="00877F71">
        <w:rPr>
          <w:rFonts w:ascii="Calibri" w:hAnsi="Calibri" w:cs="Calibri"/>
          <w:sz w:val="24"/>
          <w:szCs w:val="24"/>
        </w:rPr>
        <w:t>repel malevolent entities</w:t>
      </w:r>
      <w:r w:rsidR="00111899" w:rsidRPr="007753E1">
        <w:rPr>
          <w:rFonts w:ascii="Calibri" w:hAnsi="Calibri" w:cs="Calibri"/>
          <w:sz w:val="24"/>
          <w:szCs w:val="24"/>
        </w:rPr>
        <w:t xml:space="preserve"> or to signify important graves.</w:t>
      </w:r>
      <w:r w:rsidR="007753E1">
        <w:rPr>
          <w:rFonts w:ascii="Calibri" w:hAnsi="Calibri" w:cs="Calibri"/>
          <w:sz w:val="24"/>
          <w:szCs w:val="24"/>
        </w:rPr>
        <w:t xml:space="preserve"> </w:t>
      </w:r>
      <w:r w:rsidR="00111899" w:rsidRPr="007753E1">
        <w:rPr>
          <w:rFonts w:ascii="Calibri" w:hAnsi="Calibri" w:cs="Calibri"/>
          <w:sz w:val="24"/>
          <w:szCs w:val="24"/>
        </w:rPr>
        <w:t xml:space="preserve">Excavations have revealed that the bones were partially painted and had been </w:t>
      </w:r>
      <w:r w:rsidR="00877F71">
        <w:rPr>
          <w:rFonts w:ascii="Calibri" w:hAnsi="Calibri" w:cs="Calibri"/>
          <w:sz w:val="24"/>
          <w:szCs w:val="24"/>
        </w:rPr>
        <w:t>dug up</w:t>
      </w:r>
      <w:r w:rsidR="00111899" w:rsidRPr="007753E1">
        <w:rPr>
          <w:rFonts w:ascii="Calibri" w:hAnsi="Calibri" w:cs="Calibri"/>
          <w:sz w:val="24"/>
          <w:szCs w:val="24"/>
        </w:rPr>
        <w:t xml:space="preserve"> multiple times. Additionally, archaeological evidence found within the homes indicates the presence of intramural burial sites, with individuals showing traces of </w:t>
      </w:r>
      <w:r w:rsidR="00415EBE">
        <w:rPr>
          <w:rFonts w:ascii="Calibri" w:hAnsi="Calibri" w:cs="Calibri"/>
          <w:sz w:val="24"/>
          <w:szCs w:val="24"/>
        </w:rPr>
        <w:t>colourants</w:t>
      </w:r>
      <w:r w:rsidR="00111899" w:rsidRPr="007753E1">
        <w:rPr>
          <w:rFonts w:ascii="Calibri" w:hAnsi="Calibri" w:cs="Calibri"/>
          <w:sz w:val="24"/>
          <w:szCs w:val="24"/>
        </w:rPr>
        <w:t xml:space="preserve"> that correspond to wall paintings (Cassar, 2024). These practices highlight themes of community, equality, familial connections, and reverence for the dead, reflecting a complex moral framework.</w:t>
      </w:r>
      <w:r w:rsidR="007753E1">
        <w:rPr>
          <w:rFonts w:ascii="Calibri" w:hAnsi="Calibri" w:cs="Calibri"/>
          <w:sz w:val="24"/>
          <w:szCs w:val="24"/>
        </w:rPr>
        <w:t xml:space="preserve"> </w:t>
      </w:r>
      <w:r w:rsidR="00111899" w:rsidRPr="007753E1">
        <w:rPr>
          <w:rFonts w:ascii="Calibri" w:hAnsi="Calibri" w:cs="Calibri"/>
          <w:sz w:val="24"/>
          <w:szCs w:val="24"/>
        </w:rPr>
        <w:t>Ultimately, these burial customs demonstrate how early humans navigated questions of mortality, social bonds, and spiritual continuity</w:t>
      </w:r>
      <w:r w:rsidR="005E18FB">
        <w:rPr>
          <w:rFonts w:ascii="Calibri" w:hAnsi="Calibri" w:cs="Calibri"/>
          <w:sz w:val="24"/>
          <w:szCs w:val="24"/>
        </w:rPr>
        <w:t>. This offers</w:t>
      </w:r>
      <w:r w:rsidR="00111899" w:rsidRPr="007753E1">
        <w:rPr>
          <w:rFonts w:ascii="Calibri" w:hAnsi="Calibri" w:cs="Calibri"/>
          <w:sz w:val="24"/>
          <w:szCs w:val="24"/>
        </w:rPr>
        <w:t xml:space="preserve"> a glimpse into the shared moral principles of one of humanity's first urban cultures (Moses, 2004).</w:t>
      </w:r>
    </w:p>
    <w:p w14:paraId="5AC01E6F" w14:textId="5663FEA1" w:rsidR="008F0D18" w:rsidRPr="00883881" w:rsidRDefault="00163BB1" w:rsidP="00880BDE">
      <w:pPr>
        <w:spacing w:line="360" w:lineRule="auto"/>
        <w:rPr>
          <w:rFonts w:ascii="Calibri" w:hAnsi="Calibri" w:cs="Calibri"/>
          <w:sz w:val="24"/>
          <w:szCs w:val="24"/>
        </w:rPr>
      </w:pPr>
      <w:r>
        <w:rPr>
          <w:rFonts w:ascii="Calibri" w:hAnsi="Calibri" w:cs="Calibri"/>
          <w:sz w:val="24"/>
          <w:szCs w:val="24"/>
        </w:rPr>
        <w:lastRenderedPageBreak/>
        <w:t xml:space="preserve">The concept of progress in archaeology poses challenges. Archaeologists must avoid the assumption that technological or cultural changes are inherently better. The interpretative nature of the archaeological record means views on progress </w:t>
      </w:r>
      <w:proofErr w:type="gramStart"/>
      <w:r w:rsidR="00826621">
        <w:rPr>
          <w:rFonts w:ascii="Calibri" w:hAnsi="Calibri" w:cs="Calibri"/>
          <w:sz w:val="24"/>
          <w:szCs w:val="24"/>
        </w:rPr>
        <w:t>vary</w:t>
      </w:r>
      <w:proofErr w:type="gramEnd"/>
      <w:r>
        <w:rPr>
          <w:rFonts w:ascii="Calibri" w:hAnsi="Calibri" w:cs="Calibri"/>
          <w:sz w:val="24"/>
          <w:szCs w:val="24"/>
        </w:rPr>
        <w:t xml:space="preserve"> by context and societal values. Additionally, the non-linear development of societies, which can experience innovation and decline, highlights the complexities of historical trajectories.</w:t>
      </w:r>
    </w:p>
    <w:p w14:paraId="0707B59C" w14:textId="5BA77504" w:rsidR="008E4480" w:rsidRPr="003632FD" w:rsidRDefault="00791D3C" w:rsidP="00880BDE">
      <w:pPr>
        <w:spacing w:after="120" w:line="360" w:lineRule="auto"/>
        <w:rPr>
          <w:rFonts w:ascii="Calibri" w:hAnsi="Calibri" w:cs="Calibri"/>
          <w:spacing w:val="2"/>
          <w:sz w:val="24"/>
          <w:szCs w:val="24"/>
          <w:shd w:val="clear" w:color="auto" w:fill="FFFFFF"/>
        </w:rPr>
      </w:pPr>
      <w:r>
        <w:rPr>
          <w:rFonts w:ascii="Calibri" w:hAnsi="Calibri" w:cs="Calibri"/>
          <w:spacing w:val="2"/>
          <w:sz w:val="24"/>
          <w:szCs w:val="24"/>
          <w:shd w:val="clear" w:color="auto" w:fill="FFFFFF"/>
        </w:rPr>
        <w:t xml:space="preserve">Progress can face setbacks. From 1815 to 1914, Europe experienced peace and improved living standards, driven by innovations like radio and </w:t>
      </w:r>
      <w:r w:rsidR="003632FD">
        <w:rPr>
          <w:rFonts w:ascii="Calibri" w:hAnsi="Calibri" w:cs="Calibri"/>
          <w:spacing w:val="2"/>
          <w:sz w:val="24"/>
          <w:szCs w:val="24"/>
          <w:shd w:val="clear" w:color="auto" w:fill="FFFFFF"/>
        </w:rPr>
        <w:t>aeroplanes</w:t>
      </w:r>
      <w:r>
        <w:rPr>
          <w:rFonts w:ascii="Calibri" w:hAnsi="Calibri" w:cs="Calibri"/>
          <w:spacing w:val="2"/>
          <w:sz w:val="24"/>
          <w:szCs w:val="24"/>
          <w:shd w:val="clear" w:color="auto" w:fill="FFFFFF"/>
        </w:rPr>
        <w:t xml:space="preserve">. However, </w:t>
      </w:r>
      <w:r w:rsidR="00511E98">
        <w:rPr>
          <w:rFonts w:ascii="Calibri" w:hAnsi="Calibri" w:cs="Calibri"/>
          <w:spacing w:val="2"/>
          <w:sz w:val="24"/>
          <w:szCs w:val="24"/>
          <w:shd w:val="clear" w:color="auto" w:fill="FFFFFF"/>
        </w:rPr>
        <w:t>the First World War</w:t>
      </w:r>
      <w:r>
        <w:rPr>
          <w:rFonts w:ascii="Calibri" w:hAnsi="Calibri" w:cs="Calibri"/>
          <w:spacing w:val="2"/>
          <w:sz w:val="24"/>
          <w:szCs w:val="24"/>
          <w:shd w:val="clear" w:color="auto" w:fill="FFFFFF"/>
        </w:rPr>
        <w:t xml:space="preserve"> caused around 39 million deaths, reduced incomes, and undermined the Russian monarchy, paving the way for communism, which led to over 100 million deaths under the USSR. Resentment in Germany gave rise to National Socialism, resulting in </w:t>
      </w:r>
      <w:r w:rsidR="00511E98">
        <w:rPr>
          <w:rFonts w:ascii="Calibri" w:hAnsi="Calibri" w:cs="Calibri"/>
          <w:spacing w:val="2"/>
          <w:sz w:val="24"/>
          <w:szCs w:val="24"/>
          <w:shd w:val="clear" w:color="auto" w:fill="FFFFFF"/>
        </w:rPr>
        <w:t>the Second World War</w:t>
      </w:r>
      <w:r>
        <w:rPr>
          <w:rFonts w:ascii="Calibri" w:hAnsi="Calibri" w:cs="Calibri"/>
          <w:spacing w:val="2"/>
          <w:sz w:val="24"/>
          <w:szCs w:val="24"/>
          <w:shd w:val="clear" w:color="auto" w:fill="FFFFFF"/>
        </w:rPr>
        <w:t xml:space="preserve"> and the Holocaust, claiming about 73 million lives. The Cold War led to proxy conflicts, but technological advancements persisted, including microwaves, computers, and medical breakthroughs such as penicillin and vaccines</w:t>
      </w:r>
      <w:r w:rsidR="003632FD">
        <w:rPr>
          <w:rFonts w:ascii="Calibri" w:hAnsi="Calibri" w:cs="Calibri"/>
          <w:spacing w:val="2"/>
          <w:sz w:val="24"/>
          <w:szCs w:val="24"/>
          <w:shd w:val="clear" w:color="auto" w:fill="FFFFFF"/>
        </w:rPr>
        <w:t xml:space="preserve"> </w:t>
      </w:r>
      <w:r w:rsidR="000C63E1">
        <w:rPr>
          <w:rFonts w:ascii="Calibri" w:hAnsi="Calibri" w:cs="Calibri"/>
          <w:color w:val="1A1714"/>
          <w:spacing w:val="2"/>
          <w:sz w:val="24"/>
          <w:szCs w:val="24"/>
          <w:shd w:val="clear" w:color="auto" w:fill="FFFFFF"/>
        </w:rPr>
        <w:t>(Tupy</w:t>
      </w:r>
      <w:r w:rsidR="00657905">
        <w:rPr>
          <w:rFonts w:ascii="Calibri" w:hAnsi="Calibri" w:cs="Calibri"/>
          <w:color w:val="1A1714"/>
          <w:spacing w:val="2"/>
          <w:sz w:val="24"/>
          <w:szCs w:val="24"/>
          <w:shd w:val="clear" w:color="auto" w:fill="FFFFFF"/>
        </w:rPr>
        <w:t>, 2013).</w:t>
      </w:r>
    </w:p>
    <w:p w14:paraId="6A792DDA" w14:textId="57969B3E" w:rsidR="0066410F" w:rsidRPr="0066410F" w:rsidRDefault="008A1211" w:rsidP="00880BDE">
      <w:pPr>
        <w:spacing w:after="120" w:line="360" w:lineRule="auto"/>
        <w:rPr>
          <w:rFonts w:ascii="Calibri" w:hAnsi="Calibri" w:cs="Calibri"/>
          <w:spacing w:val="2"/>
          <w:sz w:val="24"/>
          <w:szCs w:val="24"/>
          <w:shd w:val="clear" w:color="auto" w:fill="FFFFFF"/>
        </w:rPr>
      </w:pPr>
      <w:r w:rsidRPr="008A1211">
        <w:rPr>
          <w:rFonts w:ascii="Calibri" w:hAnsi="Calibri" w:cs="Calibri"/>
          <w:spacing w:val="2"/>
          <w:sz w:val="24"/>
          <w:szCs w:val="24"/>
          <w:shd w:val="clear" w:color="auto" w:fill="FFFFFF"/>
        </w:rPr>
        <w:t xml:space="preserve">The Industrial Revolution began in 18th-century Great Britain and spread globally </w:t>
      </w:r>
      <w:r w:rsidR="005E18FB">
        <w:rPr>
          <w:rFonts w:ascii="Calibri" w:hAnsi="Calibri" w:cs="Calibri"/>
          <w:spacing w:val="2"/>
          <w:sz w:val="24"/>
          <w:szCs w:val="24"/>
          <w:shd w:val="clear" w:color="auto" w:fill="FFFFFF"/>
        </w:rPr>
        <w:t>with</w:t>
      </w:r>
      <w:r w:rsidRPr="008A1211">
        <w:rPr>
          <w:rFonts w:ascii="Calibri" w:hAnsi="Calibri" w:cs="Calibri"/>
          <w:spacing w:val="2"/>
          <w:sz w:val="24"/>
          <w:szCs w:val="24"/>
          <w:shd w:val="clear" w:color="auto" w:fill="FFFFFF"/>
        </w:rPr>
        <w:t xml:space="preserve"> innovations like iron and steel, coal, and steam engines. </w:t>
      </w:r>
      <w:proofErr w:type="gramStart"/>
      <w:r w:rsidR="009C1D9E" w:rsidRPr="008A1211">
        <w:rPr>
          <w:rFonts w:ascii="Calibri" w:hAnsi="Calibri" w:cs="Calibri"/>
          <w:spacing w:val="2"/>
          <w:sz w:val="24"/>
          <w:szCs w:val="24"/>
          <w:shd w:val="clear" w:color="auto" w:fill="FFFFFF"/>
        </w:rPr>
        <w:t>This era increased production efficiency</w:t>
      </w:r>
      <w:r w:rsidR="009C1D9E">
        <w:rPr>
          <w:rFonts w:ascii="Calibri" w:hAnsi="Calibri" w:cs="Calibri"/>
          <w:spacing w:val="2"/>
          <w:sz w:val="24"/>
          <w:szCs w:val="24"/>
          <w:shd w:val="clear" w:color="auto" w:fill="FFFFFF"/>
        </w:rPr>
        <w:t>,</w:t>
      </w:r>
      <w:proofErr w:type="gramEnd"/>
      <w:r w:rsidR="009C1D9E">
        <w:rPr>
          <w:rFonts w:ascii="Calibri" w:hAnsi="Calibri" w:cs="Calibri"/>
          <w:spacing w:val="2"/>
          <w:sz w:val="24"/>
          <w:szCs w:val="24"/>
          <w:shd w:val="clear" w:color="auto" w:fill="FFFFFF"/>
        </w:rPr>
        <w:t xml:space="preserve"> </w:t>
      </w:r>
      <w:r w:rsidRPr="008A1211">
        <w:rPr>
          <w:rFonts w:ascii="Calibri" w:hAnsi="Calibri" w:cs="Calibri"/>
          <w:spacing w:val="2"/>
          <w:sz w:val="24"/>
          <w:szCs w:val="24"/>
          <w:shd w:val="clear" w:color="auto" w:fill="FFFFFF"/>
        </w:rPr>
        <w:t xml:space="preserve">supported wealth distribution, and improved living standards as cities offered better wages. However, it also caused environmental harm through deforestation and exploitative </w:t>
      </w:r>
      <w:r>
        <w:rPr>
          <w:rFonts w:ascii="Calibri" w:hAnsi="Calibri" w:cs="Calibri"/>
          <w:spacing w:val="2"/>
          <w:sz w:val="24"/>
          <w:szCs w:val="24"/>
          <w:shd w:val="clear" w:color="auto" w:fill="FFFFFF"/>
        </w:rPr>
        <w:t>labour</w:t>
      </w:r>
      <w:r w:rsidRPr="008A1211">
        <w:rPr>
          <w:rFonts w:ascii="Calibri" w:hAnsi="Calibri" w:cs="Calibri"/>
          <w:spacing w:val="2"/>
          <w:sz w:val="24"/>
          <w:szCs w:val="24"/>
          <w:shd w:val="clear" w:color="auto" w:fill="FFFFFF"/>
        </w:rPr>
        <w:t xml:space="preserve"> practices. The relationship between cultural progress and moral development is complex; advancements often </w:t>
      </w:r>
      <w:r w:rsidR="001F76C7">
        <w:rPr>
          <w:rFonts w:ascii="Calibri" w:hAnsi="Calibri" w:cs="Calibri"/>
          <w:spacing w:val="2"/>
          <w:sz w:val="24"/>
          <w:szCs w:val="24"/>
          <w:shd w:val="clear" w:color="auto" w:fill="FFFFFF"/>
        </w:rPr>
        <w:t>conflict</w:t>
      </w:r>
      <w:r w:rsidRPr="008A1211">
        <w:rPr>
          <w:rFonts w:ascii="Calibri" w:hAnsi="Calibri" w:cs="Calibri"/>
          <w:spacing w:val="2"/>
          <w:sz w:val="24"/>
          <w:szCs w:val="24"/>
          <w:shd w:val="clear" w:color="auto" w:fill="FFFFFF"/>
        </w:rPr>
        <w:t xml:space="preserve"> with ethical considerations, as seen in both this revolution and the destructive technology of </w:t>
      </w:r>
      <w:r w:rsidR="00511E98">
        <w:rPr>
          <w:rFonts w:ascii="Calibri" w:hAnsi="Calibri" w:cs="Calibri"/>
          <w:spacing w:val="2"/>
          <w:sz w:val="24"/>
          <w:szCs w:val="24"/>
          <w:shd w:val="clear" w:color="auto" w:fill="FFFFFF"/>
        </w:rPr>
        <w:t>the Second World War</w:t>
      </w:r>
      <w:r w:rsidR="001F76C7">
        <w:rPr>
          <w:rFonts w:ascii="Calibri" w:hAnsi="Calibri" w:cs="Calibri"/>
          <w:spacing w:val="2"/>
          <w:sz w:val="24"/>
          <w:szCs w:val="24"/>
          <w:shd w:val="clear" w:color="auto" w:fill="FFFFFF"/>
        </w:rPr>
        <w:t xml:space="preserve"> </w:t>
      </w:r>
      <w:r w:rsidR="001F76C7" w:rsidRPr="001E6887">
        <w:rPr>
          <w:rFonts w:ascii="Calibri" w:hAnsi="Calibri" w:cs="Calibri"/>
          <w:color w:val="1A1714"/>
          <w:spacing w:val="2"/>
          <w:sz w:val="24"/>
          <w:szCs w:val="24"/>
          <w:shd w:val="clear" w:color="auto" w:fill="FFFFFF"/>
        </w:rPr>
        <w:t>(Tupy, 2013).</w:t>
      </w:r>
    </w:p>
    <w:p w14:paraId="30D1D079" w14:textId="5BB2267D" w:rsidR="00511E98" w:rsidRPr="00302E28" w:rsidRDefault="00080996" w:rsidP="00880BDE">
      <w:pPr>
        <w:spacing w:line="360" w:lineRule="auto"/>
        <w:rPr>
          <w:rFonts w:ascii="Calibri" w:hAnsi="Calibri" w:cs="Calibri"/>
          <w:color w:val="000000" w:themeColor="text1"/>
          <w:sz w:val="24"/>
          <w:szCs w:val="24"/>
        </w:rPr>
      </w:pPr>
      <w:r w:rsidRPr="00080996">
        <w:rPr>
          <w:rFonts w:ascii="Calibri" w:hAnsi="Calibri" w:cs="Calibri"/>
          <w:sz w:val="24"/>
          <w:szCs w:val="24"/>
        </w:rPr>
        <w:t xml:space="preserve">Progress is not a universal concept, often seen through a Eurocentric lens that views Western </w:t>
      </w:r>
      <w:r w:rsidR="001F76C7">
        <w:rPr>
          <w:rFonts w:ascii="Calibri" w:hAnsi="Calibri" w:cs="Calibri"/>
          <w:sz w:val="24"/>
          <w:szCs w:val="24"/>
        </w:rPr>
        <w:t>industrialisation</w:t>
      </w:r>
      <w:r w:rsidRPr="00080996">
        <w:rPr>
          <w:rFonts w:ascii="Calibri" w:hAnsi="Calibri" w:cs="Calibri"/>
          <w:sz w:val="24"/>
          <w:szCs w:val="24"/>
        </w:rPr>
        <w:t xml:space="preserve"> as the pinnacle of achievement. This perspective </w:t>
      </w:r>
      <w:r w:rsidR="001F76C7">
        <w:rPr>
          <w:rFonts w:ascii="Calibri" w:hAnsi="Calibri" w:cs="Calibri"/>
          <w:sz w:val="24"/>
          <w:szCs w:val="24"/>
        </w:rPr>
        <w:t>marginalises</w:t>
      </w:r>
      <w:r w:rsidRPr="00080996">
        <w:rPr>
          <w:rFonts w:ascii="Calibri" w:hAnsi="Calibri" w:cs="Calibri"/>
          <w:sz w:val="24"/>
          <w:szCs w:val="24"/>
        </w:rPr>
        <w:t xml:space="preserve"> alternative knowledge and ways of living. Different societies have varying priorities, making their definitions of progress unique. Indigenous cultures have long </w:t>
      </w:r>
      <w:r>
        <w:rPr>
          <w:rFonts w:ascii="Calibri" w:hAnsi="Calibri" w:cs="Calibri"/>
          <w:sz w:val="24"/>
          <w:szCs w:val="24"/>
        </w:rPr>
        <w:t>practised</w:t>
      </w:r>
      <w:r w:rsidRPr="00080996">
        <w:rPr>
          <w:rFonts w:ascii="Calibri" w:hAnsi="Calibri" w:cs="Calibri"/>
          <w:sz w:val="24"/>
          <w:szCs w:val="24"/>
        </w:rPr>
        <w:t xml:space="preserve"> sustainable living, respecting ecological limits and understanding fair resource use, as exemplified by tribal communities in Papua New Guinea </w:t>
      </w:r>
      <w:r w:rsidR="00AC5E87" w:rsidRPr="00080996">
        <w:rPr>
          <w:rFonts w:ascii="Calibri" w:hAnsi="Calibri" w:cs="Calibri"/>
          <w:sz w:val="24"/>
          <w:szCs w:val="24"/>
        </w:rPr>
        <w:t xml:space="preserve">(Savage, 2021). </w:t>
      </w:r>
      <w:r w:rsidR="002F5EE9">
        <w:rPr>
          <w:rFonts w:ascii="Calibri" w:hAnsi="Calibri" w:cs="Calibri"/>
          <w:color w:val="000000" w:themeColor="text1"/>
          <w:sz w:val="24"/>
          <w:szCs w:val="24"/>
        </w:rPr>
        <w:t xml:space="preserve">Many modern societies thrive on exploitation and greed, while around 370 million Indigenous peoples globally are seen as sustainable alternatives to this economic system. These diverse groups </w:t>
      </w:r>
      <w:r w:rsidR="005E18FB">
        <w:rPr>
          <w:rFonts w:ascii="Calibri" w:hAnsi="Calibri" w:cs="Calibri"/>
          <w:color w:val="000000" w:themeColor="text1"/>
          <w:sz w:val="24"/>
          <w:szCs w:val="24"/>
        </w:rPr>
        <w:t>emphasise</w:t>
      </w:r>
      <w:r w:rsidR="002F5EE9">
        <w:rPr>
          <w:rFonts w:ascii="Calibri" w:hAnsi="Calibri" w:cs="Calibri"/>
          <w:color w:val="000000" w:themeColor="text1"/>
          <w:sz w:val="24"/>
          <w:szCs w:val="24"/>
        </w:rPr>
        <w:t xml:space="preserve"> local resistance to global influences, relying on their natural surroundings and </w:t>
      </w:r>
      <w:r w:rsidR="005E18FB">
        <w:rPr>
          <w:rFonts w:ascii="Calibri" w:hAnsi="Calibri" w:cs="Calibri"/>
          <w:color w:val="000000" w:themeColor="text1"/>
          <w:sz w:val="24"/>
          <w:szCs w:val="24"/>
        </w:rPr>
        <w:t>prioritising</w:t>
      </w:r>
      <w:r w:rsidR="002F5EE9">
        <w:rPr>
          <w:rFonts w:ascii="Calibri" w:hAnsi="Calibri" w:cs="Calibri"/>
          <w:color w:val="000000" w:themeColor="text1"/>
          <w:sz w:val="24"/>
          <w:szCs w:val="24"/>
        </w:rPr>
        <w:t xml:space="preserve"> social, </w:t>
      </w:r>
      <w:r w:rsidR="002F5EE9">
        <w:rPr>
          <w:rFonts w:ascii="Calibri" w:hAnsi="Calibri" w:cs="Calibri"/>
          <w:color w:val="000000" w:themeColor="text1"/>
          <w:sz w:val="24"/>
          <w:szCs w:val="24"/>
        </w:rPr>
        <w:lastRenderedPageBreak/>
        <w:t xml:space="preserve">cultural, and environmental integrity. Their lifestyle reflects a deep understanding of interconnectedness and often resists modern influences </w:t>
      </w:r>
      <w:r w:rsidR="00AB3C47">
        <w:rPr>
          <w:rFonts w:ascii="Calibri" w:hAnsi="Calibri" w:cs="Calibri"/>
          <w:color w:val="000000" w:themeColor="text1"/>
          <w:sz w:val="24"/>
          <w:szCs w:val="24"/>
        </w:rPr>
        <w:t xml:space="preserve">(Mazzocchi, </w:t>
      </w:r>
      <w:r w:rsidR="000C75E1">
        <w:rPr>
          <w:rFonts w:ascii="Calibri" w:hAnsi="Calibri" w:cs="Calibri"/>
          <w:color w:val="000000" w:themeColor="text1"/>
          <w:sz w:val="24"/>
          <w:szCs w:val="24"/>
        </w:rPr>
        <w:t>2006).</w:t>
      </w:r>
    </w:p>
    <w:p w14:paraId="34B45733" w14:textId="1EF17993" w:rsidR="00E14760" w:rsidRPr="001F46F2" w:rsidRDefault="00D034E9" w:rsidP="00880BDE">
      <w:pPr>
        <w:spacing w:line="360" w:lineRule="auto"/>
        <w:rPr>
          <w:rFonts w:ascii="Calibri" w:hAnsi="Calibri" w:cs="Calibri"/>
          <w:sz w:val="24"/>
          <w:szCs w:val="24"/>
        </w:rPr>
      </w:pPr>
      <w:r>
        <w:rPr>
          <w:rFonts w:ascii="Calibri" w:hAnsi="Calibri" w:cs="Calibri"/>
          <w:sz w:val="24"/>
          <w:szCs w:val="24"/>
        </w:rPr>
        <w:t xml:space="preserve">Archaeology is essential for understanding human progress in technology, culture, and morality. By studying material remains, we can explore how humanity has evolved. While technological and cultural advancements are evident, assessing moral progress is complex due to varying </w:t>
      </w:r>
      <w:r w:rsidR="005E18FB">
        <w:rPr>
          <w:rFonts w:ascii="Calibri" w:hAnsi="Calibri" w:cs="Calibri"/>
          <w:sz w:val="24"/>
          <w:szCs w:val="24"/>
        </w:rPr>
        <w:t>cultural and ethical standards</w:t>
      </w:r>
      <w:r>
        <w:rPr>
          <w:rFonts w:ascii="Calibri" w:hAnsi="Calibri" w:cs="Calibri"/>
          <w:sz w:val="24"/>
          <w:szCs w:val="24"/>
        </w:rPr>
        <w:t>.</w:t>
      </w:r>
      <w:r w:rsidR="00631754">
        <w:rPr>
          <w:rFonts w:ascii="Calibri" w:hAnsi="Calibri" w:cs="Calibri"/>
          <w:sz w:val="24"/>
          <w:szCs w:val="24"/>
        </w:rPr>
        <w:t xml:space="preserve"> </w:t>
      </w:r>
      <w:r>
        <w:rPr>
          <w:rFonts w:ascii="Calibri" w:hAnsi="Calibri" w:cs="Calibri"/>
          <w:sz w:val="24"/>
          <w:szCs w:val="24"/>
        </w:rPr>
        <w:t xml:space="preserve">Progress in one area doesn't guarantee improvements in others. For example, </w:t>
      </w:r>
      <w:r w:rsidR="005E18FB">
        <w:rPr>
          <w:rFonts w:ascii="Calibri" w:hAnsi="Calibri" w:cs="Calibri"/>
          <w:sz w:val="24"/>
          <w:szCs w:val="24"/>
        </w:rPr>
        <w:t>industrialisation</w:t>
      </w:r>
      <w:r>
        <w:rPr>
          <w:rFonts w:ascii="Calibri" w:hAnsi="Calibri" w:cs="Calibri"/>
          <w:sz w:val="24"/>
          <w:szCs w:val="24"/>
        </w:rPr>
        <w:t xml:space="preserve"> has advanced technology but also caused environmental and social challenges. </w:t>
      </w:r>
      <w:r w:rsidR="005E18FB">
        <w:rPr>
          <w:rFonts w:ascii="Calibri" w:hAnsi="Calibri" w:cs="Calibri"/>
          <w:sz w:val="24"/>
          <w:szCs w:val="24"/>
        </w:rPr>
        <w:t>Whether</w:t>
      </w:r>
      <w:r>
        <w:rPr>
          <w:rFonts w:ascii="Calibri" w:hAnsi="Calibri" w:cs="Calibri"/>
          <w:sz w:val="24"/>
          <w:szCs w:val="24"/>
        </w:rPr>
        <w:t xml:space="preserve"> humanity has made progress depends on the values of those judging it.</w:t>
      </w:r>
      <w:r w:rsidR="00631754">
        <w:rPr>
          <w:rFonts w:ascii="Calibri" w:hAnsi="Calibri" w:cs="Calibri"/>
          <w:sz w:val="24"/>
          <w:szCs w:val="24"/>
        </w:rPr>
        <w:t xml:space="preserve"> </w:t>
      </w:r>
      <w:r>
        <w:rPr>
          <w:rFonts w:ascii="Calibri" w:hAnsi="Calibri" w:cs="Calibri"/>
          <w:sz w:val="24"/>
          <w:szCs w:val="24"/>
        </w:rPr>
        <w:t xml:space="preserve">Though we have made strides in technology, medicine, and human rights, issues like environmental degradation and inequality persist. Focusing solely on technological advancements might suggest </w:t>
      </w:r>
      <w:proofErr w:type="gramStart"/>
      <w:r>
        <w:rPr>
          <w:rFonts w:ascii="Calibri" w:hAnsi="Calibri" w:cs="Calibri"/>
          <w:sz w:val="24"/>
          <w:szCs w:val="24"/>
        </w:rPr>
        <w:t>progress, but</w:t>
      </w:r>
      <w:proofErr w:type="gramEnd"/>
      <w:r>
        <w:rPr>
          <w:rFonts w:ascii="Calibri" w:hAnsi="Calibri" w:cs="Calibri"/>
          <w:sz w:val="24"/>
          <w:szCs w:val="24"/>
        </w:rPr>
        <w:t xml:space="preserve"> considering moral and ecological factors reveals a more complicated reality where progress can coexist with stagnation.</w:t>
      </w:r>
      <w:r w:rsidR="00631754">
        <w:rPr>
          <w:rFonts w:ascii="Calibri" w:hAnsi="Calibri" w:cs="Calibri"/>
          <w:sz w:val="24"/>
          <w:szCs w:val="24"/>
        </w:rPr>
        <w:t xml:space="preserve"> </w:t>
      </w:r>
      <w:r>
        <w:rPr>
          <w:rFonts w:ascii="Calibri" w:hAnsi="Calibri" w:cs="Calibri"/>
          <w:sz w:val="24"/>
          <w:szCs w:val="24"/>
        </w:rPr>
        <w:t xml:space="preserve">Ultimately, advancing humanity requires ongoing efforts to address new challenges while balancing technological innovation with environmental care and respect for diverse cultures. We should learn from all forms of human </w:t>
      </w:r>
      <w:r w:rsidR="005E18FB">
        <w:rPr>
          <w:rFonts w:ascii="Calibri" w:hAnsi="Calibri" w:cs="Calibri"/>
          <w:sz w:val="24"/>
          <w:szCs w:val="24"/>
        </w:rPr>
        <w:t>organisation</w:t>
      </w:r>
      <w:r>
        <w:rPr>
          <w:rFonts w:ascii="Calibri" w:hAnsi="Calibri" w:cs="Calibri"/>
          <w:sz w:val="24"/>
          <w:szCs w:val="24"/>
        </w:rPr>
        <w:t xml:space="preserve"> to build a sustainable future.</w:t>
      </w:r>
    </w:p>
    <w:p w14:paraId="6ED2FB20" w14:textId="77777777" w:rsidR="00A10F89" w:rsidRDefault="00A10F89">
      <w:pPr>
        <w:rPr>
          <w:rFonts w:ascii="Calibri" w:hAnsi="Calibri" w:cs="Calibri"/>
          <w:sz w:val="24"/>
          <w:szCs w:val="24"/>
        </w:rPr>
      </w:pPr>
    </w:p>
    <w:p w14:paraId="5EB397C0" w14:textId="77777777" w:rsidR="00631754" w:rsidRDefault="00631754">
      <w:pPr>
        <w:rPr>
          <w:rFonts w:ascii="Calibri" w:hAnsi="Calibri" w:cs="Calibri"/>
          <w:sz w:val="24"/>
          <w:szCs w:val="24"/>
        </w:rPr>
      </w:pPr>
    </w:p>
    <w:p w14:paraId="1B11DC89" w14:textId="77777777" w:rsidR="001B5667" w:rsidRDefault="001B5667">
      <w:pPr>
        <w:rPr>
          <w:rFonts w:ascii="Calibri" w:hAnsi="Calibri" w:cs="Calibri"/>
          <w:sz w:val="24"/>
          <w:szCs w:val="24"/>
        </w:rPr>
      </w:pPr>
    </w:p>
    <w:p w14:paraId="6C1FED05" w14:textId="77777777" w:rsidR="00D05BE8" w:rsidRDefault="00D05BE8">
      <w:pPr>
        <w:rPr>
          <w:rFonts w:ascii="Calibri" w:hAnsi="Calibri" w:cs="Calibri"/>
          <w:sz w:val="24"/>
          <w:szCs w:val="24"/>
        </w:rPr>
      </w:pPr>
    </w:p>
    <w:p w14:paraId="42AAB12B" w14:textId="77777777" w:rsidR="00D05BE8" w:rsidRDefault="00D05BE8">
      <w:pPr>
        <w:rPr>
          <w:rFonts w:ascii="Calibri" w:hAnsi="Calibri" w:cs="Calibri"/>
          <w:sz w:val="24"/>
          <w:szCs w:val="24"/>
        </w:rPr>
      </w:pPr>
    </w:p>
    <w:p w14:paraId="39D519F6" w14:textId="77777777" w:rsidR="00D05BE8" w:rsidRDefault="00D05BE8">
      <w:pPr>
        <w:rPr>
          <w:rFonts w:ascii="Calibri" w:hAnsi="Calibri" w:cs="Calibri"/>
          <w:sz w:val="24"/>
          <w:szCs w:val="24"/>
        </w:rPr>
      </w:pPr>
    </w:p>
    <w:p w14:paraId="410DF3AD" w14:textId="77777777" w:rsidR="00D05BE8" w:rsidRDefault="00D05BE8">
      <w:pPr>
        <w:rPr>
          <w:rFonts w:ascii="Calibri" w:hAnsi="Calibri" w:cs="Calibri"/>
          <w:sz w:val="24"/>
          <w:szCs w:val="24"/>
        </w:rPr>
      </w:pPr>
    </w:p>
    <w:p w14:paraId="64EDE246" w14:textId="77777777" w:rsidR="00D05BE8" w:rsidRDefault="00D05BE8">
      <w:pPr>
        <w:rPr>
          <w:rFonts w:ascii="Calibri" w:hAnsi="Calibri" w:cs="Calibri"/>
          <w:sz w:val="24"/>
          <w:szCs w:val="24"/>
        </w:rPr>
      </w:pPr>
    </w:p>
    <w:p w14:paraId="69D3AAEE" w14:textId="77777777" w:rsidR="00D05BE8" w:rsidRDefault="00D05BE8">
      <w:pPr>
        <w:rPr>
          <w:rFonts w:ascii="Calibri" w:hAnsi="Calibri" w:cs="Calibri"/>
          <w:sz w:val="24"/>
          <w:szCs w:val="24"/>
        </w:rPr>
      </w:pPr>
    </w:p>
    <w:p w14:paraId="637E0D10" w14:textId="77777777" w:rsidR="00D05BE8" w:rsidRDefault="00D05BE8">
      <w:pPr>
        <w:rPr>
          <w:rFonts w:ascii="Calibri" w:hAnsi="Calibri" w:cs="Calibri"/>
          <w:sz w:val="24"/>
          <w:szCs w:val="24"/>
        </w:rPr>
      </w:pPr>
    </w:p>
    <w:p w14:paraId="150ADFCA" w14:textId="77777777" w:rsidR="00D05BE8" w:rsidRDefault="00D05BE8">
      <w:pPr>
        <w:rPr>
          <w:rFonts w:ascii="Calibri" w:hAnsi="Calibri" w:cs="Calibri"/>
          <w:sz w:val="24"/>
          <w:szCs w:val="24"/>
        </w:rPr>
      </w:pPr>
    </w:p>
    <w:p w14:paraId="492A688F" w14:textId="77777777" w:rsidR="00D05BE8" w:rsidRDefault="00D05BE8">
      <w:pPr>
        <w:rPr>
          <w:rFonts w:ascii="Calibri" w:hAnsi="Calibri" w:cs="Calibri"/>
          <w:sz w:val="24"/>
          <w:szCs w:val="24"/>
        </w:rPr>
      </w:pPr>
    </w:p>
    <w:p w14:paraId="6453E00A" w14:textId="77777777" w:rsidR="00D05BE8" w:rsidRDefault="00D05BE8">
      <w:pPr>
        <w:rPr>
          <w:rFonts w:ascii="Calibri" w:hAnsi="Calibri" w:cs="Calibri"/>
          <w:sz w:val="24"/>
          <w:szCs w:val="24"/>
        </w:rPr>
      </w:pPr>
    </w:p>
    <w:p w14:paraId="64361813" w14:textId="77777777" w:rsidR="00D05BE8" w:rsidRDefault="00D05BE8">
      <w:pPr>
        <w:rPr>
          <w:rFonts w:ascii="Calibri" w:hAnsi="Calibri" w:cs="Calibri"/>
          <w:sz w:val="24"/>
          <w:szCs w:val="24"/>
        </w:rPr>
      </w:pPr>
    </w:p>
    <w:p w14:paraId="4BD88862" w14:textId="77777777" w:rsidR="00D05BE8" w:rsidRDefault="00D05BE8">
      <w:pPr>
        <w:rPr>
          <w:rFonts w:ascii="Calibri" w:hAnsi="Calibri" w:cs="Calibri"/>
          <w:sz w:val="24"/>
          <w:szCs w:val="24"/>
        </w:rPr>
      </w:pPr>
    </w:p>
    <w:p w14:paraId="760E54FA" w14:textId="72355FF7" w:rsidR="00BB3F70" w:rsidRDefault="00F32E1D">
      <w:pPr>
        <w:rPr>
          <w:rFonts w:ascii="Calibri" w:hAnsi="Calibri" w:cs="Calibri"/>
          <w:sz w:val="24"/>
          <w:szCs w:val="24"/>
          <w:u w:val="single"/>
        </w:rPr>
      </w:pPr>
      <w:r>
        <w:rPr>
          <w:rFonts w:ascii="Calibri" w:hAnsi="Calibri" w:cs="Calibri"/>
          <w:sz w:val="24"/>
          <w:szCs w:val="24"/>
          <w:u w:val="single"/>
        </w:rPr>
        <w:lastRenderedPageBreak/>
        <w:t>REFERENCES</w:t>
      </w:r>
    </w:p>
    <w:p w14:paraId="7AB6311A"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Anthony, C. (2020) </w:t>
      </w:r>
      <w:r w:rsidRPr="0065218E">
        <w:rPr>
          <w:rFonts w:ascii="Calibri" w:hAnsi="Calibri" w:cs="Calibri"/>
          <w:i/>
          <w:iCs/>
          <w:sz w:val="24"/>
          <w:szCs w:val="24"/>
        </w:rPr>
        <w:t>The Ethics of acquiring disruptive Military Technologies</w:t>
      </w:r>
      <w:r w:rsidRPr="0065218E">
        <w:rPr>
          <w:rFonts w:ascii="Calibri" w:hAnsi="Calibri" w:cs="Calibri"/>
          <w:sz w:val="24"/>
          <w:szCs w:val="24"/>
        </w:rPr>
        <w:t xml:space="preserve">. Available at: </w:t>
      </w:r>
      <w:hyperlink r:id="rId18" w:history="1">
        <w:r w:rsidRPr="0065218E">
          <w:rPr>
            <w:rStyle w:val="Hyperlink"/>
            <w:rFonts w:ascii="Calibri" w:hAnsi="Calibri" w:cs="Calibri"/>
            <w:sz w:val="24"/>
            <w:szCs w:val="24"/>
          </w:rPr>
          <w:t>https://repositories.lib.utexas.edu/items/688b6c77-a723-4785-9e10-c42edb885357</w:t>
        </w:r>
      </w:hyperlink>
      <w:r w:rsidRPr="0065218E">
        <w:rPr>
          <w:rFonts w:ascii="Calibri" w:hAnsi="Calibri" w:cs="Calibri"/>
          <w:sz w:val="24"/>
          <w:szCs w:val="24"/>
        </w:rPr>
        <w:t xml:space="preserve"> (Accessed: 2 December 2024).</w:t>
      </w:r>
    </w:p>
    <w:p w14:paraId="3A86BD23"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Carnegie Council (2024) </w:t>
      </w:r>
      <w:r w:rsidRPr="0065218E">
        <w:rPr>
          <w:rFonts w:ascii="Calibri" w:hAnsi="Calibri" w:cs="Calibri"/>
          <w:i/>
          <w:iCs/>
          <w:sz w:val="24"/>
          <w:szCs w:val="24"/>
        </w:rPr>
        <w:t>Cultural relativism</w:t>
      </w:r>
      <w:r w:rsidRPr="0065218E">
        <w:rPr>
          <w:rFonts w:ascii="Calibri" w:hAnsi="Calibri" w:cs="Calibri"/>
          <w:sz w:val="24"/>
          <w:szCs w:val="24"/>
        </w:rPr>
        <w:t xml:space="preserve">. Available at: </w:t>
      </w:r>
      <w:hyperlink r:id="rId19" w:history="1">
        <w:r w:rsidRPr="0065218E">
          <w:rPr>
            <w:rStyle w:val="Hyperlink"/>
            <w:rFonts w:ascii="Calibri" w:hAnsi="Calibri" w:cs="Calibri"/>
            <w:sz w:val="24"/>
            <w:szCs w:val="24"/>
          </w:rPr>
          <w:t>https://www.carnegiecouncil.org/explore-engage/key-terms/cultural-relativism</w:t>
        </w:r>
      </w:hyperlink>
      <w:r w:rsidRPr="0065218E">
        <w:rPr>
          <w:rFonts w:ascii="Calibri" w:hAnsi="Calibri" w:cs="Calibri"/>
          <w:sz w:val="24"/>
          <w:szCs w:val="24"/>
        </w:rPr>
        <w:t xml:space="preserve"> (Accessed: 2 December 2024).</w:t>
      </w:r>
    </w:p>
    <w:p w14:paraId="5E12C9F2"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Cassar, C. (2024) The painted skeletons of Catalhoyuk: Turkey’s mysterious burial rituals. Available at: </w:t>
      </w:r>
      <w:hyperlink r:id="rId20" w:anchor=":~:text=its%20painted%20skeletons.-,Burial%20Rites%20at%20%C3%87atalh%C3%B6y%C3%BCk,green%20(for%20females%20only)" w:history="1">
        <w:r w:rsidRPr="0065218E">
          <w:rPr>
            <w:rStyle w:val="Hyperlink"/>
            <w:rFonts w:ascii="Calibri" w:hAnsi="Calibri" w:cs="Calibri"/>
            <w:sz w:val="24"/>
            <w:szCs w:val="24"/>
          </w:rPr>
          <w:t>https://anthropologyreview.org/anthropology-archaeology-news/the-painted-skeletons-of-catalhoyuk-turkeys-mysterious-burial-rituals/#:~:text=its%20painted%20skeletons.-,Burial%20Rites%20at%20%C3%87atalh%C3%B6y%C3%BCk,green%20(for%20females%20only)</w:t>
        </w:r>
      </w:hyperlink>
      <w:r w:rsidRPr="0065218E">
        <w:rPr>
          <w:rFonts w:ascii="Calibri" w:hAnsi="Calibri" w:cs="Calibri"/>
          <w:sz w:val="24"/>
          <w:szCs w:val="24"/>
        </w:rPr>
        <w:t xml:space="preserve"> (Accessed: 1 December 2024).</w:t>
      </w:r>
    </w:p>
    <w:p w14:paraId="11DA27C7"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Coccia, M. (2018) ‘A Critique of Human Progress: A New Definition and Inconsistencies in Society’, </w:t>
      </w:r>
      <w:proofErr w:type="spellStart"/>
      <w:r w:rsidRPr="0065218E">
        <w:rPr>
          <w:rFonts w:ascii="Calibri" w:hAnsi="Calibri" w:cs="Calibri"/>
          <w:i/>
          <w:iCs/>
          <w:sz w:val="24"/>
          <w:szCs w:val="24"/>
        </w:rPr>
        <w:t>Quaderni</w:t>
      </w:r>
      <w:proofErr w:type="spellEnd"/>
      <w:r w:rsidRPr="0065218E">
        <w:rPr>
          <w:rFonts w:ascii="Calibri" w:hAnsi="Calibri" w:cs="Calibri"/>
          <w:i/>
          <w:iCs/>
          <w:sz w:val="24"/>
          <w:szCs w:val="24"/>
        </w:rPr>
        <w:t xml:space="preserve"> </w:t>
      </w:r>
      <w:proofErr w:type="spellStart"/>
      <w:r w:rsidRPr="0065218E">
        <w:rPr>
          <w:rFonts w:ascii="Calibri" w:hAnsi="Calibri" w:cs="Calibri"/>
          <w:i/>
          <w:iCs/>
          <w:sz w:val="24"/>
          <w:szCs w:val="24"/>
        </w:rPr>
        <w:t>IRCrES</w:t>
      </w:r>
      <w:proofErr w:type="spellEnd"/>
      <w:r w:rsidRPr="0065218E">
        <w:rPr>
          <w:rFonts w:ascii="Calibri" w:hAnsi="Calibri" w:cs="Calibri"/>
          <w:i/>
          <w:iCs/>
          <w:sz w:val="24"/>
          <w:szCs w:val="24"/>
        </w:rPr>
        <w:t>-CNR</w:t>
      </w:r>
      <w:r w:rsidRPr="0065218E">
        <w:rPr>
          <w:rFonts w:ascii="Calibri" w:hAnsi="Calibri" w:cs="Calibri"/>
          <w:sz w:val="24"/>
          <w:szCs w:val="24"/>
        </w:rPr>
        <w:t xml:space="preserve">, 4(3), pp. 51-67. Available at: </w:t>
      </w:r>
      <w:hyperlink r:id="rId21" w:history="1">
        <w:r w:rsidRPr="0065218E">
          <w:rPr>
            <w:rStyle w:val="Hyperlink"/>
            <w:rFonts w:ascii="Calibri" w:hAnsi="Calibri" w:cs="Calibri"/>
            <w:sz w:val="24"/>
            <w:szCs w:val="24"/>
          </w:rPr>
          <w:t>https://papers.ssrn.com/sol3/papers.cfm?abstract_id=3186112</w:t>
        </w:r>
      </w:hyperlink>
      <w:r w:rsidRPr="0065218E">
        <w:rPr>
          <w:rFonts w:ascii="Calibri" w:hAnsi="Calibri" w:cs="Calibri"/>
          <w:sz w:val="24"/>
          <w:szCs w:val="24"/>
        </w:rPr>
        <w:t xml:space="preserve"> (Accessed: 30 November 2024).</w:t>
      </w:r>
    </w:p>
    <w:p w14:paraId="7934AF1E"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Dockrill, P. (2022) </w:t>
      </w:r>
      <w:r w:rsidRPr="0065218E">
        <w:rPr>
          <w:rFonts w:ascii="Calibri" w:hAnsi="Calibri" w:cs="Calibri"/>
          <w:i/>
          <w:iCs/>
          <w:sz w:val="24"/>
          <w:szCs w:val="24"/>
        </w:rPr>
        <w:t xml:space="preserve">People in one of the world’s oldest cities </w:t>
      </w:r>
      <w:proofErr w:type="spellStart"/>
      <w:r w:rsidRPr="0065218E">
        <w:rPr>
          <w:rFonts w:ascii="Calibri" w:hAnsi="Calibri" w:cs="Calibri"/>
          <w:i/>
          <w:iCs/>
          <w:sz w:val="24"/>
          <w:szCs w:val="24"/>
        </w:rPr>
        <w:t>colored</w:t>
      </w:r>
      <w:proofErr w:type="spellEnd"/>
      <w:r w:rsidRPr="0065218E">
        <w:rPr>
          <w:rFonts w:ascii="Calibri" w:hAnsi="Calibri" w:cs="Calibri"/>
          <w:i/>
          <w:iCs/>
          <w:sz w:val="24"/>
          <w:szCs w:val="24"/>
        </w:rPr>
        <w:t xml:space="preserve"> the bones of their dead.</w:t>
      </w:r>
      <w:r w:rsidRPr="0065218E">
        <w:rPr>
          <w:rFonts w:ascii="Calibri" w:hAnsi="Calibri" w:cs="Calibri"/>
          <w:sz w:val="24"/>
          <w:szCs w:val="24"/>
        </w:rPr>
        <w:t xml:space="preserve"> Available at: </w:t>
      </w:r>
      <w:hyperlink r:id="rId22" w:history="1">
        <w:r w:rsidRPr="0065218E">
          <w:rPr>
            <w:rStyle w:val="Hyperlink"/>
            <w:rFonts w:ascii="Calibri" w:hAnsi="Calibri" w:cs="Calibri"/>
            <w:sz w:val="24"/>
            <w:szCs w:val="24"/>
          </w:rPr>
          <w:t>https://www.sciencealert.com/ancient-city-from-9-000-years-ago-buried-their-dead-in-very-mysterious-ways</w:t>
        </w:r>
      </w:hyperlink>
      <w:r w:rsidRPr="0065218E">
        <w:rPr>
          <w:rFonts w:ascii="Calibri" w:hAnsi="Calibri" w:cs="Calibri"/>
          <w:sz w:val="24"/>
          <w:szCs w:val="24"/>
        </w:rPr>
        <w:t xml:space="preserve"> (Accessed: 4 December 2024).</w:t>
      </w:r>
    </w:p>
    <w:p w14:paraId="752F0A15"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Ellsworth, R. (2008) </w:t>
      </w:r>
      <w:r w:rsidRPr="0065218E">
        <w:rPr>
          <w:rFonts w:ascii="Calibri" w:hAnsi="Calibri" w:cs="Calibri"/>
          <w:i/>
          <w:iCs/>
          <w:sz w:val="24"/>
          <w:szCs w:val="24"/>
        </w:rPr>
        <w:t xml:space="preserve">Oldowan and </w:t>
      </w:r>
      <w:proofErr w:type="spellStart"/>
      <w:r w:rsidRPr="0065218E">
        <w:rPr>
          <w:rFonts w:ascii="Calibri" w:hAnsi="Calibri" w:cs="Calibri"/>
          <w:i/>
          <w:iCs/>
          <w:sz w:val="24"/>
          <w:szCs w:val="24"/>
        </w:rPr>
        <w:t>Achulean</w:t>
      </w:r>
      <w:proofErr w:type="spellEnd"/>
      <w:r w:rsidRPr="0065218E">
        <w:rPr>
          <w:rFonts w:ascii="Calibri" w:hAnsi="Calibri" w:cs="Calibri"/>
          <w:i/>
          <w:iCs/>
          <w:sz w:val="24"/>
          <w:szCs w:val="24"/>
        </w:rPr>
        <w:t xml:space="preserve"> Stone Tools.</w:t>
      </w:r>
      <w:r w:rsidRPr="0065218E">
        <w:rPr>
          <w:rFonts w:ascii="Calibri" w:hAnsi="Calibri" w:cs="Calibri"/>
          <w:sz w:val="24"/>
          <w:szCs w:val="24"/>
        </w:rPr>
        <w:t xml:space="preserve"> Available at: </w:t>
      </w:r>
      <w:hyperlink r:id="rId23" w:history="1">
        <w:r w:rsidRPr="0065218E">
          <w:rPr>
            <w:rStyle w:val="Hyperlink"/>
            <w:rFonts w:ascii="Calibri" w:hAnsi="Calibri" w:cs="Calibri"/>
            <w:sz w:val="24"/>
            <w:szCs w:val="24"/>
          </w:rPr>
          <w:t>https://anthromuseum.missouri.edu/e-exhibits/oldowan-and-acheulean-stone-tools</w:t>
        </w:r>
      </w:hyperlink>
      <w:r w:rsidRPr="0065218E">
        <w:rPr>
          <w:rFonts w:ascii="Calibri" w:hAnsi="Calibri" w:cs="Calibri"/>
          <w:sz w:val="24"/>
          <w:szCs w:val="24"/>
        </w:rPr>
        <w:t xml:space="preserve"> (Accessed: 4 December 2024).</w:t>
      </w:r>
    </w:p>
    <w:p w14:paraId="28A2AEF5" w14:textId="77777777" w:rsidR="0065218E" w:rsidRPr="0065218E" w:rsidRDefault="0065218E" w:rsidP="00880BDE">
      <w:pPr>
        <w:spacing w:line="240" w:lineRule="auto"/>
        <w:rPr>
          <w:rStyle w:val="Hyperlink"/>
          <w:rFonts w:ascii="Calibri" w:hAnsi="Calibri" w:cs="Calibri"/>
          <w:sz w:val="24"/>
          <w:szCs w:val="24"/>
        </w:rPr>
      </w:pPr>
      <w:r w:rsidRPr="0065218E">
        <w:rPr>
          <w:rFonts w:ascii="Calibri" w:hAnsi="Calibri" w:cs="Calibri"/>
          <w:sz w:val="24"/>
          <w:szCs w:val="24"/>
        </w:rPr>
        <w:t>Fay, S. B. (1947) ‘The Idea of Progress’, </w:t>
      </w:r>
      <w:r w:rsidRPr="0065218E">
        <w:rPr>
          <w:rFonts w:ascii="Calibri" w:hAnsi="Calibri" w:cs="Calibri"/>
          <w:i/>
          <w:iCs/>
          <w:sz w:val="24"/>
          <w:szCs w:val="24"/>
        </w:rPr>
        <w:t>The American Historical Review</w:t>
      </w:r>
      <w:r w:rsidRPr="0065218E">
        <w:rPr>
          <w:rFonts w:ascii="Calibri" w:hAnsi="Calibri" w:cs="Calibri"/>
          <w:sz w:val="24"/>
          <w:szCs w:val="24"/>
        </w:rPr>
        <w:t>, </w:t>
      </w:r>
      <w:r w:rsidRPr="0065218E">
        <w:rPr>
          <w:rFonts w:ascii="Calibri" w:hAnsi="Calibri" w:cs="Calibri"/>
          <w:i/>
          <w:iCs/>
          <w:sz w:val="24"/>
          <w:szCs w:val="24"/>
        </w:rPr>
        <w:t>52</w:t>
      </w:r>
      <w:r w:rsidRPr="0065218E">
        <w:rPr>
          <w:rFonts w:ascii="Calibri" w:hAnsi="Calibri" w:cs="Calibri"/>
          <w:sz w:val="24"/>
          <w:szCs w:val="24"/>
        </w:rPr>
        <w:t xml:space="preserve">(2), pp. 231–246. Available at: </w:t>
      </w:r>
      <w:hyperlink r:id="rId24" w:history="1">
        <w:r w:rsidRPr="0065218E">
          <w:rPr>
            <w:rStyle w:val="Hyperlink"/>
            <w:rFonts w:ascii="Calibri" w:hAnsi="Calibri" w:cs="Calibri"/>
            <w:sz w:val="24"/>
            <w:szCs w:val="24"/>
          </w:rPr>
          <w:t>https://doi.org/10.2307/1841272</w:t>
        </w:r>
      </w:hyperlink>
    </w:p>
    <w:p w14:paraId="041EB31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Fiori, S. (2012) ‘Adam Smith on method: Newtonianism, history, institutions, and the “invisible hand”’, </w:t>
      </w:r>
      <w:r w:rsidRPr="0065218E">
        <w:rPr>
          <w:rFonts w:ascii="Calibri" w:hAnsi="Calibri" w:cs="Calibri"/>
          <w:i/>
          <w:iCs/>
          <w:sz w:val="24"/>
          <w:szCs w:val="24"/>
        </w:rPr>
        <w:t>Journal of the History of Economic Thought</w:t>
      </w:r>
      <w:r w:rsidRPr="0065218E">
        <w:rPr>
          <w:rFonts w:ascii="Calibri" w:hAnsi="Calibri" w:cs="Calibri"/>
          <w:sz w:val="24"/>
          <w:szCs w:val="24"/>
        </w:rPr>
        <w:t xml:space="preserve">, 34(3), pp. 411–435. Available at: </w:t>
      </w:r>
      <w:hyperlink r:id="rId25" w:history="1">
        <w:r w:rsidRPr="0065218E">
          <w:rPr>
            <w:rStyle w:val="Hyperlink"/>
            <w:rFonts w:ascii="Calibri" w:hAnsi="Calibri" w:cs="Calibri"/>
            <w:sz w:val="24"/>
            <w:szCs w:val="24"/>
          </w:rPr>
          <w:t>https://doi.org/10.1017/S1053837212000405</w:t>
        </w:r>
      </w:hyperlink>
    </w:p>
    <w:p w14:paraId="28C84049"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Garlinghouse, T. (2022) </w:t>
      </w:r>
      <w:r w:rsidRPr="0065218E">
        <w:rPr>
          <w:rFonts w:ascii="Calibri" w:hAnsi="Calibri" w:cs="Calibri"/>
          <w:i/>
          <w:iCs/>
          <w:sz w:val="24"/>
          <w:szCs w:val="24"/>
        </w:rPr>
        <w:t>What was the Indus Valley Civilization?</w:t>
      </w:r>
      <w:r w:rsidRPr="0065218E">
        <w:rPr>
          <w:rFonts w:ascii="Calibri" w:hAnsi="Calibri" w:cs="Calibri"/>
          <w:sz w:val="24"/>
          <w:szCs w:val="24"/>
        </w:rPr>
        <w:t xml:space="preserve"> Available at: </w:t>
      </w:r>
      <w:hyperlink r:id="rId26" w:history="1">
        <w:r w:rsidRPr="0065218E">
          <w:rPr>
            <w:rStyle w:val="Hyperlink"/>
            <w:rFonts w:ascii="Calibri" w:hAnsi="Calibri" w:cs="Calibri"/>
            <w:sz w:val="24"/>
            <w:szCs w:val="24"/>
          </w:rPr>
          <w:t>https://www.livescience.com/what-was-the-indus-valley-civilization</w:t>
        </w:r>
      </w:hyperlink>
      <w:r w:rsidRPr="0065218E">
        <w:rPr>
          <w:rFonts w:ascii="Calibri" w:hAnsi="Calibri" w:cs="Calibri"/>
          <w:sz w:val="24"/>
          <w:szCs w:val="24"/>
        </w:rPr>
        <w:t xml:space="preserve"> (Accessed: 4 December 2024).</w:t>
      </w:r>
    </w:p>
    <w:p w14:paraId="2556F156" w14:textId="0BBA8193"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Garvey, R. (2018) ‘Current and potential roles of archaeology in the development of cultural evolutionary theory’, </w:t>
      </w:r>
      <w:r w:rsidRPr="0065218E">
        <w:rPr>
          <w:rFonts w:ascii="Calibri" w:hAnsi="Calibri" w:cs="Calibri"/>
          <w:i/>
          <w:iCs/>
          <w:sz w:val="24"/>
          <w:szCs w:val="24"/>
        </w:rPr>
        <w:t>Philosophical Transactions of the Royal Society of London. Series B. Biological sciences</w:t>
      </w:r>
      <w:r w:rsidRPr="0065218E">
        <w:rPr>
          <w:rFonts w:ascii="Calibri" w:hAnsi="Calibri" w:cs="Calibri"/>
          <w:sz w:val="24"/>
          <w:szCs w:val="24"/>
        </w:rPr>
        <w:t xml:space="preserve">, 373(1743), p. 20170057. Available at: </w:t>
      </w:r>
      <w:hyperlink r:id="rId27" w:history="1">
        <w:r w:rsidRPr="0065218E">
          <w:rPr>
            <w:rStyle w:val="Hyperlink"/>
            <w:rFonts w:ascii="Calibri" w:hAnsi="Calibri" w:cs="Calibri"/>
            <w:sz w:val="24"/>
            <w:szCs w:val="24"/>
          </w:rPr>
          <w:t>https://doi.org/10.1098/rstb.2017.0057</w:t>
        </w:r>
      </w:hyperlink>
    </w:p>
    <w:p w14:paraId="1375284B" w14:textId="4E5079B6"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Gerding, H. and Ingemark, D. (2021) ‘Beyond Newtonian thinking – towards a non-linear archaeology : applying chaos theory to archaeology’, </w:t>
      </w:r>
      <w:r w:rsidRPr="0065218E">
        <w:rPr>
          <w:rFonts w:ascii="Calibri" w:hAnsi="Calibri" w:cs="Calibri"/>
          <w:i/>
          <w:iCs/>
          <w:sz w:val="24"/>
          <w:szCs w:val="24"/>
        </w:rPr>
        <w:t>Current Swedish Archaeology</w:t>
      </w:r>
      <w:r w:rsidRPr="0065218E">
        <w:rPr>
          <w:rFonts w:ascii="Calibri" w:hAnsi="Calibri" w:cs="Calibri"/>
          <w:sz w:val="24"/>
          <w:szCs w:val="24"/>
        </w:rPr>
        <w:t>, 5(1), pp. 49</w:t>
      </w:r>
      <w:r w:rsidR="005E0205">
        <w:rPr>
          <w:rFonts w:ascii="Calibri" w:hAnsi="Calibri" w:cs="Calibri"/>
          <w:sz w:val="24"/>
          <w:szCs w:val="24"/>
        </w:rPr>
        <w:t>-64</w:t>
      </w:r>
      <w:r w:rsidRPr="0065218E">
        <w:rPr>
          <w:rFonts w:ascii="Calibri" w:hAnsi="Calibri" w:cs="Calibri"/>
          <w:sz w:val="24"/>
          <w:szCs w:val="24"/>
        </w:rPr>
        <w:t xml:space="preserve">. Available at: </w:t>
      </w:r>
      <w:hyperlink r:id="rId28" w:history="1">
        <w:r w:rsidRPr="0065218E">
          <w:rPr>
            <w:rStyle w:val="Hyperlink"/>
            <w:rFonts w:ascii="Calibri" w:hAnsi="Calibri" w:cs="Calibri"/>
            <w:sz w:val="24"/>
            <w:szCs w:val="24"/>
          </w:rPr>
          <w:t>https://doi.org/10.37718/CSA.1997.04</w:t>
        </w:r>
      </w:hyperlink>
    </w:p>
    <w:p w14:paraId="109773A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Grămescu, A.M., Barbu, A.M.D. and Ioniță, A. (2021) ‘Criteria and Procedures of Analysis Applicable in the Evaluation of the Archaeological Heritage’, </w:t>
      </w:r>
      <w:r w:rsidRPr="0065218E">
        <w:rPr>
          <w:rFonts w:ascii="Calibri" w:hAnsi="Calibri" w:cs="Calibri"/>
          <w:i/>
          <w:iCs/>
          <w:sz w:val="24"/>
          <w:szCs w:val="24"/>
        </w:rPr>
        <w:t xml:space="preserve">‘Ovidius’ University Annals. </w:t>
      </w:r>
      <w:r w:rsidRPr="0065218E">
        <w:rPr>
          <w:rFonts w:ascii="Calibri" w:hAnsi="Calibri" w:cs="Calibri"/>
          <w:i/>
          <w:iCs/>
          <w:sz w:val="24"/>
          <w:szCs w:val="24"/>
        </w:rPr>
        <w:lastRenderedPageBreak/>
        <w:t>Series Civil Engineering</w:t>
      </w:r>
      <w:r w:rsidRPr="0065218E">
        <w:rPr>
          <w:rFonts w:ascii="Calibri" w:hAnsi="Calibri" w:cs="Calibri"/>
          <w:sz w:val="24"/>
          <w:szCs w:val="24"/>
        </w:rPr>
        <w:t xml:space="preserve">, 23(1), pp. 113–120. Available at: </w:t>
      </w:r>
      <w:hyperlink r:id="rId29" w:history="1">
        <w:r w:rsidRPr="0065218E">
          <w:rPr>
            <w:rStyle w:val="Hyperlink"/>
            <w:rFonts w:ascii="Calibri" w:hAnsi="Calibri" w:cs="Calibri"/>
            <w:sz w:val="24"/>
            <w:szCs w:val="24"/>
          </w:rPr>
          <w:t>https://doi.org/10.2478/ouacsce-2021-0014</w:t>
        </w:r>
      </w:hyperlink>
    </w:p>
    <w:p w14:paraId="1D3BABAD"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Harris, O.J.T. and Cipolla, C.N. (2017) </w:t>
      </w:r>
      <w:r w:rsidRPr="0065218E">
        <w:rPr>
          <w:rFonts w:ascii="Calibri" w:hAnsi="Calibri" w:cs="Calibri"/>
          <w:i/>
          <w:iCs/>
          <w:sz w:val="24"/>
          <w:szCs w:val="24"/>
        </w:rPr>
        <w:t>Archaeological theory in the new millennium : introducing current perspectives</w:t>
      </w:r>
      <w:r w:rsidRPr="0065218E">
        <w:rPr>
          <w:rFonts w:ascii="Calibri" w:hAnsi="Calibri" w:cs="Calibri"/>
          <w:sz w:val="24"/>
          <w:szCs w:val="24"/>
        </w:rPr>
        <w:t>. Milton Park, Abingdon, Oxon ; Routledge.</w:t>
      </w:r>
    </w:p>
    <w:p w14:paraId="1535CA9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Hoogvelt, A.M.M. (1982) </w:t>
      </w:r>
      <w:r w:rsidRPr="0065218E">
        <w:rPr>
          <w:rFonts w:ascii="Calibri" w:hAnsi="Calibri" w:cs="Calibri"/>
          <w:i/>
          <w:iCs/>
          <w:sz w:val="24"/>
          <w:szCs w:val="24"/>
        </w:rPr>
        <w:t>The Third World in Global Development</w:t>
      </w:r>
      <w:r w:rsidRPr="0065218E">
        <w:rPr>
          <w:rFonts w:ascii="Calibri" w:hAnsi="Calibri" w:cs="Calibri"/>
          <w:sz w:val="24"/>
          <w:szCs w:val="24"/>
        </w:rPr>
        <w:t xml:space="preserve">. Palgrave, London. Available at: </w:t>
      </w:r>
      <w:hyperlink r:id="rId30" w:history="1">
        <w:r w:rsidRPr="0065218E">
          <w:rPr>
            <w:rStyle w:val="Hyperlink"/>
            <w:rFonts w:ascii="Calibri" w:hAnsi="Calibri" w:cs="Calibri"/>
            <w:sz w:val="24"/>
            <w:szCs w:val="24"/>
          </w:rPr>
          <w:t>https://doi.org/10.1007/978-1-349-16777-7_6</w:t>
        </w:r>
      </w:hyperlink>
    </w:p>
    <w:p w14:paraId="4BA8D16D"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Kintigh, K.W. </w:t>
      </w:r>
      <w:r w:rsidRPr="0065218E">
        <w:rPr>
          <w:rFonts w:ascii="Calibri" w:hAnsi="Calibri" w:cs="Calibri"/>
          <w:i/>
          <w:iCs/>
          <w:sz w:val="24"/>
          <w:szCs w:val="24"/>
        </w:rPr>
        <w:t>et al.</w:t>
      </w:r>
      <w:r w:rsidRPr="0065218E">
        <w:rPr>
          <w:rFonts w:ascii="Calibri" w:hAnsi="Calibri" w:cs="Calibri"/>
          <w:sz w:val="24"/>
          <w:szCs w:val="24"/>
        </w:rPr>
        <w:t> (2014) ‘Grand Challenges for Archaeology’, </w:t>
      </w:r>
      <w:r w:rsidRPr="0065218E">
        <w:rPr>
          <w:rFonts w:ascii="Calibri" w:hAnsi="Calibri" w:cs="Calibri"/>
          <w:i/>
          <w:iCs/>
          <w:sz w:val="24"/>
          <w:szCs w:val="24"/>
        </w:rPr>
        <w:t>American Antiquity</w:t>
      </w:r>
      <w:r w:rsidRPr="0065218E">
        <w:rPr>
          <w:rFonts w:ascii="Calibri" w:hAnsi="Calibri" w:cs="Calibri"/>
          <w:sz w:val="24"/>
          <w:szCs w:val="24"/>
        </w:rPr>
        <w:t xml:space="preserve">, 79(1), pp. 5–24. Available at: </w:t>
      </w:r>
      <w:hyperlink r:id="rId31" w:history="1">
        <w:r w:rsidRPr="0065218E">
          <w:rPr>
            <w:rStyle w:val="Hyperlink"/>
            <w:rFonts w:ascii="Calibri" w:hAnsi="Calibri" w:cs="Calibri"/>
            <w:sz w:val="24"/>
            <w:szCs w:val="24"/>
          </w:rPr>
          <w:t>https://doi.org/10.7183/0002-7316.79.1.5</w:t>
        </w:r>
      </w:hyperlink>
    </w:p>
    <w:p w14:paraId="267717A5"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Lancaster, L. (2016) </w:t>
      </w:r>
      <w:r w:rsidRPr="0065218E">
        <w:rPr>
          <w:rFonts w:ascii="Calibri" w:hAnsi="Calibri" w:cs="Calibri"/>
          <w:i/>
          <w:iCs/>
          <w:sz w:val="24"/>
          <w:szCs w:val="24"/>
        </w:rPr>
        <w:t>Technology.</w:t>
      </w:r>
      <w:r w:rsidRPr="0065218E">
        <w:rPr>
          <w:rFonts w:ascii="Calibri" w:hAnsi="Calibri" w:cs="Calibri"/>
          <w:sz w:val="24"/>
          <w:szCs w:val="24"/>
        </w:rPr>
        <w:t xml:space="preserve"> Available at: </w:t>
      </w:r>
      <w:hyperlink r:id="rId32" w:history="1">
        <w:r w:rsidRPr="0065218E">
          <w:rPr>
            <w:rStyle w:val="Hyperlink"/>
            <w:rFonts w:ascii="Calibri" w:hAnsi="Calibri" w:cs="Calibri"/>
            <w:sz w:val="24"/>
            <w:szCs w:val="24"/>
          </w:rPr>
          <w:t>https://doi.org/10.1093/acrefore/9780199381135.013.6251</w:t>
        </w:r>
      </w:hyperlink>
    </w:p>
    <w:p w14:paraId="41D2CEA3" w14:textId="16CFA270"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Langley, M.C. and </w:t>
      </w:r>
      <w:proofErr w:type="spellStart"/>
      <w:r w:rsidRPr="0065218E">
        <w:rPr>
          <w:rFonts w:ascii="Calibri" w:hAnsi="Calibri" w:cs="Calibri"/>
          <w:sz w:val="24"/>
          <w:szCs w:val="24"/>
        </w:rPr>
        <w:t>Suddendorf</w:t>
      </w:r>
      <w:proofErr w:type="spellEnd"/>
      <w:r w:rsidRPr="0065218E">
        <w:rPr>
          <w:rFonts w:ascii="Calibri" w:hAnsi="Calibri" w:cs="Calibri"/>
          <w:sz w:val="24"/>
          <w:szCs w:val="24"/>
        </w:rPr>
        <w:t>, T. (2022) ‘Archaeological evidence for thinking about possibilities in hominin evolution’, </w:t>
      </w:r>
      <w:r w:rsidRPr="0065218E">
        <w:rPr>
          <w:rFonts w:ascii="Calibri" w:hAnsi="Calibri" w:cs="Calibri"/>
          <w:i/>
          <w:iCs/>
          <w:sz w:val="24"/>
          <w:szCs w:val="24"/>
        </w:rPr>
        <w:t>Philosophical Transactions of the Royal Society of London. Series B. Biological sciences</w:t>
      </w:r>
      <w:r w:rsidRPr="0065218E">
        <w:rPr>
          <w:rFonts w:ascii="Calibri" w:hAnsi="Calibri" w:cs="Calibri"/>
          <w:sz w:val="24"/>
          <w:szCs w:val="24"/>
        </w:rPr>
        <w:t xml:space="preserve">, 377(1866), p. 20210350. Available at: </w:t>
      </w:r>
      <w:hyperlink r:id="rId33" w:history="1">
        <w:r w:rsidRPr="0065218E">
          <w:rPr>
            <w:rStyle w:val="Hyperlink"/>
            <w:rFonts w:ascii="Calibri" w:hAnsi="Calibri" w:cs="Calibri"/>
            <w:sz w:val="24"/>
            <w:szCs w:val="24"/>
          </w:rPr>
          <w:t>https://doi.org/10.1098/rstb.2021.0350</w:t>
        </w:r>
      </w:hyperlink>
    </w:p>
    <w:p w14:paraId="4F4E17C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Liritzis, I. (2013) ‘Twelve Thousand Years of Non-Linear Cultural Evolution: The Science of Chaos in Archaeology’, </w:t>
      </w:r>
      <w:r w:rsidRPr="0065218E">
        <w:rPr>
          <w:rFonts w:ascii="Calibri" w:hAnsi="Calibri" w:cs="Calibri"/>
          <w:i/>
          <w:iCs/>
          <w:sz w:val="24"/>
          <w:szCs w:val="24"/>
        </w:rPr>
        <w:t>Synesis: A Journal of Science, Technology, Ethics and Policy</w:t>
      </w:r>
      <w:r w:rsidRPr="0065218E">
        <w:rPr>
          <w:rFonts w:ascii="Calibri" w:hAnsi="Calibri" w:cs="Calibri"/>
          <w:sz w:val="24"/>
          <w:szCs w:val="24"/>
        </w:rPr>
        <w:t xml:space="preserve">. Available at: </w:t>
      </w:r>
      <w:hyperlink r:id="rId34" w:history="1">
        <w:r w:rsidRPr="0065218E">
          <w:rPr>
            <w:rStyle w:val="Hyperlink"/>
            <w:rFonts w:ascii="Calibri" w:hAnsi="Calibri" w:cs="Calibri"/>
            <w:sz w:val="24"/>
            <w:szCs w:val="24"/>
          </w:rPr>
          <w:t>http://www.synesisjournal.com/vol4_g/Liritzis_2013_G19-31.pdf</w:t>
        </w:r>
      </w:hyperlink>
      <w:r w:rsidRPr="0065218E">
        <w:rPr>
          <w:rFonts w:ascii="Calibri" w:hAnsi="Calibri" w:cs="Calibri"/>
          <w:sz w:val="24"/>
          <w:szCs w:val="24"/>
        </w:rPr>
        <w:t xml:space="preserve"> (Accessed: 3 December 2024).  </w:t>
      </w:r>
    </w:p>
    <w:p w14:paraId="01F43CD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Maisels, C.K. (2001) </w:t>
      </w:r>
      <w:r w:rsidRPr="0065218E">
        <w:rPr>
          <w:rFonts w:ascii="Calibri" w:hAnsi="Calibri" w:cs="Calibri"/>
          <w:i/>
          <w:iCs/>
          <w:sz w:val="24"/>
          <w:szCs w:val="24"/>
        </w:rPr>
        <w:t>Early civilizations of the old world : the formative histories of Egypt, the Levant, Mesopotamia, India and China</w:t>
      </w:r>
      <w:r w:rsidRPr="0065218E">
        <w:rPr>
          <w:rFonts w:ascii="Calibri" w:hAnsi="Calibri" w:cs="Calibri"/>
          <w:sz w:val="24"/>
          <w:szCs w:val="24"/>
        </w:rPr>
        <w:t xml:space="preserve">. London: Routledge. Available at: </w:t>
      </w:r>
      <w:hyperlink r:id="rId35" w:tgtFrame="_blank" w:history="1">
        <w:r w:rsidRPr="0065218E">
          <w:rPr>
            <w:rStyle w:val="Hyperlink"/>
            <w:rFonts w:ascii="Calibri" w:hAnsi="Calibri" w:cs="Calibri"/>
            <w:sz w:val="24"/>
            <w:szCs w:val="24"/>
          </w:rPr>
          <w:t>https://doi.org/10.4324/9780203449509</w:t>
        </w:r>
      </w:hyperlink>
    </w:p>
    <w:p w14:paraId="11CDBE86" w14:textId="77777777" w:rsidR="0065218E" w:rsidRPr="0065218E" w:rsidRDefault="0065218E" w:rsidP="00880BDE">
      <w:pPr>
        <w:spacing w:line="240" w:lineRule="auto"/>
        <w:rPr>
          <w:rFonts w:ascii="Calibri" w:hAnsi="Calibri" w:cs="Calibri"/>
          <w:sz w:val="24"/>
          <w:szCs w:val="24"/>
        </w:rPr>
      </w:pPr>
      <w:proofErr w:type="spellStart"/>
      <w:r w:rsidRPr="0065218E">
        <w:rPr>
          <w:rFonts w:ascii="Calibri" w:hAnsi="Calibri" w:cs="Calibri"/>
          <w:sz w:val="24"/>
          <w:szCs w:val="24"/>
        </w:rPr>
        <w:t>Masojć</w:t>
      </w:r>
      <w:proofErr w:type="spellEnd"/>
      <w:r w:rsidRPr="0065218E">
        <w:rPr>
          <w:rFonts w:ascii="Calibri" w:hAnsi="Calibri" w:cs="Calibri"/>
          <w:sz w:val="24"/>
          <w:szCs w:val="24"/>
        </w:rPr>
        <w:t>, M. </w:t>
      </w:r>
      <w:r w:rsidRPr="0065218E">
        <w:rPr>
          <w:rFonts w:ascii="Calibri" w:hAnsi="Calibri" w:cs="Calibri"/>
          <w:i/>
          <w:iCs/>
          <w:sz w:val="24"/>
          <w:szCs w:val="24"/>
        </w:rPr>
        <w:t>et al.</w:t>
      </w:r>
      <w:r w:rsidRPr="0065218E">
        <w:rPr>
          <w:rFonts w:ascii="Calibri" w:hAnsi="Calibri" w:cs="Calibri"/>
          <w:sz w:val="24"/>
          <w:szCs w:val="24"/>
        </w:rPr>
        <w:t> (2024) ‘</w:t>
      </w:r>
      <w:proofErr w:type="spellStart"/>
      <w:r w:rsidRPr="0065218E">
        <w:rPr>
          <w:rFonts w:ascii="Calibri" w:hAnsi="Calibri" w:cs="Calibri"/>
          <w:sz w:val="24"/>
          <w:szCs w:val="24"/>
        </w:rPr>
        <w:t>Palaeolakes</w:t>
      </w:r>
      <w:proofErr w:type="spellEnd"/>
      <w:r w:rsidRPr="0065218E">
        <w:rPr>
          <w:rFonts w:ascii="Calibri" w:hAnsi="Calibri" w:cs="Calibri"/>
          <w:sz w:val="24"/>
          <w:szCs w:val="24"/>
        </w:rPr>
        <w:t xml:space="preserve">, caves and settlement during the Pleistocene and Holocene around </w:t>
      </w:r>
      <w:proofErr w:type="spellStart"/>
      <w:r w:rsidRPr="0065218E">
        <w:rPr>
          <w:rFonts w:ascii="Calibri" w:hAnsi="Calibri" w:cs="Calibri"/>
          <w:sz w:val="24"/>
          <w:szCs w:val="24"/>
        </w:rPr>
        <w:t>Tsakhiurtyn</w:t>
      </w:r>
      <w:proofErr w:type="spellEnd"/>
      <w:r w:rsidRPr="0065218E">
        <w:rPr>
          <w:rFonts w:ascii="Calibri" w:hAnsi="Calibri" w:cs="Calibri"/>
          <w:sz w:val="24"/>
          <w:szCs w:val="24"/>
        </w:rPr>
        <w:t xml:space="preserve"> Hundi, Mongolia’, </w:t>
      </w:r>
      <w:r w:rsidRPr="0065218E">
        <w:rPr>
          <w:rFonts w:ascii="Calibri" w:hAnsi="Calibri" w:cs="Calibri"/>
          <w:i/>
          <w:iCs/>
          <w:sz w:val="24"/>
          <w:szCs w:val="24"/>
        </w:rPr>
        <w:t>Antiquity</w:t>
      </w:r>
      <w:r w:rsidRPr="0065218E">
        <w:rPr>
          <w:rFonts w:ascii="Calibri" w:hAnsi="Calibri" w:cs="Calibri"/>
          <w:sz w:val="24"/>
          <w:szCs w:val="24"/>
        </w:rPr>
        <w:t xml:space="preserve">, 98(399), p. e15:1-8. Available at: </w:t>
      </w:r>
      <w:hyperlink r:id="rId36" w:history="1">
        <w:r w:rsidRPr="0065218E">
          <w:rPr>
            <w:rStyle w:val="Hyperlink"/>
            <w:rFonts w:ascii="Calibri" w:hAnsi="Calibri" w:cs="Calibri"/>
            <w:sz w:val="24"/>
            <w:szCs w:val="24"/>
          </w:rPr>
          <w:t>https://doi.org/10.15184/aqy.2024.44</w:t>
        </w:r>
      </w:hyperlink>
    </w:p>
    <w:p w14:paraId="1D12CEA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Mazzocchi, F. (2006) ‘Western science and traditional knowledge’, </w:t>
      </w:r>
      <w:r w:rsidRPr="0065218E">
        <w:rPr>
          <w:rFonts w:ascii="Calibri" w:hAnsi="Calibri" w:cs="Calibri"/>
          <w:i/>
          <w:iCs/>
          <w:sz w:val="24"/>
          <w:szCs w:val="24"/>
        </w:rPr>
        <w:t>EMBO Reports</w:t>
      </w:r>
      <w:r w:rsidRPr="0065218E">
        <w:rPr>
          <w:rFonts w:ascii="Calibri" w:hAnsi="Calibri" w:cs="Calibri"/>
          <w:sz w:val="24"/>
          <w:szCs w:val="24"/>
        </w:rPr>
        <w:t xml:space="preserve">, 7, pp. 463-466. Available at: </w:t>
      </w:r>
      <w:hyperlink r:id="rId37" w:history="1">
        <w:r w:rsidRPr="0065218E">
          <w:rPr>
            <w:rStyle w:val="Hyperlink"/>
            <w:rFonts w:ascii="Calibri" w:hAnsi="Calibri" w:cs="Calibri"/>
            <w:sz w:val="24"/>
            <w:szCs w:val="24"/>
          </w:rPr>
          <w:t>https://doi.org/10.1038/sj.embor.7400693</w:t>
        </w:r>
      </w:hyperlink>
    </w:p>
    <w:p w14:paraId="758FDC4C"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McNish, J. (2018) </w:t>
      </w:r>
      <w:r w:rsidRPr="0065218E">
        <w:rPr>
          <w:rFonts w:ascii="Calibri" w:hAnsi="Calibri" w:cs="Calibri"/>
          <w:i/>
          <w:iCs/>
          <w:sz w:val="24"/>
          <w:szCs w:val="24"/>
        </w:rPr>
        <w:t xml:space="preserve">The Beaker people: a new population for Ancient Britain. </w:t>
      </w:r>
      <w:r w:rsidRPr="0065218E">
        <w:rPr>
          <w:rFonts w:ascii="Calibri" w:hAnsi="Calibri" w:cs="Calibri"/>
          <w:sz w:val="24"/>
          <w:szCs w:val="24"/>
        </w:rPr>
        <w:t xml:space="preserve">Available at: </w:t>
      </w:r>
      <w:hyperlink r:id="rId38" w:history="1">
        <w:r w:rsidRPr="0065218E">
          <w:rPr>
            <w:rStyle w:val="Hyperlink"/>
            <w:rFonts w:ascii="Calibri" w:hAnsi="Calibri" w:cs="Calibri"/>
            <w:sz w:val="24"/>
            <w:szCs w:val="24"/>
          </w:rPr>
          <w:t>https://www.nhm.ac.uk/discover/news/2018/february/the-beaker-people-a-new-population-for-ancient-britain.html</w:t>
        </w:r>
      </w:hyperlink>
      <w:r w:rsidRPr="0065218E">
        <w:rPr>
          <w:rFonts w:ascii="Calibri" w:hAnsi="Calibri" w:cs="Calibri"/>
          <w:sz w:val="24"/>
          <w:szCs w:val="24"/>
        </w:rPr>
        <w:t xml:space="preserve"> (Accessed: 4 December 2024).</w:t>
      </w:r>
    </w:p>
    <w:p w14:paraId="2B034FD0"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Menon, J. (2019) </w:t>
      </w:r>
      <w:r w:rsidRPr="0065218E">
        <w:rPr>
          <w:rFonts w:ascii="Calibri" w:hAnsi="Calibri" w:cs="Calibri"/>
          <w:i/>
          <w:iCs/>
          <w:sz w:val="24"/>
          <w:szCs w:val="24"/>
        </w:rPr>
        <w:t>A Bronze Age Civilization in South Asia</w:t>
      </w:r>
      <w:r w:rsidRPr="0065218E">
        <w:rPr>
          <w:rFonts w:ascii="Calibri" w:hAnsi="Calibri" w:cs="Calibri"/>
          <w:sz w:val="24"/>
          <w:szCs w:val="24"/>
        </w:rPr>
        <w:t xml:space="preserve">. Available at: </w:t>
      </w:r>
      <w:hyperlink r:id="rId39" w:tgtFrame="_blank" w:history="1">
        <w:r w:rsidRPr="0065218E">
          <w:rPr>
            <w:rStyle w:val="Hyperlink"/>
            <w:rFonts w:ascii="Calibri" w:hAnsi="Calibri" w:cs="Calibri"/>
            <w:sz w:val="24"/>
            <w:szCs w:val="24"/>
          </w:rPr>
          <w:t>https://www.sahapedia.org/bronze-age-civilization-south-asia</w:t>
        </w:r>
      </w:hyperlink>
      <w:r w:rsidRPr="0065218E">
        <w:rPr>
          <w:rFonts w:ascii="Calibri" w:hAnsi="Calibri" w:cs="Calibri"/>
          <w:sz w:val="24"/>
          <w:szCs w:val="24"/>
        </w:rPr>
        <w:t xml:space="preserve"> (Accessed: 30 November 2024). </w:t>
      </w:r>
    </w:p>
    <w:p w14:paraId="3919B04F" w14:textId="77777777" w:rsidR="0065218E" w:rsidRPr="0065218E" w:rsidRDefault="0065218E" w:rsidP="00880BDE">
      <w:pPr>
        <w:spacing w:line="240" w:lineRule="auto"/>
        <w:rPr>
          <w:rFonts w:ascii="Calibri" w:hAnsi="Calibri" w:cs="Calibri"/>
          <w:sz w:val="24"/>
          <w:szCs w:val="24"/>
        </w:rPr>
      </w:pPr>
      <w:proofErr w:type="spellStart"/>
      <w:r w:rsidRPr="0065218E">
        <w:rPr>
          <w:rFonts w:ascii="Calibri" w:hAnsi="Calibri" w:cs="Calibri"/>
          <w:sz w:val="24"/>
          <w:szCs w:val="24"/>
        </w:rPr>
        <w:t>Mesoudi</w:t>
      </w:r>
      <w:proofErr w:type="spellEnd"/>
      <w:r w:rsidRPr="0065218E">
        <w:rPr>
          <w:rFonts w:ascii="Calibri" w:hAnsi="Calibri" w:cs="Calibri"/>
          <w:sz w:val="24"/>
          <w:szCs w:val="24"/>
        </w:rPr>
        <w:t>, A. (2016) ‘Cultural Evolution: A Review of Theory, Findings and  Controversies’, </w:t>
      </w:r>
      <w:r w:rsidRPr="0065218E">
        <w:rPr>
          <w:rFonts w:ascii="Calibri" w:hAnsi="Calibri" w:cs="Calibri"/>
          <w:i/>
          <w:iCs/>
          <w:sz w:val="24"/>
          <w:szCs w:val="24"/>
        </w:rPr>
        <w:t>Evolutionary Biology</w:t>
      </w:r>
      <w:r w:rsidRPr="0065218E">
        <w:rPr>
          <w:rFonts w:ascii="Calibri" w:hAnsi="Calibri" w:cs="Calibri"/>
          <w:sz w:val="24"/>
          <w:szCs w:val="24"/>
        </w:rPr>
        <w:t xml:space="preserve">, 43(4), pp. 481–497. Available at: </w:t>
      </w:r>
      <w:hyperlink r:id="rId40" w:history="1">
        <w:r w:rsidRPr="0065218E">
          <w:rPr>
            <w:rStyle w:val="Hyperlink"/>
            <w:rFonts w:ascii="Calibri" w:hAnsi="Calibri" w:cs="Calibri"/>
            <w:sz w:val="24"/>
            <w:szCs w:val="24"/>
          </w:rPr>
          <w:t>https://doi.org/10.1007/s11692-015-9320-0</w:t>
        </w:r>
      </w:hyperlink>
    </w:p>
    <w:p w14:paraId="298DA70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Moses, S. (2004) </w:t>
      </w:r>
      <w:r w:rsidRPr="0065218E">
        <w:rPr>
          <w:rFonts w:ascii="Calibri" w:hAnsi="Calibri" w:cs="Calibri"/>
          <w:i/>
          <w:iCs/>
          <w:sz w:val="24"/>
          <w:szCs w:val="24"/>
        </w:rPr>
        <w:t xml:space="preserve">The Children of Neolithic Catalhoyuk: Burial Symbolism and Social Metaphor. </w:t>
      </w:r>
      <w:r w:rsidRPr="0065218E">
        <w:rPr>
          <w:rFonts w:ascii="Calibri" w:hAnsi="Calibri" w:cs="Calibri"/>
          <w:sz w:val="24"/>
          <w:szCs w:val="24"/>
        </w:rPr>
        <w:t xml:space="preserve">Available at: </w:t>
      </w:r>
      <w:hyperlink r:id="rId41" w:history="1">
        <w:r w:rsidRPr="0065218E">
          <w:rPr>
            <w:rStyle w:val="Hyperlink"/>
            <w:rFonts w:ascii="Calibri" w:hAnsi="Calibri" w:cs="Calibri"/>
            <w:sz w:val="24"/>
            <w:szCs w:val="24"/>
          </w:rPr>
          <w:t>https://www.catalhoyuk.com/archive_reports/2004/ar04_34.html</w:t>
        </w:r>
      </w:hyperlink>
      <w:r w:rsidRPr="0065218E">
        <w:rPr>
          <w:rFonts w:ascii="Calibri" w:hAnsi="Calibri" w:cs="Calibri"/>
          <w:sz w:val="24"/>
          <w:szCs w:val="24"/>
        </w:rPr>
        <w:t xml:space="preserve"> (Accessed: 1 December 2024).</w:t>
      </w:r>
    </w:p>
    <w:p w14:paraId="3A4EB48E"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lastRenderedPageBreak/>
        <w:t>Murray, T. (2011) ‘Archaeologists and Indigenous People: A Maturing Relationship?’, </w:t>
      </w:r>
      <w:r w:rsidRPr="0065218E">
        <w:rPr>
          <w:rFonts w:ascii="Calibri" w:hAnsi="Calibri" w:cs="Calibri"/>
          <w:i/>
          <w:iCs/>
          <w:sz w:val="24"/>
          <w:szCs w:val="24"/>
        </w:rPr>
        <w:t>Annual Review of Anthropology</w:t>
      </w:r>
      <w:r w:rsidRPr="0065218E">
        <w:rPr>
          <w:rFonts w:ascii="Calibri" w:hAnsi="Calibri" w:cs="Calibri"/>
          <w:sz w:val="24"/>
          <w:szCs w:val="24"/>
        </w:rPr>
        <w:t>, 40, pp. 363–78. Available at:</w:t>
      </w:r>
      <w:r w:rsidRPr="0065218E">
        <w:rPr>
          <w:rFonts w:ascii="Calibri" w:hAnsi="Calibri" w:cs="Calibri"/>
          <w:i/>
          <w:iCs/>
          <w:sz w:val="24"/>
          <w:szCs w:val="24"/>
        </w:rPr>
        <w:t xml:space="preserve"> </w:t>
      </w:r>
      <w:r w:rsidRPr="0065218E">
        <w:rPr>
          <w:rFonts w:ascii="Calibri" w:hAnsi="Calibri" w:cs="Calibri"/>
          <w:sz w:val="24"/>
          <w:szCs w:val="24"/>
        </w:rPr>
        <w:t xml:space="preserve"> </w:t>
      </w:r>
      <w:hyperlink r:id="rId42" w:history="1">
        <w:r w:rsidRPr="0065218E">
          <w:rPr>
            <w:rStyle w:val="Hyperlink"/>
            <w:rFonts w:ascii="Calibri" w:hAnsi="Calibri" w:cs="Calibri"/>
            <w:sz w:val="24"/>
            <w:szCs w:val="24"/>
          </w:rPr>
          <w:t>http://www.jstor.org/stable/41287738</w:t>
        </w:r>
      </w:hyperlink>
      <w:r w:rsidRPr="0065218E">
        <w:rPr>
          <w:rFonts w:ascii="Calibri" w:hAnsi="Calibri" w:cs="Calibri"/>
          <w:sz w:val="24"/>
          <w:szCs w:val="24"/>
        </w:rPr>
        <w:t xml:space="preserve"> (Accessed: 1 December 2024).</w:t>
      </w:r>
    </w:p>
    <w:p w14:paraId="787177B6"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Pargeter, J. and Shea, J.J. (2019) ‘Going big versus going small: Lithic miniaturization in hominin lithic technology’, </w:t>
      </w:r>
      <w:r w:rsidRPr="0065218E">
        <w:rPr>
          <w:rFonts w:ascii="Calibri" w:hAnsi="Calibri" w:cs="Calibri"/>
          <w:i/>
          <w:iCs/>
          <w:sz w:val="24"/>
          <w:szCs w:val="24"/>
        </w:rPr>
        <w:t>Evolutionary Anthropology</w:t>
      </w:r>
      <w:r w:rsidRPr="0065218E">
        <w:rPr>
          <w:rFonts w:ascii="Calibri" w:hAnsi="Calibri" w:cs="Calibri"/>
          <w:sz w:val="24"/>
          <w:szCs w:val="24"/>
        </w:rPr>
        <w:t xml:space="preserve">, 28(2), pp. 72–85. Available at: </w:t>
      </w:r>
      <w:hyperlink r:id="rId43" w:history="1">
        <w:r w:rsidRPr="0065218E">
          <w:rPr>
            <w:rStyle w:val="Hyperlink"/>
            <w:rFonts w:ascii="Calibri" w:hAnsi="Calibri" w:cs="Calibri"/>
            <w:sz w:val="24"/>
            <w:szCs w:val="24"/>
          </w:rPr>
          <w:t>https://doi.org/10.1002/evan.21775</w:t>
        </w:r>
      </w:hyperlink>
    </w:p>
    <w:p w14:paraId="340A6FF0"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Renfrew, C. and Bahn, P.G. (2020) </w:t>
      </w:r>
      <w:r w:rsidRPr="0065218E">
        <w:rPr>
          <w:rFonts w:ascii="Calibri" w:hAnsi="Calibri" w:cs="Calibri"/>
          <w:i/>
          <w:iCs/>
          <w:sz w:val="24"/>
          <w:szCs w:val="24"/>
        </w:rPr>
        <w:t>Archaeology : theories, methods and practice</w:t>
      </w:r>
      <w:r w:rsidRPr="0065218E">
        <w:rPr>
          <w:rFonts w:ascii="Calibri" w:hAnsi="Calibri" w:cs="Calibri"/>
          <w:sz w:val="24"/>
          <w:szCs w:val="24"/>
        </w:rPr>
        <w:t>. 8</w:t>
      </w:r>
      <w:r w:rsidRPr="0065218E">
        <w:rPr>
          <w:rFonts w:ascii="Calibri" w:hAnsi="Calibri" w:cs="Calibri"/>
          <w:sz w:val="24"/>
          <w:szCs w:val="24"/>
          <w:vertAlign w:val="superscript"/>
        </w:rPr>
        <w:t>th</w:t>
      </w:r>
      <w:r w:rsidRPr="0065218E">
        <w:rPr>
          <w:rFonts w:ascii="Calibri" w:hAnsi="Calibri" w:cs="Calibri"/>
          <w:sz w:val="24"/>
          <w:szCs w:val="24"/>
        </w:rPr>
        <w:t xml:space="preserve"> edn. London: Thames &amp; Hudson, Limited.</w:t>
      </w:r>
    </w:p>
    <w:p w14:paraId="0F75168B"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Robbins Schug, G. </w:t>
      </w:r>
      <w:r w:rsidRPr="0065218E">
        <w:rPr>
          <w:rFonts w:ascii="Calibri" w:hAnsi="Calibri" w:cs="Calibri"/>
          <w:i/>
          <w:iCs/>
          <w:sz w:val="24"/>
          <w:szCs w:val="24"/>
        </w:rPr>
        <w:t>et al.</w:t>
      </w:r>
      <w:r w:rsidRPr="0065218E">
        <w:rPr>
          <w:rFonts w:ascii="Calibri" w:hAnsi="Calibri" w:cs="Calibri"/>
          <w:sz w:val="24"/>
          <w:szCs w:val="24"/>
        </w:rPr>
        <w:t> (2013) ‘Infection, disease, and biosocial processes at the end of the Indus Civilization’, </w:t>
      </w:r>
      <w:proofErr w:type="spellStart"/>
      <w:r w:rsidRPr="0065218E">
        <w:rPr>
          <w:rFonts w:ascii="Calibri" w:hAnsi="Calibri" w:cs="Calibri"/>
          <w:i/>
          <w:iCs/>
          <w:sz w:val="24"/>
          <w:szCs w:val="24"/>
        </w:rPr>
        <w:t>PloS</w:t>
      </w:r>
      <w:proofErr w:type="spellEnd"/>
      <w:r w:rsidRPr="0065218E">
        <w:rPr>
          <w:rFonts w:ascii="Calibri" w:hAnsi="Calibri" w:cs="Calibri"/>
          <w:i/>
          <w:iCs/>
          <w:sz w:val="24"/>
          <w:szCs w:val="24"/>
        </w:rPr>
        <w:t xml:space="preserve"> one</w:t>
      </w:r>
      <w:r w:rsidRPr="0065218E">
        <w:rPr>
          <w:rFonts w:ascii="Calibri" w:hAnsi="Calibri" w:cs="Calibri"/>
          <w:sz w:val="24"/>
          <w:szCs w:val="24"/>
        </w:rPr>
        <w:t xml:space="preserve">, 8(12), pp. e84814. Available at: </w:t>
      </w:r>
      <w:hyperlink r:id="rId44" w:history="1">
        <w:r w:rsidRPr="0065218E">
          <w:rPr>
            <w:rStyle w:val="Hyperlink"/>
            <w:rFonts w:ascii="Calibri" w:hAnsi="Calibri" w:cs="Calibri"/>
            <w:sz w:val="24"/>
            <w:szCs w:val="24"/>
          </w:rPr>
          <w:t>https://doi.org/10.1371/journal.pone.0084814</w:t>
        </w:r>
      </w:hyperlink>
    </w:p>
    <w:p w14:paraId="19EE897F"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Robinson, A. (2021) </w:t>
      </w:r>
      <w:r w:rsidRPr="0065218E">
        <w:rPr>
          <w:rFonts w:ascii="Calibri" w:hAnsi="Calibri" w:cs="Calibri"/>
          <w:i/>
          <w:iCs/>
          <w:sz w:val="24"/>
          <w:szCs w:val="24"/>
        </w:rPr>
        <w:t>The Indus.</w:t>
      </w:r>
      <w:r w:rsidRPr="0065218E">
        <w:rPr>
          <w:rFonts w:ascii="Calibri" w:hAnsi="Calibri" w:cs="Calibri"/>
          <w:sz w:val="24"/>
          <w:szCs w:val="24"/>
        </w:rPr>
        <w:t xml:space="preserve"> 3</w:t>
      </w:r>
      <w:r w:rsidRPr="0065218E">
        <w:rPr>
          <w:rFonts w:ascii="Calibri" w:hAnsi="Calibri" w:cs="Calibri"/>
          <w:sz w:val="24"/>
          <w:szCs w:val="24"/>
          <w:vertAlign w:val="superscript"/>
        </w:rPr>
        <w:t>rd</w:t>
      </w:r>
      <w:r w:rsidRPr="0065218E">
        <w:rPr>
          <w:rFonts w:ascii="Calibri" w:hAnsi="Calibri" w:cs="Calibri"/>
          <w:sz w:val="24"/>
          <w:szCs w:val="24"/>
        </w:rPr>
        <w:t xml:space="preserve"> edn. London: </w:t>
      </w:r>
      <w:proofErr w:type="spellStart"/>
      <w:r w:rsidRPr="0065218E">
        <w:rPr>
          <w:rFonts w:ascii="Calibri" w:hAnsi="Calibri" w:cs="Calibri"/>
          <w:sz w:val="24"/>
          <w:szCs w:val="24"/>
        </w:rPr>
        <w:t>Reaktion</w:t>
      </w:r>
      <w:proofErr w:type="spellEnd"/>
      <w:r w:rsidRPr="0065218E">
        <w:rPr>
          <w:rFonts w:ascii="Calibri" w:hAnsi="Calibri" w:cs="Calibri"/>
          <w:sz w:val="24"/>
          <w:szCs w:val="24"/>
        </w:rPr>
        <w:t xml:space="preserve"> Books Ltd. </w:t>
      </w:r>
    </w:p>
    <w:p w14:paraId="6F1D8D0C"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Satz, D. (1989) ‘Marxism, Materialism and Historical Progress’, </w:t>
      </w:r>
      <w:r w:rsidRPr="0065218E">
        <w:rPr>
          <w:rFonts w:ascii="Calibri" w:hAnsi="Calibri" w:cs="Calibri"/>
          <w:i/>
          <w:iCs/>
          <w:sz w:val="24"/>
          <w:szCs w:val="24"/>
        </w:rPr>
        <w:t>Canadian Journal of Philosophy Supplementary Volume</w:t>
      </w:r>
      <w:r w:rsidRPr="0065218E">
        <w:rPr>
          <w:rFonts w:ascii="Calibri" w:hAnsi="Calibri" w:cs="Calibri"/>
          <w:sz w:val="24"/>
          <w:szCs w:val="24"/>
        </w:rPr>
        <w:t xml:space="preserve">, 15, pp. 391–424. Available at: </w:t>
      </w:r>
      <w:hyperlink r:id="rId45" w:history="1">
        <w:r w:rsidRPr="0065218E">
          <w:rPr>
            <w:rStyle w:val="Hyperlink"/>
            <w:rFonts w:ascii="Calibri" w:hAnsi="Calibri" w:cs="Calibri"/>
            <w:sz w:val="24"/>
            <w:szCs w:val="24"/>
          </w:rPr>
          <w:t>https://doi.org/10.1080/00455091.1989.10716805</w:t>
        </w:r>
      </w:hyperlink>
    </w:p>
    <w:p w14:paraId="5BB9033D"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Savage, V. (2021) </w:t>
      </w:r>
      <w:r w:rsidRPr="0065218E">
        <w:rPr>
          <w:rFonts w:ascii="Calibri" w:hAnsi="Calibri" w:cs="Calibri"/>
          <w:i/>
          <w:iCs/>
          <w:sz w:val="24"/>
          <w:szCs w:val="24"/>
        </w:rPr>
        <w:t>New and old understandings of nature will be key to protecting the world’s rich labyrinth of ecosystems.</w:t>
      </w:r>
      <w:r w:rsidRPr="0065218E">
        <w:rPr>
          <w:rFonts w:ascii="Calibri" w:hAnsi="Calibri" w:cs="Calibri"/>
          <w:sz w:val="24"/>
          <w:szCs w:val="24"/>
        </w:rPr>
        <w:t xml:space="preserve"> Available at: </w:t>
      </w:r>
      <w:hyperlink r:id="rId46" w:history="1">
        <w:r w:rsidRPr="0065218E">
          <w:rPr>
            <w:rStyle w:val="Hyperlink"/>
            <w:rFonts w:ascii="Calibri" w:hAnsi="Calibri" w:cs="Calibri"/>
            <w:sz w:val="24"/>
            <w:szCs w:val="24"/>
          </w:rPr>
          <w:t>https://www.acu.ac.uk/the-acu-review/lessons-in-sustainable-living/</w:t>
        </w:r>
      </w:hyperlink>
      <w:r w:rsidRPr="0065218E">
        <w:rPr>
          <w:rFonts w:ascii="Calibri" w:hAnsi="Calibri" w:cs="Calibri"/>
          <w:sz w:val="24"/>
          <w:szCs w:val="24"/>
        </w:rPr>
        <w:t xml:space="preserve"> (Accessed: 2 December 2024).</w:t>
      </w:r>
    </w:p>
    <w:p w14:paraId="63BE1AFE"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Schafer-Elliott, C. (2016) </w:t>
      </w:r>
      <w:r w:rsidRPr="0065218E">
        <w:rPr>
          <w:rFonts w:ascii="Calibri" w:hAnsi="Calibri" w:cs="Calibri"/>
          <w:i/>
          <w:iCs/>
          <w:sz w:val="24"/>
          <w:szCs w:val="24"/>
        </w:rPr>
        <w:t>The 5 Minute Archaeologist in the Southern Levant.</w:t>
      </w:r>
      <w:r w:rsidRPr="0065218E">
        <w:rPr>
          <w:rFonts w:ascii="Calibri" w:hAnsi="Calibri" w:cs="Calibri"/>
          <w:sz w:val="24"/>
          <w:szCs w:val="24"/>
        </w:rPr>
        <w:t xml:space="preserve"> 1</w:t>
      </w:r>
      <w:r w:rsidRPr="0065218E">
        <w:rPr>
          <w:rFonts w:ascii="Calibri" w:hAnsi="Calibri" w:cs="Calibri"/>
          <w:sz w:val="24"/>
          <w:szCs w:val="24"/>
          <w:vertAlign w:val="superscript"/>
        </w:rPr>
        <w:t>st</w:t>
      </w:r>
      <w:r w:rsidRPr="0065218E">
        <w:rPr>
          <w:rFonts w:ascii="Calibri" w:hAnsi="Calibri" w:cs="Calibri"/>
          <w:sz w:val="24"/>
          <w:szCs w:val="24"/>
        </w:rPr>
        <w:t xml:space="preserve"> edn. Sheffield: Equinox Publishing Ltd.</w:t>
      </w:r>
    </w:p>
    <w:p w14:paraId="0F1E6854"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Schwarz, E. (2024) </w:t>
      </w:r>
      <w:r w:rsidRPr="0065218E">
        <w:rPr>
          <w:rFonts w:ascii="Calibri" w:hAnsi="Calibri" w:cs="Calibri"/>
          <w:i/>
          <w:iCs/>
          <w:sz w:val="24"/>
          <w:szCs w:val="24"/>
        </w:rPr>
        <w:t>The ethical implications of AI in warfare.</w:t>
      </w:r>
      <w:r w:rsidRPr="0065218E">
        <w:rPr>
          <w:rFonts w:ascii="Calibri" w:hAnsi="Calibri" w:cs="Calibri"/>
          <w:sz w:val="24"/>
          <w:szCs w:val="24"/>
        </w:rPr>
        <w:t xml:space="preserve"> Available at: </w:t>
      </w:r>
      <w:hyperlink r:id="rId47" w:history="1">
        <w:r w:rsidRPr="0065218E">
          <w:rPr>
            <w:rStyle w:val="Hyperlink"/>
            <w:rFonts w:ascii="Calibri" w:hAnsi="Calibri" w:cs="Calibri"/>
            <w:sz w:val="24"/>
            <w:szCs w:val="24"/>
          </w:rPr>
          <w:t>https://www.qmul.ac.uk/research/featured-research/the-ethical-implications-of-ai-in-warfare/</w:t>
        </w:r>
      </w:hyperlink>
      <w:r w:rsidRPr="0065218E">
        <w:rPr>
          <w:rFonts w:ascii="Calibri" w:hAnsi="Calibri" w:cs="Calibri"/>
          <w:sz w:val="24"/>
          <w:szCs w:val="24"/>
        </w:rPr>
        <w:t xml:space="preserve"> (Accessed: 2 December 2024).</w:t>
      </w:r>
    </w:p>
    <w:p w14:paraId="1C952121"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Shanks, M. and Tilley, C.Y. (1993) </w:t>
      </w:r>
      <w:r w:rsidRPr="0065218E">
        <w:rPr>
          <w:rFonts w:ascii="Calibri" w:hAnsi="Calibri" w:cs="Calibri"/>
          <w:i/>
          <w:iCs/>
          <w:sz w:val="24"/>
          <w:szCs w:val="24"/>
        </w:rPr>
        <w:t>Re-constructing archaeology: theory and practice</w:t>
      </w:r>
      <w:r w:rsidRPr="0065218E">
        <w:rPr>
          <w:rFonts w:ascii="Calibri" w:hAnsi="Calibri" w:cs="Calibri"/>
          <w:sz w:val="24"/>
          <w:szCs w:val="24"/>
        </w:rPr>
        <w:t>. 2nd ed. London: Routledge.</w:t>
      </w:r>
    </w:p>
    <w:p w14:paraId="2024B4D3"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Smith, R. (2014) </w:t>
      </w:r>
      <w:r w:rsidRPr="0065218E">
        <w:rPr>
          <w:rFonts w:ascii="Calibri" w:hAnsi="Calibri" w:cs="Calibri"/>
          <w:i/>
          <w:iCs/>
          <w:sz w:val="24"/>
          <w:szCs w:val="24"/>
        </w:rPr>
        <w:t xml:space="preserve">Oldest known hearth found in Israel cave. </w:t>
      </w:r>
      <w:r w:rsidRPr="0065218E">
        <w:rPr>
          <w:rFonts w:ascii="Calibri" w:hAnsi="Calibri" w:cs="Calibri"/>
          <w:sz w:val="24"/>
          <w:szCs w:val="24"/>
        </w:rPr>
        <w:t xml:space="preserve">Available at: </w:t>
      </w:r>
      <w:hyperlink r:id="rId48" w:history="1">
        <w:r w:rsidRPr="0065218E">
          <w:rPr>
            <w:rStyle w:val="Hyperlink"/>
            <w:rFonts w:ascii="Calibri" w:hAnsi="Calibri" w:cs="Calibri"/>
            <w:sz w:val="24"/>
            <w:szCs w:val="24"/>
          </w:rPr>
          <w:t>https://www.nationalgeographic.com/adventure/article/140129-oldest-hearth-israel-cave-new-human-species-discovery-archaeology-science</w:t>
        </w:r>
      </w:hyperlink>
      <w:r w:rsidRPr="0065218E">
        <w:rPr>
          <w:rFonts w:ascii="Calibri" w:hAnsi="Calibri" w:cs="Calibri"/>
          <w:sz w:val="24"/>
          <w:szCs w:val="24"/>
        </w:rPr>
        <w:t xml:space="preserve"> (Accessed: 4 December 2024).</w:t>
      </w:r>
    </w:p>
    <w:p w14:paraId="3B39C138"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Tryon, C., </w:t>
      </w:r>
      <w:proofErr w:type="spellStart"/>
      <w:r w:rsidRPr="0065218E">
        <w:rPr>
          <w:rFonts w:ascii="Calibri" w:hAnsi="Calibri" w:cs="Calibri"/>
          <w:sz w:val="24"/>
          <w:szCs w:val="24"/>
        </w:rPr>
        <w:t>Pobiner</w:t>
      </w:r>
      <w:proofErr w:type="spellEnd"/>
      <w:r w:rsidRPr="0065218E">
        <w:rPr>
          <w:rFonts w:ascii="Calibri" w:hAnsi="Calibri" w:cs="Calibri"/>
          <w:sz w:val="24"/>
          <w:szCs w:val="24"/>
        </w:rPr>
        <w:t>, B. and Kauffman, R. (2010) ‘Archaeology and Human Evolution’, </w:t>
      </w:r>
      <w:r w:rsidRPr="0065218E">
        <w:rPr>
          <w:rFonts w:ascii="Calibri" w:hAnsi="Calibri" w:cs="Calibri"/>
          <w:i/>
          <w:iCs/>
          <w:sz w:val="24"/>
          <w:szCs w:val="24"/>
        </w:rPr>
        <w:t>Evolution Education &amp; Outreach</w:t>
      </w:r>
      <w:r w:rsidRPr="0065218E">
        <w:rPr>
          <w:rFonts w:ascii="Calibri" w:hAnsi="Calibri" w:cs="Calibri"/>
          <w:sz w:val="24"/>
          <w:szCs w:val="24"/>
        </w:rPr>
        <w:t xml:space="preserve">, 3(3), pp. 377–386. Available at: </w:t>
      </w:r>
      <w:hyperlink r:id="rId49" w:history="1">
        <w:r w:rsidRPr="0065218E">
          <w:rPr>
            <w:rStyle w:val="Hyperlink"/>
            <w:rFonts w:ascii="Calibri" w:hAnsi="Calibri" w:cs="Calibri"/>
            <w:sz w:val="24"/>
            <w:szCs w:val="24"/>
          </w:rPr>
          <w:t>https://doi.org/10.1007/s12052-010-0246-9</w:t>
        </w:r>
      </w:hyperlink>
    </w:p>
    <w:p w14:paraId="31B64E85"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 xml:space="preserve">Tupy, M. (2013) </w:t>
      </w:r>
      <w:r w:rsidRPr="0065218E">
        <w:rPr>
          <w:rFonts w:ascii="Calibri" w:hAnsi="Calibri" w:cs="Calibri"/>
          <w:i/>
          <w:iCs/>
          <w:sz w:val="24"/>
          <w:szCs w:val="24"/>
        </w:rPr>
        <w:t>Human Progress: Not inevitable, uneven, and indisputable.</w:t>
      </w:r>
      <w:r w:rsidRPr="0065218E">
        <w:rPr>
          <w:rFonts w:ascii="Calibri" w:hAnsi="Calibri" w:cs="Calibri"/>
          <w:sz w:val="24"/>
          <w:szCs w:val="24"/>
        </w:rPr>
        <w:t xml:space="preserve"> Available at: </w:t>
      </w:r>
      <w:hyperlink r:id="rId50" w:history="1">
        <w:r w:rsidRPr="0065218E">
          <w:rPr>
            <w:rStyle w:val="Hyperlink"/>
            <w:rFonts w:ascii="Calibri" w:hAnsi="Calibri" w:cs="Calibri"/>
            <w:sz w:val="24"/>
            <w:szCs w:val="24"/>
          </w:rPr>
          <w:t>https://www.cato.org/commentary/human-progress-not-inevitable-uneven-indisputable</w:t>
        </w:r>
      </w:hyperlink>
      <w:r w:rsidRPr="0065218E">
        <w:rPr>
          <w:rFonts w:ascii="Calibri" w:hAnsi="Calibri" w:cs="Calibri"/>
          <w:sz w:val="24"/>
          <w:szCs w:val="24"/>
        </w:rPr>
        <w:t xml:space="preserve"> (Accessed: 30 November 2024).</w:t>
      </w:r>
    </w:p>
    <w:p w14:paraId="39EF219A"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Viney, R. (1999) ‘Progress in history : using some ideas in theoretical physics to adapt linear and cyclical concepts of progress in history’, </w:t>
      </w:r>
      <w:r w:rsidRPr="0065218E">
        <w:rPr>
          <w:rFonts w:ascii="Calibri" w:hAnsi="Calibri" w:cs="Calibri"/>
          <w:i/>
          <w:iCs/>
          <w:sz w:val="24"/>
          <w:szCs w:val="24"/>
        </w:rPr>
        <w:t>Historia (Three Rivers)</w:t>
      </w:r>
      <w:r w:rsidRPr="0065218E">
        <w:rPr>
          <w:rFonts w:ascii="Calibri" w:hAnsi="Calibri" w:cs="Calibri"/>
          <w:sz w:val="24"/>
          <w:szCs w:val="24"/>
        </w:rPr>
        <w:t xml:space="preserve">, 44(2), pp. 276–286. Available at: </w:t>
      </w:r>
      <w:hyperlink r:id="rId51" w:history="1">
        <w:r w:rsidRPr="0065218E">
          <w:rPr>
            <w:rStyle w:val="Hyperlink"/>
            <w:rFonts w:ascii="Calibri" w:hAnsi="Calibri" w:cs="Calibri"/>
            <w:sz w:val="24"/>
            <w:szCs w:val="24"/>
          </w:rPr>
          <w:t>https://journals.co.za/doi/abs/10.10520/EJC37965</w:t>
        </w:r>
      </w:hyperlink>
      <w:r w:rsidRPr="0065218E">
        <w:rPr>
          <w:rFonts w:ascii="Calibri" w:hAnsi="Calibri" w:cs="Calibri"/>
          <w:sz w:val="24"/>
          <w:szCs w:val="24"/>
        </w:rPr>
        <w:t xml:space="preserve"> (Accessed: 30 November 2024).</w:t>
      </w:r>
    </w:p>
    <w:p w14:paraId="25E8F042" w14:textId="77777777"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Ward-Perkins, B. (2005) </w:t>
      </w:r>
      <w:r w:rsidRPr="0065218E">
        <w:rPr>
          <w:rFonts w:ascii="Calibri" w:hAnsi="Calibri" w:cs="Calibri"/>
          <w:i/>
          <w:iCs/>
          <w:sz w:val="24"/>
          <w:szCs w:val="24"/>
        </w:rPr>
        <w:t xml:space="preserve">The end of the Roman Empire: did it collapse or was it </w:t>
      </w:r>
      <w:proofErr w:type="gramStart"/>
      <w:r w:rsidRPr="0065218E">
        <w:rPr>
          <w:rFonts w:ascii="Calibri" w:hAnsi="Calibri" w:cs="Calibri"/>
          <w:i/>
          <w:iCs/>
          <w:sz w:val="24"/>
          <w:szCs w:val="24"/>
        </w:rPr>
        <w:t>transformed?</w:t>
      </w:r>
      <w:r w:rsidRPr="0065218E">
        <w:rPr>
          <w:rFonts w:ascii="Calibri" w:hAnsi="Calibri" w:cs="Calibri"/>
          <w:sz w:val="24"/>
          <w:szCs w:val="24"/>
        </w:rPr>
        <w:t>,</w:t>
      </w:r>
      <w:proofErr w:type="gramEnd"/>
      <w:r w:rsidRPr="0065218E">
        <w:rPr>
          <w:rFonts w:ascii="Calibri" w:hAnsi="Calibri" w:cs="Calibri"/>
          <w:sz w:val="24"/>
          <w:szCs w:val="24"/>
        </w:rPr>
        <w:t> </w:t>
      </w:r>
      <w:r w:rsidRPr="0065218E">
        <w:rPr>
          <w:rFonts w:ascii="Calibri" w:hAnsi="Calibri" w:cs="Calibri"/>
          <w:i/>
          <w:iCs/>
          <w:sz w:val="24"/>
          <w:szCs w:val="24"/>
        </w:rPr>
        <w:t>History Today</w:t>
      </w:r>
      <w:r w:rsidRPr="0065218E">
        <w:rPr>
          <w:rFonts w:ascii="Calibri" w:hAnsi="Calibri" w:cs="Calibri"/>
          <w:sz w:val="24"/>
          <w:szCs w:val="24"/>
        </w:rPr>
        <w:t xml:space="preserve">. London: History Today Ltd, pp. 12–16. Available at: </w:t>
      </w:r>
      <w:hyperlink r:id="rId52" w:history="1">
        <w:r w:rsidRPr="0065218E">
          <w:rPr>
            <w:rStyle w:val="Hyperlink"/>
            <w:rFonts w:ascii="Calibri" w:hAnsi="Calibri" w:cs="Calibri"/>
            <w:sz w:val="24"/>
            <w:szCs w:val="24"/>
          </w:rPr>
          <w:t>https://www.proquest.com/docview/202817654/391A10F6D77C4C60PQ/1?accountid=130472&amp;sourcetype=Magazines</w:t>
        </w:r>
      </w:hyperlink>
      <w:r w:rsidRPr="0065218E">
        <w:rPr>
          <w:rFonts w:ascii="Calibri" w:hAnsi="Calibri" w:cs="Calibri"/>
          <w:sz w:val="24"/>
          <w:szCs w:val="24"/>
        </w:rPr>
        <w:t xml:space="preserve"> (Accessed: 1 December 2024).</w:t>
      </w:r>
    </w:p>
    <w:p w14:paraId="7455C93F" w14:textId="5125153E" w:rsidR="0065218E" w:rsidRPr="0065218E" w:rsidRDefault="0065218E" w:rsidP="00880BDE">
      <w:pPr>
        <w:spacing w:line="240" w:lineRule="auto"/>
        <w:rPr>
          <w:rFonts w:ascii="Calibri" w:hAnsi="Calibri" w:cs="Calibri"/>
          <w:sz w:val="24"/>
          <w:szCs w:val="24"/>
        </w:rPr>
      </w:pPr>
      <w:r w:rsidRPr="0065218E">
        <w:rPr>
          <w:rFonts w:ascii="Calibri" w:hAnsi="Calibri" w:cs="Calibri"/>
          <w:sz w:val="24"/>
          <w:szCs w:val="24"/>
        </w:rPr>
        <w:t>W</w:t>
      </w:r>
      <w:r>
        <w:rPr>
          <w:rFonts w:ascii="Calibri" w:hAnsi="Calibri" w:cs="Calibri"/>
          <w:sz w:val="24"/>
          <w:szCs w:val="24"/>
        </w:rPr>
        <w:t>.</w:t>
      </w:r>
      <w:r w:rsidRPr="0065218E">
        <w:rPr>
          <w:rFonts w:ascii="Calibri" w:hAnsi="Calibri" w:cs="Calibri"/>
          <w:sz w:val="24"/>
          <w:szCs w:val="24"/>
        </w:rPr>
        <w:t>H</w:t>
      </w:r>
      <w:r>
        <w:rPr>
          <w:rFonts w:ascii="Calibri" w:hAnsi="Calibri" w:cs="Calibri"/>
          <w:sz w:val="24"/>
          <w:szCs w:val="24"/>
        </w:rPr>
        <w:t>.</w:t>
      </w:r>
      <w:r w:rsidRPr="0065218E">
        <w:rPr>
          <w:rFonts w:ascii="Calibri" w:hAnsi="Calibri" w:cs="Calibri"/>
          <w:sz w:val="24"/>
          <w:szCs w:val="24"/>
        </w:rPr>
        <w:t>O</w:t>
      </w:r>
      <w:r>
        <w:rPr>
          <w:rFonts w:ascii="Calibri" w:hAnsi="Calibri" w:cs="Calibri"/>
          <w:sz w:val="24"/>
          <w:szCs w:val="24"/>
        </w:rPr>
        <w:t>.</w:t>
      </w:r>
      <w:r w:rsidRPr="0065218E">
        <w:rPr>
          <w:rFonts w:ascii="Calibri" w:hAnsi="Calibri" w:cs="Calibri"/>
          <w:sz w:val="24"/>
          <w:szCs w:val="24"/>
        </w:rPr>
        <w:t xml:space="preserve"> (2024) </w:t>
      </w:r>
      <w:r w:rsidRPr="0065218E">
        <w:rPr>
          <w:rFonts w:ascii="Calibri" w:hAnsi="Calibri" w:cs="Calibri"/>
          <w:i/>
          <w:iCs/>
          <w:sz w:val="24"/>
          <w:szCs w:val="24"/>
        </w:rPr>
        <w:t xml:space="preserve">GHE: Life expectancy and healthy life expectancy. </w:t>
      </w:r>
      <w:r w:rsidRPr="0065218E">
        <w:rPr>
          <w:rFonts w:ascii="Calibri" w:hAnsi="Calibri" w:cs="Calibri"/>
          <w:sz w:val="24"/>
          <w:szCs w:val="24"/>
        </w:rPr>
        <w:t xml:space="preserve">Available at: </w:t>
      </w:r>
      <w:hyperlink r:id="rId53" w:history="1">
        <w:r w:rsidRPr="0065218E">
          <w:rPr>
            <w:rStyle w:val="Hyperlink"/>
            <w:rFonts w:ascii="Calibri" w:hAnsi="Calibri" w:cs="Calibri"/>
            <w:sz w:val="24"/>
            <w:szCs w:val="24"/>
          </w:rPr>
          <w:t>https://www.who.int/data/gho/data/themes/mortality-and-global-health-estimates/ghe-life-expectancy-and-healthy-life-expectancy</w:t>
        </w:r>
      </w:hyperlink>
      <w:r w:rsidRPr="0065218E">
        <w:rPr>
          <w:rFonts w:ascii="Calibri" w:hAnsi="Calibri" w:cs="Calibri"/>
          <w:sz w:val="24"/>
          <w:szCs w:val="24"/>
        </w:rPr>
        <w:t xml:space="preserve"> (Accessed: 30 November 2024).</w:t>
      </w:r>
    </w:p>
    <w:p w14:paraId="1A167BB6" w14:textId="77777777" w:rsidR="0065218E" w:rsidRDefault="0065218E" w:rsidP="00880BDE">
      <w:pPr>
        <w:spacing w:line="240" w:lineRule="auto"/>
        <w:rPr>
          <w:rFonts w:ascii="Calibri" w:hAnsi="Calibri" w:cs="Calibri"/>
          <w:sz w:val="24"/>
          <w:szCs w:val="24"/>
        </w:rPr>
      </w:pPr>
      <w:r w:rsidRPr="0065218E">
        <w:rPr>
          <w:rFonts w:ascii="Calibri" w:hAnsi="Calibri" w:cs="Calibri"/>
          <w:sz w:val="24"/>
          <w:szCs w:val="24"/>
        </w:rPr>
        <w:t>Woods, E.B. (1907) ‘Progress as a Sociological Concept’, </w:t>
      </w:r>
      <w:r w:rsidRPr="0065218E">
        <w:rPr>
          <w:rFonts w:ascii="Calibri" w:hAnsi="Calibri" w:cs="Calibri"/>
          <w:i/>
          <w:iCs/>
          <w:sz w:val="24"/>
          <w:szCs w:val="24"/>
        </w:rPr>
        <w:t>The American Journal of Sociology</w:t>
      </w:r>
      <w:r w:rsidRPr="0065218E">
        <w:rPr>
          <w:rFonts w:ascii="Calibri" w:hAnsi="Calibri" w:cs="Calibri"/>
          <w:sz w:val="24"/>
          <w:szCs w:val="24"/>
        </w:rPr>
        <w:t xml:space="preserve">, 12(6), pp. 779–821. Available at: </w:t>
      </w:r>
      <w:hyperlink r:id="rId54" w:history="1">
        <w:r w:rsidRPr="0065218E">
          <w:rPr>
            <w:rStyle w:val="Hyperlink"/>
            <w:rFonts w:ascii="Calibri" w:hAnsi="Calibri" w:cs="Calibri"/>
            <w:sz w:val="24"/>
            <w:szCs w:val="24"/>
          </w:rPr>
          <w:t>https://doi.org/10.1086/211550</w:t>
        </w:r>
      </w:hyperlink>
    </w:p>
    <w:p w14:paraId="568AA592" w14:textId="77777777" w:rsidR="009816F3" w:rsidRDefault="009816F3">
      <w:pPr>
        <w:rPr>
          <w:rFonts w:ascii="Calibri" w:hAnsi="Calibri" w:cs="Calibri"/>
          <w:sz w:val="24"/>
          <w:szCs w:val="24"/>
        </w:rPr>
      </w:pPr>
    </w:p>
    <w:p w14:paraId="2CE37D9E" w14:textId="4B281A25" w:rsidR="009A5540" w:rsidRDefault="00D11D50">
      <w:pPr>
        <w:rPr>
          <w:rFonts w:ascii="Calibri" w:hAnsi="Calibri" w:cs="Calibri"/>
          <w:sz w:val="24"/>
          <w:szCs w:val="24"/>
          <w:u w:val="single"/>
        </w:rPr>
      </w:pPr>
      <w:r w:rsidRPr="00D11D50">
        <w:rPr>
          <w:rFonts w:ascii="Calibri" w:hAnsi="Calibri" w:cs="Calibri"/>
          <w:sz w:val="24"/>
          <w:szCs w:val="24"/>
          <w:u w:val="single"/>
        </w:rPr>
        <w:t>BIBLIOGRAPHY</w:t>
      </w:r>
    </w:p>
    <w:p w14:paraId="234AB876" w14:textId="77777777" w:rsidR="00F8704F" w:rsidRDefault="00F8704F" w:rsidP="00672DC7">
      <w:pPr>
        <w:spacing w:line="240" w:lineRule="auto"/>
        <w:rPr>
          <w:rFonts w:ascii="Calibri" w:hAnsi="Calibri" w:cs="Calibri"/>
          <w:sz w:val="24"/>
          <w:szCs w:val="24"/>
        </w:rPr>
      </w:pPr>
      <w:r w:rsidRPr="008F0D18">
        <w:rPr>
          <w:rFonts w:ascii="Calibri" w:hAnsi="Calibri" w:cs="Calibri"/>
          <w:sz w:val="24"/>
          <w:szCs w:val="24"/>
        </w:rPr>
        <w:t>Germond-Duret, C. (2016)</w:t>
      </w:r>
      <w:r>
        <w:rPr>
          <w:rFonts w:ascii="Calibri" w:hAnsi="Calibri" w:cs="Calibri"/>
          <w:sz w:val="24"/>
          <w:szCs w:val="24"/>
        </w:rPr>
        <w:t xml:space="preserve"> ‘</w:t>
      </w:r>
      <w:r w:rsidRPr="008F0D18">
        <w:rPr>
          <w:rFonts w:ascii="Calibri" w:hAnsi="Calibri" w:cs="Calibri"/>
          <w:sz w:val="24"/>
          <w:szCs w:val="24"/>
        </w:rPr>
        <w:t xml:space="preserve">Tradition and modernity: an obsolete dichotomy? Binary thinking, </w:t>
      </w:r>
      <w:r>
        <w:rPr>
          <w:rFonts w:ascii="Calibri" w:hAnsi="Calibri" w:cs="Calibri"/>
          <w:sz w:val="24"/>
          <w:szCs w:val="24"/>
        </w:rPr>
        <w:t>Indigenous</w:t>
      </w:r>
      <w:r w:rsidRPr="008F0D18">
        <w:rPr>
          <w:rFonts w:ascii="Calibri" w:hAnsi="Calibri" w:cs="Calibri"/>
          <w:sz w:val="24"/>
          <w:szCs w:val="24"/>
        </w:rPr>
        <w:t xml:space="preserve"> peoples and normalisation</w:t>
      </w:r>
      <w:r>
        <w:rPr>
          <w:rFonts w:ascii="Calibri" w:hAnsi="Calibri" w:cs="Calibri"/>
          <w:sz w:val="24"/>
          <w:szCs w:val="24"/>
        </w:rPr>
        <w:t>’,</w:t>
      </w:r>
      <w:r w:rsidRPr="008F0D18">
        <w:rPr>
          <w:rFonts w:ascii="Calibri" w:hAnsi="Calibri" w:cs="Calibri"/>
          <w:sz w:val="24"/>
          <w:szCs w:val="24"/>
        </w:rPr>
        <w:t> </w:t>
      </w:r>
      <w:r w:rsidRPr="008F0D18">
        <w:rPr>
          <w:rFonts w:ascii="Calibri" w:hAnsi="Calibri" w:cs="Calibri"/>
          <w:i/>
          <w:iCs/>
          <w:sz w:val="24"/>
          <w:szCs w:val="24"/>
        </w:rPr>
        <w:t>Third Quarterly</w:t>
      </w:r>
      <w:r w:rsidRPr="008F0D18">
        <w:rPr>
          <w:rFonts w:ascii="Calibri" w:hAnsi="Calibri" w:cs="Calibri"/>
          <w:sz w:val="24"/>
          <w:szCs w:val="24"/>
        </w:rPr>
        <w:t>, </w:t>
      </w:r>
      <w:r w:rsidRPr="008F0D18">
        <w:rPr>
          <w:rFonts w:ascii="Calibri" w:hAnsi="Calibri" w:cs="Calibri"/>
          <w:i/>
          <w:iCs/>
          <w:sz w:val="24"/>
          <w:szCs w:val="24"/>
        </w:rPr>
        <w:t>37</w:t>
      </w:r>
      <w:r w:rsidRPr="008F0D18">
        <w:rPr>
          <w:rFonts w:ascii="Calibri" w:hAnsi="Calibri" w:cs="Calibri"/>
          <w:sz w:val="24"/>
          <w:szCs w:val="24"/>
        </w:rPr>
        <w:t xml:space="preserve">(9), </w:t>
      </w:r>
      <w:r>
        <w:rPr>
          <w:rFonts w:ascii="Calibri" w:hAnsi="Calibri" w:cs="Calibri"/>
          <w:sz w:val="24"/>
          <w:szCs w:val="24"/>
        </w:rPr>
        <w:t xml:space="preserve">pp. </w:t>
      </w:r>
      <w:r w:rsidRPr="008F0D18">
        <w:rPr>
          <w:rFonts w:ascii="Calibri" w:hAnsi="Calibri" w:cs="Calibri"/>
          <w:sz w:val="24"/>
          <w:szCs w:val="24"/>
        </w:rPr>
        <w:t xml:space="preserve">1537–1558. </w:t>
      </w:r>
      <w:r>
        <w:rPr>
          <w:rFonts w:ascii="Calibri" w:hAnsi="Calibri" w:cs="Calibri"/>
          <w:sz w:val="24"/>
          <w:szCs w:val="24"/>
        </w:rPr>
        <w:t xml:space="preserve">Available at: </w:t>
      </w:r>
      <w:hyperlink r:id="rId55" w:history="1">
        <w:r w:rsidRPr="00561E9C">
          <w:rPr>
            <w:rStyle w:val="Hyperlink"/>
            <w:rFonts w:ascii="Calibri" w:hAnsi="Calibri" w:cs="Calibri"/>
            <w:sz w:val="24"/>
            <w:szCs w:val="24"/>
          </w:rPr>
          <w:t>https://doi.org/10.1080/01436597.2015.1135396</w:t>
        </w:r>
      </w:hyperlink>
    </w:p>
    <w:p w14:paraId="04933D1F" w14:textId="77777777" w:rsidR="00F8704F" w:rsidRDefault="00F8704F" w:rsidP="00672DC7">
      <w:pPr>
        <w:spacing w:line="240" w:lineRule="auto"/>
        <w:rPr>
          <w:rFonts w:ascii="Calibri" w:hAnsi="Calibri" w:cs="Calibri"/>
          <w:sz w:val="24"/>
          <w:szCs w:val="24"/>
        </w:rPr>
      </w:pPr>
      <w:r w:rsidRPr="00A30BBB">
        <w:rPr>
          <w:rFonts w:ascii="Calibri" w:hAnsi="Calibri" w:cs="Calibri"/>
          <w:sz w:val="24"/>
          <w:szCs w:val="24"/>
        </w:rPr>
        <w:t>Hodder, I. and Hutson, S. (2003) </w:t>
      </w:r>
      <w:r w:rsidRPr="00A30BBB">
        <w:rPr>
          <w:rFonts w:ascii="Calibri" w:hAnsi="Calibri" w:cs="Calibri"/>
          <w:i/>
          <w:iCs/>
          <w:sz w:val="24"/>
          <w:szCs w:val="24"/>
        </w:rPr>
        <w:t>Reading the past : current approaches to interpretation in archaeology</w:t>
      </w:r>
      <w:r w:rsidRPr="00A30BBB">
        <w:rPr>
          <w:rFonts w:ascii="Calibri" w:hAnsi="Calibri" w:cs="Calibri"/>
          <w:sz w:val="24"/>
          <w:szCs w:val="24"/>
        </w:rPr>
        <w:t>. 3</w:t>
      </w:r>
      <w:r w:rsidRPr="00A30BBB">
        <w:rPr>
          <w:rFonts w:ascii="Calibri" w:hAnsi="Calibri" w:cs="Calibri"/>
          <w:sz w:val="24"/>
          <w:szCs w:val="24"/>
          <w:vertAlign w:val="superscript"/>
        </w:rPr>
        <w:t>rd</w:t>
      </w:r>
      <w:r>
        <w:rPr>
          <w:rFonts w:ascii="Calibri" w:hAnsi="Calibri" w:cs="Calibri"/>
          <w:sz w:val="24"/>
          <w:szCs w:val="24"/>
        </w:rPr>
        <w:t xml:space="preserve"> </w:t>
      </w:r>
      <w:r w:rsidRPr="00A30BBB">
        <w:rPr>
          <w:rFonts w:ascii="Calibri" w:hAnsi="Calibri" w:cs="Calibri"/>
          <w:sz w:val="24"/>
          <w:szCs w:val="24"/>
        </w:rPr>
        <w:t>ed</w:t>
      </w:r>
      <w:r>
        <w:rPr>
          <w:rFonts w:ascii="Calibri" w:hAnsi="Calibri" w:cs="Calibri"/>
          <w:sz w:val="24"/>
          <w:szCs w:val="24"/>
        </w:rPr>
        <w:t>n</w:t>
      </w:r>
      <w:r w:rsidRPr="00A30BBB">
        <w:rPr>
          <w:rFonts w:ascii="Calibri" w:hAnsi="Calibri" w:cs="Calibri"/>
          <w:sz w:val="24"/>
          <w:szCs w:val="24"/>
        </w:rPr>
        <w:t>. Cambridge: Cambridge University Press.</w:t>
      </w:r>
    </w:p>
    <w:p w14:paraId="1F9C6EDC" w14:textId="77777777" w:rsidR="00F8704F" w:rsidRDefault="00F8704F" w:rsidP="00672DC7">
      <w:pPr>
        <w:spacing w:line="240" w:lineRule="auto"/>
        <w:rPr>
          <w:rFonts w:ascii="Calibri" w:hAnsi="Calibri" w:cs="Calibri"/>
          <w:sz w:val="24"/>
          <w:szCs w:val="24"/>
        </w:rPr>
      </w:pPr>
      <w:r>
        <w:rPr>
          <w:rFonts w:ascii="Calibri" w:hAnsi="Calibri" w:cs="Calibri"/>
          <w:sz w:val="24"/>
          <w:szCs w:val="24"/>
        </w:rPr>
        <w:t xml:space="preserve">Morris, I. (2015) </w:t>
      </w:r>
      <w:r w:rsidRPr="00533184">
        <w:rPr>
          <w:rFonts w:ascii="Calibri" w:hAnsi="Calibri" w:cs="Calibri"/>
          <w:i/>
          <w:iCs/>
          <w:sz w:val="24"/>
          <w:szCs w:val="24"/>
        </w:rPr>
        <w:t>Humanity is turning into a ‘different kind of animal,’ Stanford historian says.</w:t>
      </w:r>
      <w:r>
        <w:rPr>
          <w:rFonts w:ascii="Calibri" w:hAnsi="Calibri" w:cs="Calibri"/>
          <w:sz w:val="24"/>
          <w:szCs w:val="24"/>
        </w:rPr>
        <w:t xml:space="preserve"> Available at: </w:t>
      </w:r>
      <w:hyperlink r:id="rId56" w:history="1">
        <w:r w:rsidRPr="00561E9C">
          <w:rPr>
            <w:rStyle w:val="Hyperlink"/>
            <w:rFonts w:ascii="Calibri" w:hAnsi="Calibri" w:cs="Calibri"/>
            <w:sz w:val="24"/>
            <w:szCs w:val="24"/>
          </w:rPr>
          <w:t>https://news.stanford.edu/stories/2015/03/ancient-post-human-030415</w:t>
        </w:r>
      </w:hyperlink>
      <w:r>
        <w:rPr>
          <w:rFonts w:ascii="Calibri" w:hAnsi="Calibri" w:cs="Calibri"/>
          <w:sz w:val="24"/>
          <w:szCs w:val="24"/>
        </w:rPr>
        <w:t xml:space="preserve"> (Accessed: 30 November 2024).</w:t>
      </w:r>
    </w:p>
    <w:p w14:paraId="4F55A1EC" w14:textId="77777777" w:rsidR="00F8704F" w:rsidRDefault="00F8704F" w:rsidP="00672DC7">
      <w:pPr>
        <w:spacing w:line="240" w:lineRule="auto"/>
        <w:rPr>
          <w:rFonts w:ascii="Calibri" w:hAnsi="Calibri" w:cs="Calibri"/>
          <w:sz w:val="24"/>
          <w:szCs w:val="24"/>
        </w:rPr>
      </w:pPr>
      <w:r w:rsidRPr="00B768DB">
        <w:rPr>
          <w:rFonts w:ascii="Calibri" w:hAnsi="Calibri" w:cs="Calibri"/>
          <w:sz w:val="24"/>
          <w:szCs w:val="24"/>
        </w:rPr>
        <w:t>Scarre, C. (2018) </w:t>
      </w:r>
      <w:r w:rsidRPr="00B768DB">
        <w:rPr>
          <w:rFonts w:ascii="Calibri" w:hAnsi="Calibri" w:cs="Calibri"/>
          <w:i/>
          <w:iCs/>
          <w:sz w:val="24"/>
          <w:szCs w:val="24"/>
        </w:rPr>
        <w:t>The human past : world prehistory and the development of human societies</w:t>
      </w:r>
      <w:r w:rsidRPr="00B768DB">
        <w:rPr>
          <w:rFonts w:ascii="Calibri" w:hAnsi="Calibri" w:cs="Calibri"/>
          <w:sz w:val="24"/>
          <w:szCs w:val="24"/>
        </w:rPr>
        <w:t xml:space="preserve">. </w:t>
      </w:r>
      <w:r>
        <w:rPr>
          <w:rFonts w:ascii="Calibri" w:hAnsi="Calibri" w:cs="Calibri"/>
          <w:sz w:val="24"/>
          <w:szCs w:val="24"/>
        </w:rPr>
        <w:t>4</w:t>
      </w:r>
      <w:r w:rsidRPr="00330245">
        <w:rPr>
          <w:rFonts w:ascii="Calibri" w:hAnsi="Calibri" w:cs="Calibri"/>
          <w:sz w:val="24"/>
          <w:szCs w:val="24"/>
          <w:vertAlign w:val="superscript"/>
        </w:rPr>
        <w:t>th</w:t>
      </w:r>
      <w:r w:rsidRPr="00B768DB">
        <w:rPr>
          <w:rFonts w:ascii="Calibri" w:hAnsi="Calibri" w:cs="Calibri"/>
          <w:sz w:val="24"/>
          <w:szCs w:val="24"/>
        </w:rPr>
        <w:t xml:space="preserve"> edn. London: Thames &amp; Hudson. </w:t>
      </w:r>
    </w:p>
    <w:p w14:paraId="2331B6D3" w14:textId="77777777" w:rsidR="00F8704F" w:rsidRDefault="00F8704F" w:rsidP="00672DC7">
      <w:pPr>
        <w:spacing w:line="240" w:lineRule="auto"/>
        <w:rPr>
          <w:rFonts w:ascii="Calibri" w:hAnsi="Calibri" w:cs="Calibri"/>
          <w:sz w:val="24"/>
          <w:szCs w:val="24"/>
        </w:rPr>
      </w:pPr>
      <w:proofErr w:type="spellStart"/>
      <w:r w:rsidRPr="00070055">
        <w:rPr>
          <w:rFonts w:ascii="Calibri" w:hAnsi="Calibri" w:cs="Calibri"/>
          <w:sz w:val="24"/>
          <w:szCs w:val="24"/>
        </w:rPr>
        <w:t>Teltser</w:t>
      </w:r>
      <w:proofErr w:type="spellEnd"/>
      <w:r w:rsidRPr="00070055">
        <w:rPr>
          <w:rFonts w:ascii="Calibri" w:hAnsi="Calibri" w:cs="Calibri"/>
          <w:sz w:val="24"/>
          <w:szCs w:val="24"/>
        </w:rPr>
        <w:t>, P.A. (1995) </w:t>
      </w:r>
      <w:r w:rsidRPr="00070055">
        <w:rPr>
          <w:rFonts w:ascii="Calibri" w:hAnsi="Calibri" w:cs="Calibri"/>
          <w:i/>
          <w:iCs/>
          <w:sz w:val="24"/>
          <w:szCs w:val="24"/>
        </w:rPr>
        <w:t>Evolutionary archaeology : methodological issues</w:t>
      </w:r>
      <w:r w:rsidRPr="00070055">
        <w:rPr>
          <w:rFonts w:ascii="Calibri" w:hAnsi="Calibri" w:cs="Calibri"/>
          <w:sz w:val="24"/>
          <w:szCs w:val="24"/>
        </w:rPr>
        <w:t xml:space="preserve">. </w:t>
      </w:r>
      <w:r>
        <w:rPr>
          <w:rFonts w:ascii="Calibri" w:hAnsi="Calibri" w:cs="Calibri"/>
          <w:sz w:val="24"/>
          <w:szCs w:val="24"/>
        </w:rPr>
        <w:t>1</w:t>
      </w:r>
      <w:r w:rsidRPr="00F8704F">
        <w:rPr>
          <w:rFonts w:ascii="Calibri" w:hAnsi="Calibri" w:cs="Calibri"/>
          <w:sz w:val="24"/>
          <w:szCs w:val="24"/>
          <w:vertAlign w:val="superscript"/>
        </w:rPr>
        <w:t>st</w:t>
      </w:r>
      <w:r>
        <w:rPr>
          <w:rFonts w:ascii="Calibri" w:hAnsi="Calibri" w:cs="Calibri"/>
          <w:sz w:val="24"/>
          <w:szCs w:val="24"/>
        </w:rPr>
        <w:t xml:space="preserve"> edn. </w:t>
      </w:r>
      <w:r w:rsidRPr="00070055">
        <w:rPr>
          <w:rFonts w:ascii="Calibri" w:hAnsi="Calibri" w:cs="Calibri"/>
          <w:sz w:val="24"/>
          <w:szCs w:val="24"/>
        </w:rPr>
        <w:t>Tucson, Ariz: University of Arizona Press.</w:t>
      </w:r>
    </w:p>
    <w:p w14:paraId="1CC822DD" w14:textId="77777777" w:rsidR="00330245" w:rsidRDefault="00330245" w:rsidP="00330245">
      <w:pPr>
        <w:spacing w:line="240" w:lineRule="auto"/>
        <w:rPr>
          <w:rFonts w:ascii="Calibri" w:hAnsi="Calibri" w:cs="Calibri"/>
          <w:sz w:val="24"/>
          <w:szCs w:val="24"/>
        </w:rPr>
      </w:pPr>
    </w:p>
    <w:p w14:paraId="7AEC9861" w14:textId="77777777" w:rsidR="00330245" w:rsidRDefault="00330245" w:rsidP="00224B4D">
      <w:pPr>
        <w:spacing w:line="240" w:lineRule="auto"/>
        <w:rPr>
          <w:rFonts w:ascii="Calibri" w:hAnsi="Calibri" w:cs="Calibri"/>
          <w:sz w:val="24"/>
          <w:szCs w:val="24"/>
        </w:rPr>
      </w:pPr>
    </w:p>
    <w:p w14:paraId="79E17248" w14:textId="77777777" w:rsidR="00D11D50" w:rsidRPr="00D11D50" w:rsidRDefault="00D11D50">
      <w:pPr>
        <w:rPr>
          <w:rFonts w:ascii="Calibri" w:hAnsi="Calibri" w:cs="Calibri"/>
          <w:sz w:val="24"/>
          <w:szCs w:val="24"/>
        </w:rPr>
      </w:pPr>
    </w:p>
    <w:p w14:paraId="7932C3D5" w14:textId="77777777" w:rsidR="00DF70BA" w:rsidRDefault="00DF70BA">
      <w:pPr>
        <w:rPr>
          <w:rFonts w:ascii="Calibri" w:hAnsi="Calibri" w:cs="Calibri"/>
          <w:sz w:val="24"/>
          <w:szCs w:val="24"/>
        </w:rPr>
      </w:pPr>
    </w:p>
    <w:p w14:paraId="4A088DF3" w14:textId="77777777" w:rsidR="00C55EB0" w:rsidRPr="00593D32" w:rsidRDefault="00C55EB0">
      <w:pPr>
        <w:rPr>
          <w:rFonts w:ascii="Calibri" w:hAnsi="Calibri" w:cs="Calibri"/>
          <w:sz w:val="24"/>
          <w:szCs w:val="24"/>
        </w:rPr>
      </w:pPr>
    </w:p>
    <w:p w14:paraId="1B992ABD" w14:textId="77777777" w:rsidR="00E64B8E" w:rsidRDefault="00E64B8E">
      <w:pPr>
        <w:rPr>
          <w:rFonts w:ascii="Calibri" w:hAnsi="Calibri" w:cs="Calibri"/>
          <w:sz w:val="24"/>
          <w:szCs w:val="24"/>
        </w:rPr>
      </w:pPr>
    </w:p>
    <w:p w14:paraId="7CDF386D" w14:textId="77777777" w:rsidR="00D046C8" w:rsidRDefault="00D046C8">
      <w:pPr>
        <w:rPr>
          <w:rFonts w:ascii="Calibri" w:hAnsi="Calibri" w:cs="Calibri"/>
          <w:sz w:val="24"/>
          <w:szCs w:val="24"/>
        </w:rPr>
      </w:pPr>
    </w:p>
    <w:p w14:paraId="6D7155A3" w14:textId="77777777" w:rsidR="00D046C8" w:rsidRDefault="00D046C8">
      <w:pPr>
        <w:rPr>
          <w:rFonts w:ascii="Calibri" w:hAnsi="Calibri" w:cs="Calibri"/>
          <w:sz w:val="24"/>
          <w:szCs w:val="24"/>
        </w:rPr>
      </w:pPr>
    </w:p>
    <w:sectPr w:rsidR="00D046C8" w:rsidSect="004A2F3D">
      <w:headerReference w:type="default" r:id="rId57"/>
      <w:footerReference w:type="default" r:id="rId58"/>
      <w:headerReference w:type="first" r:id="rId59"/>
      <w:footerReference w:type="first" r:id="rId60"/>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9B476" w14:textId="77777777" w:rsidR="00715E4D" w:rsidRDefault="00715E4D" w:rsidP="00A67FE4">
      <w:pPr>
        <w:spacing w:after="0" w:line="240" w:lineRule="auto"/>
      </w:pPr>
      <w:r>
        <w:separator/>
      </w:r>
    </w:p>
  </w:endnote>
  <w:endnote w:type="continuationSeparator" w:id="0">
    <w:p w14:paraId="07430DC3" w14:textId="77777777" w:rsidR="00715E4D" w:rsidRDefault="00715E4D" w:rsidP="00A67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04028"/>
      <w:docPartObj>
        <w:docPartGallery w:val="Page Numbers (Bottom of Page)"/>
        <w:docPartUnique/>
      </w:docPartObj>
    </w:sdtPr>
    <w:sdtEndPr>
      <w:rPr>
        <w:noProof/>
      </w:rPr>
    </w:sdtEndPr>
    <w:sdtContent>
      <w:p w14:paraId="73868109" w14:textId="5F7C8A5F" w:rsidR="00A67FE4" w:rsidRDefault="00A67F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796724" w14:textId="77777777" w:rsidR="00A67FE4" w:rsidRDefault="00A67F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3397143"/>
      <w:docPartObj>
        <w:docPartGallery w:val="Page Numbers (Bottom of Page)"/>
        <w:docPartUnique/>
      </w:docPartObj>
    </w:sdtPr>
    <w:sdtEndPr>
      <w:rPr>
        <w:noProof/>
      </w:rPr>
    </w:sdtEndPr>
    <w:sdtContent>
      <w:p w14:paraId="092F063F" w14:textId="00C04455" w:rsidR="00A67FE4" w:rsidRDefault="00A67F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6BFF54" w14:textId="77777777" w:rsidR="00A67FE4" w:rsidRDefault="00A67F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FB40D" w14:textId="77777777" w:rsidR="00715E4D" w:rsidRDefault="00715E4D" w:rsidP="00A67FE4">
      <w:pPr>
        <w:spacing w:after="0" w:line="240" w:lineRule="auto"/>
      </w:pPr>
      <w:r>
        <w:separator/>
      </w:r>
    </w:p>
  </w:footnote>
  <w:footnote w:type="continuationSeparator" w:id="0">
    <w:p w14:paraId="0B087F06" w14:textId="77777777" w:rsidR="00715E4D" w:rsidRDefault="00715E4D" w:rsidP="00A67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DDCC3" w14:textId="6E08C938" w:rsidR="00363F2F" w:rsidRPr="00363F2F" w:rsidRDefault="00363F2F">
    <w:pPr>
      <w:pStyle w:val="Header"/>
      <w:rPr>
        <w:rFonts w:ascii="Calibri" w:hAnsi="Calibri" w:cs="Calibri"/>
      </w:rPr>
    </w:pPr>
    <w:r w:rsidRPr="00363F2F">
      <w:rPr>
        <w:rFonts w:ascii="Calibri" w:hAnsi="Calibri" w:cs="Calibri"/>
      </w:rPr>
      <w:t xml:space="preserve">R. Bakewell (2204367) </w:t>
    </w:r>
    <w:r>
      <w:rPr>
        <w:rFonts w:ascii="Calibri" w:hAnsi="Calibri" w:cs="Calibri"/>
      </w:rPr>
      <w:t xml:space="preserve">                                                                                                        </w:t>
    </w:r>
    <w:r w:rsidRPr="00363F2F">
      <w:rPr>
        <w:rFonts w:ascii="Calibri" w:hAnsi="Calibri" w:cs="Calibri"/>
      </w:rPr>
      <w:t>Module: HPAN5047</w:t>
    </w:r>
  </w:p>
  <w:p w14:paraId="1CCB7F0C" w14:textId="77777777" w:rsidR="00363F2F" w:rsidRDefault="00363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29829" w14:textId="77777777" w:rsidR="00686C59" w:rsidRPr="00363F2F" w:rsidRDefault="00686C59" w:rsidP="00686C59">
    <w:pPr>
      <w:pStyle w:val="Header"/>
      <w:rPr>
        <w:rFonts w:ascii="Calibri" w:hAnsi="Calibri" w:cs="Calibri"/>
      </w:rPr>
    </w:pPr>
    <w:r w:rsidRPr="00363F2F">
      <w:rPr>
        <w:rFonts w:ascii="Calibri" w:hAnsi="Calibri" w:cs="Calibri"/>
      </w:rPr>
      <w:t xml:space="preserve">R. Bakewell (2204367) </w:t>
    </w:r>
    <w:r>
      <w:rPr>
        <w:rFonts w:ascii="Calibri" w:hAnsi="Calibri" w:cs="Calibri"/>
      </w:rPr>
      <w:t xml:space="preserve">                                                                                                        </w:t>
    </w:r>
    <w:r w:rsidRPr="00363F2F">
      <w:rPr>
        <w:rFonts w:ascii="Calibri" w:hAnsi="Calibri" w:cs="Calibri"/>
      </w:rPr>
      <w:t>Module: HPAN5047</w:t>
    </w:r>
  </w:p>
  <w:p w14:paraId="305F7FC5" w14:textId="77777777" w:rsidR="00686C59" w:rsidRDefault="00686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6542"/>
    <w:multiLevelType w:val="hybridMultilevel"/>
    <w:tmpl w:val="9FF8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2333C"/>
    <w:multiLevelType w:val="hybridMultilevel"/>
    <w:tmpl w:val="7FC62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34CBD"/>
    <w:multiLevelType w:val="hybridMultilevel"/>
    <w:tmpl w:val="77B4DA4A"/>
    <w:lvl w:ilvl="0" w:tplc="C98C9B08">
      <w:start w:val="1"/>
      <w:numFmt w:val="bullet"/>
      <w:lvlText w:val="•"/>
      <w:lvlJc w:val="left"/>
      <w:pPr>
        <w:tabs>
          <w:tab w:val="num" w:pos="720"/>
        </w:tabs>
        <w:ind w:left="720" w:hanging="360"/>
      </w:pPr>
      <w:rPr>
        <w:rFonts w:ascii="Arial" w:hAnsi="Arial" w:hint="default"/>
      </w:rPr>
    </w:lvl>
    <w:lvl w:ilvl="1" w:tplc="00228AF8" w:tentative="1">
      <w:start w:val="1"/>
      <w:numFmt w:val="bullet"/>
      <w:lvlText w:val="•"/>
      <w:lvlJc w:val="left"/>
      <w:pPr>
        <w:tabs>
          <w:tab w:val="num" w:pos="1440"/>
        </w:tabs>
        <w:ind w:left="1440" w:hanging="360"/>
      </w:pPr>
      <w:rPr>
        <w:rFonts w:ascii="Arial" w:hAnsi="Arial" w:hint="default"/>
      </w:rPr>
    </w:lvl>
    <w:lvl w:ilvl="2" w:tplc="F45282B2" w:tentative="1">
      <w:start w:val="1"/>
      <w:numFmt w:val="bullet"/>
      <w:lvlText w:val="•"/>
      <w:lvlJc w:val="left"/>
      <w:pPr>
        <w:tabs>
          <w:tab w:val="num" w:pos="2160"/>
        </w:tabs>
        <w:ind w:left="2160" w:hanging="360"/>
      </w:pPr>
      <w:rPr>
        <w:rFonts w:ascii="Arial" w:hAnsi="Arial" w:hint="default"/>
      </w:rPr>
    </w:lvl>
    <w:lvl w:ilvl="3" w:tplc="486814BC" w:tentative="1">
      <w:start w:val="1"/>
      <w:numFmt w:val="bullet"/>
      <w:lvlText w:val="•"/>
      <w:lvlJc w:val="left"/>
      <w:pPr>
        <w:tabs>
          <w:tab w:val="num" w:pos="2880"/>
        </w:tabs>
        <w:ind w:left="2880" w:hanging="360"/>
      </w:pPr>
      <w:rPr>
        <w:rFonts w:ascii="Arial" w:hAnsi="Arial" w:hint="default"/>
      </w:rPr>
    </w:lvl>
    <w:lvl w:ilvl="4" w:tplc="DD2A3940" w:tentative="1">
      <w:start w:val="1"/>
      <w:numFmt w:val="bullet"/>
      <w:lvlText w:val="•"/>
      <w:lvlJc w:val="left"/>
      <w:pPr>
        <w:tabs>
          <w:tab w:val="num" w:pos="3600"/>
        </w:tabs>
        <w:ind w:left="3600" w:hanging="360"/>
      </w:pPr>
      <w:rPr>
        <w:rFonts w:ascii="Arial" w:hAnsi="Arial" w:hint="default"/>
      </w:rPr>
    </w:lvl>
    <w:lvl w:ilvl="5" w:tplc="C6B6B108" w:tentative="1">
      <w:start w:val="1"/>
      <w:numFmt w:val="bullet"/>
      <w:lvlText w:val="•"/>
      <w:lvlJc w:val="left"/>
      <w:pPr>
        <w:tabs>
          <w:tab w:val="num" w:pos="4320"/>
        </w:tabs>
        <w:ind w:left="4320" w:hanging="360"/>
      </w:pPr>
      <w:rPr>
        <w:rFonts w:ascii="Arial" w:hAnsi="Arial" w:hint="default"/>
      </w:rPr>
    </w:lvl>
    <w:lvl w:ilvl="6" w:tplc="0764E2AC" w:tentative="1">
      <w:start w:val="1"/>
      <w:numFmt w:val="bullet"/>
      <w:lvlText w:val="•"/>
      <w:lvlJc w:val="left"/>
      <w:pPr>
        <w:tabs>
          <w:tab w:val="num" w:pos="5040"/>
        </w:tabs>
        <w:ind w:left="5040" w:hanging="360"/>
      </w:pPr>
      <w:rPr>
        <w:rFonts w:ascii="Arial" w:hAnsi="Arial" w:hint="default"/>
      </w:rPr>
    </w:lvl>
    <w:lvl w:ilvl="7" w:tplc="7CC070F0" w:tentative="1">
      <w:start w:val="1"/>
      <w:numFmt w:val="bullet"/>
      <w:lvlText w:val="•"/>
      <w:lvlJc w:val="left"/>
      <w:pPr>
        <w:tabs>
          <w:tab w:val="num" w:pos="5760"/>
        </w:tabs>
        <w:ind w:left="5760" w:hanging="360"/>
      </w:pPr>
      <w:rPr>
        <w:rFonts w:ascii="Arial" w:hAnsi="Arial" w:hint="default"/>
      </w:rPr>
    </w:lvl>
    <w:lvl w:ilvl="8" w:tplc="4956B6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36230C"/>
    <w:multiLevelType w:val="hybridMultilevel"/>
    <w:tmpl w:val="5AFC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660C7"/>
    <w:multiLevelType w:val="hybridMultilevel"/>
    <w:tmpl w:val="E2A2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2837AA"/>
    <w:multiLevelType w:val="hybridMultilevel"/>
    <w:tmpl w:val="9CDC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B45CC"/>
    <w:multiLevelType w:val="hybridMultilevel"/>
    <w:tmpl w:val="ECEC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6E64FF"/>
    <w:multiLevelType w:val="hybridMultilevel"/>
    <w:tmpl w:val="8F566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641003"/>
    <w:multiLevelType w:val="hybridMultilevel"/>
    <w:tmpl w:val="CFA4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339927">
    <w:abstractNumId w:val="1"/>
  </w:num>
  <w:num w:numId="2" w16cid:durableId="971206267">
    <w:abstractNumId w:val="5"/>
  </w:num>
  <w:num w:numId="3" w16cid:durableId="1215311142">
    <w:abstractNumId w:val="6"/>
  </w:num>
  <w:num w:numId="4" w16cid:durableId="1136874923">
    <w:abstractNumId w:val="7"/>
  </w:num>
  <w:num w:numId="5" w16cid:durableId="2142189434">
    <w:abstractNumId w:val="0"/>
  </w:num>
  <w:num w:numId="6" w16cid:durableId="2119251676">
    <w:abstractNumId w:val="4"/>
  </w:num>
  <w:num w:numId="7" w16cid:durableId="1552838102">
    <w:abstractNumId w:val="8"/>
  </w:num>
  <w:num w:numId="8" w16cid:durableId="1987735270">
    <w:abstractNumId w:val="3"/>
  </w:num>
  <w:num w:numId="9" w16cid:durableId="128654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F3D"/>
    <w:rsid w:val="000243D6"/>
    <w:rsid w:val="000248D0"/>
    <w:rsid w:val="00027D05"/>
    <w:rsid w:val="00031D7C"/>
    <w:rsid w:val="00033065"/>
    <w:rsid w:val="0003427F"/>
    <w:rsid w:val="00041958"/>
    <w:rsid w:val="00041A58"/>
    <w:rsid w:val="000425EE"/>
    <w:rsid w:val="00060AE9"/>
    <w:rsid w:val="00070055"/>
    <w:rsid w:val="00072236"/>
    <w:rsid w:val="000768B0"/>
    <w:rsid w:val="00080330"/>
    <w:rsid w:val="00080996"/>
    <w:rsid w:val="0008522D"/>
    <w:rsid w:val="00090DCC"/>
    <w:rsid w:val="000A5B79"/>
    <w:rsid w:val="000B49F0"/>
    <w:rsid w:val="000C0B63"/>
    <w:rsid w:val="000C5673"/>
    <w:rsid w:val="000C63E1"/>
    <w:rsid w:val="000C75E1"/>
    <w:rsid w:val="000C7667"/>
    <w:rsid w:val="000D5687"/>
    <w:rsid w:val="000D65B1"/>
    <w:rsid w:val="000D7727"/>
    <w:rsid w:val="000E1F15"/>
    <w:rsid w:val="000E2271"/>
    <w:rsid w:val="000E2EC3"/>
    <w:rsid w:val="000E6C8B"/>
    <w:rsid w:val="000F1A71"/>
    <w:rsid w:val="000F2C31"/>
    <w:rsid w:val="00100102"/>
    <w:rsid w:val="00105C31"/>
    <w:rsid w:val="00111899"/>
    <w:rsid w:val="001120FA"/>
    <w:rsid w:val="00120B5A"/>
    <w:rsid w:val="00120C99"/>
    <w:rsid w:val="00125DB5"/>
    <w:rsid w:val="00126AEE"/>
    <w:rsid w:val="00126E1C"/>
    <w:rsid w:val="00134148"/>
    <w:rsid w:val="0014022D"/>
    <w:rsid w:val="0014407B"/>
    <w:rsid w:val="00145F2C"/>
    <w:rsid w:val="00153E7F"/>
    <w:rsid w:val="001612B4"/>
    <w:rsid w:val="00163BB1"/>
    <w:rsid w:val="00165E04"/>
    <w:rsid w:val="0016653B"/>
    <w:rsid w:val="001727AF"/>
    <w:rsid w:val="001729FA"/>
    <w:rsid w:val="00183FF0"/>
    <w:rsid w:val="001904C3"/>
    <w:rsid w:val="0019211D"/>
    <w:rsid w:val="001A1B3E"/>
    <w:rsid w:val="001A278D"/>
    <w:rsid w:val="001A3117"/>
    <w:rsid w:val="001A7847"/>
    <w:rsid w:val="001B2F7B"/>
    <w:rsid w:val="001B3184"/>
    <w:rsid w:val="001B5667"/>
    <w:rsid w:val="001C00F4"/>
    <w:rsid w:val="001D0BE5"/>
    <w:rsid w:val="001D5EC8"/>
    <w:rsid w:val="001E0B87"/>
    <w:rsid w:val="001E1640"/>
    <w:rsid w:val="001E4CC5"/>
    <w:rsid w:val="001E6887"/>
    <w:rsid w:val="001F1FE9"/>
    <w:rsid w:val="001F46F2"/>
    <w:rsid w:val="001F76C7"/>
    <w:rsid w:val="00205823"/>
    <w:rsid w:val="00205EB2"/>
    <w:rsid w:val="002064C2"/>
    <w:rsid w:val="002076F6"/>
    <w:rsid w:val="002162D7"/>
    <w:rsid w:val="00224B4D"/>
    <w:rsid w:val="00241975"/>
    <w:rsid w:val="002461D8"/>
    <w:rsid w:val="00261BD8"/>
    <w:rsid w:val="00273E77"/>
    <w:rsid w:val="0027741B"/>
    <w:rsid w:val="0028130C"/>
    <w:rsid w:val="00287291"/>
    <w:rsid w:val="002900D2"/>
    <w:rsid w:val="00291524"/>
    <w:rsid w:val="0029389B"/>
    <w:rsid w:val="00293DAB"/>
    <w:rsid w:val="00294E17"/>
    <w:rsid w:val="002A403F"/>
    <w:rsid w:val="002B5127"/>
    <w:rsid w:val="002B73E9"/>
    <w:rsid w:val="002D7CFF"/>
    <w:rsid w:val="002F19CD"/>
    <w:rsid w:val="002F5954"/>
    <w:rsid w:val="002F5EE9"/>
    <w:rsid w:val="002F762B"/>
    <w:rsid w:val="00302E28"/>
    <w:rsid w:val="00320B23"/>
    <w:rsid w:val="00320E60"/>
    <w:rsid w:val="003211F5"/>
    <w:rsid w:val="003223B1"/>
    <w:rsid w:val="00327B8A"/>
    <w:rsid w:val="00330245"/>
    <w:rsid w:val="00330A2B"/>
    <w:rsid w:val="00331847"/>
    <w:rsid w:val="00332F9E"/>
    <w:rsid w:val="00333EEA"/>
    <w:rsid w:val="0033551B"/>
    <w:rsid w:val="00336849"/>
    <w:rsid w:val="00342B85"/>
    <w:rsid w:val="003474A6"/>
    <w:rsid w:val="00361E12"/>
    <w:rsid w:val="00363273"/>
    <w:rsid w:val="003632FD"/>
    <w:rsid w:val="00363F2F"/>
    <w:rsid w:val="0038614B"/>
    <w:rsid w:val="003A39E6"/>
    <w:rsid w:val="003A6633"/>
    <w:rsid w:val="003A79F9"/>
    <w:rsid w:val="003B15AF"/>
    <w:rsid w:val="003B59AE"/>
    <w:rsid w:val="003B746D"/>
    <w:rsid w:val="003C001E"/>
    <w:rsid w:val="003C5139"/>
    <w:rsid w:val="003C7017"/>
    <w:rsid w:val="003E4A6F"/>
    <w:rsid w:val="003F1286"/>
    <w:rsid w:val="003F23F1"/>
    <w:rsid w:val="003F5784"/>
    <w:rsid w:val="00402E0C"/>
    <w:rsid w:val="00405CB4"/>
    <w:rsid w:val="0041147D"/>
    <w:rsid w:val="00414644"/>
    <w:rsid w:val="004150E7"/>
    <w:rsid w:val="004154B4"/>
    <w:rsid w:val="00415EBE"/>
    <w:rsid w:val="00441283"/>
    <w:rsid w:val="00441597"/>
    <w:rsid w:val="00445F83"/>
    <w:rsid w:val="004549F8"/>
    <w:rsid w:val="00467E81"/>
    <w:rsid w:val="00475A1D"/>
    <w:rsid w:val="004A2F3D"/>
    <w:rsid w:val="004B1E23"/>
    <w:rsid w:val="004C1921"/>
    <w:rsid w:val="004C3EC2"/>
    <w:rsid w:val="004C530F"/>
    <w:rsid w:val="004D0437"/>
    <w:rsid w:val="004D1E1F"/>
    <w:rsid w:val="004D2482"/>
    <w:rsid w:val="004D6ABC"/>
    <w:rsid w:val="004F59DF"/>
    <w:rsid w:val="00502940"/>
    <w:rsid w:val="00505059"/>
    <w:rsid w:val="005060A6"/>
    <w:rsid w:val="00511183"/>
    <w:rsid w:val="00511E98"/>
    <w:rsid w:val="00513222"/>
    <w:rsid w:val="00530488"/>
    <w:rsid w:val="00533184"/>
    <w:rsid w:val="00534BDC"/>
    <w:rsid w:val="00542003"/>
    <w:rsid w:val="00543FEA"/>
    <w:rsid w:val="0055542E"/>
    <w:rsid w:val="0055776B"/>
    <w:rsid w:val="00557ED2"/>
    <w:rsid w:val="00557F08"/>
    <w:rsid w:val="00560012"/>
    <w:rsid w:val="00585F6D"/>
    <w:rsid w:val="00593D32"/>
    <w:rsid w:val="0059481A"/>
    <w:rsid w:val="00594FCE"/>
    <w:rsid w:val="005A6064"/>
    <w:rsid w:val="005A7CA7"/>
    <w:rsid w:val="005D0BDB"/>
    <w:rsid w:val="005D35D3"/>
    <w:rsid w:val="005D52FD"/>
    <w:rsid w:val="005D719B"/>
    <w:rsid w:val="005E0205"/>
    <w:rsid w:val="005E18FB"/>
    <w:rsid w:val="005E3284"/>
    <w:rsid w:val="005E36D1"/>
    <w:rsid w:val="005E3AB4"/>
    <w:rsid w:val="005E3C4E"/>
    <w:rsid w:val="005E4DDD"/>
    <w:rsid w:val="005E5955"/>
    <w:rsid w:val="005F0C00"/>
    <w:rsid w:val="005F17A3"/>
    <w:rsid w:val="005F2509"/>
    <w:rsid w:val="005F6BD5"/>
    <w:rsid w:val="00625409"/>
    <w:rsid w:val="00630DBB"/>
    <w:rsid w:val="00631754"/>
    <w:rsid w:val="006372DC"/>
    <w:rsid w:val="0064568F"/>
    <w:rsid w:val="006509C3"/>
    <w:rsid w:val="0065218E"/>
    <w:rsid w:val="00657905"/>
    <w:rsid w:val="006634AA"/>
    <w:rsid w:val="0066410F"/>
    <w:rsid w:val="00664A01"/>
    <w:rsid w:val="00672DC7"/>
    <w:rsid w:val="00681AFD"/>
    <w:rsid w:val="006826B6"/>
    <w:rsid w:val="00684106"/>
    <w:rsid w:val="00684147"/>
    <w:rsid w:val="00685D92"/>
    <w:rsid w:val="00686C59"/>
    <w:rsid w:val="006A1B86"/>
    <w:rsid w:val="006B3216"/>
    <w:rsid w:val="006C01F2"/>
    <w:rsid w:val="006D0009"/>
    <w:rsid w:val="006D06FF"/>
    <w:rsid w:val="006D0C17"/>
    <w:rsid w:val="006D5632"/>
    <w:rsid w:val="006D76AA"/>
    <w:rsid w:val="006E00A4"/>
    <w:rsid w:val="006F27E0"/>
    <w:rsid w:val="006F6DBD"/>
    <w:rsid w:val="00702435"/>
    <w:rsid w:val="00703B3B"/>
    <w:rsid w:val="00704DD1"/>
    <w:rsid w:val="00706170"/>
    <w:rsid w:val="00706853"/>
    <w:rsid w:val="00712713"/>
    <w:rsid w:val="00715E4D"/>
    <w:rsid w:val="00716A06"/>
    <w:rsid w:val="00716C87"/>
    <w:rsid w:val="00737594"/>
    <w:rsid w:val="00752F01"/>
    <w:rsid w:val="007753E1"/>
    <w:rsid w:val="00777C06"/>
    <w:rsid w:val="00787E6E"/>
    <w:rsid w:val="00791D3C"/>
    <w:rsid w:val="007952A9"/>
    <w:rsid w:val="007A18F6"/>
    <w:rsid w:val="007A6288"/>
    <w:rsid w:val="007B2C2D"/>
    <w:rsid w:val="007C4CCD"/>
    <w:rsid w:val="007C5884"/>
    <w:rsid w:val="007C7141"/>
    <w:rsid w:val="007D2989"/>
    <w:rsid w:val="007E64C3"/>
    <w:rsid w:val="00802D90"/>
    <w:rsid w:val="00803D0E"/>
    <w:rsid w:val="00804D80"/>
    <w:rsid w:val="008053A8"/>
    <w:rsid w:val="00807310"/>
    <w:rsid w:val="008109DB"/>
    <w:rsid w:val="00813A98"/>
    <w:rsid w:val="008257D4"/>
    <w:rsid w:val="00826621"/>
    <w:rsid w:val="008272B6"/>
    <w:rsid w:val="00840C24"/>
    <w:rsid w:val="00843D64"/>
    <w:rsid w:val="008442E5"/>
    <w:rsid w:val="00844827"/>
    <w:rsid w:val="0084630E"/>
    <w:rsid w:val="00855AA4"/>
    <w:rsid w:val="0085751F"/>
    <w:rsid w:val="008628A4"/>
    <w:rsid w:val="00864828"/>
    <w:rsid w:val="00864F9C"/>
    <w:rsid w:val="00867D3A"/>
    <w:rsid w:val="00870319"/>
    <w:rsid w:val="00877F71"/>
    <w:rsid w:val="00880BDE"/>
    <w:rsid w:val="00883881"/>
    <w:rsid w:val="0089487C"/>
    <w:rsid w:val="008A1211"/>
    <w:rsid w:val="008A2A2D"/>
    <w:rsid w:val="008B466E"/>
    <w:rsid w:val="008B680F"/>
    <w:rsid w:val="008D3173"/>
    <w:rsid w:val="008D403E"/>
    <w:rsid w:val="008E4480"/>
    <w:rsid w:val="008F0D18"/>
    <w:rsid w:val="008F0DA5"/>
    <w:rsid w:val="008F27E2"/>
    <w:rsid w:val="008F515A"/>
    <w:rsid w:val="008F73E6"/>
    <w:rsid w:val="0090184C"/>
    <w:rsid w:val="00901950"/>
    <w:rsid w:val="00901B6A"/>
    <w:rsid w:val="00910745"/>
    <w:rsid w:val="009108FE"/>
    <w:rsid w:val="00910940"/>
    <w:rsid w:val="00912D79"/>
    <w:rsid w:val="00920459"/>
    <w:rsid w:val="00934281"/>
    <w:rsid w:val="00942ABC"/>
    <w:rsid w:val="0094599A"/>
    <w:rsid w:val="00947025"/>
    <w:rsid w:val="009740AA"/>
    <w:rsid w:val="00974597"/>
    <w:rsid w:val="00974616"/>
    <w:rsid w:val="00976DEC"/>
    <w:rsid w:val="00977A32"/>
    <w:rsid w:val="00980540"/>
    <w:rsid w:val="009816F3"/>
    <w:rsid w:val="00982D92"/>
    <w:rsid w:val="00983126"/>
    <w:rsid w:val="00987ACD"/>
    <w:rsid w:val="00990B53"/>
    <w:rsid w:val="009A48C6"/>
    <w:rsid w:val="009A5540"/>
    <w:rsid w:val="009A614F"/>
    <w:rsid w:val="009B6868"/>
    <w:rsid w:val="009C1D9E"/>
    <w:rsid w:val="009D0FB8"/>
    <w:rsid w:val="009D129C"/>
    <w:rsid w:val="009D428C"/>
    <w:rsid w:val="009E04A1"/>
    <w:rsid w:val="009E0ECB"/>
    <w:rsid w:val="009E6F84"/>
    <w:rsid w:val="009F588D"/>
    <w:rsid w:val="00A00D70"/>
    <w:rsid w:val="00A05A39"/>
    <w:rsid w:val="00A066E7"/>
    <w:rsid w:val="00A10DE4"/>
    <w:rsid w:val="00A10F89"/>
    <w:rsid w:val="00A139D9"/>
    <w:rsid w:val="00A22A12"/>
    <w:rsid w:val="00A22E28"/>
    <w:rsid w:val="00A270EC"/>
    <w:rsid w:val="00A30BBB"/>
    <w:rsid w:val="00A31571"/>
    <w:rsid w:val="00A31DB7"/>
    <w:rsid w:val="00A33229"/>
    <w:rsid w:val="00A45AF6"/>
    <w:rsid w:val="00A529B5"/>
    <w:rsid w:val="00A67FE4"/>
    <w:rsid w:val="00A755FE"/>
    <w:rsid w:val="00A76E72"/>
    <w:rsid w:val="00A778B7"/>
    <w:rsid w:val="00A80205"/>
    <w:rsid w:val="00A978E6"/>
    <w:rsid w:val="00AA1676"/>
    <w:rsid w:val="00AB3C47"/>
    <w:rsid w:val="00AB41AB"/>
    <w:rsid w:val="00AC2847"/>
    <w:rsid w:val="00AC5E87"/>
    <w:rsid w:val="00AD6448"/>
    <w:rsid w:val="00AF62B7"/>
    <w:rsid w:val="00B31704"/>
    <w:rsid w:val="00B32CB2"/>
    <w:rsid w:val="00B32E5D"/>
    <w:rsid w:val="00B33C04"/>
    <w:rsid w:val="00B43E2E"/>
    <w:rsid w:val="00B44A45"/>
    <w:rsid w:val="00B5143A"/>
    <w:rsid w:val="00B51B95"/>
    <w:rsid w:val="00B76615"/>
    <w:rsid w:val="00B768DB"/>
    <w:rsid w:val="00B86AD8"/>
    <w:rsid w:val="00B908AD"/>
    <w:rsid w:val="00B944C6"/>
    <w:rsid w:val="00BB334E"/>
    <w:rsid w:val="00BB3F70"/>
    <w:rsid w:val="00BB6A23"/>
    <w:rsid w:val="00BB763A"/>
    <w:rsid w:val="00BC43C5"/>
    <w:rsid w:val="00BC7150"/>
    <w:rsid w:val="00BC78B0"/>
    <w:rsid w:val="00BD17CD"/>
    <w:rsid w:val="00BD24A0"/>
    <w:rsid w:val="00BD2E2D"/>
    <w:rsid w:val="00BE37E2"/>
    <w:rsid w:val="00BF11B1"/>
    <w:rsid w:val="00BF375A"/>
    <w:rsid w:val="00BF7ECA"/>
    <w:rsid w:val="00C00AA2"/>
    <w:rsid w:val="00C02CD4"/>
    <w:rsid w:val="00C16EDD"/>
    <w:rsid w:val="00C30AB9"/>
    <w:rsid w:val="00C31ABB"/>
    <w:rsid w:val="00C55EB0"/>
    <w:rsid w:val="00C60C81"/>
    <w:rsid w:val="00C72EBD"/>
    <w:rsid w:val="00C735F3"/>
    <w:rsid w:val="00C810B2"/>
    <w:rsid w:val="00C91C3E"/>
    <w:rsid w:val="00CB0DBD"/>
    <w:rsid w:val="00CB367B"/>
    <w:rsid w:val="00CC15BD"/>
    <w:rsid w:val="00CC1CDA"/>
    <w:rsid w:val="00CC4689"/>
    <w:rsid w:val="00CC508A"/>
    <w:rsid w:val="00CC7C6E"/>
    <w:rsid w:val="00CD1A87"/>
    <w:rsid w:val="00CD4A1F"/>
    <w:rsid w:val="00CD7739"/>
    <w:rsid w:val="00CE4DC5"/>
    <w:rsid w:val="00CE629A"/>
    <w:rsid w:val="00CF735E"/>
    <w:rsid w:val="00D034E9"/>
    <w:rsid w:val="00D046C8"/>
    <w:rsid w:val="00D05B11"/>
    <w:rsid w:val="00D05BE8"/>
    <w:rsid w:val="00D05E5C"/>
    <w:rsid w:val="00D11D50"/>
    <w:rsid w:val="00D1387A"/>
    <w:rsid w:val="00D21715"/>
    <w:rsid w:val="00D35A90"/>
    <w:rsid w:val="00D44275"/>
    <w:rsid w:val="00D47642"/>
    <w:rsid w:val="00D6439F"/>
    <w:rsid w:val="00D64AB2"/>
    <w:rsid w:val="00D73A26"/>
    <w:rsid w:val="00D913C7"/>
    <w:rsid w:val="00D964F6"/>
    <w:rsid w:val="00DA3425"/>
    <w:rsid w:val="00DA551E"/>
    <w:rsid w:val="00DB2FE1"/>
    <w:rsid w:val="00DB574F"/>
    <w:rsid w:val="00DD295D"/>
    <w:rsid w:val="00DD6B13"/>
    <w:rsid w:val="00DF3759"/>
    <w:rsid w:val="00DF40CF"/>
    <w:rsid w:val="00DF70BA"/>
    <w:rsid w:val="00E043E1"/>
    <w:rsid w:val="00E10108"/>
    <w:rsid w:val="00E132D3"/>
    <w:rsid w:val="00E14760"/>
    <w:rsid w:val="00E21C1A"/>
    <w:rsid w:val="00E21EDC"/>
    <w:rsid w:val="00E25DBB"/>
    <w:rsid w:val="00E330C0"/>
    <w:rsid w:val="00E338E7"/>
    <w:rsid w:val="00E446E9"/>
    <w:rsid w:val="00E4696E"/>
    <w:rsid w:val="00E605B1"/>
    <w:rsid w:val="00E64B8E"/>
    <w:rsid w:val="00E66778"/>
    <w:rsid w:val="00E7065F"/>
    <w:rsid w:val="00E706FB"/>
    <w:rsid w:val="00E741A2"/>
    <w:rsid w:val="00E76FDF"/>
    <w:rsid w:val="00E8254D"/>
    <w:rsid w:val="00E85E40"/>
    <w:rsid w:val="00E87632"/>
    <w:rsid w:val="00E90EA3"/>
    <w:rsid w:val="00E959D4"/>
    <w:rsid w:val="00E95DBE"/>
    <w:rsid w:val="00EA7918"/>
    <w:rsid w:val="00EB46CE"/>
    <w:rsid w:val="00EE0BF2"/>
    <w:rsid w:val="00EE54A6"/>
    <w:rsid w:val="00EE6CD4"/>
    <w:rsid w:val="00F0065F"/>
    <w:rsid w:val="00F02783"/>
    <w:rsid w:val="00F02F85"/>
    <w:rsid w:val="00F05FF5"/>
    <w:rsid w:val="00F10526"/>
    <w:rsid w:val="00F31BE6"/>
    <w:rsid w:val="00F32E1D"/>
    <w:rsid w:val="00F57C7F"/>
    <w:rsid w:val="00F606B7"/>
    <w:rsid w:val="00F763B1"/>
    <w:rsid w:val="00F80745"/>
    <w:rsid w:val="00F81E0D"/>
    <w:rsid w:val="00F83C17"/>
    <w:rsid w:val="00F8704F"/>
    <w:rsid w:val="00F92F38"/>
    <w:rsid w:val="00F9418F"/>
    <w:rsid w:val="00F97C42"/>
    <w:rsid w:val="00FA4726"/>
    <w:rsid w:val="00FA5928"/>
    <w:rsid w:val="00FA70A0"/>
    <w:rsid w:val="00FB42CB"/>
    <w:rsid w:val="00FB6706"/>
    <w:rsid w:val="00FC26DB"/>
    <w:rsid w:val="00FE5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A5ADD1"/>
  <w15:chartTrackingRefBased/>
  <w15:docId w15:val="{81BCD4AA-F641-4F65-9795-F7169C07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F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F3D"/>
    <w:rPr>
      <w:rFonts w:eastAsiaTheme="majorEastAsia" w:cstheme="majorBidi"/>
      <w:color w:val="272727" w:themeColor="text1" w:themeTint="D8"/>
    </w:rPr>
  </w:style>
  <w:style w:type="paragraph" w:styleId="Title">
    <w:name w:val="Title"/>
    <w:basedOn w:val="Normal"/>
    <w:next w:val="Normal"/>
    <w:link w:val="TitleChar"/>
    <w:uiPriority w:val="10"/>
    <w:qFormat/>
    <w:rsid w:val="004A2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F3D"/>
    <w:pPr>
      <w:spacing w:before="160"/>
      <w:jc w:val="center"/>
    </w:pPr>
    <w:rPr>
      <w:i/>
      <w:iCs/>
      <w:color w:val="404040" w:themeColor="text1" w:themeTint="BF"/>
    </w:rPr>
  </w:style>
  <w:style w:type="character" w:customStyle="1" w:styleId="QuoteChar">
    <w:name w:val="Quote Char"/>
    <w:basedOn w:val="DefaultParagraphFont"/>
    <w:link w:val="Quote"/>
    <w:uiPriority w:val="29"/>
    <w:rsid w:val="004A2F3D"/>
    <w:rPr>
      <w:i/>
      <w:iCs/>
      <w:color w:val="404040" w:themeColor="text1" w:themeTint="BF"/>
    </w:rPr>
  </w:style>
  <w:style w:type="paragraph" w:styleId="ListParagraph">
    <w:name w:val="List Paragraph"/>
    <w:basedOn w:val="Normal"/>
    <w:uiPriority w:val="34"/>
    <w:qFormat/>
    <w:rsid w:val="004A2F3D"/>
    <w:pPr>
      <w:ind w:left="720"/>
      <w:contextualSpacing/>
    </w:pPr>
  </w:style>
  <w:style w:type="character" w:styleId="IntenseEmphasis">
    <w:name w:val="Intense Emphasis"/>
    <w:basedOn w:val="DefaultParagraphFont"/>
    <w:uiPriority w:val="21"/>
    <w:qFormat/>
    <w:rsid w:val="004A2F3D"/>
    <w:rPr>
      <w:i/>
      <w:iCs/>
      <w:color w:val="0F4761" w:themeColor="accent1" w:themeShade="BF"/>
    </w:rPr>
  </w:style>
  <w:style w:type="paragraph" w:styleId="IntenseQuote">
    <w:name w:val="Intense Quote"/>
    <w:basedOn w:val="Normal"/>
    <w:next w:val="Normal"/>
    <w:link w:val="IntenseQuoteChar"/>
    <w:uiPriority w:val="30"/>
    <w:qFormat/>
    <w:rsid w:val="004A2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F3D"/>
    <w:rPr>
      <w:i/>
      <w:iCs/>
      <w:color w:val="0F4761" w:themeColor="accent1" w:themeShade="BF"/>
    </w:rPr>
  </w:style>
  <w:style w:type="character" w:styleId="IntenseReference">
    <w:name w:val="Intense Reference"/>
    <w:basedOn w:val="DefaultParagraphFont"/>
    <w:uiPriority w:val="32"/>
    <w:qFormat/>
    <w:rsid w:val="004A2F3D"/>
    <w:rPr>
      <w:b/>
      <w:bCs/>
      <w:smallCaps/>
      <w:color w:val="0F4761" w:themeColor="accent1" w:themeShade="BF"/>
      <w:spacing w:val="5"/>
    </w:rPr>
  </w:style>
  <w:style w:type="character" w:styleId="Hyperlink">
    <w:name w:val="Hyperlink"/>
    <w:basedOn w:val="DefaultParagraphFont"/>
    <w:uiPriority w:val="99"/>
    <w:unhideWhenUsed/>
    <w:rsid w:val="00A778B7"/>
    <w:rPr>
      <w:color w:val="467886" w:themeColor="hyperlink"/>
      <w:u w:val="single"/>
    </w:rPr>
  </w:style>
  <w:style w:type="character" w:styleId="UnresolvedMention">
    <w:name w:val="Unresolved Mention"/>
    <w:basedOn w:val="DefaultParagraphFont"/>
    <w:uiPriority w:val="99"/>
    <w:semiHidden/>
    <w:unhideWhenUsed/>
    <w:rsid w:val="00A778B7"/>
    <w:rPr>
      <w:color w:val="605E5C"/>
      <w:shd w:val="clear" w:color="auto" w:fill="E1DFDD"/>
    </w:rPr>
  </w:style>
  <w:style w:type="paragraph" w:styleId="NormalWeb">
    <w:name w:val="Normal (Web)"/>
    <w:basedOn w:val="Normal"/>
    <w:uiPriority w:val="99"/>
    <w:unhideWhenUsed/>
    <w:rsid w:val="005D52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B768DB"/>
    <w:rPr>
      <w:color w:val="96607D" w:themeColor="followedHyperlink"/>
      <w:u w:val="single"/>
    </w:rPr>
  </w:style>
  <w:style w:type="paragraph" w:styleId="Header">
    <w:name w:val="header"/>
    <w:basedOn w:val="Normal"/>
    <w:link w:val="HeaderChar"/>
    <w:uiPriority w:val="99"/>
    <w:unhideWhenUsed/>
    <w:rsid w:val="00A67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FE4"/>
  </w:style>
  <w:style w:type="paragraph" w:styleId="Footer">
    <w:name w:val="footer"/>
    <w:basedOn w:val="Normal"/>
    <w:link w:val="FooterChar"/>
    <w:uiPriority w:val="99"/>
    <w:unhideWhenUsed/>
    <w:rsid w:val="00A67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09930">
      <w:bodyDiv w:val="1"/>
      <w:marLeft w:val="0"/>
      <w:marRight w:val="0"/>
      <w:marTop w:val="0"/>
      <w:marBottom w:val="0"/>
      <w:divBdr>
        <w:top w:val="none" w:sz="0" w:space="0" w:color="auto"/>
        <w:left w:val="none" w:sz="0" w:space="0" w:color="auto"/>
        <w:bottom w:val="none" w:sz="0" w:space="0" w:color="auto"/>
        <w:right w:val="none" w:sz="0" w:space="0" w:color="auto"/>
      </w:divBdr>
    </w:div>
    <w:div w:id="372582542">
      <w:bodyDiv w:val="1"/>
      <w:marLeft w:val="0"/>
      <w:marRight w:val="0"/>
      <w:marTop w:val="0"/>
      <w:marBottom w:val="0"/>
      <w:divBdr>
        <w:top w:val="none" w:sz="0" w:space="0" w:color="auto"/>
        <w:left w:val="none" w:sz="0" w:space="0" w:color="auto"/>
        <w:bottom w:val="none" w:sz="0" w:space="0" w:color="auto"/>
        <w:right w:val="none" w:sz="0" w:space="0" w:color="auto"/>
      </w:divBdr>
    </w:div>
    <w:div w:id="441802364">
      <w:bodyDiv w:val="1"/>
      <w:marLeft w:val="0"/>
      <w:marRight w:val="0"/>
      <w:marTop w:val="0"/>
      <w:marBottom w:val="0"/>
      <w:divBdr>
        <w:top w:val="none" w:sz="0" w:space="0" w:color="auto"/>
        <w:left w:val="none" w:sz="0" w:space="0" w:color="auto"/>
        <w:bottom w:val="none" w:sz="0" w:space="0" w:color="auto"/>
        <w:right w:val="none" w:sz="0" w:space="0" w:color="auto"/>
      </w:divBdr>
    </w:div>
    <w:div w:id="631791341">
      <w:bodyDiv w:val="1"/>
      <w:marLeft w:val="0"/>
      <w:marRight w:val="0"/>
      <w:marTop w:val="0"/>
      <w:marBottom w:val="0"/>
      <w:divBdr>
        <w:top w:val="none" w:sz="0" w:space="0" w:color="auto"/>
        <w:left w:val="none" w:sz="0" w:space="0" w:color="auto"/>
        <w:bottom w:val="none" w:sz="0" w:space="0" w:color="auto"/>
        <w:right w:val="none" w:sz="0" w:space="0" w:color="auto"/>
      </w:divBdr>
    </w:div>
    <w:div w:id="660163552">
      <w:bodyDiv w:val="1"/>
      <w:marLeft w:val="0"/>
      <w:marRight w:val="0"/>
      <w:marTop w:val="0"/>
      <w:marBottom w:val="0"/>
      <w:divBdr>
        <w:top w:val="none" w:sz="0" w:space="0" w:color="auto"/>
        <w:left w:val="none" w:sz="0" w:space="0" w:color="auto"/>
        <w:bottom w:val="none" w:sz="0" w:space="0" w:color="auto"/>
        <w:right w:val="none" w:sz="0" w:space="0" w:color="auto"/>
      </w:divBdr>
    </w:div>
    <w:div w:id="756639003">
      <w:bodyDiv w:val="1"/>
      <w:marLeft w:val="0"/>
      <w:marRight w:val="0"/>
      <w:marTop w:val="0"/>
      <w:marBottom w:val="0"/>
      <w:divBdr>
        <w:top w:val="none" w:sz="0" w:space="0" w:color="auto"/>
        <w:left w:val="none" w:sz="0" w:space="0" w:color="auto"/>
        <w:bottom w:val="none" w:sz="0" w:space="0" w:color="auto"/>
        <w:right w:val="none" w:sz="0" w:space="0" w:color="auto"/>
      </w:divBdr>
    </w:div>
    <w:div w:id="792016741">
      <w:bodyDiv w:val="1"/>
      <w:marLeft w:val="0"/>
      <w:marRight w:val="0"/>
      <w:marTop w:val="0"/>
      <w:marBottom w:val="0"/>
      <w:divBdr>
        <w:top w:val="none" w:sz="0" w:space="0" w:color="auto"/>
        <w:left w:val="none" w:sz="0" w:space="0" w:color="auto"/>
        <w:bottom w:val="none" w:sz="0" w:space="0" w:color="auto"/>
        <w:right w:val="none" w:sz="0" w:space="0" w:color="auto"/>
      </w:divBdr>
    </w:div>
    <w:div w:id="882714694">
      <w:bodyDiv w:val="1"/>
      <w:marLeft w:val="0"/>
      <w:marRight w:val="0"/>
      <w:marTop w:val="0"/>
      <w:marBottom w:val="0"/>
      <w:divBdr>
        <w:top w:val="none" w:sz="0" w:space="0" w:color="auto"/>
        <w:left w:val="none" w:sz="0" w:space="0" w:color="auto"/>
        <w:bottom w:val="none" w:sz="0" w:space="0" w:color="auto"/>
        <w:right w:val="none" w:sz="0" w:space="0" w:color="auto"/>
      </w:divBdr>
      <w:divsChild>
        <w:div w:id="1032923917">
          <w:marLeft w:val="0"/>
          <w:marRight w:val="0"/>
          <w:marTop w:val="0"/>
          <w:marBottom w:val="0"/>
          <w:divBdr>
            <w:top w:val="none" w:sz="0" w:space="0" w:color="auto"/>
            <w:left w:val="none" w:sz="0" w:space="0" w:color="auto"/>
            <w:bottom w:val="none" w:sz="0" w:space="0" w:color="auto"/>
            <w:right w:val="none" w:sz="0" w:space="0" w:color="auto"/>
          </w:divBdr>
          <w:divsChild>
            <w:div w:id="1743406710">
              <w:marLeft w:val="0"/>
              <w:marRight w:val="0"/>
              <w:marTop w:val="0"/>
              <w:marBottom w:val="0"/>
              <w:divBdr>
                <w:top w:val="none" w:sz="0" w:space="0" w:color="auto"/>
                <w:left w:val="none" w:sz="0" w:space="0" w:color="auto"/>
                <w:bottom w:val="none" w:sz="0" w:space="0" w:color="auto"/>
                <w:right w:val="none" w:sz="0" w:space="0" w:color="auto"/>
              </w:divBdr>
              <w:divsChild>
                <w:div w:id="1953004782">
                  <w:marLeft w:val="0"/>
                  <w:marRight w:val="0"/>
                  <w:marTop w:val="0"/>
                  <w:marBottom w:val="0"/>
                  <w:divBdr>
                    <w:top w:val="none" w:sz="0" w:space="0" w:color="auto"/>
                    <w:left w:val="none" w:sz="0" w:space="0" w:color="auto"/>
                    <w:bottom w:val="none" w:sz="0" w:space="0" w:color="auto"/>
                    <w:right w:val="none" w:sz="0" w:space="0" w:color="auto"/>
                  </w:divBdr>
                  <w:divsChild>
                    <w:div w:id="27459714">
                      <w:marLeft w:val="0"/>
                      <w:marRight w:val="0"/>
                      <w:marTop w:val="0"/>
                      <w:marBottom w:val="0"/>
                      <w:divBdr>
                        <w:top w:val="none" w:sz="0" w:space="0" w:color="auto"/>
                        <w:left w:val="none" w:sz="0" w:space="0" w:color="auto"/>
                        <w:bottom w:val="none" w:sz="0" w:space="0" w:color="auto"/>
                        <w:right w:val="none" w:sz="0" w:space="0" w:color="auto"/>
                      </w:divBdr>
                      <w:divsChild>
                        <w:div w:id="280261640">
                          <w:marLeft w:val="0"/>
                          <w:marRight w:val="0"/>
                          <w:marTop w:val="0"/>
                          <w:marBottom w:val="0"/>
                          <w:divBdr>
                            <w:top w:val="none" w:sz="0" w:space="0" w:color="auto"/>
                            <w:left w:val="none" w:sz="0" w:space="0" w:color="auto"/>
                            <w:bottom w:val="none" w:sz="0" w:space="0" w:color="auto"/>
                            <w:right w:val="none" w:sz="0" w:space="0" w:color="auto"/>
                          </w:divBdr>
                          <w:divsChild>
                            <w:div w:id="160761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417581">
      <w:bodyDiv w:val="1"/>
      <w:marLeft w:val="0"/>
      <w:marRight w:val="0"/>
      <w:marTop w:val="0"/>
      <w:marBottom w:val="0"/>
      <w:divBdr>
        <w:top w:val="none" w:sz="0" w:space="0" w:color="auto"/>
        <w:left w:val="none" w:sz="0" w:space="0" w:color="auto"/>
        <w:bottom w:val="none" w:sz="0" w:space="0" w:color="auto"/>
        <w:right w:val="none" w:sz="0" w:space="0" w:color="auto"/>
      </w:divBdr>
    </w:div>
    <w:div w:id="1049500903">
      <w:bodyDiv w:val="1"/>
      <w:marLeft w:val="0"/>
      <w:marRight w:val="0"/>
      <w:marTop w:val="0"/>
      <w:marBottom w:val="0"/>
      <w:divBdr>
        <w:top w:val="none" w:sz="0" w:space="0" w:color="auto"/>
        <w:left w:val="none" w:sz="0" w:space="0" w:color="auto"/>
        <w:bottom w:val="none" w:sz="0" w:space="0" w:color="auto"/>
        <w:right w:val="none" w:sz="0" w:space="0" w:color="auto"/>
      </w:divBdr>
    </w:div>
    <w:div w:id="1213421240">
      <w:bodyDiv w:val="1"/>
      <w:marLeft w:val="0"/>
      <w:marRight w:val="0"/>
      <w:marTop w:val="0"/>
      <w:marBottom w:val="0"/>
      <w:divBdr>
        <w:top w:val="none" w:sz="0" w:space="0" w:color="auto"/>
        <w:left w:val="none" w:sz="0" w:space="0" w:color="auto"/>
        <w:bottom w:val="none" w:sz="0" w:space="0" w:color="auto"/>
        <w:right w:val="none" w:sz="0" w:space="0" w:color="auto"/>
      </w:divBdr>
    </w:div>
    <w:div w:id="1348020434">
      <w:bodyDiv w:val="1"/>
      <w:marLeft w:val="0"/>
      <w:marRight w:val="0"/>
      <w:marTop w:val="0"/>
      <w:marBottom w:val="0"/>
      <w:divBdr>
        <w:top w:val="none" w:sz="0" w:space="0" w:color="auto"/>
        <w:left w:val="none" w:sz="0" w:space="0" w:color="auto"/>
        <w:bottom w:val="none" w:sz="0" w:space="0" w:color="auto"/>
        <w:right w:val="none" w:sz="0" w:space="0" w:color="auto"/>
      </w:divBdr>
    </w:div>
    <w:div w:id="1350718844">
      <w:bodyDiv w:val="1"/>
      <w:marLeft w:val="0"/>
      <w:marRight w:val="0"/>
      <w:marTop w:val="0"/>
      <w:marBottom w:val="0"/>
      <w:divBdr>
        <w:top w:val="none" w:sz="0" w:space="0" w:color="auto"/>
        <w:left w:val="none" w:sz="0" w:space="0" w:color="auto"/>
        <w:bottom w:val="none" w:sz="0" w:space="0" w:color="auto"/>
        <w:right w:val="none" w:sz="0" w:space="0" w:color="auto"/>
      </w:divBdr>
    </w:div>
    <w:div w:id="1370111616">
      <w:bodyDiv w:val="1"/>
      <w:marLeft w:val="0"/>
      <w:marRight w:val="0"/>
      <w:marTop w:val="0"/>
      <w:marBottom w:val="0"/>
      <w:divBdr>
        <w:top w:val="none" w:sz="0" w:space="0" w:color="auto"/>
        <w:left w:val="none" w:sz="0" w:space="0" w:color="auto"/>
        <w:bottom w:val="none" w:sz="0" w:space="0" w:color="auto"/>
        <w:right w:val="none" w:sz="0" w:space="0" w:color="auto"/>
      </w:divBdr>
    </w:div>
    <w:div w:id="1485127739">
      <w:bodyDiv w:val="1"/>
      <w:marLeft w:val="0"/>
      <w:marRight w:val="0"/>
      <w:marTop w:val="0"/>
      <w:marBottom w:val="0"/>
      <w:divBdr>
        <w:top w:val="none" w:sz="0" w:space="0" w:color="auto"/>
        <w:left w:val="none" w:sz="0" w:space="0" w:color="auto"/>
        <w:bottom w:val="none" w:sz="0" w:space="0" w:color="auto"/>
        <w:right w:val="none" w:sz="0" w:space="0" w:color="auto"/>
      </w:divBdr>
    </w:div>
    <w:div w:id="1512378692">
      <w:bodyDiv w:val="1"/>
      <w:marLeft w:val="0"/>
      <w:marRight w:val="0"/>
      <w:marTop w:val="0"/>
      <w:marBottom w:val="0"/>
      <w:divBdr>
        <w:top w:val="none" w:sz="0" w:space="0" w:color="auto"/>
        <w:left w:val="none" w:sz="0" w:space="0" w:color="auto"/>
        <w:bottom w:val="none" w:sz="0" w:space="0" w:color="auto"/>
        <w:right w:val="none" w:sz="0" w:space="0" w:color="auto"/>
      </w:divBdr>
    </w:div>
    <w:div w:id="1577520938">
      <w:bodyDiv w:val="1"/>
      <w:marLeft w:val="0"/>
      <w:marRight w:val="0"/>
      <w:marTop w:val="0"/>
      <w:marBottom w:val="0"/>
      <w:divBdr>
        <w:top w:val="none" w:sz="0" w:space="0" w:color="auto"/>
        <w:left w:val="none" w:sz="0" w:space="0" w:color="auto"/>
        <w:bottom w:val="none" w:sz="0" w:space="0" w:color="auto"/>
        <w:right w:val="none" w:sz="0" w:space="0" w:color="auto"/>
      </w:divBdr>
    </w:div>
    <w:div w:id="1995186372">
      <w:bodyDiv w:val="1"/>
      <w:marLeft w:val="0"/>
      <w:marRight w:val="0"/>
      <w:marTop w:val="0"/>
      <w:marBottom w:val="0"/>
      <w:divBdr>
        <w:top w:val="none" w:sz="0" w:space="0" w:color="auto"/>
        <w:left w:val="none" w:sz="0" w:space="0" w:color="auto"/>
        <w:bottom w:val="none" w:sz="0" w:space="0" w:color="auto"/>
        <w:right w:val="none" w:sz="0" w:space="0" w:color="auto"/>
      </w:divBdr>
    </w:div>
    <w:div w:id="2053113554">
      <w:bodyDiv w:val="1"/>
      <w:marLeft w:val="0"/>
      <w:marRight w:val="0"/>
      <w:marTop w:val="0"/>
      <w:marBottom w:val="0"/>
      <w:divBdr>
        <w:top w:val="none" w:sz="0" w:space="0" w:color="auto"/>
        <w:left w:val="none" w:sz="0" w:space="0" w:color="auto"/>
        <w:bottom w:val="none" w:sz="0" w:space="0" w:color="auto"/>
        <w:right w:val="none" w:sz="0" w:space="0" w:color="auto"/>
      </w:divBdr>
      <w:divsChild>
        <w:div w:id="1865514242">
          <w:marLeft w:val="360"/>
          <w:marRight w:val="0"/>
          <w:marTop w:val="200"/>
          <w:marBottom w:val="0"/>
          <w:divBdr>
            <w:top w:val="none" w:sz="0" w:space="0" w:color="auto"/>
            <w:left w:val="none" w:sz="0" w:space="0" w:color="auto"/>
            <w:bottom w:val="none" w:sz="0" w:space="0" w:color="auto"/>
            <w:right w:val="none" w:sz="0" w:space="0" w:color="auto"/>
          </w:divBdr>
        </w:div>
        <w:div w:id="1320184748">
          <w:marLeft w:val="360"/>
          <w:marRight w:val="0"/>
          <w:marTop w:val="200"/>
          <w:marBottom w:val="0"/>
          <w:divBdr>
            <w:top w:val="none" w:sz="0" w:space="0" w:color="auto"/>
            <w:left w:val="none" w:sz="0" w:space="0" w:color="auto"/>
            <w:bottom w:val="none" w:sz="0" w:space="0" w:color="auto"/>
            <w:right w:val="none" w:sz="0" w:space="0" w:color="auto"/>
          </w:divBdr>
        </w:div>
        <w:div w:id="756365946">
          <w:marLeft w:val="360"/>
          <w:marRight w:val="0"/>
          <w:marTop w:val="200"/>
          <w:marBottom w:val="0"/>
          <w:divBdr>
            <w:top w:val="none" w:sz="0" w:space="0" w:color="auto"/>
            <w:left w:val="none" w:sz="0" w:space="0" w:color="auto"/>
            <w:bottom w:val="none" w:sz="0" w:space="0" w:color="auto"/>
            <w:right w:val="none" w:sz="0" w:space="0" w:color="auto"/>
          </w:divBdr>
        </w:div>
      </w:divsChild>
    </w:div>
    <w:div w:id="2145416787">
      <w:bodyDiv w:val="1"/>
      <w:marLeft w:val="0"/>
      <w:marRight w:val="0"/>
      <w:marTop w:val="0"/>
      <w:marBottom w:val="0"/>
      <w:divBdr>
        <w:top w:val="none" w:sz="0" w:space="0" w:color="auto"/>
        <w:left w:val="none" w:sz="0" w:space="0" w:color="auto"/>
        <w:bottom w:val="none" w:sz="0" w:space="0" w:color="auto"/>
        <w:right w:val="none" w:sz="0" w:space="0" w:color="auto"/>
      </w:divBdr>
      <w:divsChild>
        <w:div w:id="2021354313">
          <w:marLeft w:val="0"/>
          <w:marRight w:val="0"/>
          <w:marTop w:val="0"/>
          <w:marBottom w:val="0"/>
          <w:divBdr>
            <w:top w:val="none" w:sz="0" w:space="0" w:color="auto"/>
            <w:left w:val="none" w:sz="0" w:space="0" w:color="auto"/>
            <w:bottom w:val="none" w:sz="0" w:space="0" w:color="auto"/>
            <w:right w:val="none" w:sz="0" w:space="0" w:color="auto"/>
          </w:divBdr>
          <w:divsChild>
            <w:div w:id="1516922200">
              <w:marLeft w:val="0"/>
              <w:marRight w:val="0"/>
              <w:marTop w:val="0"/>
              <w:marBottom w:val="0"/>
              <w:divBdr>
                <w:top w:val="none" w:sz="0" w:space="0" w:color="auto"/>
                <w:left w:val="none" w:sz="0" w:space="0" w:color="auto"/>
                <w:bottom w:val="none" w:sz="0" w:space="0" w:color="auto"/>
                <w:right w:val="none" w:sz="0" w:space="0" w:color="auto"/>
              </w:divBdr>
              <w:divsChild>
                <w:div w:id="1799639028">
                  <w:marLeft w:val="0"/>
                  <w:marRight w:val="0"/>
                  <w:marTop w:val="0"/>
                  <w:marBottom w:val="0"/>
                  <w:divBdr>
                    <w:top w:val="none" w:sz="0" w:space="0" w:color="auto"/>
                    <w:left w:val="none" w:sz="0" w:space="0" w:color="auto"/>
                    <w:bottom w:val="none" w:sz="0" w:space="0" w:color="auto"/>
                    <w:right w:val="none" w:sz="0" w:space="0" w:color="auto"/>
                  </w:divBdr>
                  <w:divsChild>
                    <w:div w:id="96101896">
                      <w:marLeft w:val="0"/>
                      <w:marRight w:val="0"/>
                      <w:marTop w:val="0"/>
                      <w:marBottom w:val="0"/>
                      <w:divBdr>
                        <w:top w:val="none" w:sz="0" w:space="0" w:color="auto"/>
                        <w:left w:val="none" w:sz="0" w:space="0" w:color="auto"/>
                        <w:bottom w:val="none" w:sz="0" w:space="0" w:color="auto"/>
                        <w:right w:val="none" w:sz="0" w:space="0" w:color="auto"/>
                      </w:divBdr>
                      <w:divsChild>
                        <w:div w:id="1121613759">
                          <w:marLeft w:val="0"/>
                          <w:marRight w:val="0"/>
                          <w:marTop w:val="0"/>
                          <w:marBottom w:val="0"/>
                          <w:divBdr>
                            <w:top w:val="none" w:sz="0" w:space="0" w:color="auto"/>
                            <w:left w:val="none" w:sz="0" w:space="0" w:color="auto"/>
                            <w:bottom w:val="none" w:sz="0" w:space="0" w:color="auto"/>
                            <w:right w:val="none" w:sz="0" w:space="0" w:color="auto"/>
                          </w:divBdr>
                          <w:divsChild>
                            <w:div w:id="212326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repositories.lib.utexas.edu/items/688b6c77-a723-4785-9e10-c42edb885357" TargetMode="External"/><Relationship Id="rId26" Type="http://schemas.openxmlformats.org/officeDocument/2006/relationships/hyperlink" Target="https://www.livescience.com/what-was-the-indus-valley-civilization" TargetMode="External"/><Relationship Id="rId39" Type="http://schemas.openxmlformats.org/officeDocument/2006/relationships/hyperlink" Target="https://www.sahapedia.org/bronze-age-civilization-south-asia" TargetMode="External"/><Relationship Id="rId21" Type="http://schemas.openxmlformats.org/officeDocument/2006/relationships/hyperlink" Target="https://papers.ssrn.com/sol3/papers.cfm?abstract_id=3186112" TargetMode="External"/><Relationship Id="rId34" Type="http://schemas.openxmlformats.org/officeDocument/2006/relationships/hyperlink" Target="http://www.synesisjournal.com/vol4_g/Liritzis_2013_G19-31.pdf" TargetMode="External"/><Relationship Id="rId42" Type="http://schemas.openxmlformats.org/officeDocument/2006/relationships/hyperlink" Target="http://www.jstor.org/stable/41287738" TargetMode="External"/><Relationship Id="rId47" Type="http://schemas.openxmlformats.org/officeDocument/2006/relationships/hyperlink" Target="https://www.qmul.ac.uk/research/featured-research/the-ethical-implications-of-ai-in-warfare/" TargetMode="External"/><Relationship Id="rId50" Type="http://schemas.openxmlformats.org/officeDocument/2006/relationships/hyperlink" Target="https://www.cato.org/commentary/human-progress-not-inevitable-uneven-indisputable" TargetMode="External"/><Relationship Id="rId55" Type="http://schemas.openxmlformats.org/officeDocument/2006/relationships/hyperlink" Target="https://doi.org/10.1080/01436597.2015.113539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anthropologyreview.org/anthropology-archaeology-news/the-painted-skeletons-of-catalhoyuk-turkeys-mysterious-burial-rituals/" TargetMode="External"/><Relationship Id="rId29" Type="http://schemas.openxmlformats.org/officeDocument/2006/relationships/hyperlink" Target="https://doi.org/10.2478/ouacsce-2021-0014" TargetMode="External"/><Relationship Id="rId41" Type="http://schemas.openxmlformats.org/officeDocument/2006/relationships/hyperlink" Target="https://www.catalhoyuk.com/archive_reports/2004/ar04_34.html" TargetMode="External"/><Relationship Id="rId54" Type="http://schemas.openxmlformats.org/officeDocument/2006/relationships/hyperlink" Target="https://doi.org/10.1086/21155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2307/1841272" TargetMode="External"/><Relationship Id="rId32" Type="http://schemas.openxmlformats.org/officeDocument/2006/relationships/hyperlink" Target="https://doi.org/10.1093/acrefore/9780199381135.013.6251" TargetMode="External"/><Relationship Id="rId37" Type="http://schemas.openxmlformats.org/officeDocument/2006/relationships/hyperlink" Target="https://doi.org/10.1038/sj.embor.7400693" TargetMode="External"/><Relationship Id="rId40" Type="http://schemas.openxmlformats.org/officeDocument/2006/relationships/hyperlink" Target="https://doi.org/10.1007/s11692-015-9320-0" TargetMode="External"/><Relationship Id="rId45" Type="http://schemas.openxmlformats.org/officeDocument/2006/relationships/hyperlink" Target="https://doi.org/10.1080/00455091.1989.10716805" TargetMode="External"/><Relationship Id="rId53" Type="http://schemas.openxmlformats.org/officeDocument/2006/relationships/hyperlink" Target="https://www.who.int/data/gho/data/themes/mortality-and-global-health-estimates/ghe-life-expectancy-and-healthy-life-expectancy"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anthromuseum.missouri.edu/e-exhibits/oldowan-and-acheulean-stone-tools" TargetMode="External"/><Relationship Id="rId28" Type="http://schemas.openxmlformats.org/officeDocument/2006/relationships/hyperlink" Target="https://doi.org/10.37718/CSA.1997.04" TargetMode="External"/><Relationship Id="rId36" Type="http://schemas.openxmlformats.org/officeDocument/2006/relationships/hyperlink" Target="https://doi.org/10.15184/aqy.2024.44" TargetMode="External"/><Relationship Id="rId49" Type="http://schemas.openxmlformats.org/officeDocument/2006/relationships/hyperlink" Target="https://doi.org/10.1007/s12052-010-0246-9" TargetMode="External"/><Relationship Id="rId57" Type="http://schemas.openxmlformats.org/officeDocument/2006/relationships/header" Target="header1.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arnegiecouncil.org/explore-engage/key-terms/cultural-relativism" TargetMode="External"/><Relationship Id="rId31" Type="http://schemas.openxmlformats.org/officeDocument/2006/relationships/hyperlink" Target="https://doi.org/10.7183/0002-7316.79.1.5" TargetMode="External"/><Relationship Id="rId44" Type="http://schemas.openxmlformats.org/officeDocument/2006/relationships/hyperlink" Target="https://doi.org/10.1371/journal.pone.0084814" TargetMode="External"/><Relationship Id="rId52" Type="http://schemas.openxmlformats.org/officeDocument/2006/relationships/hyperlink" Target="https://www.proquest.com/docview/202817654/391A10F6D77C4C60PQ/1?accountid=130472&amp;sourcetype=Magazines"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sciencealert.com/ancient-city-from-9-000-years-ago-buried-their-dead-in-very-mysterious-ways" TargetMode="External"/><Relationship Id="rId27" Type="http://schemas.openxmlformats.org/officeDocument/2006/relationships/hyperlink" Target="https://doi.org/10.1098/rstb.2017.0057" TargetMode="External"/><Relationship Id="rId30" Type="http://schemas.openxmlformats.org/officeDocument/2006/relationships/hyperlink" Target="https://doi.org/10.1007/978-1-349-16777-7_6" TargetMode="External"/><Relationship Id="rId35" Type="http://schemas.openxmlformats.org/officeDocument/2006/relationships/hyperlink" Target="https://doi.org/10.4324/9780203449509" TargetMode="External"/><Relationship Id="rId43" Type="http://schemas.openxmlformats.org/officeDocument/2006/relationships/hyperlink" Target="https://doi.org/10.1002/evan.21775" TargetMode="External"/><Relationship Id="rId48" Type="http://schemas.openxmlformats.org/officeDocument/2006/relationships/hyperlink" Target="https://www.nationalgeographic.com/adventure/article/140129-oldest-hearth-israel-cave-new-human-species-discovery-archaeology-science" TargetMode="External"/><Relationship Id="rId56" Type="http://schemas.openxmlformats.org/officeDocument/2006/relationships/hyperlink" Target="https://news.stanford.edu/stories/2015/03/ancient-post-human-030415" TargetMode="External"/><Relationship Id="rId8" Type="http://schemas.openxmlformats.org/officeDocument/2006/relationships/webSettings" Target="webSettings.xml"/><Relationship Id="rId51" Type="http://schemas.openxmlformats.org/officeDocument/2006/relationships/hyperlink" Target="https://journals.co.za/doi/abs/10.10520/EJC37965"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017/S1053837212000405" TargetMode="External"/><Relationship Id="rId33" Type="http://schemas.openxmlformats.org/officeDocument/2006/relationships/hyperlink" Target="https://doi.org/10.1098/rstb.2021.0350" TargetMode="External"/><Relationship Id="rId38" Type="http://schemas.openxmlformats.org/officeDocument/2006/relationships/hyperlink" Target="https://www.nhm.ac.uk/discover/news/2018/february/the-beaker-people-a-new-population-for-ancient-britain.html" TargetMode="External"/><Relationship Id="rId46" Type="http://schemas.openxmlformats.org/officeDocument/2006/relationships/hyperlink" Target="https://www.acu.ac.uk/the-acu-review/lessons-in-sustainable-living/" TargetMode="External"/><Relationship Id="rId5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85543c514904458d5d237500db3402f4">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89cc37408bd668fc30d72cd767919bf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74CE7-2E3B-45A6-9B33-C060B7293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2E4811-5B05-4DB0-8C12-CB95D87ED787}">
  <ds:schemaRefs>
    <ds:schemaRef ds:uri="http://schemas.microsoft.com/sharepoint/v3/contenttype/forms"/>
  </ds:schemaRefs>
</ds:datastoreItem>
</file>

<file path=customXml/itemProps3.xml><?xml version="1.0" encoding="utf-8"?>
<ds:datastoreItem xmlns:ds="http://schemas.openxmlformats.org/officeDocument/2006/customXml" ds:itemID="{0907ED51-EF97-4277-B78C-612D728224D7}">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4410C41D-F939-49DC-9A4B-4B211876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3608</Words>
  <Characters>24864</Characters>
  <Application>Microsoft Office Word</Application>
  <DocSecurity>0</DocSecurity>
  <Lines>383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2024-12-07T09:23:00Z</cp:lastPrinted>
  <dcterms:created xsi:type="dcterms:W3CDTF">2024-12-07T10:24:00Z</dcterms:created>
  <dcterms:modified xsi:type="dcterms:W3CDTF">2024-12-07T10:24:00Z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febc10dc-4fef-4b22-b12a-ca699c8a0479</vt:lpwstr>
  </property>
  <property fmtid="{D5CDD505-2E9C-101B-9397-08002B2CF9AE}" pid="3" name="ContentTypeId">
    <vt:lpwstr>0x010100BD024FF986E86248B25DDBA3DBF998D1</vt:lpwstr>
  </property>
</Properties>
</file>