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6D9BB" w14:textId="68DB7F8F" w:rsidR="00DC1268" w:rsidRPr="00C0713F" w:rsidRDefault="00C0713F" w:rsidP="00C0713F">
      <w:pPr>
        <w:pStyle w:val="p1"/>
        <w:jc w:val="center"/>
        <w:rPr>
          <w:rStyle w:val="s1"/>
          <w:b/>
          <w:bCs/>
          <w:sz w:val="40"/>
          <w:szCs w:val="40"/>
        </w:rPr>
      </w:pPr>
      <w:r w:rsidRPr="00C0713F">
        <w:rPr>
          <w:rStyle w:val="s1"/>
          <w:b/>
          <w:bCs/>
          <w:sz w:val="40"/>
          <w:szCs w:val="40"/>
        </w:rPr>
        <w:t>REFERENCE LIST</w:t>
      </w:r>
    </w:p>
    <w:p w14:paraId="6964B829" w14:textId="77777777" w:rsidR="00DC1268" w:rsidRDefault="00DC1268">
      <w:pPr>
        <w:pStyle w:val="p1"/>
        <w:rPr>
          <w:rStyle w:val="s1"/>
        </w:rPr>
      </w:pPr>
    </w:p>
    <w:p w14:paraId="27875245" w14:textId="77777777" w:rsidR="00DC1268" w:rsidRDefault="00DC1268">
      <w:pPr>
        <w:pStyle w:val="p1"/>
        <w:rPr>
          <w:rStyle w:val="s1"/>
        </w:rPr>
      </w:pPr>
    </w:p>
    <w:p w14:paraId="1963BD02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Brandon, M., Sidebotham, P., Bailey, S. and Belderson, P. (2012)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Learning from serious case reviews: A two-year analysis</w:t>
      </w:r>
      <w:r>
        <w:rPr>
          <w:color w:val="000000"/>
        </w:rPr>
        <w:t>. London: Department for Education.</w:t>
      </w:r>
    </w:p>
    <w:p w14:paraId="2256C23B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Department for Education (2023)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Working together to safeguard children</w:t>
      </w:r>
      <w:r>
        <w:rPr>
          <w:color w:val="000000"/>
        </w:rPr>
        <w:t>. London: DfE.</w:t>
      </w:r>
    </w:p>
    <w:p w14:paraId="7566165D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Featherstone, B., White, S. and Morris, K. (2014)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Re-imagining child protection: Towards humane social work with families</w:t>
      </w:r>
      <w:r>
        <w:rPr>
          <w:color w:val="000000"/>
        </w:rPr>
        <w:t>. Bristol: Policy Press.</w:t>
      </w:r>
    </w:p>
    <w:p w14:paraId="6874F22E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HM Government (1989)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Children Act 1989</w:t>
      </w:r>
      <w:r>
        <w:rPr>
          <w:color w:val="000000"/>
        </w:rPr>
        <w:t>. London: The Stationery Office.</w:t>
      </w:r>
    </w:p>
    <w:p w14:paraId="697BCD6A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HM Government (2004)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Children Act 2004</w:t>
      </w:r>
      <w:r>
        <w:rPr>
          <w:color w:val="000000"/>
        </w:rPr>
        <w:t>. London: The Stationery Office.</w:t>
      </w:r>
    </w:p>
    <w:p w14:paraId="4D843B44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HM Government (2015)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Information sharing: Advice for practitioners providing safeguarding services to children, young people, parents and carers</w:t>
      </w:r>
      <w:r>
        <w:rPr>
          <w:color w:val="000000"/>
        </w:rPr>
        <w:t>. London: The Stationery Office.</w:t>
      </w:r>
    </w:p>
    <w:p w14:paraId="64E27EC9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Horwath, J. (2016)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The child’s world: The comprehensive guide to assessing children in need</w:t>
      </w:r>
      <w:r>
        <w:rPr>
          <w:color w:val="000000"/>
        </w:rPr>
        <w:t>. 2nd edn. London: Jessica Kingsley Publishers.</w:t>
      </w:r>
    </w:p>
    <w:p w14:paraId="6026D21D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Local Government Association (2021)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Multi-agency safeguarding: Principles and practice</w:t>
      </w:r>
      <w:r>
        <w:rPr>
          <w:color w:val="000000"/>
        </w:rPr>
        <w:t>. London: LGA.</w:t>
      </w:r>
    </w:p>
    <w:p w14:paraId="4C578E5B" w14:textId="77777777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Munro, E. (2011)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The Munro review of child protection: Final report – A child-centred system</w:t>
      </w:r>
      <w:r>
        <w:rPr>
          <w:color w:val="000000"/>
        </w:rPr>
        <w:t>. London: Department for Education.</w:t>
      </w:r>
    </w:p>
    <w:p w14:paraId="55FD2182" w14:textId="590D295E" w:rsidR="00C0713F" w:rsidRDefault="00C0713F" w:rsidP="00C0713F">
      <w:pPr>
        <w:pStyle w:val="NormalWeb"/>
        <w:rPr>
          <w:color w:val="000000"/>
        </w:rPr>
      </w:pPr>
      <w:r>
        <w:rPr>
          <w:color w:val="000000"/>
        </w:rPr>
        <w:t>NSPCC (2023)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National case review repository</w:t>
      </w:r>
      <w:r>
        <w:rPr>
          <w:color w:val="000000"/>
        </w:rPr>
        <w:t>. Available at:</w:t>
      </w:r>
      <w:r>
        <w:rPr>
          <w:rStyle w:val="apple-converted-space"/>
          <w:rFonts w:eastAsiaTheme="majorEastAsia"/>
          <w:color w:val="000000"/>
        </w:rPr>
        <w:t> </w:t>
      </w:r>
      <w:hyperlink r:id="rId4" w:tgtFrame="_new" w:history="1">
        <w:r>
          <w:rPr>
            <w:rStyle w:val="Hyperlink"/>
            <w:rFonts w:eastAsiaTheme="majorEastAsia"/>
          </w:rPr>
          <w:t>https://learning.nspcc.org.uk/case-reviews/national-case-review-repository</w:t>
        </w:r>
      </w:hyperlink>
      <w:r>
        <w:rPr>
          <w:rStyle w:val="apple-converted-space"/>
          <w:rFonts w:eastAsiaTheme="majorEastAsia"/>
          <w:color w:val="000000"/>
        </w:rPr>
        <w:t> </w:t>
      </w:r>
      <w:r>
        <w:rPr>
          <w:color w:val="000000"/>
        </w:rPr>
        <w:t xml:space="preserve">(Accessed: </w:t>
      </w:r>
      <w:r>
        <w:rPr>
          <w:color w:val="000000"/>
        </w:rPr>
        <w:t>1</w:t>
      </w:r>
      <w:r>
        <w:rPr>
          <w:color w:val="000000"/>
        </w:rPr>
        <w:t xml:space="preserve"> December 2025).</w:t>
      </w:r>
    </w:p>
    <w:p w14:paraId="2B2F6182" w14:textId="77777777" w:rsidR="007F4BC5" w:rsidRDefault="007F4BC5"/>
    <w:sectPr w:rsidR="007F4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C5"/>
    <w:rsid w:val="000351C2"/>
    <w:rsid w:val="00244E10"/>
    <w:rsid w:val="00314286"/>
    <w:rsid w:val="00460026"/>
    <w:rsid w:val="007F4BC5"/>
    <w:rsid w:val="00C0713F"/>
    <w:rsid w:val="00DC1268"/>
    <w:rsid w:val="00F9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A5BCB3"/>
  <w15:chartTrackingRefBased/>
  <w15:docId w15:val="{2ED7B799-5A12-AD43-9A05-D7A1F6AC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B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B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B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B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B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B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B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B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B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B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B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B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B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B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B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B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BC5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7F4BC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7F4BC5"/>
  </w:style>
  <w:style w:type="character" w:customStyle="1" w:styleId="s2">
    <w:name w:val="s2"/>
    <w:basedOn w:val="DefaultParagraphFont"/>
    <w:rsid w:val="007F4BC5"/>
  </w:style>
  <w:style w:type="paragraph" w:customStyle="1" w:styleId="p2">
    <w:name w:val="p2"/>
    <w:basedOn w:val="Normal"/>
    <w:rsid w:val="007F4BC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07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bidi="bn-IN"/>
      <w14:ligatures w14:val="none"/>
    </w:rPr>
  </w:style>
  <w:style w:type="character" w:customStyle="1" w:styleId="apple-converted-space">
    <w:name w:val="apple-converted-space"/>
    <w:basedOn w:val="DefaultParagraphFont"/>
    <w:rsid w:val="00C0713F"/>
  </w:style>
  <w:style w:type="character" w:styleId="Emphasis">
    <w:name w:val="Emphasis"/>
    <w:basedOn w:val="DefaultParagraphFont"/>
    <w:uiPriority w:val="20"/>
    <w:qFormat/>
    <w:rsid w:val="00C0713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07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.nspcc.org.uk/case-reviews/national-case-review-reposit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monica kellys kellys</cp:lastModifiedBy>
  <cp:revision>2</cp:revision>
  <dcterms:created xsi:type="dcterms:W3CDTF">2025-12-05T12:10:00Z</dcterms:created>
  <dcterms:modified xsi:type="dcterms:W3CDTF">2025-12-05T12:10:00Z</dcterms:modified>
</cp:coreProperties>
</file>