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F48E5D" w14:textId="77777777" w:rsidR="00B14DCE" w:rsidRPr="00B14DCE" w:rsidRDefault="00B14DCE" w:rsidP="00B14D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B14DCE">
        <w:rPr>
          <w:rStyle w:val="normaltextrun"/>
          <w:rFonts w:ascii="Arial" w:hAnsi="Arial" w:cs="Arial"/>
          <w:color w:val="000000"/>
          <w:sz w:val="28"/>
          <w:szCs w:val="28"/>
          <w:u w:val="single"/>
        </w:rPr>
        <w:t>Reference List</w:t>
      </w:r>
      <w:r w:rsidRPr="00B14DCE">
        <w:rPr>
          <w:rStyle w:val="eop"/>
          <w:rFonts w:ascii="Arial" w:hAnsi="Arial" w:cs="Arial"/>
          <w:color w:val="000000"/>
          <w:sz w:val="28"/>
          <w:szCs w:val="28"/>
        </w:rPr>
        <w:t> </w:t>
      </w:r>
    </w:p>
    <w:p w14:paraId="03FE84A7" w14:textId="32BEC0A9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36806E3A" w14:textId="0C5F341C" w:rsidR="00B14DCE" w:rsidRPr="00B14DCE" w:rsidRDefault="00B14DCE" w:rsidP="00B14D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scxw100170248"/>
          <w:rFonts w:ascii="Calibri" w:hAnsi="Calibri" w:cs="Calibri"/>
          <w:sz w:val="22"/>
          <w:szCs w:val="22"/>
        </w:rPr>
        <w:t> </w:t>
      </w:r>
    </w:p>
    <w:p w14:paraId="78117764" w14:textId="3B5ECFDE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normaltextrun"/>
          <w:rFonts w:ascii="Arial" w:hAnsi="Arial" w:cs="Arial"/>
          <w:color w:val="000000"/>
        </w:rPr>
        <w:t>Barclay, S. (2014) </w:t>
      </w:r>
      <w:r>
        <w:rPr>
          <w:rStyle w:val="normaltextrun"/>
          <w:rFonts w:ascii="Arial" w:hAnsi="Arial" w:cs="Arial"/>
          <w:i/>
          <w:iCs/>
          <w:color w:val="000000"/>
        </w:rPr>
        <w:t>How Do Children Learn </w:t>
      </w:r>
      <w:proofErr w:type="gramStart"/>
      <w:r>
        <w:rPr>
          <w:rStyle w:val="normaltextrun"/>
          <w:rFonts w:ascii="Arial" w:hAnsi="Arial" w:cs="Arial"/>
          <w:i/>
          <w:iCs/>
          <w:color w:val="000000"/>
        </w:rPr>
        <w:t>To</w:t>
      </w:r>
      <w:proofErr w:type="gramEnd"/>
      <w:r>
        <w:rPr>
          <w:rStyle w:val="normaltextrun"/>
          <w:rFonts w:ascii="Arial" w:hAnsi="Arial" w:cs="Arial"/>
          <w:i/>
          <w:iCs/>
          <w:color w:val="000000"/>
        </w:rPr>
        <w:t> Write. </w:t>
      </w:r>
      <w:r>
        <w:rPr>
          <w:rStyle w:val="normaltextrun"/>
          <w:rFonts w:ascii="Arial" w:hAnsi="Arial" w:cs="Arial"/>
          <w:color w:val="000000"/>
        </w:rPr>
        <w:t>Available at: </w:t>
      </w:r>
      <w:hyperlink r:id="rId6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https://www.youtube.com/watch?v=dNk0UeJ6Y8Q</w:t>
        </w:r>
      </w:hyperlink>
      <w:r>
        <w:rPr>
          <w:rStyle w:val="normaltextrun"/>
          <w:rFonts w:ascii="Arial" w:hAnsi="Arial" w:cs="Arial"/>
          <w:color w:val="000000"/>
        </w:rPr>
        <w:t> (Accessed: 13th November 2020).</w:t>
      </w:r>
      <w:r>
        <w:rPr>
          <w:rStyle w:val="eop"/>
          <w:rFonts w:ascii="Arial" w:hAnsi="Arial" w:cs="Arial"/>
          <w:color w:val="000000"/>
        </w:rPr>
        <w:t> </w:t>
      </w:r>
    </w:p>
    <w:p w14:paraId="3F594C3E" w14:textId="77777777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511E2CBD" w14:textId="5FCEC322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normaltextrun"/>
          <w:rFonts w:ascii="Arial" w:hAnsi="Arial" w:cs="Arial"/>
          <w:color w:val="000000"/>
        </w:rPr>
        <w:t>Berkowitz, D. (2011) ‘Storytelling: Building Community Through Dialogue, Engagement, and Problem Solving’, </w:t>
      </w:r>
      <w:r>
        <w:rPr>
          <w:rStyle w:val="normaltextrun"/>
          <w:rFonts w:ascii="Arial" w:hAnsi="Arial" w:cs="Arial"/>
          <w:i/>
          <w:iCs/>
          <w:color w:val="000000"/>
        </w:rPr>
        <w:t>Young Children, Washington, </w:t>
      </w:r>
      <w:r>
        <w:rPr>
          <w:rStyle w:val="normaltextrun"/>
          <w:rFonts w:ascii="Arial" w:hAnsi="Arial" w:cs="Arial"/>
          <w:color w:val="000000"/>
        </w:rPr>
        <w:t>66(2), pp. 36-40, </w:t>
      </w:r>
      <w:hyperlink r:id="rId7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https://doi.org/10.5539/jel.v8n2p165</w:t>
        </w:r>
      </w:hyperlink>
      <w:r>
        <w:rPr>
          <w:rStyle w:val="normaltextrun"/>
          <w:rFonts w:ascii="Arial" w:hAnsi="Arial" w:cs="Arial"/>
          <w:color w:val="000000"/>
        </w:rPr>
        <w:t>.</w:t>
      </w:r>
      <w:r>
        <w:rPr>
          <w:rStyle w:val="eop"/>
          <w:rFonts w:ascii="Arial" w:hAnsi="Arial" w:cs="Arial"/>
          <w:color w:val="000000"/>
        </w:rPr>
        <w:t> </w:t>
      </w:r>
    </w:p>
    <w:p w14:paraId="1A20DCAD" w14:textId="77777777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0DA740C8" w14:textId="79BE8CD8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normaltextrun"/>
          <w:rFonts w:ascii="Arial" w:hAnsi="Arial" w:cs="Arial"/>
          <w:color w:val="000000"/>
        </w:rPr>
        <w:t>Book Trust (no date) </w:t>
      </w:r>
      <w:r>
        <w:rPr>
          <w:rStyle w:val="normaltextrun"/>
          <w:rFonts w:ascii="Arial" w:hAnsi="Arial" w:cs="Arial"/>
          <w:i/>
          <w:iCs/>
          <w:color w:val="000000"/>
        </w:rPr>
        <w:t>We’re Going on a Bear Hunt. </w:t>
      </w:r>
      <w:r>
        <w:rPr>
          <w:rStyle w:val="normaltextrun"/>
          <w:rFonts w:ascii="Arial" w:hAnsi="Arial" w:cs="Arial"/>
          <w:color w:val="000000"/>
        </w:rPr>
        <w:t>Available at: </w:t>
      </w:r>
      <w:hyperlink r:id="rId8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https://www.booktrust.org.uk/book/w/were-going-on-a-bear-hunt/</w:t>
        </w:r>
      </w:hyperlink>
      <w:r>
        <w:rPr>
          <w:rStyle w:val="normaltextrun"/>
          <w:rFonts w:ascii="Arial" w:hAnsi="Arial" w:cs="Arial"/>
          <w:color w:val="005274"/>
        </w:rPr>
        <w:t>  </w:t>
      </w:r>
      <w:r>
        <w:rPr>
          <w:rStyle w:val="normaltextrun"/>
          <w:rFonts w:ascii="Arial" w:hAnsi="Arial" w:cs="Arial"/>
          <w:color w:val="000000"/>
        </w:rPr>
        <w:t>(Accessed: 4th November 2020).</w:t>
      </w:r>
      <w:r>
        <w:rPr>
          <w:rStyle w:val="eop"/>
          <w:rFonts w:ascii="Arial" w:hAnsi="Arial" w:cs="Arial"/>
          <w:color w:val="000000"/>
        </w:rPr>
        <w:t> </w:t>
      </w:r>
    </w:p>
    <w:p w14:paraId="1E2E3CEC" w14:textId="77777777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646CDE45" w14:textId="77777777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Bruce, T. (2012) </w:t>
      </w:r>
      <w:r>
        <w:rPr>
          <w:rStyle w:val="normaltextrun"/>
          <w:rFonts w:ascii="Arial" w:hAnsi="Arial" w:cs="Arial"/>
          <w:i/>
          <w:iCs/>
          <w:color w:val="000000"/>
        </w:rPr>
        <w:t>Early Childhood Practice: Froebel Today. </w:t>
      </w:r>
      <w:r>
        <w:rPr>
          <w:rStyle w:val="normaltextrun"/>
          <w:rFonts w:ascii="Arial" w:hAnsi="Arial" w:cs="Arial"/>
          <w:color w:val="000000"/>
        </w:rPr>
        <w:t>London: Sage. </w:t>
      </w:r>
      <w:r>
        <w:rPr>
          <w:rStyle w:val="eop"/>
          <w:rFonts w:ascii="Arial" w:hAnsi="Arial" w:cs="Arial"/>
          <w:color w:val="000000"/>
        </w:rPr>
        <w:t> </w:t>
      </w:r>
    </w:p>
    <w:p w14:paraId="3808E283" w14:textId="77777777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</w:rPr>
      </w:pPr>
    </w:p>
    <w:p w14:paraId="402A87CC" w14:textId="7F5646EB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proofErr w:type="spellStart"/>
      <w:r w:rsidRPr="00B14DCE">
        <w:rPr>
          <w:rStyle w:val="normaltextrun"/>
          <w:rFonts w:ascii="Arial" w:hAnsi="Arial" w:cs="Arial"/>
        </w:rPr>
        <w:t>Cekaite</w:t>
      </w:r>
      <w:proofErr w:type="spellEnd"/>
      <w:r w:rsidRPr="00B14DCE">
        <w:rPr>
          <w:rStyle w:val="normaltextrun"/>
          <w:rFonts w:ascii="Arial" w:hAnsi="Arial" w:cs="Arial"/>
        </w:rPr>
        <w:t xml:space="preserve">, A. and </w:t>
      </w:r>
      <w:proofErr w:type="spellStart"/>
      <w:r w:rsidRPr="00B14DCE">
        <w:rPr>
          <w:rStyle w:val="normaltextrun"/>
          <w:rFonts w:ascii="Arial" w:hAnsi="Arial" w:cs="Arial"/>
        </w:rPr>
        <w:t>Björk-Willén</w:t>
      </w:r>
      <w:proofErr w:type="spellEnd"/>
      <w:r w:rsidRPr="00B14DCE">
        <w:rPr>
          <w:rStyle w:val="normaltextrun"/>
          <w:rFonts w:ascii="Arial" w:hAnsi="Arial" w:cs="Arial"/>
        </w:rPr>
        <w:t>, P. (2018) ‘Enchantment in storytelling: Co-operation and participation in children's aesthetic experience’, </w:t>
      </w:r>
      <w:r w:rsidRPr="00B14DCE">
        <w:rPr>
          <w:rStyle w:val="normaltextrun"/>
          <w:rFonts w:ascii="Arial" w:hAnsi="Arial" w:cs="Arial"/>
          <w:i/>
          <w:iCs/>
        </w:rPr>
        <w:t>Linguistics and Education</w:t>
      </w:r>
      <w:r w:rsidRPr="00B14DCE">
        <w:rPr>
          <w:rStyle w:val="normaltextrun"/>
          <w:rFonts w:ascii="Arial" w:hAnsi="Arial" w:cs="Arial"/>
        </w:rPr>
        <w:t>. </w:t>
      </w:r>
      <w:hyperlink r:id="rId9" w:tgtFrame="_blank" w:history="1">
        <w:r w:rsidRPr="00B14DCE">
          <w:rPr>
            <w:rStyle w:val="normaltextrun"/>
            <w:rFonts w:ascii="Arial" w:hAnsi="Arial" w:cs="Arial"/>
          </w:rPr>
          <w:t>48</w:t>
        </w:r>
      </w:hyperlink>
      <w:r w:rsidRPr="00B14DCE">
        <w:rPr>
          <w:rStyle w:val="normaltextrun"/>
          <w:rFonts w:ascii="Arial" w:hAnsi="Arial" w:cs="Arial"/>
        </w:rPr>
        <w:t>(4</w:t>
      </w:r>
      <w:r>
        <w:rPr>
          <w:rStyle w:val="normaltextrun"/>
          <w:rFonts w:ascii="Arial" w:hAnsi="Arial" w:cs="Arial"/>
          <w:color w:val="000000"/>
        </w:rPr>
        <w:t>), pp. 52-60.  </w:t>
      </w:r>
      <w:hyperlink r:id="rId10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https://doi.org/10.1016/j.linged.2018.08.005</w:t>
        </w:r>
      </w:hyperlink>
      <w:r>
        <w:rPr>
          <w:rStyle w:val="normaltextrun"/>
          <w:rFonts w:ascii="Arial" w:hAnsi="Arial" w:cs="Arial"/>
          <w:color w:val="000000"/>
        </w:rPr>
        <w:t>.</w:t>
      </w:r>
      <w:r>
        <w:rPr>
          <w:rStyle w:val="eop"/>
          <w:rFonts w:ascii="Arial" w:hAnsi="Arial" w:cs="Arial"/>
          <w:color w:val="000000"/>
        </w:rPr>
        <w:t> </w:t>
      </w:r>
    </w:p>
    <w:p w14:paraId="2BEBB16A" w14:textId="77777777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3AA872C1" w14:textId="0C01F5B8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normaltextrun"/>
          <w:rFonts w:ascii="Arial" w:hAnsi="Arial" w:cs="Arial"/>
          <w:color w:val="000000"/>
        </w:rPr>
        <w:t>Crystal, D. (1996) </w:t>
      </w:r>
      <w:r>
        <w:rPr>
          <w:rStyle w:val="normaltextrun"/>
          <w:rFonts w:ascii="Arial" w:hAnsi="Arial" w:cs="Arial"/>
          <w:i/>
          <w:iCs/>
          <w:color w:val="000000"/>
        </w:rPr>
        <w:t>Language Play and Linguistic Intervention. </w:t>
      </w:r>
      <w:r>
        <w:rPr>
          <w:rStyle w:val="normaltextrun"/>
          <w:rFonts w:ascii="Arial" w:hAnsi="Arial" w:cs="Arial"/>
          <w:color w:val="000000"/>
        </w:rPr>
        <w:t>Available at: </w:t>
      </w:r>
      <w:hyperlink r:id="rId11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http://www.davidcrystal.com/Files/BooksAndArticles/-3930.pdf</w:t>
        </w:r>
      </w:hyperlink>
      <w:r>
        <w:rPr>
          <w:rStyle w:val="normaltextrun"/>
          <w:rFonts w:ascii="Arial" w:hAnsi="Arial" w:cs="Arial"/>
          <w:color w:val="FF0000"/>
        </w:rPr>
        <w:t> </w:t>
      </w:r>
      <w:r>
        <w:rPr>
          <w:rStyle w:val="normaltextrun"/>
          <w:rFonts w:ascii="Arial" w:hAnsi="Arial" w:cs="Arial"/>
          <w:color w:val="000000"/>
        </w:rPr>
        <w:t>(Accessed: 20th November 2020).</w:t>
      </w:r>
      <w:r>
        <w:rPr>
          <w:rStyle w:val="eop"/>
          <w:rFonts w:ascii="Arial" w:hAnsi="Arial" w:cs="Arial"/>
          <w:color w:val="000000"/>
        </w:rPr>
        <w:t> </w:t>
      </w:r>
    </w:p>
    <w:p w14:paraId="423C4EE3" w14:textId="77777777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6B472130" w14:textId="1EAB3967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333333"/>
        </w:rPr>
      </w:pPr>
      <w:r>
        <w:rPr>
          <w:rStyle w:val="normaltextrun"/>
          <w:rFonts w:ascii="Arial" w:hAnsi="Arial" w:cs="Arial"/>
          <w:color w:val="000000"/>
        </w:rPr>
        <w:t xml:space="preserve">De </w:t>
      </w:r>
      <w:proofErr w:type="spellStart"/>
      <w:r>
        <w:rPr>
          <w:rStyle w:val="normaltextrun"/>
          <w:rFonts w:ascii="Arial" w:hAnsi="Arial" w:cs="Arial"/>
          <w:color w:val="000000"/>
        </w:rPr>
        <w:t>Rijke</w:t>
      </w:r>
      <w:proofErr w:type="spellEnd"/>
      <w:r>
        <w:rPr>
          <w:rStyle w:val="normaltextrun"/>
          <w:rFonts w:ascii="Arial" w:hAnsi="Arial" w:cs="Arial"/>
          <w:color w:val="000000"/>
        </w:rPr>
        <w:t xml:space="preserve"> V. (2019) ‘Steiner, Eurythmy and Scribble: Visible Music and Singing, Visible Speech and Listening’, </w:t>
      </w:r>
      <w:r>
        <w:rPr>
          <w:rStyle w:val="normaltextrun"/>
          <w:rFonts w:ascii="Arial" w:hAnsi="Arial" w:cs="Arial"/>
          <w:i/>
          <w:iCs/>
          <w:color w:val="000000"/>
        </w:rPr>
        <w:t>Art and Soul: Rudolf Steiner, Interdisciplinary Art and Education, </w:t>
      </w:r>
      <w:r>
        <w:rPr>
          <w:rStyle w:val="normaltextrun"/>
          <w:rFonts w:ascii="Arial" w:hAnsi="Arial" w:cs="Arial"/>
          <w:color w:val="000000"/>
        </w:rPr>
        <w:t>25, pp. 61-76,</w:t>
      </w:r>
      <w:r>
        <w:rPr>
          <w:rStyle w:val="normaltextrun"/>
          <w:rFonts w:ascii="Arial" w:hAnsi="Arial" w:cs="Arial"/>
          <w:color w:val="FF0000"/>
        </w:rPr>
        <w:t> </w:t>
      </w:r>
      <w:hyperlink r:id="rId12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https://doi.org/10.1007/978-3-030-17604-4_4</w:t>
        </w:r>
      </w:hyperlink>
      <w:r>
        <w:rPr>
          <w:rStyle w:val="normaltextrun"/>
          <w:rFonts w:ascii="Arial" w:hAnsi="Arial" w:cs="Arial"/>
          <w:color w:val="333333"/>
        </w:rPr>
        <w:t>.</w:t>
      </w:r>
      <w:r>
        <w:rPr>
          <w:rStyle w:val="eop"/>
          <w:rFonts w:ascii="Arial" w:hAnsi="Arial" w:cs="Arial"/>
          <w:color w:val="333333"/>
        </w:rPr>
        <w:t> </w:t>
      </w:r>
    </w:p>
    <w:p w14:paraId="29C5DD37" w14:textId="77777777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22D12ECB" w14:textId="26C454AF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normaltextrun"/>
          <w:rFonts w:ascii="Arial" w:hAnsi="Arial" w:cs="Arial"/>
          <w:color w:val="000000"/>
        </w:rPr>
        <w:t>Donaldson, G. (2015) </w:t>
      </w:r>
      <w:r>
        <w:rPr>
          <w:rStyle w:val="normaltextrun"/>
          <w:rFonts w:ascii="Arial" w:hAnsi="Arial" w:cs="Arial"/>
          <w:i/>
          <w:iCs/>
          <w:color w:val="000000"/>
        </w:rPr>
        <w:t>Successful Futures. </w:t>
      </w:r>
      <w:r>
        <w:rPr>
          <w:rStyle w:val="normaltextrun"/>
          <w:rFonts w:ascii="Arial" w:hAnsi="Arial" w:cs="Arial"/>
          <w:color w:val="000000"/>
        </w:rPr>
        <w:t>Available at: </w:t>
      </w:r>
      <w:hyperlink r:id="rId13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https://gov.wales/sites/default/files/publications/2018-03/successful-futures.pdf</w:t>
        </w:r>
      </w:hyperlink>
      <w:r>
        <w:rPr>
          <w:rStyle w:val="normaltextrun"/>
          <w:rFonts w:ascii="Arial" w:hAnsi="Arial" w:cs="Arial"/>
          <w:color w:val="000000"/>
        </w:rPr>
        <w:t> (Accessed: 19th November 2020). </w:t>
      </w:r>
      <w:r>
        <w:rPr>
          <w:rStyle w:val="eop"/>
          <w:rFonts w:ascii="Arial" w:hAnsi="Arial" w:cs="Arial"/>
          <w:color w:val="000000"/>
        </w:rPr>
        <w:t> </w:t>
      </w:r>
    </w:p>
    <w:p w14:paraId="54F17EE9" w14:textId="77777777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4DFCDB11" w14:textId="4F9E9978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proofErr w:type="spellStart"/>
      <w:r>
        <w:rPr>
          <w:rStyle w:val="normaltextrun"/>
          <w:rFonts w:ascii="Arial" w:hAnsi="Arial" w:cs="Arial"/>
          <w:color w:val="000000"/>
        </w:rPr>
        <w:t>Gerde</w:t>
      </w:r>
      <w:proofErr w:type="spellEnd"/>
      <w:r>
        <w:rPr>
          <w:rStyle w:val="normaltextrun"/>
          <w:rFonts w:ascii="Arial" w:hAnsi="Arial" w:cs="Arial"/>
          <w:color w:val="000000"/>
        </w:rPr>
        <w:t>, H. et al. (2012) ‘Writing in Early Childhood Classrooms: Guidance for Best Practices’, </w:t>
      </w:r>
      <w:r>
        <w:rPr>
          <w:rStyle w:val="normaltextrun"/>
          <w:rFonts w:ascii="Arial" w:hAnsi="Arial" w:cs="Arial"/>
          <w:i/>
          <w:iCs/>
          <w:color w:val="000000"/>
        </w:rPr>
        <w:t>Early Childhood Education Journal</w:t>
      </w:r>
      <w:r>
        <w:rPr>
          <w:rStyle w:val="normaltextrun"/>
          <w:rFonts w:ascii="Arial" w:hAnsi="Arial" w:cs="Arial"/>
          <w:color w:val="000000"/>
        </w:rPr>
        <w:t>, 40(6), pp.351–359. DOI:10.1007/s10643-012-0531-z.</w:t>
      </w:r>
      <w:r>
        <w:rPr>
          <w:rStyle w:val="eop"/>
          <w:rFonts w:ascii="Arial" w:hAnsi="Arial" w:cs="Arial"/>
          <w:color w:val="000000"/>
        </w:rPr>
        <w:t> </w:t>
      </w:r>
    </w:p>
    <w:p w14:paraId="12726EDB" w14:textId="77777777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786CF34A" w14:textId="4B138E5E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normaltextrun"/>
          <w:rFonts w:ascii="Arial" w:hAnsi="Arial" w:cs="Arial"/>
          <w:color w:val="000000"/>
        </w:rPr>
        <w:t>Harper, L. J., (2011), ‘Nursery rhyme knowledge and phonological awareness in preschool children’, </w:t>
      </w:r>
      <w:r>
        <w:rPr>
          <w:rStyle w:val="normaltextrun"/>
          <w:rFonts w:ascii="Arial" w:hAnsi="Arial" w:cs="Arial"/>
          <w:i/>
          <w:iCs/>
          <w:color w:val="000000"/>
        </w:rPr>
        <w:t>The Journal of Language and Literacy Education</w:t>
      </w:r>
      <w:r>
        <w:rPr>
          <w:rStyle w:val="normaltextrun"/>
          <w:rFonts w:ascii="Arial" w:hAnsi="Arial" w:cs="Arial"/>
          <w:color w:val="000000"/>
        </w:rPr>
        <w:t>, 7(1), pp. 65-78.</w:t>
      </w:r>
      <w:r>
        <w:rPr>
          <w:rStyle w:val="eop"/>
          <w:rFonts w:ascii="Arial" w:hAnsi="Arial" w:cs="Arial"/>
          <w:color w:val="000000"/>
        </w:rPr>
        <w:t> </w:t>
      </w:r>
    </w:p>
    <w:p w14:paraId="0CECE634" w14:textId="77777777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262CCFE3" w14:textId="774803F9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normaltextrun"/>
          <w:rFonts w:ascii="Arial" w:hAnsi="Arial" w:cs="Arial"/>
          <w:color w:val="000000"/>
        </w:rPr>
        <w:t>Jessen, J. (2012) </w:t>
      </w:r>
      <w:r>
        <w:rPr>
          <w:rStyle w:val="normaltextrun"/>
          <w:rFonts w:ascii="Arial" w:hAnsi="Arial" w:cs="Arial"/>
          <w:i/>
          <w:iCs/>
          <w:color w:val="000000"/>
        </w:rPr>
        <w:t>Developing Creativity in the Primary School. </w:t>
      </w:r>
      <w:r>
        <w:rPr>
          <w:rStyle w:val="normaltextrun"/>
          <w:rFonts w:ascii="Arial" w:hAnsi="Arial" w:cs="Arial"/>
          <w:color w:val="000000"/>
        </w:rPr>
        <w:t>Maidenhead: Open University Press.</w:t>
      </w:r>
      <w:r>
        <w:rPr>
          <w:rStyle w:val="eop"/>
          <w:rFonts w:ascii="Arial" w:hAnsi="Arial" w:cs="Arial"/>
          <w:color w:val="000000"/>
        </w:rPr>
        <w:t> </w:t>
      </w:r>
    </w:p>
    <w:p w14:paraId="20CD524F" w14:textId="77777777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2030035F" w14:textId="7FDB5512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normaltextrun"/>
          <w:rFonts w:ascii="Arial" w:hAnsi="Arial" w:cs="Arial"/>
          <w:color w:val="000000"/>
        </w:rPr>
        <w:t>Laing, C. (2019) ‘A role for onomatopoeia in early language: evidence from phonological development’, </w:t>
      </w:r>
      <w:r>
        <w:rPr>
          <w:rStyle w:val="normaltextrun"/>
          <w:rFonts w:ascii="Arial" w:hAnsi="Arial" w:cs="Arial"/>
          <w:i/>
          <w:iCs/>
          <w:color w:val="000000"/>
        </w:rPr>
        <w:t>Language and Cognition, </w:t>
      </w:r>
      <w:r>
        <w:rPr>
          <w:rStyle w:val="normaltextrun"/>
          <w:rFonts w:ascii="Arial" w:hAnsi="Arial" w:cs="Arial"/>
          <w:color w:val="000000"/>
        </w:rPr>
        <w:t>11(2), pp. 173-187, 10.1017/langcog.2018.23.</w:t>
      </w:r>
      <w:r>
        <w:rPr>
          <w:rStyle w:val="eop"/>
          <w:rFonts w:ascii="Arial" w:hAnsi="Arial" w:cs="Arial"/>
          <w:color w:val="000000"/>
        </w:rPr>
        <w:t> </w:t>
      </w:r>
    </w:p>
    <w:p w14:paraId="1C5B9278" w14:textId="77777777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6CFE070F" w14:textId="71EA825F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 w:rsidRPr="00B14DCE">
        <w:rPr>
          <w:rStyle w:val="normaltextrun"/>
          <w:rFonts w:ascii="Arial" w:hAnsi="Arial" w:cs="Arial"/>
        </w:rPr>
        <w:t xml:space="preserve">Lenhart, J., Lenhard, W., Vaahtoranta, E. and </w:t>
      </w:r>
      <w:proofErr w:type="spellStart"/>
      <w:r w:rsidRPr="00B14DCE">
        <w:rPr>
          <w:rStyle w:val="normaltextrun"/>
          <w:rFonts w:ascii="Arial" w:hAnsi="Arial" w:cs="Arial"/>
        </w:rPr>
        <w:t>Suggate</w:t>
      </w:r>
      <w:proofErr w:type="spellEnd"/>
      <w:r w:rsidRPr="00B14DCE">
        <w:rPr>
          <w:rStyle w:val="normaltextrun"/>
          <w:rFonts w:ascii="Arial" w:hAnsi="Arial" w:cs="Arial"/>
        </w:rPr>
        <w:t xml:space="preserve">, S. (2020) ‘More than words: Narrator engagement during storytelling increases children’s word learning, story </w:t>
      </w:r>
      <w:r w:rsidRPr="00B14DCE">
        <w:rPr>
          <w:rStyle w:val="normaltextrun"/>
          <w:rFonts w:ascii="Arial" w:hAnsi="Arial" w:cs="Arial"/>
        </w:rPr>
        <w:lastRenderedPageBreak/>
        <w:t>comprehension, and on-task </w:t>
      </w:r>
      <w:proofErr w:type="spellStart"/>
      <w:r w:rsidRPr="00B14DCE">
        <w:rPr>
          <w:rStyle w:val="normaltextrun"/>
          <w:rFonts w:ascii="Arial" w:hAnsi="Arial" w:cs="Arial"/>
        </w:rPr>
        <w:t>behavior</w:t>
      </w:r>
      <w:proofErr w:type="spellEnd"/>
      <w:r w:rsidRPr="00B14DCE">
        <w:rPr>
          <w:rStyle w:val="normaltextrun"/>
          <w:rFonts w:ascii="Arial" w:hAnsi="Arial" w:cs="Arial"/>
        </w:rPr>
        <w:t>’, </w:t>
      </w:r>
      <w:hyperlink r:id="rId14" w:tgtFrame="_blank" w:history="1">
        <w:r w:rsidRPr="00B14DCE">
          <w:rPr>
            <w:rStyle w:val="normaltextrun"/>
            <w:rFonts w:ascii="Arial" w:hAnsi="Arial" w:cs="Arial"/>
            <w:i/>
            <w:iCs/>
          </w:rPr>
          <w:t>Early Childhood Research Quarterly</w:t>
        </w:r>
      </w:hyperlink>
      <w:r w:rsidRPr="00B14DCE">
        <w:rPr>
          <w:rStyle w:val="normaltextrun"/>
          <w:rFonts w:ascii="Arial" w:hAnsi="Arial" w:cs="Arial"/>
        </w:rPr>
        <w:t>, </w:t>
      </w:r>
      <w:hyperlink r:id="rId15" w:tgtFrame="_blank" w:history="1">
        <w:r w:rsidRPr="00B14DCE">
          <w:rPr>
            <w:rStyle w:val="normaltextrun"/>
            <w:rFonts w:ascii="Arial" w:hAnsi="Arial" w:cs="Arial"/>
          </w:rPr>
          <w:t>51</w:t>
        </w:r>
      </w:hyperlink>
      <w:r w:rsidRPr="00B14DCE">
        <w:rPr>
          <w:rStyle w:val="normaltextrun"/>
          <w:rFonts w:ascii="Arial" w:hAnsi="Arial" w:cs="Arial"/>
        </w:rPr>
        <w:t xml:space="preserve">(1), </w:t>
      </w:r>
      <w:r>
        <w:rPr>
          <w:rStyle w:val="normaltextrun"/>
          <w:rFonts w:ascii="Arial" w:hAnsi="Arial" w:cs="Arial"/>
          <w:color w:val="000000"/>
        </w:rPr>
        <w:t>pp. 338-351. </w:t>
      </w:r>
      <w:hyperlink r:id="rId16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https://doi.org/10.1016/j.ecresq.2019.12.00</w:t>
        </w:r>
      </w:hyperlink>
      <w:r>
        <w:rPr>
          <w:rStyle w:val="normaltextrun"/>
          <w:rFonts w:ascii="Arial" w:hAnsi="Arial" w:cs="Arial"/>
          <w:color w:val="000000"/>
        </w:rPr>
        <w:t>9.</w:t>
      </w:r>
    </w:p>
    <w:p w14:paraId="5C33BF95" w14:textId="77777777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2F5496"/>
          <w:sz w:val="18"/>
          <w:szCs w:val="18"/>
        </w:rPr>
      </w:pPr>
    </w:p>
    <w:p w14:paraId="6861C973" w14:textId="4C9869AD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normaltextrun"/>
          <w:rFonts w:ascii="Arial" w:hAnsi="Arial" w:cs="Arial"/>
          <w:color w:val="000000"/>
        </w:rPr>
        <w:t>Makaton (no date) </w:t>
      </w:r>
      <w:r>
        <w:rPr>
          <w:rStyle w:val="normaltextrun"/>
          <w:rFonts w:ascii="Arial" w:hAnsi="Arial" w:cs="Arial"/>
          <w:i/>
          <w:iCs/>
          <w:color w:val="000000"/>
        </w:rPr>
        <w:t>What is Makaton? </w:t>
      </w:r>
      <w:r>
        <w:rPr>
          <w:rStyle w:val="normaltextrun"/>
          <w:rFonts w:ascii="Arial" w:hAnsi="Arial" w:cs="Arial"/>
          <w:color w:val="000000"/>
        </w:rPr>
        <w:t>Available at: </w:t>
      </w:r>
      <w:hyperlink r:id="rId17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https://makaton.org/TMC/About_Makaton/What_is_Makaton.aspx</w:t>
        </w:r>
      </w:hyperlink>
      <w:r>
        <w:rPr>
          <w:rStyle w:val="normaltextrun"/>
          <w:rFonts w:ascii="Arial" w:hAnsi="Arial" w:cs="Arial"/>
          <w:color w:val="FF0000"/>
        </w:rPr>
        <w:t> </w:t>
      </w:r>
      <w:r>
        <w:rPr>
          <w:rStyle w:val="normaltextrun"/>
          <w:rFonts w:ascii="Arial" w:hAnsi="Arial" w:cs="Arial"/>
          <w:color w:val="000000"/>
        </w:rPr>
        <w:t>(Accessed: 21st November 2020).</w:t>
      </w:r>
      <w:r>
        <w:rPr>
          <w:rStyle w:val="normaltextrun"/>
          <w:rFonts w:ascii="Arial" w:hAnsi="Arial" w:cs="Arial"/>
          <w:i/>
          <w:iCs/>
          <w:color w:val="000000"/>
        </w:rPr>
        <w:t> </w:t>
      </w:r>
      <w:r>
        <w:rPr>
          <w:rStyle w:val="eop"/>
          <w:rFonts w:ascii="Arial" w:hAnsi="Arial" w:cs="Arial"/>
          <w:color w:val="000000"/>
        </w:rPr>
        <w:t> </w:t>
      </w:r>
    </w:p>
    <w:p w14:paraId="0E1AF2BC" w14:textId="77777777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0A7A3C7D" w14:textId="3ADEC474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proofErr w:type="spellStart"/>
      <w:r>
        <w:rPr>
          <w:rStyle w:val="normaltextrun"/>
          <w:rFonts w:ascii="Arial" w:hAnsi="Arial" w:cs="Arial"/>
          <w:color w:val="000000"/>
        </w:rPr>
        <w:t>Nazurty</w:t>
      </w:r>
      <w:proofErr w:type="spellEnd"/>
      <w:r>
        <w:rPr>
          <w:rStyle w:val="normaltextrun"/>
          <w:rFonts w:ascii="Arial" w:hAnsi="Arial" w:cs="Arial"/>
          <w:color w:val="000000"/>
        </w:rPr>
        <w:t>, R. et al. (2019) ‘Learning Strategies in Reading: The Case of Indonesian Language Education Student Teachers’, </w:t>
      </w:r>
      <w:r>
        <w:rPr>
          <w:rStyle w:val="normaltextrun"/>
          <w:rFonts w:ascii="Arial" w:hAnsi="Arial" w:cs="Arial"/>
          <w:i/>
          <w:iCs/>
          <w:color w:val="000000"/>
        </w:rPr>
        <w:t>Universal Journal of Educational Research</w:t>
      </w:r>
      <w:r>
        <w:rPr>
          <w:rStyle w:val="normaltextrun"/>
          <w:rFonts w:ascii="Arial" w:hAnsi="Arial" w:cs="Arial"/>
          <w:color w:val="000000"/>
        </w:rPr>
        <w:t>, 7(11), pp. 2536-2543. DOI: 10.13189/ujer.2019.071133.</w:t>
      </w:r>
      <w:r>
        <w:rPr>
          <w:rStyle w:val="eop"/>
          <w:rFonts w:ascii="Arial" w:hAnsi="Arial" w:cs="Arial"/>
          <w:color w:val="000000"/>
        </w:rPr>
        <w:t> </w:t>
      </w:r>
    </w:p>
    <w:p w14:paraId="0F236BC9" w14:textId="77777777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0E6F369E" w14:textId="5CEAC919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proofErr w:type="spellStart"/>
      <w:r>
        <w:rPr>
          <w:rStyle w:val="normaltextrun"/>
          <w:rFonts w:ascii="Arial" w:hAnsi="Arial" w:cs="Arial"/>
          <w:color w:val="000000"/>
        </w:rPr>
        <w:t>Neaum</w:t>
      </w:r>
      <w:proofErr w:type="spellEnd"/>
      <w:r>
        <w:rPr>
          <w:rStyle w:val="normaltextrun"/>
          <w:rFonts w:ascii="Arial" w:hAnsi="Arial" w:cs="Arial"/>
          <w:color w:val="000000"/>
        </w:rPr>
        <w:t>, S. (2012) </w:t>
      </w:r>
      <w:r>
        <w:rPr>
          <w:rStyle w:val="normaltextrun"/>
          <w:rFonts w:ascii="Arial" w:hAnsi="Arial" w:cs="Arial"/>
          <w:i/>
          <w:iCs/>
          <w:color w:val="000000"/>
        </w:rPr>
        <w:t>Language and literacy for the early years. </w:t>
      </w:r>
      <w:r>
        <w:rPr>
          <w:rStyle w:val="normaltextrun"/>
          <w:rFonts w:ascii="Arial" w:hAnsi="Arial" w:cs="Arial"/>
          <w:color w:val="000000"/>
        </w:rPr>
        <w:t>London: Sage Publications Ltd.</w:t>
      </w:r>
      <w:r>
        <w:rPr>
          <w:rStyle w:val="eop"/>
          <w:rFonts w:ascii="Arial" w:hAnsi="Arial" w:cs="Arial"/>
          <w:color w:val="000000"/>
        </w:rPr>
        <w:t> </w:t>
      </w:r>
    </w:p>
    <w:p w14:paraId="36319E12" w14:textId="77777777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5B8F0F82" w14:textId="2889F826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normaltextrun"/>
          <w:rFonts w:ascii="Arial" w:hAnsi="Arial" w:cs="Arial"/>
          <w:color w:val="000000"/>
        </w:rPr>
        <w:t>Puffin Books (2017) </w:t>
      </w:r>
      <w:r>
        <w:rPr>
          <w:rStyle w:val="normaltextrun"/>
          <w:rFonts w:ascii="Arial" w:hAnsi="Arial" w:cs="Arial"/>
          <w:i/>
          <w:iCs/>
          <w:color w:val="000000"/>
        </w:rPr>
        <w:t>Michael Rosen’s Top Tips for Performing Poems and Stories. </w:t>
      </w:r>
      <w:r>
        <w:rPr>
          <w:rStyle w:val="normaltextrun"/>
          <w:rFonts w:ascii="Arial" w:hAnsi="Arial" w:cs="Arial"/>
          <w:color w:val="000000"/>
        </w:rPr>
        <w:t>Available at: </w:t>
      </w:r>
      <w:hyperlink r:id="rId18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https://www.youtube.com/watch?v=RvV23xoZRkI</w:t>
        </w:r>
      </w:hyperlink>
      <w:r>
        <w:rPr>
          <w:rStyle w:val="normaltextrun"/>
          <w:rFonts w:ascii="Arial" w:hAnsi="Arial" w:cs="Arial"/>
          <w:color w:val="000000"/>
        </w:rPr>
        <w:t> (Accessed: 6th November 2020).</w:t>
      </w:r>
      <w:r>
        <w:rPr>
          <w:rStyle w:val="eop"/>
          <w:rFonts w:ascii="Arial" w:hAnsi="Arial" w:cs="Arial"/>
          <w:color w:val="000000"/>
        </w:rPr>
        <w:t> </w:t>
      </w:r>
    </w:p>
    <w:p w14:paraId="50019AF4" w14:textId="77777777" w:rsidR="00B14DCE" w:rsidRPr="000D2A15" w:rsidRDefault="00B14DCE" w:rsidP="00B14D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1A52CC57" w14:textId="4723CE39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 w:rsidRPr="000D2A15">
        <w:rPr>
          <w:rStyle w:val="normaltextrun"/>
          <w:rFonts w:ascii="Arial" w:hAnsi="Arial" w:cs="Arial"/>
        </w:rPr>
        <w:t>Read, K., Macauley, M. and </w:t>
      </w:r>
      <w:proofErr w:type="spellStart"/>
      <w:r w:rsidRPr="000D2A15">
        <w:rPr>
          <w:rStyle w:val="normaltextrun"/>
          <w:rFonts w:ascii="Arial" w:hAnsi="Arial" w:cs="Arial"/>
        </w:rPr>
        <w:t>Furay</w:t>
      </w:r>
      <w:proofErr w:type="spellEnd"/>
      <w:r w:rsidRPr="000D2A15">
        <w:rPr>
          <w:rStyle w:val="normaltextrun"/>
          <w:rFonts w:ascii="Arial" w:hAnsi="Arial" w:cs="Arial"/>
        </w:rPr>
        <w:t>, E. (2014) ‘The Seuss Boost</w:t>
      </w:r>
      <w:r>
        <w:rPr>
          <w:rStyle w:val="normaltextrun"/>
          <w:rFonts w:ascii="Arial" w:hAnsi="Arial" w:cs="Arial"/>
          <w:color w:val="000000"/>
        </w:rPr>
        <w:t>: Rhyme Helps Children Retain Words </w:t>
      </w:r>
      <w:r w:rsidR="000D2A15">
        <w:rPr>
          <w:rStyle w:val="normaltextrun"/>
          <w:rFonts w:ascii="Arial" w:hAnsi="Arial" w:cs="Arial"/>
          <w:color w:val="000000"/>
        </w:rPr>
        <w:t>f</w:t>
      </w:r>
      <w:r>
        <w:rPr>
          <w:rStyle w:val="normaltextrun"/>
          <w:rFonts w:ascii="Arial" w:hAnsi="Arial" w:cs="Arial"/>
          <w:color w:val="000000"/>
        </w:rPr>
        <w:t>rom Shared Storybook Reading’, </w:t>
      </w:r>
      <w:r>
        <w:rPr>
          <w:rStyle w:val="normaltextrun"/>
          <w:rFonts w:ascii="Arial" w:hAnsi="Arial" w:cs="Arial"/>
          <w:i/>
          <w:iCs/>
          <w:color w:val="000000"/>
        </w:rPr>
        <w:t>First Language,</w:t>
      </w:r>
      <w:r>
        <w:rPr>
          <w:rStyle w:val="normaltextrun"/>
          <w:rFonts w:ascii="Arial" w:hAnsi="Arial" w:cs="Arial"/>
          <w:color w:val="000000"/>
        </w:rPr>
        <w:t> 34(4),</w:t>
      </w:r>
      <w:r w:rsidR="000D2A15">
        <w:rPr>
          <w:rStyle w:val="normaltextrun"/>
          <w:rFonts w:ascii="Arial" w:hAnsi="Arial" w:cs="Arial"/>
          <w:color w:val="000000"/>
        </w:rPr>
        <w:t xml:space="preserve"> </w:t>
      </w:r>
      <w:r>
        <w:rPr>
          <w:rStyle w:val="normaltextrun"/>
          <w:rFonts w:ascii="Arial" w:hAnsi="Arial" w:cs="Arial"/>
          <w:color w:val="000000"/>
        </w:rPr>
        <w:t>pp. 354-371.  </w:t>
      </w:r>
      <w:hyperlink r:id="rId19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https://doi.org/10.1177/0142723714544410</w:t>
        </w:r>
      </w:hyperlink>
      <w:r>
        <w:rPr>
          <w:rStyle w:val="normaltextrun"/>
          <w:rFonts w:ascii="Arial" w:hAnsi="Arial" w:cs="Arial"/>
          <w:color w:val="000000"/>
        </w:rPr>
        <w:t>.</w:t>
      </w:r>
      <w:r>
        <w:rPr>
          <w:rStyle w:val="eop"/>
          <w:rFonts w:ascii="Arial" w:hAnsi="Arial" w:cs="Arial"/>
          <w:color w:val="000000"/>
        </w:rPr>
        <w:t> </w:t>
      </w:r>
    </w:p>
    <w:p w14:paraId="3621DF1C" w14:textId="77777777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58C0B49A" w14:textId="77777777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</w:rPr>
      </w:pPr>
      <w:r>
        <w:rPr>
          <w:rStyle w:val="normaltextrun"/>
          <w:rFonts w:ascii="Arial" w:hAnsi="Arial" w:cs="Arial"/>
          <w:color w:val="000000"/>
        </w:rPr>
        <w:t>Rodger, R. (2012) </w:t>
      </w:r>
      <w:r>
        <w:rPr>
          <w:rStyle w:val="normaltextrun"/>
          <w:rFonts w:ascii="Arial" w:hAnsi="Arial" w:cs="Arial"/>
          <w:i/>
          <w:iCs/>
          <w:color w:val="000000"/>
        </w:rPr>
        <w:t>Planning an Appropriate Curriculum in the Early Years: A Guide for Early Years Practitioner and Leaders, Students and Parents. </w:t>
      </w:r>
      <w:r>
        <w:rPr>
          <w:rStyle w:val="normaltextrun"/>
          <w:rFonts w:ascii="Arial" w:hAnsi="Arial" w:cs="Arial"/>
          <w:color w:val="000000"/>
        </w:rPr>
        <w:t>(3rd Edition) London: Routledge.</w:t>
      </w:r>
    </w:p>
    <w:p w14:paraId="45E4C2FD" w14:textId="4C78FE4D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 </w:t>
      </w:r>
      <w:r>
        <w:rPr>
          <w:rStyle w:val="eop"/>
          <w:rFonts w:ascii="Arial" w:hAnsi="Arial" w:cs="Arial"/>
          <w:color w:val="000000"/>
        </w:rPr>
        <w:t> </w:t>
      </w:r>
    </w:p>
    <w:p w14:paraId="6D845346" w14:textId="7D4C48CF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normaltextrun"/>
          <w:rFonts w:ascii="Arial" w:hAnsi="Arial" w:cs="Arial"/>
          <w:color w:val="000000"/>
        </w:rPr>
        <w:t>Rose, E. (2016) </w:t>
      </w:r>
      <w:proofErr w:type="spellStart"/>
      <w:r>
        <w:rPr>
          <w:rStyle w:val="normaltextrun"/>
          <w:rFonts w:ascii="Arial" w:hAnsi="Arial" w:cs="Arial"/>
          <w:i/>
          <w:iCs/>
          <w:color w:val="000000"/>
        </w:rPr>
        <w:t>Lowenfeld’s</w:t>
      </w:r>
      <w:proofErr w:type="spellEnd"/>
      <w:r>
        <w:rPr>
          <w:rStyle w:val="normaltextrun"/>
          <w:rFonts w:ascii="Arial" w:hAnsi="Arial" w:cs="Arial"/>
          <w:i/>
          <w:iCs/>
          <w:color w:val="000000"/>
        </w:rPr>
        <w:t> 5 stages</w:t>
      </w:r>
      <w:r>
        <w:rPr>
          <w:rStyle w:val="normaltextrun"/>
          <w:rFonts w:ascii="Arial" w:hAnsi="Arial" w:cs="Arial"/>
          <w:color w:val="000000"/>
        </w:rPr>
        <w:t>. Available at: </w:t>
      </w:r>
      <w:hyperlink r:id="rId20" w:history="1">
        <w:r w:rsidRPr="0017003B">
          <w:rPr>
            <w:rStyle w:val="Hyperlink"/>
            <w:rFonts w:ascii="Arial" w:hAnsi="Arial" w:cs="Arial"/>
          </w:rPr>
          <w:t>https://www.youtube.com/watch?v=</w:t>
        </w:r>
        <w:r w:rsidRPr="0017003B">
          <w:rPr>
            <w:rStyle w:val="Hyperlink"/>
            <w:rFonts w:ascii="Arial" w:hAnsi="Arial" w:cs="Arial"/>
          </w:rPr>
          <w:t>D</w:t>
        </w:r>
        <w:r w:rsidRPr="0017003B">
          <w:rPr>
            <w:rStyle w:val="Hyperlink"/>
            <w:rFonts w:ascii="Arial" w:hAnsi="Arial" w:cs="Arial"/>
          </w:rPr>
          <w:t>cLcUjRVY24</w:t>
        </w:r>
      </w:hyperlink>
      <w:r>
        <w:rPr>
          <w:rStyle w:val="normaltextrun"/>
          <w:rFonts w:ascii="Arial" w:hAnsi="Arial" w:cs="Arial"/>
          <w:color w:val="3A3A3A"/>
        </w:rPr>
        <w:t> </w:t>
      </w:r>
      <w:r>
        <w:rPr>
          <w:rStyle w:val="normaltextrun"/>
          <w:rFonts w:ascii="Arial" w:hAnsi="Arial" w:cs="Arial"/>
          <w:color w:val="000000"/>
        </w:rPr>
        <w:t>(Accessed: 18th November 2020).</w:t>
      </w:r>
      <w:r>
        <w:rPr>
          <w:rStyle w:val="eop"/>
          <w:rFonts w:ascii="Arial" w:hAnsi="Arial" w:cs="Arial"/>
          <w:color w:val="000000"/>
        </w:rPr>
        <w:t> </w:t>
      </w:r>
    </w:p>
    <w:p w14:paraId="18A50415" w14:textId="77777777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08DE2F5B" w14:textId="73DD4F9C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proofErr w:type="spellStart"/>
      <w:r>
        <w:rPr>
          <w:rStyle w:val="normaltextrun"/>
          <w:rFonts w:ascii="Arial" w:hAnsi="Arial" w:cs="Arial"/>
          <w:color w:val="000000"/>
        </w:rPr>
        <w:t>Talkfor</w:t>
      </w:r>
      <w:proofErr w:type="spellEnd"/>
      <w:r>
        <w:rPr>
          <w:rStyle w:val="normaltextrun"/>
          <w:rFonts w:ascii="Arial" w:hAnsi="Arial" w:cs="Arial"/>
          <w:color w:val="000000"/>
        </w:rPr>
        <w:t> Writing (2019) </w:t>
      </w:r>
      <w:r>
        <w:rPr>
          <w:rStyle w:val="normaltextrun"/>
          <w:rFonts w:ascii="Arial" w:hAnsi="Arial" w:cs="Arial"/>
          <w:i/>
          <w:iCs/>
          <w:color w:val="000000"/>
        </w:rPr>
        <w:t>What is Talk for Writing? Pie Corbett Explains. </w:t>
      </w:r>
      <w:r>
        <w:rPr>
          <w:rStyle w:val="normaltextrun"/>
          <w:rFonts w:ascii="Arial" w:hAnsi="Arial" w:cs="Arial"/>
          <w:color w:val="000000"/>
        </w:rPr>
        <w:t>Available at:  </w:t>
      </w:r>
      <w:hyperlink r:id="rId21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https://www.youtube.com/watch?v=VI2OWdZo6nY</w:t>
        </w:r>
      </w:hyperlink>
      <w:r>
        <w:rPr>
          <w:rStyle w:val="normaltextrun"/>
          <w:rFonts w:ascii="Arial" w:hAnsi="Arial" w:cs="Arial"/>
          <w:color w:val="000000"/>
        </w:rPr>
        <w:t> (Accessed: 25th October 2020).</w:t>
      </w:r>
      <w:r>
        <w:rPr>
          <w:rStyle w:val="eop"/>
          <w:rFonts w:ascii="Arial" w:hAnsi="Arial" w:cs="Arial"/>
          <w:color w:val="000000"/>
        </w:rPr>
        <w:t> </w:t>
      </w:r>
    </w:p>
    <w:p w14:paraId="0C440172" w14:textId="77777777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71181987" w14:textId="77777777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proofErr w:type="spellStart"/>
      <w:r>
        <w:rPr>
          <w:rStyle w:val="normaltextrun"/>
          <w:rFonts w:ascii="Arial" w:hAnsi="Arial" w:cs="Arial"/>
          <w:color w:val="000000"/>
        </w:rPr>
        <w:t>Talkfor</w:t>
      </w:r>
      <w:proofErr w:type="spellEnd"/>
      <w:r>
        <w:rPr>
          <w:rStyle w:val="normaltextrun"/>
          <w:rFonts w:ascii="Arial" w:hAnsi="Arial" w:cs="Arial"/>
          <w:color w:val="000000"/>
        </w:rPr>
        <w:t> Writing (2019a) </w:t>
      </w:r>
      <w:r>
        <w:rPr>
          <w:rStyle w:val="normaltextrun"/>
          <w:rFonts w:ascii="Arial" w:hAnsi="Arial" w:cs="Arial"/>
          <w:i/>
          <w:iCs/>
          <w:color w:val="000000"/>
        </w:rPr>
        <w:t>Talk for Writing Imitation phase. </w:t>
      </w:r>
      <w:r>
        <w:rPr>
          <w:rStyle w:val="normaltextrun"/>
          <w:rFonts w:ascii="Arial" w:hAnsi="Arial" w:cs="Arial"/>
          <w:color w:val="000000"/>
        </w:rPr>
        <w:t>Available at:</w:t>
      </w:r>
      <w:r>
        <w:rPr>
          <w:rStyle w:val="eop"/>
          <w:rFonts w:ascii="Arial" w:hAnsi="Arial" w:cs="Arial"/>
          <w:color w:val="000000"/>
        </w:rPr>
        <w:t> </w:t>
      </w:r>
      <w:hyperlink r:id="rId22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https://www.youtube.com/watch?v=p_NI2jD-5Es&amp;t=153s</w:t>
        </w:r>
      </w:hyperlink>
      <w:r>
        <w:rPr>
          <w:rStyle w:val="normaltextrun"/>
          <w:rFonts w:ascii="Arial" w:hAnsi="Arial" w:cs="Arial"/>
          <w:color w:val="000000"/>
        </w:rPr>
        <w:t> (Accessed: 25th October 2020).</w:t>
      </w:r>
      <w:r>
        <w:rPr>
          <w:rStyle w:val="eop"/>
          <w:rFonts w:ascii="Arial" w:hAnsi="Arial" w:cs="Arial"/>
          <w:color w:val="000000"/>
        </w:rPr>
        <w:t> </w:t>
      </w:r>
    </w:p>
    <w:p w14:paraId="766DA683" w14:textId="77777777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6B888ADB" w14:textId="7292333E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normaltextrun"/>
          <w:rFonts w:ascii="Arial" w:hAnsi="Arial" w:cs="Arial"/>
          <w:color w:val="000000"/>
        </w:rPr>
        <w:t>Tomkins, G., Campbell, R, and Green, D. (2012).</w:t>
      </w:r>
      <w:r>
        <w:rPr>
          <w:rStyle w:val="normaltextrun"/>
          <w:rFonts w:ascii="Arial" w:hAnsi="Arial" w:cs="Arial"/>
          <w:i/>
          <w:iCs/>
          <w:color w:val="000000"/>
        </w:rPr>
        <w:t> Literacy for the 21st Century: a balanced approach.</w:t>
      </w:r>
      <w:r>
        <w:rPr>
          <w:rStyle w:val="normaltextrun"/>
          <w:rFonts w:ascii="Arial" w:hAnsi="Arial" w:cs="Arial"/>
          <w:color w:val="000000"/>
        </w:rPr>
        <w:t> Frenchs Forest, NSW, Australia: Pearson Australia.</w:t>
      </w:r>
      <w:r>
        <w:rPr>
          <w:rStyle w:val="eop"/>
          <w:rFonts w:ascii="Arial" w:hAnsi="Arial" w:cs="Arial"/>
          <w:color w:val="000000"/>
        </w:rPr>
        <w:t> </w:t>
      </w:r>
    </w:p>
    <w:p w14:paraId="6DC4D013" w14:textId="77777777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7043D8EF" w14:textId="326F612A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proofErr w:type="spellStart"/>
      <w:r>
        <w:rPr>
          <w:rStyle w:val="normaltextrun"/>
          <w:rFonts w:ascii="Arial" w:hAnsi="Arial" w:cs="Arial"/>
          <w:color w:val="000000"/>
        </w:rPr>
        <w:t>Vigliocco</w:t>
      </w:r>
      <w:proofErr w:type="spellEnd"/>
      <w:r>
        <w:rPr>
          <w:rStyle w:val="normaltextrun"/>
          <w:rFonts w:ascii="Arial" w:hAnsi="Arial" w:cs="Arial"/>
          <w:color w:val="000000"/>
        </w:rPr>
        <w:t>, G, et al. (2019) </w:t>
      </w:r>
      <w:r>
        <w:rPr>
          <w:rStyle w:val="normaltextrun"/>
          <w:rFonts w:ascii="Arial" w:hAnsi="Arial" w:cs="Arial"/>
          <w:i/>
          <w:iCs/>
          <w:color w:val="000000"/>
        </w:rPr>
        <w:t>Onomatopoeia, Gestures, Actions and Words: How Do Caregivers Use Multimodal Cues in Their Communication to Children? </w:t>
      </w:r>
      <w:r>
        <w:rPr>
          <w:rStyle w:val="normaltextrun"/>
          <w:rFonts w:ascii="Arial" w:hAnsi="Arial" w:cs="Arial"/>
          <w:color w:val="000000"/>
        </w:rPr>
        <w:t>Available at: </w:t>
      </w:r>
      <w:hyperlink r:id="rId23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https://doi.org/10.31234/osf.io/v263k</w:t>
        </w:r>
      </w:hyperlink>
      <w:r>
        <w:rPr>
          <w:rStyle w:val="normaltextrun"/>
          <w:rFonts w:ascii="Arial" w:hAnsi="Arial" w:cs="Arial"/>
          <w:color w:val="000000"/>
        </w:rPr>
        <w:t>. (Accessed: 18th November 2020).</w:t>
      </w:r>
      <w:r>
        <w:rPr>
          <w:rStyle w:val="eop"/>
          <w:rFonts w:ascii="Arial" w:hAnsi="Arial" w:cs="Arial"/>
          <w:color w:val="000000"/>
        </w:rPr>
        <w:t> </w:t>
      </w:r>
    </w:p>
    <w:p w14:paraId="75EF5043" w14:textId="77777777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75E63FE2" w14:textId="15D71E1E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normaltextrun"/>
          <w:rFonts w:ascii="Arial" w:hAnsi="Arial" w:cs="Arial"/>
          <w:color w:val="000000"/>
        </w:rPr>
        <w:t>Walker books (2014) </w:t>
      </w:r>
      <w:r>
        <w:rPr>
          <w:rStyle w:val="normaltextrun"/>
          <w:rFonts w:ascii="Arial" w:hAnsi="Arial" w:cs="Arial"/>
          <w:i/>
          <w:iCs/>
          <w:color w:val="000000"/>
        </w:rPr>
        <w:t>Michael Rosen performs We're Going on a Bear Hunt. </w:t>
      </w:r>
      <w:r>
        <w:rPr>
          <w:rStyle w:val="normaltextrun"/>
          <w:rFonts w:ascii="Arial" w:hAnsi="Arial" w:cs="Arial"/>
          <w:color w:val="000000"/>
        </w:rPr>
        <w:t>Available at: </w:t>
      </w:r>
      <w:hyperlink r:id="rId24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https://www.youtube.com/watch?v=Iou5LV9dRP0</w:t>
        </w:r>
      </w:hyperlink>
      <w:r>
        <w:rPr>
          <w:rStyle w:val="normaltextrun"/>
          <w:rFonts w:ascii="Arial" w:hAnsi="Arial" w:cs="Arial"/>
          <w:color w:val="000000"/>
        </w:rPr>
        <w:t>  (Accessed: 9th November 2020).</w:t>
      </w:r>
      <w:r>
        <w:rPr>
          <w:rStyle w:val="eop"/>
          <w:rFonts w:ascii="Arial" w:hAnsi="Arial" w:cs="Arial"/>
          <w:color w:val="000000"/>
        </w:rPr>
        <w:t> </w:t>
      </w:r>
    </w:p>
    <w:p w14:paraId="78AB2389" w14:textId="77777777" w:rsidR="000D2A15" w:rsidRDefault="000D2A15" w:rsidP="00B14D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2F5496"/>
          <w:sz w:val="18"/>
          <w:szCs w:val="18"/>
        </w:rPr>
      </w:pPr>
    </w:p>
    <w:p w14:paraId="1D2DB312" w14:textId="78E70988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normaltextrun"/>
          <w:rFonts w:ascii="Arial" w:hAnsi="Arial" w:cs="Arial"/>
          <w:color w:val="000000"/>
        </w:rPr>
        <w:t>Welsh Government (2015) </w:t>
      </w:r>
      <w:r>
        <w:rPr>
          <w:rStyle w:val="normaltextrun"/>
          <w:rFonts w:ascii="Arial" w:hAnsi="Arial" w:cs="Arial"/>
          <w:i/>
          <w:iCs/>
          <w:color w:val="000000"/>
        </w:rPr>
        <w:t>Foundation Phase Framework. </w:t>
      </w:r>
      <w:r>
        <w:rPr>
          <w:rStyle w:val="normaltextrun"/>
          <w:rFonts w:ascii="Arial" w:hAnsi="Arial" w:cs="Arial"/>
          <w:color w:val="000000"/>
        </w:rPr>
        <w:t>Available at: </w:t>
      </w:r>
      <w:hyperlink r:id="rId25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https://gov.wales/sites/default/files/publications/2018-02/foundation-phase-framework-revised-2015.pdf</w:t>
        </w:r>
      </w:hyperlink>
      <w:r>
        <w:rPr>
          <w:rStyle w:val="normaltextrun"/>
          <w:rFonts w:ascii="Arial" w:hAnsi="Arial" w:cs="Arial"/>
          <w:color w:val="000000"/>
        </w:rPr>
        <w:t> (Accessed: 21st November 2020).</w:t>
      </w:r>
      <w:r>
        <w:rPr>
          <w:rStyle w:val="eop"/>
          <w:rFonts w:ascii="Arial" w:hAnsi="Arial" w:cs="Arial"/>
          <w:color w:val="000000"/>
        </w:rPr>
        <w:t> </w:t>
      </w:r>
    </w:p>
    <w:p w14:paraId="52659586" w14:textId="77777777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7D3B77A7" w14:textId="1E261DE8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normaltextrun"/>
          <w:rFonts w:ascii="Arial" w:hAnsi="Arial" w:cs="Arial"/>
          <w:color w:val="000000"/>
        </w:rPr>
        <w:t>Welsh Government (2015a) </w:t>
      </w:r>
      <w:r>
        <w:rPr>
          <w:rStyle w:val="normaltextrun"/>
          <w:rFonts w:ascii="Arial" w:hAnsi="Arial" w:cs="Arial"/>
          <w:i/>
          <w:iCs/>
          <w:color w:val="000000"/>
        </w:rPr>
        <w:t>The four purposes of the curriculum for Wales. </w:t>
      </w:r>
      <w:r>
        <w:rPr>
          <w:rStyle w:val="normaltextrun"/>
          <w:rFonts w:ascii="Arial" w:hAnsi="Arial" w:cs="Arial"/>
          <w:color w:val="000000"/>
        </w:rPr>
        <w:t>Available at: </w:t>
      </w:r>
      <w:hyperlink r:id="rId26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https://gov.wales/sites/default/files/publications/2018-03/the-four-purposes-of-the-curriculum-for-wales.pdf</w:t>
        </w:r>
      </w:hyperlink>
      <w:r>
        <w:rPr>
          <w:rStyle w:val="normaltextrun"/>
          <w:rFonts w:ascii="Arial" w:hAnsi="Arial" w:cs="Arial"/>
          <w:color w:val="000000"/>
        </w:rPr>
        <w:t> (Accessed: 8th November 2020). </w:t>
      </w:r>
      <w:r>
        <w:rPr>
          <w:rStyle w:val="eop"/>
          <w:rFonts w:ascii="Arial" w:hAnsi="Arial" w:cs="Arial"/>
          <w:color w:val="000000"/>
        </w:rPr>
        <w:t> </w:t>
      </w:r>
    </w:p>
    <w:p w14:paraId="37561A29" w14:textId="77777777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6D6A31C2" w14:textId="77777777" w:rsidR="00B14DCE" w:rsidRDefault="00B14DCE" w:rsidP="00B14D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Wilkinson, K. (2019) </w:t>
      </w:r>
      <w:r>
        <w:rPr>
          <w:rStyle w:val="normaltextrun"/>
          <w:rFonts w:ascii="Arial" w:hAnsi="Arial" w:cs="Arial"/>
          <w:i/>
          <w:iCs/>
          <w:color w:val="000000"/>
        </w:rPr>
        <w:t>What Makes a Good Storyteller? </w:t>
      </w:r>
      <w:r>
        <w:rPr>
          <w:rStyle w:val="normaltextrun"/>
          <w:rFonts w:ascii="Arial" w:hAnsi="Arial" w:cs="Arial"/>
          <w:color w:val="000000"/>
        </w:rPr>
        <w:t>Available at: </w:t>
      </w:r>
      <w:hyperlink r:id="rId27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https://www.booktrust.org.uk/news-and-features/features/2019/december/what-makes-a-good-storyteller/</w:t>
        </w:r>
      </w:hyperlink>
      <w:r>
        <w:rPr>
          <w:rStyle w:val="normaltextrun"/>
          <w:rFonts w:ascii="Arial" w:hAnsi="Arial" w:cs="Arial"/>
          <w:color w:val="000000"/>
        </w:rPr>
        <w:t> (Accessed: 15th November 2020).</w:t>
      </w:r>
      <w:r>
        <w:rPr>
          <w:rStyle w:val="eop"/>
          <w:rFonts w:ascii="Arial" w:hAnsi="Arial" w:cs="Arial"/>
          <w:color w:val="000000"/>
        </w:rPr>
        <w:t> </w:t>
      </w:r>
    </w:p>
    <w:sectPr w:rsidR="00B14DCE">
      <w:headerReference w:type="default" r:id="rId28"/>
      <w:footerReference w:type="defaul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D9AD1F" w14:textId="77777777" w:rsidR="007D3F60" w:rsidRDefault="007D3F60" w:rsidP="00B14DCE">
      <w:pPr>
        <w:spacing w:after="0" w:line="240" w:lineRule="auto"/>
      </w:pPr>
      <w:r>
        <w:separator/>
      </w:r>
    </w:p>
  </w:endnote>
  <w:endnote w:type="continuationSeparator" w:id="0">
    <w:p w14:paraId="365D075C" w14:textId="77777777" w:rsidR="007D3F60" w:rsidRDefault="007D3F60" w:rsidP="00B14D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1300816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26E7A5" w14:textId="6A32F8EF" w:rsidR="000D2A15" w:rsidRDefault="000D2A1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DCB4FFD" w14:textId="77777777" w:rsidR="000D2A15" w:rsidRDefault="000D2A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A46EB2" w14:textId="77777777" w:rsidR="007D3F60" w:rsidRDefault="007D3F60" w:rsidP="00B14DCE">
      <w:pPr>
        <w:spacing w:after="0" w:line="240" w:lineRule="auto"/>
      </w:pPr>
      <w:r>
        <w:separator/>
      </w:r>
    </w:p>
  </w:footnote>
  <w:footnote w:type="continuationSeparator" w:id="0">
    <w:p w14:paraId="59359D28" w14:textId="77777777" w:rsidR="007D3F60" w:rsidRDefault="007D3F60" w:rsidP="00B14D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937B3A" w14:textId="4C006430" w:rsidR="00B14DCE" w:rsidRDefault="000D2A15" w:rsidP="000D2A15">
    <w:pPr>
      <w:pStyle w:val="Header"/>
      <w:tabs>
        <w:tab w:val="clear" w:pos="4513"/>
      </w:tabs>
    </w:pPr>
    <w:r>
      <w:t>Module: EAEE5004</w:t>
    </w:r>
    <w:r>
      <w:tab/>
      <w:t>Student Number: 1905461</w:t>
    </w:r>
  </w:p>
  <w:p w14:paraId="18AD37A2" w14:textId="77777777" w:rsidR="00B14DCE" w:rsidRDefault="00B14DC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DCE"/>
    <w:rsid w:val="000D2A15"/>
    <w:rsid w:val="001A4DCE"/>
    <w:rsid w:val="007D3F60"/>
    <w:rsid w:val="00B14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F753C8"/>
  <w15:chartTrackingRefBased/>
  <w15:docId w15:val="{7BF35AF0-445D-4CB7-91BA-E0236AAE0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B14D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14DCE"/>
  </w:style>
  <w:style w:type="character" w:customStyle="1" w:styleId="eop">
    <w:name w:val="eop"/>
    <w:basedOn w:val="DefaultParagraphFont"/>
    <w:rsid w:val="00B14DCE"/>
  </w:style>
  <w:style w:type="character" w:customStyle="1" w:styleId="scxw100170248">
    <w:name w:val="scxw100170248"/>
    <w:basedOn w:val="DefaultParagraphFont"/>
    <w:rsid w:val="00B14DCE"/>
  </w:style>
  <w:style w:type="character" w:styleId="Hyperlink">
    <w:name w:val="Hyperlink"/>
    <w:basedOn w:val="DefaultParagraphFont"/>
    <w:uiPriority w:val="99"/>
    <w:unhideWhenUsed/>
    <w:rsid w:val="00B14DC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14DC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14D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4DCE"/>
  </w:style>
  <w:style w:type="paragraph" w:styleId="Footer">
    <w:name w:val="footer"/>
    <w:basedOn w:val="Normal"/>
    <w:link w:val="FooterChar"/>
    <w:uiPriority w:val="99"/>
    <w:unhideWhenUsed/>
    <w:rsid w:val="00B14D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4D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2801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4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2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7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3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0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7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77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9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05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5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1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9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94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5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7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7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0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8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4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45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5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6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7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2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8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2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3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oktrust.org.uk/book/w/were-going-on-a-bear-hunt/" TargetMode="External"/><Relationship Id="rId13" Type="http://schemas.openxmlformats.org/officeDocument/2006/relationships/hyperlink" Target="https://gov.wales/sites/default/files/publications/2018-03/successful-futures.pdf" TargetMode="External"/><Relationship Id="rId18" Type="http://schemas.openxmlformats.org/officeDocument/2006/relationships/hyperlink" Target="https://www.youtube.com/watch?v=RvV23xoZRkI" TargetMode="External"/><Relationship Id="rId26" Type="http://schemas.openxmlformats.org/officeDocument/2006/relationships/hyperlink" Target="https://gov.wales/sites/default/files/publications/2018-03/the-four-purposes-of-the-curriculum-for-wales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youtube.com/watch?v=VI2OWdZo6nY" TargetMode="External"/><Relationship Id="rId7" Type="http://schemas.openxmlformats.org/officeDocument/2006/relationships/hyperlink" Target="https://doi.org/10.5539/jel.v8n2p165" TargetMode="External"/><Relationship Id="rId12" Type="http://schemas.openxmlformats.org/officeDocument/2006/relationships/hyperlink" Target="https://doi.org/10.1007/978-3-030-17604-4_4" TargetMode="External"/><Relationship Id="rId17" Type="http://schemas.openxmlformats.org/officeDocument/2006/relationships/hyperlink" Target="https://makaton.org/TMC/About_Makaton/What_is_Makaton.aspx" TargetMode="External"/><Relationship Id="rId25" Type="http://schemas.openxmlformats.org/officeDocument/2006/relationships/hyperlink" Target="https://gov.wales/sites/default/files/publications/2018-02/foundation-phase-framework-revised-2015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oi.org/10.1016/j.ecresq.2019.12.009" TargetMode="External"/><Relationship Id="rId20" Type="http://schemas.openxmlformats.org/officeDocument/2006/relationships/hyperlink" Target="https://www.youtube.com/watch?v=DcLcUjRVY24" TargetMode="External"/><Relationship Id="rId29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dNk0UeJ6Y8Q" TargetMode="External"/><Relationship Id="rId11" Type="http://schemas.openxmlformats.org/officeDocument/2006/relationships/hyperlink" Target="http://www.davidcrystal.com/Files/BooksAndArticles/-3930.pdf" TargetMode="External"/><Relationship Id="rId24" Type="http://schemas.openxmlformats.org/officeDocument/2006/relationships/hyperlink" Target="https://www.youtube.com/watch?v=Iou5LV9dRP0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sciencedirect.com/science/journal/08852006/51/supp/C" TargetMode="External"/><Relationship Id="rId23" Type="http://schemas.openxmlformats.org/officeDocument/2006/relationships/hyperlink" Target="https://doi.org/10.31234/osf.io/v263k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doi.org/10.1016/j.linged.2018.08.005" TargetMode="External"/><Relationship Id="rId19" Type="http://schemas.openxmlformats.org/officeDocument/2006/relationships/hyperlink" Target="https://doi.org/10.1177%2F0142723714544410" TargetMode="External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www.sciencedirect.com/science/journal/08985898/48/supp/C" TargetMode="External"/><Relationship Id="rId14" Type="http://schemas.openxmlformats.org/officeDocument/2006/relationships/hyperlink" Target="https://www.sciencedirect.com/science/journal/08852006" TargetMode="External"/><Relationship Id="rId22" Type="http://schemas.openxmlformats.org/officeDocument/2006/relationships/hyperlink" Target="https://www.youtube.com/watch?v=p_NI2jD-5Es&amp;t=153s" TargetMode="External"/><Relationship Id="rId27" Type="http://schemas.openxmlformats.org/officeDocument/2006/relationships/hyperlink" Target="https://www.booktrust.org.uk/news-and-features/features/2019/december/what-makes-a-good-storyteller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1024</Words>
  <Characters>5841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anstice</dc:creator>
  <cp:keywords/>
  <dc:description/>
  <cp:lastModifiedBy>sara anstice</cp:lastModifiedBy>
  <cp:revision>1</cp:revision>
  <dcterms:created xsi:type="dcterms:W3CDTF">2020-11-28T11:31:00Z</dcterms:created>
  <dcterms:modified xsi:type="dcterms:W3CDTF">2020-11-28T11:45:00Z</dcterms:modified>
</cp:coreProperties>
</file>