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B2543" w14:textId="77777777" w:rsidR="005749A6" w:rsidRDefault="005749A6" w:rsidP="00600963">
      <w:pPr>
        <w:spacing w:line="360" w:lineRule="auto"/>
        <w:jc w:val="center"/>
        <w:rPr>
          <w:rFonts w:ascii="Times New Roman" w:eastAsia="Times New Roman" w:hAnsi="Times New Roman" w:cs="Times New Roman"/>
          <w:b/>
          <w:sz w:val="32"/>
          <w:szCs w:val="32"/>
        </w:rPr>
      </w:pPr>
    </w:p>
    <w:p w14:paraId="2B41648A" w14:textId="77777777" w:rsidR="00605053" w:rsidRDefault="00605053" w:rsidP="00600963">
      <w:pPr>
        <w:spacing w:line="360" w:lineRule="auto"/>
        <w:jc w:val="center"/>
        <w:rPr>
          <w:rFonts w:ascii="Times New Roman" w:eastAsia="Times New Roman" w:hAnsi="Times New Roman" w:cs="Times New Roman"/>
          <w:b/>
          <w:sz w:val="32"/>
          <w:szCs w:val="32"/>
        </w:rPr>
      </w:pPr>
    </w:p>
    <w:p w14:paraId="06BADCE0" w14:textId="77777777" w:rsidR="00605053" w:rsidRDefault="00605053" w:rsidP="00600963">
      <w:pPr>
        <w:spacing w:line="360" w:lineRule="auto"/>
        <w:jc w:val="center"/>
        <w:rPr>
          <w:rFonts w:ascii="Times New Roman" w:eastAsia="Times New Roman" w:hAnsi="Times New Roman" w:cs="Times New Roman"/>
          <w:b/>
          <w:sz w:val="32"/>
          <w:szCs w:val="32"/>
        </w:rPr>
      </w:pPr>
    </w:p>
    <w:p w14:paraId="49B82F94" w14:textId="77777777" w:rsidR="005749A6" w:rsidRDefault="005749A6" w:rsidP="00600963">
      <w:pPr>
        <w:spacing w:line="360" w:lineRule="auto"/>
        <w:jc w:val="center"/>
        <w:rPr>
          <w:rFonts w:ascii="Times New Roman" w:eastAsia="Times New Roman" w:hAnsi="Times New Roman" w:cs="Times New Roman"/>
          <w:b/>
          <w:sz w:val="32"/>
          <w:szCs w:val="32"/>
        </w:rPr>
      </w:pPr>
    </w:p>
    <w:p w14:paraId="3A060F11" w14:textId="77777777" w:rsidR="005749A6" w:rsidRDefault="005749A6" w:rsidP="00600963">
      <w:pPr>
        <w:spacing w:line="360" w:lineRule="auto"/>
        <w:jc w:val="center"/>
        <w:rPr>
          <w:rFonts w:ascii="Times New Roman" w:eastAsia="Times New Roman" w:hAnsi="Times New Roman" w:cs="Times New Roman"/>
          <w:b/>
          <w:sz w:val="32"/>
          <w:szCs w:val="32"/>
        </w:rPr>
      </w:pPr>
    </w:p>
    <w:p w14:paraId="157CD1E6" w14:textId="77777777" w:rsidR="005749A6" w:rsidRDefault="005749A6" w:rsidP="00600963">
      <w:pPr>
        <w:spacing w:line="360" w:lineRule="auto"/>
        <w:jc w:val="center"/>
        <w:rPr>
          <w:rFonts w:ascii="Times New Roman" w:eastAsia="Times New Roman" w:hAnsi="Times New Roman" w:cs="Times New Roman"/>
          <w:b/>
          <w:sz w:val="32"/>
          <w:szCs w:val="32"/>
        </w:rPr>
      </w:pPr>
    </w:p>
    <w:p w14:paraId="708D2C69" w14:textId="77777777" w:rsidR="005749A6" w:rsidRDefault="005749A6" w:rsidP="00600963">
      <w:pPr>
        <w:spacing w:line="360" w:lineRule="auto"/>
        <w:jc w:val="center"/>
        <w:rPr>
          <w:rFonts w:ascii="Times New Roman" w:eastAsia="Times New Roman" w:hAnsi="Times New Roman" w:cs="Times New Roman"/>
          <w:b/>
          <w:sz w:val="32"/>
          <w:szCs w:val="32"/>
        </w:rPr>
      </w:pPr>
    </w:p>
    <w:p w14:paraId="72ED9966" w14:textId="77777777" w:rsidR="005749A6" w:rsidRDefault="005749A6" w:rsidP="00600963">
      <w:pPr>
        <w:spacing w:line="360" w:lineRule="auto"/>
        <w:jc w:val="center"/>
        <w:rPr>
          <w:rFonts w:ascii="Times New Roman" w:eastAsia="Times New Roman" w:hAnsi="Times New Roman" w:cs="Times New Roman"/>
          <w:b/>
          <w:sz w:val="32"/>
          <w:szCs w:val="32"/>
        </w:rPr>
      </w:pPr>
    </w:p>
    <w:p w14:paraId="2022D591" w14:textId="77777777" w:rsidR="005749A6" w:rsidRDefault="005749A6" w:rsidP="00600963">
      <w:pPr>
        <w:spacing w:line="360" w:lineRule="auto"/>
        <w:jc w:val="center"/>
        <w:rPr>
          <w:rFonts w:ascii="Times New Roman" w:eastAsia="Times New Roman" w:hAnsi="Times New Roman" w:cs="Times New Roman"/>
          <w:b/>
          <w:sz w:val="32"/>
          <w:szCs w:val="32"/>
        </w:rPr>
      </w:pPr>
    </w:p>
    <w:p w14:paraId="7367EAB9" w14:textId="77777777" w:rsidR="005749A6" w:rsidRDefault="005749A6" w:rsidP="00600963">
      <w:pPr>
        <w:spacing w:line="360" w:lineRule="auto"/>
        <w:jc w:val="center"/>
        <w:rPr>
          <w:rFonts w:ascii="Times New Roman" w:eastAsia="Times New Roman" w:hAnsi="Times New Roman" w:cs="Times New Roman"/>
          <w:b/>
          <w:sz w:val="32"/>
          <w:szCs w:val="32"/>
        </w:rPr>
      </w:pPr>
    </w:p>
    <w:p w14:paraId="74A4AD3F" w14:textId="77777777" w:rsidR="005749A6" w:rsidRDefault="00000000" w:rsidP="0060096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LCMB7000</w:t>
      </w:r>
    </w:p>
    <w:p w14:paraId="6C973568" w14:textId="77777777" w:rsidR="005749A6" w:rsidRDefault="00000000" w:rsidP="0060096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Human Resource Management</w:t>
      </w:r>
    </w:p>
    <w:p w14:paraId="7FE8C9CB"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0" w:name="_2xvt3ifcw6a0" w:colFirst="0" w:colLast="0"/>
      <w:bookmarkEnd w:id="0"/>
      <w:r>
        <w:br w:type="page"/>
      </w:r>
    </w:p>
    <w:bookmarkStart w:id="1" w:name="_6juoeg247r0t" w:colFirst="0" w:colLast="0" w:displacedByCustomXml="next"/>
    <w:bookmarkEnd w:id="1" w:displacedByCustomXml="next"/>
    <w:sdt>
      <w:sdtPr>
        <w:rPr>
          <w:rFonts w:ascii="Arial" w:eastAsia="Arial" w:hAnsi="Arial" w:cs="Arial"/>
          <w:color w:val="auto"/>
          <w:sz w:val="22"/>
          <w:szCs w:val="22"/>
          <w:lang w:val="en" w:eastAsia="en-IN"/>
        </w:rPr>
        <w:id w:val="-442076197"/>
        <w:docPartObj>
          <w:docPartGallery w:val="Table of Contents"/>
          <w:docPartUnique/>
        </w:docPartObj>
      </w:sdtPr>
      <w:sdtEndPr>
        <w:rPr>
          <w:b/>
          <w:bCs/>
          <w:noProof/>
        </w:rPr>
      </w:sdtEndPr>
      <w:sdtContent>
        <w:p w14:paraId="20926A0F" w14:textId="77777777" w:rsidR="00605053" w:rsidRPr="00600963" w:rsidRDefault="00000000" w:rsidP="00600963">
          <w:pPr>
            <w:pStyle w:val="TOCHeading"/>
            <w:spacing w:line="360" w:lineRule="auto"/>
            <w:jc w:val="both"/>
            <w:rPr>
              <w:rFonts w:ascii="Times New Roman" w:hAnsi="Times New Roman" w:cs="Times New Roman"/>
              <w:b/>
              <w:bCs/>
              <w:color w:val="auto"/>
              <w:sz w:val="24"/>
              <w:szCs w:val="24"/>
            </w:rPr>
          </w:pPr>
          <w:r w:rsidRPr="00600963">
            <w:rPr>
              <w:rFonts w:ascii="Times New Roman" w:hAnsi="Times New Roman" w:cs="Times New Roman"/>
              <w:b/>
              <w:bCs/>
              <w:color w:val="auto"/>
              <w:sz w:val="24"/>
              <w:szCs w:val="24"/>
            </w:rPr>
            <w:t>Table of Contents</w:t>
          </w:r>
        </w:p>
        <w:p w14:paraId="2BFB77EC" w14:textId="77777777" w:rsidR="00605053" w:rsidRPr="00600963" w:rsidRDefault="00000000" w:rsidP="00600963">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600963">
            <w:rPr>
              <w:rFonts w:ascii="Times New Roman" w:hAnsi="Times New Roman" w:cs="Times New Roman"/>
              <w:sz w:val="24"/>
              <w:szCs w:val="24"/>
            </w:rPr>
            <w:fldChar w:fldCharType="begin"/>
          </w:r>
          <w:r w:rsidRPr="00600963">
            <w:rPr>
              <w:rFonts w:ascii="Times New Roman" w:hAnsi="Times New Roman" w:cs="Times New Roman"/>
              <w:sz w:val="24"/>
              <w:szCs w:val="24"/>
            </w:rPr>
            <w:instrText xml:space="preserve"> TOC \o "1-3" \h \z \u </w:instrText>
          </w:r>
          <w:r w:rsidRPr="00600963">
            <w:rPr>
              <w:rFonts w:ascii="Times New Roman" w:hAnsi="Times New Roman" w:cs="Times New Roman"/>
              <w:sz w:val="24"/>
              <w:szCs w:val="24"/>
            </w:rPr>
            <w:fldChar w:fldCharType="separate"/>
          </w:r>
          <w:hyperlink w:anchor="_Toc143210125" w:history="1">
            <w:r w:rsidRPr="00600963">
              <w:rPr>
                <w:rStyle w:val="Hyperlink"/>
                <w:rFonts w:ascii="Times New Roman" w:eastAsia="Times New Roman" w:hAnsi="Times New Roman" w:cs="Times New Roman"/>
                <w:noProof/>
                <w:color w:val="auto"/>
                <w:sz w:val="24"/>
                <w:szCs w:val="24"/>
              </w:rPr>
              <w:t>Introduction</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_Toc143210125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2</w:t>
            </w:r>
            <w:r w:rsidRPr="00600963">
              <w:rPr>
                <w:rFonts w:ascii="Times New Roman" w:hAnsi="Times New Roman" w:cs="Times New Roman"/>
                <w:noProof/>
                <w:webHidden/>
                <w:sz w:val="24"/>
                <w:szCs w:val="24"/>
              </w:rPr>
              <w:fldChar w:fldCharType="end"/>
            </w:r>
          </w:hyperlink>
        </w:p>
        <w:p w14:paraId="69347498" w14:textId="77777777" w:rsidR="00605053" w:rsidRPr="00600963" w:rsidRDefault="00000000" w:rsidP="00600963">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6" w:history="1">
            <w:r w:rsidRPr="00600963">
              <w:rPr>
                <w:rStyle w:val="Hyperlink"/>
                <w:rFonts w:ascii="Times New Roman" w:eastAsia="Times New Roman" w:hAnsi="Times New Roman" w:cs="Times New Roman"/>
                <w:noProof/>
                <w:color w:val="auto"/>
                <w:sz w:val="24"/>
                <w:szCs w:val="24"/>
              </w:rPr>
              <w:t>The current state of the labour market in the UK</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_Toc143210126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2</w:t>
            </w:r>
            <w:r w:rsidRPr="00600963">
              <w:rPr>
                <w:rFonts w:ascii="Times New Roman" w:hAnsi="Times New Roman" w:cs="Times New Roman"/>
                <w:noProof/>
                <w:webHidden/>
                <w:sz w:val="24"/>
                <w:szCs w:val="24"/>
              </w:rPr>
              <w:fldChar w:fldCharType="end"/>
            </w:r>
          </w:hyperlink>
        </w:p>
        <w:p w14:paraId="1C69DF96" w14:textId="77777777" w:rsidR="00605053" w:rsidRPr="00600963" w:rsidRDefault="00000000" w:rsidP="00600963">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7" w:history="1">
            <w:r w:rsidRPr="00600963">
              <w:rPr>
                <w:rStyle w:val="Hyperlink"/>
                <w:rFonts w:ascii="Times New Roman" w:eastAsia="Times New Roman" w:hAnsi="Times New Roman" w:cs="Times New Roman"/>
                <w:noProof/>
                <w:color w:val="auto"/>
                <w:sz w:val="24"/>
                <w:szCs w:val="24"/>
              </w:rPr>
              <w:t>The emerging changes in Human Resourcing Strategies in the post-Covid</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_Toc143210127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4</w:t>
            </w:r>
            <w:r w:rsidRPr="00600963">
              <w:rPr>
                <w:rFonts w:ascii="Times New Roman" w:hAnsi="Times New Roman" w:cs="Times New Roman"/>
                <w:noProof/>
                <w:webHidden/>
                <w:sz w:val="24"/>
                <w:szCs w:val="24"/>
              </w:rPr>
              <w:fldChar w:fldCharType="end"/>
            </w:r>
          </w:hyperlink>
        </w:p>
        <w:p w14:paraId="24B33457" w14:textId="77777777" w:rsidR="00605053" w:rsidRPr="00600963" w:rsidRDefault="00000000" w:rsidP="00600963">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8" w:history="1">
            <w:r w:rsidRPr="00600963">
              <w:rPr>
                <w:rStyle w:val="Hyperlink"/>
                <w:rFonts w:ascii="Times New Roman" w:eastAsia="Times New Roman" w:hAnsi="Times New Roman" w:cs="Times New Roman"/>
                <w:noProof/>
                <w:color w:val="auto"/>
                <w:sz w:val="24"/>
                <w:szCs w:val="24"/>
              </w:rPr>
              <w:t>The emerging changes in Human Resourcing Strategies in the post-Brexit external environment</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_Toc143210128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7</w:t>
            </w:r>
            <w:r w:rsidRPr="00600963">
              <w:rPr>
                <w:rFonts w:ascii="Times New Roman" w:hAnsi="Times New Roman" w:cs="Times New Roman"/>
                <w:noProof/>
                <w:webHidden/>
                <w:sz w:val="24"/>
                <w:szCs w:val="24"/>
              </w:rPr>
              <w:fldChar w:fldCharType="end"/>
            </w:r>
          </w:hyperlink>
        </w:p>
        <w:p w14:paraId="09EBC5F3" w14:textId="77777777" w:rsidR="00605053" w:rsidRPr="00600963" w:rsidRDefault="00000000" w:rsidP="00600963">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9" w:history="1">
            <w:r w:rsidRPr="00600963">
              <w:rPr>
                <w:rStyle w:val="Hyperlink"/>
                <w:rFonts w:ascii="Times New Roman" w:eastAsia="Times New Roman" w:hAnsi="Times New Roman" w:cs="Times New Roman"/>
                <w:noProof/>
                <w:color w:val="auto"/>
                <w:sz w:val="24"/>
                <w:szCs w:val="24"/>
              </w:rPr>
              <w:t>Conclusion</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_Toc143210129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9</w:t>
            </w:r>
            <w:r w:rsidRPr="00600963">
              <w:rPr>
                <w:rFonts w:ascii="Times New Roman" w:hAnsi="Times New Roman" w:cs="Times New Roman"/>
                <w:noProof/>
                <w:webHidden/>
                <w:sz w:val="24"/>
                <w:szCs w:val="24"/>
              </w:rPr>
              <w:fldChar w:fldCharType="end"/>
            </w:r>
          </w:hyperlink>
        </w:p>
        <w:p w14:paraId="3515B4AC" w14:textId="77777777" w:rsidR="00605053" w:rsidRPr="00600963" w:rsidRDefault="00000000" w:rsidP="00600963">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30" w:history="1">
            <w:r w:rsidRPr="00600963">
              <w:rPr>
                <w:rStyle w:val="Hyperlink"/>
                <w:rFonts w:ascii="Times New Roman" w:eastAsia="Times New Roman" w:hAnsi="Times New Roman" w:cs="Times New Roman"/>
                <w:noProof/>
                <w:color w:val="auto"/>
                <w:sz w:val="24"/>
                <w:szCs w:val="24"/>
              </w:rPr>
              <w:t>Reference list</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_Toc143210130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10</w:t>
            </w:r>
            <w:r w:rsidRPr="00600963">
              <w:rPr>
                <w:rFonts w:ascii="Times New Roman" w:hAnsi="Times New Roman" w:cs="Times New Roman"/>
                <w:noProof/>
                <w:webHidden/>
                <w:sz w:val="24"/>
                <w:szCs w:val="24"/>
              </w:rPr>
              <w:fldChar w:fldCharType="end"/>
            </w:r>
          </w:hyperlink>
        </w:p>
        <w:p w14:paraId="1CC10992" w14:textId="77777777" w:rsidR="00605053" w:rsidRDefault="00000000" w:rsidP="00600963">
          <w:pPr>
            <w:spacing w:line="360" w:lineRule="auto"/>
            <w:jc w:val="both"/>
          </w:pPr>
          <w:r w:rsidRPr="00600963">
            <w:rPr>
              <w:rFonts w:ascii="Times New Roman" w:hAnsi="Times New Roman" w:cs="Times New Roman"/>
              <w:noProof/>
              <w:sz w:val="24"/>
              <w:szCs w:val="24"/>
            </w:rPr>
            <w:fldChar w:fldCharType="end"/>
          </w:r>
        </w:p>
      </w:sdtContent>
    </w:sdt>
    <w:p w14:paraId="3498ECC6" w14:textId="77777777" w:rsidR="00605053" w:rsidRDefault="00605053" w:rsidP="00600963">
      <w:pPr>
        <w:spacing w:line="360" w:lineRule="auto"/>
      </w:pPr>
    </w:p>
    <w:p w14:paraId="69C02D63" w14:textId="77777777" w:rsidR="00605053" w:rsidRDefault="00000000" w:rsidP="00600963">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C9A176B"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2" w:name="_Toc143210125"/>
      <w:r>
        <w:rPr>
          <w:rFonts w:ascii="Times New Roman" w:eastAsia="Times New Roman" w:hAnsi="Times New Roman" w:cs="Times New Roman"/>
          <w:b/>
          <w:sz w:val="28"/>
          <w:szCs w:val="28"/>
        </w:rPr>
        <w:t>Introduction</w:t>
      </w:r>
      <w:bookmarkEnd w:id="2"/>
      <w:r>
        <w:rPr>
          <w:rFonts w:ascii="Times New Roman" w:eastAsia="Times New Roman" w:hAnsi="Times New Roman" w:cs="Times New Roman"/>
          <w:b/>
          <w:sz w:val="28"/>
          <w:szCs w:val="28"/>
        </w:rPr>
        <w:t xml:space="preserve"> </w:t>
      </w:r>
    </w:p>
    <w:p w14:paraId="0E811F4B"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proper reflection of employee supply and demand within the labour market is of utmost importance for the effective operation of any economy. To comprehend the level of living, employment outlook, and demographic patterns within a nation's workforce, it is essential to get insight into the stability of the British labour market. Preceding 2021, the United Kingdom saw elevated levels of employment, but the advent of the COVID-19 pandemic substantially influenced the nation's economy. Due to the prevailing economic instability and the enforcement of confinement measures and social isolation protocols, unemployment rates and reduced working hours have resulted in a consequential rise. The rise in the unemployment rate may be attributed to the slow state of the economy, with the potential for its decline contingent upon the speed at which firms return to their regular operations, and consumers restore their faith in the economy.</w:t>
      </w:r>
    </w:p>
    <w:p w14:paraId="0A9A354D"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3" w:name="_36qxq6iirxc1" w:colFirst="0" w:colLast="0"/>
      <w:bookmarkStart w:id="4" w:name="_Toc143210126"/>
      <w:bookmarkEnd w:id="3"/>
      <w:r>
        <w:rPr>
          <w:rFonts w:ascii="Times New Roman" w:eastAsia="Times New Roman" w:hAnsi="Times New Roman" w:cs="Times New Roman"/>
          <w:b/>
          <w:sz w:val="28"/>
          <w:szCs w:val="28"/>
        </w:rPr>
        <w:t>The current state of the labour market in the UK</w:t>
      </w:r>
      <w:bookmarkEnd w:id="4"/>
    </w:p>
    <w:p w14:paraId="58FB6F29" w14:textId="77777777" w:rsidR="005749A6" w:rsidRDefault="00000000" w:rsidP="00600963">
      <w:pPr>
        <w:spacing w:before="240" w:after="240" w:line="360" w:lineRule="auto"/>
        <w:jc w:val="both"/>
        <w:rPr>
          <w:rFonts w:ascii="Times New Roman" w:eastAsia="Times New Roman" w:hAnsi="Times New Roman" w:cs="Times New Roman"/>
          <w:color w:val="252525"/>
          <w:sz w:val="24"/>
          <w:szCs w:val="24"/>
        </w:rPr>
      </w:pPr>
      <w:r>
        <w:rPr>
          <w:rFonts w:ascii="Times New Roman" w:eastAsia="Times New Roman" w:hAnsi="Times New Roman" w:cs="Times New Roman"/>
          <w:color w:val="252525"/>
          <w:sz w:val="24"/>
          <w:szCs w:val="24"/>
        </w:rPr>
        <w:t>The labour market has significant importance within an economy as it reflects the interplay between supply and demand for personnel. The assessment of the labour market's resilience in the United Kingdom has significant value as an economic metric, offering valuable insights into the country's overall quality of life, job prospects, and patterns within the workforce (</w:t>
      </w:r>
      <w:r>
        <w:rPr>
          <w:rFonts w:ascii="Times New Roman" w:eastAsia="Times New Roman" w:hAnsi="Times New Roman" w:cs="Times New Roman"/>
          <w:color w:val="222222"/>
          <w:sz w:val="24"/>
          <w:szCs w:val="24"/>
          <w:highlight w:val="white"/>
        </w:rPr>
        <w:t xml:space="preserve">Watermeyer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252525"/>
          <w:sz w:val="24"/>
          <w:szCs w:val="24"/>
        </w:rPr>
        <w:t>). In the forthcoming September 2021 report for which they bear responsibility, they want to analyze the prevailing conditions inside the British employment market, as seen through my lens (</w:t>
      </w:r>
      <w:r>
        <w:rPr>
          <w:rFonts w:ascii="Times New Roman" w:eastAsia="Times New Roman" w:hAnsi="Times New Roman" w:cs="Times New Roman"/>
          <w:color w:val="222222"/>
          <w:sz w:val="24"/>
          <w:szCs w:val="24"/>
          <w:highlight w:val="white"/>
        </w:rPr>
        <w:t>Bell and Blanchflower, 2020</w:t>
      </w:r>
      <w:r>
        <w:rPr>
          <w:rFonts w:ascii="Times New Roman" w:eastAsia="Times New Roman" w:hAnsi="Times New Roman" w:cs="Times New Roman"/>
          <w:color w:val="252525"/>
          <w:sz w:val="24"/>
          <w:szCs w:val="24"/>
        </w:rPr>
        <w:t>). In the period before 2021, the United Kingdom consistently had elevated employment levels. During the period leading up to the pandemic, there was a notable increase in employment rates, which may be attributed to factors such as economic solid expansion, proactive government initiatives, and more flexibility within the labour market.</w:t>
      </w:r>
    </w:p>
    <w:p w14:paraId="40E46DD5" w14:textId="77777777" w:rsidR="005749A6" w:rsidRDefault="00000000" w:rsidP="00600963">
      <w:pPr>
        <w:spacing w:before="240" w:after="240" w:line="360" w:lineRule="auto"/>
        <w:jc w:val="both"/>
        <w:rPr>
          <w:rFonts w:ascii="Times New Roman" w:eastAsia="Times New Roman" w:hAnsi="Times New Roman" w:cs="Times New Roman"/>
          <w:color w:val="252525"/>
          <w:sz w:val="24"/>
          <w:szCs w:val="24"/>
        </w:rPr>
      </w:pPr>
      <w:r>
        <w:rPr>
          <w:rFonts w:ascii="Times New Roman" w:eastAsia="Times New Roman" w:hAnsi="Times New Roman" w:cs="Times New Roman"/>
          <w:color w:val="252525"/>
          <w:sz w:val="24"/>
          <w:szCs w:val="24"/>
        </w:rPr>
        <w:t>On the other hand, the COVID-19 pandemic substantially influenced the labour market. Due to the implementation of lockdown measures, the enforcement of social isolation protocols, and the presence of economic uncertainty, many firms were driven to engage in staff layoffs and implement reductions in working hours. The unemployment rate serves as a crucial metric for assessing overall economic well-being. The unemployment rate saw a rise due to the economic deceleration brought about by the outbreak (</w:t>
      </w:r>
      <w:r>
        <w:rPr>
          <w:rFonts w:ascii="Times New Roman" w:eastAsia="Times New Roman" w:hAnsi="Times New Roman" w:cs="Times New Roman"/>
          <w:color w:val="222222"/>
          <w:sz w:val="24"/>
          <w:szCs w:val="24"/>
          <w:highlight w:val="white"/>
        </w:rPr>
        <w:t>Brown and Souto-Otero, 2020</w:t>
      </w:r>
      <w:r>
        <w:rPr>
          <w:rFonts w:ascii="Times New Roman" w:eastAsia="Times New Roman" w:hAnsi="Times New Roman" w:cs="Times New Roman"/>
          <w:color w:val="252525"/>
          <w:sz w:val="24"/>
          <w:szCs w:val="24"/>
        </w:rPr>
        <w:t>), although the implementation of government initiatives such as the Coronavirus Employment Retention Scheme, often known as the furlough scheme, aimed at preserving the workforce within various sectors, substantial employment reductions were seen, notably within the hotel, retail, and travel sectors. Even though these firms employ a substantial number of workers, this was the prevailing circumstance. The potential decrease in unemployment in the United Kingdom when the economy rebounds is contingent upon the promptness of firms in resuming operations and the restoration of consumer confidence.</w:t>
      </w:r>
    </w:p>
    <w:p w14:paraId="16565A79" w14:textId="77777777" w:rsidR="005749A6" w:rsidRDefault="00000000" w:rsidP="00600963">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52525"/>
          <w:sz w:val="24"/>
          <w:szCs w:val="24"/>
        </w:rPr>
        <w:t>In light of the pandemic, several enterprises have expeditiously embraced utilutilisatione employees and digitalizdigitalisationect response. Numerous enterprises have successfully maintained operational efficiency via remote work strategies during lockdown measures. Due to this transformation, the work market has seen an increase in complexity (</w:t>
      </w:r>
      <w:r>
        <w:rPr>
          <w:rFonts w:ascii="Times New Roman" w:eastAsia="Times New Roman" w:hAnsi="Times New Roman" w:cs="Times New Roman"/>
          <w:color w:val="222222"/>
          <w:sz w:val="24"/>
          <w:szCs w:val="24"/>
          <w:highlight w:val="white"/>
        </w:rPr>
        <w:t xml:space="preserve">Costa Dias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52525"/>
          <w:sz w:val="24"/>
          <w:szCs w:val="24"/>
        </w:rPr>
        <w:t>). While this initiative provided some workers with more freedom, it also brought to light a digital gap. It underscored the need to provide retraining opportunities to effectively navigate the challenges associated with technology-driven or remote work.</w:t>
      </w:r>
      <w:r>
        <w:rPr>
          <w:rFonts w:ascii="Times New Roman" w:eastAsia="Times New Roman" w:hAnsi="Times New Roman" w:cs="Times New Roman"/>
          <w:sz w:val="24"/>
          <w:szCs w:val="24"/>
        </w:rPr>
        <w:t xml:space="preserve"> The employment rate forecast for the United Kingdom throughout November 2022 to January 2023 was 76.0 per cent, indicating a marginal rise of 0.2 percentage points compared to the previous period. In the most recent quarter, there was a notable increase in the number of workers inside firms and the number of persons engaged in self-employment, resulting in a record high.</w:t>
      </w:r>
    </w:p>
    <w:p w14:paraId="09D9A27C" w14:textId="77777777" w:rsidR="005749A6" w:rsidRDefault="00000000" w:rsidP="00600963">
      <w:pPr>
        <w:spacing w:line="360" w:lineRule="auto"/>
        <w:jc w:val="both"/>
      </w:pPr>
      <w:r>
        <w:rPr>
          <w:rFonts w:ascii="Times New Roman" w:eastAsia="Times New Roman" w:hAnsi="Times New Roman" w:cs="Times New Roman"/>
          <w:sz w:val="24"/>
          <w:szCs w:val="24"/>
        </w:rPr>
        <w:t>According to the latest prediction, the number of individuals employed on the payroll in May 2023 is anticipated to see a monthly growth, with an estimated rise of 23,000 individuals compared to the preceding statistics for April 2023, resulting in a total of 30.0 million individuals employed. The first estimate provided in May 2023 will likely undergo revision in June 2023 due to more data acquisition. In February 2023, the unemployment rate had a marginal rise of 0.1 percentage points, reaching 3.8%, compared to the preceding month's figure of 3.7%. The primary contributors to the increase in the unemployment rate were those who had experienced a period of unemployment lasting between six and twelve months (</w:t>
      </w:r>
      <w:r>
        <w:rPr>
          <w:rFonts w:ascii="Times New Roman" w:eastAsia="Times New Roman" w:hAnsi="Times New Roman" w:cs="Times New Roman"/>
          <w:color w:val="222222"/>
          <w:sz w:val="24"/>
          <w:szCs w:val="24"/>
          <w:highlight w:val="white"/>
        </w:rPr>
        <w:t xml:space="preserve">Keogh-Brown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During the period spanning from February to April 2023, there was a decrease in the proportion of persons classified as economically inactive, with the percentage declining from 21.0% to 21.4% (</w:t>
      </w:r>
      <w:r w:rsidR="00600963">
        <w:rPr>
          <w:rFonts w:ascii="Times New Roman" w:eastAsia="Times New Roman" w:hAnsi="Times New Roman" w:cs="Times New Roman"/>
          <w:sz w:val="24"/>
          <w:szCs w:val="24"/>
        </w:rPr>
        <w:t>ONS</w:t>
      </w:r>
      <w:r>
        <w:rPr>
          <w:rFonts w:ascii="Times New Roman" w:eastAsia="Times New Roman" w:hAnsi="Times New Roman" w:cs="Times New Roman"/>
          <w:sz w:val="24"/>
          <w:szCs w:val="24"/>
        </w:rPr>
        <w:t>, 2023). The main factor contributing to the decrease in the third quarter may be attributed to a significant proportion of persons who exhibited economic inactivity due to their responsibilities in caring for their families or tending to their houses.</w:t>
      </w:r>
    </w:p>
    <w:p w14:paraId="7D3B304E" w14:textId="77777777" w:rsidR="005749A6" w:rsidRDefault="00000000" w:rsidP="00600963">
      <w:pPr>
        <w:spacing w:line="360" w:lineRule="auto"/>
        <w:jc w:val="both"/>
      </w:pPr>
      <w:r>
        <w:rPr>
          <w:rFonts w:ascii="Times New Roman" w:eastAsia="Times New Roman" w:hAnsi="Times New Roman" w:cs="Times New Roman"/>
          <w:sz w:val="24"/>
          <w:szCs w:val="24"/>
        </w:rPr>
        <w:t>Nevertheless, there was a notable increase in the prevalence of sedentary behaviour resulting from chronic disease. A projected decline of 1,051,000 job opportunities is expected to occur over the period from March to May 2023, resulting in a quarterly reduction of 79,000 vacancies (</w:t>
      </w:r>
      <w:r w:rsidR="00600963">
        <w:rPr>
          <w:rFonts w:ascii="Times New Roman" w:eastAsia="Times New Roman" w:hAnsi="Times New Roman" w:cs="Times New Roman"/>
          <w:sz w:val="24"/>
          <w:szCs w:val="24"/>
        </w:rPr>
        <w:t>ONS</w:t>
      </w:r>
      <w:r>
        <w:rPr>
          <w:rFonts w:ascii="Times New Roman" w:eastAsia="Times New Roman" w:hAnsi="Times New Roman" w:cs="Times New Roman"/>
          <w:sz w:val="24"/>
          <w:szCs w:val="24"/>
        </w:rPr>
        <w:t>, 2023). The data indicates a consistent decline in job vacancies over eleven straight quarters, reflecting the pervasive apprehension among survey respondents who attribute their decision to postpone employment to worries over the state of the economy.</w:t>
      </w:r>
    </w:p>
    <w:p w14:paraId="62B9288E"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5" w:name="_h99yhzn1cdc" w:colFirst="0" w:colLast="0"/>
      <w:bookmarkStart w:id="6" w:name="_Toc143210127"/>
      <w:bookmarkEnd w:id="5"/>
      <w:r>
        <w:rPr>
          <w:rFonts w:ascii="Times New Roman" w:eastAsia="Times New Roman" w:hAnsi="Times New Roman" w:cs="Times New Roman"/>
          <w:b/>
          <w:sz w:val="28"/>
          <w:szCs w:val="28"/>
        </w:rPr>
        <w:t>The emerging changes in Human Resourcing Strategies in the post-Covid</w:t>
      </w:r>
      <w:bookmarkEnd w:id="6"/>
    </w:p>
    <w:p w14:paraId="7455B21D"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COVID-19 pandemic has brought about significant societal changes, including managing enterprises and their workforce. As global conditions gradually improve, there has been a notable evolution in human resource (HR) solutions to adapt to the changing dynamics of the post-Covid period. The aforementioned advancements have been achieved by amalgamating insights from the pandemic and the expedited progression of previous patterns (</w:t>
      </w:r>
      <w:r>
        <w:rPr>
          <w:rFonts w:ascii="Times New Roman" w:eastAsia="Times New Roman" w:hAnsi="Times New Roman" w:cs="Times New Roman"/>
          <w:color w:val="222222"/>
          <w:sz w:val="24"/>
          <w:szCs w:val="24"/>
          <w:highlight w:val="white"/>
        </w:rPr>
        <w:t xml:space="preserve">Mondal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Following the emergence of the Covid-19 pandemic, there has been a significant and notable transformation in human resource practises.</w:t>
      </w:r>
    </w:p>
    <w:p w14:paraId="169EFD45"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Hybrid and remote work </w:t>
      </w:r>
    </w:p>
    <w:p w14:paraId="6C6707EC"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Two noteworthy transformations are the widespread implementation of remote work and the increasing prevalence of hybrid work patterns. As a result of the outbreak, many workers were obliged to engage in remote work, demonstrating the feasibility of remote or flexible work arrangements (</w:t>
      </w:r>
      <w:r>
        <w:rPr>
          <w:rFonts w:ascii="Times New Roman" w:eastAsia="Times New Roman" w:hAnsi="Times New Roman" w:cs="Times New Roman"/>
          <w:color w:val="222222"/>
          <w:sz w:val="24"/>
          <w:szCs w:val="24"/>
          <w:highlight w:val="white"/>
        </w:rPr>
        <w:t>Mer and Virdi, 2023</w:t>
      </w:r>
      <w:r>
        <w:rPr>
          <w:rFonts w:ascii="Times New Roman" w:eastAsia="Times New Roman" w:hAnsi="Times New Roman" w:cs="Times New Roman"/>
          <w:sz w:val="24"/>
          <w:szCs w:val="24"/>
        </w:rPr>
        <w:t>). Following the transformative impact of the Covid-19 pandemic, many organisations of organisatorganisationslemented hybrid work models, whereby workers divide their time between remote work from home and in-person work in the office. In order to maintain employee engagement, connectivity, and productivity irrespective of geographical location, human resources strategies are shifting towards establishing integrated remote and hybrid work environments.</w:t>
      </w:r>
    </w:p>
    <w:p w14:paraId="47A7C9FE" w14:textId="77777777" w:rsidR="005749A6" w:rsidRDefault="00000000" w:rsidP="0060096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014EABE" wp14:editId="1D7E6CD8">
            <wp:extent cx="5224463" cy="278805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224463" cy="2788055"/>
                    </a:xfrm>
                    <a:prstGeom prst="rect">
                      <a:avLst/>
                    </a:prstGeom>
                  </pic:spPr>
                </pic:pic>
              </a:graphicData>
            </a:graphic>
          </wp:inline>
        </w:drawing>
      </w:r>
    </w:p>
    <w:p w14:paraId="0AFCE66D" w14:textId="77777777" w:rsidR="005749A6" w:rsidRDefault="00000000" w:rsidP="0060096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the impact of covid 19 on the work environment </w:t>
      </w:r>
    </w:p>
    <w:p w14:paraId="23208C36" w14:textId="77777777" w:rsidR="005749A6" w:rsidRDefault="00000000" w:rsidP="0060096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Mer and Virdi, 2023</w:t>
      </w:r>
      <w:r>
        <w:rPr>
          <w:rFonts w:ascii="Times New Roman" w:eastAsia="Times New Roman" w:hAnsi="Times New Roman" w:cs="Times New Roman"/>
          <w:sz w:val="24"/>
          <w:szCs w:val="24"/>
        </w:rPr>
        <w:t>)</w:t>
      </w:r>
    </w:p>
    <w:p w14:paraId="32AFB854"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Giving importance to the employee well being </w:t>
      </w:r>
    </w:p>
    <w:p w14:paraId="1A3F37A6"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outbreak underscored the need to place worker health as a top priority. The growing prioritisprioritisationl health support, flexible scheduling, and work-life balance may be attributed to the many difficulties associated with remote work, including experiences of isolation and heightened stress levels (</w:t>
      </w:r>
      <w:r>
        <w:rPr>
          <w:rFonts w:ascii="Times New Roman" w:eastAsia="Times New Roman" w:hAnsi="Times New Roman" w:cs="Times New Roman"/>
          <w:color w:val="222222"/>
          <w:sz w:val="24"/>
          <w:szCs w:val="24"/>
          <w:highlight w:val="white"/>
        </w:rPr>
        <w:t xml:space="preserve">Ichsan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20220</w:t>
      </w:r>
      <w:r>
        <w:rPr>
          <w:rFonts w:ascii="Times New Roman" w:eastAsia="Times New Roman" w:hAnsi="Times New Roman" w:cs="Times New Roman"/>
          <w:sz w:val="24"/>
          <w:szCs w:val="24"/>
        </w:rPr>
        <w:t>). Human resources (HR) efforts are increasingly integrating strategies aimed at improving the whole well-being of workers, including their physical, mental, and emotional health. In order to cultivate a working environment that is charactercharacterisedivity and well-being, several enterprises are allocating resources towards implementing employee support programmes, wellness initiatives, and campaigns to raise awareness about mental health. The COVID-19 epidemic expedited the digital transformation process within the human resources field. The use of technology for various functions, such as staff recruitment, training, and performance evaluation, has become a prevalent practice. As a result, HR strategies focus more on enhancing digital technologies to support better HR operations (</w:t>
      </w:r>
      <w:r>
        <w:rPr>
          <w:rFonts w:ascii="Times New Roman" w:eastAsia="Times New Roman" w:hAnsi="Times New Roman" w:cs="Times New Roman"/>
          <w:color w:val="222222"/>
          <w:sz w:val="24"/>
          <w:szCs w:val="24"/>
          <w:highlight w:val="white"/>
        </w:rPr>
        <w:t>Mefi and Asoba, 2020</w:t>
      </w:r>
      <w:r>
        <w:rPr>
          <w:rFonts w:ascii="Times New Roman" w:eastAsia="Times New Roman" w:hAnsi="Times New Roman" w:cs="Times New Roman"/>
          <w:sz w:val="24"/>
          <w:szCs w:val="24"/>
        </w:rPr>
        <w:t>). This encompasses integrating technology approaches for employee recruitment, training, assessment, and incentiviincentivisationr to provide more time for strategic activities; human resources departments are progressively turning to automation and artificial intelligence (AI) to oversee routine duties.</w:t>
      </w:r>
    </w:p>
    <w:p w14:paraId="06469993"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DigitalisDigitalisationR process </w:t>
      </w:r>
    </w:p>
    <w:p w14:paraId="5D7E4DB4"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outbreak highlighted the need for an adaptable labour force and the ability to adjust to emerging demands swiftly. There is a growing focus within human resource policies and practices on promoting lifelong learning and enhancing skills (</w:t>
      </w:r>
      <w:r>
        <w:rPr>
          <w:rFonts w:ascii="Times New Roman" w:eastAsia="Times New Roman" w:hAnsi="Times New Roman" w:cs="Times New Roman"/>
          <w:color w:val="222222"/>
          <w:sz w:val="24"/>
          <w:szCs w:val="24"/>
          <w:highlight w:val="white"/>
        </w:rPr>
        <w:t xml:space="preserve">Porkodi </w:t>
      </w:r>
      <w:r>
        <w:rPr>
          <w:rFonts w:ascii="Times New Roman" w:eastAsia="Times New Roman" w:hAnsi="Times New Roman" w:cs="Times New Roman"/>
          <w:i/>
          <w:color w:val="222222"/>
          <w:sz w:val="24"/>
          <w:szCs w:val="24"/>
          <w:highlight w:val="white"/>
        </w:rPr>
        <w:t>et al.</w:t>
      </w:r>
      <w:r>
        <w:t>, 2021</w:t>
      </w:r>
      <w:r>
        <w:rPr>
          <w:rFonts w:ascii="Times New Roman" w:eastAsia="Times New Roman" w:hAnsi="Times New Roman" w:cs="Times New Roman"/>
          <w:sz w:val="24"/>
          <w:szCs w:val="24"/>
        </w:rPr>
        <w:t>). In order to facilitate the adaptation of personnel to evolving roles and responsibilities, it is essential to provide support in correcting gaps in knowledge and delivering training in emerging domains. By improving the competencies of its workforce, an organizatorganisation's to foster innovation and adapt to market dynamics is augmented. In light of the pandemic, there has been a renewed commitment to addressing social and economic inequalities. OrganisatOrganisationalsource strategies are now emphasizing the prioritisprioritisationiting a workforce that is charactercharacterisedased diversity and inclusivity. Employers are implementing inclusive hiring practices and offering diversity training programmes to promote equitable treatment of all workers (</w:t>
      </w:r>
      <w:r>
        <w:rPr>
          <w:rFonts w:ascii="Times New Roman" w:eastAsia="Times New Roman" w:hAnsi="Times New Roman" w:cs="Times New Roman"/>
          <w:color w:val="222222"/>
          <w:sz w:val="24"/>
          <w:szCs w:val="24"/>
          <w:highlight w:val="white"/>
        </w:rPr>
        <w:t xml:space="preserve">Shaikh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Including Diversity, Equity, and Inclusion (DEI) considerations in organisatorganisationales aimed at recruiting, keeping, and nurturing personnel is essential.</w:t>
      </w:r>
    </w:p>
    <w:p w14:paraId="5177E029"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Resikiling and agility </w:t>
      </w:r>
    </w:p>
    <w:p w14:paraId="7EDF62B4"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the emergence of the Covid-19 pandemic, human resources (HR) initiatives have emphasised the use of data analytics. The unpredictability of the pandemic underscored the need to use data-driven decision-making approaches to surmount challenges. Using data, human resources departments analyse workforce trends, make projections on personnel requirements and improve operational efficiency. This approach offers advantages in evaluating employee attitude, pinpointing areas of concern, and directing human resources initiatives. The post-Covid era has resulted in notable upheavals in human resources (HR) strategy (</w:t>
      </w:r>
      <w:r>
        <w:rPr>
          <w:rFonts w:ascii="Times New Roman" w:eastAsia="Times New Roman" w:hAnsi="Times New Roman" w:cs="Times New Roman"/>
          <w:color w:val="222222"/>
          <w:sz w:val="24"/>
          <w:szCs w:val="24"/>
          <w:highlight w:val="white"/>
        </w:rPr>
        <w:t>Manojkumar, 2023</w:t>
      </w:r>
      <w:r>
        <w:rPr>
          <w:rFonts w:ascii="Times New Roman" w:eastAsia="Times New Roman" w:hAnsi="Times New Roman" w:cs="Times New Roman"/>
          <w:sz w:val="24"/>
          <w:szCs w:val="24"/>
        </w:rPr>
        <w:t>). Remote work, employee well-being, digitalizdigitalisation, diversity and inclusion, and data-driven decision-making have become prevalent human resource practices in contemporary times. The aforementioned steps have been implemented due to a collaborative effort to integrate the knowledge gained from the epidemic into subsequent workforce planning. The evolution of human resources strategies is an inevitable consequence of the evolving environment since these strategies aim to support people and drive organisatorganisational.</w:t>
      </w:r>
    </w:p>
    <w:p w14:paraId="5ADA7D1D"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7" w:name="_dpl0r66k8cpj" w:colFirst="0" w:colLast="0"/>
      <w:bookmarkStart w:id="8" w:name="_Toc143210128"/>
      <w:bookmarkEnd w:id="7"/>
      <w:r>
        <w:rPr>
          <w:rFonts w:ascii="Times New Roman" w:eastAsia="Times New Roman" w:hAnsi="Times New Roman" w:cs="Times New Roman"/>
          <w:b/>
          <w:sz w:val="28"/>
          <w:szCs w:val="28"/>
        </w:rPr>
        <w:t>The emerging changes in Human Resourcing Strategies in the post-Brexit external environment</w:t>
      </w:r>
      <w:bookmarkEnd w:id="8"/>
    </w:p>
    <w:p w14:paraId="0AFEA6C4"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departure of the United Kingdom from the European Union, often referred to as Brexit, has given rise to a novel external landscape that has implications for all facets of corporate operations, including human resources strategy. In light of the United Kingdom's reconfiguration of its relationship with the European Union and the global community, there has been a need for human resource strategies to undergo modifications in order to accommodate the changing dynamics of the post-Brexit landscape (</w:t>
      </w:r>
      <w:r>
        <w:rPr>
          <w:rFonts w:ascii="Times New Roman" w:eastAsia="Times New Roman" w:hAnsi="Times New Roman" w:cs="Times New Roman"/>
          <w:color w:val="222222"/>
          <w:sz w:val="24"/>
          <w:szCs w:val="24"/>
          <w:highlight w:val="white"/>
        </w:rPr>
        <w:t xml:space="preserve">Moradlou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 emerging external environment presents a unique array of problems and possibilities evident in the ongoing transformations. After the occurrence of Brexit, some noteworthy changes have been seen in the domain of human resource strategy.</w:t>
      </w:r>
    </w:p>
    <w:p w14:paraId="66506FE3"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workforce mobility </w:t>
      </w:r>
    </w:p>
    <w:p w14:paraId="36E14AA1"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United Kingdom's withdrawal from the European Union, often referred to as Brexit, has resulted in substantial modifications to the legislation governing the free movement of labour between the United Kingdom and the European Union and other immigration policies. The aforementioned scenario significantly impacts the United Kingdom's capacity to recruit and retain proficient overseas personnel (</w:t>
      </w:r>
      <w:r>
        <w:rPr>
          <w:rFonts w:ascii="Times New Roman" w:eastAsia="Times New Roman" w:hAnsi="Times New Roman" w:cs="Times New Roman"/>
          <w:color w:val="222222"/>
          <w:sz w:val="24"/>
          <w:szCs w:val="24"/>
          <w:highlight w:val="white"/>
        </w:rPr>
        <w:t xml:space="preserve">Cumming,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There is a growing focus within human resource strategies on the concept of worker mobility, including the understanding and adaptation to changes in immigration regulations, such as those about visas and work permits. Business enterprises are actively seeking personnel outside the confines of the European Union, and a subset of these entities are allocating financial resources towards retraining their existing workers. The importance of talent acquisition and retention has grown in prominence as the United Kingdom faces the potential of a reduced pool of talent accessible to organise organisations European Union. The need to identify and keep skilled employees has led to a revolution in human resources practices. In order to effectively retain high-performing employees, it is necessary to modify recruitment methods to attract a broader range of potential candidates, place significant focus on the company's unique value proposition, provide attractive remuneration packages, and provide enticing prospects for career growth.</w:t>
      </w:r>
    </w:p>
    <w:p w14:paraId="7BF8E34B"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Skill development and training </w:t>
      </w:r>
    </w:p>
    <w:p w14:paraId="1634A82A"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the dynamic nature of the external environment, it is essential to reaffirm the commitment to allocating resources towards the education and professional growth of the existing personnel. Human resource strategies are increasingly focusing on implementing upskilling and reskilling initiatives. This strategic shift aims to effectively mitigate any skill shortages that may arise due to fluctuations in the accessibility of foreign talent. Numerous corporations are allocating resources towards the implementation of training programmes in order to effectively adapt to the dynamic requirements of their organisatorganisationsbroader business sector (</w:t>
      </w:r>
      <w:r>
        <w:rPr>
          <w:rFonts w:ascii="Times New Roman" w:eastAsia="Times New Roman" w:hAnsi="Times New Roman" w:cs="Times New Roman"/>
          <w:sz w:val="24"/>
          <w:szCs w:val="24"/>
          <w:highlight w:val="white"/>
        </w:rPr>
        <w:t xml:space="preserve">Topolansky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Brexit has presented companies with a novel array of regulatory challenges. Human resources practices are changing to adapt to the need for precise and current paperwork concerning the recruitment and selection of international personnel. In order to guarantee adherence to recently implemented regulations about work permits, visa applications, and right-to-work inspections, it is essential to mitigate any legal complexities.</w:t>
      </w:r>
    </w:p>
    <w:p w14:paraId="7D2406BB" w14:textId="77777777" w:rsidR="005749A6" w:rsidRDefault="00000000" w:rsidP="0060096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Investment and expansion decision </w:t>
      </w:r>
    </w:p>
    <w:p w14:paraId="6A232BF7"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trade dynamics and economic linkages have changed due to the modified external environment after Brexit. The policies and processes regarding human resources may potentially be impacted. Companies are proactively monitoring consumer demand, engaging in research to assess the economic impact on their respective sectors, and implementing suitable people strategies in response (</w:t>
      </w:r>
      <w:r>
        <w:rPr>
          <w:rFonts w:ascii="Times New Roman" w:eastAsia="Times New Roman" w:hAnsi="Times New Roman" w:cs="Times New Roman"/>
          <w:sz w:val="24"/>
          <w:szCs w:val="24"/>
          <w:highlight w:val="white"/>
        </w:rPr>
        <w:t>Malik, A. and Sanders, 2021</w:t>
      </w:r>
      <w:r>
        <w:rPr>
          <w:rFonts w:ascii="Times New Roman" w:eastAsia="Times New Roman" w:hAnsi="Times New Roman" w:cs="Times New Roman"/>
          <w:sz w:val="24"/>
          <w:szCs w:val="24"/>
        </w:rPr>
        <w:t>). The decision to depart the European Union, often called Brexit, has brought about significant changes in the United Kingdom's association with the European Union. However, it also offers a potential avenue for the nation to enhance its worldwide involvement. Human resource strategies increasingly incorporate talent from the European Union (EU) and many global regions. Contemporary organisatorganisationssprioritiseblishment of inclusive and supportive work cultures foster a sense of belonging and appreciation among workers from all backgrounds and with varied experiences. The external environment after Brexit has resulted in notable modifications to human resource strategies. Human resource strategies are changing in response to the difficulties and possibilities presented by the current business environment, particularly in talent acquisition and retention, regulatory compliance, and skill development (</w:t>
      </w:r>
      <w:r>
        <w:rPr>
          <w:rFonts w:ascii="Times New Roman" w:eastAsia="Times New Roman" w:hAnsi="Times New Roman" w:cs="Times New Roman"/>
          <w:sz w:val="24"/>
          <w:szCs w:val="24"/>
          <w:highlight w:val="white"/>
        </w:rPr>
        <w:t>ȘERBAN and ICHIMESCU, 2020</w:t>
      </w:r>
      <w:r>
        <w:rPr>
          <w:rFonts w:ascii="Times New Roman" w:eastAsia="Times New Roman" w:hAnsi="Times New Roman" w:cs="Times New Roman"/>
          <w:sz w:val="24"/>
          <w:szCs w:val="24"/>
        </w:rPr>
        <w:t>). In order to prosper and persist in the unpredictable post-Brexit climate, firms may adopt a flexible and proactive strategy.</w:t>
      </w:r>
    </w:p>
    <w:p w14:paraId="625AA2A2"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9" w:name="_kvl2hfa5ws1a" w:colFirst="0" w:colLast="0"/>
      <w:bookmarkStart w:id="10" w:name="_Toc143210129"/>
      <w:bookmarkEnd w:id="9"/>
      <w:r>
        <w:rPr>
          <w:rFonts w:ascii="Times New Roman" w:eastAsia="Times New Roman" w:hAnsi="Times New Roman" w:cs="Times New Roman"/>
          <w:b/>
          <w:sz w:val="28"/>
          <w:szCs w:val="28"/>
        </w:rPr>
        <w:t>Conclusion</w:t>
      </w:r>
      <w:bookmarkEnd w:id="10"/>
      <w:r>
        <w:rPr>
          <w:rFonts w:ascii="Times New Roman" w:eastAsia="Times New Roman" w:hAnsi="Times New Roman" w:cs="Times New Roman"/>
          <w:b/>
          <w:sz w:val="28"/>
          <w:szCs w:val="28"/>
        </w:rPr>
        <w:t xml:space="preserve"> </w:t>
      </w:r>
    </w:p>
    <w:p w14:paraId="4A1DFD03" w14:textId="77777777" w:rsidR="005749A6" w:rsidRDefault="00000000" w:rsidP="0060096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implications of Brexit on trade dynamics and economic interconnections have had a discernible influence on human resource strategies and processes. OrganisatOrganisationsvely engaged in the surveillance of customer feedback, doing comprehensive investigations, and formulating strategic approaches in response. The withdrawal of the United Kingdom from the European Union (EU) has transformed its association with the EU and given rise to fresh prospects for global involvement. Human resource strategies that emphasise fostering varied workplace cultures and ensuring adherence to legal regulations incorporate talent from the European Union (EU) and other regions. In order to thrive in the unpredictable post-Brexit landscape, enterprises must demonstrate adaptability and assertiveness.</w:t>
      </w:r>
    </w:p>
    <w:p w14:paraId="7B8045F6" w14:textId="77777777" w:rsidR="005749A6" w:rsidRDefault="00000000" w:rsidP="00600963">
      <w:pPr>
        <w:spacing w:line="360" w:lineRule="auto"/>
      </w:pPr>
      <w:r>
        <w:br w:type="page"/>
      </w:r>
    </w:p>
    <w:p w14:paraId="0308E176" w14:textId="77777777" w:rsidR="005749A6" w:rsidRDefault="00000000" w:rsidP="00600963">
      <w:pPr>
        <w:pStyle w:val="Heading1"/>
        <w:spacing w:line="360" w:lineRule="auto"/>
        <w:rPr>
          <w:rFonts w:ascii="Times New Roman" w:eastAsia="Times New Roman" w:hAnsi="Times New Roman" w:cs="Times New Roman"/>
          <w:b/>
          <w:sz w:val="28"/>
          <w:szCs w:val="28"/>
        </w:rPr>
      </w:pPr>
      <w:bookmarkStart w:id="11" w:name="_8m3jfacgjmaf" w:colFirst="0" w:colLast="0"/>
      <w:bookmarkStart w:id="12" w:name="_Toc143210130"/>
      <w:bookmarkEnd w:id="11"/>
      <w:r>
        <w:rPr>
          <w:rFonts w:ascii="Times New Roman" w:eastAsia="Times New Roman" w:hAnsi="Times New Roman" w:cs="Times New Roman"/>
          <w:b/>
          <w:sz w:val="28"/>
          <w:szCs w:val="28"/>
        </w:rPr>
        <w:t>Reference</w:t>
      </w:r>
      <w:bookmarkEnd w:id="12"/>
      <w:r w:rsidR="00600963">
        <w:rPr>
          <w:rFonts w:ascii="Times New Roman" w:eastAsia="Times New Roman" w:hAnsi="Times New Roman" w:cs="Times New Roman"/>
          <w:b/>
          <w:sz w:val="28"/>
          <w:szCs w:val="28"/>
        </w:rPr>
        <w:t>s</w:t>
      </w:r>
    </w:p>
    <w:p w14:paraId="06BE1F59" w14:textId="77777777" w:rsidR="00600963" w:rsidRPr="00600963" w:rsidRDefault="00000000" w:rsidP="00600963">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Bell, D.N. and Blanchflower, D.G., 2020. US and UK labour markets before and during the Covid-19 crash. </w:t>
      </w:r>
      <w:r w:rsidRPr="00600963">
        <w:rPr>
          <w:rFonts w:ascii="Times New Roman" w:eastAsia="Times New Roman" w:hAnsi="Times New Roman" w:cs="Times New Roman"/>
          <w:i/>
          <w:color w:val="222222"/>
          <w:sz w:val="24"/>
          <w:szCs w:val="24"/>
          <w:highlight w:val="white"/>
        </w:rPr>
        <w:t>National Institute Economic Review</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252</w:t>
      </w:r>
      <w:r w:rsidRPr="00600963">
        <w:rPr>
          <w:rFonts w:ascii="Times New Roman" w:eastAsia="Times New Roman" w:hAnsi="Times New Roman" w:cs="Times New Roman"/>
          <w:color w:val="222222"/>
          <w:sz w:val="24"/>
          <w:szCs w:val="24"/>
          <w:highlight w:val="white"/>
        </w:rPr>
        <w:t>, pp.R52-R69.</w:t>
      </w:r>
    </w:p>
    <w:p w14:paraId="46C544A5" w14:textId="77777777" w:rsidR="00600963" w:rsidRPr="00600963" w:rsidRDefault="00000000" w:rsidP="00600963">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Brown, P. and Souto-Otero, M., 2020. The end of the credential society? An analysis of the relationship between education and the labour market using big data. </w:t>
      </w:r>
      <w:r w:rsidRPr="00600963">
        <w:rPr>
          <w:rFonts w:ascii="Times New Roman" w:eastAsia="Times New Roman" w:hAnsi="Times New Roman" w:cs="Times New Roman"/>
          <w:i/>
          <w:color w:val="222222"/>
          <w:sz w:val="24"/>
          <w:szCs w:val="24"/>
          <w:highlight w:val="white"/>
        </w:rPr>
        <w:t>Journal of Education Policy</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35</w:t>
      </w:r>
      <w:r w:rsidRPr="00600963">
        <w:rPr>
          <w:rFonts w:ascii="Times New Roman" w:eastAsia="Times New Roman" w:hAnsi="Times New Roman" w:cs="Times New Roman"/>
          <w:color w:val="222222"/>
          <w:sz w:val="24"/>
          <w:szCs w:val="24"/>
          <w:highlight w:val="white"/>
        </w:rPr>
        <w:t>(1), pp.95-118.</w:t>
      </w:r>
    </w:p>
    <w:p w14:paraId="18E737F7" w14:textId="77777777" w:rsidR="00600963" w:rsidRPr="00600963" w:rsidRDefault="00000000" w:rsidP="00600963">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Costa Dias, M., Joyce, R., Postel‐Vinay, F. and Xu, X., 2020. The challenges for labour market policy during the Covid‐19 pandemic. </w:t>
      </w:r>
      <w:r w:rsidRPr="00600963">
        <w:rPr>
          <w:rFonts w:ascii="Times New Roman" w:eastAsia="Times New Roman" w:hAnsi="Times New Roman" w:cs="Times New Roman"/>
          <w:i/>
          <w:color w:val="222222"/>
          <w:sz w:val="24"/>
          <w:szCs w:val="24"/>
          <w:highlight w:val="white"/>
        </w:rPr>
        <w:t>Fiscal Studies</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41</w:t>
      </w:r>
      <w:r w:rsidRPr="00600963">
        <w:rPr>
          <w:rFonts w:ascii="Times New Roman" w:eastAsia="Times New Roman" w:hAnsi="Times New Roman" w:cs="Times New Roman"/>
          <w:color w:val="222222"/>
          <w:sz w:val="24"/>
          <w:szCs w:val="24"/>
          <w:highlight w:val="white"/>
        </w:rPr>
        <w:t>(2), pp.371-382.</w:t>
      </w:r>
    </w:p>
    <w:p w14:paraId="795AB49A" w14:textId="77777777" w:rsidR="00600963" w:rsidRPr="00600963" w:rsidRDefault="00000000" w:rsidP="00600963">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Cumming, D.J., Wood, G. and Zahra, S.A., 2020. Human resource management practices in the context of rising right‐wing populism. </w:t>
      </w:r>
      <w:r w:rsidRPr="00600963">
        <w:rPr>
          <w:rFonts w:ascii="Times New Roman" w:eastAsia="Times New Roman" w:hAnsi="Times New Roman" w:cs="Times New Roman"/>
          <w:i/>
          <w:sz w:val="24"/>
          <w:szCs w:val="24"/>
          <w:highlight w:val="white"/>
        </w:rPr>
        <w:t>Human Resource Management Journal</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30</w:t>
      </w:r>
      <w:r w:rsidRPr="00600963">
        <w:rPr>
          <w:rFonts w:ascii="Times New Roman" w:eastAsia="Times New Roman" w:hAnsi="Times New Roman" w:cs="Times New Roman"/>
          <w:sz w:val="24"/>
          <w:szCs w:val="24"/>
          <w:highlight w:val="white"/>
        </w:rPr>
        <w:t>(4), pp.525-536.</w:t>
      </w:r>
    </w:p>
    <w:p w14:paraId="27CF68CA"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Ichsan, R.N., Santosa, S., Shara, Y. and Liriwati, F.Y., 2020. Investigation of strategic human resource management practices in business after covid-19 disruption. </w:t>
      </w:r>
      <w:r w:rsidRPr="00600963">
        <w:rPr>
          <w:rFonts w:ascii="Times New Roman" w:eastAsia="Times New Roman" w:hAnsi="Times New Roman" w:cs="Times New Roman"/>
          <w:i/>
          <w:color w:val="222222"/>
          <w:sz w:val="24"/>
          <w:szCs w:val="24"/>
          <w:highlight w:val="white"/>
        </w:rPr>
        <w:t>PalArch's Journal of Archaeology of Egypt/Egyptology</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17</w:t>
      </w:r>
      <w:r w:rsidRPr="00600963">
        <w:rPr>
          <w:rFonts w:ascii="Times New Roman" w:eastAsia="Times New Roman" w:hAnsi="Times New Roman" w:cs="Times New Roman"/>
          <w:color w:val="222222"/>
          <w:sz w:val="24"/>
          <w:szCs w:val="24"/>
          <w:highlight w:val="white"/>
        </w:rPr>
        <w:t>(7), pp.13098-13110.</w:t>
      </w:r>
    </w:p>
    <w:p w14:paraId="5AF3D623" w14:textId="77777777" w:rsidR="00600963" w:rsidRPr="00600963" w:rsidRDefault="00000000" w:rsidP="00600963">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Keogh-Brown, M.R., Jensen, H.T., Edmunds, W.J. and Smith, R.D., 2020. The impact of Covid-19 associated behaviours and policies on the UK economy: A computable general equilibrium model. </w:t>
      </w:r>
      <w:r w:rsidRPr="00600963">
        <w:rPr>
          <w:rFonts w:ascii="Times New Roman" w:eastAsia="Times New Roman" w:hAnsi="Times New Roman" w:cs="Times New Roman"/>
          <w:i/>
          <w:color w:val="222222"/>
          <w:sz w:val="24"/>
          <w:szCs w:val="24"/>
          <w:highlight w:val="white"/>
        </w:rPr>
        <w:t>SSM-population health</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12</w:t>
      </w:r>
      <w:r w:rsidRPr="00600963">
        <w:rPr>
          <w:rFonts w:ascii="Times New Roman" w:eastAsia="Times New Roman" w:hAnsi="Times New Roman" w:cs="Times New Roman"/>
          <w:color w:val="222222"/>
          <w:sz w:val="24"/>
          <w:szCs w:val="24"/>
          <w:highlight w:val="white"/>
        </w:rPr>
        <w:t>, p.100651.</w:t>
      </w:r>
    </w:p>
    <w:p w14:paraId="576AE4DD" w14:textId="77777777" w:rsidR="00600963" w:rsidRPr="00600963" w:rsidRDefault="00000000" w:rsidP="00600963">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Malik, A. and Sanders, K., 2021. Managing human resources during a global crisis: A multilevel perspective. </w:t>
      </w:r>
      <w:r w:rsidRPr="00600963">
        <w:rPr>
          <w:rFonts w:ascii="Times New Roman" w:eastAsia="Times New Roman" w:hAnsi="Times New Roman" w:cs="Times New Roman"/>
          <w:i/>
          <w:sz w:val="24"/>
          <w:szCs w:val="24"/>
          <w:highlight w:val="white"/>
        </w:rPr>
        <w:t>British Journal of Management</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32</w:t>
      </w:r>
      <w:r w:rsidRPr="00600963">
        <w:rPr>
          <w:rFonts w:ascii="Times New Roman" w:eastAsia="Times New Roman" w:hAnsi="Times New Roman" w:cs="Times New Roman"/>
          <w:sz w:val="24"/>
          <w:szCs w:val="24"/>
          <w:highlight w:val="white"/>
        </w:rPr>
        <w:t>(4), pp.e1-e19.</w:t>
      </w:r>
    </w:p>
    <w:p w14:paraId="3ADADE8F"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Manojkumar, A., 2022. A Emprical Study on Pre and Post Covid Hr Practices in it Industry with Special Reference to Bangalore. </w:t>
      </w:r>
      <w:r w:rsidRPr="00600963">
        <w:rPr>
          <w:rFonts w:ascii="Times New Roman" w:eastAsia="Times New Roman" w:hAnsi="Times New Roman" w:cs="Times New Roman"/>
          <w:i/>
          <w:color w:val="222222"/>
          <w:sz w:val="24"/>
          <w:szCs w:val="24"/>
          <w:highlight w:val="white"/>
        </w:rPr>
        <w:t>East Asian Journal of Multidisciplinary Research</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1</w:t>
      </w:r>
      <w:r w:rsidRPr="00600963">
        <w:rPr>
          <w:rFonts w:ascii="Times New Roman" w:eastAsia="Times New Roman" w:hAnsi="Times New Roman" w:cs="Times New Roman"/>
          <w:color w:val="222222"/>
          <w:sz w:val="24"/>
          <w:szCs w:val="24"/>
          <w:highlight w:val="white"/>
        </w:rPr>
        <w:t>(8), pp.1593-1602.</w:t>
      </w:r>
    </w:p>
    <w:p w14:paraId="7998D97B"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proofErr w:type="spellStart"/>
      <w:r w:rsidRPr="00600963">
        <w:rPr>
          <w:rFonts w:ascii="Times New Roman" w:eastAsia="Times New Roman" w:hAnsi="Times New Roman" w:cs="Times New Roman"/>
          <w:color w:val="222222"/>
          <w:sz w:val="24"/>
          <w:szCs w:val="24"/>
          <w:highlight w:val="white"/>
        </w:rPr>
        <w:t>Mefi</w:t>
      </w:r>
      <w:proofErr w:type="spellEnd"/>
      <w:r w:rsidRPr="00600963">
        <w:rPr>
          <w:rFonts w:ascii="Times New Roman" w:eastAsia="Times New Roman" w:hAnsi="Times New Roman" w:cs="Times New Roman"/>
          <w:color w:val="222222"/>
          <w:sz w:val="24"/>
          <w:szCs w:val="24"/>
          <w:highlight w:val="white"/>
        </w:rPr>
        <w:t xml:space="preserve">, N.P. and </w:t>
      </w:r>
      <w:proofErr w:type="spellStart"/>
      <w:r w:rsidRPr="00600963">
        <w:rPr>
          <w:rFonts w:ascii="Times New Roman" w:eastAsia="Times New Roman" w:hAnsi="Times New Roman" w:cs="Times New Roman"/>
          <w:color w:val="222222"/>
          <w:sz w:val="24"/>
          <w:szCs w:val="24"/>
          <w:highlight w:val="white"/>
        </w:rPr>
        <w:t>Asoba</w:t>
      </w:r>
      <w:proofErr w:type="spellEnd"/>
      <w:r w:rsidRPr="00600963">
        <w:rPr>
          <w:rFonts w:ascii="Times New Roman" w:eastAsia="Times New Roman" w:hAnsi="Times New Roman" w:cs="Times New Roman"/>
          <w:color w:val="222222"/>
          <w:sz w:val="24"/>
          <w:szCs w:val="24"/>
          <w:highlight w:val="white"/>
        </w:rPr>
        <w:t xml:space="preserve">, S.N., 2021. Sustainable human resource practices for organizatorganisationaliveness post the COVID-19 pandemic. </w:t>
      </w:r>
      <w:r w:rsidRPr="00600963">
        <w:rPr>
          <w:rFonts w:ascii="Times New Roman" w:eastAsia="Times New Roman" w:hAnsi="Times New Roman" w:cs="Times New Roman"/>
          <w:i/>
          <w:color w:val="222222"/>
          <w:sz w:val="24"/>
          <w:szCs w:val="24"/>
          <w:highlight w:val="white"/>
        </w:rPr>
        <w:t>Academy of Entrepreneurship Journal</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27</w:t>
      </w:r>
      <w:r w:rsidRPr="00600963">
        <w:rPr>
          <w:rFonts w:ascii="Times New Roman" w:eastAsia="Times New Roman" w:hAnsi="Times New Roman" w:cs="Times New Roman"/>
          <w:color w:val="222222"/>
          <w:sz w:val="24"/>
          <w:szCs w:val="24"/>
          <w:highlight w:val="white"/>
        </w:rPr>
        <w:t>(2), pp.1-7.</w:t>
      </w:r>
    </w:p>
    <w:p w14:paraId="77DC3319"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Mer, A. and Virdi, A.S., 2023. Navigating the paradigm shift in HRM practices through the lens of artificial intelligence: A post-pandemic perspective. </w:t>
      </w:r>
      <w:r w:rsidRPr="00600963">
        <w:rPr>
          <w:rFonts w:ascii="Times New Roman" w:eastAsia="Times New Roman" w:hAnsi="Times New Roman" w:cs="Times New Roman"/>
          <w:i/>
          <w:color w:val="222222"/>
          <w:sz w:val="24"/>
          <w:szCs w:val="24"/>
          <w:highlight w:val="white"/>
        </w:rPr>
        <w:t>The Adoption and Effect of Artificial Intelligence on Human Resources Management, Part A</w:t>
      </w:r>
      <w:r w:rsidRPr="00600963">
        <w:rPr>
          <w:rFonts w:ascii="Times New Roman" w:eastAsia="Times New Roman" w:hAnsi="Times New Roman" w:cs="Times New Roman"/>
          <w:color w:val="222222"/>
          <w:sz w:val="24"/>
          <w:szCs w:val="24"/>
          <w:highlight w:val="white"/>
        </w:rPr>
        <w:t>, pp.123-154.</w:t>
      </w:r>
    </w:p>
    <w:p w14:paraId="55A14A2E"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Mondal, S.R., Di Virgilio, F. and Das, S. eds., 2021. </w:t>
      </w:r>
      <w:r w:rsidRPr="00600963">
        <w:rPr>
          <w:rFonts w:ascii="Times New Roman" w:eastAsia="Times New Roman" w:hAnsi="Times New Roman" w:cs="Times New Roman"/>
          <w:i/>
          <w:color w:val="222222"/>
          <w:sz w:val="24"/>
          <w:szCs w:val="24"/>
          <w:highlight w:val="white"/>
        </w:rPr>
        <w:t>HR Analytics and Digital HR Practices: Digitalization Post COVID-19</w:t>
      </w:r>
      <w:r w:rsidRPr="00600963">
        <w:rPr>
          <w:rFonts w:ascii="Times New Roman" w:eastAsia="Times New Roman" w:hAnsi="Times New Roman" w:cs="Times New Roman"/>
          <w:color w:val="222222"/>
          <w:sz w:val="24"/>
          <w:szCs w:val="24"/>
          <w:highlight w:val="white"/>
        </w:rPr>
        <w:t>. Springer Nature.</w:t>
      </w:r>
    </w:p>
    <w:p w14:paraId="27A7A98B" w14:textId="77777777" w:rsidR="00600963" w:rsidRPr="00600963" w:rsidRDefault="00000000" w:rsidP="00600963">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Moradlou, H., Fratocchi, L., Skipworth, H. and Ghadge, A., 2022. Post-Brexit back-shoring strategies: what UK manufacturing companies could learn from the past?. </w:t>
      </w:r>
      <w:r w:rsidRPr="00600963">
        <w:rPr>
          <w:rFonts w:ascii="Times New Roman" w:eastAsia="Times New Roman" w:hAnsi="Times New Roman" w:cs="Times New Roman"/>
          <w:i/>
          <w:sz w:val="24"/>
          <w:szCs w:val="24"/>
          <w:highlight w:val="white"/>
        </w:rPr>
        <w:t>Production Planning &amp; Control</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33</w:t>
      </w:r>
      <w:r w:rsidRPr="00600963">
        <w:rPr>
          <w:rFonts w:ascii="Times New Roman" w:eastAsia="Times New Roman" w:hAnsi="Times New Roman" w:cs="Times New Roman"/>
          <w:sz w:val="24"/>
          <w:szCs w:val="24"/>
          <w:highlight w:val="white"/>
        </w:rPr>
        <w:t>(14), pp.1319-1336.</w:t>
      </w:r>
    </w:p>
    <w:p w14:paraId="66200360" w14:textId="77777777" w:rsidR="00600963" w:rsidRPr="00600963" w:rsidRDefault="00000000" w:rsidP="00600963">
      <w:pPr>
        <w:spacing w:after="240" w:line="360" w:lineRule="auto"/>
        <w:rPr>
          <w:rFonts w:ascii="Times New Roman" w:eastAsia="Times New Roman" w:hAnsi="Times New Roman" w:cs="Times New Roman"/>
          <w:sz w:val="24"/>
          <w:szCs w:val="24"/>
        </w:rPr>
      </w:pPr>
      <w:r w:rsidRPr="00600963">
        <w:rPr>
          <w:rFonts w:ascii="Times New Roman" w:eastAsia="Times New Roman" w:hAnsi="Times New Roman" w:cs="Times New Roman"/>
          <w:sz w:val="24"/>
          <w:szCs w:val="24"/>
        </w:rPr>
        <w:t xml:space="preserve">ONS, 2023. </w:t>
      </w:r>
      <w:r w:rsidRPr="00600963">
        <w:rPr>
          <w:rFonts w:ascii="Times New Roman" w:eastAsia="Times New Roman" w:hAnsi="Times New Roman" w:cs="Times New Roman"/>
          <w:i/>
          <w:sz w:val="24"/>
          <w:szCs w:val="24"/>
        </w:rPr>
        <w:t>Labour market overview, UK - Office for National Statistics</w:t>
      </w:r>
      <w:r w:rsidRPr="00600963">
        <w:rPr>
          <w:rFonts w:ascii="Times New Roman" w:eastAsia="Times New Roman" w:hAnsi="Times New Roman" w:cs="Times New Roman"/>
          <w:sz w:val="24"/>
          <w:szCs w:val="24"/>
        </w:rPr>
        <w:t xml:space="preserve">. [online] www.ons.gov.uk. Available at: </w:t>
      </w:r>
      <w:hyperlink r:id="rId9" w:anchor=":~:text=Main%20points">
        <w:r w:rsidRPr="00600963">
          <w:rPr>
            <w:rFonts w:ascii="Times New Roman" w:eastAsia="Times New Roman" w:hAnsi="Times New Roman" w:cs="Times New Roman"/>
            <w:color w:val="1155CC"/>
            <w:sz w:val="24"/>
            <w:szCs w:val="24"/>
            <w:u w:val="single"/>
          </w:rPr>
          <w:t>https://www.ons.gov.uk/employmentandlabourmarket/peopleinwork/employmentandemployeetypes/bulletins/uklabourmarket/june2023#:~:text=Main%20points</w:t>
        </w:r>
      </w:hyperlink>
      <w:r>
        <w:rPr>
          <w:rFonts w:ascii="Times New Roman" w:eastAsia="Times New Roman" w:hAnsi="Times New Roman" w:cs="Times New Roman"/>
          <w:sz w:val="24"/>
          <w:szCs w:val="24"/>
        </w:rPr>
        <w:t xml:space="preserve"> [Accessed August 18, 2023].</w:t>
      </w:r>
    </w:p>
    <w:p w14:paraId="752E5775"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Porkodi, S., Al-Zawaidi, A.M., Al-Muharbi, A.M., Al-Sarmi, L.M., Al-Shibli, H.M. and Al-Rahbi, W.N., 2021. Impact of Covid-19 HRM Challenges on HRM Practices for Routing the Post Pandemic: A Study with Special Reference to Oil &amp; Gas Companies in Oman. </w:t>
      </w:r>
      <w:r w:rsidRPr="00600963">
        <w:rPr>
          <w:rFonts w:ascii="Times New Roman" w:eastAsia="Times New Roman" w:hAnsi="Times New Roman" w:cs="Times New Roman"/>
          <w:i/>
          <w:color w:val="222222"/>
          <w:sz w:val="24"/>
          <w:szCs w:val="24"/>
          <w:highlight w:val="white"/>
        </w:rPr>
        <w:t>Advances in Social Sciences Research Journal</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8</w:t>
      </w:r>
      <w:r w:rsidRPr="00600963">
        <w:rPr>
          <w:rFonts w:ascii="Times New Roman" w:eastAsia="Times New Roman" w:hAnsi="Times New Roman" w:cs="Times New Roman"/>
          <w:color w:val="222222"/>
          <w:sz w:val="24"/>
          <w:szCs w:val="24"/>
          <w:highlight w:val="white"/>
        </w:rPr>
        <w:t>(9), pp.239-246.</w:t>
      </w:r>
    </w:p>
    <w:p w14:paraId="0DDE1EB0" w14:textId="77777777" w:rsidR="00600963" w:rsidRPr="00600963" w:rsidRDefault="00000000" w:rsidP="00600963">
      <w:pPr>
        <w:spacing w:line="360" w:lineRule="auto"/>
        <w:jc w:val="both"/>
        <w:rPr>
          <w:rFonts w:ascii="Times New Roman" w:hAnsi="Times New Roman" w:cs="Times New Roman"/>
          <w:sz w:val="24"/>
          <w:szCs w:val="24"/>
        </w:rPr>
      </w:pPr>
      <w:r w:rsidRPr="00600963">
        <w:rPr>
          <w:rFonts w:ascii="Times New Roman" w:eastAsia="Times New Roman" w:hAnsi="Times New Roman" w:cs="Times New Roman"/>
          <w:sz w:val="24"/>
          <w:szCs w:val="24"/>
          <w:highlight w:val="white"/>
        </w:rPr>
        <w:t xml:space="preserve">Șerban, E. and Ichimescu, C., 2020. Romanian External Challenges Within The 2020 Security Environment. </w:t>
      </w:r>
      <w:r w:rsidRPr="00600963">
        <w:rPr>
          <w:rFonts w:ascii="Times New Roman" w:eastAsia="Times New Roman" w:hAnsi="Times New Roman" w:cs="Times New Roman"/>
          <w:i/>
          <w:sz w:val="24"/>
          <w:szCs w:val="24"/>
          <w:highlight w:val="white"/>
        </w:rPr>
        <w:t>Strategic Changes In Security And International Relations</w:t>
      </w:r>
      <w:r w:rsidRPr="00600963">
        <w:rPr>
          <w:rFonts w:ascii="Times New Roman" w:eastAsia="Times New Roman" w:hAnsi="Times New Roman" w:cs="Times New Roman"/>
          <w:sz w:val="24"/>
          <w:szCs w:val="24"/>
          <w:highlight w:val="white"/>
        </w:rPr>
        <w:t>, p.67.</w:t>
      </w:r>
    </w:p>
    <w:p w14:paraId="1D4C1118" w14:textId="77777777" w:rsidR="00600963" w:rsidRPr="00600963" w:rsidRDefault="00000000" w:rsidP="00600963">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Shaikh, A.S., Soomro, A.H., Ali, U.A., Nasir, F., Khan, E.M.F. and Abro, R., 2023. HR Practices In The Post-COVID-19 Era And Their Impact On The Psychological Capital Growth Of Employees. </w:t>
      </w:r>
      <w:r w:rsidRPr="00600963">
        <w:rPr>
          <w:rFonts w:ascii="Times New Roman" w:eastAsia="Times New Roman" w:hAnsi="Times New Roman" w:cs="Times New Roman"/>
          <w:i/>
          <w:color w:val="222222"/>
          <w:sz w:val="24"/>
          <w:szCs w:val="24"/>
          <w:highlight w:val="white"/>
        </w:rPr>
        <w:t>Journal of Positive School Psychology</w:t>
      </w:r>
      <w:r w:rsidRPr="00600963">
        <w:rPr>
          <w:rFonts w:ascii="Times New Roman" w:eastAsia="Times New Roman" w:hAnsi="Times New Roman" w:cs="Times New Roman"/>
          <w:color w:val="222222"/>
          <w:sz w:val="24"/>
          <w:szCs w:val="24"/>
          <w:highlight w:val="white"/>
        </w:rPr>
        <w:t>, pp.1363-1383.</w:t>
      </w:r>
    </w:p>
    <w:p w14:paraId="0A388051" w14:textId="77777777" w:rsidR="00600963" w:rsidRPr="00600963" w:rsidRDefault="00000000" w:rsidP="00600963">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Topolansky, F., Dunn, A. and Triay, M.G., 2020. Can Greater Levels of Cooperation Help to Improve Productivity and Resilience in UK Agriculture Post Brexit Drawing Comparisons with the New Zealand Dairy Industry Experience?. </w:t>
      </w:r>
      <w:r w:rsidRPr="00600963">
        <w:rPr>
          <w:rFonts w:ascii="Times New Roman" w:eastAsia="Times New Roman" w:hAnsi="Times New Roman" w:cs="Times New Roman"/>
          <w:i/>
          <w:sz w:val="24"/>
          <w:szCs w:val="24"/>
          <w:highlight w:val="white"/>
        </w:rPr>
        <w:t>International Journal of Academic Research in Business and Social Sciences</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10</w:t>
      </w:r>
      <w:r w:rsidRPr="00600963">
        <w:rPr>
          <w:rFonts w:ascii="Times New Roman" w:eastAsia="Times New Roman" w:hAnsi="Times New Roman" w:cs="Times New Roman"/>
          <w:sz w:val="24"/>
          <w:szCs w:val="24"/>
          <w:highlight w:val="white"/>
        </w:rPr>
        <w:t>(2), pp.277-293.</w:t>
      </w:r>
    </w:p>
    <w:p w14:paraId="349F588D" w14:textId="77777777" w:rsidR="00600963" w:rsidRPr="00600963" w:rsidRDefault="00000000" w:rsidP="00600963">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Watermeyer, R., Crick, T., Knight, C. and Goodall, J., 2021. COVID-19 and digital disruption in UK universities: Afflictions and affordances of emergency online migration. </w:t>
      </w:r>
      <w:r w:rsidRPr="00600963">
        <w:rPr>
          <w:rFonts w:ascii="Times New Roman" w:eastAsia="Times New Roman" w:hAnsi="Times New Roman" w:cs="Times New Roman"/>
          <w:i/>
          <w:color w:val="222222"/>
          <w:sz w:val="24"/>
          <w:szCs w:val="24"/>
          <w:highlight w:val="white"/>
        </w:rPr>
        <w:t>Higher education</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81</w:t>
      </w:r>
      <w:r w:rsidRPr="00600963">
        <w:rPr>
          <w:rFonts w:ascii="Times New Roman" w:eastAsia="Times New Roman" w:hAnsi="Times New Roman" w:cs="Times New Roman"/>
          <w:color w:val="222222"/>
          <w:sz w:val="24"/>
          <w:szCs w:val="24"/>
          <w:highlight w:val="white"/>
        </w:rPr>
        <w:t>, pp.623-641.</w:t>
      </w:r>
    </w:p>
    <w:sectPr w:rsidR="00600963" w:rsidRPr="00600963" w:rsidSect="00605053">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42E55" w14:textId="77777777" w:rsidR="00E23CF3" w:rsidRDefault="00E23CF3">
      <w:pPr>
        <w:spacing w:line="240" w:lineRule="auto"/>
      </w:pPr>
      <w:r>
        <w:separator/>
      </w:r>
    </w:p>
  </w:endnote>
  <w:endnote w:type="continuationSeparator" w:id="0">
    <w:p w14:paraId="51C78635" w14:textId="77777777" w:rsidR="00E23CF3" w:rsidRDefault="00E23C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F94B7" w14:textId="77777777" w:rsidR="005749A6" w:rsidRDefault="00000000">
    <w:pPr>
      <w:spacing w:line="360" w:lineRule="auto"/>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605053">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D607F" w14:textId="77777777" w:rsidR="005749A6" w:rsidRDefault="005749A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979DF" w14:textId="77777777" w:rsidR="00E23CF3" w:rsidRDefault="00E23CF3">
      <w:pPr>
        <w:spacing w:line="240" w:lineRule="auto"/>
      </w:pPr>
      <w:r>
        <w:separator/>
      </w:r>
    </w:p>
  </w:footnote>
  <w:footnote w:type="continuationSeparator" w:id="0">
    <w:p w14:paraId="1BB78292" w14:textId="77777777" w:rsidR="00E23CF3" w:rsidRDefault="00E23C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B53D1" w14:textId="77777777" w:rsidR="005749A6" w:rsidRDefault="005749A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7C7397"/>
    <w:multiLevelType w:val="hybridMultilevel"/>
    <w:tmpl w:val="6C3CC6DE"/>
    <w:lvl w:ilvl="0" w:tplc="63A2CEF8">
      <w:start w:val="1"/>
      <w:numFmt w:val="decimal"/>
      <w:lvlText w:val="%1."/>
      <w:lvlJc w:val="left"/>
      <w:pPr>
        <w:ind w:left="720" w:hanging="360"/>
      </w:pPr>
    </w:lvl>
    <w:lvl w:ilvl="1" w:tplc="93D28B3E" w:tentative="1">
      <w:start w:val="1"/>
      <w:numFmt w:val="lowerLetter"/>
      <w:lvlText w:val="%2."/>
      <w:lvlJc w:val="left"/>
      <w:pPr>
        <w:ind w:left="1440" w:hanging="360"/>
      </w:pPr>
    </w:lvl>
    <w:lvl w:ilvl="2" w:tplc="30406410" w:tentative="1">
      <w:start w:val="1"/>
      <w:numFmt w:val="lowerRoman"/>
      <w:lvlText w:val="%3."/>
      <w:lvlJc w:val="right"/>
      <w:pPr>
        <w:ind w:left="2160" w:hanging="180"/>
      </w:pPr>
    </w:lvl>
    <w:lvl w:ilvl="3" w:tplc="34BC9D4E" w:tentative="1">
      <w:start w:val="1"/>
      <w:numFmt w:val="decimal"/>
      <w:lvlText w:val="%4."/>
      <w:lvlJc w:val="left"/>
      <w:pPr>
        <w:ind w:left="2880" w:hanging="360"/>
      </w:pPr>
    </w:lvl>
    <w:lvl w:ilvl="4" w:tplc="31CEF6E0" w:tentative="1">
      <w:start w:val="1"/>
      <w:numFmt w:val="lowerLetter"/>
      <w:lvlText w:val="%5."/>
      <w:lvlJc w:val="left"/>
      <w:pPr>
        <w:ind w:left="3600" w:hanging="360"/>
      </w:pPr>
    </w:lvl>
    <w:lvl w:ilvl="5" w:tplc="76EA70EE" w:tentative="1">
      <w:start w:val="1"/>
      <w:numFmt w:val="lowerRoman"/>
      <w:lvlText w:val="%6."/>
      <w:lvlJc w:val="right"/>
      <w:pPr>
        <w:ind w:left="4320" w:hanging="180"/>
      </w:pPr>
    </w:lvl>
    <w:lvl w:ilvl="6" w:tplc="E76CB9C4" w:tentative="1">
      <w:start w:val="1"/>
      <w:numFmt w:val="decimal"/>
      <w:lvlText w:val="%7."/>
      <w:lvlJc w:val="left"/>
      <w:pPr>
        <w:ind w:left="5040" w:hanging="360"/>
      </w:pPr>
    </w:lvl>
    <w:lvl w:ilvl="7" w:tplc="03DC5918" w:tentative="1">
      <w:start w:val="1"/>
      <w:numFmt w:val="lowerLetter"/>
      <w:lvlText w:val="%8."/>
      <w:lvlJc w:val="left"/>
      <w:pPr>
        <w:ind w:left="5760" w:hanging="360"/>
      </w:pPr>
    </w:lvl>
    <w:lvl w:ilvl="8" w:tplc="4A786334" w:tentative="1">
      <w:start w:val="1"/>
      <w:numFmt w:val="lowerRoman"/>
      <w:lvlText w:val="%9."/>
      <w:lvlJc w:val="right"/>
      <w:pPr>
        <w:ind w:left="6480" w:hanging="180"/>
      </w:pPr>
    </w:lvl>
  </w:abstractNum>
  <w:num w:numId="1" w16cid:durableId="1689868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9A6"/>
    <w:rsid w:val="00085DC4"/>
    <w:rsid w:val="005749A6"/>
    <w:rsid w:val="00600963"/>
    <w:rsid w:val="00605053"/>
    <w:rsid w:val="00A04935"/>
    <w:rsid w:val="00D840FC"/>
    <w:rsid w:val="00E23C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4D560"/>
  <w15:docId w15:val="{17502672-0F95-4106-B5DE-B35625222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05053"/>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05053"/>
    <w:pPr>
      <w:spacing w:after="100"/>
    </w:pPr>
  </w:style>
  <w:style w:type="character" w:styleId="Hyperlink">
    <w:name w:val="Hyperlink"/>
    <w:basedOn w:val="DefaultParagraphFont"/>
    <w:uiPriority w:val="99"/>
    <w:unhideWhenUsed/>
    <w:rsid w:val="00605053"/>
    <w:rPr>
      <w:color w:val="0000FF" w:themeColor="hyperlink"/>
      <w:u w:val="single"/>
    </w:rPr>
  </w:style>
  <w:style w:type="paragraph" w:styleId="ListParagraph">
    <w:name w:val="List Paragraph"/>
    <w:basedOn w:val="Normal"/>
    <w:uiPriority w:val="34"/>
    <w:qFormat/>
    <w:rsid w:val="006050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uklabourmarket/june202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3960C4-A976-416F-9314-1F42B6FE2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3267</Words>
  <Characters>18627</Characters>
  <Application>Microsoft Office Word</Application>
  <DocSecurity>0</DocSecurity>
  <Lines>155</Lines>
  <Paragraphs>43</Paragraphs>
  <ScaleCrop>false</ScaleCrop>
  <Company/>
  <LinksUpToDate>false</LinksUpToDate>
  <CharactersWithSpaces>21851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Parnab Santra</dc:creator>
  <cp:lastModifiedBy>Susmita Chakraborty</cp:lastModifiedBy>
  <cp:revision>2</cp:revision>
  <dcterms:created xsi:type="dcterms:W3CDTF">2023-08-17T19:38:00Z</dcterms:created>
  <dcterms:modified xsi:type="dcterms:W3CDTF">2023-08-17T19:38:00Z</dcterms:modified>
</cp:coreProperties>
</file>