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87094629" w:displacedByCustomXml="next"/>
    <w:sdt>
      <w:sdtPr>
        <w:rPr>
          <w:color w:val="156082" w:themeColor="accent1"/>
        </w:rPr>
        <w:id w:val="-725379342"/>
        <w:docPartObj>
          <w:docPartGallery w:val="Cover Pages"/>
          <w:docPartUnique/>
        </w:docPartObj>
      </w:sdtPr>
      <w:sdtEndPr>
        <w:rPr>
          <w:rFonts w:ascii="Calibri" w:eastAsiaTheme="minorHAnsi" w:hAnsi="Calibri" w:cs="Calibri"/>
          <w:color w:val="auto"/>
          <w:sz w:val="24"/>
          <w:szCs w:val="24"/>
          <w:lang w:eastAsia="en-US"/>
        </w:rPr>
      </w:sdtEndPr>
      <w:sdtContent>
        <w:p w14:paraId="4B02FA4B" w14:textId="381074EA" w:rsidR="00150E73" w:rsidRDefault="00150E73">
          <w:pPr>
            <w:pStyle w:val="NoSpacing"/>
            <w:spacing w:before="1540" w:after="240"/>
            <w:jc w:val="center"/>
            <w:rPr>
              <w:color w:val="156082" w:themeColor="accent1"/>
            </w:rPr>
          </w:pPr>
          <w:r>
            <w:rPr>
              <w:noProof/>
              <w:color w:val="156082" w:themeColor="accent1"/>
            </w:rPr>
            <w:drawing>
              <wp:inline distT="0" distB="0" distL="0" distR="0" wp14:anchorId="047F81F9" wp14:editId="2AA9EE0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0B4C0A6E07842748E591A233D07FC6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48F24D" w14:textId="567E8B4E" w:rsidR="00150E73" w:rsidRDefault="00150E7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Implementation plan</w:t>
              </w:r>
            </w:p>
          </w:sdtContent>
        </w:sdt>
        <w:p w14:paraId="783CEE25" w14:textId="77777777" w:rsidR="00150E73" w:rsidRPr="00150E73" w:rsidRDefault="00150E73" w:rsidP="00150E73">
          <w:pPr>
            <w:pStyle w:val="NoSpacing"/>
            <w:pBdr>
              <w:top w:val="single" w:sz="6" w:space="6" w:color="156082" w:themeColor="accent1"/>
              <w:bottom w:val="single" w:sz="6" w:space="6" w:color="156082" w:themeColor="accent1"/>
            </w:pBdr>
            <w:spacing w:after="240"/>
            <w:jc w:val="center"/>
            <w:rPr>
              <w:color w:val="156082" w:themeColor="accent1"/>
              <w:sz w:val="28"/>
              <w:szCs w:val="28"/>
            </w:rPr>
          </w:pPr>
        </w:p>
        <w:p w14:paraId="548903AA" w14:textId="77777777" w:rsidR="00150E73" w:rsidRPr="00150E73" w:rsidRDefault="00150E73" w:rsidP="00150E73">
          <w:pPr>
            <w:pStyle w:val="NoSpacing"/>
            <w:pBdr>
              <w:top w:val="single" w:sz="6" w:space="6" w:color="156082" w:themeColor="accent1"/>
              <w:bottom w:val="single" w:sz="6" w:space="6" w:color="156082" w:themeColor="accent1"/>
            </w:pBdr>
            <w:spacing w:after="240"/>
            <w:jc w:val="center"/>
            <w:rPr>
              <w:color w:val="156082" w:themeColor="accent1"/>
              <w:sz w:val="28"/>
              <w:szCs w:val="28"/>
            </w:rPr>
          </w:pPr>
          <w:r w:rsidRPr="00150E73">
            <w:rPr>
              <w:color w:val="156082" w:themeColor="accent1"/>
              <w:sz w:val="28"/>
              <w:szCs w:val="28"/>
            </w:rPr>
            <w:t>Female Leaders in Mechanical Engineering Sector</w:t>
          </w:r>
        </w:p>
        <w:p w14:paraId="6067ADB2" w14:textId="275E8546" w:rsidR="00150E73" w:rsidRDefault="00150E73" w:rsidP="00150E73">
          <w:pPr>
            <w:pStyle w:val="NoSpacing"/>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41E0BDD" wp14:editId="1FB9FE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1T00:00:00Z">
                                    <w:dateFormat w:val="dd MMMM yyyy"/>
                                    <w:lid w:val="en-GB"/>
                                    <w:storeMappedDataAs w:val="dateTime"/>
                                    <w:calendar w:val="gregorian"/>
                                  </w:date>
                                </w:sdtPr>
                                <w:sdtContent>
                                  <w:p w14:paraId="151DEEF0" w14:textId="051E8D1D" w:rsidR="00150E73" w:rsidRDefault="00150E73">
                                    <w:pPr>
                                      <w:pStyle w:val="NoSpacing"/>
                                      <w:spacing w:after="40"/>
                                      <w:jc w:val="center"/>
                                      <w:rPr>
                                        <w:caps/>
                                        <w:color w:val="156082" w:themeColor="accent1"/>
                                        <w:sz w:val="28"/>
                                        <w:szCs w:val="28"/>
                                      </w:rPr>
                                    </w:pPr>
                                    <w:r>
                                      <w:rPr>
                                        <w:caps/>
                                        <w:color w:val="156082" w:themeColor="accent1"/>
                                        <w:sz w:val="28"/>
                                        <w:szCs w:val="28"/>
                                      </w:rPr>
                                      <w:t>21 March 2025</w:t>
                                    </w:r>
                                  </w:p>
                                </w:sdtContent>
                              </w:sdt>
                              <w:p w14:paraId="38642AC8" w14:textId="0725BC98" w:rsidR="00150E73" w:rsidRDefault="00150E7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Univeristy of wales trinity saint david</w:t>
                                    </w:r>
                                  </w:sdtContent>
                                </w:sdt>
                              </w:p>
                              <w:p w14:paraId="75C9F9F8" w14:textId="7DF8573C" w:rsidR="00150E73" w:rsidRDefault="00150E7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2112461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1E0BD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1T00:00:00Z">
                              <w:dateFormat w:val="dd MMMM yyyy"/>
                              <w:lid w:val="en-GB"/>
                              <w:storeMappedDataAs w:val="dateTime"/>
                              <w:calendar w:val="gregorian"/>
                            </w:date>
                          </w:sdtPr>
                          <w:sdtContent>
                            <w:p w14:paraId="151DEEF0" w14:textId="051E8D1D" w:rsidR="00150E73" w:rsidRDefault="00150E73">
                              <w:pPr>
                                <w:pStyle w:val="NoSpacing"/>
                                <w:spacing w:after="40"/>
                                <w:jc w:val="center"/>
                                <w:rPr>
                                  <w:caps/>
                                  <w:color w:val="156082" w:themeColor="accent1"/>
                                  <w:sz w:val="28"/>
                                  <w:szCs w:val="28"/>
                                </w:rPr>
                              </w:pPr>
                              <w:r>
                                <w:rPr>
                                  <w:caps/>
                                  <w:color w:val="156082" w:themeColor="accent1"/>
                                  <w:sz w:val="28"/>
                                  <w:szCs w:val="28"/>
                                </w:rPr>
                                <w:t>21 March 2025</w:t>
                              </w:r>
                            </w:p>
                          </w:sdtContent>
                        </w:sdt>
                        <w:p w14:paraId="38642AC8" w14:textId="0725BC98" w:rsidR="00150E73" w:rsidRDefault="00150E7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Univeristy of wales trinity saint david</w:t>
                              </w:r>
                            </w:sdtContent>
                          </w:sdt>
                        </w:p>
                        <w:p w14:paraId="75C9F9F8" w14:textId="7DF8573C" w:rsidR="00150E73" w:rsidRDefault="00150E7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2112461</w:t>
                              </w:r>
                            </w:sdtContent>
                          </w:sdt>
                        </w:p>
                      </w:txbxContent>
                    </v:textbox>
                    <w10:wrap anchorx="margin" anchory="page"/>
                  </v:shape>
                </w:pict>
              </mc:Fallback>
            </mc:AlternateContent>
          </w:r>
          <w:r>
            <w:rPr>
              <w:noProof/>
              <w:color w:val="156082" w:themeColor="accent1"/>
            </w:rPr>
            <w:drawing>
              <wp:inline distT="0" distB="0" distL="0" distR="0" wp14:anchorId="3D612BC1" wp14:editId="53D8546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5A547D" w14:textId="77777777" w:rsidR="00150E73" w:rsidRDefault="00150E73" w:rsidP="00150E73">
          <w:pPr>
            <w:rPr>
              <w:rFonts w:ascii="Calibri" w:hAnsi="Calibri" w:cs="Calibri"/>
              <w:sz w:val="24"/>
              <w:szCs w:val="24"/>
            </w:rPr>
          </w:pPr>
          <w:r>
            <w:rPr>
              <w:rFonts w:ascii="Calibri" w:hAnsi="Calibri" w:cs="Calibri"/>
              <w:sz w:val="24"/>
              <w:szCs w:val="24"/>
            </w:rPr>
            <w:br w:type="page"/>
          </w:r>
        </w:p>
      </w:sdtContent>
    </w:sdt>
    <w:p w14:paraId="64277CE6" w14:textId="0E683221" w:rsidR="00150E73" w:rsidRPr="00150E73" w:rsidRDefault="00150E73" w:rsidP="00150E73">
      <w:pPr>
        <w:rPr>
          <w:rFonts w:ascii="Calibri" w:hAnsi="Calibri" w:cs="Calibri"/>
          <w:sz w:val="24"/>
          <w:szCs w:val="24"/>
        </w:rPr>
      </w:pPr>
    </w:p>
    <w:sdt>
      <w:sdtPr>
        <w:rPr>
          <w:rFonts w:ascii="Calibri" w:hAnsi="Calibri" w:cs="Calibri"/>
          <w:sz w:val="24"/>
          <w:szCs w:val="24"/>
        </w:rPr>
        <w:id w:val="1056444549"/>
        <w:docPartObj>
          <w:docPartGallery w:val="Table of Contents"/>
          <w:docPartUnique/>
        </w:docPartObj>
      </w:sdtPr>
      <w:sdtEndPr>
        <w:rPr>
          <w:b/>
          <w:bCs/>
        </w:rPr>
      </w:sdtEndPr>
      <w:sdtContent>
        <w:p w14:paraId="59EF743F" w14:textId="77777777" w:rsidR="00150E73" w:rsidRPr="00150E73" w:rsidRDefault="00150E73" w:rsidP="00150E73">
          <w:pPr>
            <w:spacing w:line="360" w:lineRule="auto"/>
            <w:rPr>
              <w:rFonts w:ascii="Calibri" w:hAnsi="Calibri" w:cs="Calibri"/>
              <w:b/>
              <w:sz w:val="24"/>
              <w:szCs w:val="24"/>
              <w:lang w:val="en-US"/>
            </w:rPr>
          </w:pPr>
          <w:r w:rsidRPr="00150E73">
            <w:rPr>
              <w:rFonts w:ascii="Calibri" w:hAnsi="Calibri" w:cs="Calibri"/>
              <w:b/>
              <w:sz w:val="24"/>
              <w:szCs w:val="24"/>
              <w:lang w:val="en-US"/>
            </w:rPr>
            <w:t>Table of Contents</w:t>
          </w:r>
        </w:p>
        <w:p w14:paraId="66F2FA50" w14:textId="32B6EFA3" w:rsidR="00EF522A" w:rsidRDefault="00150E73">
          <w:pPr>
            <w:pStyle w:val="TOC1"/>
            <w:tabs>
              <w:tab w:val="left" w:pos="720"/>
              <w:tab w:val="right" w:leader="dot" w:pos="9016"/>
            </w:tabs>
            <w:rPr>
              <w:rFonts w:eastAsiaTheme="minorEastAsia"/>
              <w:noProof/>
              <w:kern w:val="2"/>
              <w:sz w:val="24"/>
              <w:szCs w:val="24"/>
              <w:lang w:eastAsia="en-GB"/>
              <w14:ligatures w14:val="standardContextual"/>
            </w:rPr>
          </w:pPr>
          <w:r w:rsidRPr="00150E73">
            <w:rPr>
              <w:rFonts w:ascii="Calibri" w:hAnsi="Calibri" w:cs="Calibri"/>
              <w:sz w:val="24"/>
              <w:szCs w:val="24"/>
            </w:rPr>
            <w:fldChar w:fldCharType="begin"/>
          </w:r>
          <w:r w:rsidRPr="00150E73">
            <w:rPr>
              <w:rFonts w:ascii="Calibri" w:hAnsi="Calibri" w:cs="Calibri"/>
              <w:sz w:val="24"/>
              <w:szCs w:val="24"/>
            </w:rPr>
            <w:instrText xml:space="preserve"> TOC \o "1-3" \h \z \u </w:instrText>
          </w:r>
          <w:r w:rsidRPr="00150E73">
            <w:rPr>
              <w:rFonts w:ascii="Calibri" w:hAnsi="Calibri" w:cs="Calibri"/>
              <w:sz w:val="24"/>
              <w:szCs w:val="24"/>
            </w:rPr>
            <w:fldChar w:fldCharType="separate"/>
          </w:r>
          <w:hyperlink w:anchor="_Toc193282258" w:history="1">
            <w:r w:rsidR="00EF522A" w:rsidRPr="00006F92">
              <w:rPr>
                <w:rStyle w:val="Hyperlink"/>
                <w:noProof/>
              </w:rPr>
              <w:t>1.0</w:t>
            </w:r>
            <w:r w:rsidR="00EF522A">
              <w:rPr>
                <w:rFonts w:eastAsiaTheme="minorEastAsia"/>
                <w:noProof/>
                <w:kern w:val="2"/>
                <w:sz w:val="24"/>
                <w:szCs w:val="24"/>
                <w:lang w:eastAsia="en-GB"/>
                <w14:ligatures w14:val="standardContextual"/>
              </w:rPr>
              <w:tab/>
            </w:r>
            <w:r w:rsidR="00EF522A" w:rsidRPr="00006F92">
              <w:rPr>
                <w:rStyle w:val="Hyperlink"/>
                <w:noProof/>
              </w:rPr>
              <w:t>Introduction</w:t>
            </w:r>
            <w:r w:rsidR="00EF522A">
              <w:rPr>
                <w:noProof/>
                <w:webHidden/>
              </w:rPr>
              <w:tab/>
            </w:r>
            <w:r w:rsidR="00EF522A">
              <w:rPr>
                <w:noProof/>
                <w:webHidden/>
              </w:rPr>
              <w:fldChar w:fldCharType="begin"/>
            </w:r>
            <w:r w:rsidR="00EF522A">
              <w:rPr>
                <w:noProof/>
                <w:webHidden/>
              </w:rPr>
              <w:instrText xml:space="preserve"> PAGEREF _Toc193282258 \h </w:instrText>
            </w:r>
            <w:r w:rsidR="00EF522A">
              <w:rPr>
                <w:noProof/>
                <w:webHidden/>
              </w:rPr>
            </w:r>
            <w:r w:rsidR="00EF522A">
              <w:rPr>
                <w:noProof/>
                <w:webHidden/>
              </w:rPr>
              <w:fldChar w:fldCharType="separate"/>
            </w:r>
            <w:r w:rsidR="00EF522A">
              <w:rPr>
                <w:noProof/>
                <w:webHidden/>
              </w:rPr>
              <w:t>2</w:t>
            </w:r>
            <w:r w:rsidR="00EF522A">
              <w:rPr>
                <w:noProof/>
                <w:webHidden/>
              </w:rPr>
              <w:fldChar w:fldCharType="end"/>
            </w:r>
          </w:hyperlink>
        </w:p>
        <w:p w14:paraId="1279C022" w14:textId="4E658B0E" w:rsidR="00EF522A" w:rsidRDefault="00EF522A">
          <w:pPr>
            <w:pStyle w:val="TOC2"/>
            <w:tabs>
              <w:tab w:val="left" w:pos="960"/>
              <w:tab w:val="right" w:leader="dot" w:pos="9016"/>
            </w:tabs>
            <w:rPr>
              <w:rFonts w:eastAsiaTheme="minorEastAsia"/>
              <w:noProof/>
              <w:kern w:val="2"/>
              <w:sz w:val="24"/>
              <w:szCs w:val="24"/>
              <w:lang w:eastAsia="en-GB"/>
              <w14:ligatures w14:val="standardContextual"/>
            </w:rPr>
          </w:pPr>
          <w:hyperlink w:anchor="_Toc193282259" w:history="1">
            <w:r w:rsidRPr="00006F92">
              <w:rPr>
                <w:rStyle w:val="Hyperlink"/>
                <w:noProof/>
              </w:rPr>
              <w:t>1.1</w:t>
            </w:r>
            <w:r>
              <w:rPr>
                <w:rFonts w:eastAsiaTheme="minorEastAsia"/>
                <w:noProof/>
                <w:kern w:val="2"/>
                <w:sz w:val="24"/>
                <w:szCs w:val="24"/>
                <w:lang w:eastAsia="en-GB"/>
                <w14:ligatures w14:val="standardContextual"/>
              </w:rPr>
              <w:tab/>
            </w:r>
            <w:r w:rsidRPr="00006F92">
              <w:rPr>
                <w:rStyle w:val="Hyperlink"/>
                <w:noProof/>
              </w:rPr>
              <w:t>Scope of the Implementation Plan</w:t>
            </w:r>
            <w:r>
              <w:rPr>
                <w:noProof/>
                <w:webHidden/>
              </w:rPr>
              <w:tab/>
            </w:r>
            <w:r>
              <w:rPr>
                <w:noProof/>
                <w:webHidden/>
              </w:rPr>
              <w:fldChar w:fldCharType="begin"/>
            </w:r>
            <w:r>
              <w:rPr>
                <w:noProof/>
                <w:webHidden/>
              </w:rPr>
              <w:instrText xml:space="preserve"> PAGEREF _Toc193282259 \h </w:instrText>
            </w:r>
            <w:r>
              <w:rPr>
                <w:noProof/>
                <w:webHidden/>
              </w:rPr>
            </w:r>
            <w:r>
              <w:rPr>
                <w:noProof/>
                <w:webHidden/>
              </w:rPr>
              <w:fldChar w:fldCharType="separate"/>
            </w:r>
            <w:r>
              <w:rPr>
                <w:noProof/>
                <w:webHidden/>
              </w:rPr>
              <w:t>2</w:t>
            </w:r>
            <w:r>
              <w:rPr>
                <w:noProof/>
                <w:webHidden/>
              </w:rPr>
              <w:fldChar w:fldCharType="end"/>
            </w:r>
          </w:hyperlink>
        </w:p>
        <w:p w14:paraId="63CC8F7F" w14:textId="6B31DBD9" w:rsidR="00EF522A" w:rsidRDefault="00EF522A">
          <w:pPr>
            <w:pStyle w:val="TOC2"/>
            <w:tabs>
              <w:tab w:val="left" w:pos="960"/>
              <w:tab w:val="right" w:leader="dot" w:pos="9016"/>
            </w:tabs>
            <w:rPr>
              <w:rFonts w:eastAsiaTheme="minorEastAsia"/>
              <w:noProof/>
              <w:kern w:val="2"/>
              <w:sz w:val="24"/>
              <w:szCs w:val="24"/>
              <w:lang w:eastAsia="en-GB"/>
              <w14:ligatures w14:val="standardContextual"/>
            </w:rPr>
          </w:pPr>
          <w:hyperlink w:anchor="_Toc193282260" w:history="1">
            <w:r w:rsidRPr="00006F92">
              <w:rPr>
                <w:rStyle w:val="Hyperlink"/>
                <w:noProof/>
              </w:rPr>
              <w:t>1.2</w:t>
            </w:r>
            <w:r>
              <w:rPr>
                <w:rFonts w:eastAsiaTheme="minorEastAsia"/>
                <w:noProof/>
                <w:kern w:val="2"/>
                <w:sz w:val="24"/>
                <w:szCs w:val="24"/>
                <w:lang w:eastAsia="en-GB"/>
                <w14:ligatures w14:val="standardContextual"/>
              </w:rPr>
              <w:tab/>
            </w:r>
            <w:r w:rsidRPr="00006F92">
              <w:rPr>
                <w:rStyle w:val="Hyperlink"/>
                <w:noProof/>
              </w:rPr>
              <w:t>Deliverables of Implementation Plan</w:t>
            </w:r>
            <w:r>
              <w:rPr>
                <w:noProof/>
                <w:webHidden/>
              </w:rPr>
              <w:tab/>
            </w:r>
            <w:r>
              <w:rPr>
                <w:noProof/>
                <w:webHidden/>
              </w:rPr>
              <w:fldChar w:fldCharType="begin"/>
            </w:r>
            <w:r>
              <w:rPr>
                <w:noProof/>
                <w:webHidden/>
              </w:rPr>
              <w:instrText xml:space="preserve"> PAGEREF _Toc193282260 \h </w:instrText>
            </w:r>
            <w:r>
              <w:rPr>
                <w:noProof/>
                <w:webHidden/>
              </w:rPr>
            </w:r>
            <w:r>
              <w:rPr>
                <w:noProof/>
                <w:webHidden/>
              </w:rPr>
              <w:fldChar w:fldCharType="separate"/>
            </w:r>
            <w:r>
              <w:rPr>
                <w:noProof/>
                <w:webHidden/>
              </w:rPr>
              <w:t>2</w:t>
            </w:r>
            <w:r>
              <w:rPr>
                <w:noProof/>
                <w:webHidden/>
              </w:rPr>
              <w:fldChar w:fldCharType="end"/>
            </w:r>
          </w:hyperlink>
        </w:p>
        <w:p w14:paraId="39A9EF5A" w14:textId="70835647" w:rsidR="00EF522A" w:rsidRDefault="00EF522A">
          <w:pPr>
            <w:pStyle w:val="TOC1"/>
            <w:tabs>
              <w:tab w:val="right" w:leader="dot" w:pos="9016"/>
            </w:tabs>
            <w:rPr>
              <w:rFonts w:eastAsiaTheme="minorEastAsia"/>
              <w:noProof/>
              <w:kern w:val="2"/>
              <w:sz w:val="24"/>
              <w:szCs w:val="24"/>
              <w:lang w:eastAsia="en-GB"/>
              <w14:ligatures w14:val="standardContextual"/>
            </w:rPr>
          </w:pPr>
          <w:hyperlink w:anchor="_Toc193282261" w:history="1">
            <w:r w:rsidRPr="00006F92">
              <w:rPr>
                <w:rStyle w:val="Hyperlink"/>
                <w:noProof/>
              </w:rPr>
              <w:t>2.0 Rationale</w:t>
            </w:r>
            <w:r>
              <w:rPr>
                <w:noProof/>
                <w:webHidden/>
              </w:rPr>
              <w:tab/>
            </w:r>
            <w:r>
              <w:rPr>
                <w:noProof/>
                <w:webHidden/>
              </w:rPr>
              <w:fldChar w:fldCharType="begin"/>
            </w:r>
            <w:r>
              <w:rPr>
                <w:noProof/>
                <w:webHidden/>
              </w:rPr>
              <w:instrText xml:space="preserve"> PAGEREF _Toc193282261 \h </w:instrText>
            </w:r>
            <w:r>
              <w:rPr>
                <w:noProof/>
                <w:webHidden/>
              </w:rPr>
            </w:r>
            <w:r>
              <w:rPr>
                <w:noProof/>
                <w:webHidden/>
              </w:rPr>
              <w:fldChar w:fldCharType="separate"/>
            </w:r>
            <w:r>
              <w:rPr>
                <w:noProof/>
                <w:webHidden/>
              </w:rPr>
              <w:t>3</w:t>
            </w:r>
            <w:r>
              <w:rPr>
                <w:noProof/>
                <w:webHidden/>
              </w:rPr>
              <w:fldChar w:fldCharType="end"/>
            </w:r>
          </w:hyperlink>
        </w:p>
        <w:p w14:paraId="47501EF8" w14:textId="3B6EE2FB"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2" w:history="1">
            <w:r w:rsidRPr="00006F92">
              <w:rPr>
                <w:rStyle w:val="Hyperlink"/>
                <w:noProof/>
              </w:rPr>
              <w:t>2.1 Aim and Objectives</w:t>
            </w:r>
            <w:r>
              <w:rPr>
                <w:noProof/>
                <w:webHidden/>
              </w:rPr>
              <w:tab/>
            </w:r>
            <w:r>
              <w:rPr>
                <w:noProof/>
                <w:webHidden/>
              </w:rPr>
              <w:fldChar w:fldCharType="begin"/>
            </w:r>
            <w:r>
              <w:rPr>
                <w:noProof/>
                <w:webHidden/>
              </w:rPr>
              <w:instrText xml:space="preserve"> PAGEREF _Toc193282262 \h </w:instrText>
            </w:r>
            <w:r>
              <w:rPr>
                <w:noProof/>
                <w:webHidden/>
              </w:rPr>
            </w:r>
            <w:r>
              <w:rPr>
                <w:noProof/>
                <w:webHidden/>
              </w:rPr>
              <w:fldChar w:fldCharType="separate"/>
            </w:r>
            <w:r>
              <w:rPr>
                <w:noProof/>
                <w:webHidden/>
              </w:rPr>
              <w:t>3</w:t>
            </w:r>
            <w:r>
              <w:rPr>
                <w:noProof/>
                <w:webHidden/>
              </w:rPr>
              <w:fldChar w:fldCharType="end"/>
            </w:r>
          </w:hyperlink>
        </w:p>
        <w:p w14:paraId="67C0F0AD" w14:textId="1CC1B483" w:rsidR="00EF522A" w:rsidRDefault="00EF522A">
          <w:pPr>
            <w:pStyle w:val="TOC1"/>
            <w:tabs>
              <w:tab w:val="right" w:leader="dot" w:pos="9016"/>
            </w:tabs>
            <w:rPr>
              <w:rFonts w:eastAsiaTheme="minorEastAsia"/>
              <w:noProof/>
              <w:kern w:val="2"/>
              <w:sz w:val="24"/>
              <w:szCs w:val="24"/>
              <w:lang w:eastAsia="en-GB"/>
              <w14:ligatures w14:val="standardContextual"/>
            </w:rPr>
          </w:pPr>
          <w:hyperlink w:anchor="_Toc193282263" w:history="1">
            <w:r w:rsidRPr="00006F92">
              <w:rPr>
                <w:rStyle w:val="Hyperlink"/>
                <w:noProof/>
              </w:rPr>
              <w:t>3.0 Action Plan</w:t>
            </w:r>
            <w:r>
              <w:rPr>
                <w:noProof/>
                <w:webHidden/>
              </w:rPr>
              <w:tab/>
            </w:r>
            <w:r>
              <w:rPr>
                <w:noProof/>
                <w:webHidden/>
              </w:rPr>
              <w:fldChar w:fldCharType="begin"/>
            </w:r>
            <w:r>
              <w:rPr>
                <w:noProof/>
                <w:webHidden/>
              </w:rPr>
              <w:instrText xml:space="preserve"> PAGEREF _Toc193282263 \h </w:instrText>
            </w:r>
            <w:r>
              <w:rPr>
                <w:noProof/>
                <w:webHidden/>
              </w:rPr>
            </w:r>
            <w:r>
              <w:rPr>
                <w:noProof/>
                <w:webHidden/>
              </w:rPr>
              <w:fldChar w:fldCharType="separate"/>
            </w:r>
            <w:r>
              <w:rPr>
                <w:noProof/>
                <w:webHidden/>
              </w:rPr>
              <w:t>4</w:t>
            </w:r>
            <w:r>
              <w:rPr>
                <w:noProof/>
                <w:webHidden/>
              </w:rPr>
              <w:fldChar w:fldCharType="end"/>
            </w:r>
          </w:hyperlink>
        </w:p>
        <w:p w14:paraId="6FDDFBDB" w14:textId="359B96C8"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4" w:history="1">
            <w:r w:rsidRPr="00006F92">
              <w:rPr>
                <w:rStyle w:val="Hyperlink"/>
                <w:noProof/>
              </w:rPr>
              <w:t>3.1 Stakeholder Analysis</w:t>
            </w:r>
            <w:r>
              <w:rPr>
                <w:noProof/>
                <w:webHidden/>
              </w:rPr>
              <w:tab/>
            </w:r>
            <w:r>
              <w:rPr>
                <w:noProof/>
                <w:webHidden/>
              </w:rPr>
              <w:fldChar w:fldCharType="begin"/>
            </w:r>
            <w:r>
              <w:rPr>
                <w:noProof/>
                <w:webHidden/>
              </w:rPr>
              <w:instrText xml:space="preserve"> PAGEREF _Toc193282264 \h </w:instrText>
            </w:r>
            <w:r>
              <w:rPr>
                <w:noProof/>
                <w:webHidden/>
              </w:rPr>
            </w:r>
            <w:r>
              <w:rPr>
                <w:noProof/>
                <w:webHidden/>
              </w:rPr>
              <w:fldChar w:fldCharType="separate"/>
            </w:r>
            <w:r>
              <w:rPr>
                <w:noProof/>
                <w:webHidden/>
              </w:rPr>
              <w:t>4</w:t>
            </w:r>
            <w:r>
              <w:rPr>
                <w:noProof/>
                <w:webHidden/>
              </w:rPr>
              <w:fldChar w:fldCharType="end"/>
            </w:r>
          </w:hyperlink>
        </w:p>
        <w:p w14:paraId="3213E6B0" w14:textId="1884175C"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5" w:history="1">
            <w:r w:rsidRPr="00006F92">
              <w:rPr>
                <w:rStyle w:val="Hyperlink"/>
                <w:noProof/>
              </w:rPr>
              <w:t>3.2 Time Plan</w:t>
            </w:r>
            <w:r>
              <w:rPr>
                <w:noProof/>
                <w:webHidden/>
              </w:rPr>
              <w:tab/>
            </w:r>
            <w:r>
              <w:rPr>
                <w:noProof/>
                <w:webHidden/>
              </w:rPr>
              <w:fldChar w:fldCharType="begin"/>
            </w:r>
            <w:r>
              <w:rPr>
                <w:noProof/>
                <w:webHidden/>
              </w:rPr>
              <w:instrText xml:space="preserve"> PAGEREF _Toc193282265 \h </w:instrText>
            </w:r>
            <w:r>
              <w:rPr>
                <w:noProof/>
                <w:webHidden/>
              </w:rPr>
            </w:r>
            <w:r>
              <w:rPr>
                <w:noProof/>
                <w:webHidden/>
              </w:rPr>
              <w:fldChar w:fldCharType="separate"/>
            </w:r>
            <w:r>
              <w:rPr>
                <w:noProof/>
                <w:webHidden/>
              </w:rPr>
              <w:t>5</w:t>
            </w:r>
            <w:r>
              <w:rPr>
                <w:noProof/>
                <w:webHidden/>
              </w:rPr>
              <w:fldChar w:fldCharType="end"/>
            </w:r>
          </w:hyperlink>
        </w:p>
        <w:p w14:paraId="4085B798" w14:textId="7ABEA43E"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6" w:history="1">
            <w:r w:rsidRPr="00006F92">
              <w:rPr>
                <w:rStyle w:val="Hyperlink"/>
                <w:noProof/>
              </w:rPr>
              <w:t>3.2 Risk Management and Strategies</w:t>
            </w:r>
            <w:r>
              <w:rPr>
                <w:noProof/>
                <w:webHidden/>
              </w:rPr>
              <w:tab/>
            </w:r>
            <w:r>
              <w:rPr>
                <w:noProof/>
                <w:webHidden/>
              </w:rPr>
              <w:fldChar w:fldCharType="begin"/>
            </w:r>
            <w:r>
              <w:rPr>
                <w:noProof/>
                <w:webHidden/>
              </w:rPr>
              <w:instrText xml:space="preserve"> PAGEREF _Toc193282266 \h </w:instrText>
            </w:r>
            <w:r>
              <w:rPr>
                <w:noProof/>
                <w:webHidden/>
              </w:rPr>
            </w:r>
            <w:r>
              <w:rPr>
                <w:noProof/>
                <w:webHidden/>
              </w:rPr>
              <w:fldChar w:fldCharType="separate"/>
            </w:r>
            <w:r>
              <w:rPr>
                <w:noProof/>
                <w:webHidden/>
              </w:rPr>
              <w:t>7</w:t>
            </w:r>
            <w:r>
              <w:rPr>
                <w:noProof/>
                <w:webHidden/>
              </w:rPr>
              <w:fldChar w:fldCharType="end"/>
            </w:r>
          </w:hyperlink>
        </w:p>
        <w:p w14:paraId="64E10AE6" w14:textId="21787697" w:rsidR="00EF522A" w:rsidRDefault="00EF522A">
          <w:pPr>
            <w:pStyle w:val="TOC1"/>
            <w:tabs>
              <w:tab w:val="right" w:leader="dot" w:pos="9016"/>
            </w:tabs>
            <w:rPr>
              <w:rFonts w:eastAsiaTheme="minorEastAsia"/>
              <w:noProof/>
              <w:kern w:val="2"/>
              <w:sz w:val="24"/>
              <w:szCs w:val="24"/>
              <w:lang w:eastAsia="en-GB"/>
              <w14:ligatures w14:val="standardContextual"/>
            </w:rPr>
          </w:pPr>
          <w:hyperlink w:anchor="_Toc193282267" w:history="1">
            <w:r w:rsidRPr="00006F92">
              <w:rPr>
                <w:rStyle w:val="Hyperlink"/>
                <w:noProof/>
              </w:rPr>
              <w:t>4.0 Recommendations</w:t>
            </w:r>
            <w:r>
              <w:rPr>
                <w:noProof/>
                <w:webHidden/>
              </w:rPr>
              <w:tab/>
            </w:r>
            <w:r>
              <w:rPr>
                <w:noProof/>
                <w:webHidden/>
              </w:rPr>
              <w:fldChar w:fldCharType="begin"/>
            </w:r>
            <w:r>
              <w:rPr>
                <w:noProof/>
                <w:webHidden/>
              </w:rPr>
              <w:instrText xml:space="preserve"> PAGEREF _Toc193282267 \h </w:instrText>
            </w:r>
            <w:r>
              <w:rPr>
                <w:noProof/>
                <w:webHidden/>
              </w:rPr>
            </w:r>
            <w:r>
              <w:rPr>
                <w:noProof/>
                <w:webHidden/>
              </w:rPr>
              <w:fldChar w:fldCharType="separate"/>
            </w:r>
            <w:r>
              <w:rPr>
                <w:noProof/>
                <w:webHidden/>
              </w:rPr>
              <w:t>8</w:t>
            </w:r>
            <w:r>
              <w:rPr>
                <w:noProof/>
                <w:webHidden/>
              </w:rPr>
              <w:fldChar w:fldCharType="end"/>
            </w:r>
          </w:hyperlink>
        </w:p>
        <w:p w14:paraId="286BFABD" w14:textId="2BED4CBC"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8" w:history="1">
            <w:r w:rsidRPr="00006F92">
              <w:rPr>
                <w:rStyle w:val="Hyperlink"/>
                <w:noProof/>
              </w:rPr>
              <w:t>4.1 Strengthen Partnerships with Educational Institutions</w:t>
            </w:r>
            <w:r>
              <w:rPr>
                <w:noProof/>
                <w:webHidden/>
              </w:rPr>
              <w:tab/>
            </w:r>
            <w:r>
              <w:rPr>
                <w:noProof/>
                <w:webHidden/>
              </w:rPr>
              <w:fldChar w:fldCharType="begin"/>
            </w:r>
            <w:r>
              <w:rPr>
                <w:noProof/>
                <w:webHidden/>
              </w:rPr>
              <w:instrText xml:space="preserve"> PAGEREF _Toc193282268 \h </w:instrText>
            </w:r>
            <w:r>
              <w:rPr>
                <w:noProof/>
                <w:webHidden/>
              </w:rPr>
            </w:r>
            <w:r>
              <w:rPr>
                <w:noProof/>
                <w:webHidden/>
              </w:rPr>
              <w:fldChar w:fldCharType="separate"/>
            </w:r>
            <w:r>
              <w:rPr>
                <w:noProof/>
                <w:webHidden/>
              </w:rPr>
              <w:t>8</w:t>
            </w:r>
            <w:r>
              <w:rPr>
                <w:noProof/>
                <w:webHidden/>
              </w:rPr>
              <w:fldChar w:fldCharType="end"/>
            </w:r>
          </w:hyperlink>
        </w:p>
        <w:p w14:paraId="517EEEB0" w14:textId="66459ED6"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69" w:history="1">
            <w:r w:rsidRPr="00006F92">
              <w:rPr>
                <w:rStyle w:val="Hyperlink"/>
                <w:noProof/>
              </w:rPr>
              <w:t>4.2 Develop Comprehensive Mentorship and Sponsorship Programs</w:t>
            </w:r>
            <w:r>
              <w:rPr>
                <w:noProof/>
                <w:webHidden/>
              </w:rPr>
              <w:tab/>
            </w:r>
            <w:r>
              <w:rPr>
                <w:noProof/>
                <w:webHidden/>
              </w:rPr>
              <w:fldChar w:fldCharType="begin"/>
            </w:r>
            <w:r>
              <w:rPr>
                <w:noProof/>
                <w:webHidden/>
              </w:rPr>
              <w:instrText xml:space="preserve"> PAGEREF _Toc193282269 \h </w:instrText>
            </w:r>
            <w:r>
              <w:rPr>
                <w:noProof/>
                <w:webHidden/>
              </w:rPr>
            </w:r>
            <w:r>
              <w:rPr>
                <w:noProof/>
                <w:webHidden/>
              </w:rPr>
              <w:fldChar w:fldCharType="separate"/>
            </w:r>
            <w:r>
              <w:rPr>
                <w:noProof/>
                <w:webHidden/>
              </w:rPr>
              <w:t>9</w:t>
            </w:r>
            <w:r>
              <w:rPr>
                <w:noProof/>
                <w:webHidden/>
              </w:rPr>
              <w:fldChar w:fldCharType="end"/>
            </w:r>
          </w:hyperlink>
        </w:p>
        <w:p w14:paraId="0D97C177" w14:textId="0DA87439"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70" w:history="1">
            <w:r w:rsidRPr="00006F92">
              <w:rPr>
                <w:rStyle w:val="Hyperlink"/>
                <w:noProof/>
              </w:rPr>
              <w:t>4.3 Implement Ongoing Awareness Campaigns and Advocacy</w:t>
            </w:r>
            <w:r>
              <w:rPr>
                <w:noProof/>
                <w:webHidden/>
              </w:rPr>
              <w:tab/>
            </w:r>
            <w:r>
              <w:rPr>
                <w:noProof/>
                <w:webHidden/>
              </w:rPr>
              <w:fldChar w:fldCharType="begin"/>
            </w:r>
            <w:r>
              <w:rPr>
                <w:noProof/>
                <w:webHidden/>
              </w:rPr>
              <w:instrText xml:space="preserve"> PAGEREF _Toc193282270 \h </w:instrText>
            </w:r>
            <w:r>
              <w:rPr>
                <w:noProof/>
                <w:webHidden/>
              </w:rPr>
            </w:r>
            <w:r>
              <w:rPr>
                <w:noProof/>
                <w:webHidden/>
              </w:rPr>
              <w:fldChar w:fldCharType="separate"/>
            </w:r>
            <w:r>
              <w:rPr>
                <w:noProof/>
                <w:webHidden/>
              </w:rPr>
              <w:t>9</w:t>
            </w:r>
            <w:r>
              <w:rPr>
                <w:noProof/>
                <w:webHidden/>
              </w:rPr>
              <w:fldChar w:fldCharType="end"/>
            </w:r>
          </w:hyperlink>
        </w:p>
        <w:p w14:paraId="11E59872" w14:textId="4C9F1B72" w:rsidR="00EF522A" w:rsidRDefault="00EF522A">
          <w:pPr>
            <w:pStyle w:val="TOC2"/>
            <w:tabs>
              <w:tab w:val="right" w:leader="dot" w:pos="9016"/>
            </w:tabs>
            <w:rPr>
              <w:rFonts w:eastAsiaTheme="minorEastAsia"/>
              <w:noProof/>
              <w:kern w:val="2"/>
              <w:sz w:val="24"/>
              <w:szCs w:val="24"/>
              <w:lang w:eastAsia="en-GB"/>
              <w14:ligatures w14:val="standardContextual"/>
            </w:rPr>
          </w:pPr>
          <w:hyperlink w:anchor="_Toc193282271" w:history="1">
            <w:r w:rsidRPr="00006F92">
              <w:rPr>
                <w:rStyle w:val="Hyperlink"/>
                <w:noProof/>
              </w:rPr>
              <w:t>5.0 Conclusion</w:t>
            </w:r>
            <w:r>
              <w:rPr>
                <w:noProof/>
                <w:webHidden/>
              </w:rPr>
              <w:tab/>
            </w:r>
            <w:r>
              <w:rPr>
                <w:noProof/>
                <w:webHidden/>
              </w:rPr>
              <w:fldChar w:fldCharType="begin"/>
            </w:r>
            <w:r>
              <w:rPr>
                <w:noProof/>
                <w:webHidden/>
              </w:rPr>
              <w:instrText xml:space="preserve"> PAGEREF _Toc193282271 \h </w:instrText>
            </w:r>
            <w:r>
              <w:rPr>
                <w:noProof/>
                <w:webHidden/>
              </w:rPr>
            </w:r>
            <w:r>
              <w:rPr>
                <w:noProof/>
                <w:webHidden/>
              </w:rPr>
              <w:fldChar w:fldCharType="separate"/>
            </w:r>
            <w:r>
              <w:rPr>
                <w:noProof/>
                <w:webHidden/>
              </w:rPr>
              <w:t>10</w:t>
            </w:r>
            <w:r>
              <w:rPr>
                <w:noProof/>
                <w:webHidden/>
              </w:rPr>
              <w:fldChar w:fldCharType="end"/>
            </w:r>
          </w:hyperlink>
        </w:p>
        <w:p w14:paraId="30161951" w14:textId="73F86D38" w:rsidR="00EF522A" w:rsidRDefault="00EF522A">
          <w:pPr>
            <w:pStyle w:val="TOC1"/>
            <w:tabs>
              <w:tab w:val="right" w:leader="dot" w:pos="9016"/>
            </w:tabs>
            <w:rPr>
              <w:rFonts w:eastAsiaTheme="minorEastAsia"/>
              <w:noProof/>
              <w:kern w:val="2"/>
              <w:sz w:val="24"/>
              <w:szCs w:val="24"/>
              <w:lang w:eastAsia="en-GB"/>
              <w14:ligatures w14:val="standardContextual"/>
            </w:rPr>
          </w:pPr>
          <w:hyperlink w:anchor="_Toc193282272" w:history="1">
            <w:r w:rsidRPr="00006F92">
              <w:rPr>
                <w:rStyle w:val="Hyperlink"/>
                <w:noProof/>
              </w:rPr>
              <w:t>6.0 References</w:t>
            </w:r>
            <w:r>
              <w:rPr>
                <w:noProof/>
                <w:webHidden/>
              </w:rPr>
              <w:tab/>
            </w:r>
            <w:r>
              <w:rPr>
                <w:noProof/>
                <w:webHidden/>
              </w:rPr>
              <w:fldChar w:fldCharType="begin"/>
            </w:r>
            <w:r>
              <w:rPr>
                <w:noProof/>
                <w:webHidden/>
              </w:rPr>
              <w:instrText xml:space="preserve"> PAGEREF _Toc193282272 \h </w:instrText>
            </w:r>
            <w:r>
              <w:rPr>
                <w:noProof/>
                <w:webHidden/>
              </w:rPr>
            </w:r>
            <w:r>
              <w:rPr>
                <w:noProof/>
                <w:webHidden/>
              </w:rPr>
              <w:fldChar w:fldCharType="separate"/>
            </w:r>
            <w:r>
              <w:rPr>
                <w:noProof/>
                <w:webHidden/>
              </w:rPr>
              <w:t>11</w:t>
            </w:r>
            <w:r>
              <w:rPr>
                <w:noProof/>
                <w:webHidden/>
              </w:rPr>
              <w:fldChar w:fldCharType="end"/>
            </w:r>
          </w:hyperlink>
        </w:p>
        <w:p w14:paraId="33400B30" w14:textId="5AD6125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fldChar w:fldCharType="end"/>
          </w:r>
        </w:p>
      </w:sdtContent>
    </w:sdt>
    <w:p w14:paraId="3AFA046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br w:type="page"/>
      </w:r>
    </w:p>
    <w:p w14:paraId="2488E18E" w14:textId="74C7C530" w:rsidR="00150E73" w:rsidRDefault="00150E73" w:rsidP="00150E73">
      <w:pPr>
        <w:pStyle w:val="Heading1"/>
        <w:numPr>
          <w:ilvl w:val="0"/>
          <w:numId w:val="7"/>
        </w:numPr>
        <w:jc w:val="center"/>
      </w:pPr>
      <w:bookmarkStart w:id="1" w:name="_Toc193282258"/>
      <w:r w:rsidRPr="00150E73">
        <w:lastRenderedPageBreak/>
        <w:t>Introduction</w:t>
      </w:r>
      <w:bookmarkEnd w:id="0"/>
      <w:bookmarkEnd w:id="1"/>
    </w:p>
    <w:p w14:paraId="13FD3ADC" w14:textId="77777777" w:rsidR="00150E73" w:rsidRPr="00150E73" w:rsidRDefault="00150E73" w:rsidP="00150E73"/>
    <w:p w14:paraId="3241C62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The proposed implementation plan for enhancing the inclusion and empowerment of females in leadership roles in the mechanical engineering sector translates proposed strategies into implementations of initiatives and actions. Females continue to remain underrepresented in the mechanical engineering sector (</w:t>
      </w:r>
      <w:proofErr w:type="spellStart"/>
      <w:r w:rsidRPr="00150E73">
        <w:rPr>
          <w:rFonts w:ascii="Calibri" w:hAnsi="Calibri" w:cs="Calibri"/>
          <w:sz w:val="24"/>
          <w:szCs w:val="24"/>
        </w:rPr>
        <w:t>Ngene</w:t>
      </w:r>
      <w:proofErr w:type="spellEnd"/>
      <w:r w:rsidRPr="00150E73">
        <w:rPr>
          <w:rFonts w:ascii="Calibri" w:hAnsi="Calibri" w:cs="Calibri"/>
          <w:sz w:val="24"/>
          <w:szCs w:val="24"/>
        </w:rPr>
        <w:t xml:space="preserve"> and </w:t>
      </w:r>
      <w:proofErr w:type="spellStart"/>
      <w:r w:rsidRPr="00150E73">
        <w:rPr>
          <w:rFonts w:ascii="Calibri" w:hAnsi="Calibri" w:cs="Calibri"/>
          <w:sz w:val="24"/>
          <w:szCs w:val="24"/>
        </w:rPr>
        <w:t>Ezeora</w:t>
      </w:r>
      <w:proofErr w:type="spellEnd"/>
      <w:r w:rsidRPr="00150E73">
        <w:rPr>
          <w:rFonts w:ascii="Calibri" w:hAnsi="Calibri" w:cs="Calibri"/>
          <w:sz w:val="24"/>
          <w:szCs w:val="24"/>
        </w:rPr>
        <w:t>, 2024). This implementation plan targets the reduction of exclusion and enhanced participation, thus allowing females in the sector to challenge for leadership positions. By applying engagement programs, increasing the visibility of female role models, and provisioning initiatives of mentorship, this plan is based on developing tangible and sustainable change in the mechanical engineering sector by increasing female leaders.</w:t>
      </w:r>
    </w:p>
    <w:p w14:paraId="205B772C" w14:textId="4525763B" w:rsidR="00150E73" w:rsidRDefault="00150E73" w:rsidP="00BF10FC">
      <w:pPr>
        <w:pStyle w:val="Heading2"/>
        <w:numPr>
          <w:ilvl w:val="1"/>
          <w:numId w:val="7"/>
        </w:numPr>
        <w:jc w:val="center"/>
      </w:pPr>
      <w:bookmarkStart w:id="2" w:name="_Toc193282259"/>
      <w:r w:rsidRPr="00150E73">
        <w:t>Scope of the Implementation Plan</w:t>
      </w:r>
      <w:bookmarkEnd w:id="2"/>
    </w:p>
    <w:p w14:paraId="482EC417" w14:textId="77777777" w:rsidR="00BF10FC" w:rsidRPr="00BF10FC" w:rsidRDefault="00BF10FC" w:rsidP="00BF10FC"/>
    <w:p w14:paraId="6FF7A4E1" w14:textId="77777777" w:rsidR="00150E73" w:rsidRPr="00150E73" w:rsidRDefault="00150E73" w:rsidP="00150E73">
      <w:pPr>
        <w:numPr>
          <w:ilvl w:val="0"/>
          <w:numId w:val="3"/>
        </w:numPr>
        <w:spacing w:line="360" w:lineRule="auto"/>
        <w:rPr>
          <w:rFonts w:ascii="Calibri" w:hAnsi="Calibri" w:cs="Calibri"/>
          <w:sz w:val="24"/>
          <w:szCs w:val="24"/>
        </w:rPr>
      </w:pPr>
      <w:r w:rsidRPr="00150E73">
        <w:rPr>
          <w:rFonts w:ascii="Calibri" w:hAnsi="Calibri" w:cs="Calibri"/>
          <w:sz w:val="24"/>
          <w:szCs w:val="24"/>
        </w:rPr>
        <w:t>Address barriers to female participation in mechanical engineering.</w:t>
      </w:r>
    </w:p>
    <w:p w14:paraId="0A7D3A09" w14:textId="77777777" w:rsidR="00150E73" w:rsidRPr="00150E73" w:rsidRDefault="00150E73" w:rsidP="00150E73">
      <w:pPr>
        <w:numPr>
          <w:ilvl w:val="0"/>
          <w:numId w:val="3"/>
        </w:numPr>
        <w:spacing w:line="360" w:lineRule="auto"/>
        <w:rPr>
          <w:rFonts w:ascii="Calibri" w:hAnsi="Calibri" w:cs="Calibri"/>
          <w:sz w:val="24"/>
          <w:szCs w:val="24"/>
        </w:rPr>
      </w:pPr>
      <w:r w:rsidRPr="00150E73">
        <w:rPr>
          <w:rFonts w:ascii="Calibri" w:hAnsi="Calibri" w:cs="Calibri"/>
          <w:sz w:val="24"/>
          <w:szCs w:val="24"/>
        </w:rPr>
        <w:t>Implement initiatives targeting recruitment, mentorship, and leadership development.</w:t>
      </w:r>
    </w:p>
    <w:p w14:paraId="01282D23" w14:textId="77777777" w:rsidR="00150E73" w:rsidRPr="00150E73" w:rsidRDefault="00150E73" w:rsidP="00150E73">
      <w:pPr>
        <w:numPr>
          <w:ilvl w:val="0"/>
          <w:numId w:val="3"/>
        </w:numPr>
        <w:spacing w:line="360" w:lineRule="auto"/>
        <w:rPr>
          <w:rFonts w:ascii="Calibri" w:hAnsi="Calibri" w:cs="Calibri"/>
          <w:sz w:val="24"/>
          <w:szCs w:val="24"/>
        </w:rPr>
      </w:pPr>
      <w:r w:rsidRPr="00150E73">
        <w:rPr>
          <w:rFonts w:ascii="Calibri" w:hAnsi="Calibri" w:cs="Calibri"/>
          <w:sz w:val="24"/>
          <w:szCs w:val="24"/>
        </w:rPr>
        <w:t>Develop a culture of inclusivity and diversity within the industry.</w:t>
      </w:r>
    </w:p>
    <w:p w14:paraId="2120FF6C" w14:textId="116476E7" w:rsidR="00BF10FC" w:rsidRDefault="00150E73" w:rsidP="00BF10FC">
      <w:pPr>
        <w:pStyle w:val="Heading2"/>
        <w:numPr>
          <w:ilvl w:val="1"/>
          <w:numId w:val="7"/>
        </w:numPr>
        <w:jc w:val="center"/>
      </w:pPr>
      <w:bookmarkStart w:id="3" w:name="_Toc193282260"/>
      <w:r w:rsidRPr="00150E73">
        <w:t>Deliverables of Implementation Plan</w:t>
      </w:r>
      <w:bookmarkEnd w:id="3"/>
    </w:p>
    <w:p w14:paraId="6117076B" w14:textId="77777777" w:rsidR="00BF10FC" w:rsidRPr="00BF10FC" w:rsidRDefault="00BF10FC" w:rsidP="00BF10FC"/>
    <w:p w14:paraId="3D581ED9" w14:textId="77777777" w:rsidR="00150E73" w:rsidRPr="00150E73" w:rsidRDefault="00150E73" w:rsidP="00150E73">
      <w:pPr>
        <w:spacing w:line="360" w:lineRule="auto"/>
        <w:rPr>
          <w:rFonts w:ascii="Calibri" w:hAnsi="Calibri" w:cs="Calibri"/>
          <w:i/>
          <w:iCs/>
          <w:sz w:val="24"/>
          <w:szCs w:val="24"/>
        </w:rPr>
      </w:pPr>
      <w:r w:rsidRPr="00150E73">
        <w:rPr>
          <w:rFonts w:ascii="Calibri" w:hAnsi="Calibri" w:cs="Calibri"/>
          <w:i/>
          <w:iCs/>
          <w:sz w:val="24"/>
          <w:szCs w:val="24"/>
        </w:rPr>
        <w:t xml:space="preserve">Table </w:t>
      </w:r>
      <w:r w:rsidRPr="00150E73">
        <w:rPr>
          <w:rFonts w:ascii="Calibri" w:hAnsi="Calibri" w:cs="Calibri"/>
          <w:i/>
          <w:iCs/>
          <w:sz w:val="24"/>
          <w:szCs w:val="24"/>
        </w:rPr>
        <w:fldChar w:fldCharType="begin"/>
      </w:r>
      <w:r w:rsidRPr="00150E73">
        <w:rPr>
          <w:rFonts w:ascii="Calibri" w:hAnsi="Calibri" w:cs="Calibri"/>
          <w:i/>
          <w:iCs/>
          <w:sz w:val="24"/>
          <w:szCs w:val="24"/>
        </w:rPr>
        <w:instrText xml:space="preserve"> SEQ Table \* ARABIC </w:instrText>
      </w:r>
      <w:r w:rsidRPr="00150E73">
        <w:rPr>
          <w:rFonts w:ascii="Calibri" w:hAnsi="Calibri" w:cs="Calibri"/>
          <w:i/>
          <w:iCs/>
          <w:sz w:val="24"/>
          <w:szCs w:val="24"/>
        </w:rPr>
        <w:fldChar w:fldCharType="separate"/>
      </w:r>
      <w:r w:rsidRPr="00150E73">
        <w:rPr>
          <w:rFonts w:ascii="Calibri" w:hAnsi="Calibri" w:cs="Calibri"/>
          <w:i/>
          <w:iCs/>
          <w:sz w:val="24"/>
          <w:szCs w:val="24"/>
        </w:rPr>
        <w:t>1</w:t>
      </w:r>
      <w:r w:rsidRPr="00150E73">
        <w:rPr>
          <w:rFonts w:ascii="Calibri" w:hAnsi="Calibri" w:cs="Calibri"/>
          <w:sz w:val="24"/>
          <w:szCs w:val="24"/>
        </w:rPr>
        <w:fldChar w:fldCharType="end"/>
      </w:r>
      <w:r w:rsidRPr="00150E73">
        <w:rPr>
          <w:rFonts w:ascii="Calibri" w:hAnsi="Calibri" w:cs="Calibri"/>
          <w:i/>
          <w:iCs/>
          <w:sz w:val="24"/>
          <w:szCs w:val="24"/>
        </w:rPr>
        <w:t xml:space="preserve"> Deliverables</w:t>
      </w:r>
    </w:p>
    <w:tbl>
      <w:tblPr>
        <w:tblW w:w="8270" w:type="dxa"/>
        <w:jc w:val="center"/>
        <w:tblLook w:val="04A0" w:firstRow="1" w:lastRow="0" w:firstColumn="1" w:lastColumn="0" w:noHBand="0" w:noVBand="1"/>
      </w:tblPr>
      <w:tblGrid>
        <w:gridCol w:w="2817"/>
        <w:gridCol w:w="5453"/>
      </w:tblGrid>
      <w:tr w:rsidR="00150E73" w:rsidRPr="00150E73" w14:paraId="5C3AFB11" w14:textId="77777777" w:rsidTr="00170EF2">
        <w:trPr>
          <w:trHeight w:val="192"/>
          <w:jc w:val="center"/>
        </w:trPr>
        <w:tc>
          <w:tcPr>
            <w:tcW w:w="2817"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78A43FDF"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Deliverable</w:t>
            </w:r>
          </w:p>
        </w:tc>
        <w:tc>
          <w:tcPr>
            <w:tcW w:w="5453" w:type="dxa"/>
            <w:tcBorders>
              <w:top w:val="single" w:sz="8" w:space="0" w:color="auto"/>
              <w:left w:val="nil"/>
              <w:bottom w:val="single" w:sz="4" w:space="0" w:color="auto"/>
              <w:right w:val="single" w:sz="8" w:space="0" w:color="auto"/>
            </w:tcBorders>
            <w:shd w:val="clear" w:color="auto" w:fill="auto"/>
            <w:vAlign w:val="center"/>
            <w:hideMark/>
          </w:tcPr>
          <w:p w14:paraId="5033546F"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Description</w:t>
            </w:r>
          </w:p>
        </w:tc>
      </w:tr>
      <w:tr w:rsidR="00150E73" w:rsidRPr="00150E73" w14:paraId="75CDBEA1" w14:textId="77777777" w:rsidTr="00170EF2">
        <w:trPr>
          <w:trHeight w:val="385"/>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5DBEA5B9"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Early STEM Engagement</w:t>
            </w:r>
          </w:p>
        </w:tc>
        <w:tc>
          <w:tcPr>
            <w:tcW w:w="5453" w:type="dxa"/>
            <w:tcBorders>
              <w:top w:val="nil"/>
              <w:left w:val="nil"/>
              <w:bottom w:val="single" w:sz="4" w:space="0" w:color="auto"/>
              <w:right w:val="single" w:sz="8" w:space="0" w:color="auto"/>
            </w:tcBorders>
            <w:shd w:val="clear" w:color="auto" w:fill="auto"/>
            <w:vAlign w:val="center"/>
            <w:hideMark/>
          </w:tcPr>
          <w:p w14:paraId="75E88F48"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Workshops introducing girls to engineering concepts.</w:t>
            </w:r>
          </w:p>
        </w:tc>
      </w:tr>
      <w:tr w:rsidR="00150E73" w:rsidRPr="00150E73" w14:paraId="7A0A01C9" w14:textId="77777777" w:rsidTr="00170EF2">
        <w:trPr>
          <w:trHeight w:val="192"/>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711721E4"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Role Model Campaigns</w:t>
            </w:r>
          </w:p>
        </w:tc>
        <w:tc>
          <w:tcPr>
            <w:tcW w:w="5453" w:type="dxa"/>
            <w:tcBorders>
              <w:top w:val="nil"/>
              <w:left w:val="nil"/>
              <w:bottom w:val="single" w:sz="4" w:space="0" w:color="auto"/>
              <w:right w:val="single" w:sz="8" w:space="0" w:color="auto"/>
            </w:tcBorders>
            <w:shd w:val="clear" w:color="auto" w:fill="auto"/>
            <w:vAlign w:val="center"/>
            <w:hideMark/>
          </w:tcPr>
          <w:p w14:paraId="1F7C2E5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Highlighting successful women in engineering.</w:t>
            </w:r>
          </w:p>
        </w:tc>
      </w:tr>
      <w:tr w:rsidR="00150E73" w:rsidRPr="00150E73" w14:paraId="3DE4F03F" w14:textId="77777777" w:rsidTr="00170EF2">
        <w:trPr>
          <w:trHeight w:val="385"/>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6CF381D7"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Proactive Recruitment</w:t>
            </w:r>
          </w:p>
        </w:tc>
        <w:tc>
          <w:tcPr>
            <w:tcW w:w="5453" w:type="dxa"/>
            <w:tcBorders>
              <w:top w:val="nil"/>
              <w:left w:val="nil"/>
              <w:bottom w:val="single" w:sz="4" w:space="0" w:color="auto"/>
              <w:right w:val="single" w:sz="8" w:space="0" w:color="auto"/>
            </w:tcBorders>
            <w:shd w:val="clear" w:color="auto" w:fill="auto"/>
            <w:vAlign w:val="center"/>
            <w:hideMark/>
          </w:tcPr>
          <w:p w14:paraId="54C8FED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Partnering with institutions to recruit female talent.</w:t>
            </w:r>
          </w:p>
        </w:tc>
      </w:tr>
      <w:tr w:rsidR="00150E73" w:rsidRPr="00150E73" w14:paraId="38416AB3" w14:textId="77777777" w:rsidTr="00170EF2">
        <w:trPr>
          <w:trHeight w:val="385"/>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12E16393"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Mentorship Programs</w:t>
            </w:r>
          </w:p>
        </w:tc>
        <w:tc>
          <w:tcPr>
            <w:tcW w:w="5453" w:type="dxa"/>
            <w:tcBorders>
              <w:top w:val="nil"/>
              <w:left w:val="nil"/>
              <w:bottom w:val="single" w:sz="4" w:space="0" w:color="auto"/>
              <w:right w:val="single" w:sz="8" w:space="0" w:color="auto"/>
            </w:tcBorders>
            <w:shd w:val="clear" w:color="auto" w:fill="auto"/>
            <w:vAlign w:val="center"/>
            <w:hideMark/>
          </w:tcPr>
          <w:p w14:paraId="6BB5CB3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Providing guidance through professional societies.</w:t>
            </w:r>
          </w:p>
        </w:tc>
      </w:tr>
      <w:tr w:rsidR="00150E73" w:rsidRPr="00150E73" w14:paraId="2F38691C" w14:textId="77777777" w:rsidTr="00170EF2">
        <w:trPr>
          <w:trHeight w:val="192"/>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40A72294"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Corporate Inclusion</w:t>
            </w:r>
          </w:p>
        </w:tc>
        <w:tc>
          <w:tcPr>
            <w:tcW w:w="5453" w:type="dxa"/>
            <w:tcBorders>
              <w:top w:val="nil"/>
              <w:left w:val="nil"/>
              <w:bottom w:val="single" w:sz="4" w:space="0" w:color="auto"/>
              <w:right w:val="single" w:sz="8" w:space="0" w:color="auto"/>
            </w:tcBorders>
            <w:shd w:val="clear" w:color="auto" w:fill="auto"/>
            <w:vAlign w:val="center"/>
            <w:hideMark/>
          </w:tcPr>
          <w:p w14:paraId="66E6618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Developing workplace diversity policies.</w:t>
            </w:r>
          </w:p>
        </w:tc>
      </w:tr>
      <w:tr w:rsidR="00150E73" w:rsidRPr="00150E73" w14:paraId="55EE83DF" w14:textId="77777777" w:rsidTr="00170EF2">
        <w:trPr>
          <w:trHeight w:val="192"/>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222534AF"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lastRenderedPageBreak/>
              <w:t>Educational Support</w:t>
            </w:r>
          </w:p>
        </w:tc>
        <w:tc>
          <w:tcPr>
            <w:tcW w:w="5453" w:type="dxa"/>
            <w:tcBorders>
              <w:top w:val="nil"/>
              <w:left w:val="nil"/>
              <w:bottom w:val="single" w:sz="4" w:space="0" w:color="auto"/>
              <w:right w:val="single" w:sz="8" w:space="0" w:color="auto"/>
            </w:tcBorders>
            <w:shd w:val="clear" w:color="auto" w:fill="auto"/>
            <w:vAlign w:val="center"/>
            <w:hideMark/>
          </w:tcPr>
          <w:p w14:paraId="0862EB6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Scholarships and inclusive university programs.</w:t>
            </w:r>
          </w:p>
        </w:tc>
      </w:tr>
      <w:tr w:rsidR="00150E73" w:rsidRPr="00150E73" w14:paraId="38655733" w14:textId="77777777" w:rsidTr="00170EF2">
        <w:trPr>
          <w:trHeight w:val="192"/>
          <w:jc w:val="center"/>
        </w:trPr>
        <w:tc>
          <w:tcPr>
            <w:tcW w:w="2817" w:type="dxa"/>
            <w:tcBorders>
              <w:top w:val="nil"/>
              <w:left w:val="single" w:sz="8" w:space="0" w:color="auto"/>
              <w:bottom w:val="single" w:sz="4" w:space="0" w:color="auto"/>
              <w:right w:val="single" w:sz="4" w:space="0" w:color="auto"/>
            </w:tcBorders>
            <w:shd w:val="clear" w:color="auto" w:fill="auto"/>
            <w:vAlign w:val="center"/>
            <w:hideMark/>
          </w:tcPr>
          <w:p w14:paraId="3A45E298"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Team Integration</w:t>
            </w:r>
          </w:p>
        </w:tc>
        <w:tc>
          <w:tcPr>
            <w:tcW w:w="5453" w:type="dxa"/>
            <w:tcBorders>
              <w:top w:val="nil"/>
              <w:left w:val="nil"/>
              <w:bottom w:val="single" w:sz="4" w:space="0" w:color="auto"/>
              <w:right w:val="single" w:sz="8" w:space="0" w:color="auto"/>
            </w:tcBorders>
            <w:shd w:val="clear" w:color="auto" w:fill="auto"/>
            <w:vAlign w:val="center"/>
            <w:hideMark/>
          </w:tcPr>
          <w:p w14:paraId="2612C03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Promoting gender-diverse teams.</w:t>
            </w:r>
          </w:p>
        </w:tc>
      </w:tr>
      <w:tr w:rsidR="00150E73" w:rsidRPr="00150E73" w14:paraId="599C1B67" w14:textId="77777777" w:rsidTr="00170EF2">
        <w:trPr>
          <w:trHeight w:val="202"/>
          <w:jc w:val="center"/>
        </w:trPr>
        <w:tc>
          <w:tcPr>
            <w:tcW w:w="2817" w:type="dxa"/>
            <w:tcBorders>
              <w:top w:val="nil"/>
              <w:left w:val="single" w:sz="8" w:space="0" w:color="auto"/>
              <w:bottom w:val="single" w:sz="8" w:space="0" w:color="auto"/>
              <w:right w:val="single" w:sz="4" w:space="0" w:color="auto"/>
            </w:tcBorders>
            <w:shd w:val="clear" w:color="auto" w:fill="auto"/>
            <w:vAlign w:val="center"/>
            <w:hideMark/>
          </w:tcPr>
          <w:p w14:paraId="22CF091C" w14:textId="77777777" w:rsidR="00150E73" w:rsidRPr="00150E73" w:rsidRDefault="00150E73" w:rsidP="00150E73">
            <w:pPr>
              <w:spacing w:line="360" w:lineRule="auto"/>
              <w:rPr>
                <w:rFonts w:ascii="Calibri" w:hAnsi="Calibri" w:cs="Calibri"/>
                <w:bCs/>
                <w:sz w:val="24"/>
                <w:szCs w:val="24"/>
              </w:rPr>
            </w:pPr>
            <w:r w:rsidRPr="00150E73">
              <w:rPr>
                <w:rFonts w:ascii="Calibri" w:hAnsi="Calibri" w:cs="Calibri"/>
                <w:bCs/>
                <w:sz w:val="24"/>
                <w:szCs w:val="24"/>
              </w:rPr>
              <w:t>Impact Awareness</w:t>
            </w:r>
          </w:p>
        </w:tc>
        <w:tc>
          <w:tcPr>
            <w:tcW w:w="5453" w:type="dxa"/>
            <w:tcBorders>
              <w:top w:val="nil"/>
              <w:left w:val="nil"/>
              <w:bottom w:val="single" w:sz="8" w:space="0" w:color="auto"/>
              <w:right w:val="single" w:sz="8" w:space="0" w:color="auto"/>
            </w:tcBorders>
            <w:shd w:val="clear" w:color="auto" w:fill="auto"/>
            <w:vAlign w:val="center"/>
            <w:hideMark/>
          </w:tcPr>
          <w:p w14:paraId="7B9D38E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Showcasing societal benefits of engineering.</w:t>
            </w:r>
          </w:p>
        </w:tc>
      </w:tr>
    </w:tbl>
    <w:p w14:paraId="54D42E6F" w14:textId="77777777" w:rsidR="00150E73" w:rsidRPr="00150E73" w:rsidRDefault="00150E73" w:rsidP="00150E73">
      <w:pPr>
        <w:spacing w:line="360" w:lineRule="auto"/>
        <w:rPr>
          <w:rFonts w:ascii="Calibri" w:hAnsi="Calibri" w:cs="Calibri"/>
          <w:sz w:val="24"/>
          <w:szCs w:val="24"/>
        </w:rPr>
      </w:pPr>
    </w:p>
    <w:p w14:paraId="6B06475E" w14:textId="37C516B3" w:rsidR="00150E73" w:rsidRDefault="00BF10FC" w:rsidP="00BF10FC">
      <w:pPr>
        <w:pStyle w:val="Heading1"/>
        <w:jc w:val="center"/>
      </w:pPr>
      <w:bookmarkStart w:id="4" w:name="_Toc121814276"/>
      <w:bookmarkStart w:id="5" w:name="_Toc187094630"/>
      <w:bookmarkStart w:id="6" w:name="_Toc193282261"/>
      <w:r>
        <w:t xml:space="preserve">2.0 </w:t>
      </w:r>
      <w:r w:rsidR="00150E73" w:rsidRPr="00150E73">
        <w:t>Rationale</w:t>
      </w:r>
      <w:bookmarkEnd w:id="4"/>
      <w:bookmarkEnd w:id="5"/>
      <w:bookmarkEnd w:id="6"/>
    </w:p>
    <w:p w14:paraId="10D11BB0" w14:textId="77777777" w:rsidR="00BF10FC" w:rsidRPr="00BF10FC" w:rsidRDefault="00BF10FC" w:rsidP="00BF10FC"/>
    <w:p w14:paraId="6AECC25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The number of women who have risen to lead organisations in the mechanical engineering industry is still limited. In the mechanical engineering sectors, female CEOs occupy 23% of the available top executive roles. At higher levels of leadership, this representation decreases further: While women represent 25% of managers, 25% of senior managers, 23% of vice presidents, and only 21% of senior vice presidents (Evans, 2024). For instance, mechanical engineering has only 8.5% of employees as females; thus, women’s participation in leadership positions can barely be imagined. The proportion of women managers has also increased very slightly, from 11.2% in 2010 to 15.0% in 2021 (Engineering, 2024). This gap of female leaders in the mechanical engineering sector signifies the need to ensure the implementation of specialised measures and actions to encourage women to take leadership positions in mechanical engineering.</w:t>
      </w:r>
    </w:p>
    <w:p w14:paraId="17E800FC" w14:textId="3496EC39" w:rsidR="00150E73" w:rsidRDefault="00BF10FC" w:rsidP="00BF10FC">
      <w:pPr>
        <w:pStyle w:val="Heading2"/>
        <w:jc w:val="center"/>
      </w:pPr>
      <w:bookmarkStart w:id="7" w:name="_Toc121814277"/>
      <w:bookmarkStart w:id="8" w:name="_Toc187094631"/>
      <w:bookmarkStart w:id="9" w:name="_Toc193282262"/>
      <w:r>
        <w:t xml:space="preserve">2.1 </w:t>
      </w:r>
      <w:r w:rsidR="00150E73" w:rsidRPr="00150E73">
        <w:t>Aim and Objectives</w:t>
      </w:r>
      <w:bookmarkEnd w:id="7"/>
      <w:bookmarkEnd w:id="8"/>
      <w:bookmarkEnd w:id="9"/>
    </w:p>
    <w:p w14:paraId="6707C8B9" w14:textId="77777777" w:rsidR="00BF10FC" w:rsidRPr="00BF10FC" w:rsidRDefault="00BF10FC" w:rsidP="00BF10FC"/>
    <w:p w14:paraId="0AE9882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The proposed implementation plan aims to surge the representation of females in leadership roles within the mechanical engineering sector by enhancing inclusion, mentorship, and visibility.</w:t>
      </w:r>
    </w:p>
    <w:p w14:paraId="49DFA1A1" w14:textId="77777777" w:rsidR="00150E73" w:rsidRPr="00150E73" w:rsidRDefault="00150E73" w:rsidP="00150E73">
      <w:pPr>
        <w:numPr>
          <w:ilvl w:val="0"/>
          <w:numId w:val="4"/>
        </w:numPr>
        <w:spacing w:line="360" w:lineRule="auto"/>
        <w:rPr>
          <w:rFonts w:ascii="Calibri" w:hAnsi="Calibri" w:cs="Calibri"/>
          <w:sz w:val="24"/>
          <w:szCs w:val="24"/>
        </w:rPr>
      </w:pPr>
      <w:r w:rsidRPr="00150E73">
        <w:rPr>
          <w:rFonts w:ascii="Calibri" w:hAnsi="Calibri" w:cs="Calibri"/>
          <w:sz w:val="24"/>
          <w:szCs w:val="24"/>
        </w:rPr>
        <w:t>Increase the recruitment of women into mechanical engineering roles.</w:t>
      </w:r>
    </w:p>
    <w:p w14:paraId="2348845E" w14:textId="77777777" w:rsidR="00150E73" w:rsidRPr="00150E73" w:rsidRDefault="00150E73" w:rsidP="00150E73">
      <w:pPr>
        <w:numPr>
          <w:ilvl w:val="0"/>
          <w:numId w:val="4"/>
        </w:numPr>
        <w:spacing w:line="360" w:lineRule="auto"/>
        <w:rPr>
          <w:rFonts w:ascii="Calibri" w:hAnsi="Calibri" w:cs="Calibri"/>
          <w:sz w:val="24"/>
          <w:szCs w:val="24"/>
        </w:rPr>
      </w:pPr>
      <w:r w:rsidRPr="00150E73">
        <w:rPr>
          <w:rFonts w:ascii="Calibri" w:hAnsi="Calibri" w:cs="Calibri"/>
          <w:sz w:val="24"/>
          <w:szCs w:val="24"/>
        </w:rPr>
        <w:t>Launch mentorship and sponsorship programs to support the career advancement of women in mechanical engineering.</w:t>
      </w:r>
    </w:p>
    <w:p w14:paraId="300ACCB0" w14:textId="77777777" w:rsidR="00150E73" w:rsidRPr="00150E73" w:rsidRDefault="00150E73" w:rsidP="00150E73">
      <w:pPr>
        <w:numPr>
          <w:ilvl w:val="0"/>
          <w:numId w:val="4"/>
        </w:numPr>
        <w:spacing w:line="360" w:lineRule="auto"/>
        <w:rPr>
          <w:rFonts w:ascii="Calibri" w:hAnsi="Calibri" w:cs="Calibri"/>
          <w:sz w:val="24"/>
          <w:szCs w:val="24"/>
        </w:rPr>
      </w:pPr>
      <w:r w:rsidRPr="00150E73">
        <w:rPr>
          <w:rFonts w:ascii="Calibri" w:hAnsi="Calibri" w:cs="Calibri"/>
          <w:sz w:val="24"/>
          <w:szCs w:val="24"/>
        </w:rPr>
        <w:t>Improve the visibility of female role models in the field to inspire and attract more women to leadership positions.</w:t>
      </w:r>
    </w:p>
    <w:p w14:paraId="295B3ACE" w14:textId="77777777" w:rsidR="00150E73" w:rsidRPr="00150E73" w:rsidRDefault="00150E73" w:rsidP="00150E73">
      <w:pPr>
        <w:numPr>
          <w:ilvl w:val="0"/>
          <w:numId w:val="4"/>
        </w:numPr>
        <w:spacing w:line="360" w:lineRule="auto"/>
        <w:rPr>
          <w:rFonts w:ascii="Calibri" w:hAnsi="Calibri" w:cs="Calibri"/>
          <w:sz w:val="24"/>
          <w:szCs w:val="24"/>
        </w:rPr>
      </w:pPr>
      <w:r w:rsidRPr="00150E73">
        <w:rPr>
          <w:rFonts w:ascii="Calibri" w:hAnsi="Calibri" w:cs="Calibri"/>
          <w:sz w:val="24"/>
          <w:szCs w:val="24"/>
        </w:rPr>
        <w:lastRenderedPageBreak/>
        <w:t xml:space="preserve">Ensure a more inclusive workplace culture in mechanical engineering firms, aiming for an increase in gender diversity at all organisational levels. </w:t>
      </w:r>
    </w:p>
    <w:p w14:paraId="30BCEC61" w14:textId="12D1AC17" w:rsidR="00BF10FC" w:rsidRPr="00BF10FC" w:rsidRDefault="00BF10FC" w:rsidP="00BF10FC">
      <w:pPr>
        <w:pStyle w:val="Heading1"/>
        <w:jc w:val="center"/>
      </w:pPr>
      <w:bookmarkStart w:id="10" w:name="_Toc121814278"/>
      <w:bookmarkStart w:id="11" w:name="_Toc187094632"/>
      <w:bookmarkStart w:id="12" w:name="_Toc193282263"/>
      <w:r>
        <w:t xml:space="preserve">3.0 </w:t>
      </w:r>
      <w:r w:rsidR="00150E73" w:rsidRPr="00150E73">
        <w:t>Action Plan</w:t>
      </w:r>
      <w:bookmarkEnd w:id="10"/>
      <w:bookmarkEnd w:id="11"/>
      <w:bookmarkEnd w:id="12"/>
    </w:p>
    <w:p w14:paraId="0C52E87C" w14:textId="59CFC551" w:rsidR="00150E73" w:rsidRDefault="00BF10FC" w:rsidP="00BF10FC">
      <w:pPr>
        <w:pStyle w:val="Heading2"/>
        <w:jc w:val="center"/>
      </w:pPr>
      <w:bookmarkStart w:id="13" w:name="_Toc187094633"/>
      <w:bookmarkStart w:id="14" w:name="_Toc193282264"/>
      <w:r>
        <w:t xml:space="preserve">3.1 </w:t>
      </w:r>
      <w:r w:rsidR="00150E73" w:rsidRPr="00150E73">
        <w:t>Stakeholder Analysis</w:t>
      </w:r>
      <w:bookmarkEnd w:id="13"/>
      <w:bookmarkEnd w:id="14"/>
    </w:p>
    <w:p w14:paraId="3C9A14C0" w14:textId="77777777" w:rsidR="00BF10FC" w:rsidRPr="00BF10FC" w:rsidRDefault="00BF10FC" w:rsidP="00BF10FC"/>
    <w:p w14:paraId="63AD977D" w14:textId="77777777" w:rsidR="00150E73" w:rsidRPr="00150E73" w:rsidRDefault="00150E73" w:rsidP="00150E73">
      <w:pPr>
        <w:spacing w:line="360" w:lineRule="auto"/>
        <w:rPr>
          <w:rFonts w:ascii="Calibri" w:hAnsi="Calibri" w:cs="Calibri"/>
          <w:i/>
          <w:iCs/>
          <w:sz w:val="24"/>
          <w:szCs w:val="24"/>
        </w:rPr>
      </w:pPr>
      <w:r w:rsidRPr="00150E73">
        <w:rPr>
          <w:rFonts w:ascii="Calibri" w:hAnsi="Calibri" w:cs="Calibri"/>
          <w:i/>
          <w:iCs/>
          <w:sz w:val="24"/>
          <w:szCs w:val="24"/>
        </w:rPr>
        <w:t xml:space="preserve">Table </w:t>
      </w:r>
      <w:r w:rsidRPr="00150E73">
        <w:rPr>
          <w:rFonts w:ascii="Calibri" w:hAnsi="Calibri" w:cs="Calibri"/>
          <w:i/>
          <w:iCs/>
          <w:sz w:val="24"/>
          <w:szCs w:val="24"/>
        </w:rPr>
        <w:fldChar w:fldCharType="begin"/>
      </w:r>
      <w:r w:rsidRPr="00150E73">
        <w:rPr>
          <w:rFonts w:ascii="Calibri" w:hAnsi="Calibri" w:cs="Calibri"/>
          <w:i/>
          <w:iCs/>
          <w:sz w:val="24"/>
          <w:szCs w:val="24"/>
        </w:rPr>
        <w:instrText xml:space="preserve"> SEQ Table \* ARABIC </w:instrText>
      </w:r>
      <w:r w:rsidRPr="00150E73">
        <w:rPr>
          <w:rFonts w:ascii="Calibri" w:hAnsi="Calibri" w:cs="Calibri"/>
          <w:i/>
          <w:iCs/>
          <w:sz w:val="24"/>
          <w:szCs w:val="24"/>
        </w:rPr>
        <w:fldChar w:fldCharType="separate"/>
      </w:r>
      <w:r w:rsidRPr="00150E73">
        <w:rPr>
          <w:rFonts w:ascii="Calibri" w:hAnsi="Calibri" w:cs="Calibri"/>
          <w:i/>
          <w:iCs/>
          <w:sz w:val="24"/>
          <w:szCs w:val="24"/>
        </w:rPr>
        <w:t>2</w:t>
      </w:r>
      <w:r w:rsidRPr="00150E73">
        <w:rPr>
          <w:rFonts w:ascii="Calibri" w:hAnsi="Calibri" w:cs="Calibri"/>
          <w:sz w:val="24"/>
          <w:szCs w:val="24"/>
        </w:rPr>
        <w:fldChar w:fldCharType="end"/>
      </w:r>
      <w:r w:rsidRPr="00150E73">
        <w:rPr>
          <w:rFonts w:ascii="Calibri" w:hAnsi="Calibri" w:cs="Calibri"/>
          <w:i/>
          <w:iCs/>
          <w:sz w:val="24"/>
          <w:szCs w:val="24"/>
        </w:rPr>
        <w:t xml:space="preserve"> Stakeholder Matrix</w:t>
      </w:r>
    </w:p>
    <w:tbl>
      <w:tblPr>
        <w:tblW w:w="10580" w:type="dxa"/>
        <w:jc w:val="center"/>
        <w:tblLook w:val="04A0" w:firstRow="1" w:lastRow="0" w:firstColumn="1" w:lastColumn="0" w:noHBand="0" w:noVBand="1"/>
      </w:tblPr>
      <w:tblGrid>
        <w:gridCol w:w="2480"/>
        <w:gridCol w:w="1500"/>
        <w:gridCol w:w="1240"/>
        <w:gridCol w:w="2000"/>
        <w:gridCol w:w="3360"/>
      </w:tblGrid>
      <w:tr w:rsidR="00150E73" w:rsidRPr="00150E73" w14:paraId="015AD3B3" w14:textId="77777777" w:rsidTr="00170EF2">
        <w:trPr>
          <w:trHeight w:val="300"/>
          <w:jc w:val="center"/>
        </w:trPr>
        <w:tc>
          <w:tcPr>
            <w:tcW w:w="24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15998A54"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Stakeholder</w:t>
            </w:r>
          </w:p>
        </w:tc>
        <w:tc>
          <w:tcPr>
            <w:tcW w:w="1500" w:type="dxa"/>
            <w:tcBorders>
              <w:top w:val="single" w:sz="8" w:space="0" w:color="auto"/>
              <w:left w:val="nil"/>
              <w:bottom w:val="single" w:sz="4" w:space="0" w:color="auto"/>
              <w:right w:val="single" w:sz="4" w:space="0" w:color="auto"/>
            </w:tcBorders>
            <w:shd w:val="clear" w:color="auto" w:fill="auto"/>
            <w:vAlign w:val="center"/>
            <w:hideMark/>
          </w:tcPr>
          <w:p w14:paraId="3E5C6BEB"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Power</w:t>
            </w:r>
          </w:p>
        </w:tc>
        <w:tc>
          <w:tcPr>
            <w:tcW w:w="1240" w:type="dxa"/>
            <w:tcBorders>
              <w:top w:val="single" w:sz="8" w:space="0" w:color="auto"/>
              <w:left w:val="nil"/>
              <w:bottom w:val="single" w:sz="4" w:space="0" w:color="auto"/>
              <w:right w:val="single" w:sz="4" w:space="0" w:color="auto"/>
            </w:tcBorders>
            <w:shd w:val="clear" w:color="auto" w:fill="auto"/>
            <w:vAlign w:val="center"/>
            <w:hideMark/>
          </w:tcPr>
          <w:p w14:paraId="7AA4E112"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Interest</w:t>
            </w:r>
          </w:p>
        </w:tc>
        <w:tc>
          <w:tcPr>
            <w:tcW w:w="2000" w:type="dxa"/>
            <w:tcBorders>
              <w:top w:val="single" w:sz="8" w:space="0" w:color="auto"/>
              <w:left w:val="nil"/>
              <w:bottom w:val="single" w:sz="4" w:space="0" w:color="auto"/>
              <w:right w:val="single" w:sz="4" w:space="0" w:color="auto"/>
            </w:tcBorders>
            <w:shd w:val="clear" w:color="auto" w:fill="auto"/>
            <w:vAlign w:val="center"/>
            <w:hideMark/>
          </w:tcPr>
          <w:p w14:paraId="225B736A"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Position in Matrix</w:t>
            </w:r>
          </w:p>
        </w:tc>
        <w:tc>
          <w:tcPr>
            <w:tcW w:w="3360" w:type="dxa"/>
            <w:tcBorders>
              <w:top w:val="single" w:sz="8" w:space="0" w:color="auto"/>
              <w:left w:val="nil"/>
              <w:bottom w:val="single" w:sz="4" w:space="0" w:color="auto"/>
              <w:right w:val="single" w:sz="8" w:space="0" w:color="auto"/>
            </w:tcBorders>
            <w:shd w:val="clear" w:color="auto" w:fill="auto"/>
            <w:vAlign w:val="center"/>
            <w:hideMark/>
          </w:tcPr>
          <w:p w14:paraId="2967775C"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Role in the Plan</w:t>
            </w:r>
          </w:p>
        </w:tc>
      </w:tr>
      <w:tr w:rsidR="00150E73" w:rsidRPr="00150E73" w14:paraId="260FA315" w14:textId="77777777" w:rsidTr="00170EF2">
        <w:trPr>
          <w:trHeight w:val="600"/>
          <w:jc w:val="center"/>
        </w:trPr>
        <w:tc>
          <w:tcPr>
            <w:tcW w:w="2480" w:type="dxa"/>
            <w:tcBorders>
              <w:top w:val="nil"/>
              <w:left w:val="single" w:sz="8" w:space="0" w:color="auto"/>
              <w:bottom w:val="single" w:sz="4" w:space="0" w:color="auto"/>
              <w:right w:val="single" w:sz="4" w:space="0" w:color="auto"/>
            </w:tcBorders>
            <w:shd w:val="clear" w:color="auto" w:fill="auto"/>
            <w:vAlign w:val="center"/>
            <w:hideMark/>
          </w:tcPr>
          <w:p w14:paraId="1478344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Government and Policy Makers</w:t>
            </w:r>
          </w:p>
        </w:tc>
        <w:tc>
          <w:tcPr>
            <w:tcW w:w="1500" w:type="dxa"/>
            <w:tcBorders>
              <w:top w:val="nil"/>
              <w:left w:val="nil"/>
              <w:bottom w:val="single" w:sz="4" w:space="0" w:color="auto"/>
              <w:right w:val="single" w:sz="4" w:space="0" w:color="auto"/>
            </w:tcBorders>
            <w:shd w:val="clear" w:color="auto" w:fill="auto"/>
            <w:vAlign w:val="center"/>
            <w:hideMark/>
          </w:tcPr>
          <w:p w14:paraId="627933E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1240" w:type="dxa"/>
            <w:tcBorders>
              <w:top w:val="nil"/>
              <w:left w:val="nil"/>
              <w:bottom w:val="single" w:sz="4" w:space="0" w:color="auto"/>
              <w:right w:val="single" w:sz="4" w:space="0" w:color="auto"/>
            </w:tcBorders>
            <w:shd w:val="clear" w:color="auto" w:fill="auto"/>
            <w:vAlign w:val="center"/>
            <w:hideMark/>
          </w:tcPr>
          <w:p w14:paraId="5EC8C9D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2000" w:type="dxa"/>
            <w:tcBorders>
              <w:top w:val="nil"/>
              <w:left w:val="nil"/>
              <w:bottom w:val="single" w:sz="4" w:space="0" w:color="auto"/>
              <w:right w:val="single" w:sz="4" w:space="0" w:color="auto"/>
            </w:tcBorders>
            <w:shd w:val="clear" w:color="auto" w:fill="auto"/>
            <w:vAlign w:val="center"/>
            <w:hideMark/>
          </w:tcPr>
          <w:p w14:paraId="57F3558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Key Players</w:t>
            </w:r>
          </w:p>
        </w:tc>
        <w:tc>
          <w:tcPr>
            <w:tcW w:w="3360" w:type="dxa"/>
            <w:tcBorders>
              <w:top w:val="nil"/>
              <w:left w:val="nil"/>
              <w:bottom w:val="single" w:sz="4" w:space="0" w:color="auto"/>
              <w:right w:val="single" w:sz="8" w:space="0" w:color="auto"/>
            </w:tcBorders>
            <w:shd w:val="clear" w:color="auto" w:fill="auto"/>
            <w:vAlign w:val="center"/>
            <w:hideMark/>
          </w:tcPr>
          <w:p w14:paraId="2D26016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Develop policies and incentives to support inclusion.</w:t>
            </w:r>
          </w:p>
        </w:tc>
      </w:tr>
      <w:tr w:rsidR="00150E73" w:rsidRPr="00150E73" w14:paraId="59728E7F" w14:textId="77777777" w:rsidTr="00170EF2">
        <w:trPr>
          <w:trHeight w:val="600"/>
          <w:jc w:val="center"/>
        </w:trPr>
        <w:tc>
          <w:tcPr>
            <w:tcW w:w="2480" w:type="dxa"/>
            <w:tcBorders>
              <w:top w:val="nil"/>
              <w:left w:val="single" w:sz="8" w:space="0" w:color="auto"/>
              <w:bottom w:val="single" w:sz="4" w:space="0" w:color="auto"/>
              <w:right w:val="single" w:sz="4" w:space="0" w:color="auto"/>
            </w:tcBorders>
            <w:shd w:val="clear" w:color="auto" w:fill="auto"/>
            <w:vAlign w:val="center"/>
            <w:hideMark/>
          </w:tcPr>
          <w:p w14:paraId="40F022F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Engineering Firms and Employers</w:t>
            </w:r>
          </w:p>
        </w:tc>
        <w:tc>
          <w:tcPr>
            <w:tcW w:w="1500" w:type="dxa"/>
            <w:tcBorders>
              <w:top w:val="nil"/>
              <w:left w:val="nil"/>
              <w:bottom w:val="single" w:sz="4" w:space="0" w:color="auto"/>
              <w:right w:val="single" w:sz="4" w:space="0" w:color="auto"/>
            </w:tcBorders>
            <w:shd w:val="clear" w:color="auto" w:fill="auto"/>
            <w:vAlign w:val="center"/>
            <w:hideMark/>
          </w:tcPr>
          <w:p w14:paraId="577B0CE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1240" w:type="dxa"/>
            <w:tcBorders>
              <w:top w:val="nil"/>
              <w:left w:val="nil"/>
              <w:bottom w:val="single" w:sz="4" w:space="0" w:color="auto"/>
              <w:right w:val="single" w:sz="4" w:space="0" w:color="auto"/>
            </w:tcBorders>
            <w:shd w:val="clear" w:color="auto" w:fill="auto"/>
            <w:vAlign w:val="center"/>
            <w:hideMark/>
          </w:tcPr>
          <w:p w14:paraId="26AA5D8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2000" w:type="dxa"/>
            <w:tcBorders>
              <w:top w:val="nil"/>
              <w:left w:val="nil"/>
              <w:bottom w:val="single" w:sz="4" w:space="0" w:color="auto"/>
              <w:right w:val="single" w:sz="4" w:space="0" w:color="auto"/>
            </w:tcBorders>
            <w:shd w:val="clear" w:color="auto" w:fill="auto"/>
            <w:vAlign w:val="center"/>
            <w:hideMark/>
          </w:tcPr>
          <w:p w14:paraId="70D2973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Key Players</w:t>
            </w:r>
          </w:p>
        </w:tc>
        <w:tc>
          <w:tcPr>
            <w:tcW w:w="3360" w:type="dxa"/>
            <w:tcBorders>
              <w:top w:val="nil"/>
              <w:left w:val="nil"/>
              <w:bottom w:val="single" w:sz="4" w:space="0" w:color="auto"/>
              <w:right w:val="single" w:sz="8" w:space="0" w:color="auto"/>
            </w:tcBorders>
            <w:shd w:val="clear" w:color="auto" w:fill="auto"/>
            <w:vAlign w:val="center"/>
            <w:hideMark/>
          </w:tcPr>
          <w:p w14:paraId="5A0052B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Implement diversity initiatives and support programs.</w:t>
            </w:r>
          </w:p>
        </w:tc>
      </w:tr>
      <w:tr w:rsidR="00150E73" w:rsidRPr="00150E73" w14:paraId="0C53445D" w14:textId="77777777" w:rsidTr="00170EF2">
        <w:trPr>
          <w:trHeight w:val="600"/>
          <w:jc w:val="center"/>
        </w:trPr>
        <w:tc>
          <w:tcPr>
            <w:tcW w:w="2480" w:type="dxa"/>
            <w:tcBorders>
              <w:top w:val="nil"/>
              <w:left w:val="single" w:sz="8" w:space="0" w:color="auto"/>
              <w:bottom w:val="single" w:sz="4" w:space="0" w:color="auto"/>
              <w:right w:val="single" w:sz="4" w:space="0" w:color="auto"/>
            </w:tcBorders>
            <w:shd w:val="clear" w:color="auto" w:fill="auto"/>
            <w:vAlign w:val="center"/>
            <w:hideMark/>
          </w:tcPr>
          <w:p w14:paraId="1AD191A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Professional Societies (e.g., SWE)</w:t>
            </w:r>
          </w:p>
        </w:tc>
        <w:tc>
          <w:tcPr>
            <w:tcW w:w="1500" w:type="dxa"/>
            <w:tcBorders>
              <w:top w:val="nil"/>
              <w:left w:val="nil"/>
              <w:bottom w:val="single" w:sz="4" w:space="0" w:color="auto"/>
              <w:right w:val="single" w:sz="4" w:space="0" w:color="auto"/>
            </w:tcBorders>
            <w:shd w:val="clear" w:color="auto" w:fill="auto"/>
            <w:vAlign w:val="center"/>
            <w:hideMark/>
          </w:tcPr>
          <w:p w14:paraId="74CE772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1240" w:type="dxa"/>
            <w:tcBorders>
              <w:top w:val="nil"/>
              <w:left w:val="nil"/>
              <w:bottom w:val="single" w:sz="4" w:space="0" w:color="auto"/>
              <w:right w:val="single" w:sz="4" w:space="0" w:color="auto"/>
            </w:tcBorders>
            <w:shd w:val="clear" w:color="auto" w:fill="auto"/>
            <w:vAlign w:val="center"/>
            <w:hideMark/>
          </w:tcPr>
          <w:p w14:paraId="2FBD32A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2000" w:type="dxa"/>
            <w:tcBorders>
              <w:top w:val="nil"/>
              <w:left w:val="nil"/>
              <w:bottom w:val="single" w:sz="4" w:space="0" w:color="auto"/>
              <w:right w:val="single" w:sz="4" w:space="0" w:color="auto"/>
            </w:tcBorders>
            <w:shd w:val="clear" w:color="auto" w:fill="auto"/>
            <w:vAlign w:val="center"/>
            <w:hideMark/>
          </w:tcPr>
          <w:p w14:paraId="084D590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Keep Satisfied</w:t>
            </w:r>
          </w:p>
        </w:tc>
        <w:tc>
          <w:tcPr>
            <w:tcW w:w="3360" w:type="dxa"/>
            <w:tcBorders>
              <w:top w:val="nil"/>
              <w:left w:val="nil"/>
              <w:bottom w:val="single" w:sz="4" w:space="0" w:color="auto"/>
              <w:right w:val="single" w:sz="8" w:space="0" w:color="auto"/>
            </w:tcBorders>
            <w:shd w:val="clear" w:color="auto" w:fill="auto"/>
            <w:vAlign w:val="center"/>
            <w:hideMark/>
          </w:tcPr>
          <w:p w14:paraId="1A5D675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Provide mentorship, training, and networking.</w:t>
            </w:r>
          </w:p>
        </w:tc>
      </w:tr>
      <w:tr w:rsidR="00150E73" w:rsidRPr="00150E73" w14:paraId="4C271C95" w14:textId="77777777" w:rsidTr="00170EF2">
        <w:trPr>
          <w:trHeight w:val="600"/>
          <w:jc w:val="center"/>
        </w:trPr>
        <w:tc>
          <w:tcPr>
            <w:tcW w:w="2480" w:type="dxa"/>
            <w:tcBorders>
              <w:top w:val="nil"/>
              <w:left w:val="single" w:sz="8" w:space="0" w:color="auto"/>
              <w:bottom w:val="single" w:sz="4" w:space="0" w:color="auto"/>
              <w:right w:val="single" w:sz="4" w:space="0" w:color="auto"/>
            </w:tcBorders>
            <w:shd w:val="clear" w:color="auto" w:fill="auto"/>
            <w:vAlign w:val="center"/>
            <w:hideMark/>
          </w:tcPr>
          <w:p w14:paraId="717254A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Educational Institutions</w:t>
            </w:r>
          </w:p>
        </w:tc>
        <w:tc>
          <w:tcPr>
            <w:tcW w:w="1500" w:type="dxa"/>
            <w:tcBorders>
              <w:top w:val="nil"/>
              <w:left w:val="nil"/>
              <w:bottom w:val="single" w:sz="4" w:space="0" w:color="auto"/>
              <w:right w:val="single" w:sz="4" w:space="0" w:color="auto"/>
            </w:tcBorders>
            <w:shd w:val="clear" w:color="auto" w:fill="auto"/>
            <w:vAlign w:val="center"/>
            <w:hideMark/>
          </w:tcPr>
          <w:p w14:paraId="4A25DB8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1240" w:type="dxa"/>
            <w:tcBorders>
              <w:top w:val="nil"/>
              <w:left w:val="nil"/>
              <w:bottom w:val="single" w:sz="4" w:space="0" w:color="auto"/>
              <w:right w:val="single" w:sz="4" w:space="0" w:color="auto"/>
            </w:tcBorders>
            <w:shd w:val="clear" w:color="auto" w:fill="auto"/>
            <w:vAlign w:val="center"/>
            <w:hideMark/>
          </w:tcPr>
          <w:p w14:paraId="29640D6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2000" w:type="dxa"/>
            <w:tcBorders>
              <w:top w:val="nil"/>
              <w:left w:val="nil"/>
              <w:bottom w:val="single" w:sz="4" w:space="0" w:color="auto"/>
              <w:right w:val="single" w:sz="4" w:space="0" w:color="auto"/>
            </w:tcBorders>
            <w:shd w:val="clear" w:color="auto" w:fill="auto"/>
            <w:vAlign w:val="center"/>
            <w:hideMark/>
          </w:tcPr>
          <w:p w14:paraId="7E6230A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Keep Satisfied</w:t>
            </w:r>
          </w:p>
        </w:tc>
        <w:tc>
          <w:tcPr>
            <w:tcW w:w="3360" w:type="dxa"/>
            <w:tcBorders>
              <w:top w:val="nil"/>
              <w:left w:val="nil"/>
              <w:bottom w:val="single" w:sz="4" w:space="0" w:color="auto"/>
              <w:right w:val="single" w:sz="8" w:space="0" w:color="auto"/>
            </w:tcBorders>
            <w:shd w:val="clear" w:color="auto" w:fill="auto"/>
            <w:vAlign w:val="center"/>
            <w:hideMark/>
          </w:tcPr>
          <w:p w14:paraId="17F2796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Promote STEM education and encourage female students.</w:t>
            </w:r>
          </w:p>
        </w:tc>
      </w:tr>
      <w:tr w:rsidR="00150E73" w:rsidRPr="00150E73" w14:paraId="0742E790" w14:textId="77777777" w:rsidTr="00170EF2">
        <w:trPr>
          <w:trHeight w:val="615"/>
          <w:jc w:val="center"/>
        </w:trPr>
        <w:tc>
          <w:tcPr>
            <w:tcW w:w="2480" w:type="dxa"/>
            <w:tcBorders>
              <w:top w:val="nil"/>
              <w:left w:val="single" w:sz="8" w:space="0" w:color="auto"/>
              <w:bottom w:val="single" w:sz="8" w:space="0" w:color="auto"/>
              <w:right w:val="single" w:sz="4" w:space="0" w:color="auto"/>
            </w:tcBorders>
            <w:shd w:val="clear" w:color="auto" w:fill="auto"/>
            <w:vAlign w:val="center"/>
            <w:hideMark/>
          </w:tcPr>
          <w:p w14:paraId="13806FA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Media and Advocacy Groups</w:t>
            </w:r>
          </w:p>
        </w:tc>
        <w:tc>
          <w:tcPr>
            <w:tcW w:w="1500" w:type="dxa"/>
            <w:tcBorders>
              <w:top w:val="nil"/>
              <w:left w:val="nil"/>
              <w:bottom w:val="single" w:sz="8" w:space="0" w:color="auto"/>
              <w:right w:val="single" w:sz="4" w:space="0" w:color="auto"/>
            </w:tcBorders>
            <w:shd w:val="clear" w:color="auto" w:fill="auto"/>
            <w:vAlign w:val="center"/>
            <w:hideMark/>
          </w:tcPr>
          <w:p w14:paraId="41470B6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Low</w:t>
            </w:r>
          </w:p>
        </w:tc>
        <w:tc>
          <w:tcPr>
            <w:tcW w:w="1240" w:type="dxa"/>
            <w:tcBorders>
              <w:top w:val="nil"/>
              <w:left w:val="nil"/>
              <w:bottom w:val="single" w:sz="8" w:space="0" w:color="auto"/>
              <w:right w:val="single" w:sz="4" w:space="0" w:color="auto"/>
            </w:tcBorders>
            <w:shd w:val="clear" w:color="auto" w:fill="auto"/>
            <w:vAlign w:val="center"/>
            <w:hideMark/>
          </w:tcPr>
          <w:p w14:paraId="5D8CD2F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2000" w:type="dxa"/>
            <w:tcBorders>
              <w:top w:val="nil"/>
              <w:left w:val="nil"/>
              <w:bottom w:val="single" w:sz="8" w:space="0" w:color="auto"/>
              <w:right w:val="single" w:sz="4" w:space="0" w:color="auto"/>
            </w:tcBorders>
            <w:shd w:val="clear" w:color="auto" w:fill="auto"/>
            <w:vAlign w:val="center"/>
            <w:hideMark/>
          </w:tcPr>
          <w:p w14:paraId="7E87480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Keep Informed</w:t>
            </w:r>
          </w:p>
        </w:tc>
        <w:tc>
          <w:tcPr>
            <w:tcW w:w="3360" w:type="dxa"/>
            <w:tcBorders>
              <w:top w:val="nil"/>
              <w:left w:val="nil"/>
              <w:bottom w:val="single" w:sz="8" w:space="0" w:color="auto"/>
              <w:right w:val="single" w:sz="8" w:space="0" w:color="auto"/>
            </w:tcBorders>
            <w:shd w:val="clear" w:color="auto" w:fill="auto"/>
            <w:vAlign w:val="center"/>
            <w:hideMark/>
          </w:tcPr>
          <w:p w14:paraId="26E3ABC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Highlight success stories and raise awareness.</w:t>
            </w:r>
          </w:p>
        </w:tc>
      </w:tr>
    </w:tbl>
    <w:p w14:paraId="2CBA3E1B" w14:textId="77777777" w:rsidR="00150E73" w:rsidRPr="00150E73" w:rsidRDefault="00150E73" w:rsidP="00150E73">
      <w:pPr>
        <w:spacing w:line="360" w:lineRule="auto"/>
        <w:rPr>
          <w:rFonts w:ascii="Calibri" w:hAnsi="Calibri" w:cs="Calibri"/>
          <w:sz w:val="24"/>
          <w:szCs w:val="24"/>
        </w:rPr>
      </w:pPr>
    </w:p>
    <w:p w14:paraId="7FED4D8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Stakeholder engagement is crucial for the implementation process to endorse women leaders in the mechanical engineering sector. The first important stakeholders are the government and policymakers, who exert high power and have a high interest in the industry. As per Shaukat et al. (2022), their capacity to set up regulations, develop funding schemes and differentiate programmes makes them strategic enablers. Using employment and service provider policies to support diversity means that long-term systematic changes in the industry will be feasible.</w:t>
      </w:r>
    </w:p>
    <w:p w14:paraId="4DC404F7" w14:textId="6635A512"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 xml:space="preserve">Engineering firms are as important stakeholders as employers as they are responsible for the direct application of workplace diversity policies, leadership and professional </w:t>
      </w:r>
      <w:r w:rsidRPr="00150E73">
        <w:rPr>
          <w:rFonts w:ascii="Calibri" w:hAnsi="Calibri" w:cs="Calibri"/>
          <w:sz w:val="24"/>
          <w:szCs w:val="24"/>
        </w:rPr>
        <w:lastRenderedPageBreak/>
        <w:t xml:space="preserve">development, </w:t>
      </w:r>
      <w:r w:rsidR="00BF10FC" w:rsidRPr="00150E73">
        <w:rPr>
          <w:rFonts w:ascii="Calibri" w:hAnsi="Calibri" w:cs="Calibri"/>
          <w:sz w:val="24"/>
          <w:szCs w:val="24"/>
        </w:rPr>
        <w:t>as well as</w:t>
      </w:r>
      <w:r w:rsidRPr="00150E73">
        <w:rPr>
          <w:rFonts w:ascii="Calibri" w:hAnsi="Calibri" w:cs="Calibri"/>
          <w:sz w:val="24"/>
          <w:szCs w:val="24"/>
        </w:rPr>
        <w:t xml:space="preserve"> talent acquisition strategies to enhance female leadership roles. According to Lehtinen and Aaltonen (2020) this can only be achieved with the cooperation of employees in the organisation so that the environment for women to grow to leadership positions is cultivated. Society of Women Engineers (SWE) is an example of a sociotechnical professional organisation that is found to exercise medium power but high interest (Kijima et al., 2021). They only provide support through providing a form of sponsorship such as coaching and training activities for females in the mechanical engineering sector. </w:t>
      </w:r>
    </w:p>
    <w:p w14:paraId="73FF582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Another important stakeholder is educational institutions, which hold medium power and high interest. Their impact lies in nurturing the generation of female engineers by boosting interest in mechanical engineering fields and offering scholarships as well as required resources to females (</w:t>
      </w:r>
      <w:proofErr w:type="spellStart"/>
      <w:r w:rsidRPr="00150E73">
        <w:rPr>
          <w:rFonts w:ascii="Calibri" w:hAnsi="Calibri" w:cs="Calibri"/>
          <w:sz w:val="24"/>
          <w:szCs w:val="24"/>
        </w:rPr>
        <w:t>Bahadorestani</w:t>
      </w:r>
      <w:proofErr w:type="spellEnd"/>
      <w:r w:rsidRPr="00150E73">
        <w:rPr>
          <w:rFonts w:ascii="Calibri" w:hAnsi="Calibri" w:cs="Calibri"/>
          <w:sz w:val="24"/>
          <w:szCs w:val="24"/>
        </w:rPr>
        <w:t xml:space="preserve"> et al., 2020). Thus, working with these institutions provides greater confidence that women with potential shall freely join the sector. Lastly, media and advocacy groups are other important stakeholder with low power and high interest (Shaukat et al., 2022). Their crucial role in creating awareness and stressing success stories is important for shifting perceptions of societies and stirring more females to chase careers in the mechanical engineering sector. </w:t>
      </w:r>
    </w:p>
    <w:p w14:paraId="25E61455" w14:textId="713D1C7B" w:rsidR="00150E73" w:rsidRDefault="003B6149" w:rsidP="003B6149">
      <w:pPr>
        <w:pStyle w:val="Heading2"/>
        <w:jc w:val="center"/>
      </w:pPr>
      <w:bookmarkStart w:id="15" w:name="_Toc121814279"/>
      <w:bookmarkStart w:id="16" w:name="_Toc187094634"/>
      <w:bookmarkStart w:id="17" w:name="_Toc193282265"/>
      <w:r>
        <w:t xml:space="preserve">3.2 </w:t>
      </w:r>
      <w:r w:rsidR="00150E73" w:rsidRPr="00150E73">
        <w:t>Time Plan</w:t>
      </w:r>
      <w:bookmarkStart w:id="18" w:name="_Toc121814280"/>
      <w:bookmarkStart w:id="19" w:name="_Toc187094635"/>
      <w:bookmarkEnd w:id="15"/>
      <w:bookmarkEnd w:id="16"/>
      <w:bookmarkEnd w:id="17"/>
    </w:p>
    <w:p w14:paraId="06FFD165" w14:textId="77777777" w:rsidR="003B6149" w:rsidRPr="003B6149" w:rsidRDefault="003B6149" w:rsidP="003B6149"/>
    <w:p w14:paraId="06A6C90A" w14:textId="77777777" w:rsidR="00150E73" w:rsidRPr="00150E73" w:rsidRDefault="00150E73" w:rsidP="00150E73">
      <w:pPr>
        <w:spacing w:line="360" w:lineRule="auto"/>
        <w:rPr>
          <w:rFonts w:ascii="Calibri" w:hAnsi="Calibri" w:cs="Calibri"/>
          <w:i/>
          <w:iCs/>
          <w:sz w:val="24"/>
          <w:szCs w:val="24"/>
        </w:rPr>
      </w:pPr>
      <w:r w:rsidRPr="00150E73">
        <w:rPr>
          <w:rFonts w:ascii="Calibri" w:hAnsi="Calibri" w:cs="Calibri"/>
          <w:i/>
          <w:iCs/>
          <w:sz w:val="24"/>
          <w:szCs w:val="24"/>
        </w:rPr>
        <w:t xml:space="preserve">Table </w:t>
      </w:r>
      <w:r w:rsidRPr="00150E73">
        <w:rPr>
          <w:rFonts w:ascii="Calibri" w:hAnsi="Calibri" w:cs="Calibri"/>
          <w:i/>
          <w:iCs/>
          <w:sz w:val="24"/>
          <w:szCs w:val="24"/>
        </w:rPr>
        <w:fldChar w:fldCharType="begin"/>
      </w:r>
      <w:r w:rsidRPr="00150E73">
        <w:rPr>
          <w:rFonts w:ascii="Calibri" w:hAnsi="Calibri" w:cs="Calibri"/>
          <w:i/>
          <w:iCs/>
          <w:sz w:val="24"/>
          <w:szCs w:val="24"/>
        </w:rPr>
        <w:instrText xml:space="preserve"> SEQ Table \* ARABIC </w:instrText>
      </w:r>
      <w:r w:rsidRPr="00150E73">
        <w:rPr>
          <w:rFonts w:ascii="Calibri" w:hAnsi="Calibri" w:cs="Calibri"/>
          <w:i/>
          <w:iCs/>
          <w:sz w:val="24"/>
          <w:szCs w:val="24"/>
        </w:rPr>
        <w:fldChar w:fldCharType="separate"/>
      </w:r>
      <w:r w:rsidRPr="00150E73">
        <w:rPr>
          <w:rFonts w:ascii="Calibri" w:hAnsi="Calibri" w:cs="Calibri"/>
          <w:i/>
          <w:iCs/>
          <w:sz w:val="24"/>
          <w:szCs w:val="24"/>
        </w:rPr>
        <w:t>3</w:t>
      </w:r>
      <w:r w:rsidRPr="00150E73">
        <w:rPr>
          <w:rFonts w:ascii="Calibri" w:hAnsi="Calibri" w:cs="Calibri"/>
          <w:sz w:val="24"/>
          <w:szCs w:val="24"/>
        </w:rPr>
        <w:fldChar w:fldCharType="end"/>
      </w:r>
      <w:r w:rsidRPr="00150E73">
        <w:rPr>
          <w:rFonts w:ascii="Calibri" w:hAnsi="Calibri" w:cs="Calibri"/>
          <w:i/>
          <w:iCs/>
          <w:sz w:val="24"/>
          <w:szCs w:val="24"/>
        </w:rPr>
        <w:t xml:space="preserve"> Time Plan</w:t>
      </w:r>
    </w:p>
    <w:tbl>
      <w:tblPr>
        <w:tblW w:w="10300" w:type="dxa"/>
        <w:jc w:val="center"/>
        <w:tblLook w:val="04A0" w:firstRow="1" w:lastRow="0" w:firstColumn="1" w:lastColumn="0" w:noHBand="0" w:noVBand="1"/>
      </w:tblPr>
      <w:tblGrid>
        <w:gridCol w:w="3800"/>
        <w:gridCol w:w="1640"/>
        <w:gridCol w:w="1840"/>
        <w:gridCol w:w="3020"/>
      </w:tblGrid>
      <w:tr w:rsidR="00150E73" w:rsidRPr="00150E73" w14:paraId="313DE36E" w14:textId="77777777" w:rsidTr="00170EF2">
        <w:trPr>
          <w:trHeight w:val="300"/>
          <w:jc w:val="center"/>
        </w:trPr>
        <w:tc>
          <w:tcPr>
            <w:tcW w:w="380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477B3509"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Activity</w:t>
            </w:r>
          </w:p>
        </w:tc>
        <w:tc>
          <w:tcPr>
            <w:tcW w:w="1640" w:type="dxa"/>
            <w:tcBorders>
              <w:top w:val="single" w:sz="8" w:space="0" w:color="auto"/>
              <w:left w:val="nil"/>
              <w:bottom w:val="single" w:sz="4" w:space="0" w:color="auto"/>
              <w:right w:val="single" w:sz="4" w:space="0" w:color="auto"/>
            </w:tcBorders>
            <w:shd w:val="clear" w:color="auto" w:fill="auto"/>
            <w:vAlign w:val="center"/>
            <w:hideMark/>
          </w:tcPr>
          <w:p w14:paraId="5CAE8125"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Start Date</w:t>
            </w:r>
          </w:p>
        </w:tc>
        <w:tc>
          <w:tcPr>
            <w:tcW w:w="1840" w:type="dxa"/>
            <w:tcBorders>
              <w:top w:val="single" w:sz="8" w:space="0" w:color="auto"/>
              <w:left w:val="nil"/>
              <w:bottom w:val="single" w:sz="4" w:space="0" w:color="auto"/>
              <w:right w:val="single" w:sz="4" w:space="0" w:color="auto"/>
            </w:tcBorders>
            <w:shd w:val="clear" w:color="auto" w:fill="auto"/>
            <w:vAlign w:val="center"/>
            <w:hideMark/>
          </w:tcPr>
          <w:p w14:paraId="2D9D5158"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End Date</w:t>
            </w:r>
          </w:p>
        </w:tc>
        <w:tc>
          <w:tcPr>
            <w:tcW w:w="3020" w:type="dxa"/>
            <w:tcBorders>
              <w:top w:val="single" w:sz="8" w:space="0" w:color="auto"/>
              <w:left w:val="nil"/>
              <w:bottom w:val="single" w:sz="4" w:space="0" w:color="auto"/>
              <w:right w:val="single" w:sz="8" w:space="0" w:color="auto"/>
            </w:tcBorders>
            <w:shd w:val="clear" w:color="auto" w:fill="auto"/>
            <w:vAlign w:val="center"/>
            <w:hideMark/>
          </w:tcPr>
          <w:p w14:paraId="07465BD6"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Responsible Person(s)</w:t>
            </w:r>
          </w:p>
        </w:tc>
      </w:tr>
      <w:tr w:rsidR="00150E73" w:rsidRPr="00150E73" w14:paraId="3A999ADB"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2E4ABFC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 Establish a project steering committee</w:t>
            </w:r>
          </w:p>
        </w:tc>
        <w:tc>
          <w:tcPr>
            <w:tcW w:w="1640" w:type="dxa"/>
            <w:tcBorders>
              <w:top w:val="nil"/>
              <w:left w:val="nil"/>
              <w:bottom w:val="single" w:sz="4" w:space="0" w:color="auto"/>
              <w:right w:val="single" w:sz="4" w:space="0" w:color="auto"/>
            </w:tcBorders>
            <w:shd w:val="clear" w:color="auto" w:fill="auto"/>
            <w:vAlign w:val="center"/>
            <w:hideMark/>
          </w:tcPr>
          <w:p w14:paraId="04AB7CA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01-Feb-25</w:t>
            </w:r>
          </w:p>
        </w:tc>
        <w:tc>
          <w:tcPr>
            <w:tcW w:w="1840" w:type="dxa"/>
            <w:tcBorders>
              <w:top w:val="nil"/>
              <w:left w:val="nil"/>
              <w:bottom w:val="single" w:sz="4" w:space="0" w:color="auto"/>
              <w:right w:val="single" w:sz="4" w:space="0" w:color="auto"/>
            </w:tcBorders>
            <w:shd w:val="clear" w:color="auto" w:fill="auto"/>
            <w:vAlign w:val="center"/>
            <w:hideMark/>
          </w:tcPr>
          <w:p w14:paraId="41D9B9D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15-Feb-25</w:t>
            </w:r>
          </w:p>
        </w:tc>
        <w:tc>
          <w:tcPr>
            <w:tcW w:w="3020" w:type="dxa"/>
            <w:tcBorders>
              <w:top w:val="nil"/>
              <w:left w:val="nil"/>
              <w:bottom w:val="single" w:sz="4" w:space="0" w:color="auto"/>
              <w:right w:val="single" w:sz="8" w:space="0" w:color="auto"/>
            </w:tcBorders>
            <w:shd w:val="clear" w:color="auto" w:fill="auto"/>
            <w:vAlign w:val="center"/>
            <w:hideMark/>
          </w:tcPr>
          <w:p w14:paraId="58BBE05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Project Manager, Govt Representatives</w:t>
            </w:r>
          </w:p>
        </w:tc>
      </w:tr>
      <w:tr w:rsidR="00150E73" w:rsidRPr="00150E73" w14:paraId="5E681220"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31D6A11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2. Secure funding and resources</w:t>
            </w:r>
          </w:p>
        </w:tc>
        <w:tc>
          <w:tcPr>
            <w:tcW w:w="1640" w:type="dxa"/>
            <w:tcBorders>
              <w:top w:val="nil"/>
              <w:left w:val="nil"/>
              <w:bottom w:val="single" w:sz="4" w:space="0" w:color="auto"/>
              <w:right w:val="single" w:sz="4" w:space="0" w:color="auto"/>
            </w:tcBorders>
            <w:shd w:val="clear" w:color="auto" w:fill="auto"/>
            <w:vAlign w:val="center"/>
            <w:hideMark/>
          </w:tcPr>
          <w:p w14:paraId="11EDFD6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16-Feb-25</w:t>
            </w:r>
          </w:p>
        </w:tc>
        <w:tc>
          <w:tcPr>
            <w:tcW w:w="1840" w:type="dxa"/>
            <w:tcBorders>
              <w:top w:val="nil"/>
              <w:left w:val="nil"/>
              <w:bottom w:val="single" w:sz="4" w:space="0" w:color="auto"/>
              <w:right w:val="single" w:sz="4" w:space="0" w:color="auto"/>
            </w:tcBorders>
            <w:shd w:val="clear" w:color="auto" w:fill="auto"/>
            <w:vAlign w:val="center"/>
            <w:hideMark/>
          </w:tcPr>
          <w:p w14:paraId="721EB49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28-Feb-25</w:t>
            </w:r>
          </w:p>
        </w:tc>
        <w:tc>
          <w:tcPr>
            <w:tcW w:w="3020" w:type="dxa"/>
            <w:tcBorders>
              <w:top w:val="nil"/>
              <w:left w:val="nil"/>
              <w:bottom w:val="single" w:sz="4" w:space="0" w:color="auto"/>
              <w:right w:val="single" w:sz="8" w:space="0" w:color="auto"/>
            </w:tcBorders>
            <w:shd w:val="clear" w:color="auto" w:fill="auto"/>
            <w:vAlign w:val="center"/>
            <w:hideMark/>
          </w:tcPr>
          <w:p w14:paraId="1F035888"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Govt Rep, Project Manager</w:t>
            </w:r>
          </w:p>
        </w:tc>
      </w:tr>
      <w:tr w:rsidR="00150E73" w:rsidRPr="00150E73" w14:paraId="1CBDE56D"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598C42B8"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 Develop a mentorship program framework</w:t>
            </w:r>
          </w:p>
        </w:tc>
        <w:tc>
          <w:tcPr>
            <w:tcW w:w="1640" w:type="dxa"/>
            <w:tcBorders>
              <w:top w:val="nil"/>
              <w:left w:val="nil"/>
              <w:bottom w:val="single" w:sz="4" w:space="0" w:color="auto"/>
              <w:right w:val="single" w:sz="4" w:space="0" w:color="auto"/>
            </w:tcBorders>
            <w:shd w:val="clear" w:color="auto" w:fill="auto"/>
            <w:vAlign w:val="center"/>
            <w:hideMark/>
          </w:tcPr>
          <w:p w14:paraId="74E878A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01-Mar-25</w:t>
            </w:r>
          </w:p>
        </w:tc>
        <w:tc>
          <w:tcPr>
            <w:tcW w:w="1840" w:type="dxa"/>
            <w:tcBorders>
              <w:top w:val="nil"/>
              <w:left w:val="nil"/>
              <w:bottom w:val="single" w:sz="4" w:space="0" w:color="auto"/>
              <w:right w:val="single" w:sz="4" w:space="0" w:color="auto"/>
            </w:tcBorders>
            <w:shd w:val="clear" w:color="auto" w:fill="auto"/>
            <w:vAlign w:val="center"/>
            <w:hideMark/>
          </w:tcPr>
          <w:p w14:paraId="1569FA3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31-Mar-25</w:t>
            </w:r>
          </w:p>
        </w:tc>
        <w:tc>
          <w:tcPr>
            <w:tcW w:w="3020" w:type="dxa"/>
            <w:tcBorders>
              <w:top w:val="nil"/>
              <w:left w:val="nil"/>
              <w:bottom w:val="single" w:sz="4" w:space="0" w:color="auto"/>
              <w:right w:val="single" w:sz="8" w:space="0" w:color="auto"/>
            </w:tcBorders>
            <w:shd w:val="clear" w:color="auto" w:fill="auto"/>
            <w:vAlign w:val="center"/>
            <w:hideMark/>
          </w:tcPr>
          <w:p w14:paraId="1DB0A53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SWE Rep, Project Manager</w:t>
            </w:r>
          </w:p>
        </w:tc>
      </w:tr>
      <w:tr w:rsidR="00150E73" w:rsidRPr="00150E73" w14:paraId="3BEEF045"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3C1748E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4. Identify and train mentors</w:t>
            </w:r>
          </w:p>
        </w:tc>
        <w:tc>
          <w:tcPr>
            <w:tcW w:w="1640" w:type="dxa"/>
            <w:tcBorders>
              <w:top w:val="nil"/>
              <w:left w:val="nil"/>
              <w:bottom w:val="single" w:sz="4" w:space="0" w:color="auto"/>
              <w:right w:val="single" w:sz="4" w:space="0" w:color="auto"/>
            </w:tcBorders>
            <w:shd w:val="clear" w:color="auto" w:fill="auto"/>
            <w:vAlign w:val="center"/>
            <w:hideMark/>
          </w:tcPr>
          <w:p w14:paraId="6454E2F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01-Apr-25</w:t>
            </w:r>
          </w:p>
        </w:tc>
        <w:tc>
          <w:tcPr>
            <w:tcW w:w="1840" w:type="dxa"/>
            <w:tcBorders>
              <w:top w:val="nil"/>
              <w:left w:val="nil"/>
              <w:bottom w:val="single" w:sz="4" w:space="0" w:color="auto"/>
              <w:right w:val="single" w:sz="4" w:space="0" w:color="auto"/>
            </w:tcBorders>
            <w:shd w:val="clear" w:color="auto" w:fill="auto"/>
            <w:vAlign w:val="center"/>
            <w:hideMark/>
          </w:tcPr>
          <w:p w14:paraId="2794132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30-Apr-25</w:t>
            </w:r>
          </w:p>
        </w:tc>
        <w:tc>
          <w:tcPr>
            <w:tcW w:w="3020" w:type="dxa"/>
            <w:tcBorders>
              <w:top w:val="nil"/>
              <w:left w:val="nil"/>
              <w:bottom w:val="single" w:sz="4" w:space="0" w:color="auto"/>
              <w:right w:val="single" w:sz="8" w:space="0" w:color="auto"/>
            </w:tcBorders>
            <w:shd w:val="clear" w:color="auto" w:fill="auto"/>
            <w:vAlign w:val="center"/>
            <w:hideMark/>
          </w:tcPr>
          <w:p w14:paraId="76AF3E1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Trainers, SWE Representatives</w:t>
            </w:r>
          </w:p>
        </w:tc>
      </w:tr>
      <w:tr w:rsidR="00150E73" w:rsidRPr="00150E73" w14:paraId="5AA5D553"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58846C2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lastRenderedPageBreak/>
              <w:t>5. Launch early STEM engagement initiatives</w:t>
            </w:r>
          </w:p>
        </w:tc>
        <w:tc>
          <w:tcPr>
            <w:tcW w:w="1640" w:type="dxa"/>
            <w:tcBorders>
              <w:top w:val="nil"/>
              <w:left w:val="nil"/>
              <w:bottom w:val="single" w:sz="4" w:space="0" w:color="auto"/>
              <w:right w:val="single" w:sz="4" w:space="0" w:color="auto"/>
            </w:tcBorders>
            <w:shd w:val="clear" w:color="auto" w:fill="auto"/>
            <w:vAlign w:val="center"/>
            <w:hideMark/>
          </w:tcPr>
          <w:p w14:paraId="6B35A28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15-Apr-25</w:t>
            </w:r>
          </w:p>
        </w:tc>
        <w:tc>
          <w:tcPr>
            <w:tcW w:w="1840" w:type="dxa"/>
            <w:tcBorders>
              <w:top w:val="nil"/>
              <w:left w:val="nil"/>
              <w:bottom w:val="single" w:sz="4" w:space="0" w:color="auto"/>
              <w:right w:val="single" w:sz="4" w:space="0" w:color="auto"/>
            </w:tcBorders>
            <w:shd w:val="clear" w:color="auto" w:fill="auto"/>
            <w:vAlign w:val="center"/>
            <w:hideMark/>
          </w:tcPr>
          <w:p w14:paraId="03A9F6A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15-Oct-25</w:t>
            </w:r>
          </w:p>
        </w:tc>
        <w:tc>
          <w:tcPr>
            <w:tcW w:w="3020" w:type="dxa"/>
            <w:tcBorders>
              <w:top w:val="nil"/>
              <w:left w:val="nil"/>
              <w:bottom w:val="single" w:sz="4" w:space="0" w:color="auto"/>
              <w:right w:val="single" w:sz="8" w:space="0" w:color="auto"/>
            </w:tcBorders>
            <w:shd w:val="clear" w:color="auto" w:fill="auto"/>
            <w:vAlign w:val="center"/>
            <w:hideMark/>
          </w:tcPr>
          <w:p w14:paraId="2A675E9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Educator, Institution Representatives</w:t>
            </w:r>
          </w:p>
        </w:tc>
      </w:tr>
      <w:tr w:rsidR="00150E73" w:rsidRPr="00150E73" w14:paraId="7E21F56B"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26F5A9A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6. Collaborate with media for awareness</w:t>
            </w:r>
          </w:p>
        </w:tc>
        <w:tc>
          <w:tcPr>
            <w:tcW w:w="1640" w:type="dxa"/>
            <w:tcBorders>
              <w:top w:val="nil"/>
              <w:left w:val="nil"/>
              <w:bottom w:val="single" w:sz="4" w:space="0" w:color="auto"/>
              <w:right w:val="single" w:sz="4" w:space="0" w:color="auto"/>
            </w:tcBorders>
            <w:shd w:val="clear" w:color="auto" w:fill="auto"/>
            <w:vAlign w:val="center"/>
            <w:hideMark/>
          </w:tcPr>
          <w:p w14:paraId="3979E64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01-May-25</w:t>
            </w:r>
          </w:p>
        </w:tc>
        <w:tc>
          <w:tcPr>
            <w:tcW w:w="1840" w:type="dxa"/>
            <w:tcBorders>
              <w:top w:val="nil"/>
              <w:left w:val="nil"/>
              <w:bottom w:val="single" w:sz="4" w:space="0" w:color="auto"/>
              <w:right w:val="single" w:sz="4" w:space="0" w:color="auto"/>
            </w:tcBorders>
            <w:shd w:val="clear" w:color="auto" w:fill="auto"/>
            <w:vAlign w:val="center"/>
            <w:hideMark/>
          </w:tcPr>
          <w:p w14:paraId="1483E24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30-May-25</w:t>
            </w:r>
          </w:p>
        </w:tc>
        <w:tc>
          <w:tcPr>
            <w:tcW w:w="3020" w:type="dxa"/>
            <w:tcBorders>
              <w:top w:val="nil"/>
              <w:left w:val="nil"/>
              <w:bottom w:val="single" w:sz="4" w:space="0" w:color="auto"/>
              <w:right w:val="single" w:sz="8" w:space="0" w:color="auto"/>
            </w:tcBorders>
            <w:shd w:val="clear" w:color="auto" w:fill="auto"/>
            <w:vAlign w:val="center"/>
            <w:hideMark/>
          </w:tcPr>
          <w:p w14:paraId="228C5EE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Media Group, Advocacy Representatives</w:t>
            </w:r>
          </w:p>
        </w:tc>
      </w:tr>
      <w:tr w:rsidR="00150E73" w:rsidRPr="00150E73" w14:paraId="1FD5AC09"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77D115D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7. Recruit female candidates proactively</w:t>
            </w:r>
          </w:p>
        </w:tc>
        <w:tc>
          <w:tcPr>
            <w:tcW w:w="1640" w:type="dxa"/>
            <w:tcBorders>
              <w:top w:val="nil"/>
              <w:left w:val="nil"/>
              <w:bottom w:val="single" w:sz="4" w:space="0" w:color="auto"/>
              <w:right w:val="single" w:sz="4" w:space="0" w:color="auto"/>
            </w:tcBorders>
            <w:shd w:val="clear" w:color="auto" w:fill="auto"/>
            <w:vAlign w:val="center"/>
            <w:hideMark/>
          </w:tcPr>
          <w:p w14:paraId="2B3F984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01-Jun-25</w:t>
            </w:r>
          </w:p>
        </w:tc>
        <w:tc>
          <w:tcPr>
            <w:tcW w:w="1840" w:type="dxa"/>
            <w:tcBorders>
              <w:top w:val="nil"/>
              <w:left w:val="nil"/>
              <w:bottom w:val="single" w:sz="4" w:space="0" w:color="auto"/>
              <w:right w:val="single" w:sz="4" w:space="0" w:color="auto"/>
            </w:tcBorders>
            <w:shd w:val="clear" w:color="auto" w:fill="auto"/>
            <w:vAlign w:val="center"/>
            <w:hideMark/>
          </w:tcPr>
          <w:p w14:paraId="41C16DB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30-Nov-25</w:t>
            </w:r>
          </w:p>
        </w:tc>
        <w:tc>
          <w:tcPr>
            <w:tcW w:w="3020" w:type="dxa"/>
            <w:tcBorders>
              <w:top w:val="nil"/>
              <w:left w:val="nil"/>
              <w:bottom w:val="single" w:sz="4" w:space="0" w:color="auto"/>
              <w:right w:val="single" w:sz="8" w:space="0" w:color="auto"/>
            </w:tcBorders>
            <w:shd w:val="clear" w:color="auto" w:fill="auto"/>
            <w:vAlign w:val="center"/>
            <w:hideMark/>
          </w:tcPr>
          <w:p w14:paraId="349A55A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Employer HR, SWE Representatives</w:t>
            </w:r>
          </w:p>
        </w:tc>
      </w:tr>
      <w:tr w:rsidR="00150E73" w:rsidRPr="00150E73" w14:paraId="4E189B84"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6335951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8. Implement diversity policies in firms</w:t>
            </w:r>
          </w:p>
        </w:tc>
        <w:tc>
          <w:tcPr>
            <w:tcW w:w="1640" w:type="dxa"/>
            <w:tcBorders>
              <w:top w:val="nil"/>
              <w:left w:val="nil"/>
              <w:bottom w:val="single" w:sz="4" w:space="0" w:color="auto"/>
              <w:right w:val="single" w:sz="4" w:space="0" w:color="auto"/>
            </w:tcBorders>
            <w:shd w:val="clear" w:color="auto" w:fill="auto"/>
            <w:vAlign w:val="center"/>
            <w:hideMark/>
          </w:tcPr>
          <w:p w14:paraId="19A623B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01-Jul-25</w:t>
            </w:r>
          </w:p>
        </w:tc>
        <w:tc>
          <w:tcPr>
            <w:tcW w:w="1840" w:type="dxa"/>
            <w:tcBorders>
              <w:top w:val="nil"/>
              <w:left w:val="nil"/>
              <w:bottom w:val="single" w:sz="4" w:space="0" w:color="auto"/>
              <w:right w:val="single" w:sz="4" w:space="0" w:color="auto"/>
            </w:tcBorders>
            <w:shd w:val="clear" w:color="auto" w:fill="auto"/>
            <w:vAlign w:val="center"/>
            <w:hideMark/>
          </w:tcPr>
          <w:p w14:paraId="15B52DC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31-Dec-25</w:t>
            </w:r>
          </w:p>
        </w:tc>
        <w:tc>
          <w:tcPr>
            <w:tcW w:w="3020" w:type="dxa"/>
            <w:tcBorders>
              <w:top w:val="nil"/>
              <w:left w:val="nil"/>
              <w:bottom w:val="single" w:sz="4" w:space="0" w:color="auto"/>
              <w:right w:val="single" w:sz="8" w:space="0" w:color="auto"/>
            </w:tcBorders>
            <w:shd w:val="clear" w:color="auto" w:fill="auto"/>
            <w:vAlign w:val="center"/>
            <w:hideMark/>
          </w:tcPr>
          <w:p w14:paraId="62AAD0C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Employers, Govt Representatives</w:t>
            </w:r>
          </w:p>
        </w:tc>
      </w:tr>
      <w:tr w:rsidR="00150E73" w:rsidRPr="00150E73" w14:paraId="7B962C3F" w14:textId="77777777" w:rsidTr="00170EF2">
        <w:trPr>
          <w:trHeight w:val="51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2112F16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9. Conduct workshops on gender equity</w:t>
            </w:r>
          </w:p>
        </w:tc>
        <w:tc>
          <w:tcPr>
            <w:tcW w:w="1640" w:type="dxa"/>
            <w:tcBorders>
              <w:top w:val="nil"/>
              <w:left w:val="nil"/>
              <w:bottom w:val="single" w:sz="4" w:space="0" w:color="auto"/>
              <w:right w:val="single" w:sz="4" w:space="0" w:color="auto"/>
            </w:tcBorders>
            <w:shd w:val="clear" w:color="auto" w:fill="auto"/>
            <w:vAlign w:val="center"/>
            <w:hideMark/>
          </w:tcPr>
          <w:p w14:paraId="6EC36C6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01-Jul-25</w:t>
            </w:r>
          </w:p>
        </w:tc>
        <w:tc>
          <w:tcPr>
            <w:tcW w:w="1840" w:type="dxa"/>
            <w:tcBorders>
              <w:top w:val="nil"/>
              <w:left w:val="nil"/>
              <w:bottom w:val="single" w:sz="4" w:space="0" w:color="auto"/>
              <w:right w:val="single" w:sz="4" w:space="0" w:color="auto"/>
            </w:tcBorders>
            <w:shd w:val="clear" w:color="auto" w:fill="auto"/>
            <w:vAlign w:val="center"/>
            <w:hideMark/>
          </w:tcPr>
          <w:p w14:paraId="5A21CA6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30-Sep-25</w:t>
            </w:r>
          </w:p>
        </w:tc>
        <w:tc>
          <w:tcPr>
            <w:tcW w:w="3020" w:type="dxa"/>
            <w:tcBorders>
              <w:top w:val="nil"/>
              <w:left w:val="nil"/>
              <w:bottom w:val="single" w:sz="4" w:space="0" w:color="auto"/>
              <w:right w:val="single" w:sz="8" w:space="0" w:color="auto"/>
            </w:tcBorders>
            <w:shd w:val="clear" w:color="auto" w:fill="auto"/>
            <w:vAlign w:val="center"/>
            <w:hideMark/>
          </w:tcPr>
          <w:p w14:paraId="5D5E094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Trainers, Project Manager</w:t>
            </w:r>
          </w:p>
        </w:tc>
      </w:tr>
      <w:tr w:rsidR="00150E73" w:rsidRPr="00150E73" w14:paraId="548EE3F5"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4B2C761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10. Create visibility for female role models</w:t>
            </w:r>
          </w:p>
        </w:tc>
        <w:tc>
          <w:tcPr>
            <w:tcW w:w="1640" w:type="dxa"/>
            <w:tcBorders>
              <w:top w:val="nil"/>
              <w:left w:val="nil"/>
              <w:bottom w:val="single" w:sz="4" w:space="0" w:color="auto"/>
              <w:right w:val="single" w:sz="4" w:space="0" w:color="auto"/>
            </w:tcBorders>
            <w:shd w:val="clear" w:color="auto" w:fill="auto"/>
            <w:vAlign w:val="center"/>
            <w:hideMark/>
          </w:tcPr>
          <w:p w14:paraId="03BACD9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01-Aug-25</w:t>
            </w:r>
          </w:p>
        </w:tc>
        <w:tc>
          <w:tcPr>
            <w:tcW w:w="1840" w:type="dxa"/>
            <w:tcBorders>
              <w:top w:val="nil"/>
              <w:left w:val="nil"/>
              <w:bottom w:val="single" w:sz="4" w:space="0" w:color="auto"/>
              <w:right w:val="single" w:sz="4" w:space="0" w:color="auto"/>
            </w:tcBorders>
            <w:shd w:val="clear" w:color="auto" w:fill="auto"/>
            <w:vAlign w:val="center"/>
            <w:hideMark/>
          </w:tcPr>
          <w:p w14:paraId="306DB1A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31-Oct-25</w:t>
            </w:r>
          </w:p>
        </w:tc>
        <w:tc>
          <w:tcPr>
            <w:tcW w:w="3020" w:type="dxa"/>
            <w:tcBorders>
              <w:top w:val="nil"/>
              <w:left w:val="nil"/>
              <w:bottom w:val="single" w:sz="4" w:space="0" w:color="auto"/>
              <w:right w:val="single" w:sz="8" w:space="0" w:color="auto"/>
            </w:tcBorders>
            <w:shd w:val="clear" w:color="auto" w:fill="auto"/>
            <w:vAlign w:val="center"/>
            <w:hideMark/>
          </w:tcPr>
          <w:p w14:paraId="7B46574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Media Group, Advocacy Representatives</w:t>
            </w:r>
          </w:p>
        </w:tc>
      </w:tr>
      <w:tr w:rsidR="00150E73" w:rsidRPr="00150E73" w14:paraId="4B36FFC1"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08CC0B7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11. Launch a mentorship program</w:t>
            </w:r>
          </w:p>
        </w:tc>
        <w:tc>
          <w:tcPr>
            <w:tcW w:w="1640" w:type="dxa"/>
            <w:tcBorders>
              <w:top w:val="nil"/>
              <w:left w:val="nil"/>
              <w:bottom w:val="single" w:sz="4" w:space="0" w:color="auto"/>
              <w:right w:val="single" w:sz="4" w:space="0" w:color="auto"/>
            </w:tcBorders>
            <w:shd w:val="clear" w:color="auto" w:fill="auto"/>
            <w:vAlign w:val="center"/>
            <w:hideMark/>
          </w:tcPr>
          <w:p w14:paraId="16DFB4F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01-Oct-25</w:t>
            </w:r>
          </w:p>
        </w:tc>
        <w:tc>
          <w:tcPr>
            <w:tcW w:w="1840" w:type="dxa"/>
            <w:tcBorders>
              <w:top w:val="nil"/>
              <w:left w:val="nil"/>
              <w:bottom w:val="single" w:sz="4" w:space="0" w:color="auto"/>
              <w:right w:val="single" w:sz="4" w:space="0" w:color="auto"/>
            </w:tcBorders>
            <w:shd w:val="clear" w:color="auto" w:fill="auto"/>
            <w:vAlign w:val="center"/>
            <w:hideMark/>
          </w:tcPr>
          <w:p w14:paraId="1F2D083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31-Dec-25</w:t>
            </w:r>
          </w:p>
        </w:tc>
        <w:tc>
          <w:tcPr>
            <w:tcW w:w="3020" w:type="dxa"/>
            <w:tcBorders>
              <w:top w:val="nil"/>
              <w:left w:val="nil"/>
              <w:bottom w:val="single" w:sz="4" w:space="0" w:color="auto"/>
              <w:right w:val="single" w:sz="8" w:space="0" w:color="auto"/>
            </w:tcBorders>
            <w:shd w:val="clear" w:color="auto" w:fill="auto"/>
            <w:vAlign w:val="center"/>
            <w:hideMark/>
          </w:tcPr>
          <w:p w14:paraId="1DA12C8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SWE Rep, Mentors</w:t>
            </w:r>
          </w:p>
        </w:tc>
      </w:tr>
      <w:tr w:rsidR="00150E73" w:rsidRPr="00150E73" w14:paraId="27E4BFF7"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17FE637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12. Monitor STEM participation rates</w:t>
            </w:r>
          </w:p>
        </w:tc>
        <w:tc>
          <w:tcPr>
            <w:tcW w:w="1640" w:type="dxa"/>
            <w:tcBorders>
              <w:top w:val="nil"/>
              <w:left w:val="nil"/>
              <w:bottom w:val="single" w:sz="4" w:space="0" w:color="auto"/>
              <w:right w:val="single" w:sz="4" w:space="0" w:color="auto"/>
            </w:tcBorders>
            <w:shd w:val="clear" w:color="auto" w:fill="auto"/>
            <w:vAlign w:val="center"/>
            <w:hideMark/>
          </w:tcPr>
          <w:p w14:paraId="153B53C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01-Jan-26</w:t>
            </w:r>
          </w:p>
        </w:tc>
        <w:tc>
          <w:tcPr>
            <w:tcW w:w="1840" w:type="dxa"/>
            <w:tcBorders>
              <w:top w:val="nil"/>
              <w:left w:val="nil"/>
              <w:bottom w:val="single" w:sz="4" w:space="0" w:color="auto"/>
              <w:right w:val="single" w:sz="4" w:space="0" w:color="auto"/>
            </w:tcBorders>
            <w:shd w:val="clear" w:color="auto" w:fill="auto"/>
            <w:vAlign w:val="center"/>
            <w:hideMark/>
          </w:tcPr>
          <w:p w14:paraId="2008E67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31-Dec-26</w:t>
            </w:r>
          </w:p>
        </w:tc>
        <w:tc>
          <w:tcPr>
            <w:tcW w:w="3020" w:type="dxa"/>
            <w:tcBorders>
              <w:top w:val="nil"/>
              <w:left w:val="nil"/>
              <w:bottom w:val="single" w:sz="4" w:space="0" w:color="auto"/>
              <w:right w:val="single" w:sz="8" w:space="0" w:color="auto"/>
            </w:tcBorders>
            <w:shd w:val="clear" w:color="auto" w:fill="auto"/>
            <w:vAlign w:val="center"/>
            <w:hideMark/>
          </w:tcPr>
          <w:p w14:paraId="107D099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Institution Trainers</w:t>
            </w:r>
          </w:p>
        </w:tc>
      </w:tr>
      <w:tr w:rsidR="00150E73" w:rsidRPr="00150E73" w14:paraId="47772543"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0DA53AB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13. Evaluate mentorship program effectiveness</w:t>
            </w:r>
          </w:p>
        </w:tc>
        <w:tc>
          <w:tcPr>
            <w:tcW w:w="1640" w:type="dxa"/>
            <w:tcBorders>
              <w:top w:val="nil"/>
              <w:left w:val="nil"/>
              <w:bottom w:val="single" w:sz="4" w:space="0" w:color="auto"/>
              <w:right w:val="single" w:sz="4" w:space="0" w:color="auto"/>
            </w:tcBorders>
            <w:shd w:val="clear" w:color="auto" w:fill="auto"/>
            <w:vAlign w:val="center"/>
            <w:hideMark/>
          </w:tcPr>
          <w:p w14:paraId="16CABCC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01-Jan-26</w:t>
            </w:r>
          </w:p>
        </w:tc>
        <w:tc>
          <w:tcPr>
            <w:tcW w:w="1840" w:type="dxa"/>
            <w:tcBorders>
              <w:top w:val="nil"/>
              <w:left w:val="nil"/>
              <w:bottom w:val="single" w:sz="4" w:space="0" w:color="auto"/>
              <w:right w:val="single" w:sz="4" w:space="0" w:color="auto"/>
            </w:tcBorders>
            <w:shd w:val="clear" w:color="auto" w:fill="auto"/>
            <w:vAlign w:val="center"/>
            <w:hideMark/>
          </w:tcPr>
          <w:p w14:paraId="7AB9C608"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31-Dec-26</w:t>
            </w:r>
          </w:p>
        </w:tc>
        <w:tc>
          <w:tcPr>
            <w:tcW w:w="3020" w:type="dxa"/>
            <w:tcBorders>
              <w:top w:val="nil"/>
              <w:left w:val="nil"/>
              <w:bottom w:val="single" w:sz="4" w:space="0" w:color="auto"/>
              <w:right w:val="single" w:sz="8" w:space="0" w:color="auto"/>
            </w:tcBorders>
            <w:shd w:val="clear" w:color="auto" w:fill="auto"/>
            <w:vAlign w:val="center"/>
            <w:hideMark/>
          </w:tcPr>
          <w:p w14:paraId="43EF1EA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Project Manager, SWE Representatives</w:t>
            </w:r>
          </w:p>
        </w:tc>
      </w:tr>
      <w:tr w:rsidR="00150E73" w:rsidRPr="00150E73" w14:paraId="4FBFC4B2"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40DD513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14. Publish success stories</w:t>
            </w:r>
          </w:p>
        </w:tc>
        <w:tc>
          <w:tcPr>
            <w:tcW w:w="1640" w:type="dxa"/>
            <w:tcBorders>
              <w:top w:val="nil"/>
              <w:left w:val="nil"/>
              <w:bottom w:val="single" w:sz="4" w:space="0" w:color="auto"/>
              <w:right w:val="single" w:sz="4" w:space="0" w:color="auto"/>
            </w:tcBorders>
            <w:shd w:val="clear" w:color="auto" w:fill="auto"/>
            <w:vAlign w:val="center"/>
            <w:hideMark/>
          </w:tcPr>
          <w:p w14:paraId="05813E3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01-Feb-26</w:t>
            </w:r>
          </w:p>
        </w:tc>
        <w:tc>
          <w:tcPr>
            <w:tcW w:w="1840" w:type="dxa"/>
            <w:tcBorders>
              <w:top w:val="nil"/>
              <w:left w:val="nil"/>
              <w:bottom w:val="single" w:sz="4" w:space="0" w:color="auto"/>
              <w:right w:val="single" w:sz="4" w:space="0" w:color="auto"/>
            </w:tcBorders>
            <w:shd w:val="clear" w:color="auto" w:fill="auto"/>
            <w:vAlign w:val="center"/>
            <w:hideMark/>
          </w:tcPr>
          <w:p w14:paraId="4A3D77C9"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31-May-26</w:t>
            </w:r>
          </w:p>
        </w:tc>
        <w:tc>
          <w:tcPr>
            <w:tcW w:w="3020" w:type="dxa"/>
            <w:tcBorders>
              <w:top w:val="nil"/>
              <w:left w:val="nil"/>
              <w:bottom w:val="single" w:sz="4" w:space="0" w:color="auto"/>
              <w:right w:val="single" w:sz="8" w:space="0" w:color="auto"/>
            </w:tcBorders>
            <w:shd w:val="clear" w:color="auto" w:fill="auto"/>
            <w:vAlign w:val="center"/>
            <w:hideMark/>
          </w:tcPr>
          <w:p w14:paraId="33293AC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Media Group, SWE Representatives</w:t>
            </w:r>
          </w:p>
        </w:tc>
      </w:tr>
      <w:tr w:rsidR="00150E73" w:rsidRPr="00150E73" w14:paraId="21BCE6F1"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0AE9BE8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15. Develop KPIs for diversity initiatives</w:t>
            </w:r>
          </w:p>
        </w:tc>
        <w:tc>
          <w:tcPr>
            <w:tcW w:w="1640" w:type="dxa"/>
            <w:tcBorders>
              <w:top w:val="nil"/>
              <w:left w:val="nil"/>
              <w:bottom w:val="single" w:sz="4" w:space="0" w:color="auto"/>
              <w:right w:val="single" w:sz="4" w:space="0" w:color="auto"/>
            </w:tcBorders>
            <w:shd w:val="clear" w:color="auto" w:fill="auto"/>
            <w:vAlign w:val="center"/>
            <w:hideMark/>
          </w:tcPr>
          <w:p w14:paraId="443FF18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01-Apr-26</w:t>
            </w:r>
          </w:p>
        </w:tc>
        <w:tc>
          <w:tcPr>
            <w:tcW w:w="1840" w:type="dxa"/>
            <w:tcBorders>
              <w:top w:val="nil"/>
              <w:left w:val="nil"/>
              <w:bottom w:val="single" w:sz="4" w:space="0" w:color="auto"/>
              <w:right w:val="single" w:sz="4" w:space="0" w:color="auto"/>
            </w:tcBorders>
            <w:shd w:val="clear" w:color="auto" w:fill="auto"/>
            <w:vAlign w:val="center"/>
            <w:hideMark/>
          </w:tcPr>
          <w:p w14:paraId="64228F4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30-Jun-26</w:t>
            </w:r>
          </w:p>
        </w:tc>
        <w:tc>
          <w:tcPr>
            <w:tcW w:w="3020" w:type="dxa"/>
            <w:tcBorders>
              <w:top w:val="nil"/>
              <w:left w:val="nil"/>
              <w:bottom w:val="single" w:sz="4" w:space="0" w:color="auto"/>
              <w:right w:val="single" w:sz="8" w:space="0" w:color="auto"/>
            </w:tcBorders>
            <w:shd w:val="clear" w:color="auto" w:fill="auto"/>
            <w:vAlign w:val="center"/>
            <w:hideMark/>
          </w:tcPr>
          <w:p w14:paraId="1CDE931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Project Manager, Employers</w:t>
            </w:r>
          </w:p>
        </w:tc>
      </w:tr>
      <w:tr w:rsidR="00150E73" w:rsidRPr="00150E73" w14:paraId="76A31F55" w14:textId="77777777" w:rsidTr="00170EF2">
        <w:trPr>
          <w:trHeight w:val="6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66F4776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16. Create industry guidelines on inclusivity</w:t>
            </w:r>
          </w:p>
        </w:tc>
        <w:tc>
          <w:tcPr>
            <w:tcW w:w="1640" w:type="dxa"/>
            <w:tcBorders>
              <w:top w:val="nil"/>
              <w:left w:val="nil"/>
              <w:bottom w:val="single" w:sz="4" w:space="0" w:color="auto"/>
              <w:right w:val="single" w:sz="4" w:space="0" w:color="auto"/>
            </w:tcBorders>
            <w:shd w:val="clear" w:color="auto" w:fill="auto"/>
            <w:vAlign w:val="center"/>
            <w:hideMark/>
          </w:tcPr>
          <w:p w14:paraId="4B94972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01-May-26</w:t>
            </w:r>
          </w:p>
        </w:tc>
        <w:tc>
          <w:tcPr>
            <w:tcW w:w="1840" w:type="dxa"/>
            <w:tcBorders>
              <w:top w:val="nil"/>
              <w:left w:val="nil"/>
              <w:bottom w:val="single" w:sz="4" w:space="0" w:color="auto"/>
              <w:right w:val="single" w:sz="4" w:space="0" w:color="auto"/>
            </w:tcBorders>
            <w:shd w:val="clear" w:color="auto" w:fill="auto"/>
            <w:vAlign w:val="center"/>
            <w:hideMark/>
          </w:tcPr>
          <w:p w14:paraId="1E78C2D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31-Aug-26</w:t>
            </w:r>
          </w:p>
        </w:tc>
        <w:tc>
          <w:tcPr>
            <w:tcW w:w="3020" w:type="dxa"/>
            <w:tcBorders>
              <w:top w:val="nil"/>
              <w:left w:val="nil"/>
              <w:bottom w:val="single" w:sz="4" w:space="0" w:color="auto"/>
              <w:right w:val="single" w:sz="8" w:space="0" w:color="auto"/>
            </w:tcBorders>
            <w:shd w:val="clear" w:color="auto" w:fill="auto"/>
            <w:vAlign w:val="center"/>
            <w:hideMark/>
          </w:tcPr>
          <w:p w14:paraId="19D760A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Govt, Employers</w:t>
            </w:r>
          </w:p>
        </w:tc>
      </w:tr>
      <w:tr w:rsidR="00150E73" w:rsidRPr="00150E73" w14:paraId="6D0A1390"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6AF6031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17. Host annual industry roundtable</w:t>
            </w:r>
          </w:p>
        </w:tc>
        <w:tc>
          <w:tcPr>
            <w:tcW w:w="1640" w:type="dxa"/>
            <w:tcBorders>
              <w:top w:val="nil"/>
              <w:left w:val="nil"/>
              <w:bottom w:val="single" w:sz="4" w:space="0" w:color="auto"/>
              <w:right w:val="single" w:sz="4" w:space="0" w:color="auto"/>
            </w:tcBorders>
            <w:shd w:val="clear" w:color="auto" w:fill="auto"/>
            <w:vAlign w:val="center"/>
            <w:hideMark/>
          </w:tcPr>
          <w:p w14:paraId="7AE0F23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01-Sep-26</w:t>
            </w:r>
          </w:p>
        </w:tc>
        <w:tc>
          <w:tcPr>
            <w:tcW w:w="1840" w:type="dxa"/>
            <w:tcBorders>
              <w:top w:val="nil"/>
              <w:left w:val="nil"/>
              <w:bottom w:val="single" w:sz="4" w:space="0" w:color="auto"/>
              <w:right w:val="single" w:sz="4" w:space="0" w:color="auto"/>
            </w:tcBorders>
            <w:shd w:val="clear" w:color="auto" w:fill="auto"/>
            <w:vAlign w:val="center"/>
            <w:hideMark/>
          </w:tcPr>
          <w:p w14:paraId="22B889F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30-Sep-26</w:t>
            </w:r>
          </w:p>
        </w:tc>
        <w:tc>
          <w:tcPr>
            <w:tcW w:w="3020" w:type="dxa"/>
            <w:tcBorders>
              <w:top w:val="nil"/>
              <w:left w:val="nil"/>
              <w:bottom w:val="single" w:sz="4" w:space="0" w:color="auto"/>
              <w:right w:val="single" w:sz="8" w:space="0" w:color="auto"/>
            </w:tcBorders>
            <w:shd w:val="clear" w:color="auto" w:fill="auto"/>
            <w:vAlign w:val="center"/>
            <w:hideMark/>
          </w:tcPr>
          <w:p w14:paraId="1C9075F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Employers</w:t>
            </w:r>
          </w:p>
        </w:tc>
      </w:tr>
      <w:tr w:rsidR="00150E73" w:rsidRPr="00150E73" w14:paraId="32156D1A"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369D7A2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18. Finalise inclusive hiring policies</w:t>
            </w:r>
          </w:p>
        </w:tc>
        <w:tc>
          <w:tcPr>
            <w:tcW w:w="1640" w:type="dxa"/>
            <w:tcBorders>
              <w:top w:val="nil"/>
              <w:left w:val="nil"/>
              <w:bottom w:val="single" w:sz="4" w:space="0" w:color="auto"/>
              <w:right w:val="single" w:sz="4" w:space="0" w:color="auto"/>
            </w:tcBorders>
            <w:shd w:val="clear" w:color="auto" w:fill="auto"/>
            <w:vAlign w:val="center"/>
            <w:hideMark/>
          </w:tcPr>
          <w:p w14:paraId="52648B0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01-Oct-26</w:t>
            </w:r>
          </w:p>
        </w:tc>
        <w:tc>
          <w:tcPr>
            <w:tcW w:w="1840" w:type="dxa"/>
            <w:tcBorders>
              <w:top w:val="nil"/>
              <w:left w:val="nil"/>
              <w:bottom w:val="single" w:sz="4" w:space="0" w:color="auto"/>
              <w:right w:val="single" w:sz="4" w:space="0" w:color="auto"/>
            </w:tcBorders>
            <w:shd w:val="clear" w:color="auto" w:fill="auto"/>
            <w:vAlign w:val="center"/>
            <w:hideMark/>
          </w:tcPr>
          <w:p w14:paraId="7636695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31-Dec-26</w:t>
            </w:r>
          </w:p>
        </w:tc>
        <w:tc>
          <w:tcPr>
            <w:tcW w:w="3020" w:type="dxa"/>
            <w:tcBorders>
              <w:top w:val="nil"/>
              <w:left w:val="nil"/>
              <w:bottom w:val="single" w:sz="4" w:space="0" w:color="auto"/>
              <w:right w:val="single" w:sz="8" w:space="0" w:color="auto"/>
            </w:tcBorders>
            <w:shd w:val="clear" w:color="auto" w:fill="auto"/>
            <w:vAlign w:val="center"/>
            <w:hideMark/>
          </w:tcPr>
          <w:p w14:paraId="20748B6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Employer HR</w:t>
            </w:r>
          </w:p>
        </w:tc>
      </w:tr>
      <w:tr w:rsidR="00150E73" w:rsidRPr="00150E73" w14:paraId="799B362A" w14:textId="77777777" w:rsidTr="00170EF2">
        <w:trPr>
          <w:trHeight w:val="300"/>
          <w:jc w:val="center"/>
        </w:trPr>
        <w:tc>
          <w:tcPr>
            <w:tcW w:w="3800" w:type="dxa"/>
            <w:tcBorders>
              <w:top w:val="nil"/>
              <w:left w:val="single" w:sz="8" w:space="0" w:color="auto"/>
              <w:bottom w:val="single" w:sz="4" w:space="0" w:color="auto"/>
              <w:right w:val="single" w:sz="4" w:space="0" w:color="auto"/>
            </w:tcBorders>
            <w:shd w:val="clear" w:color="auto" w:fill="auto"/>
            <w:vAlign w:val="center"/>
            <w:hideMark/>
          </w:tcPr>
          <w:p w14:paraId="7B074121"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lastRenderedPageBreak/>
              <w:t>19. Annual review and reporting</w:t>
            </w:r>
          </w:p>
        </w:tc>
        <w:tc>
          <w:tcPr>
            <w:tcW w:w="1640" w:type="dxa"/>
            <w:tcBorders>
              <w:top w:val="nil"/>
              <w:left w:val="nil"/>
              <w:bottom w:val="single" w:sz="4" w:space="0" w:color="auto"/>
              <w:right w:val="single" w:sz="4" w:space="0" w:color="auto"/>
            </w:tcBorders>
            <w:shd w:val="clear" w:color="auto" w:fill="auto"/>
            <w:vAlign w:val="center"/>
            <w:hideMark/>
          </w:tcPr>
          <w:p w14:paraId="605A822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01-Jan-27</w:t>
            </w:r>
          </w:p>
        </w:tc>
        <w:tc>
          <w:tcPr>
            <w:tcW w:w="1840" w:type="dxa"/>
            <w:tcBorders>
              <w:top w:val="nil"/>
              <w:left w:val="nil"/>
              <w:bottom w:val="single" w:sz="4" w:space="0" w:color="auto"/>
              <w:right w:val="single" w:sz="4" w:space="0" w:color="auto"/>
            </w:tcBorders>
            <w:shd w:val="clear" w:color="auto" w:fill="auto"/>
            <w:vAlign w:val="center"/>
            <w:hideMark/>
          </w:tcPr>
          <w:p w14:paraId="0B3FF30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31-Jan-27</w:t>
            </w:r>
          </w:p>
        </w:tc>
        <w:tc>
          <w:tcPr>
            <w:tcW w:w="3020" w:type="dxa"/>
            <w:tcBorders>
              <w:top w:val="nil"/>
              <w:left w:val="nil"/>
              <w:bottom w:val="single" w:sz="4" w:space="0" w:color="auto"/>
              <w:right w:val="single" w:sz="8" w:space="0" w:color="auto"/>
            </w:tcBorders>
            <w:shd w:val="clear" w:color="auto" w:fill="auto"/>
            <w:vAlign w:val="center"/>
            <w:hideMark/>
          </w:tcPr>
          <w:p w14:paraId="2F5C0E3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Project Manager</w:t>
            </w:r>
          </w:p>
        </w:tc>
      </w:tr>
      <w:tr w:rsidR="00150E73" w:rsidRPr="00150E73" w14:paraId="695D46BF" w14:textId="77777777" w:rsidTr="00170EF2">
        <w:trPr>
          <w:trHeight w:val="315"/>
          <w:jc w:val="center"/>
        </w:trPr>
        <w:tc>
          <w:tcPr>
            <w:tcW w:w="3800" w:type="dxa"/>
            <w:tcBorders>
              <w:top w:val="nil"/>
              <w:left w:val="single" w:sz="8" w:space="0" w:color="auto"/>
              <w:bottom w:val="single" w:sz="8" w:space="0" w:color="auto"/>
              <w:right w:val="single" w:sz="4" w:space="0" w:color="auto"/>
            </w:tcBorders>
            <w:shd w:val="clear" w:color="auto" w:fill="auto"/>
            <w:vAlign w:val="center"/>
            <w:hideMark/>
          </w:tcPr>
          <w:p w14:paraId="5279DAB3"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20. Plan for scalability and replication</w:t>
            </w:r>
          </w:p>
        </w:tc>
        <w:tc>
          <w:tcPr>
            <w:tcW w:w="1640" w:type="dxa"/>
            <w:tcBorders>
              <w:top w:val="nil"/>
              <w:left w:val="nil"/>
              <w:bottom w:val="single" w:sz="8" w:space="0" w:color="auto"/>
              <w:right w:val="single" w:sz="4" w:space="0" w:color="auto"/>
            </w:tcBorders>
            <w:shd w:val="clear" w:color="auto" w:fill="auto"/>
            <w:vAlign w:val="center"/>
            <w:hideMark/>
          </w:tcPr>
          <w:p w14:paraId="27C7DF2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01-Feb-27</w:t>
            </w:r>
          </w:p>
        </w:tc>
        <w:tc>
          <w:tcPr>
            <w:tcW w:w="1840" w:type="dxa"/>
            <w:tcBorders>
              <w:top w:val="nil"/>
              <w:left w:val="nil"/>
              <w:bottom w:val="single" w:sz="8" w:space="0" w:color="auto"/>
              <w:right w:val="single" w:sz="4" w:space="0" w:color="auto"/>
            </w:tcBorders>
            <w:shd w:val="clear" w:color="auto" w:fill="auto"/>
            <w:vAlign w:val="center"/>
            <w:hideMark/>
          </w:tcPr>
          <w:p w14:paraId="39C93BCE"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31-Mar-27</w:t>
            </w:r>
          </w:p>
        </w:tc>
        <w:tc>
          <w:tcPr>
            <w:tcW w:w="3020" w:type="dxa"/>
            <w:tcBorders>
              <w:top w:val="nil"/>
              <w:left w:val="nil"/>
              <w:bottom w:val="single" w:sz="8" w:space="0" w:color="auto"/>
              <w:right w:val="single" w:sz="8" w:space="0" w:color="auto"/>
            </w:tcBorders>
            <w:shd w:val="clear" w:color="auto" w:fill="auto"/>
            <w:vAlign w:val="center"/>
            <w:hideMark/>
          </w:tcPr>
          <w:p w14:paraId="780816B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Project Manager</w:t>
            </w:r>
          </w:p>
        </w:tc>
      </w:tr>
    </w:tbl>
    <w:p w14:paraId="3A6FF16B" w14:textId="77777777" w:rsidR="00150E73" w:rsidRPr="00150E73" w:rsidRDefault="00150E73" w:rsidP="00150E73">
      <w:pPr>
        <w:spacing w:line="360" w:lineRule="auto"/>
        <w:rPr>
          <w:rFonts w:ascii="Calibri" w:hAnsi="Calibri" w:cs="Calibri"/>
          <w:sz w:val="24"/>
          <w:szCs w:val="24"/>
        </w:rPr>
      </w:pPr>
    </w:p>
    <w:p w14:paraId="738D5C2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 xml:space="preserve">According to Ika and Pinto (2022) the implementation plans should have clear activity description and timeline, which has been ensured in this plan. As a result, the planned approach to activity implies the correct orientation of activities towards strategic objectives. Basic procedures like getting a steering committee and a source of finance eliminate all probability of failure for the subsequent steps. They are both effective strategies for keeping momentum high, which is done in this plan with obvious activities such as the early involvement of STEM and mentor development. However, </w:t>
      </w:r>
      <w:proofErr w:type="spellStart"/>
      <w:r w:rsidRPr="00150E73">
        <w:rPr>
          <w:rFonts w:ascii="Calibri" w:hAnsi="Calibri" w:cs="Calibri"/>
          <w:sz w:val="24"/>
          <w:szCs w:val="24"/>
        </w:rPr>
        <w:t>Portny</w:t>
      </w:r>
      <w:proofErr w:type="spellEnd"/>
      <w:r w:rsidRPr="00150E73">
        <w:rPr>
          <w:rFonts w:ascii="Calibri" w:hAnsi="Calibri" w:cs="Calibri"/>
          <w:sz w:val="24"/>
          <w:szCs w:val="24"/>
        </w:rPr>
        <w:t xml:space="preserve"> and </w:t>
      </w:r>
      <w:proofErr w:type="spellStart"/>
      <w:r w:rsidRPr="00150E73">
        <w:rPr>
          <w:rFonts w:ascii="Calibri" w:hAnsi="Calibri" w:cs="Calibri"/>
          <w:sz w:val="24"/>
          <w:szCs w:val="24"/>
        </w:rPr>
        <w:t>Portny</w:t>
      </w:r>
      <w:proofErr w:type="spellEnd"/>
      <w:r w:rsidRPr="00150E73">
        <w:rPr>
          <w:rFonts w:ascii="Calibri" w:hAnsi="Calibri" w:cs="Calibri"/>
          <w:sz w:val="24"/>
          <w:szCs w:val="24"/>
        </w:rPr>
        <w:t xml:space="preserve"> (2022) opines that reliance on low-power stakeholders leads to dilution of the impact. In response to this, high-power stakeholders, who include employers and governments, are privileged in key activities, for instance policy making and resource mobilisation. </w:t>
      </w:r>
    </w:p>
    <w:p w14:paraId="11152C8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Regarding the risks of delayed engagement, Kerzner et al. (2022) the timeline minimises them through the inclusion of weekly reviews and workshops that ensure focus is kept on the goals. However, there are still continuous difficulties in the process of changing the culture of engineering firms. Kijima et al. (2021) argues that implanting inclusivity necessitates continued effort, which is provided for in diversity cheque-ups and diversity growth in terms of female leaders in the mechanical engineering sector.</w:t>
      </w:r>
    </w:p>
    <w:p w14:paraId="745AAB62" w14:textId="1D0E1F43" w:rsidR="00150E73" w:rsidRDefault="003B6149" w:rsidP="003B6149">
      <w:pPr>
        <w:pStyle w:val="Heading2"/>
        <w:jc w:val="center"/>
      </w:pPr>
      <w:bookmarkStart w:id="20" w:name="_Toc193282266"/>
      <w:r>
        <w:t xml:space="preserve">3.2 </w:t>
      </w:r>
      <w:r w:rsidR="00150E73" w:rsidRPr="00150E73">
        <w:t>Risk Management and Strategies</w:t>
      </w:r>
      <w:bookmarkEnd w:id="18"/>
      <w:bookmarkEnd w:id="19"/>
      <w:bookmarkEnd w:id="20"/>
    </w:p>
    <w:p w14:paraId="34CBB1AE" w14:textId="77777777" w:rsidR="003B6149" w:rsidRPr="003B6149" w:rsidRDefault="003B6149" w:rsidP="003B6149"/>
    <w:p w14:paraId="556DB51A" w14:textId="77777777" w:rsidR="00150E73" w:rsidRPr="00150E73" w:rsidRDefault="00150E73" w:rsidP="00150E73">
      <w:pPr>
        <w:spacing w:line="360" w:lineRule="auto"/>
        <w:rPr>
          <w:rFonts w:ascii="Calibri" w:hAnsi="Calibri" w:cs="Calibri"/>
          <w:i/>
          <w:iCs/>
          <w:sz w:val="24"/>
          <w:szCs w:val="24"/>
        </w:rPr>
      </w:pPr>
      <w:r w:rsidRPr="00150E73">
        <w:rPr>
          <w:rFonts w:ascii="Calibri" w:hAnsi="Calibri" w:cs="Calibri"/>
          <w:i/>
          <w:iCs/>
          <w:sz w:val="24"/>
          <w:szCs w:val="24"/>
        </w:rPr>
        <w:t xml:space="preserve">Table </w:t>
      </w:r>
      <w:r w:rsidRPr="00150E73">
        <w:rPr>
          <w:rFonts w:ascii="Calibri" w:hAnsi="Calibri" w:cs="Calibri"/>
          <w:i/>
          <w:iCs/>
          <w:sz w:val="24"/>
          <w:szCs w:val="24"/>
        </w:rPr>
        <w:fldChar w:fldCharType="begin"/>
      </w:r>
      <w:r w:rsidRPr="00150E73">
        <w:rPr>
          <w:rFonts w:ascii="Calibri" w:hAnsi="Calibri" w:cs="Calibri"/>
          <w:i/>
          <w:iCs/>
          <w:sz w:val="24"/>
          <w:szCs w:val="24"/>
        </w:rPr>
        <w:instrText xml:space="preserve"> SEQ Table \* ARABIC </w:instrText>
      </w:r>
      <w:r w:rsidRPr="00150E73">
        <w:rPr>
          <w:rFonts w:ascii="Calibri" w:hAnsi="Calibri" w:cs="Calibri"/>
          <w:i/>
          <w:iCs/>
          <w:sz w:val="24"/>
          <w:szCs w:val="24"/>
        </w:rPr>
        <w:fldChar w:fldCharType="separate"/>
      </w:r>
      <w:r w:rsidRPr="00150E73">
        <w:rPr>
          <w:rFonts w:ascii="Calibri" w:hAnsi="Calibri" w:cs="Calibri"/>
          <w:i/>
          <w:iCs/>
          <w:sz w:val="24"/>
          <w:szCs w:val="24"/>
        </w:rPr>
        <w:t>4</w:t>
      </w:r>
      <w:r w:rsidRPr="00150E73">
        <w:rPr>
          <w:rFonts w:ascii="Calibri" w:hAnsi="Calibri" w:cs="Calibri"/>
          <w:sz w:val="24"/>
          <w:szCs w:val="24"/>
        </w:rPr>
        <w:fldChar w:fldCharType="end"/>
      </w:r>
      <w:r w:rsidRPr="00150E73">
        <w:rPr>
          <w:rFonts w:ascii="Calibri" w:hAnsi="Calibri" w:cs="Calibri"/>
          <w:i/>
          <w:iCs/>
          <w:sz w:val="24"/>
          <w:szCs w:val="24"/>
        </w:rPr>
        <w:t xml:space="preserve"> Risk Management</w:t>
      </w:r>
    </w:p>
    <w:tbl>
      <w:tblPr>
        <w:tblW w:w="9819" w:type="dxa"/>
        <w:jc w:val="center"/>
        <w:tblLook w:val="04A0" w:firstRow="1" w:lastRow="0" w:firstColumn="1" w:lastColumn="0" w:noHBand="0" w:noVBand="1"/>
      </w:tblPr>
      <w:tblGrid>
        <w:gridCol w:w="2372"/>
        <w:gridCol w:w="1418"/>
        <w:gridCol w:w="1330"/>
        <w:gridCol w:w="4699"/>
      </w:tblGrid>
      <w:tr w:rsidR="00150E73" w:rsidRPr="00150E73" w14:paraId="5170E0BD" w14:textId="77777777" w:rsidTr="00170EF2">
        <w:trPr>
          <w:trHeight w:val="282"/>
          <w:jc w:val="center"/>
        </w:trPr>
        <w:tc>
          <w:tcPr>
            <w:tcW w:w="2372"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6CC992DD"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Risk</w:t>
            </w:r>
          </w:p>
        </w:tc>
        <w:tc>
          <w:tcPr>
            <w:tcW w:w="1418" w:type="dxa"/>
            <w:tcBorders>
              <w:top w:val="single" w:sz="8" w:space="0" w:color="auto"/>
              <w:left w:val="nil"/>
              <w:bottom w:val="single" w:sz="4" w:space="0" w:color="auto"/>
              <w:right w:val="single" w:sz="4" w:space="0" w:color="auto"/>
            </w:tcBorders>
            <w:shd w:val="clear" w:color="auto" w:fill="auto"/>
            <w:vAlign w:val="center"/>
            <w:hideMark/>
          </w:tcPr>
          <w:p w14:paraId="0C14221F"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Impact</w:t>
            </w:r>
          </w:p>
        </w:tc>
        <w:tc>
          <w:tcPr>
            <w:tcW w:w="1330" w:type="dxa"/>
            <w:tcBorders>
              <w:top w:val="single" w:sz="8" w:space="0" w:color="auto"/>
              <w:left w:val="nil"/>
              <w:bottom w:val="single" w:sz="4" w:space="0" w:color="auto"/>
              <w:right w:val="single" w:sz="4" w:space="0" w:color="auto"/>
            </w:tcBorders>
            <w:shd w:val="clear" w:color="auto" w:fill="auto"/>
            <w:vAlign w:val="center"/>
            <w:hideMark/>
          </w:tcPr>
          <w:p w14:paraId="7B6DC039"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Likelihood</w:t>
            </w:r>
          </w:p>
        </w:tc>
        <w:tc>
          <w:tcPr>
            <w:tcW w:w="4699" w:type="dxa"/>
            <w:tcBorders>
              <w:top w:val="single" w:sz="8" w:space="0" w:color="auto"/>
              <w:left w:val="nil"/>
              <w:bottom w:val="single" w:sz="4" w:space="0" w:color="auto"/>
              <w:right w:val="single" w:sz="8" w:space="0" w:color="auto"/>
            </w:tcBorders>
            <w:shd w:val="clear" w:color="auto" w:fill="auto"/>
            <w:vAlign w:val="center"/>
            <w:hideMark/>
          </w:tcPr>
          <w:p w14:paraId="3C74370E" w14:textId="77777777" w:rsidR="00150E73" w:rsidRPr="00150E73" w:rsidRDefault="00150E73" w:rsidP="00150E73">
            <w:pPr>
              <w:spacing w:line="360" w:lineRule="auto"/>
              <w:rPr>
                <w:rFonts w:ascii="Calibri" w:hAnsi="Calibri" w:cs="Calibri"/>
                <w:b/>
                <w:bCs/>
                <w:sz w:val="24"/>
                <w:szCs w:val="24"/>
              </w:rPr>
            </w:pPr>
            <w:r w:rsidRPr="00150E73">
              <w:rPr>
                <w:rFonts w:ascii="Calibri" w:hAnsi="Calibri" w:cs="Calibri"/>
                <w:b/>
                <w:bCs/>
                <w:sz w:val="24"/>
                <w:szCs w:val="24"/>
              </w:rPr>
              <w:t>Mitigation Strategies</w:t>
            </w:r>
          </w:p>
        </w:tc>
      </w:tr>
      <w:tr w:rsidR="00150E73" w:rsidRPr="00150E73" w14:paraId="3DB38FA5" w14:textId="77777777" w:rsidTr="00170EF2">
        <w:trPr>
          <w:trHeight w:val="848"/>
          <w:jc w:val="center"/>
        </w:trPr>
        <w:tc>
          <w:tcPr>
            <w:tcW w:w="2372" w:type="dxa"/>
            <w:tcBorders>
              <w:top w:val="nil"/>
              <w:left w:val="single" w:sz="8" w:space="0" w:color="auto"/>
              <w:bottom w:val="single" w:sz="4" w:space="0" w:color="auto"/>
              <w:right w:val="single" w:sz="4" w:space="0" w:color="auto"/>
            </w:tcBorders>
            <w:shd w:val="clear" w:color="auto" w:fill="auto"/>
            <w:vAlign w:val="center"/>
            <w:hideMark/>
          </w:tcPr>
          <w:p w14:paraId="726A8587"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Insufficient funding for initiatives</w:t>
            </w:r>
          </w:p>
        </w:tc>
        <w:tc>
          <w:tcPr>
            <w:tcW w:w="1418" w:type="dxa"/>
            <w:tcBorders>
              <w:top w:val="nil"/>
              <w:left w:val="nil"/>
              <w:bottom w:val="single" w:sz="4" w:space="0" w:color="auto"/>
              <w:right w:val="single" w:sz="4" w:space="0" w:color="auto"/>
            </w:tcBorders>
            <w:shd w:val="clear" w:color="000000" w:fill="FF0000"/>
            <w:vAlign w:val="center"/>
            <w:hideMark/>
          </w:tcPr>
          <w:p w14:paraId="7B918832"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1330" w:type="dxa"/>
            <w:tcBorders>
              <w:top w:val="nil"/>
              <w:left w:val="nil"/>
              <w:bottom w:val="single" w:sz="4" w:space="0" w:color="auto"/>
              <w:right w:val="single" w:sz="4" w:space="0" w:color="auto"/>
            </w:tcBorders>
            <w:shd w:val="clear" w:color="000000" w:fill="92D050"/>
            <w:vAlign w:val="center"/>
            <w:hideMark/>
          </w:tcPr>
          <w:p w14:paraId="1922E59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4699" w:type="dxa"/>
            <w:tcBorders>
              <w:top w:val="nil"/>
              <w:left w:val="nil"/>
              <w:bottom w:val="single" w:sz="4" w:space="0" w:color="auto"/>
              <w:right w:val="single" w:sz="8" w:space="0" w:color="auto"/>
            </w:tcBorders>
            <w:shd w:val="clear" w:color="auto" w:fill="auto"/>
            <w:vAlign w:val="center"/>
            <w:hideMark/>
          </w:tcPr>
          <w:p w14:paraId="6ACFB73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Secure commitments from multiple funding sources, including public and private sectors, early in the planning phase.</w:t>
            </w:r>
          </w:p>
        </w:tc>
      </w:tr>
      <w:tr w:rsidR="00150E73" w:rsidRPr="00150E73" w14:paraId="785C1409" w14:textId="77777777" w:rsidTr="00170EF2">
        <w:trPr>
          <w:trHeight w:val="1131"/>
          <w:jc w:val="center"/>
        </w:trPr>
        <w:tc>
          <w:tcPr>
            <w:tcW w:w="2372" w:type="dxa"/>
            <w:tcBorders>
              <w:top w:val="nil"/>
              <w:left w:val="single" w:sz="8" w:space="0" w:color="auto"/>
              <w:bottom w:val="single" w:sz="4" w:space="0" w:color="auto"/>
              <w:right w:val="single" w:sz="4" w:space="0" w:color="auto"/>
            </w:tcBorders>
            <w:shd w:val="clear" w:color="auto" w:fill="auto"/>
            <w:vAlign w:val="center"/>
            <w:hideMark/>
          </w:tcPr>
          <w:p w14:paraId="2C9A734D"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lastRenderedPageBreak/>
              <w:t>Low participation from target groups</w:t>
            </w:r>
          </w:p>
        </w:tc>
        <w:tc>
          <w:tcPr>
            <w:tcW w:w="1418" w:type="dxa"/>
            <w:tcBorders>
              <w:top w:val="nil"/>
              <w:left w:val="nil"/>
              <w:bottom w:val="single" w:sz="4" w:space="0" w:color="auto"/>
              <w:right w:val="single" w:sz="4" w:space="0" w:color="auto"/>
            </w:tcBorders>
            <w:shd w:val="clear" w:color="000000" w:fill="FF0000"/>
            <w:vAlign w:val="center"/>
            <w:hideMark/>
          </w:tcPr>
          <w:p w14:paraId="3C4619F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1330" w:type="dxa"/>
            <w:tcBorders>
              <w:top w:val="nil"/>
              <w:left w:val="nil"/>
              <w:bottom w:val="single" w:sz="4" w:space="0" w:color="auto"/>
              <w:right w:val="single" w:sz="4" w:space="0" w:color="auto"/>
            </w:tcBorders>
            <w:shd w:val="clear" w:color="000000" w:fill="FF0000"/>
            <w:vAlign w:val="center"/>
            <w:hideMark/>
          </w:tcPr>
          <w:p w14:paraId="685E7C5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4699" w:type="dxa"/>
            <w:tcBorders>
              <w:top w:val="nil"/>
              <w:left w:val="nil"/>
              <w:bottom w:val="single" w:sz="4" w:space="0" w:color="auto"/>
              <w:right w:val="single" w:sz="8" w:space="0" w:color="auto"/>
            </w:tcBorders>
            <w:shd w:val="clear" w:color="auto" w:fill="auto"/>
            <w:vAlign w:val="center"/>
            <w:hideMark/>
          </w:tcPr>
          <w:p w14:paraId="0BD4A8CA"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Enhance outreach efforts through community engagement, partnerships with schools, and visible campaigns showcasing role models.</w:t>
            </w:r>
          </w:p>
        </w:tc>
      </w:tr>
      <w:tr w:rsidR="00150E73" w:rsidRPr="00150E73" w14:paraId="27D722E5" w14:textId="77777777" w:rsidTr="00170EF2">
        <w:trPr>
          <w:trHeight w:val="1131"/>
          <w:jc w:val="center"/>
        </w:trPr>
        <w:tc>
          <w:tcPr>
            <w:tcW w:w="2372" w:type="dxa"/>
            <w:tcBorders>
              <w:top w:val="nil"/>
              <w:left w:val="single" w:sz="8" w:space="0" w:color="auto"/>
              <w:bottom w:val="single" w:sz="4" w:space="0" w:color="auto"/>
              <w:right w:val="single" w:sz="4" w:space="0" w:color="auto"/>
            </w:tcBorders>
            <w:shd w:val="clear" w:color="auto" w:fill="auto"/>
            <w:vAlign w:val="center"/>
            <w:hideMark/>
          </w:tcPr>
          <w:p w14:paraId="7F79A87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Resistance to diversity policies in firms</w:t>
            </w:r>
          </w:p>
        </w:tc>
        <w:tc>
          <w:tcPr>
            <w:tcW w:w="1418" w:type="dxa"/>
            <w:tcBorders>
              <w:top w:val="nil"/>
              <w:left w:val="nil"/>
              <w:bottom w:val="single" w:sz="4" w:space="0" w:color="auto"/>
              <w:right w:val="single" w:sz="4" w:space="0" w:color="auto"/>
            </w:tcBorders>
            <w:shd w:val="clear" w:color="000000" w:fill="FF0000"/>
            <w:vAlign w:val="center"/>
            <w:hideMark/>
          </w:tcPr>
          <w:p w14:paraId="794189C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1330" w:type="dxa"/>
            <w:tcBorders>
              <w:top w:val="nil"/>
              <w:left w:val="nil"/>
              <w:bottom w:val="single" w:sz="4" w:space="0" w:color="auto"/>
              <w:right w:val="single" w:sz="4" w:space="0" w:color="auto"/>
            </w:tcBorders>
            <w:shd w:val="clear" w:color="000000" w:fill="92D050"/>
            <w:vAlign w:val="center"/>
            <w:hideMark/>
          </w:tcPr>
          <w:p w14:paraId="624F139F"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4699" w:type="dxa"/>
            <w:tcBorders>
              <w:top w:val="nil"/>
              <w:left w:val="nil"/>
              <w:bottom w:val="single" w:sz="4" w:space="0" w:color="auto"/>
              <w:right w:val="single" w:sz="8" w:space="0" w:color="auto"/>
            </w:tcBorders>
            <w:shd w:val="clear" w:color="auto" w:fill="auto"/>
            <w:vAlign w:val="center"/>
            <w:hideMark/>
          </w:tcPr>
          <w:p w14:paraId="0EB09880" w14:textId="743FCCC2"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 xml:space="preserve">Provide training sessions to address unconscious bias and </w:t>
            </w:r>
            <w:r w:rsidR="003B6149" w:rsidRPr="00150E73">
              <w:rPr>
                <w:rFonts w:ascii="Calibri" w:hAnsi="Calibri" w:cs="Calibri"/>
                <w:sz w:val="24"/>
                <w:szCs w:val="24"/>
              </w:rPr>
              <w:t>emphasis</w:t>
            </w:r>
            <w:r w:rsidRPr="00150E73">
              <w:rPr>
                <w:rFonts w:ascii="Calibri" w:hAnsi="Calibri" w:cs="Calibri"/>
                <w:sz w:val="24"/>
                <w:szCs w:val="24"/>
                <w:lang w:val="en-US"/>
              </w:rPr>
              <w:t>s</w:t>
            </w:r>
            <w:r w:rsidRPr="00150E73">
              <w:rPr>
                <w:rFonts w:ascii="Calibri" w:hAnsi="Calibri" w:cs="Calibri"/>
                <w:sz w:val="24"/>
                <w:szCs w:val="24"/>
              </w:rPr>
              <w:t>e the business benefits of inclusivity through case studies and data.</w:t>
            </w:r>
          </w:p>
        </w:tc>
      </w:tr>
      <w:tr w:rsidR="00150E73" w:rsidRPr="00150E73" w14:paraId="000A9331" w14:textId="77777777" w:rsidTr="00170EF2">
        <w:trPr>
          <w:trHeight w:val="848"/>
          <w:jc w:val="center"/>
        </w:trPr>
        <w:tc>
          <w:tcPr>
            <w:tcW w:w="2372" w:type="dxa"/>
            <w:tcBorders>
              <w:top w:val="nil"/>
              <w:left w:val="single" w:sz="8" w:space="0" w:color="auto"/>
              <w:bottom w:val="single" w:sz="4" w:space="0" w:color="auto"/>
              <w:right w:val="single" w:sz="4" w:space="0" w:color="auto"/>
            </w:tcBorders>
            <w:shd w:val="clear" w:color="auto" w:fill="auto"/>
            <w:vAlign w:val="center"/>
            <w:hideMark/>
          </w:tcPr>
          <w:p w14:paraId="03626E1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Lack of mentor availability or interest</w:t>
            </w:r>
          </w:p>
        </w:tc>
        <w:tc>
          <w:tcPr>
            <w:tcW w:w="1418" w:type="dxa"/>
            <w:tcBorders>
              <w:top w:val="nil"/>
              <w:left w:val="nil"/>
              <w:bottom w:val="single" w:sz="4" w:space="0" w:color="auto"/>
              <w:right w:val="single" w:sz="4" w:space="0" w:color="auto"/>
            </w:tcBorders>
            <w:shd w:val="clear" w:color="000000" w:fill="92D050"/>
            <w:vAlign w:val="center"/>
            <w:hideMark/>
          </w:tcPr>
          <w:p w14:paraId="7226BD26"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1330" w:type="dxa"/>
            <w:tcBorders>
              <w:top w:val="nil"/>
              <w:left w:val="nil"/>
              <w:bottom w:val="single" w:sz="4" w:space="0" w:color="auto"/>
              <w:right w:val="single" w:sz="4" w:space="0" w:color="auto"/>
            </w:tcBorders>
            <w:shd w:val="clear" w:color="000000" w:fill="FF0000"/>
            <w:vAlign w:val="center"/>
            <w:hideMark/>
          </w:tcPr>
          <w:p w14:paraId="5333559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High</w:t>
            </w:r>
          </w:p>
        </w:tc>
        <w:tc>
          <w:tcPr>
            <w:tcW w:w="4699" w:type="dxa"/>
            <w:tcBorders>
              <w:top w:val="nil"/>
              <w:left w:val="nil"/>
              <w:bottom w:val="single" w:sz="4" w:space="0" w:color="auto"/>
              <w:right w:val="single" w:sz="8" w:space="0" w:color="auto"/>
            </w:tcBorders>
            <w:shd w:val="clear" w:color="auto" w:fill="auto"/>
            <w:vAlign w:val="center"/>
            <w:hideMark/>
          </w:tcPr>
          <w:p w14:paraId="736836C8"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Offer incentives to mentors, such as professional development credits, and ensure flexible engagement opportunities.</w:t>
            </w:r>
          </w:p>
        </w:tc>
      </w:tr>
      <w:tr w:rsidR="00150E73" w:rsidRPr="00150E73" w14:paraId="2B3C370C" w14:textId="77777777" w:rsidTr="00170EF2">
        <w:trPr>
          <w:trHeight w:val="862"/>
          <w:jc w:val="center"/>
        </w:trPr>
        <w:tc>
          <w:tcPr>
            <w:tcW w:w="2372" w:type="dxa"/>
            <w:tcBorders>
              <w:top w:val="nil"/>
              <w:left w:val="single" w:sz="8" w:space="0" w:color="auto"/>
              <w:bottom w:val="single" w:sz="8" w:space="0" w:color="auto"/>
              <w:right w:val="single" w:sz="4" w:space="0" w:color="auto"/>
            </w:tcBorders>
            <w:shd w:val="clear" w:color="auto" w:fill="auto"/>
            <w:vAlign w:val="center"/>
            <w:hideMark/>
          </w:tcPr>
          <w:p w14:paraId="30BD6E1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Delays in program execution</w:t>
            </w:r>
          </w:p>
        </w:tc>
        <w:tc>
          <w:tcPr>
            <w:tcW w:w="1418" w:type="dxa"/>
            <w:tcBorders>
              <w:top w:val="nil"/>
              <w:left w:val="nil"/>
              <w:bottom w:val="single" w:sz="8" w:space="0" w:color="auto"/>
              <w:right w:val="single" w:sz="4" w:space="0" w:color="auto"/>
            </w:tcBorders>
            <w:shd w:val="clear" w:color="000000" w:fill="92D050"/>
            <w:vAlign w:val="center"/>
            <w:hideMark/>
          </w:tcPr>
          <w:p w14:paraId="6E34E6B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1330" w:type="dxa"/>
            <w:tcBorders>
              <w:top w:val="nil"/>
              <w:left w:val="nil"/>
              <w:bottom w:val="single" w:sz="8" w:space="0" w:color="auto"/>
              <w:right w:val="single" w:sz="4" w:space="0" w:color="auto"/>
            </w:tcBorders>
            <w:shd w:val="clear" w:color="000000" w:fill="92D050"/>
            <w:vAlign w:val="center"/>
            <w:hideMark/>
          </w:tcPr>
          <w:p w14:paraId="7E839560"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Medium</w:t>
            </w:r>
          </w:p>
        </w:tc>
        <w:tc>
          <w:tcPr>
            <w:tcW w:w="4699" w:type="dxa"/>
            <w:tcBorders>
              <w:top w:val="nil"/>
              <w:left w:val="nil"/>
              <w:bottom w:val="single" w:sz="8" w:space="0" w:color="auto"/>
              <w:right w:val="single" w:sz="8" w:space="0" w:color="auto"/>
            </w:tcBorders>
            <w:shd w:val="clear" w:color="auto" w:fill="auto"/>
            <w:vAlign w:val="center"/>
            <w:hideMark/>
          </w:tcPr>
          <w:p w14:paraId="19068C2C"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Implement monitoring and reporting mechanisms of regular basis to recognise and mitigate delays swiftly.</w:t>
            </w:r>
          </w:p>
        </w:tc>
      </w:tr>
    </w:tbl>
    <w:p w14:paraId="401890A4" w14:textId="77777777" w:rsidR="00150E73" w:rsidRPr="00150E73" w:rsidRDefault="00150E73" w:rsidP="00150E73">
      <w:pPr>
        <w:spacing w:line="360" w:lineRule="auto"/>
        <w:rPr>
          <w:rFonts w:ascii="Calibri" w:hAnsi="Calibri" w:cs="Calibri"/>
          <w:sz w:val="24"/>
          <w:szCs w:val="24"/>
        </w:rPr>
      </w:pPr>
    </w:p>
    <w:p w14:paraId="0971AFC9" w14:textId="2D05E8DF" w:rsidR="00150E73" w:rsidRPr="00150E73" w:rsidRDefault="003B6149" w:rsidP="003B6149">
      <w:pPr>
        <w:pStyle w:val="Heading1"/>
        <w:jc w:val="center"/>
      </w:pPr>
      <w:bookmarkStart w:id="21" w:name="_Toc193282267"/>
      <w:r>
        <w:t>4.0</w:t>
      </w:r>
      <w:r w:rsidR="00150E73" w:rsidRPr="00150E73">
        <w:t xml:space="preserve"> Recommendations</w:t>
      </w:r>
      <w:bookmarkEnd w:id="21"/>
    </w:p>
    <w:p w14:paraId="69715B14" w14:textId="77777777" w:rsidR="00150E73" w:rsidRDefault="00150E73" w:rsidP="003B6149">
      <w:pPr>
        <w:pStyle w:val="Heading2"/>
        <w:jc w:val="center"/>
      </w:pPr>
      <w:bookmarkStart w:id="22" w:name="_Toc187094637"/>
      <w:bookmarkStart w:id="23" w:name="_Toc193282268"/>
      <w:r w:rsidRPr="00150E73">
        <w:t xml:space="preserve">4.1 </w:t>
      </w:r>
      <w:bookmarkEnd w:id="22"/>
      <w:r w:rsidRPr="00150E73">
        <w:t>Strengthen Partnerships with Educational Institutions</w:t>
      </w:r>
      <w:bookmarkEnd w:id="23"/>
    </w:p>
    <w:p w14:paraId="0E7BF4F4" w14:textId="77777777" w:rsidR="003B6149" w:rsidRPr="003B6149" w:rsidRDefault="003B6149" w:rsidP="003B6149"/>
    <w:p w14:paraId="3CBFFCC9" w14:textId="77777777" w:rsidR="00150E73" w:rsidRDefault="00150E73" w:rsidP="00150E73">
      <w:pPr>
        <w:spacing w:line="360" w:lineRule="auto"/>
        <w:rPr>
          <w:rFonts w:ascii="Calibri" w:hAnsi="Calibri" w:cs="Calibri"/>
          <w:sz w:val="24"/>
          <w:szCs w:val="24"/>
        </w:rPr>
      </w:pPr>
      <w:r w:rsidRPr="00150E73">
        <w:rPr>
          <w:rFonts w:ascii="Calibri" w:hAnsi="Calibri" w:cs="Calibri"/>
          <w:sz w:val="24"/>
          <w:szCs w:val="24"/>
        </w:rPr>
        <w:t xml:space="preserve">The first recommendation is to enhance collaborations with schools, colleges and universities so that females can be encouraged to take STEM subjects from the start of their higher degrees and professional journeys. Thus, there is a potential for holding specific additional workshops, design engineering summer schools and scholarships for students who show interest in mechanical engineering based on cooperation with educational organisations (Kim and Meister, 2023). Support for this approach can be observed in the arguments of Kijima et al. (2021) who emphasises the potential benefits of early STEM learning on the dreams of female learners. Measurement or success indicators for this recommendation include amount of partnership, the number and participation of female students in STEM or mechanical engineering programmes, and evaluation of those who </w:t>
      </w:r>
      <w:r w:rsidRPr="00150E73">
        <w:rPr>
          <w:rFonts w:ascii="Calibri" w:hAnsi="Calibri" w:cs="Calibri"/>
          <w:sz w:val="24"/>
          <w:szCs w:val="24"/>
        </w:rPr>
        <w:lastRenderedPageBreak/>
        <w:t xml:space="preserve">participated to examine their interest in mechanical engineering careers (Helman et al., 2020). </w:t>
      </w:r>
    </w:p>
    <w:p w14:paraId="7DE8C9A3" w14:textId="77777777" w:rsidR="00D42F7A" w:rsidRPr="00150E73" w:rsidRDefault="00D42F7A" w:rsidP="00150E73">
      <w:pPr>
        <w:spacing w:line="360" w:lineRule="auto"/>
        <w:rPr>
          <w:rFonts w:ascii="Calibri" w:hAnsi="Calibri" w:cs="Calibri"/>
          <w:sz w:val="24"/>
          <w:szCs w:val="24"/>
        </w:rPr>
      </w:pPr>
    </w:p>
    <w:p w14:paraId="2C5181CA" w14:textId="77777777" w:rsidR="00150E73" w:rsidRDefault="00150E73" w:rsidP="00D42F7A">
      <w:pPr>
        <w:pStyle w:val="Heading2"/>
        <w:jc w:val="center"/>
      </w:pPr>
      <w:bookmarkStart w:id="24" w:name="_Toc187094638"/>
      <w:bookmarkStart w:id="25" w:name="_Toc193282269"/>
      <w:r w:rsidRPr="00150E73">
        <w:t xml:space="preserve">4.2 </w:t>
      </w:r>
      <w:bookmarkEnd w:id="24"/>
      <w:r w:rsidRPr="00150E73">
        <w:t>Develop Comprehensive Mentorship and Sponsorship Programs</w:t>
      </w:r>
      <w:bookmarkEnd w:id="25"/>
    </w:p>
    <w:p w14:paraId="4CB616F8" w14:textId="77777777" w:rsidR="00D42F7A" w:rsidRPr="00D42F7A" w:rsidRDefault="00D42F7A" w:rsidP="00D42F7A"/>
    <w:p w14:paraId="4DECE2E5" w14:textId="3419FB13"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 xml:space="preserve">To ensure the female participation in mechanical engineering is well sustained, there was need to adopt the practise of mentorship and sponsorship. According to Ross et al. (2021) It is suggested that they have intensive, structured programmes while other more experienced staff members can ‘reach’ the younger women. Also, programmes in which sponsors provide financial assistance, opportunities, cannot be overestimated. Barabino et al. (2020) explained that such programmes also help the employees to promote higher organisational position and </w:t>
      </w:r>
      <w:r w:rsidR="00D42F7A" w:rsidRPr="00150E73">
        <w:rPr>
          <w:rFonts w:ascii="Calibri" w:hAnsi="Calibri" w:cs="Calibri"/>
          <w:sz w:val="24"/>
          <w:szCs w:val="24"/>
        </w:rPr>
        <w:t xml:space="preserve">standard </w:t>
      </w:r>
      <w:proofErr w:type="gramStart"/>
      <w:r w:rsidR="00D42F7A" w:rsidRPr="00150E73">
        <w:rPr>
          <w:rFonts w:ascii="Calibri" w:hAnsi="Calibri" w:cs="Calibri"/>
          <w:sz w:val="24"/>
          <w:szCs w:val="24"/>
        </w:rPr>
        <w:t>and</w:t>
      </w:r>
      <w:r w:rsidRPr="00150E73">
        <w:rPr>
          <w:rFonts w:ascii="Calibri" w:hAnsi="Calibri" w:cs="Calibri"/>
          <w:sz w:val="24"/>
          <w:szCs w:val="24"/>
        </w:rPr>
        <w:t xml:space="preserve"> also</w:t>
      </w:r>
      <w:proofErr w:type="gramEnd"/>
      <w:r w:rsidRPr="00150E73">
        <w:rPr>
          <w:rFonts w:ascii="Calibri" w:hAnsi="Calibri" w:cs="Calibri"/>
          <w:sz w:val="24"/>
          <w:szCs w:val="24"/>
        </w:rPr>
        <w:t xml:space="preserve"> mitigate the turnovers of the females in mechanical engineering sector dominated by males. Key Performance Indicators (KPIs) for the evaluation of performance of this recommended strategy is comprised of analysing of mentor-to-mentee ratios, and satisfaction female participations in mechanical engineering mentorship programs, (Kijima et al., 2021).</w:t>
      </w:r>
    </w:p>
    <w:p w14:paraId="13C95418" w14:textId="59098D4B" w:rsidR="00150E73" w:rsidRDefault="00D42F7A" w:rsidP="00D42F7A">
      <w:pPr>
        <w:pStyle w:val="Heading2"/>
        <w:jc w:val="center"/>
      </w:pPr>
      <w:bookmarkStart w:id="26" w:name="_Toc193282270"/>
      <w:r>
        <w:t xml:space="preserve">4.3 </w:t>
      </w:r>
      <w:r w:rsidR="00150E73" w:rsidRPr="00150E73">
        <w:t>Implement Ongoing Awareness Campaigns and Advocacy</w:t>
      </w:r>
      <w:bookmarkEnd w:id="26"/>
    </w:p>
    <w:p w14:paraId="323D065A" w14:textId="77777777" w:rsidR="00D42F7A" w:rsidRPr="00D42F7A" w:rsidRDefault="00D42F7A" w:rsidP="00D42F7A"/>
    <w:p w14:paraId="2DABDB96" w14:textId="77777777" w:rsidR="00150E73" w:rsidRDefault="00150E73" w:rsidP="00150E73">
      <w:pPr>
        <w:spacing w:line="360" w:lineRule="auto"/>
        <w:rPr>
          <w:rFonts w:ascii="Calibri" w:hAnsi="Calibri" w:cs="Calibri"/>
          <w:sz w:val="24"/>
          <w:szCs w:val="24"/>
        </w:rPr>
      </w:pPr>
      <w:proofErr w:type="gramStart"/>
      <w:r w:rsidRPr="00150E73">
        <w:rPr>
          <w:rFonts w:ascii="Calibri" w:hAnsi="Calibri" w:cs="Calibri"/>
          <w:sz w:val="24"/>
          <w:szCs w:val="24"/>
        </w:rPr>
        <w:t>In order to</w:t>
      </w:r>
      <w:proofErr w:type="gramEnd"/>
      <w:r w:rsidRPr="00150E73">
        <w:rPr>
          <w:rFonts w:ascii="Calibri" w:hAnsi="Calibri" w:cs="Calibri"/>
          <w:sz w:val="24"/>
          <w:szCs w:val="24"/>
        </w:rPr>
        <w:t xml:space="preserve"> enhance the retention and participation, visibility is among the most impacting factors to enhance awareness about female leadership role in mechanical engineering sector. It is specified by Barabino et al. (2020) that awareness campaigns and advocacy including sharing of female’s success stories in mechanical engineering sector can be valuable to attract females in the sector and increasing enrolment of females in engineering related courses at higher degree levels. As a result, participation of females’ leaders in mechanical engineering sector can be enhanced. KPIs to measure the effectiveness of this suggestion are comprised of perception shift surveys, number of applications of females in mechanical engineering courses and job roles and seeking leadership roles in the sector (Ross et al., 2021). </w:t>
      </w:r>
    </w:p>
    <w:p w14:paraId="18E3DF96" w14:textId="77777777" w:rsidR="00D42F7A" w:rsidRPr="00150E73" w:rsidRDefault="00D42F7A" w:rsidP="00150E73">
      <w:pPr>
        <w:spacing w:line="360" w:lineRule="auto"/>
        <w:rPr>
          <w:rFonts w:ascii="Calibri" w:hAnsi="Calibri" w:cs="Calibri"/>
          <w:sz w:val="24"/>
          <w:szCs w:val="24"/>
        </w:rPr>
      </w:pPr>
    </w:p>
    <w:p w14:paraId="3513CC2E" w14:textId="0225883D" w:rsidR="00150E73" w:rsidRPr="00150E73" w:rsidRDefault="00D42F7A" w:rsidP="00C87BD2">
      <w:pPr>
        <w:pStyle w:val="Heading1"/>
        <w:jc w:val="center"/>
      </w:pPr>
      <w:bookmarkStart w:id="27" w:name="_Toc187094640"/>
      <w:bookmarkStart w:id="28" w:name="_Toc121814282"/>
      <w:bookmarkStart w:id="29" w:name="_Toc193282271"/>
      <w:r>
        <w:lastRenderedPageBreak/>
        <w:t xml:space="preserve">5.0 </w:t>
      </w:r>
      <w:r w:rsidR="00150E73" w:rsidRPr="00150E73">
        <w:t>Conclusion</w:t>
      </w:r>
      <w:bookmarkEnd w:id="27"/>
      <w:bookmarkEnd w:id="28"/>
      <w:bookmarkEnd w:id="29"/>
    </w:p>
    <w:p w14:paraId="538CCD83" w14:textId="77777777" w:rsidR="00150E73" w:rsidRPr="00150E73" w:rsidRDefault="00150E73" w:rsidP="00150E73">
      <w:pPr>
        <w:spacing w:line="360" w:lineRule="auto"/>
        <w:rPr>
          <w:rFonts w:ascii="Calibri" w:hAnsi="Calibri" w:cs="Calibri"/>
          <w:sz w:val="24"/>
          <w:szCs w:val="24"/>
        </w:rPr>
      </w:pPr>
    </w:p>
    <w:p w14:paraId="5BB4FB65"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The implementation plan outlines strategies and actions to promote female leaders in the mechanical engineering sector and, therefore, provides a clear and strategic roadmap to achieving the goal of addressing gender imbalances in mechanical engineering. It defines early intervention and gender-accessible STEM content, female-representative visibility, active seeking and sponsorship as the key components. With collaboration from colleges, businesses, and campaign non-governmental organisations, leadership in the plan aims to encourage women to attain responsible leadership positions. Some of the risks include financing, low participation rates of females, and resistance to diversity policies have been identified, whereby adequate approaches address them in case of realisation. The programme includes a strategic timetable, the organisational map of the company’s stakeholders, and the safety plan for the proposed initiatives.</w:t>
      </w:r>
    </w:p>
    <w:p w14:paraId="491D459B"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t>Recommendations such as a partnership with colleges and universities, development of a proper framework for the mentorship programme, and constant programmes to create awareness about the programmes give specific ways to improve the programmes. Participation rates, career data and electronic conversation are included within the plan as measures to check on performance and results. This implementation plan is to remove obstacles that women encounter in mechanical engineering, embrace diversity to compel change and bring women leaders into the mechanical engineering field to advance the engineering profession.</w:t>
      </w:r>
    </w:p>
    <w:p w14:paraId="03042514" w14:textId="77777777" w:rsidR="00150E73" w:rsidRPr="00150E73" w:rsidRDefault="00150E73" w:rsidP="00150E73">
      <w:pPr>
        <w:spacing w:line="360" w:lineRule="auto"/>
        <w:rPr>
          <w:rFonts w:ascii="Calibri" w:hAnsi="Calibri" w:cs="Calibri"/>
          <w:sz w:val="24"/>
          <w:szCs w:val="24"/>
        </w:rPr>
      </w:pPr>
      <w:r w:rsidRPr="00150E73">
        <w:rPr>
          <w:rFonts w:ascii="Calibri" w:hAnsi="Calibri" w:cs="Calibri"/>
          <w:sz w:val="24"/>
          <w:szCs w:val="24"/>
        </w:rPr>
        <w:br w:type="page"/>
      </w:r>
    </w:p>
    <w:p w14:paraId="510F149B" w14:textId="27232A00" w:rsidR="00150E73" w:rsidRDefault="00D42F7A" w:rsidP="00D42F7A">
      <w:pPr>
        <w:pStyle w:val="Heading1"/>
        <w:jc w:val="center"/>
      </w:pPr>
      <w:bookmarkStart w:id="30" w:name="_Toc193282272"/>
      <w:r>
        <w:lastRenderedPageBreak/>
        <w:t xml:space="preserve">6.0 </w:t>
      </w:r>
      <w:r w:rsidR="00150E73" w:rsidRPr="00150E73">
        <w:t>References</w:t>
      </w:r>
      <w:bookmarkEnd w:id="30"/>
    </w:p>
    <w:p w14:paraId="59E3245C" w14:textId="77777777" w:rsidR="00D42F7A" w:rsidRPr="00D42F7A" w:rsidRDefault="00D42F7A" w:rsidP="00D42F7A"/>
    <w:p w14:paraId="68531A18" w14:textId="77777777" w:rsidR="00903F0B" w:rsidRPr="00150E73" w:rsidRDefault="00903F0B" w:rsidP="00150E73">
      <w:pPr>
        <w:spacing w:line="360" w:lineRule="auto"/>
        <w:rPr>
          <w:rFonts w:ascii="Calibri" w:hAnsi="Calibri" w:cs="Calibri"/>
          <w:sz w:val="24"/>
          <w:szCs w:val="24"/>
        </w:rPr>
      </w:pPr>
      <w:proofErr w:type="spellStart"/>
      <w:r w:rsidRPr="00150E73">
        <w:rPr>
          <w:rFonts w:ascii="Calibri" w:hAnsi="Calibri" w:cs="Calibri"/>
          <w:sz w:val="24"/>
          <w:szCs w:val="24"/>
        </w:rPr>
        <w:t>Bahadorestani</w:t>
      </w:r>
      <w:proofErr w:type="spellEnd"/>
      <w:r w:rsidRPr="00150E73">
        <w:rPr>
          <w:rFonts w:ascii="Calibri" w:hAnsi="Calibri" w:cs="Calibri"/>
          <w:sz w:val="24"/>
          <w:szCs w:val="24"/>
        </w:rPr>
        <w:t xml:space="preserve">, A., </w:t>
      </w:r>
      <w:proofErr w:type="spellStart"/>
      <w:r w:rsidRPr="00150E73">
        <w:rPr>
          <w:rFonts w:ascii="Calibri" w:hAnsi="Calibri" w:cs="Calibri"/>
          <w:sz w:val="24"/>
          <w:szCs w:val="24"/>
        </w:rPr>
        <w:t>Naderpajouh</w:t>
      </w:r>
      <w:proofErr w:type="spellEnd"/>
      <w:r w:rsidRPr="00150E73">
        <w:rPr>
          <w:rFonts w:ascii="Calibri" w:hAnsi="Calibri" w:cs="Calibri"/>
          <w:sz w:val="24"/>
          <w:szCs w:val="24"/>
        </w:rPr>
        <w:t xml:space="preserve">, N., and Sadiq, R. (2020). ‘Planning for sustainable stakeholder engagement based on the assessment of conflicting interests in </w:t>
      </w:r>
      <w:proofErr w:type="gramStart"/>
      <w:r w:rsidRPr="00150E73">
        <w:rPr>
          <w:rFonts w:ascii="Calibri" w:hAnsi="Calibri" w:cs="Calibri"/>
          <w:sz w:val="24"/>
          <w:szCs w:val="24"/>
        </w:rPr>
        <w:t>projects’</w:t>
      </w:r>
      <w:proofErr w:type="gramEnd"/>
      <w:r w:rsidRPr="00150E73">
        <w:rPr>
          <w:rFonts w:ascii="Calibri" w:hAnsi="Calibri" w:cs="Calibri"/>
          <w:sz w:val="24"/>
          <w:szCs w:val="24"/>
        </w:rPr>
        <w:t>. </w:t>
      </w:r>
      <w:r w:rsidRPr="00150E73">
        <w:rPr>
          <w:rFonts w:ascii="Calibri" w:hAnsi="Calibri" w:cs="Calibri"/>
          <w:i/>
          <w:iCs/>
          <w:sz w:val="24"/>
          <w:szCs w:val="24"/>
        </w:rPr>
        <w:t>Journal of Cleaner Production</w:t>
      </w:r>
      <w:r w:rsidRPr="00150E73">
        <w:rPr>
          <w:rFonts w:ascii="Calibri" w:hAnsi="Calibri" w:cs="Calibri"/>
          <w:sz w:val="24"/>
          <w:szCs w:val="24"/>
        </w:rPr>
        <w:t>, </w:t>
      </w:r>
      <w:r w:rsidRPr="00150E73">
        <w:rPr>
          <w:rFonts w:ascii="Calibri" w:hAnsi="Calibri" w:cs="Calibri"/>
          <w:i/>
          <w:iCs/>
          <w:sz w:val="24"/>
          <w:szCs w:val="24"/>
        </w:rPr>
        <w:t>242</w:t>
      </w:r>
      <w:r w:rsidRPr="00150E73">
        <w:rPr>
          <w:rFonts w:ascii="Calibri" w:hAnsi="Calibri" w:cs="Calibri"/>
          <w:sz w:val="24"/>
          <w:szCs w:val="24"/>
        </w:rPr>
        <w:t>, 118402.</w:t>
      </w:r>
    </w:p>
    <w:p w14:paraId="571CEE99"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 xml:space="preserve">Barabino, G., </w:t>
      </w:r>
      <w:proofErr w:type="spellStart"/>
      <w:r w:rsidRPr="00150E73">
        <w:rPr>
          <w:rFonts w:ascii="Calibri" w:hAnsi="Calibri" w:cs="Calibri"/>
          <w:sz w:val="24"/>
          <w:szCs w:val="24"/>
        </w:rPr>
        <w:t>Frize</w:t>
      </w:r>
      <w:proofErr w:type="spellEnd"/>
      <w:r w:rsidRPr="00150E73">
        <w:rPr>
          <w:rFonts w:ascii="Calibri" w:hAnsi="Calibri" w:cs="Calibri"/>
          <w:sz w:val="24"/>
          <w:szCs w:val="24"/>
        </w:rPr>
        <w:t xml:space="preserve">, M., Ibrahim, F., </w:t>
      </w:r>
      <w:proofErr w:type="spellStart"/>
      <w:r w:rsidRPr="00150E73">
        <w:rPr>
          <w:rFonts w:ascii="Calibri" w:hAnsi="Calibri" w:cs="Calibri"/>
          <w:sz w:val="24"/>
          <w:szCs w:val="24"/>
        </w:rPr>
        <w:t>Kaldoudi</w:t>
      </w:r>
      <w:proofErr w:type="spellEnd"/>
      <w:r w:rsidRPr="00150E73">
        <w:rPr>
          <w:rFonts w:ascii="Calibri" w:hAnsi="Calibri" w:cs="Calibri"/>
          <w:sz w:val="24"/>
          <w:szCs w:val="24"/>
        </w:rPr>
        <w:t xml:space="preserve">, E., </w:t>
      </w:r>
      <w:proofErr w:type="spellStart"/>
      <w:r w:rsidRPr="00150E73">
        <w:rPr>
          <w:rFonts w:ascii="Calibri" w:hAnsi="Calibri" w:cs="Calibri"/>
          <w:sz w:val="24"/>
          <w:szCs w:val="24"/>
        </w:rPr>
        <w:t>Lhotska</w:t>
      </w:r>
      <w:proofErr w:type="spellEnd"/>
      <w:r w:rsidRPr="00150E73">
        <w:rPr>
          <w:rFonts w:ascii="Calibri" w:hAnsi="Calibri" w:cs="Calibri"/>
          <w:sz w:val="24"/>
          <w:szCs w:val="24"/>
        </w:rPr>
        <w:t>, L., Marcu, L., ... and Bezak, E. (2020). ‘Solutions to gender balance in STEM fields through support, training, education and mentoring: report of the international women in medical physics and biomedical engineering task group’. Science and engineering ethics, 26, 275-292.</w:t>
      </w:r>
    </w:p>
    <w:p w14:paraId="0BFA424B" w14:textId="77777777" w:rsidR="00903F0B" w:rsidRPr="00903F0B" w:rsidRDefault="00903F0B" w:rsidP="00903F0B">
      <w:pPr>
        <w:spacing w:line="360" w:lineRule="auto"/>
        <w:rPr>
          <w:rFonts w:ascii="Calibri" w:hAnsi="Calibri" w:cs="Calibri"/>
          <w:sz w:val="24"/>
          <w:szCs w:val="24"/>
        </w:rPr>
      </w:pPr>
      <w:r w:rsidRPr="00903F0B">
        <w:rPr>
          <w:rFonts w:ascii="Calibri" w:hAnsi="Calibri" w:cs="Calibri"/>
          <w:sz w:val="24"/>
          <w:szCs w:val="24"/>
        </w:rPr>
        <w:t xml:space="preserve">Evans, C. (2024) </w:t>
      </w:r>
      <w:r w:rsidRPr="00903F0B">
        <w:rPr>
          <w:rFonts w:ascii="Calibri" w:hAnsi="Calibri" w:cs="Calibri"/>
          <w:i/>
          <w:iCs/>
          <w:sz w:val="24"/>
          <w:szCs w:val="24"/>
        </w:rPr>
        <w:t>Women in Engineering Statistics: 32 Notable Facts</w:t>
      </w:r>
      <w:r w:rsidRPr="00903F0B">
        <w:rPr>
          <w:rFonts w:ascii="Calibri" w:hAnsi="Calibri" w:cs="Calibri"/>
          <w:sz w:val="24"/>
          <w:szCs w:val="24"/>
        </w:rPr>
        <w:t xml:space="preserve">, </w:t>
      </w:r>
      <w:proofErr w:type="spellStart"/>
      <w:r w:rsidRPr="00903F0B">
        <w:rPr>
          <w:rFonts w:ascii="Calibri" w:hAnsi="Calibri" w:cs="Calibri"/>
          <w:i/>
          <w:iCs/>
          <w:sz w:val="24"/>
          <w:szCs w:val="24"/>
        </w:rPr>
        <w:t>Fictiv</w:t>
      </w:r>
      <w:proofErr w:type="spellEnd"/>
      <w:r w:rsidRPr="00903F0B">
        <w:rPr>
          <w:rFonts w:ascii="Calibri" w:hAnsi="Calibri" w:cs="Calibri"/>
          <w:sz w:val="24"/>
          <w:szCs w:val="24"/>
        </w:rPr>
        <w:t>. Available at: https://www.fictiv.com/articles/women-in-engineering-statistics-32-notable-facts (Accessed: 19 March 2025).</w:t>
      </w:r>
    </w:p>
    <w:p w14:paraId="1ACE0181"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 xml:space="preserve">Helman, A., Bear, A., and Colwell, R. (Eds.). (2020). ‘Promising practices for addressing the underrepresentation of women in science, engineering, and medicine: opening </w:t>
      </w:r>
      <w:proofErr w:type="gramStart"/>
      <w:r w:rsidRPr="00150E73">
        <w:rPr>
          <w:rFonts w:ascii="Calibri" w:hAnsi="Calibri" w:cs="Calibri"/>
          <w:sz w:val="24"/>
          <w:szCs w:val="24"/>
        </w:rPr>
        <w:t>doors’</w:t>
      </w:r>
      <w:proofErr w:type="gramEnd"/>
      <w:r w:rsidRPr="00150E73">
        <w:rPr>
          <w:rFonts w:ascii="Calibri" w:hAnsi="Calibri" w:cs="Calibri"/>
          <w:sz w:val="24"/>
          <w:szCs w:val="24"/>
        </w:rPr>
        <w:t>.</w:t>
      </w:r>
    </w:p>
    <w:p w14:paraId="6C1C6590" w14:textId="77777777" w:rsidR="00903F0B" w:rsidRPr="00903F0B" w:rsidRDefault="00903F0B" w:rsidP="00903F0B">
      <w:pPr>
        <w:spacing w:line="360" w:lineRule="auto"/>
        <w:rPr>
          <w:rFonts w:ascii="Calibri" w:hAnsi="Calibri" w:cs="Calibri"/>
          <w:sz w:val="24"/>
          <w:szCs w:val="24"/>
        </w:rPr>
      </w:pPr>
      <w:r w:rsidRPr="00903F0B">
        <w:rPr>
          <w:rFonts w:ascii="Calibri" w:hAnsi="Calibri" w:cs="Calibri"/>
          <w:sz w:val="24"/>
          <w:szCs w:val="24"/>
        </w:rPr>
        <w:t xml:space="preserve">Horton, M., Research, S. and </w:t>
      </w:r>
      <w:proofErr w:type="spellStart"/>
      <w:r w:rsidRPr="00903F0B">
        <w:rPr>
          <w:rFonts w:ascii="Calibri" w:hAnsi="Calibri" w:cs="Calibri"/>
          <w:sz w:val="24"/>
          <w:szCs w:val="24"/>
        </w:rPr>
        <w:t>Engineeringuk</w:t>
      </w:r>
      <w:proofErr w:type="spellEnd"/>
      <w:r w:rsidRPr="00903F0B">
        <w:rPr>
          <w:rFonts w:ascii="Calibri" w:hAnsi="Calibri" w:cs="Calibri"/>
          <w:sz w:val="24"/>
          <w:szCs w:val="24"/>
        </w:rPr>
        <w:t xml:space="preserve">, A. (2023) </w:t>
      </w:r>
      <w:r w:rsidRPr="00903F0B">
        <w:rPr>
          <w:rFonts w:ascii="Calibri" w:hAnsi="Calibri" w:cs="Calibri"/>
          <w:i/>
          <w:iCs/>
          <w:sz w:val="24"/>
          <w:szCs w:val="24"/>
        </w:rPr>
        <w:t>Trends in women in the engineering workforce between 2010 and 2021</w:t>
      </w:r>
      <w:r w:rsidRPr="00903F0B">
        <w:rPr>
          <w:rFonts w:ascii="Calibri" w:hAnsi="Calibri" w:cs="Calibri"/>
          <w:sz w:val="24"/>
          <w:szCs w:val="24"/>
        </w:rPr>
        <w:t>. Available at: https://ukdataservice.ac.uk/app/uploads/horton2023-02-02.pdf (Accessed: 19 March 2025).</w:t>
      </w:r>
    </w:p>
    <w:p w14:paraId="18712BE4"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Ika, L. A., and Pinto, J. K. (2022). The “re-meaning” of project success: Updating and recalibrating for a modern project management. </w:t>
      </w:r>
      <w:r w:rsidRPr="00150E73">
        <w:rPr>
          <w:rFonts w:ascii="Calibri" w:hAnsi="Calibri" w:cs="Calibri"/>
          <w:i/>
          <w:iCs/>
          <w:sz w:val="24"/>
          <w:szCs w:val="24"/>
        </w:rPr>
        <w:t>International Journal of Project Management</w:t>
      </w:r>
      <w:r w:rsidRPr="00150E73">
        <w:rPr>
          <w:rFonts w:ascii="Calibri" w:hAnsi="Calibri" w:cs="Calibri"/>
          <w:sz w:val="24"/>
          <w:szCs w:val="24"/>
        </w:rPr>
        <w:t>, </w:t>
      </w:r>
      <w:r w:rsidRPr="00150E73">
        <w:rPr>
          <w:rFonts w:ascii="Calibri" w:hAnsi="Calibri" w:cs="Calibri"/>
          <w:i/>
          <w:iCs/>
          <w:sz w:val="24"/>
          <w:szCs w:val="24"/>
        </w:rPr>
        <w:t>40</w:t>
      </w:r>
      <w:r w:rsidRPr="00150E73">
        <w:rPr>
          <w:rFonts w:ascii="Calibri" w:hAnsi="Calibri" w:cs="Calibri"/>
          <w:sz w:val="24"/>
          <w:szCs w:val="24"/>
        </w:rPr>
        <w:t>(7), 835-848.</w:t>
      </w:r>
    </w:p>
    <w:p w14:paraId="48AD96EE"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Kerzner, H. (2022). ‘</w:t>
      </w:r>
      <w:r w:rsidRPr="00150E73">
        <w:rPr>
          <w:rFonts w:ascii="Calibri" w:hAnsi="Calibri" w:cs="Calibri"/>
          <w:iCs/>
          <w:sz w:val="24"/>
          <w:szCs w:val="24"/>
        </w:rPr>
        <w:t>Project management metrics, KPIs, and dashboards: a guide to measuring and monitoring project performance’</w:t>
      </w:r>
      <w:r w:rsidRPr="00150E73">
        <w:rPr>
          <w:rFonts w:ascii="Calibri" w:hAnsi="Calibri" w:cs="Calibri"/>
          <w:sz w:val="24"/>
          <w:szCs w:val="24"/>
        </w:rPr>
        <w:t xml:space="preserve">. John </w:t>
      </w:r>
      <w:proofErr w:type="spellStart"/>
      <w:r w:rsidRPr="00150E73">
        <w:rPr>
          <w:rFonts w:ascii="Calibri" w:hAnsi="Calibri" w:cs="Calibri"/>
          <w:sz w:val="24"/>
          <w:szCs w:val="24"/>
        </w:rPr>
        <w:t>wiley</w:t>
      </w:r>
      <w:proofErr w:type="spellEnd"/>
      <w:r w:rsidRPr="00150E73">
        <w:rPr>
          <w:rFonts w:ascii="Calibri" w:hAnsi="Calibri" w:cs="Calibri"/>
          <w:sz w:val="24"/>
          <w:szCs w:val="24"/>
        </w:rPr>
        <w:t xml:space="preserve"> and sons.</w:t>
      </w:r>
    </w:p>
    <w:p w14:paraId="4683FEC7"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 xml:space="preserve">Kijima, R., Yang-Yoshihara, M., and Maekawa, M. S. (2021). ‘Using design thinking to cultivate the next generation of female STEAM </w:t>
      </w:r>
      <w:proofErr w:type="gramStart"/>
      <w:r w:rsidRPr="00150E73">
        <w:rPr>
          <w:rFonts w:ascii="Calibri" w:hAnsi="Calibri" w:cs="Calibri"/>
          <w:sz w:val="24"/>
          <w:szCs w:val="24"/>
        </w:rPr>
        <w:t>thinkers’</w:t>
      </w:r>
      <w:proofErr w:type="gramEnd"/>
      <w:r w:rsidRPr="00150E73">
        <w:rPr>
          <w:rFonts w:ascii="Calibri" w:hAnsi="Calibri" w:cs="Calibri"/>
          <w:sz w:val="24"/>
          <w:szCs w:val="24"/>
        </w:rPr>
        <w:t>. </w:t>
      </w:r>
      <w:r w:rsidRPr="00150E73">
        <w:rPr>
          <w:rFonts w:ascii="Calibri" w:hAnsi="Calibri" w:cs="Calibri"/>
          <w:i/>
          <w:iCs/>
          <w:sz w:val="24"/>
          <w:szCs w:val="24"/>
        </w:rPr>
        <w:t>International Journal of STEM Education</w:t>
      </w:r>
      <w:r w:rsidRPr="00150E73">
        <w:rPr>
          <w:rFonts w:ascii="Calibri" w:hAnsi="Calibri" w:cs="Calibri"/>
          <w:sz w:val="24"/>
          <w:szCs w:val="24"/>
        </w:rPr>
        <w:t>, </w:t>
      </w:r>
      <w:r w:rsidRPr="00150E73">
        <w:rPr>
          <w:rFonts w:ascii="Calibri" w:hAnsi="Calibri" w:cs="Calibri"/>
          <w:i/>
          <w:iCs/>
          <w:sz w:val="24"/>
          <w:szCs w:val="24"/>
        </w:rPr>
        <w:t>8</w:t>
      </w:r>
      <w:r w:rsidRPr="00150E73">
        <w:rPr>
          <w:rFonts w:ascii="Calibri" w:hAnsi="Calibri" w:cs="Calibri"/>
          <w:sz w:val="24"/>
          <w:szCs w:val="24"/>
        </w:rPr>
        <w:t>, 1-15.</w:t>
      </w:r>
    </w:p>
    <w:p w14:paraId="50D1FBB9"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Kim, J. Y., and Meister, A. (2023). ‘Microaggressions, interrupted: The experience and effects of gender microaggressions for women in STEM’. </w:t>
      </w:r>
      <w:r w:rsidRPr="00150E73">
        <w:rPr>
          <w:rFonts w:ascii="Calibri" w:hAnsi="Calibri" w:cs="Calibri"/>
          <w:i/>
          <w:iCs/>
          <w:sz w:val="24"/>
          <w:szCs w:val="24"/>
        </w:rPr>
        <w:t>Journal of Business Ethics</w:t>
      </w:r>
      <w:r w:rsidRPr="00150E73">
        <w:rPr>
          <w:rFonts w:ascii="Calibri" w:hAnsi="Calibri" w:cs="Calibri"/>
          <w:sz w:val="24"/>
          <w:szCs w:val="24"/>
        </w:rPr>
        <w:t>, </w:t>
      </w:r>
      <w:r w:rsidRPr="00150E73">
        <w:rPr>
          <w:rFonts w:ascii="Calibri" w:hAnsi="Calibri" w:cs="Calibri"/>
          <w:i/>
          <w:iCs/>
          <w:sz w:val="24"/>
          <w:szCs w:val="24"/>
        </w:rPr>
        <w:t>185</w:t>
      </w:r>
      <w:r w:rsidRPr="00150E73">
        <w:rPr>
          <w:rFonts w:ascii="Calibri" w:hAnsi="Calibri" w:cs="Calibri"/>
          <w:sz w:val="24"/>
          <w:szCs w:val="24"/>
        </w:rPr>
        <w:t>(3), 513-531.</w:t>
      </w:r>
    </w:p>
    <w:p w14:paraId="22B2C379"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lastRenderedPageBreak/>
        <w:t>Lehtinen, J., and Aaltonen, K. (2020). ‘Organizing external stakeholder engagement in inter-organizational projects: Opening the black box’. </w:t>
      </w:r>
      <w:r w:rsidRPr="00150E73">
        <w:rPr>
          <w:rFonts w:ascii="Calibri" w:hAnsi="Calibri" w:cs="Calibri"/>
          <w:i/>
          <w:iCs/>
          <w:sz w:val="24"/>
          <w:szCs w:val="24"/>
        </w:rPr>
        <w:t>International Journal of Project Management</w:t>
      </w:r>
      <w:r w:rsidRPr="00150E73">
        <w:rPr>
          <w:rFonts w:ascii="Calibri" w:hAnsi="Calibri" w:cs="Calibri"/>
          <w:sz w:val="24"/>
          <w:szCs w:val="24"/>
        </w:rPr>
        <w:t>, </w:t>
      </w:r>
      <w:r w:rsidRPr="00150E73">
        <w:rPr>
          <w:rFonts w:ascii="Calibri" w:hAnsi="Calibri" w:cs="Calibri"/>
          <w:i/>
          <w:iCs/>
          <w:sz w:val="24"/>
          <w:szCs w:val="24"/>
        </w:rPr>
        <w:t>38</w:t>
      </w:r>
      <w:r w:rsidRPr="00150E73">
        <w:rPr>
          <w:rFonts w:ascii="Calibri" w:hAnsi="Calibri" w:cs="Calibri"/>
          <w:sz w:val="24"/>
          <w:szCs w:val="24"/>
        </w:rPr>
        <w:t>(2), 85-98.</w:t>
      </w:r>
    </w:p>
    <w:p w14:paraId="3F01B593" w14:textId="77777777" w:rsidR="00903F0B" w:rsidRPr="00150E73" w:rsidRDefault="00903F0B" w:rsidP="00150E73">
      <w:pPr>
        <w:spacing w:line="360" w:lineRule="auto"/>
        <w:rPr>
          <w:rFonts w:ascii="Calibri" w:hAnsi="Calibri" w:cs="Calibri"/>
          <w:sz w:val="24"/>
          <w:szCs w:val="24"/>
        </w:rPr>
      </w:pPr>
      <w:proofErr w:type="spellStart"/>
      <w:r w:rsidRPr="00150E73">
        <w:rPr>
          <w:rFonts w:ascii="Calibri" w:hAnsi="Calibri" w:cs="Calibri"/>
          <w:sz w:val="24"/>
          <w:szCs w:val="24"/>
        </w:rPr>
        <w:t>Ngene</w:t>
      </w:r>
      <w:proofErr w:type="spellEnd"/>
      <w:r w:rsidRPr="00150E73">
        <w:rPr>
          <w:rFonts w:ascii="Calibri" w:hAnsi="Calibri" w:cs="Calibri"/>
          <w:sz w:val="24"/>
          <w:szCs w:val="24"/>
        </w:rPr>
        <w:t xml:space="preserve">, O. C., and </w:t>
      </w:r>
      <w:proofErr w:type="spellStart"/>
      <w:r w:rsidRPr="00150E73">
        <w:rPr>
          <w:rFonts w:ascii="Calibri" w:hAnsi="Calibri" w:cs="Calibri"/>
          <w:sz w:val="24"/>
          <w:szCs w:val="24"/>
        </w:rPr>
        <w:t>Ezeora</w:t>
      </w:r>
      <w:proofErr w:type="spellEnd"/>
      <w:r w:rsidRPr="00150E73">
        <w:rPr>
          <w:rFonts w:ascii="Calibri" w:hAnsi="Calibri" w:cs="Calibri"/>
          <w:sz w:val="24"/>
          <w:szCs w:val="24"/>
        </w:rPr>
        <w:t>, B. U. (2024). ‘Strategies for Improving Gender Equity in Mechanical Engineering Craft Practice Trade for Enhanced Female Enrolment in Government Technical Colleges Enugu State’.</w:t>
      </w:r>
    </w:p>
    <w:p w14:paraId="3F9FA038" w14:textId="77777777" w:rsidR="00903F0B" w:rsidRPr="00150E73" w:rsidRDefault="00903F0B" w:rsidP="00150E73">
      <w:pPr>
        <w:spacing w:line="360" w:lineRule="auto"/>
        <w:rPr>
          <w:rFonts w:ascii="Calibri" w:hAnsi="Calibri" w:cs="Calibri"/>
          <w:sz w:val="24"/>
          <w:szCs w:val="24"/>
        </w:rPr>
      </w:pPr>
      <w:proofErr w:type="spellStart"/>
      <w:r w:rsidRPr="00150E73">
        <w:rPr>
          <w:rFonts w:ascii="Calibri" w:hAnsi="Calibri" w:cs="Calibri"/>
          <w:sz w:val="24"/>
          <w:szCs w:val="24"/>
        </w:rPr>
        <w:t>Portny</w:t>
      </w:r>
      <w:proofErr w:type="spellEnd"/>
      <w:r w:rsidRPr="00150E73">
        <w:rPr>
          <w:rFonts w:ascii="Calibri" w:hAnsi="Calibri" w:cs="Calibri"/>
          <w:sz w:val="24"/>
          <w:szCs w:val="24"/>
        </w:rPr>
        <w:t xml:space="preserve">, J. L., and </w:t>
      </w:r>
      <w:proofErr w:type="spellStart"/>
      <w:r w:rsidRPr="00150E73">
        <w:rPr>
          <w:rFonts w:ascii="Calibri" w:hAnsi="Calibri" w:cs="Calibri"/>
          <w:sz w:val="24"/>
          <w:szCs w:val="24"/>
        </w:rPr>
        <w:t>Portny</w:t>
      </w:r>
      <w:proofErr w:type="spellEnd"/>
      <w:r w:rsidRPr="00150E73">
        <w:rPr>
          <w:rFonts w:ascii="Calibri" w:hAnsi="Calibri" w:cs="Calibri"/>
          <w:sz w:val="24"/>
          <w:szCs w:val="24"/>
        </w:rPr>
        <w:t>, S. E. (2022). </w:t>
      </w:r>
      <w:r w:rsidRPr="00150E73">
        <w:rPr>
          <w:rFonts w:ascii="Calibri" w:hAnsi="Calibri" w:cs="Calibri"/>
          <w:i/>
          <w:sz w:val="24"/>
          <w:szCs w:val="24"/>
        </w:rPr>
        <w:t>‘</w:t>
      </w:r>
      <w:r w:rsidRPr="00150E73">
        <w:rPr>
          <w:rFonts w:ascii="Calibri" w:hAnsi="Calibri" w:cs="Calibri"/>
          <w:iCs/>
          <w:sz w:val="24"/>
          <w:szCs w:val="24"/>
        </w:rPr>
        <w:t xml:space="preserve">Project management for </w:t>
      </w:r>
      <w:proofErr w:type="gramStart"/>
      <w:r w:rsidRPr="00150E73">
        <w:rPr>
          <w:rFonts w:ascii="Calibri" w:hAnsi="Calibri" w:cs="Calibri"/>
          <w:iCs/>
          <w:sz w:val="24"/>
          <w:szCs w:val="24"/>
        </w:rPr>
        <w:t>dummies’</w:t>
      </w:r>
      <w:proofErr w:type="gramEnd"/>
      <w:r w:rsidRPr="00150E73">
        <w:rPr>
          <w:rFonts w:ascii="Calibri" w:hAnsi="Calibri" w:cs="Calibri"/>
          <w:i/>
          <w:sz w:val="24"/>
          <w:szCs w:val="24"/>
        </w:rPr>
        <w:t>.</w:t>
      </w:r>
      <w:r w:rsidRPr="00150E73">
        <w:rPr>
          <w:rFonts w:ascii="Calibri" w:hAnsi="Calibri" w:cs="Calibri"/>
          <w:sz w:val="24"/>
          <w:szCs w:val="24"/>
        </w:rPr>
        <w:t xml:space="preserve"> John Wiley and Sons.</w:t>
      </w:r>
    </w:p>
    <w:p w14:paraId="69D259AF" w14:textId="77777777" w:rsidR="00903F0B" w:rsidRPr="00150E73" w:rsidRDefault="00903F0B" w:rsidP="00150E73">
      <w:pPr>
        <w:spacing w:line="360" w:lineRule="auto"/>
        <w:rPr>
          <w:rFonts w:ascii="Calibri" w:hAnsi="Calibri" w:cs="Calibri"/>
          <w:sz w:val="24"/>
          <w:szCs w:val="24"/>
        </w:rPr>
      </w:pPr>
      <w:r w:rsidRPr="00150E73">
        <w:rPr>
          <w:rFonts w:ascii="Calibri" w:hAnsi="Calibri" w:cs="Calibri"/>
          <w:sz w:val="24"/>
          <w:szCs w:val="24"/>
        </w:rPr>
        <w:t>Ross, M. S., Huff, J. L., and Godwin, A. (2021). ‘Resilient engineering identity development critical to prolonged engagement of Black women in engineering’. </w:t>
      </w:r>
      <w:r w:rsidRPr="00150E73">
        <w:rPr>
          <w:rFonts w:ascii="Calibri" w:hAnsi="Calibri" w:cs="Calibri"/>
          <w:i/>
          <w:iCs/>
          <w:sz w:val="24"/>
          <w:szCs w:val="24"/>
        </w:rPr>
        <w:t>Journal of Engineering Education</w:t>
      </w:r>
      <w:r w:rsidRPr="00150E73">
        <w:rPr>
          <w:rFonts w:ascii="Calibri" w:hAnsi="Calibri" w:cs="Calibri"/>
          <w:sz w:val="24"/>
          <w:szCs w:val="24"/>
        </w:rPr>
        <w:t>, </w:t>
      </w:r>
      <w:r w:rsidRPr="00150E73">
        <w:rPr>
          <w:rFonts w:ascii="Calibri" w:hAnsi="Calibri" w:cs="Calibri"/>
          <w:i/>
          <w:iCs/>
          <w:sz w:val="24"/>
          <w:szCs w:val="24"/>
        </w:rPr>
        <w:t>110</w:t>
      </w:r>
      <w:r w:rsidRPr="00150E73">
        <w:rPr>
          <w:rFonts w:ascii="Calibri" w:hAnsi="Calibri" w:cs="Calibri"/>
          <w:sz w:val="24"/>
          <w:szCs w:val="24"/>
        </w:rPr>
        <w:t>(1), 92-113.</w:t>
      </w:r>
    </w:p>
    <w:p w14:paraId="45C78A81" w14:textId="77777777" w:rsidR="00903F0B" w:rsidRDefault="00903F0B" w:rsidP="00150E73">
      <w:pPr>
        <w:spacing w:line="360" w:lineRule="auto"/>
        <w:rPr>
          <w:rFonts w:ascii="Calibri" w:hAnsi="Calibri" w:cs="Calibri"/>
          <w:sz w:val="24"/>
          <w:szCs w:val="24"/>
        </w:rPr>
      </w:pPr>
      <w:r w:rsidRPr="00150E73">
        <w:rPr>
          <w:rFonts w:ascii="Calibri" w:hAnsi="Calibri" w:cs="Calibri"/>
          <w:sz w:val="24"/>
          <w:szCs w:val="24"/>
        </w:rPr>
        <w:t xml:space="preserve">Shaukat, M. B., Latif, K. F., Sajjad, A., and </w:t>
      </w:r>
      <w:proofErr w:type="spellStart"/>
      <w:r w:rsidRPr="00150E73">
        <w:rPr>
          <w:rFonts w:ascii="Calibri" w:hAnsi="Calibri" w:cs="Calibri"/>
          <w:sz w:val="24"/>
          <w:szCs w:val="24"/>
        </w:rPr>
        <w:t>Eweje</w:t>
      </w:r>
      <w:proofErr w:type="spellEnd"/>
      <w:r w:rsidRPr="00150E73">
        <w:rPr>
          <w:rFonts w:ascii="Calibri" w:hAnsi="Calibri" w:cs="Calibri"/>
          <w:sz w:val="24"/>
          <w:szCs w:val="24"/>
        </w:rPr>
        <w:t>, G. (2022). ‘Revisiting the relationship between sustainable project management and project success: The moderating role of stakeholder engagement and team building’. </w:t>
      </w:r>
      <w:r w:rsidRPr="00150E73">
        <w:rPr>
          <w:rFonts w:ascii="Calibri" w:hAnsi="Calibri" w:cs="Calibri"/>
          <w:i/>
          <w:iCs/>
          <w:sz w:val="24"/>
          <w:szCs w:val="24"/>
        </w:rPr>
        <w:t>Sustainable Development</w:t>
      </w:r>
      <w:r w:rsidRPr="00150E73">
        <w:rPr>
          <w:rFonts w:ascii="Calibri" w:hAnsi="Calibri" w:cs="Calibri"/>
          <w:sz w:val="24"/>
          <w:szCs w:val="24"/>
        </w:rPr>
        <w:t>, </w:t>
      </w:r>
      <w:r w:rsidRPr="00150E73">
        <w:rPr>
          <w:rFonts w:ascii="Calibri" w:hAnsi="Calibri" w:cs="Calibri"/>
          <w:i/>
          <w:iCs/>
          <w:sz w:val="24"/>
          <w:szCs w:val="24"/>
        </w:rPr>
        <w:t>30</w:t>
      </w:r>
      <w:r w:rsidRPr="00150E73">
        <w:rPr>
          <w:rFonts w:ascii="Calibri" w:hAnsi="Calibri" w:cs="Calibri"/>
          <w:sz w:val="24"/>
          <w:szCs w:val="24"/>
        </w:rPr>
        <w:t>(1), 58-75.</w:t>
      </w:r>
    </w:p>
    <w:p w14:paraId="514964AE" w14:textId="77777777" w:rsidR="00903F0B" w:rsidRPr="00150E73" w:rsidRDefault="00903F0B" w:rsidP="00150E73">
      <w:pPr>
        <w:spacing w:line="360" w:lineRule="auto"/>
        <w:rPr>
          <w:rFonts w:ascii="Calibri" w:hAnsi="Calibri" w:cs="Calibri"/>
          <w:sz w:val="24"/>
          <w:szCs w:val="24"/>
        </w:rPr>
      </w:pPr>
    </w:p>
    <w:p w14:paraId="314601F6" w14:textId="77777777" w:rsidR="00150E73" w:rsidRPr="00150E73" w:rsidRDefault="00150E73" w:rsidP="00150E73">
      <w:pPr>
        <w:spacing w:line="360" w:lineRule="auto"/>
        <w:rPr>
          <w:rFonts w:ascii="Calibri" w:hAnsi="Calibri" w:cs="Calibri"/>
          <w:sz w:val="24"/>
          <w:szCs w:val="24"/>
        </w:rPr>
      </w:pPr>
    </w:p>
    <w:p w14:paraId="65C61900" w14:textId="77777777" w:rsidR="00150E73" w:rsidRPr="00150E73" w:rsidRDefault="00150E73" w:rsidP="00150E73">
      <w:pPr>
        <w:spacing w:line="360" w:lineRule="auto"/>
        <w:rPr>
          <w:rFonts w:ascii="Calibri" w:hAnsi="Calibri" w:cs="Calibri"/>
          <w:sz w:val="24"/>
          <w:szCs w:val="24"/>
        </w:rPr>
      </w:pPr>
    </w:p>
    <w:p w14:paraId="7BB9FEA5" w14:textId="77777777" w:rsidR="00150E73" w:rsidRPr="00150E73" w:rsidRDefault="00150E73" w:rsidP="00150E73">
      <w:pPr>
        <w:spacing w:line="360" w:lineRule="auto"/>
        <w:rPr>
          <w:rFonts w:ascii="Calibri" w:hAnsi="Calibri" w:cs="Calibri"/>
          <w:i/>
          <w:sz w:val="24"/>
          <w:szCs w:val="24"/>
        </w:rPr>
      </w:pPr>
    </w:p>
    <w:p w14:paraId="1C3EE2A6" w14:textId="77777777" w:rsidR="00352F73" w:rsidRPr="00150E73" w:rsidRDefault="00352F73" w:rsidP="00150E73">
      <w:pPr>
        <w:spacing w:line="360" w:lineRule="auto"/>
        <w:rPr>
          <w:rFonts w:ascii="Calibri" w:hAnsi="Calibri" w:cs="Calibri"/>
          <w:sz w:val="24"/>
          <w:szCs w:val="24"/>
        </w:rPr>
      </w:pPr>
    </w:p>
    <w:sectPr w:rsidR="00352F73" w:rsidRPr="00150E73" w:rsidSect="00150E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31FAB"/>
    <w:multiLevelType w:val="multilevel"/>
    <w:tmpl w:val="5A46C826"/>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E47152"/>
    <w:multiLevelType w:val="multilevel"/>
    <w:tmpl w:val="90EC106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1F735CE"/>
    <w:multiLevelType w:val="hybridMultilevel"/>
    <w:tmpl w:val="CCFEAA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2AD47A7"/>
    <w:multiLevelType w:val="multilevel"/>
    <w:tmpl w:val="2B2A3032"/>
    <w:lvl w:ilvl="0">
      <w:start w:val="1"/>
      <w:numFmt w:val="decimal"/>
      <w:lvlText w:val="%1"/>
      <w:lvlJc w:val="left"/>
      <w:pPr>
        <w:ind w:left="360" w:hanging="360"/>
      </w:pPr>
      <w:rPr>
        <w:rFonts w:hint="default"/>
      </w:rPr>
    </w:lvl>
    <w:lvl w:ilvl="1">
      <w:start w:val="1"/>
      <w:numFmt w:val="decimal"/>
      <w:lvlText w:val="%1.%2"/>
      <w:lvlJc w:val="left"/>
      <w:pPr>
        <w:ind w:left="3195"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513618E"/>
    <w:multiLevelType w:val="multilevel"/>
    <w:tmpl w:val="B26C645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0C27777"/>
    <w:multiLevelType w:val="hybridMultilevel"/>
    <w:tmpl w:val="B54E12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17C433E"/>
    <w:multiLevelType w:val="multilevel"/>
    <w:tmpl w:val="D7044350"/>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82537152">
    <w:abstractNumId w:val="1"/>
  </w:num>
  <w:num w:numId="2" w16cid:durableId="1205945654">
    <w:abstractNumId w:val="3"/>
  </w:num>
  <w:num w:numId="3" w16cid:durableId="1371342643">
    <w:abstractNumId w:val="5"/>
  </w:num>
  <w:num w:numId="4" w16cid:durableId="70735090">
    <w:abstractNumId w:val="2"/>
  </w:num>
  <w:num w:numId="5" w16cid:durableId="216473278">
    <w:abstractNumId w:val="4"/>
  </w:num>
  <w:num w:numId="6" w16cid:durableId="2001500830">
    <w:abstractNumId w:val="0"/>
  </w:num>
  <w:num w:numId="7" w16cid:durableId="14211802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6F2"/>
    <w:rsid w:val="000E5183"/>
    <w:rsid w:val="00150E73"/>
    <w:rsid w:val="00352F73"/>
    <w:rsid w:val="003B6149"/>
    <w:rsid w:val="008946F2"/>
    <w:rsid w:val="00903F0B"/>
    <w:rsid w:val="00BF10FC"/>
    <w:rsid w:val="00C87BD2"/>
    <w:rsid w:val="00D42F7A"/>
    <w:rsid w:val="00D66847"/>
    <w:rsid w:val="00EF522A"/>
    <w:rsid w:val="00FC7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1563"/>
  <w15:chartTrackingRefBased/>
  <w15:docId w15:val="{D77B2888-F35F-4E39-91E1-E2DB2FD2C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E73"/>
  </w:style>
  <w:style w:type="paragraph" w:styleId="Heading1">
    <w:name w:val="heading 1"/>
    <w:basedOn w:val="Normal"/>
    <w:next w:val="Normal"/>
    <w:link w:val="Heading1Char"/>
    <w:uiPriority w:val="9"/>
    <w:qFormat/>
    <w:rsid w:val="008946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46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4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6F2"/>
    <w:rPr>
      <w:rFonts w:eastAsiaTheme="majorEastAsia" w:cstheme="majorBidi"/>
      <w:color w:val="272727" w:themeColor="text1" w:themeTint="D8"/>
    </w:rPr>
  </w:style>
  <w:style w:type="paragraph" w:styleId="Title">
    <w:name w:val="Title"/>
    <w:basedOn w:val="Normal"/>
    <w:next w:val="Normal"/>
    <w:link w:val="TitleChar"/>
    <w:uiPriority w:val="10"/>
    <w:qFormat/>
    <w:rsid w:val="00894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6F2"/>
    <w:pPr>
      <w:spacing w:before="160"/>
      <w:jc w:val="center"/>
    </w:pPr>
    <w:rPr>
      <w:i/>
      <w:iCs/>
      <w:color w:val="404040" w:themeColor="text1" w:themeTint="BF"/>
    </w:rPr>
  </w:style>
  <w:style w:type="character" w:customStyle="1" w:styleId="QuoteChar">
    <w:name w:val="Quote Char"/>
    <w:basedOn w:val="DefaultParagraphFont"/>
    <w:link w:val="Quote"/>
    <w:uiPriority w:val="29"/>
    <w:rsid w:val="008946F2"/>
    <w:rPr>
      <w:i/>
      <w:iCs/>
      <w:color w:val="404040" w:themeColor="text1" w:themeTint="BF"/>
    </w:rPr>
  </w:style>
  <w:style w:type="paragraph" w:styleId="ListParagraph">
    <w:name w:val="List Paragraph"/>
    <w:basedOn w:val="Normal"/>
    <w:uiPriority w:val="34"/>
    <w:qFormat/>
    <w:rsid w:val="008946F2"/>
    <w:pPr>
      <w:ind w:left="720"/>
      <w:contextualSpacing/>
    </w:pPr>
  </w:style>
  <w:style w:type="character" w:styleId="IntenseEmphasis">
    <w:name w:val="Intense Emphasis"/>
    <w:basedOn w:val="DefaultParagraphFont"/>
    <w:uiPriority w:val="21"/>
    <w:qFormat/>
    <w:rsid w:val="008946F2"/>
    <w:rPr>
      <w:i/>
      <w:iCs/>
      <w:color w:val="0F4761" w:themeColor="accent1" w:themeShade="BF"/>
    </w:rPr>
  </w:style>
  <w:style w:type="paragraph" w:styleId="IntenseQuote">
    <w:name w:val="Intense Quote"/>
    <w:basedOn w:val="Normal"/>
    <w:next w:val="Normal"/>
    <w:link w:val="IntenseQuoteChar"/>
    <w:uiPriority w:val="30"/>
    <w:qFormat/>
    <w:rsid w:val="00894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6F2"/>
    <w:rPr>
      <w:i/>
      <w:iCs/>
      <w:color w:val="0F4761" w:themeColor="accent1" w:themeShade="BF"/>
    </w:rPr>
  </w:style>
  <w:style w:type="character" w:styleId="IntenseReference">
    <w:name w:val="Intense Reference"/>
    <w:basedOn w:val="DefaultParagraphFont"/>
    <w:uiPriority w:val="32"/>
    <w:qFormat/>
    <w:rsid w:val="008946F2"/>
    <w:rPr>
      <w:b/>
      <w:bCs/>
      <w:smallCaps/>
      <w:color w:val="0F4761" w:themeColor="accent1" w:themeShade="BF"/>
      <w:spacing w:val="5"/>
    </w:rPr>
  </w:style>
  <w:style w:type="character" w:styleId="Hyperlink">
    <w:name w:val="Hyperlink"/>
    <w:basedOn w:val="DefaultParagraphFont"/>
    <w:uiPriority w:val="99"/>
    <w:unhideWhenUsed/>
    <w:rsid w:val="00150E73"/>
    <w:rPr>
      <w:color w:val="467886" w:themeColor="hyperlink"/>
      <w:u w:val="single"/>
    </w:rPr>
  </w:style>
  <w:style w:type="character" w:styleId="UnresolvedMention">
    <w:name w:val="Unresolved Mention"/>
    <w:basedOn w:val="DefaultParagraphFont"/>
    <w:uiPriority w:val="99"/>
    <w:semiHidden/>
    <w:unhideWhenUsed/>
    <w:rsid w:val="00150E73"/>
    <w:rPr>
      <w:color w:val="605E5C"/>
      <w:shd w:val="clear" w:color="auto" w:fill="E1DFDD"/>
    </w:rPr>
  </w:style>
  <w:style w:type="paragraph" w:styleId="NoSpacing">
    <w:name w:val="No Spacing"/>
    <w:link w:val="NoSpacingChar"/>
    <w:uiPriority w:val="1"/>
    <w:qFormat/>
    <w:rsid w:val="00150E7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50E73"/>
    <w:rPr>
      <w:rFonts w:eastAsiaTheme="minorEastAsia"/>
      <w:lang w:eastAsia="en-GB"/>
    </w:rPr>
  </w:style>
  <w:style w:type="paragraph" w:styleId="TOC1">
    <w:name w:val="toc 1"/>
    <w:basedOn w:val="Normal"/>
    <w:next w:val="Normal"/>
    <w:autoRedefine/>
    <w:uiPriority w:val="39"/>
    <w:unhideWhenUsed/>
    <w:rsid w:val="00D42F7A"/>
    <w:pPr>
      <w:spacing w:after="100"/>
    </w:pPr>
  </w:style>
  <w:style w:type="paragraph" w:styleId="TOC2">
    <w:name w:val="toc 2"/>
    <w:basedOn w:val="Normal"/>
    <w:next w:val="Normal"/>
    <w:autoRedefine/>
    <w:uiPriority w:val="39"/>
    <w:unhideWhenUsed/>
    <w:rsid w:val="00D42F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1347030">
      <w:bodyDiv w:val="1"/>
      <w:marLeft w:val="0"/>
      <w:marRight w:val="0"/>
      <w:marTop w:val="0"/>
      <w:marBottom w:val="0"/>
      <w:divBdr>
        <w:top w:val="none" w:sz="0" w:space="0" w:color="auto"/>
        <w:left w:val="none" w:sz="0" w:space="0" w:color="auto"/>
        <w:bottom w:val="none" w:sz="0" w:space="0" w:color="auto"/>
        <w:right w:val="none" w:sz="0" w:space="0" w:color="auto"/>
      </w:divBdr>
      <w:divsChild>
        <w:div w:id="406734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B4C0A6E07842748E591A233D07FC6C"/>
        <w:category>
          <w:name w:val="General"/>
          <w:gallery w:val="placeholder"/>
        </w:category>
        <w:types>
          <w:type w:val="bbPlcHdr"/>
        </w:types>
        <w:behaviors>
          <w:behavior w:val="content"/>
        </w:behaviors>
        <w:guid w:val="{E15F6356-FFEB-4621-8405-6D1E7F37A8DA}"/>
      </w:docPartPr>
      <w:docPartBody>
        <w:p w:rsidR="00000000" w:rsidRDefault="00F10774" w:rsidP="00F10774">
          <w:pPr>
            <w:pStyle w:val="40B4C0A6E07842748E591A233D07FC6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774"/>
    <w:rsid w:val="00C44ECB"/>
    <w:rsid w:val="00F10774"/>
    <w:rsid w:val="00FC7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B4C0A6E07842748E591A233D07FC6C">
    <w:name w:val="40B4C0A6E07842748E591A233D07FC6C"/>
    <w:rsid w:val="00F10774"/>
  </w:style>
  <w:style w:type="paragraph" w:customStyle="1" w:styleId="9D933259295B4894A3CD7CB00FDC7435">
    <w:name w:val="9D933259295B4894A3CD7CB00FDC7435"/>
    <w:rsid w:val="00F107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2025-03-21T00:00:00</PublishDate>
  <Abstract/>
  <CompanyAddress>2112461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2862</Words>
  <Characters>16319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Univeristy of wales trinity saint david</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plan</dc:title>
  <dc:subject>Andrei Selaru</dc:subject>
  <dc:creator>Andrei Selaru (2112461)</dc:creator>
  <cp:keywords/>
  <dc:description/>
  <cp:lastModifiedBy>Andrei Selaru (2112461)</cp:lastModifiedBy>
  <cp:revision>3</cp:revision>
  <dcterms:created xsi:type="dcterms:W3CDTF">2025-03-19T12:20:00Z</dcterms:created>
  <dcterms:modified xsi:type="dcterms:W3CDTF">2025-03-19T13:11:00Z</dcterms:modified>
</cp:coreProperties>
</file>