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7AE278D7" w14:textId="77777777" w:rsidR="007D1947" w:rsidRPr="002423BE" w:rsidRDefault="007D1947" w:rsidP="003A1FEF">
          <w:pPr>
            <w:pStyle w:val="NoSpacing"/>
            <w:spacing w:before="1540" w:after="240" w:line="360" w:lineRule="auto"/>
            <w:jc w:val="both"/>
            <w:rPr>
              <w:rFonts w:ascii="Arial" w:hAnsi="Arial" w:cs="Arial"/>
              <w:color w:val="5B9BD5" w:themeColor="accent1"/>
            </w:rPr>
          </w:pPr>
          <w:r w:rsidRPr="002423BE">
            <w:rPr>
              <w:rFonts w:ascii="Arial" w:hAnsi="Arial" w:cs="Arial"/>
              <w:noProof/>
              <w:color w:val="5B9BD5" w:themeColor="accent1"/>
              <w:lang w:val="en-GB" w:eastAsia="en-GB"/>
            </w:rPr>
            <w:drawing>
              <wp:inline distT="0" distB="0" distL="0" distR="0" wp14:anchorId="7AE27984" wp14:editId="7AE279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1B06DB5" w14:textId="386D6EC8" w:rsidR="00F0048C" w:rsidRDefault="000511CD" w:rsidP="00F0048C">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48"/>
              <w:szCs w:val="48"/>
            </w:rPr>
          </w:pPr>
          <w:r w:rsidRPr="002423BE">
            <w:rPr>
              <w:rFonts w:ascii="Arial" w:eastAsiaTheme="majorEastAsia" w:hAnsi="Arial" w:cs="Arial"/>
              <w:caps/>
              <w:color w:val="5B9BD5" w:themeColor="accent1"/>
              <w:sz w:val="48"/>
              <w:szCs w:val="48"/>
            </w:rPr>
            <w:t>Financial Management for the Hotel Industry</w:t>
          </w:r>
        </w:p>
        <w:p w14:paraId="7AE278D9" w14:textId="593FB7B6" w:rsidR="007D1947" w:rsidRPr="002423BE" w:rsidRDefault="00CC5B90" w:rsidP="00F0048C">
          <w:pPr>
            <w:pStyle w:val="NoSpacing"/>
            <w:pBdr>
              <w:top w:val="single" w:sz="6" w:space="6" w:color="5B9BD5" w:themeColor="accent1"/>
              <w:bottom w:val="single" w:sz="6" w:space="6" w:color="5B9BD5" w:themeColor="accent1"/>
            </w:pBdr>
            <w:spacing w:after="240" w:line="360" w:lineRule="auto"/>
            <w:jc w:val="center"/>
            <w:rPr>
              <w:rFonts w:ascii="Arial" w:hAnsi="Arial" w:cs="Arial"/>
              <w:color w:val="5B9BD5" w:themeColor="accent1"/>
              <w:sz w:val="28"/>
              <w:szCs w:val="28"/>
            </w:rPr>
          </w:pPr>
          <w:sdt>
            <w:sdtPr>
              <w:rPr>
                <w:rFonts w:ascii="Arial" w:hAnsi="Arial" w:cs="Arial"/>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r w:rsidR="000511CD" w:rsidRPr="002423BE">
                <w:rPr>
                  <w:rFonts w:ascii="Arial" w:hAnsi="Arial" w:cs="Arial"/>
                  <w:color w:val="5B9BD5" w:themeColor="accent1"/>
                  <w:sz w:val="28"/>
                  <w:szCs w:val="28"/>
                </w:rPr>
                <w:t>Analysis of the Financial Statements</w:t>
              </w:r>
            </w:sdtContent>
          </w:sdt>
        </w:p>
        <w:p w14:paraId="7AE278DA" w14:textId="77777777" w:rsidR="007D1947" w:rsidRPr="002423BE" w:rsidRDefault="007D1947" w:rsidP="003A1FEF">
          <w:pPr>
            <w:pStyle w:val="NoSpacing"/>
            <w:spacing w:before="480" w:line="360" w:lineRule="auto"/>
            <w:jc w:val="both"/>
            <w:rPr>
              <w:rFonts w:ascii="Arial" w:hAnsi="Arial" w:cs="Arial"/>
              <w:color w:val="5B9BD5" w:themeColor="accent1"/>
            </w:rPr>
          </w:pPr>
          <w:r w:rsidRPr="002423BE">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7AE27986" wp14:editId="7AE279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2798B" w14:textId="60C15A2D" w:rsidR="007D1947" w:rsidRPr="00CC5B90" w:rsidRDefault="00CC5B90" w:rsidP="00CC5B90">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7AE2798C" w14:textId="77777777" w:rsidR="007D1947" w:rsidRDefault="00CC5B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E279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2798B" w14:textId="60C15A2D" w:rsidR="007D1947" w:rsidRPr="00CC5B90" w:rsidRDefault="00CC5B90" w:rsidP="00CC5B90">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7AE2798C" w14:textId="77777777" w:rsidR="007D1947" w:rsidRDefault="00CC5B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2423BE">
            <w:rPr>
              <w:rFonts w:ascii="Arial" w:hAnsi="Arial" w:cs="Arial"/>
              <w:noProof/>
              <w:color w:val="5B9BD5" w:themeColor="accent1"/>
              <w:lang w:val="en-GB" w:eastAsia="en-GB"/>
            </w:rPr>
            <w:drawing>
              <wp:inline distT="0" distB="0" distL="0" distR="0" wp14:anchorId="7AE27988" wp14:editId="7AE2798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E278DB" w14:textId="7F1A6D45" w:rsidR="007D1947" w:rsidRPr="002423BE" w:rsidRDefault="00CC5B90" w:rsidP="003A1FEF">
          <w:pPr>
            <w:pStyle w:val="Heading1"/>
            <w:spacing w:line="360" w:lineRule="auto"/>
            <w:jc w:val="both"/>
            <w:rPr>
              <w:rFonts w:ascii="Arial" w:hAnsi="Arial" w:cs="Arial"/>
            </w:rPr>
          </w:pPr>
          <w:r>
            <w:rPr>
              <w:rFonts w:ascii="Arial" w:hAnsi="Arial" w:cs="Arial"/>
            </w:rPr>
            <w:t>Student ID: 2012833</w:t>
          </w:r>
          <w:r w:rsidR="007D1947" w:rsidRPr="002423BE">
            <w:rPr>
              <w:rFonts w:ascii="Arial" w:hAnsi="Arial" w:cs="Arial"/>
            </w:rPr>
            <w:br w:type="page"/>
          </w:r>
          <w:bookmarkStart w:id="0" w:name="_Toc95093803"/>
          <w:r w:rsidR="007D1947" w:rsidRPr="002423BE">
            <w:rPr>
              <w:rFonts w:ascii="Arial" w:hAnsi="Arial" w:cs="Arial"/>
            </w:rPr>
            <w:lastRenderedPageBreak/>
            <w:t>Executive Summary</w:t>
          </w:r>
          <w:bookmarkEnd w:id="0"/>
        </w:p>
        <w:p w14:paraId="30BDD0B6"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The concerns of ratio analysis and its derivatives are discussed throughout the entire report. The primary goal of performing a calculative ratio analysis is to obtain an understanding of a company's current position in the market. As a result of the recent covid catastrophe, the hospitality industry is experiencing a slew of financial difficulties. In the event that a firm is successful in analyzing its previous documents and has the financial means to do so, it will almost certainly move on to new procedures, new employee training programs, new salary scales, new menus for clients, more expert chefs to prepare foods, etc.</w:t>
          </w:r>
        </w:p>
        <w:p w14:paraId="7CFCB1C0"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br w:type="page"/>
          </w: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7E557C38" w14:textId="77777777" w:rsidR="006A6D21" w:rsidRPr="002423BE" w:rsidRDefault="006A6D21" w:rsidP="003A1FEF">
              <w:pPr>
                <w:pStyle w:val="TOCHeading"/>
                <w:spacing w:line="360" w:lineRule="auto"/>
                <w:jc w:val="both"/>
                <w:rPr>
                  <w:rFonts w:ascii="Arial" w:hAnsi="Arial" w:cs="Arial"/>
                </w:rPr>
              </w:pPr>
              <w:r w:rsidRPr="002423BE">
                <w:rPr>
                  <w:rFonts w:ascii="Arial" w:hAnsi="Arial" w:cs="Arial"/>
                </w:rPr>
                <w:t>Table of Contents</w:t>
              </w:r>
            </w:p>
            <w:p w14:paraId="4A055977" w14:textId="4A953B2E" w:rsidR="009C5C51" w:rsidRDefault="006A6D21">
              <w:pPr>
                <w:pStyle w:val="TOC1"/>
                <w:tabs>
                  <w:tab w:val="right" w:leader="dot" w:pos="9016"/>
                </w:tabs>
                <w:rPr>
                  <w:rFonts w:eastAsiaTheme="minorEastAsia"/>
                  <w:noProof/>
                  <w:szCs w:val="28"/>
                  <w:lang w:val="en-US" w:bidi="bn-IN"/>
                </w:rPr>
              </w:pPr>
              <w:r w:rsidRPr="002423BE">
                <w:rPr>
                  <w:rFonts w:ascii="Arial" w:hAnsi="Arial" w:cs="Arial"/>
                </w:rPr>
                <w:fldChar w:fldCharType="begin"/>
              </w:r>
              <w:r w:rsidRPr="002423BE">
                <w:rPr>
                  <w:rFonts w:ascii="Arial" w:hAnsi="Arial" w:cs="Arial"/>
                </w:rPr>
                <w:instrText xml:space="preserve"> TOC \o "1-3" \h \z \u </w:instrText>
              </w:r>
              <w:r w:rsidRPr="002423BE">
                <w:rPr>
                  <w:rFonts w:ascii="Arial" w:hAnsi="Arial" w:cs="Arial"/>
                </w:rPr>
                <w:fldChar w:fldCharType="separate"/>
              </w:r>
              <w:hyperlink w:anchor="_Toc95093803" w:history="1">
                <w:r w:rsidR="009C5C51" w:rsidRPr="00015640">
                  <w:rPr>
                    <w:rStyle w:val="Hyperlink"/>
                    <w:rFonts w:ascii="Arial" w:hAnsi="Arial" w:cs="Arial"/>
                    <w:noProof/>
                  </w:rPr>
                  <w:t>Executive Summary</w:t>
                </w:r>
                <w:r w:rsidR="009C5C51">
                  <w:rPr>
                    <w:noProof/>
                    <w:webHidden/>
                  </w:rPr>
                  <w:tab/>
                </w:r>
                <w:r w:rsidR="009C5C51">
                  <w:rPr>
                    <w:noProof/>
                    <w:webHidden/>
                  </w:rPr>
                  <w:fldChar w:fldCharType="begin"/>
                </w:r>
                <w:r w:rsidR="009C5C51">
                  <w:rPr>
                    <w:noProof/>
                    <w:webHidden/>
                  </w:rPr>
                  <w:instrText xml:space="preserve"> PAGEREF _Toc95093803 \h </w:instrText>
                </w:r>
                <w:r w:rsidR="009C5C51">
                  <w:rPr>
                    <w:noProof/>
                    <w:webHidden/>
                  </w:rPr>
                </w:r>
                <w:r w:rsidR="009C5C51">
                  <w:rPr>
                    <w:noProof/>
                    <w:webHidden/>
                  </w:rPr>
                  <w:fldChar w:fldCharType="separate"/>
                </w:r>
                <w:r w:rsidR="009C5C51">
                  <w:rPr>
                    <w:noProof/>
                    <w:webHidden/>
                  </w:rPr>
                  <w:t>1</w:t>
                </w:r>
                <w:r w:rsidR="009C5C51">
                  <w:rPr>
                    <w:noProof/>
                    <w:webHidden/>
                  </w:rPr>
                  <w:fldChar w:fldCharType="end"/>
                </w:r>
              </w:hyperlink>
            </w:p>
            <w:p w14:paraId="4A460545" w14:textId="6E6D928E" w:rsidR="009C5C51" w:rsidRDefault="00CC5B90">
              <w:pPr>
                <w:pStyle w:val="TOC1"/>
                <w:tabs>
                  <w:tab w:val="right" w:leader="dot" w:pos="9016"/>
                </w:tabs>
                <w:rPr>
                  <w:rFonts w:eastAsiaTheme="minorEastAsia"/>
                  <w:noProof/>
                  <w:szCs w:val="28"/>
                  <w:lang w:val="en-US" w:bidi="bn-IN"/>
                </w:rPr>
              </w:pPr>
              <w:hyperlink w:anchor="_Toc95093804" w:history="1">
                <w:r w:rsidR="009C5C51" w:rsidRPr="00015640">
                  <w:rPr>
                    <w:rStyle w:val="Hyperlink"/>
                    <w:rFonts w:ascii="Arial" w:hAnsi="Arial" w:cs="Arial"/>
                    <w:noProof/>
                  </w:rPr>
                  <w:t>Introduction</w:t>
                </w:r>
                <w:r w:rsidR="009C5C51">
                  <w:rPr>
                    <w:noProof/>
                    <w:webHidden/>
                  </w:rPr>
                  <w:tab/>
                </w:r>
                <w:r w:rsidR="009C5C51">
                  <w:rPr>
                    <w:noProof/>
                    <w:webHidden/>
                  </w:rPr>
                  <w:fldChar w:fldCharType="begin"/>
                </w:r>
                <w:r w:rsidR="009C5C51">
                  <w:rPr>
                    <w:noProof/>
                    <w:webHidden/>
                  </w:rPr>
                  <w:instrText xml:space="preserve"> PAGEREF _Toc95093804 \h </w:instrText>
                </w:r>
                <w:r w:rsidR="009C5C51">
                  <w:rPr>
                    <w:noProof/>
                    <w:webHidden/>
                  </w:rPr>
                </w:r>
                <w:r w:rsidR="009C5C51">
                  <w:rPr>
                    <w:noProof/>
                    <w:webHidden/>
                  </w:rPr>
                  <w:fldChar w:fldCharType="separate"/>
                </w:r>
                <w:r w:rsidR="009C5C51">
                  <w:rPr>
                    <w:noProof/>
                    <w:webHidden/>
                  </w:rPr>
                  <w:t>3</w:t>
                </w:r>
                <w:r w:rsidR="009C5C51">
                  <w:rPr>
                    <w:noProof/>
                    <w:webHidden/>
                  </w:rPr>
                  <w:fldChar w:fldCharType="end"/>
                </w:r>
              </w:hyperlink>
            </w:p>
            <w:p w14:paraId="7B44F623" w14:textId="12AB1D80" w:rsidR="009C5C51" w:rsidRDefault="00CC5B90">
              <w:pPr>
                <w:pStyle w:val="TOC1"/>
                <w:tabs>
                  <w:tab w:val="right" w:leader="dot" w:pos="9016"/>
                </w:tabs>
                <w:rPr>
                  <w:rFonts w:eastAsiaTheme="minorEastAsia"/>
                  <w:noProof/>
                  <w:szCs w:val="28"/>
                  <w:lang w:val="en-US" w:bidi="bn-IN"/>
                </w:rPr>
              </w:pPr>
              <w:hyperlink w:anchor="_Toc95093805" w:history="1">
                <w:r w:rsidR="009C5C51" w:rsidRPr="00015640">
                  <w:rPr>
                    <w:rStyle w:val="Hyperlink"/>
                    <w:rFonts w:ascii="Arial" w:hAnsi="Arial" w:cs="Arial"/>
                    <w:noProof/>
                  </w:rPr>
                  <w:t>Financial Analysis</w:t>
                </w:r>
                <w:r w:rsidR="009C5C51">
                  <w:rPr>
                    <w:noProof/>
                    <w:webHidden/>
                  </w:rPr>
                  <w:tab/>
                </w:r>
                <w:r w:rsidR="009C5C51">
                  <w:rPr>
                    <w:noProof/>
                    <w:webHidden/>
                  </w:rPr>
                  <w:fldChar w:fldCharType="begin"/>
                </w:r>
                <w:r w:rsidR="009C5C51">
                  <w:rPr>
                    <w:noProof/>
                    <w:webHidden/>
                  </w:rPr>
                  <w:instrText xml:space="preserve"> PAGEREF _Toc95093805 \h </w:instrText>
                </w:r>
                <w:r w:rsidR="009C5C51">
                  <w:rPr>
                    <w:noProof/>
                    <w:webHidden/>
                  </w:rPr>
                </w:r>
                <w:r w:rsidR="009C5C51">
                  <w:rPr>
                    <w:noProof/>
                    <w:webHidden/>
                  </w:rPr>
                  <w:fldChar w:fldCharType="separate"/>
                </w:r>
                <w:r w:rsidR="009C5C51">
                  <w:rPr>
                    <w:noProof/>
                    <w:webHidden/>
                  </w:rPr>
                  <w:t>3</w:t>
                </w:r>
                <w:r w:rsidR="009C5C51">
                  <w:rPr>
                    <w:noProof/>
                    <w:webHidden/>
                  </w:rPr>
                  <w:fldChar w:fldCharType="end"/>
                </w:r>
              </w:hyperlink>
            </w:p>
            <w:p w14:paraId="1FA3A742" w14:textId="107173A3" w:rsidR="009C5C51" w:rsidRDefault="00CC5B90">
              <w:pPr>
                <w:pStyle w:val="TOC1"/>
                <w:tabs>
                  <w:tab w:val="right" w:leader="dot" w:pos="9016"/>
                </w:tabs>
                <w:rPr>
                  <w:rFonts w:eastAsiaTheme="minorEastAsia"/>
                  <w:noProof/>
                  <w:szCs w:val="28"/>
                  <w:lang w:val="en-US" w:bidi="bn-IN"/>
                </w:rPr>
              </w:pPr>
              <w:hyperlink w:anchor="_Toc95093806" w:history="1">
                <w:r w:rsidR="009C5C51" w:rsidRPr="00015640">
                  <w:rPr>
                    <w:rStyle w:val="Hyperlink"/>
                    <w:rFonts w:ascii="Arial" w:hAnsi="Arial" w:cs="Arial"/>
                    <w:noProof/>
                  </w:rPr>
                  <w:t>Financial Analysis Trends</w:t>
                </w:r>
                <w:r w:rsidR="009C5C51">
                  <w:rPr>
                    <w:noProof/>
                    <w:webHidden/>
                  </w:rPr>
                  <w:tab/>
                </w:r>
                <w:r w:rsidR="009C5C51">
                  <w:rPr>
                    <w:noProof/>
                    <w:webHidden/>
                  </w:rPr>
                  <w:fldChar w:fldCharType="begin"/>
                </w:r>
                <w:r w:rsidR="009C5C51">
                  <w:rPr>
                    <w:noProof/>
                    <w:webHidden/>
                  </w:rPr>
                  <w:instrText xml:space="preserve"> PAGEREF _Toc95093806 \h </w:instrText>
                </w:r>
                <w:r w:rsidR="009C5C51">
                  <w:rPr>
                    <w:noProof/>
                    <w:webHidden/>
                  </w:rPr>
                </w:r>
                <w:r w:rsidR="009C5C51">
                  <w:rPr>
                    <w:noProof/>
                    <w:webHidden/>
                  </w:rPr>
                  <w:fldChar w:fldCharType="separate"/>
                </w:r>
                <w:r w:rsidR="009C5C51">
                  <w:rPr>
                    <w:noProof/>
                    <w:webHidden/>
                  </w:rPr>
                  <w:t>8</w:t>
                </w:r>
                <w:r w:rsidR="009C5C51">
                  <w:rPr>
                    <w:noProof/>
                    <w:webHidden/>
                  </w:rPr>
                  <w:fldChar w:fldCharType="end"/>
                </w:r>
              </w:hyperlink>
            </w:p>
            <w:p w14:paraId="64546345" w14:textId="7B141BD9" w:rsidR="009C5C51" w:rsidRDefault="00CC5B90">
              <w:pPr>
                <w:pStyle w:val="TOC2"/>
                <w:tabs>
                  <w:tab w:val="right" w:leader="dot" w:pos="9016"/>
                </w:tabs>
                <w:rPr>
                  <w:rFonts w:eastAsiaTheme="minorEastAsia"/>
                  <w:noProof/>
                  <w:szCs w:val="28"/>
                  <w:lang w:val="en-US" w:bidi="bn-IN"/>
                </w:rPr>
              </w:pPr>
              <w:hyperlink w:anchor="_Toc95093807" w:history="1">
                <w:r w:rsidR="009C5C51" w:rsidRPr="00015640">
                  <w:rPr>
                    <w:rStyle w:val="Hyperlink"/>
                    <w:rFonts w:ascii="Arial" w:hAnsi="Arial" w:cs="Arial"/>
                    <w:noProof/>
                  </w:rPr>
                  <w:t>Profitability</w:t>
                </w:r>
                <w:r w:rsidR="009C5C51">
                  <w:rPr>
                    <w:noProof/>
                    <w:webHidden/>
                  </w:rPr>
                  <w:tab/>
                </w:r>
                <w:r w:rsidR="009C5C51">
                  <w:rPr>
                    <w:noProof/>
                    <w:webHidden/>
                  </w:rPr>
                  <w:fldChar w:fldCharType="begin"/>
                </w:r>
                <w:r w:rsidR="009C5C51">
                  <w:rPr>
                    <w:noProof/>
                    <w:webHidden/>
                  </w:rPr>
                  <w:instrText xml:space="preserve"> PAGEREF _Toc95093807 \h </w:instrText>
                </w:r>
                <w:r w:rsidR="009C5C51">
                  <w:rPr>
                    <w:noProof/>
                    <w:webHidden/>
                  </w:rPr>
                </w:r>
                <w:r w:rsidR="009C5C51">
                  <w:rPr>
                    <w:noProof/>
                    <w:webHidden/>
                  </w:rPr>
                  <w:fldChar w:fldCharType="separate"/>
                </w:r>
                <w:r w:rsidR="009C5C51">
                  <w:rPr>
                    <w:noProof/>
                    <w:webHidden/>
                  </w:rPr>
                  <w:t>8</w:t>
                </w:r>
                <w:r w:rsidR="009C5C51">
                  <w:rPr>
                    <w:noProof/>
                    <w:webHidden/>
                  </w:rPr>
                  <w:fldChar w:fldCharType="end"/>
                </w:r>
              </w:hyperlink>
            </w:p>
            <w:p w14:paraId="1471352C" w14:textId="28B0FDE4" w:rsidR="009C5C51" w:rsidRDefault="00CC5B90">
              <w:pPr>
                <w:pStyle w:val="TOC2"/>
                <w:tabs>
                  <w:tab w:val="right" w:leader="dot" w:pos="9016"/>
                </w:tabs>
                <w:rPr>
                  <w:rFonts w:eastAsiaTheme="minorEastAsia"/>
                  <w:noProof/>
                  <w:szCs w:val="28"/>
                  <w:lang w:val="en-US" w:bidi="bn-IN"/>
                </w:rPr>
              </w:pPr>
              <w:hyperlink w:anchor="_Toc95093808" w:history="1">
                <w:r w:rsidR="009C5C51" w:rsidRPr="00015640">
                  <w:rPr>
                    <w:rStyle w:val="Hyperlink"/>
                    <w:rFonts w:ascii="Arial" w:hAnsi="Arial" w:cs="Arial"/>
                    <w:noProof/>
                  </w:rPr>
                  <w:t>Liquidity</w:t>
                </w:r>
                <w:r w:rsidR="009C5C51">
                  <w:rPr>
                    <w:noProof/>
                    <w:webHidden/>
                  </w:rPr>
                  <w:tab/>
                </w:r>
                <w:r w:rsidR="009C5C51">
                  <w:rPr>
                    <w:noProof/>
                    <w:webHidden/>
                  </w:rPr>
                  <w:fldChar w:fldCharType="begin"/>
                </w:r>
                <w:r w:rsidR="009C5C51">
                  <w:rPr>
                    <w:noProof/>
                    <w:webHidden/>
                  </w:rPr>
                  <w:instrText xml:space="preserve"> PAGEREF _Toc95093808 \h </w:instrText>
                </w:r>
                <w:r w:rsidR="009C5C51">
                  <w:rPr>
                    <w:noProof/>
                    <w:webHidden/>
                  </w:rPr>
                </w:r>
                <w:r w:rsidR="009C5C51">
                  <w:rPr>
                    <w:noProof/>
                    <w:webHidden/>
                  </w:rPr>
                  <w:fldChar w:fldCharType="separate"/>
                </w:r>
                <w:r w:rsidR="009C5C51">
                  <w:rPr>
                    <w:noProof/>
                    <w:webHidden/>
                  </w:rPr>
                  <w:t>8</w:t>
                </w:r>
                <w:r w:rsidR="009C5C51">
                  <w:rPr>
                    <w:noProof/>
                    <w:webHidden/>
                  </w:rPr>
                  <w:fldChar w:fldCharType="end"/>
                </w:r>
              </w:hyperlink>
            </w:p>
            <w:p w14:paraId="56118A10" w14:textId="3029FB6D" w:rsidR="009C5C51" w:rsidRDefault="00CC5B90">
              <w:pPr>
                <w:pStyle w:val="TOC2"/>
                <w:tabs>
                  <w:tab w:val="right" w:leader="dot" w:pos="9016"/>
                </w:tabs>
                <w:rPr>
                  <w:rFonts w:eastAsiaTheme="minorEastAsia"/>
                  <w:noProof/>
                  <w:szCs w:val="28"/>
                  <w:lang w:val="en-US" w:bidi="bn-IN"/>
                </w:rPr>
              </w:pPr>
              <w:hyperlink w:anchor="_Toc95093809" w:history="1">
                <w:r w:rsidR="009C5C51" w:rsidRPr="00015640">
                  <w:rPr>
                    <w:rStyle w:val="Hyperlink"/>
                    <w:rFonts w:ascii="Arial" w:hAnsi="Arial" w:cs="Arial"/>
                    <w:noProof/>
                  </w:rPr>
                  <w:t>Gearing</w:t>
                </w:r>
                <w:r w:rsidR="009C5C51">
                  <w:rPr>
                    <w:noProof/>
                    <w:webHidden/>
                  </w:rPr>
                  <w:tab/>
                </w:r>
                <w:r w:rsidR="009C5C51">
                  <w:rPr>
                    <w:noProof/>
                    <w:webHidden/>
                  </w:rPr>
                  <w:fldChar w:fldCharType="begin"/>
                </w:r>
                <w:r w:rsidR="009C5C51">
                  <w:rPr>
                    <w:noProof/>
                    <w:webHidden/>
                  </w:rPr>
                  <w:instrText xml:space="preserve"> PAGEREF _Toc95093809 \h </w:instrText>
                </w:r>
                <w:r w:rsidR="009C5C51">
                  <w:rPr>
                    <w:noProof/>
                    <w:webHidden/>
                  </w:rPr>
                </w:r>
                <w:r w:rsidR="009C5C51">
                  <w:rPr>
                    <w:noProof/>
                    <w:webHidden/>
                  </w:rPr>
                  <w:fldChar w:fldCharType="separate"/>
                </w:r>
                <w:r w:rsidR="009C5C51">
                  <w:rPr>
                    <w:noProof/>
                    <w:webHidden/>
                  </w:rPr>
                  <w:t>8</w:t>
                </w:r>
                <w:r w:rsidR="009C5C51">
                  <w:rPr>
                    <w:noProof/>
                    <w:webHidden/>
                  </w:rPr>
                  <w:fldChar w:fldCharType="end"/>
                </w:r>
              </w:hyperlink>
            </w:p>
            <w:p w14:paraId="79EA60AD" w14:textId="5EF563B2" w:rsidR="009C5C51" w:rsidRDefault="00CC5B90">
              <w:pPr>
                <w:pStyle w:val="TOC1"/>
                <w:tabs>
                  <w:tab w:val="right" w:leader="dot" w:pos="9016"/>
                </w:tabs>
                <w:rPr>
                  <w:rFonts w:eastAsiaTheme="minorEastAsia"/>
                  <w:noProof/>
                  <w:szCs w:val="28"/>
                  <w:lang w:val="en-US" w:bidi="bn-IN"/>
                </w:rPr>
              </w:pPr>
              <w:hyperlink w:anchor="_Toc95093810" w:history="1">
                <w:r w:rsidR="009C5C51" w:rsidRPr="00015640">
                  <w:rPr>
                    <w:rStyle w:val="Hyperlink"/>
                    <w:rFonts w:ascii="Arial" w:hAnsi="Arial" w:cs="Arial"/>
                    <w:noProof/>
                  </w:rPr>
                  <w:t>Knowledge from Ratio Analysis</w:t>
                </w:r>
                <w:r w:rsidR="009C5C51">
                  <w:rPr>
                    <w:noProof/>
                    <w:webHidden/>
                  </w:rPr>
                  <w:tab/>
                </w:r>
                <w:r w:rsidR="009C5C51">
                  <w:rPr>
                    <w:noProof/>
                    <w:webHidden/>
                  </w:rPr>
                  <w:fldChar w:fldCharType="begin"/>
                </w:r>
                <w:r w:rsidR="009C5C51">
                  <w:rPr>
                    <w:noProof/>
                    <w:webHidden/>
                  </w:rPr>
                  <w:instrText xml:space="preserve"> PAGEREF _Toc95093810 \h </w:instrText>
                </w:r>
                <w:r w:rsidR="009C5C51">
                  <w:rPr>
                    <w:noProof/>
                    <w:webHidden/>
                  </w:rPr>
                </w:r>
                <w:r w:rsidR="009C5C51">
                  <w:rPr>
                    <w:noProof/>
                    <w:webHidden/>
                  </w:rPr>
                  <w:fldChar w:fldCharType="separate"/>
                </w:r>
                <w:r w:rsidR="009C5C51">
                  <w:rPr>
                    <w:noProof/>
                    <w:webHidden/>
                  </w:rPr>
                  <w:t>9</w:t>
                </w:r>
                <w:r w:rsidR="009C5C51">
                  <w:rPr>
                    <w:noProof/>
                    <w:webHidden/>
                  </w:rPr>
                  <w:fldChar w:fldCharType="end"/>
                </w:r>
              </w:hyperlink>
            </w:p>
            <w:p w14:paraId="2F8BB706" w14:textId="18370E80" w:rsidR="009C5C51" w:rsidRDefault="00CC5B90">
              <w:pPr>
                <w:pStyle w:val="TOC1"/>
                <w:tabs>
                  <w:tab w:val="right" w:leader="dot" w:pos="9016"/>
                </w:tabs>
                <w:rPr>
                  <w:rFonts w:eastAsiaTheme="minorEastAsia"/>
                  <w:noProof/>
                  <w:szCs w:val="28"/>
                  <w:lang w:val="en-US" w:bidi="bn-IN"/>
                </w:rPr>
              </w:pPr>
              <w:hyperlink w:anchor="_Toc95093811" w:history="1">
                <w:r w:rsidR="009C5C51" w:rsidRPr="00015640">
                  <w:rPr>
                    <w:rStyle w:val="Hyperlink"/>
                    <w:rFonts w:ascii="Arial" w:hAnsi="Arial" w:cs="Arial"/>
                    <w:noProof/>
                  </w:rPr>
                  <w:t>Benefits and Limitations of Ratio Analysis</w:t>
                </w:r>
                <w:r w:rsidR="009C5C51">
                  <w:rPr>
                    <w:noProof/>
                    <w:webHidden/>
                  </w:rPr>
                  <w:tab/>
                </w:r>
                <w:r w:rsidR="009C5C51">
                  <w:rPr>
                    <w:noProof/>
                    <w:webHidden/>
                  </w:rPr>
                  <w:fldChar w:fldCharType="begin"/>
                </w:r>
                <w:r w:rsidR="009C5C51">
                  <w:rPr>
                    <w:noProof/>
                    <w:webHidden/>
                  </w:rPr>
                  <w:instrText xml:space="preserve"> PAGEREF _Toc95093811 \h </w:instrText>
                </w:r>
                <w:r w:rsidR="009C5C51">
                  <w:rPr>
                    <w:noProof/>
                    <w:webHidden/>
                  </w:rPr>
                </w:r>
                <w:r w:rsidR="009C5C51">
                  <w:rPr>
                    <w:noProof/>
                    <w:webHidden/>
                  </w:rPr>
                  <w:fldChar w:fldCharType="separate"/>
                </w:r>
                <w:r w:rsidR="009C5C51">
                  <w:rPr>
                    <w:noProof/>
                    <w:webHidden/>
                  </w:rPr>
                  <w:t>10</w:t>
                </w:r>
                <w:r w:rsidR="009C5C51">
                  <w:rPr>
                    <w:noProof/>
                    <w:webHidden/>
                  </w:rPr>
                  <w:fldChar w:fldCharType="end"/>
                </w:r>
              </w:hyperlink>
            </w:p>
            <w:p w14:paraId="1DF9237E" w14:textId="27582B2E" w:rsidR="009C5C51" w:rsidRDefault="00CC5B90">
              <w:pPr>
                <w:pStyle w:val="TOC1"/>
                <w:tabs>
                  <w:tab w:val="right" w:leader="dot" w:pos="9016"/>
                </w:tabs>
                <w:rPr>
                  <w:rFonts w:eastAsiaTheme="minorEastAsia"/>
                  <w:noProof/>
                  <w:szCs w:val="28"/>
                  <w:lang w:val="en-US" w:bidi="bn-IN"/>
                </w:rPr>
              </w:pPr>
              <w:hyperlink w:anchor="_Toc95093812" w:history="1">
                <w:r w:rsidR="009C5C51" w:rsidRPr="00015640">
                  <w:rPr>
                    <w:rStyle w:val="Hyperlink"/>
                    <w:rFonts w:ascii="Arial" w:hAnsi="Arial" w:cs="Arial"/>
                    <w:noProof/>
                  </w:rPr>
                  <w:t>Conclusion</w:t>
                </w:r>
                <w:r w:rsidR="009C5C51">
                  <w:rPr>
                    <w:noProof/>
                    <w:webHidden/>
                  </w:rPr>
                  <w:tab/>
                </w:r>
                <w:r w:rsidR="009C5C51">
                  <w:rPr>
                    <w:noProof/>
                    <w:webHidden/>
                  </w:rPr>
                  <w:fldChar w:fldCharType="begin"/>
                </w:r>
                <w:r w:rsidR="009C5C51">
                  <w:rPr>
                    <w:noProof/>
                    <w:webHidden/>
                  </w:rPr>
                  <w:instrText xml:space="preserve"> PAGEREF _Toc95093812 \h </w:instrText>
                </w:r>
                <w:r w:rsidR="009C5C51">
                  <w:rPr>
                    <w:noProof/>
                    <w:webHidden/>
                  </w:rPr>
                </w:r>
                <w:r w:rsidR="009C5C51">
                  <w:rPr>
                    <w:noProof/>
                    <w:webHidden/>
                  </w:rPr>
                  <w:fldChar w:fldCharType="separate"/>
                </w:r>
                <w:r w:rsidR="009C5C51">
                  <w:rPr>
                    <w:noProof/>
                    <w:webHidden/>
                  </w:rPr>
                  <w:t>11</w:t>
                </w:r>
                <w:r w:rsidR="009C5C51">
                  <w:rPr>
                    <w:noProof/>
                    <w:webHidden/>
                  </w:rPr>
                  <w:fldChar w:fldCharType="end"/>
                </w:r>
              </w:hyperlink>
            </w:p>
            <w:p w14:paraId="79D36918" w14:textId="726E1D03" w:rsidR="009C5C51" w:rsidRDefault="00CC5B90">
              <w:pPr>
                <w:pStyle w:val="TOC1"/>
                <w:tabs>
                  <w:tab w:val="right" w:leader="dot" w:pos="9016"/>
                </w:tabs>
                <w:rPr>
                  <w:rFonts w:eastAsiaTheme="minorEastAsia"/>
                  <w:noProof/>
                  <w:szCs w:val="28"/>
                  <w:lang w:val="en-US" w:bidi="bn-IN"/>
                </w:rPr>
              </w:pPr>
              <w:hyperlink w:anchor="_Toc95093813" w:history="1">
                <w:r w:rsidR="009C5C51" w:rsidRPr="00015640">
                  <w:rPr>
                    <w:rStyle w:val="Hyperlink"/>
                    <w:rFonts w:ascii="Arial" w:hAnsi="Arial" w:cs="Arial"/>
                    <w:noProof/>
                  </w:rPr>
                  <w:t>Bibliography</w:t>
                </w:r>
                <w:r w:rsidR="009C5C51">
                  <w:rPr>
                    <w:noProof/>
                    <w:webHidden/>
                  </w:rPr>
                  <w:tab/>
                </w:r>
                <w:r w:rsidR="009C5C51">
                  <w:rPr>
                    <w:noProof/>
                    <w:webHidden/>
                  </w:rPr>
                  <w:fldChar w:fldCharType="begin"/>
                </w:r>
                <w:r w:rsidR="009C5C51">
                  <w:rPr>
                    <w:noProof/>
                    <w:webHidden/>
                  </w:rPr>
                  <w:instrText xml:space="preserve"> PAGEREF _Toc95093813 \h </w:instrText>
                </w:r>
                <w:r w:rsidR="009C5C51">
                  <w:rPr>
                    <w:noProof/>
                    <w:webHidden/>
                  </w:rPr>
                </w:r>
                <w:r w:rsidR="009C5C51">
                  <w:rPr>
                    <w:noProof/>
                    <w:webHidden/>
                  </w:rPr>
                  <w:fldChar w:fldCharType="separate"/>
                </w:r>
                <w:r w:rsidR="009C5C51">
                  <w:rPr>
                    <w:noProof/>
                    <w:webHidden/>
                  </w:rPr>
                  <w:t>12</w:t>
                </w:r>
                <w:r w:rsidR="009C5C51">
                  <w:rPr>
                    <w:noProof/>
                    <w:webHidden/>
                  </w:rPr>
                  <w:fldChar w:fldCharType="end"/>
                </w:r>
              </w:hyperlink>
            </w:p>
            <w:p w14:paraId="3D296D6F" w14:textId="6AC606F2" w:rsidR="007523A4" w:rsidRDefault="006A6D21" w:rsidP="003A1FEF">
              <w:pPr>
                <w:spacing w:line="360" w:lineRule="auto"/>
                <w:jc w:val="both"/>
                <w:rPr>
                  <w:rFonts w:ascii="Arial" w:hAnsi="Arial" w:cs="Arial"/>
                  <w:b/>
                  <w:bCs/>
                  <w:noProof/>
                </w:rPr>
              </w:pPr>
              <w:r w:rsidRPr="002423BE">
                <w:rPr>
                  <w:rFonts w:ascii="Arial" w:hAnsi="Arial" w:cs="Arial"/>
                  <w:b/>
                  <w:bCs/>
                  <w:noProof/>
                </w:rPr>
                <w:fldChar w:fldCharType="end"/>
              </w:r>
            </w:p>
          </w:sdtContent>
        </w:sdt>
        <w:p w14:paraId="49F215BF" w14:textId="77777777" w:rsidR="007523A4" w:rsidRDefault="007523A4" w:rsidP="003A1FEF">
          <w:pPr>
            <w:spacing w:line="360" w:lineRule="auto"/>
            <w:jc w:val="both"/>
            <w:rPr>
              <w:rFonts w:ascii="Arial" w:hAnsi="Arial" w:cs="Arial"/>
            </w:rPr>
          </w:pPr>
        </w:p>
        <w:p w14:paraId="164B0240" w14:textId="77777777" w:rsidR="007523A4" w:rsidRDefault="007523A4" w:rsidP="003A1FEF">
          <w:pPr>
            <w:spacing w:line="360" w:lineRule="auto"/>
            <w:jc w:val="both"/>
            <w:rPr>
              <w:rFonts w:ascii="Arial" w:hAnsi="Arial" w:cs="Arial"/>
            </w:rPr>
          </w:pPr>
          <w:r>
            <w:rPr>
              <w:rFonts w:ascii="Arial" w:hAnsi="Arial" w:cs="Arial"/>
            </w:rPr>
            <w:br w:type="page"/>
          </w:r>
        </w:p>
        <w:p w14:paraId="56A21CC7" w14:textId="77777777" w:rsidR="007523A4" w:rsidRPr="002423BE" w:rsidRDefault="007523A4" w:rsidP="003A1FEF">
          <w:pPr>
            <w:pStyle w:val="Heading1"/>
            <w:spacing w:line="360" w:lineRule="auto"/>
            <w:jc w:val="both"/>
            <w:rPr>
              <w:rFonts w:ascii="Arial" w:hAnsi="Arial" w:cs="Arial"/>
            </w:rPr>
          </w:pPr>
          <w:bookmarkStart w:id="1" w:name="_Toc95093804"/>
          <w:r w:rsidRPr="002423BE">
            <w:rPr>
              <w:rFonts w:ascii="Arial" w:hAnsi="Arial" w:cs="Arial"/>
            </w:rPr>
            <w:lastRenderedPageBreak/>
            <w:t>Introduction</w:t>
          </w:r>
          <w:bookmarkEnd w:id="1"/>
        </w:p>
        <w:p w14:paraId="70C70C2C"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Financial analysis can be a valuable alternative to or supplement to the typical broad range of disciplines found in texts related to financial theory or accounting practice, depending on the problem (Abid, 2019). Because of this, students can gain a more in-depth understanding of the inner workings and prospects of the corporations that have become such a big part of today's society. In the following report, the financial report and ratio analysis has been discussed with the example of Jury’s Inn company’s financial data.</w:t>
          </w:r>
        </w:p>
        <w:p w14:paraId="67985BD0" w14:textId="77777777" w:rsidR="007523A4" w:rsidRPr="002423BE" w:rsidRDefault="007523A4" w:rsidP="003A1FEF">
          <w:pPr>
            <w:pStyle w:val="Heading1"/>
            <w:spacing w:line="360" w:lineRule="auto"/>
            <w:jc w:val="both"/>
            <w:rPr>
              <w:rFonts w:ascii="Arial" w:hAnsi="Arial" w:cs="Arial"/>
            </w:rPr>
          </w:pPr>
          <w:bookmarkStart w:id="2" w:name="_Toc95093805"/>
          <w:r w:rsidRPr="002423BE">
            <w:rPr>
              <w:rFonts w:ascii="Arial" w:hAnsi="Arial" w:cs="Arial"/>
            </w:rPr>
            <w:t>Financial Analysis</w:t>
          </w:r>
          <w:bookmarkEnd w:id="2"/>
        </w:p>
        <w:p w14:paraId="5B073452" w14:textId="35455E70" w:rsidR="007523A4" w:rsidRPr="00FA0308" w:rsidRDefault="00FA0308" w:rsidP="003A1FEF">
          <w:pPr>
            <w:spacing w:line="360" w:lineRule="auto"/>
            <w:jc w:val="both"/>
            <w:rPr>
              <w:rFonts w:ascii="Arial" w:hAnsi="Arial" w:cs="Arial"/>
              <w:b/>
              <w:bCs/>
              <w:sz w:val="24"/>
              <w:szCs w:val="24"/>
            </w:rPr>
          </w:pPr>
          <w:r w:rsidRPr="00FA0308">
            <w:rPr>
              <w:rFonts w:ascii="Arial" w:hAnsi="Arial" w:cs="Arial"/>
              <w:b/>
              <w:bCs/>
              <w:sz w:val="24"/>
              <w:szCs w:val="24"/>
            </w:rPr>
            <w:t>Ratio Calculation</w:t>
          </w:r>
        </w:p>
        <w:p w14:paraId="2E3BA9CE" w14:textId="539266B2" w:rsidR="008040CD" w:rsidRPr="00974AE2" w:rsidRDefault="008040CD" w:rsidP="003A1FEF">
          <w:pPr>
            <w:spacing w:line="360" w:lineRule="auto"/>
            <w:jc w:val="both"/>
            <w:rPr>
              <w:rFonts w:ascii="Arial" w:hAnsi="Arial" w:cs="Arial"/>
              <w:b/>
              <w:bCs/>
              <w:sz w:val="24"/>
              <w:szCs w:val="24"/>
              <w:lang w:val="en-US"/>
            </w:rPr>
          </w:pPr>
          <w:r>
            <w:rPr>
              <w:rFonts w:ascii="Arial" w:hAnsi="Arial" w:cs="Arial"/>
              <w:b/>
              <w:bCs/>
              <w:sz w:val="24"/>
              <w:szCs w:val="24"/>
              <w:lang w:val="en-US"/>
            </w:rPr>
            <w:t>Profitabil</w:t>
          </w:r>
          <w:r w:rsidR="00EB277B">
            <w:rPr>
              <w:rFonts w:ascii="Arial" w:hAnsi="Arial" w:cs="Arial"/>
              <w:b/>
              <w:bCs/>
              <w:sz w:val="24"/>
              <w:szCs w:val="24"/>
              <w:lang w:val="en-US"/>
            </w:rPr>
            <w:t>i</w:t>
          </w:r>
          <w:r>
            <w:rPr>
              <w:rFonts w:ascii="Arial" w:hAnsi="Arial" w:cs="Arial"/>
              <w:b/>
              <w:bCs/>
              <w:sz w:val="24"/>
              <w:szCs w:val="24"/>
              <w:lang w:val="en-US"/>
            </w:rPr>
            <w:t>ty</w:t>
          </w:r>
          <w:r w:rsidRPr="00974AE2">
            <w:rPr>
              <w:rFonts w:ascii="Arial" w:hAnsi="Arial" w:cs="Arial"/>
              <w:b/>
              <w:bCs/>
              <w:sz w:val="24"/>
              <w:szCs w:val="24"/>
              <w:lang w:val="en-US"/>
            </w:rPr>
            <w:t xml:space="preserve"> Ratio</w:t>
          </w:r>
        </w:p>
        <w:p w14:paraId="14FAA023" w14:textId="4D09A169"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The revenue growth of a business is referred to as its profitability. Profitability Ratios are financial metrics that are used to measure a company's profitability. These proportions are expressed as a percentage (Feroz, et al., 2020).</w:t>
          </w:r>
        </w:p>
        <w:p w14:paraId="6DDE22F9" w14:textId="77777777" w:rsidR="003A1FEF" w:rsidRPr="003A1FEF" w:rsidRDefault="003A1FEF" w:rsidP="003A1FEF">
          <w:pPr>
            <w:spacing w:line="360" w:lineRule="auto"/>
            <w:jc w:val="both"/>
            <w:rPr>
              <w:rFonts w:ascii="Arial" w:hAnsi="Arial" w:cs="Arial"/>
              <w:b/>
              <w:bCs/>
              <w:sz w:val="24"/>
              <w:szCs w:val="24"/>
              <w:lang w:val="en-US"/>
            </w:rPr>
          </w:pPr>
          <w:r w:rsidRPr="003A1FEF">
            <w:rPr>
              <w:rFonts w:ascii="Arial" w:hAnsi="Arial" w:cs="Arial"/>
              <w:b/>
              <w:bCs/>
              <w:sz w:val="24"/>
              <w:szCs w:val="24"/>
              <w:lang w:val="en-US"/>
            </w:rPr>
            <w:t>Gross Profit Ratio</w:t>
          </w:r>
        </w:p>
        <w:p w14:paraId="7DF09680"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The Gross Profit Ratio is a measure of how profitable a business is. A company's Gross Profit Ratio defines the link between total profit and Revenue from Services, which is defined as Net Sales (Kim et al., 2021). Therefore,</w:t>
          </w:r>
        </w:p>
        <w:p w14:paraId="11CAAA02" w14:textId="27E4039F" w:rsidR="003A1FEF" w:rsidRPr="003A1FEF" w:rsidRDefault="003A1FEF" w:rsidP="003A1FEF">
          <w:pPr>
            <w:spacing w:line="360" w:lineRule="auto"/>
            <w:jc w:val="center"/>
            <w:rPr>
              <w:rFonts w:ascii="Arial" w:hAnsi="Arial" w:cs="Arial"/>
              <w:sz w:val="24"/>
              <w:szCs w:val="24"/>
              <w:lang w:val="en-US"/>
            </w:rPr>
          </w:pPr>
          <w:r w:rsidRPr="003A1FEF">
            <w:rPr>
              <w:rFonts w:ascii="Arial" w:hAnsi="Arial" w:cs="Arial"/>
              <w:sz w:val="24"/>
              <w:szCs w:val="24"/>
              <w:lang w:val="en-US"/>
            </w:rPr>
            <w:t xml:space="preserve">Gross Profit Ratio  = </w:t>
          </w:r>
          <m:oMath>
            <m:f>
              <m:fPr>
                <m:ctrlPr>
                  <w:rPr>
                    <w:rFonts w:ascii="Cambria Math" w:hAnsi="Cambria Math" w:cs="Arial"/>
                    <w:i/>
                    <w:sz w:val="24"/>
                    <w:szCs w:val="24"/>
                    <w:lang w:val="en-US"/>
                  </w:rPr>
                </m:ctrlPr>
              </m:fPr>
              <m:num>
                <m:r>
                  <m:rPr>
                    <m:sty m:val="p"/>
                  </m:rPr>
                  <w:rPr>
                    <w:rFonts w:ascii="Cambria Math" w:hAnsi="Cambria Math" w:cs="Arial"/>
                    <w:sz w:val="24"/>
                    <w:szCs w:val="24"/>
                    <w:lang w:val="en-US"/>
                  </w:rPr>
                  <m:t>Gross Profit</m:t>
                </m:r>
              </m:num>
              <m:den>
                <m:r>
                  <m:rPr>
                    <m:sty m:val="p"/>
                  </m:rPr>
                  <w:rPr>
                    <w:rFonts w:ascii="Cambria Math" w:hAnsi="Cambria Math" w:cs="Arial"/>
                    <w:sz w:val="24"/>
                    <w:szCs w:val="24"/>
                    <w:lang w:val="en-US"/>
                  </w:rPr>
                  <m:t>Revenue from Operations</m:t>
                </m:r>
                <m:r>
                  <w:rPr>
                    <w:rFonts w:ascii="Cambria Math" w:hAnsi="Cambria Math" w:cs="Arial"/>
                    <w:sz w:val="24"/>
                    <w:szCs w:val="24"/>
                    <w:lang w:val="en-US"/>
                  </w:rPr>
                  <m:t xml:space="preserve"> </m:t>
                </m:r>
              </m:den>
            </m:f>
            <m:r>
              <w:rPr>
                <w:rFonts w:ascii="Cambria Math" w:hAnsi="Cambria Math" w:cs="Arial"/>
                <w:sz w:val="24"/>
                <w:szCs w:val="24"/>
                <w:lang w:val="en-US"/>
              </w:rPr>
              <m:t>×100</m:t>
            </m:r>
          </m:oMath>
        </w:p>
        <w:p w14:paraId="26E8CBCC"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The term "operating income" refers to the revenue generated by a company's business activities or operations. When applied to non-finance enterprises, it includes net sales, commissions, and other similar items; when applied to financial firms, it includes the rate of return earned, dividends, income on the sale of securities, and similar items (Abid, 2019).</w:t>
          </w:r>
        </w:p>
        <w:p w14:paraId="4BDF0602"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 xml:space="preserve">To measure the efficiency of a corporation, the Gross Profit Ratio is the most important metric to compute. As a comparison tool, one can also evaluate this ratio with those from previous years or with those from other firms to evaluate and analyze the productivity of the business (Cui and Ryan, 2019). Higher Gross Profit Ratios are </w:t>
          </w:r>
          <w:r w:rsidRPr="003A1FEF">
            <w:rPr>
              <w:rFonts w:ascii="Arial" w:hAnsi="Arial" w:cs="Arial"/>
              <w:sz w:val="24"/>
              <w:szCs w:val="24"/>
              <w:lang w:val="en-US"/>
            </w:rPr>
            <w:lastRenderedPageBreak/>
            <w:t>therefore preferable because they allow for a greater margin to be used to cover operational expenses and to build backups.</w:t>
          </w:r>
        </w:p>
        <w:p w14:paraId="45F65DB5"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Explanation:</w:t>
          </w:r>
        </w:p>
        <w:tbl>
          <w:tblPr>
            <w:tblStyle w:val="TableGrid"/>
            <w:tblW w:w="0" w:type="auto"/>
            <w:tblLook w:val="04A0" w:firstRow="1" w:lastRow="0" w:firstColumn="1" w:lastColumn="0" w:noHBand="0" w:noVBand="1"/>
          </w:tblPr>
          <w:tblGrid>
            <w:gridCol w:w="4508"/>
            <w:gridCol w:w="4508"/>
          </w:tblGrid>
          <w:tr w:rsidR="003A1FEF" w:rsidRPr="003A1FEF" w14:paraId="37EF632C" w14:textId="77777777" w:rsidTr="003A1FEF">
            <w:tc>
              <w:tcPr>
                <w:tcW w:w="4675" w:type="dxa"/>
                <w:vAlign w:val="center"/>
              </w:tcPr>
              <w:p w14:paraId="1775C093"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2020</w:t>
                </w:r>
              </w:p>
            </w:tc>
            <w:tc>
              <w:tcPr>
                <w:tcW w:w="4675" w:type="dxa"/>
                <w:vAlign w:val="center"/>
              </w:tcPr>
              <w:p w14:paraId="1B697663"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2019</w:t>
                </w:r>
              </w:p>
            </w:tc>
          </w:tr>
          <w:tr w:rsidR="003A1FEF" w:rsidRPr="003A1FEF" w14:paraId="48CFAD40" w14:textId="77777777" w:rsidTr="003A1FEF">
            <w:trPr>
              <w:trHeight w:val="980"/>
            </w:trPr>
            <w:tc>
              <w:tcPr>
                <w:tcW w:w="4675" w:type="dxa"/>
                <w:vAlign w:val="center"/>
              </w:tcPr>
              <w:p w14:paraId="75BC5317" w14:textId="026519C8" w:rsidR="003A1FEF" w:rsidRPr="003A1FEF" w:rsidRDefault="00CC5B90" w:rsidP="003A1FEF">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5,150</m:t>
                        </m:r>
                      </m:num>
                      <m:den>
                        <m:r>
                          <w:rPr>
                            <w:rFonts w:ascii="Cambria Math" w:hAnsi="Cambria Math" w:cs="Arial"/>
                            <w:sz w:val="24"/>
                            <w:szCs w:val="24"/>
                            <w:lang w:val="en-US"/>
                          </w:rPr>
                          <m:t>6,000</m:t>
                        </m:r>
                      </m:den>
                    </m:f>
                    <m:r>
                      <w:rPr>
                        <w:rFonts w:ascii="Cambria Math" w:hAnsi="Cambria Math" w:cs="Arial"/>
                        <w:sz w:val="24"/>
                        <w:szCs w:val="24"/>
                        <w:lang w:val="en-US"/>
                      </w:rPr>
                      <m:t>×100</m:t>
                    </m:r>
                  </m:oMath>
                </m:oMathPara>
              </w:p>
            </w:tc>
            <w:tc>
              <w:tcPr>
                <w:tcW w:w="4675" w:type="dxa"/>
                <w:vAlign w:val="center"/>
              </w:tcPr>
              <w:p w14:paraId="54CC9DD4" w14:textId="569538B9" w:rsidR="003A1FEF" w:rsidRPr="003A1FEF" w:rsidRDefault="00CC5B90" w:rsidP="003A1FEF">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5,050</m:t>
                        </m:r>
                      </m:num>
                      <m:den>
                        <m:r>
                          <w:rPr>
                            <w:rFonts w:ascii="Cambria Math" w:hAnsi="Cambria Math" w:cs="Arial"/>
                            <w:sz w:val="24"/>
                            <w:szCs w:val="24"/>
                            <w:lang w:val="en-US"/>
                          </w:rPr>
                          <m:t>5,500</m:t>
                        </m:r>
                      </m:den>
                    </m:f>
                    <m:r>
                      <w:rPr>
                        <w:rFonts w:ascii="Cambria Math" w:hAnsi="Cambria Math" w:cs="Arial"/>
                        <w:sz w:val="24"/>
                        <w:szCs w:val="24"/>
                        <w:lang w:val="en-US"/>
                      </w:rPr>
                      <m:t>×100</m:t>
                    </m:r>
                  </m:oMath>
                </m:oMathPara>
              </w:p>
            </w:tc>
          </w:tr>
          <w:tr w:rsidR="003A1FEF" w:rsidRPr="003A1FEF" w14:paraId="0856297B" w14:textId="77777777" w:rsidTr="003A1FEF">
            <w:tc>
              <w:tcPr>
                <w:tcW w:w="4675" w:type="dxa"/>
                <w:vAlign w:val="center"/>
              </w:tcPr>
              <w:p w14:paraId="623644EB"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 85.83%</w:t>
                </w:r>
              </w:p>
            </w:tc>
            <w:tc>
              <w:tcPr>
                <w:tcW w:w="4675" w:type="dxa"/>
                <w:vAlign w:val="center"/>
              </w:tcPr>
              <w:p w14:paraId="56FECEF3"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 91.81%</w:t>
                </w:r>
              </w:p>
            </w:tc>
          </w:tr>
        </w:tbl>
        <w:p w14:paraId="6C82080E" w14:textId="77777777" w:rsidR="003A1FEF" w:rsidRPr="003A1FEF" w:rsidRDefault="003A1FEF" w:rsidP="003A1FEF">
          <w:pPr>
            <w:spacing w:line="360" w:lineRule="auto"/>
            <w:jc w:val="both"/>
            <w:rPr>
              <w:rFonts w:ascii="Arial" w:hAnsi="Arial" w:cs="Arial"/>
              <w:sz w:val="24"/>
              <w:szCs w:val="24"/>
              <w:lang w:val="en-US"/>
            </w:rPr>
          </w:pPr>
        </w:p>
        <w:p w14:paraId="537C0003"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The above calculation says that the year 2019 has more gross profit ratio than that of 2020 which is 5.98% lower. However, both the ratio is in a very good situation because normally 50% to 70% gross profit ratio is said to be a perfect ratio.</w:t>
          </w:r>
        </w:p>
        <w:p w14:paraId="571967E7"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b/>
              <w:bCs/>
              <w:sz w:val="24"/>
              <w:szCs w:val="24"/>
              <w:lang w:val="en-US"/>
            </w:rPr>
            <w:t>Net Profit Ratio:</w:t>
          </w:r>
          <w:r w:rsidRPr="003A1FEF">
            <w:rPr>
              <w:rFonts w:ascii="Arial" w:hAnsi="Arial" w:cs="Arial"/>
              <w:sz w:val="24"/>
              <w:szCs w:val="24"/>
              <w:lang w:val="en-US"/>
            </w:rPr>
            <w:t xml:space="preserve"> It quantifies the link between net profit and net sales, and it is expressed as a percentage of net profit (Mao and Gu, 2020). The amount of Net Profit generated as a proportion of the total income of the company is shown. The Net Profit Ratio is a measure of the overall efficiency of a company's operations. The greater the Net Profit Ratio, the more profitable the company. Progress in operational excellence is demonstrated by an increase in the ratio compared to the prior year.</w:t>
          </w:r>
        </w:p>
        <w:p w14:paraId="04B3E994" w14:textId="27C097F4" w:rsidR="003A1FEF" w:rsidRPr="003A1FEF" w:rsidRDefault="003A1FEF" w:rsidP="003A1FEF">
          <w:pPr>
            <w:spacing w:line="360" w:lineRule="auto"/>
            <w:jc w:val="center"/>
            <w:rPr>
              <w:rFonts w:ascii="Arial" w:hAnsi="Arial" w:cs="Arial"/>
              <w:sz w:val="24"/>
              <w:szCs w:val="24"/>
              <w:lang w:val="en-US"/>
            </w:rPr>
          </w:pPr>
          <w:r w:rsidRPr="003A1FEF">
            <w:rPr>
              <w:rFonts w:ascii="Arial" w:hAnsi="Arial" w:cs="Arial"/>
              <w:sz w:val="24"/>
              <w:szCs w:val="24"/>
              <w:lang w:val="en-US"/>
            </w:rPr>
            <w:t xml:space="preserve">Net Profit Ratio = </w:t>
          </w:r>
          <m:oMath>
            <m:f>
              <m:fPr>
                <m:ctrlPr>
                  <w:rPr>
                    <w:rFonts w:ascii="Cambria Math" w:hAnsi="Cambria Math" w:cs="Arial"/>
                    <w:i/>
                    <w:sz w:val="24"/>
                    <w:szCs w:val="24"/>
                    <w:lang w:val="en-US"/>
                  </w:rPr>
                </m:ctrlPr>
              </m:fPr>
              <m:num>
                <m:r>
                  <w:rPr>
                    <w:rFonts w:ascii="Cambria Math" w:hAnsi="Cambria Math" w:cs="Arial"/>
                    <w:sz w:val="24"/>
                    <w:szCs w:val="24"/>
                    <w:lang w:val="en-US"/>
                  </w:rPr>
                  <m:t>Net Profit</m:t>
                </m:r>
              </m:num>
              <m:den>
                <m:r>
                  <w:rPr>
                    <w:rFonts w:ascii="Cambria Math" w:hAnsi="Cambria Math" w:cs="Arial"/>
                    <w:sz w:val="24"/>
                    <w:szCs w:val="24"/>
                    <w:lang w:val="en-US"/>
                  </w:rPr>
                  <m:t>Net  Sales</m:t>
                </m:r>
              </m:den>
            </m:f>
            <m:r>
              <w:rPr>
                <w:rFonts w:ascii="Cambria Math" w:hAnsi="Cambria Math" w:cs="Arial"/>
                <w:sz w:val="24"/>
                <w:szCs w:val="24"/>
                <w:lang w:val="en-US"/>
              </w:rPr>
              <m:t>×100</m:t>
            </m:r>
          </m:oMath>
        </w:p>
        <w:p w14:paraId="05149262"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Explanation:</w:t>
          </w:r>
        </w:p>
        <w:tbl>
          <w:tblPr>
            <w:tblStyle w:val="TableGrid"/>
            <w:tblW w:w="0" w:type="auto"/>
            <w:tblLook w:val="04A0" w:firstRow="1" w:lastRow="0" w:firstColumn="1" w:lastColumn="0" w:noHBand="0" w:noVBand="1"/>
          </w:tblPr>
          <w:tblGrid>
            <w:gridCol w:w="4508"/>
            <w:gridCol w:w="4508"/>
          </w:tblGrid>
          <w:tr w:rsidR="003A1FEF" w:rsidRPr="003A1FEF" w14:paraId="1BD90BAA" w14:textId="77777777" w:rsidTr="003A1FEF">
            <w:tc>
              <w:tcPr>
                <w:tcW w:w="4675" w:type="dxa"/>
                <w:vAlign w:val="center"/>
              </w:tcPr>
              <w:p w14:paraId="01407540"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2020</w:t>
                </w:r>
              </w:p>
            </w:tc>
            <w:tc>
              <w:tcPr>
                <w:tcW w:w="4675" w:type="dxa"/>
                <w:vAlign w:val="center"/>
              </w:tcPr>
              <w:p w14:paraId="20DEBBD8"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2019</w:t>
                </w:r>
              </w:p>
            </w:tc>
          </w:tr>
          <w:tr w:rsidR="003A1FEF" w:rsidRPr="003A1FEF" w14:paraId="00769B95" w14:textId="77777777" w:rsidTr="003A1FEF">
            <w:trPr>
              <w:trHeight w:val="980"/>
            </w:trPr>
            <w:tc>
              <w:tcPr>
                <w:tcW w:w="4675" w:type="dxa"/>
                <w:vAlign w:val="center"/>
              </w:tcPr>
              <w:p w14:paraId="70A12E97" w14:textId="05758570" w:rsidR="003A1FEF" w:rsidRPr="003A1FEF" w:rsidRDefault="00CC5B90" w:rsidP="003A1FEF">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4,073</m:t>
                        </m:r>
                      </m:num>
                      <m:den>
                        <m:r>
                          <w:rPr>
                            <w:rFonts w:ascii="Cambria Math" w:hAnsi="Cambria Math" w:cs="Arial"/>
                            <w:sz w:val="24"/>
                            <w:szCs w:val="24"/>
                            <w:lang w:val="en-US"/>
                          </w:rPr>
                          <m:t>6,000</m:t>
                        </m:r>
                      </m:den>
                    </m:f>
                    <m:r>
                      <w:rPr>
                        <w:rFonts w:ascii="Cambria Math" w:hAnsi="Cambria Math" w:cs="Arial"/>
                        <w:sz w:val="24"/>
                        <w:szCs w:val="24"/>
                        <w:lang w:val="en-US"/>
                      </w:rPr>
                      <m:t>×100</m:t>
                    </m:r>
                  </m:oMath>
                </m:oMathPara>
              </w:p>
            </w:tc>
            <w:tc>
              <w:tcPr>
                <w:tcW w:w="4675" w:type="dxa"/>
                <w:vAlign w:val="center"/>
              </w:tcPr>
              <w:p w14:paraId="72855764" w14:textId="7089F151" w:rsidR="003A1FEF" w:rsidRPr="003A1FEF" w:rsidRDefault="00CC5B90" w:rsidP="003A1FEF">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4,008</m:t>
                        </m:r>
                      </m:num>
                      <m:den>
                        <m:r>
                          <w:rPr>
                            <w:rFonts w:ascii="Cambria Math" w:hAnsi="Cambria Math" w:cs="Arial"/>
                            <w:sz w:val="24"/>
                            <w:szCs w:val="24"/>
                            <w:lang w:val="en-US"/>
                          </w:rPr>
                          <m:t>5,500</m:t>
                        </m:r>
                      </m:den>
                    </m:f>
                    <m:r>
                      <w:rPr>
                        <w:rFonts w:ascii="Cambria Math" w:hAnsi="Cambria Math" w:cs="Arial"/>
                        <w:sz w:val="24"/>
                        <w:szCs w:val="24"/>
                        <w:lang w:val="en-US"/>
                      </w:rPr>
                      <m:t>×100</m:t>
                    </m:r>
                  </m:oMath>
                </m:oMathPara>
              </w:p>
            </w:tc>
          </w:tr>
          <w:tr w:rsidR="003A1FEF" w:rsidRPr="003A1FEF" w14:paraId="6457D18F" w14:textId="77777777" w:rsidTr="003A1FEF">
            <w:tc>
              <w:tcPr>
                <w:tcW w:w="4675" w:type="dxa"/>
                <w:vAlign w:val="center"/>
              </w:tcPr>
              <w:p w14:paraId="613B472B"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 67.88%</w:t>
                </w:r>
              </w:p>
            </w:tc>
            <w:tc>
              <w:tcPr>
                <w:tcW w:w="4675" w:type="dxa"/>
                <w:vAlign w:val="center"/>
              </w:tcPr>
              <w:p w14:paraId="3A2624A0"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 72.87%</w:t>
                </w:r>
              </w:p>
            </w:tc>
          </w:tr>
        </w:tbl>
        <w:p w14:paraId="180F4713" w14:textId="77777777" w:rsidR="003A1FEF" w:rsidRPr="003A1FEF" w:rsidRDefault="003A1FEF" w:rsidP="003A1FEF">
          <w:pPr>
            <w:spacing w:line="360" w:lineRule="auto"/>
            <w:jc w:val="both"/>
            <w:rPr>
              <w:rFonts w:ascii="Arial" w:hAnsi="Arial" w:cs="Arial"/>
              <w:sz w:val="24"/>
              <w:szCs w:val="24"/>
              <w:lang w:val="en-US"/>
            </w:rPr>
          </w:pPr>
        </w:p>
        <w:p w14:paraId="1D265B80" w14:textId="055BFC99" w:rsid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The above Figure shows that both the year develops extremely high net profit which means the company can cover up its all kinds of operating expenditures very easily.</w:t>
          </w:r>
        </w:p>
        <w:p w14:paraId="34F61A7A" w14:textId="77777777" w:rsidR="009C5C51" w:rsidRPr="003A1FEF" w:rsidRDefault="009C5C51" w:rsidP="003A1FEF">
          <w:pPr>
            <w:spacing w:line="360" w:lineRule="auto"/>
            <w:jc w:val="both"/>
            <w:rPr>
              <w:rFonts w:ascii="Arial" w:hAnsi="Arial" w:cs="Arial"/>
              <w:sz w:val="24"/>
              <w:szCs w:val="24"/>
              <w:lang w:val="en-US"/>
            </w:rPr>
          </w:pPr>
        </w:p>
        <w:p w14:paraId="63910ECC" w14:textId="77777777" w:rsidR="003A1FEF" w:rsidRPr="003A1FEF" w:rsidRDefault="003A1FEF" w:rsidP="003A1FEF">
          <w:pPr>
            <w:spacing w:line="360" w:lineRule="auto"/>
            <w:jc w:val="both"/>
            <w:rPr>
              <w:rFonts w:ascii="Arial" w:hAnsi="Arial" w:cs="Arial"/>
              <w:b/>
              <w:sz w:val="24"/>
              <w:szCs w:val="24"/>
              <w:lang w:val="en-US"/>
            </w:rPr>
          </w:pPr>
          <w:bookmarkStart w:id="3" w:name="_Toc79164794"/>
          <w:bookmarkStart w:id="4" w:name="_Toc95077810"/>
          <w:bookmarkStart w:id="5" w:name="_Hlk95072929"/>
          <w:r w:rsidRPr="003A1FEF">
            <w:rPr>
              <w:rFonts w:ascii="Arial" w:hAnsi="Arial" w:cs="Arial"/>
              <w:b/>
              <w:sz w:val="24"/>
              <w:szCs w:val="24"/>
              <w:lang w:val="en-US"/>
            </w:rPr>
            <w:lastRenderedPageBreak/>
            <w:t>Liquidity Ratio</w:t>
          </w:r>
          <w:bookmarkEnd w:id="3"/>
          <w:bookmarkEnd w:id="4"/>
        </w:p>
        <w:bookmarkEnd w:id="5"/>
        <w:p w14:paraId="4EF18505"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If a company agrees to meet its short-term obligations, it must have access to liquid capital. The capacity of a business to pay the sum owing to its stakeholders once it becomes due is referred to as liquidity (Firdaus and Endri, 2020). Because of this, we must construct Liquidity Ratios to determine liquidity. The essence of these ratios is that they are quick. Because of their financial investment in the company, lenders are always interested in the liquidity situation of the business.</w:t>
          </w:r>
        </w:p>
        <w:p w14:paraId="2288F3A6"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When a company is unable to meet its short-term obligations, it harms its trustworthiness including on its credit rating (Abid, 2019). Additionally, insolvency or dissolution may ensue as a result of this. It is important to recognize that both overabundance and inadequate liquidity are detrimental to the organization's actions.</w:t>
          </w:r>
        </w:p>
        <w:p w14:paraId="7AF7F12E"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b/>
              <w:bCs/>
              <w:sz w:val="24"/>
              <w:szCs w:val="24"/>
              <w:lang w:val="en-US"/>
            </w:rPr>
            <w:t>Current Ratio:</w:t>
          </w:r>
          <w:r w:rsidRPr="003A1FEF">
            <w:rPr>
              <w:rFonts w:ascii="Arial" w:hAnsi="Arial" w:cs="Arial"/>
              <w:sz w:val="24"/>
              <w:szCs w:val="24"/>
              <w:lang w:val="en-US"/>
            </w:rPr>
            <w:t xml:space="preserve"> When a company's short-term soundness or liquidity is being measured, this is one of the best commonly used ratios to use. In financial terms, it is the relationship between current assets and current liabilities (Nissim, 2018). For want of a better term, it assesses if there are sufficient current assets to pay down current liabilities while maintaining a safety margin against probable damages in the realization of working capital.</w:t>
          </w:r>
        </w:p>
        <w:p w14:paraId="14EC75AA"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Generally speaking, a 2:1 current to voltage ratio is optimum. The optimal ratio, on the other hand, is determined by the type of the business as well as the features of the company's accounts receivables.</w:t>
          </w:r>
        </w:p>
        <w:p w14:paraId="4E6AA94A" w14:textId="57EEB26A" w:rsidR="003A1FEF" w:rsidRPr="003A1FEF" w:rsidRDefault="003A1FEF" w:rsidP="003A1FEF">
          <w:pPr>
            <w:spacing w:line="360" w:lineRule="auto"/>
            <w:jc w:val="center"/>
            <w:rPr>
              <w:rFonts w:ascii="Arial" w:hAnsi="Arial" w:cs="Arial"/>
              <w:sz w:val="24"/>
              <w:szCs w:val="24"/>
              <w:lang w:val="en-US"/>
            </w:rPr>
          </w:pPr>
          <w:r w:rsidRPr="003A1FEF">
            <w:rPr>
              <w:rFonts w:ascii="Arial" w:hAnsi="Arial" w:cs="Arial"/>
              <w:sz w:val="24"/>
              <w:szCs w:val="24"/>
              <w:lang w:val="en-US"/>
            </w:rPr>
            <w:t xml:space="preserve">Current Ratio = </w:t>
          </w:r>
          <m:oMath>
            <m:f>
              <m:fPr>
                <m:ctrlPr>
                  <w:rPr>
                    <w:rFonts w:ascii="Cambria Math" w:hAnsi="Cambria Math" w:cs="Arial"/>
                    <w:i/>
                    <w:sz w:val="24"/>
                    <w:szCs w:val="24"/>
                    <w:lang w:val="en-US"/>
                  </w:rPr>
                </m:ctrlPr>
              </m:fPr>
              <m:num>
                <m:r>
                  <w:rPr>
                    <w:rFonts w:ascii="Cambria Math" w:hAnsi="Cambria Math" w:cs="Arial"/>
                    <w:sz w:val="24"/>
                    <w:szCs w:val="24"/>
                    <w:lang w:val="en-US"/>
                  </w:rPr>
                  <m:t>Current Asset</m:t>
                </m:r>
              </m:num>
              <m:den>
                <m:r>
                  <w:rPr>
                    <w:rFonts w:ascii="Cambria Math" w:hAnsi="Cambria Math" w:cs="Arial"/>
                    <w:sz w:val="24"/>
                    <w:szCs w:val="24"/>
                    <w:lang w:val="en-US"/>
                  </w:rPr>
                  <m:t>Current Liabilities</m:t>
                </m:r>
              </m:den>
            </m:f>
          </m:oMath>
        </w:p>
        <w:p w14:paraId="6CED4E00"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Explanation:</w:t>
          </w:r>
        </w:p>
        <w:tbl>
          <w:tblPr>
            <w:tblStyle w:val="TableGrid"/>
            <w:tblW w:w="0" w:type="auto"/>
            <w:tblLook w:val="04A0" w:firstRow="1" w:lastRow="0" w:firstColumn="1" w:lastColumn="0" w:noHBand="0" w:noVBand="1"/>
          </w:tblPr>
          <w:tblGrid>
            <w:gridCol w:w="4508"/>
            <w:gridCol w:w="4508"/>
          </w:tblGrid>
          <w:tr w:rsidR="003A1FEF" w:rsidRPr="003A1FEF" w14:paraId="61920B33" w14:textId="77777777" w:rsidTr="003A1FEF">
            <w:tc>
              <w:tcPr>
                <w:tcW w:w="4675" w:type="dxa"/>
                <w:vAlign w:val="center"/>
              </w:tcPr>
              <w:p w14:paraId="66D65933"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2020</w:t>
                </w:r>
              </w:p>
            </w:tc>
            <w:tc>
              <w:tcPr>
                <w:tcW w:w="4675" w:type="dxa"/>
                <w:vAlign w:val="center"/>
              </w:tcPr>
              <w:p w14:paraId="4828D577"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2019</w:t>
                </w:r>
              </w:p>
            </w:tc>
          </w:tr>
          <w:tr w:rsidR="003A1FEF" w:rsidRPr="003A1FEF" w14:paraId="1B0B3EC6" w14:textId="77777777" w:rsidTr="003A1FEF">
            <w:trPr>
              <w:trHeight w:val="980"/>
            </w:trPr>
            <w:tc>
              <w:tcPr>
                <w:tcW w:w="4675" w:type="dxa"/>
                <w:vAlign w:val="center"/>
              </w:tcPr>
              <w:p w14:paraId="3AC47C9E" w14:textId="356701FA" w:rsidR="003A1FEF" w:rsidRPr="003A1FEF" w:rsidRDefault="00CC5B90" w:rsidP="003A1FEF">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3,240</m:t>
                        </m:r>
                      </m:num>
                      <m:den>
                        <m:r>
                          <w:rPr>
                            <w:rFonts w:ascii="Cambria Math" w:hAnsi="Cambria Math" w:cs="Arial"/>
                            <w:sz w:val="24"/>
                            <w:szCs w:val="24"/>
                            <w:lang w:val="en-US"/>
                          </w:rPr>
                          <m:t>1,616</m:t>
                        </m:r>
                      </m:den>
                    </m:f>
                  </m:oMath>
                </m:oMathPara>
              </w:p>
            </w:tc>
            <w:tc>
              <w:tcPr>
                <w:tcW w:w="4675" w:type="dxa"/>
                <w:vAlign w:val="center"/>
              </w:tcPr>
              <w:p w14:paraId="1EED921E" w14:textId="506AE226" w:rsidR="003A1FEF" w:rsidRPr="003A1FEF" w:rsidRDefault="00CC5B90" w:rsidP="003A1FEF">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3,065</m:t>
                        </m:r>
                      </m:num>
                      <m:den>
                        <m:r>
                          <w:rPr>
                            <w:rFonts w:ascii="Cambria Math" w:hAnsi="Cambria Math" w:cs="Arial"/>
                            <w:sz w:val="24"/>
                            <w:szCs w:val="24"/>
                            <w:lang w:val="en-US"/>
                          </w:rPr>
                          <m:t>1,339</m:t>
                        </m:r>
                      </m:den>
                    </m:f>
                  </m:oMath>
                </m:oMathPara>
              </w:p>
            </w:tc>
          </w:tr>
          <w:tr w:rsidR="003A1FEF" w:rsidRPr="003A1FEF" w14:paraId="513A6FF7" w14:textId="77777777" w:rsidTr="003A1FEF">
            <w:tc>
              <w:tcPr>
                <w:tcW w:w="4675" w:type="dxa"/>
                <w:vAlign w:val="center"/>
              </w:tcPr>
              <w:p w14:paraId="1973FC69"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 2.004</w:t>
                </w:r>
              </w:p>
            </w:tc>
            <w:tc>
              <w:tcPr>
                <w:tcW w:w="4675" w:type="dxa"/>
                <w:vAlign w:val="center"/>
              </w:tcPr>
              <w:p w14:paraId="11A710C1" w14:textId="77777777" w:rsidR="003A1FEF" w:rsidRPr="003A1FEF" w:rsidRDefault="003A1FEF" w:rsidP="003A1FEF">
                <w:pPr>
                  <w:spacing w:after="160" w:line="360" w:lineRule="auto"/>
                  <w:jc w:val="center"/>
                  <w:rPr>
                    <w:rFonts w:ascii="Arial" w:hAnsi="Arial" w:cs="Arial"/>
                    <w:sz w:val="24"/>
                    <w:szCs w:val="24"/>
                    <w:lang w:val="en-US"/>
                  </w:rPr>
                </w:pPr>
                <w:r w:rsidRPr="003A1FEF">
                  <w:rPr>
                    <w:rFonts w:ascii="Arial" w:hAnsi="Arial" w:cs="Arial"/>
                    <w:sz w:val="24"/>
                    <w:szCs w:val="24"/>
                    <w:lang w:val="en-US"/>
                  </w:rPr>
                  <w:t>= 2.28</w:t>
                </w:r>
              </w:p>
            </w:tc>
          </w:tr>
        </w:tbl>
        <w:p w14:paraId="49E624E1" w14:textId="77777777" w:rsidR="003A1FEF" w:rsidRPr="003A1FEF" w:rsidRDefault="003A1FEF" w:rsidP="003A1FEF">
          <w:pPr>
            <w:spacing w:line="360" w:lineRule="auto"/>
            <w:jc w:val="both"/>
            <w:rPr>
              <w:rFonts w:ascii="Arial" w:hAnsi="Arial" w:cs="Arial"/>
              <w:sz w:val="24"/>
              <w:szCs w:val="24"/>
              <w:lang w:val="en-US"/>
            </w:rPr>
          </w:pPr>
        </w:p>
        <w:p w14:paraId="1D21B6E3"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 xml:space="preserve">In both cases, the current ratio is above 2. The experts say that the good number of current ratio is between 1.5 to 3. Thus, the Jury’s Inn hospitality company is definitely </w:t>
          </w:r>
          <w:r w:rsidRPr="003A1FEF">
            <w:rPr>
              <w:rFonts w:ascii="Arial" w:hAnsi="Arial" w:cs="Arial"/>
              <w:sz w:val="24"/>
              <w:szCs w:val="24"/>
              <w:lang w:val="en-US"/>
            </w:rPr>
            <w:lastRenderedPageBreak/>
            <w:t xml:space="preserve">in a good position. But in 2019 it was in a more good position. In 2020 every aspect of its ratio has got down and deliberated. </w:t>
          </w:r>
        </w:p>
        <w:p w14:paraId="3171F290" w14:textId="77777777" w:rsidR="003A1FEF" w:rsidRPr="003A1FEF" w:rsidRDefault="003A1FEF" w:rsidP="003A1FEF">
          <w:pPr>
            <w:spacing w:line="360" w:lineRule="auto"/>
            <w:jc w:val="both"/>
            <w:rPr>
              <w:rFonts w:ascii="Arial" w:hAnsi="Arial" w:cs="Arial"/>
              <w:b/>
              <w:bCs/>
              <w:sz w:val="24"/>
              <w:szCs w:val="24"/>
              <w:lang w:val="en-US"/>
            </w:rPr>
          </w:pPr>
          <w:r w:rsidRPr="003A1FEF">
            <w:rPr>
              <w:rFonts w:ascii="Arial" w:hAnsi="Arial" w:cs="Arial"/>
              <w:b/>
              <w:bCs/>
              <w:sz w:val="24"/>
              <w:szCs w:val="24"/>
              <w:lang w:val="en-US"/>
            </w:rPr>
            <w:t>The ratio of Net Working Capital to Total Assets</w:t>
          </w:r>
        </w:p>
        <w:p w14:paraId="7B735ED1"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It is a metric used to quantify cash flow. The response to this question should be in the affirmative. Normally, lenders monitor this ratio to determine whether or not there is a financial catastrophe on the horizon (Stickney et al., 2019). The net working capital ratio is equal to the difference between current assets and current liabilities (exclude short-term debt).</w:t>
          </w:r>
        </w:p>
        <w:p w14:paraId="14097655"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 xml:space="preserve">In our Jurys inn hospitality company’s perspective, the net working capital ratio in 2019 is (3065-1339) = 1726 and the net working capital ratio in 2020 is (3240-1616) = 1624.  </w:t>
          </w:r>
        </w:p>
        <w:p w14:paraId="4A0D5ED7" w14:textId="77777777" w:rsidR="003A1FEF" w:rsidRPr="003A1FEF" w:rsidRDefault="003A1FEF" w:rsidP="003A1FEF">
          <w:pPr>
            <w:spacing w:line="360" w:lineRule="auto"/>
            <w:jc w:val="both"/>
            <w:rPr>
              <w:rFonts w:ascii="Arial" w:hAnsi="Arial" w:cs="Arial"/>
              <w:b/>
              <w:sz w:val="24"/>
              <w:szCs w:val="24"/>
              <w:lang w:val="en-US"/>
            </w:rPr>
          </w:pPr>
          <w:bookmarkStart w:id="6" w:name="_Toc95077811"/>
          <w:bookmarkStart w:id="7" w:name="_Hlk95072966"/>
          <w:r w:rsidRPr="003A1FEF">
            <w:rPr>
              <w:rFonts w:ascii="Arial" w:hAnsi="Arial" w:cs="Arial"/>
              <w:b/>
              <w:sz w:val="24"/>
              <w:szCs w:val="24"/>
              <w:lang w:val="en-US"/>
            </w:rPr>
            <w:t>Gearing Ratio</w:t>
          </w:r>
          <w:bookmarkEnd w:id="6"/>
        </w:p>
        <w:bookmarkEnd w:id="7"/>
        <w:p w14:paraId="7DFC2E46"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Gearing refers to the quantity of debt a firm utilizes to finance its operations in regards to the quantity of equity capital it has. Maintaining a good gearing ratio indicates that the firm has a high debt to equity ratio, which could indicate that it is more vulnerable to financial disaster than other businesses (Williamson et al., 2015). Gearing is an indicator of the spread to which a firm's activities are funded by borrowed funds from borrowers as opposed to money raised from investors to support operations. The optimum level of gearing for a corporation is determined by the industry in which it works. Therefore, it is critical to examine an industry's gearing ratio concerning that of other similar companies.</w:t>
          </w:r>
        </w:p>
        <w:p w14:paraId="4E884145"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b/>
              <w:bCs/>
              <w:sz w:val="24"/>
              <w:szCs w:val="24"/>
              <w:lang w:val="en-US"/>
            </w:rPr>
            <w:t xml:space="preserve">Capital Gearing Ratio: </w:t>
          </w:r>
          <w:r w:rsidRPr="003A1FEF">
            <w:rPr>
              <w:rFonts w:ascii="Arial" w:hAnsi="Arial" w:cs="Arial"/>
              <w:sz w:val="24"/>
              <w:szCs w:val="24"/>
              <w:lang w:val="en-US"/>
            </w:rPr>
            <w:t>Capital Gearing Ratio is a measure of how much money a company has to invest to grow. It is a representation of the percentage of fixed rates or payout bearing assets to the total amount of money held by equity investors. When the money generated by equity shareholders exceed the money raised by fixed interest-bearing shareholders, experts say that a corporation is short geared, and vice versa.</w:t>
          </w:r>
        </w:p>
        <w:p w14:paraId="5C3CC80F" w14:textId="474437D3"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 xml:space="preserve">Capital Gearing Ratio = </w:t>
          </w:r>
          <m:oMath>
            <m:f>
              <m:fPr>
                <m:ctrlPr>
                  <w:rPr>
                    <w:rFonts w:ascii="Cambria Math" w:hAnsi="Cambria Math" w:cs="Arial"/>
                    <w:i/>
                    <w:sz w:val="24"/>
                    <w:szCs w:val="24"/>
                    <w:lang w:val="en-US"/>
                  </w:rPr>
                </m:ctrlPr>
              </m:fPr>
              <m:num>
                <m:r>
                  <w:rPr>
                    <w:rFonts w:ascii="Cambria Math" w:hAnsi="Cambria Math" w:cs="Arial"/>
                    <w:sz w:val="24"/>
                    <w:szCs w:val="24"/>
                    <w:lang w:val="en-US"/>
                  </w:rPr>
                  <m:t>Debenture</m:t>
                </m:r>
              </m:num>
              <m:den>
                <m:r>
                  <w:rPr>
                    <w:rFonts w:ascii="Cambria Math" w:hAnsi="Cambria Math" w:cs="Arial"/>
                    <w:sz w:val="24"/>
                    <w:szCs w:val="24"/>
                    <w:lang w:val="en-US"/>
                  </w:rPr>
                  <m:t>Shareholder Equity</m:t>
                </m:r>
              </m:den>
            </m:f>
          </m:oMath>
        </w:p>
        <w:p w14:paraId="2D03A608" w14:textId="77777777" w:rsidR="00CC5CBC" w:rsidRDefault="00CC5CBC" w:rsidP="003A1FEF">
          <w:pPr>
            <w:spacing w:line="360" w:lineRule="auto"/>
            <w:jc w:val="both"/>
            <w:rPr>
              <w:rFonts w:ascii="Arial" w:hAnsi="Arial" w:cs="Arial"/>
              <w:sz w:val="24"/>
              <w:szCs w:val="24"/>
              <w:lang w:val="en-US"/>
            </w:rPr>
          </w:pPr>
        </w:p>
        <w:p w14:paraId="63AE9A26" w14:textId="77777777" w:rsidR="00CC5CBC" w:rsidRDefault="00CC5CBC" w:rsidP="003A1FEF">
          <w:pPr>
            <w:spacing w:line="360" w:lineRule="auto"/>
            <w:jc w:val="both"/>
            <w:rPr>
              <w:rFonts w:ascii="Arial" w:hAnsi="Arial" w:cs="Arial"/>
              <w:sz w:val="24"/>
              <w:szCs w:val="24"/>
              <w:lang w:val="en-US"/>
            </w:rPr>
          </w:pPr>
        </w:p>
        <w:p w14:paraId="22D3D90B" w14:textId="00053AD4"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lastRenderedPageBreak/>
            <w:t>Explanation:</w:t>
          </w:r>
        </w:p>
        <w:tbl>
          <w:tblPr>
            <w:tblStyle w:val="TableGrid"/>
            <w:tblW w:w="0" w:type="auto"/>
            <w:tblLook w:val="04A0" w:firstRow="1" w:lastRow="0" w:firstColumn="1" w:lastColumn="0" w:noHBand="0" w:noVBand="1"/>
          </w:tblPr>
          <w:tblGrid>
            <w:gridCol w:w="4508"/>
            <w:gridCol w:w="4508"/>
          </w:tblGrid>
          <w:tr w:rsidR="003A1FEF" w:rsidRPr="003A1FEF" w14:paraId="50CF2252" w14:textId="77777777" w:rsidTr="00CC5CBC">
            <w:tc>
              <w:tcPr>
                <w:tcW w:w="4675" w:type="dxa"/>
                <w:vAlign w:val="center"/>
              </w:tcPr>
              <w:p w14:paraId="343A3C8F" w14:textId="77777777" w:rsidR="003A1FEF" w:rsidRPr="003A1FEF" w:rsidRDefault="003A1FEF" w:rsidP="00CC5CBC">
                <w:pPr>
                  <w:spacing w:after="160" w:line="360" w:lineRule="auto"/>
                  <w:jc w:val="center"/>
                  <w:rPr>
                    <w:rFonts w:ascii="Arial" w:hAnsi="Arial" w:cs="Arial"/>
                    <w:sz w:val="24"/>
                    <w:szCs w:val="24"/>
                    <w:lang w:val="en-US"/>
                  </w:rPr>
                </w:pPr>
                <w:r w:rsidRPr="003A1FEF">
                  <w:rPr>
                    <w:rFonts w:ascii="Arial" w:hAnsi="Arial" w:cs="Arial"/>
                    <w:sz w:val="24"/>
                    <w:szCs w:val="24"/>
                    <w:lang w:val="en-US"/>
                  </w:rPr>
                  <w:t>2020</w:t>
                </w:r>
              </w:p>
            </w:tc>
            <w:tc>
              <w:tcPr>
                <w:tcW w:w="4675" w:type="dxa"/>
                <w:vAlign w:val="center"/>
              </w:tcPr>
              <w:p w14:paraId="39321151" w14:textId="77777777" w:rsidR="003A1FEF" w:rsidRPr="003A1FEF" w:rsidRDefault="003A1FEF" w:rsidP="00CC5CBC">
                <w:pPr>
                  <w:spacing w:after="160" w:line="360" w:lineRule="auto"/>
                  <w:jc w:val="center"/>
                  <w:rPr>
                    <w:rFonts w:ascii="Arial" w:hAnsi="Arial" w:cs="Arial"/>
                    <w:sz w:val="24"/>
                    <w:szCs w:val="24"/>
                    <w:lang w:val="en-US"/>
                  </w:rPr>
                </w:pPr>
                <w:r w:rsidRPr="003A1FEF">
                  <w:rPr>
                    <w:rFonts w:ascii="Arial" w:hAnsi="Arial" w:cs="Arial"/>
                    <w:sz w:val="24"/>
                    <w:szCs w:val="24"/>
                    <w:lang w:val="en-US"/>
                  </w:rPr>
                  <w:t>2019</w:t>
                </w:r>
              </w:p>
            </w:tc>
          </w:tr>
          <w:tr w:rsidR="003A1FEF" w:rsidRPr="003A1FEF" w14:paraId="6BB0F96F" w14:textId="77777777" w:rsidTr="00CC5CBC">
            <w:trPr>
              <w:trHeight w:val="980"/>
            </w:trPr>
            <w:tc>
              <w:tcPr>
                <w:tcW w:w="4675" w:type="dxa"/>
                <w:vAlign w:val="center"/>
              </w:tcPr>
              <w:p w14:paraId="35649216" w14:textId="43E75CE1" w:rsidR="003A1FEF" w:rsidRPr="003A1FEF" w:rsidRDefault="00CC5B90" w:rsidP="00CC5CBC">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145</m:t>
                        </m:r>
                      </m:num>
                      <m:den>
                        <m:r>
                          <w:rPr>
                            <w:rFonts w:ascii="Cambria Math" w:hAnsi="Cambria Math" w:cs="Arial"/>
                            <w:sz w:val="24"/>
                            <w:szCs w:val="24"/>
                            <w:lang w:val="en-US"/>
                          </w:rPr>
                          <m:t>1,420</m:t>
                        </m:r>
                      </m:den>
                    </m:f>
                  </m:oMath>
                </m:oMathPara>
              </w:p>
            </w:tc>
            <w:tc>
              <w:tcPr>
                <w:tcW w:w="4675" w:type="dxa"/>
                <w:vAlign w:val="center"/>
              </w:tcPr>
              <w:p w14:paraId="6E4517DA" w14:textId="78219C69" w:rsidR="003A1FEF" w:rsidRPr="003A1FEF" w:rsidRDefault="00CC5B90" w:rsidP="00CC5CBC">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150</m:t>
                        </m:r>
                      </m:num>
                      <m:den>
                        <m:r>
                          <w:rPr>
                            <w:rFonts w:ascii="Cambria Math" w:hAnsi="Cambria Math" w:cs="Arial"/>
                            <w:sz w:val="24"/>
                            <w:szCs w:val="24"/>
                            <w:lang w:val="en-US"/>
                          </w:rPr>
                          <m:t>1,450</m:t>
                        </m:r>
                      </m:den>
                    </m:f>
                  </m:oMath>
                </m:oMathPara>
              </w:p>
            </w:tc>
          </w:tr>
          <w:tr w:rsidR="003A1FEF" w:rsidRPr="003A1FEF" w14:paraId="6DB18C3D" w14:textId="77777777" w:rsidTr="00CC5CBC">
            <w:tc>
              <w:tcPr>
                <w:tcW w:w="4675" w:type="dxa"/>
                <w:vAlign w:val="center"/>
              </w:tcPr>
              <w:p w14:paraId="7F5DFF3F" w14:textId="77777777" w:rsidR="003A1FEF" w:rsidRPr="003A1FEF" w:rsidRDefault="003A1FEF" w:rsidP="00CC5CBC">
                <w:pPr>
                  <w:spacing w:after="160" w:line="360" w:lineRule="auto"/>
                  <w:jc w:val="center"/>
                  <w:rPr>
                    <w:rFonts w:ascii="Arial" w:hAnsi="Arial" w:cs="Arial"/>
                    <w:sz w:val="24"/>
                    <w:szCs w:val="24"/>
                    <w:lang w:val="en-US"/>
                  </w:rPr>
                </w:pPr>
                <w:r w:rsidRPr="003A1FEF">
                  <w:rPr>
                    <w:rFonts w:ascii="Arial" w:hAnsi="Arial" w:cs="Arial"/>
                    <w:sz w:val="24"/>
                    <w:szCs w:val="24"/>
                    <w:lang w:val="en-US"/>
                  </w:rPr>
                  <w:t>= 0.10</w:t>
                </w:r>
              </w:p>
            </w:tc>
            <w:tc>
              <w:tcPr>
                <w:tcW w:w="4675" w:type="dxa"/>
                <w:vAlign w:val="center"/>
              </w:tcPr>
              <w:p w14:paraId="541611B1" w14:textId="77777777" w:rsidR="003A1FEF" w:rsidRPr="003A1FEF" w:rsidRDefault="003A1FEF" w:rsidP="00CC5CBC">
                <w:pPr>
                  <w:spacing w:after="160" w:line="360" w:lineRule="auto"/>
                  <w:jc w:val="center"/>
                  <w:rPr>
                    <w:rFonts w:ascii="Arial" w:hAnsi="Arial" w:cs="Arial"/>
                    <w:sz w:val="24"/>
                    <w:szCs w:val="24"/>
                    <w:lang w:val="en-US"/>
                  </w:rPr>
                </w:pPr>
                <w:r w:rsidRPr="003A1FEF">
                  <w:rPr>
                    <w:rFonts w:ascii="Arial" w:hAnsi="Arial" w:cs="Arial"/>
                    <w:sz w:val="24"/>
                    <w:szCs w:val="24"/>
                    <w:lang w:val="en-US"/>
                  </w:rPr>
                  <w:t>= 0.11</w:t>
                </w:r>
              </w:p>
            </w:tc>
          </w:tr>
        </w:tbl>
        <w:p w14:paraId="4F5DF14D" w14:textId="77777777" w:rsidR="003A1FEF" w:rsidRPr="003A1FEF" w:rsidRDefault="003A1FEF" w:rsidP="003A1FEF">
          <w:pPr>
            <w:spacing w:line="360" w:lineRule="auto"/>
            <w:jc w:val="both"/>
            <w:rPr>
              <w:rFonts w:ascii="Arial" w:hAnsi="Arial" w:cs="Arial"/>
              <w:sz w:val="24"/>
              <w:szCs w:val="24"/>
              <w:lang w:val="en-US"/>
            </w:rPr>
          </w:pPr>
        </w:p>
        <w:p w14:paraId="61FEFB99"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The above statistics show the capital gearing ratio is poor. It has to be within 0.25 to 0.50.</w:t>
          </w:r>
        </w:p>
        <w:p w14:paraId="0E071A9D"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b/>
              <w:bCs/>
              <w:sz w:val="24"/>
              <w:szCs w:val="24"/>
              <w:lang w:val="en-US"/>
            </w:rPr>
            <w:t xml:space="preserve">Debt-to-total-assets ratio: </w:t>
          </w:r>
          <w:r w:rsidRPr="003A1FEF">
            <w:rPr>
              <w:rFonts w:ascii="Arial" w:hAnsi="Arial" w:cs="Arial"/>
              <w:sz w:val="24"/>
              <w:szCs w:val="24"/>
              <w:lang w:val="en-US"/>
            </w:rPr>
            <w:t>It is a representation of the ratio between total assets and total debt. To put it another way, it represents the entire amount of assets that are financed by debt. The greater the debt-to-total-assets ratio, the greater the risk associated with the venture. It is ideal to have a smaller ratio.</w:t>
          </w:r>
        </w:p>
        <w:p w14:paraId="4194C071"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Total debt, also known as external liabilities, comprises short- and long-term lines of credit from banking firms, institutions, debt instruments, securities, and other similar instruments. It is important to remember that if a query does not specifically state anything, they will only evaluate long-term lines of credit in such a situation.</w:t>
          </w:r>
        </w:p>
        <w:p w14:paraId="02A78CDD" w14:textId="2BE53276"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 xml:space="preserve">Debt to Total Asset Ratio = </w:t>
          </w:r>
          <m:oMath>
            <m:f>
              <m:fPr>
                <m:ctrlPr>
                  <w:rPr>
                    <w:rFonts w:ascii="Cambria Math" w:hAnsi="Cambria Math" w:cs="Arial"/>
                    <w:i/>
                    <w:sz w:val="24"/>
                    <w:szCs w:val="24"/>
                    <w:lang w:val="en-US"/>
                  </w:rPr>
                </m:ctrlPr>
              </m:fPr>
              <m:num>
                <m:r>
                  <w:rPr>
                    <w:rFonts w:ascii="Cambria Math" w:hAnsi="Cambria Math" w:cs="Arial"/>
                    <w:sz w:val="24"/>
                    <w:szCs w:val="24"/>
                    <w:lang w:val="en-US"/>
                  </w:rPr>
                  <m:t>Total Debt</m:t>
                </m:r>
              </m:num>
              <m:den>
                <m:r>
                  <w:rPr>
                    <w:rFonts w:ascii="Cambria Math" w:hAnsi="Cambria Math" w:cs="Arial"/>
                    <w:sz w:val="24"/>
                    <w:szCs w:val="24"/>
                    <w:lang w:val="en-US"/>
                  </w:rPr>
                  <m:t>Total Asset</m:t>
                </m:r>
              </m:den>
            </m:f>
          </m:oMath>
        </w:p>
        <w:p w14:paraId="70D3BDA5"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Explanation:</w:t>
          </w:r>
        </w:p>
        <w:tbl>
          <w:tblPr>
            <w:tblStyle w:val="TableGrid"/>
            <w:tblW w:w="0" w:type="auto"/>
            <w:tblLook w:val="04A0" w:firstRow="1" w:lastRow="0" w:firstColumn="1" w:lastColumn="0" w:noHBand="0" w:noVBand="1"/>
          </w:tblPr>
          <w:tblGrid>
            <w:gridCol w:w="4508"/>
            <w:gridCol w:w="4508"/>
          </w:tblGrid>
          <w:tr w:rsidR="003A1FEF" w:rsidRPr="003A1FEF" w14:paraId="0470BB91" w14:textId="77777777" w:rsidTr="00066AB0">
            <w:tc>
              <w:tcPr>
                <w:tcW w:w="4675" w:type="dxa"/>
                <w:vAlign w:val="center"/>
              </w:tcPr>
              <w:p w14:paraId="061F481A" w14:textId="77777777" w:rsidR="003A1FEF" w:rsidRPr="003A1FEF" w:rsidRDefault="003A1FEF" w:rsidP="00066AB0">
                <w:pPr>
                  <w:spacing w:after="160" w:line="360" w:lineRule="auto"/>
                  <w:jc w:val="center"/>
                  <w:rPr>
                    <w:rFonts w:ascii="Arial" w:hAnsi="Arial" w:cs="Arial"/>
                    <w:sz w:val="24"/>
                    <w:szCs w:val="24"/>
                    <w:lang w:val="en-US"/>
                  </w:rPr>
                </w:pPr>
                <w:r w:rsidRPr="003A1FEF">
                  <w:rPr>
                    <w:rFonts w:ascii="Arial" w:hAnsi="Arial" w:cs="Arial"/>
                    <w:sz w:val="24"/>
                    <w:szCs w:val="24"/>
                    <w:lang w:val="en-US"/>
                  </w:rPr>
                  <w:t>2020</w:t>
                </w:r>
              </w:p>
            </w:tc>
            <w:tc>
              <w:tcPr>
                <w:tcW w:w="4675" w:type="dxa"/>
                <w:vAlign w:val="center"/>
              </w:tcPr>
              <w:p w14:paraId="791DB9E0" w14:textId="77777777" w:rsidR="003A1FEF" w:rsidRPr="003A1FEF" w:rsidRDefault="003A1FEF" w:rsidP="00066AB0">
                <w:pPr>
                  <w:spacing w:after="160" w:line="360" w:lineRule="auto"/>
                  <w:jc w:val="center"/>
                  <w:rPr>
                    <w:rFonts w:ascii="Arial" w:hAnsi="Arial" w:cs="Arial"/>
                    <w:sz w:val="24"/>
                    <w:szCs w:val="24"/>
                    <w:lang w:val="en-US"/>
                  </w:rPr>
                </w:pPr>
                <w:r w:rsidRPr="003A1FEF">
                  <w:rPr>
                    <w:rFonts w:ascii="Arial" w:hAnsi="Arial" w:cs="Arial"/>
                    <w:sz w:val="24"/>
                    <w:szCs w:val="24"/>
                    <w:lang w:val="en-US"/>
                  </w:rPr>
                  <w:t>2019</w:t>
                </w:r>
              </w:p>
            </w:tc>
          </w:tr>
          <w:tr w:rsidR="003A1FEF" w:rsidRPr="003A1FEF" w14:paraId="3EAEAED6" w14:textId="77777777" w:rsidTr="00066AB0">
            <w:trPr>
              <w:trHeight w:val="980"/>
            </w:trPr>
            <w:tc>
              <w:tcPr>
                <w:tcW w:w="4675" w:type="dxa"/>
                <w:vAlign w:val="center"/>
              </w:tcPr>
              <w:p w14:paraId="73D86072" w14:textId="31AA3982" w:rsidR="003A1FEF" w:rsidRPr="003A1FEF" w:rsidRDefault="00CC5B90" w:rsidP="00066AB0">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145+1616</m:t>
                        </m:r>
                      </m:num>
                      <m:den>
                        <m:r>
                          <w:rPr>
                            <w:rFonts w:ascii="Cambria Math" w:hAnsi="Cambria Math" w:cs="Arial"/>
                            <w:sz w:val="24"/>
                            <w:szCs w:val="24"/>
                            <w:lang w:val="en-US"/>
                          </w:rPr>
                          <m:t>4650+1624</m:t>
                        </m:r>
                      </m:den>
                    </m:f>
                  </m:oMath>
                </m:oMathPara>
              </w:p>
            </w:tc>
            <w:tc>
              <w:tcPr>
                <w:tcW w:w="4675" w:type="dxa"/>
                <w:vAlign w:val="center"/>
              </w:tcPr>
              <w:p w14:paraId="4EF8ED26" w14:textId="1C0F2DD3" w:rsidR="003A1FEF" w:rsidRPr="003A1FEF" w:rsidRDefault="00CC5B90" w:rsidP="00066AB0">
                <w:pPr>
                  <w:spacing w:after="160" w:line="360" w:lineRule="auto"/>
                  <w:jc w:val="center"/>
                  <w:rPr>
                    <w:rFonts w:ascii="Arial" w:hAnsi="Arial" w:cs="Arial"/>
                    <w:sz w:val="24"/>
                    <w:szCs w:val="24"/>
                    <w:lang w:val="en-US"/>
                  </w:rPr>
                </w:pPr>
                <m:oMathPara>
                  <m:oMath>
                    <m:f>
                      <m:fPr>
                        <m:ctrlPr>
                          <w:rPr>
                            <w:rFonts w:ascii="Cambria Math" w:hAnsi="Cambria Math" w:cs="Arial"/>
                            <w:i/>
                            <w:sz w:val="24"/>
                            <w:szCs w:val="24"/>
                            <w:lang w:val="en-US"/>
                          </w:rPr>
                        </m:ctrlPr>
                      </m:fPr>
                      <m:num>
                        <m:r>
                          <w:rPr>
                            <w:rFonts w:ascii="Cambria Math" w:hAnsi="Cambria Math" w:cs="Arial"/>
                            <w:sz w:val="24"/>
                            <w:szCs w:val="24"/>
                            <w:lang w:val="en-US"/>
                          </w:rPr>
                          <m:t>150+1339</m:t>
                        </m:r>
                      </m:num>
                      <m:den>
                        <m:r>
                          <w:rPr>
                            <w:rFonts w:ascii="Cambria Math" w:hAnsi="Cambria Math" w:cs="Arial"/>
                            <w:sz w:val="24"/>
                            <w:szCs w:val="24"/>
                            <w:lang w:val="en-US"/>
                          </w:rPr>
                          <m:t>4500+1726</m:t>
                        </m:r>
                      </m:den>
                    </m:f>
                  </m:oMath>
                </m:oMathPara>
              </w:p>
            </w:tc>
          </w:tr>
          <w:tr w:rsidR="003A1FEF" w:rsidRPr="003A1FEF" w14:paraId="30C0F666" w14:textId="77777777" w:rsidTr="00066AB0">
            <w:tc>
              <w:tcPr>
                <w:tcW w:w="4675" w:type="dxa"/>
                <w:vAlign w:val="center"/>
              </w:tcPr>
              <w:p w14:paraId="4E760E06" w14:textId="77777777" w:rsidR="003A1FEF" w:rsidRPr="003A1FEF" w:rsidRDefault="003A1FEF" w:rsidP="00066AB0">
                <w:pPr>
                  <w:spacing w:after="160" w:line="360" w:lineRule="auto"/>
                  <w:jc w:val="center"/>
                  <w:rPr>
                    <w:rFonts w:ascii="Arial" w:hAnsi="Arial" w:cs="Arial"/>
                    <w:sz w:val="24"/>
                    <w:szCs w:val="24"/>
                    <w:lang w:val="en-US"/>
                  </w:rPr>
                </w:pPr>
                <w:r w:rsidRPr="003A1FEF">
                  <w:rPr>
                    <w:rFonts w:ascii="Arial" w:hAnsi="Arial" w:cs="Arial"/>
                    <w:sz w:val="24"/>
                    <w:szCs w:val="24"/>
                    <w:lang w:val="en-US"/>
                  </w:rPr>
                  <w:t>= 0.28</w:t>
                </w:r>
              </w:p>
            </w:tc>
            <w:tc>
              <w:tcPr>
                <w:tcW w:w="4675" w:type="dxa"/>
                <w:vAlign w:val="center"/>
              </w:tcPr>
              <w:p w14:paraId="2204E48F" w14:textId="77777777" w:rsidR="003A1FEF" w:rsidRPr="003A1FEF" w:rsidRDefault="003A1FEF" w:rsidP="00066AB0">
                <w:pPr>
                  <w:spacing w:after="160" w:line="360" w:lineRule="auto"/>
                  <w:jc w:val="center"/>
                  <w:rPr>
                    <w:rFonts w:ascii="Arial" w:hAnsi="Arial" w:cs="Arial"/>
                    <w:sz w:val="24"/>
                    <w:szCs w:val="24"/>
                    <w:lang w:val="en-US"/>
                  </w:rPr>
                </w:pPr>
                <w:r w:rsidRPr="003A1FEF">
                  <w:rPr>
                    <w:rFonts w:ascii="Arial" w:hAnsi="Arial" w:cs="Arial"/>
                    <w:sz w:val="24"/>
                    <w:szCs w:val="24"/>
                    <w:lang w:val="en-US"/>
                  </w:rPr>
                  <w:t>= 0.24</w:t>
                </w:r>
              </w:p>
            </w:tc>
          </w:tr>
        </w:tbl>
        <w:p w14:paraId="75B98696" w14:textId="77777777" w:rsidR="003A1FEF" w:rsidRPr="003A1FEF" w:rsidRDefault="003A1FEF" w:rsidP="003A1FEF">
          <w:pPr>
            <w:spacing w:line="360" w:lineRule="auto"/>
            <w:jc w:val="both"/>
            <w:rPr>
              <w:rFonts w:ascii="Arial" w:hAnsi="Arial" w:cs="Arial"/>
              <w:sz w:val="24"/>
              <w:szCs w:val="24"/>
              <w:lang w:val="en-US"/>
            </w:rPr>
          </w:pPr>
        </w:p>
        <w:p w14:paraId="696D1908" w14:textId="77777777" w:rsidR="003A1FEF" w:rsidRPr="003A1FEF" w:rsidRDefault="003A1FEF" w:rsidP="003A1FEF">
          <w:pPr>
            <w:spacing w:line="360" w:lineRule="auto"/>
            <w:jc w:val="both"/>
            <w:rPr>
              <w:rFonts w:ascii="Arial" w:hAnsi="Arial" w:cs="Arial"/>
              <w:sz w:val="24"/>
              <w:szCs w:val="24"/>
              <w:lang w:val="en-US"/>
            </w:rPr>
          </w:pPr>
          <w:r w:rsidRPr="003A1FEF">
            <w:rPr>
              <w:rFonts w:ascii="Arial" w:hAnsi="Arial" w:cs="Arial"/>
              <w:sz w:val="24"/>
              <w:szCs w:val="24"/>
              <w:lang w:val="en-US"/>
            </w:rPr>
            <w:t>Broadly speaking, a debt-to-equity ratio of 0.4 – 40% or less is regarded to be favourable. A debt-to-equity ratio greater than 0.6 is normally regarded to be a bad ratio, as it indicates that the company may not produce sufficient cash flow to pay its debts in the future. Here in both cases, it is below 0.4 which is very good.</w:t>
          </w:r>
        </w:p>
        <w:p w14:paraId="332EA7EA" w14:textId="20E7C403" w:rsidR="00974AE2" w:rsidRPr="00974AE2" w:rsidRDefault="00974AE2" w:rsidP="003A1FEF">
          <w:pPr>
            <w:spacing w:line="360" w:lineRule="auto"/>
            <w:jc w:val="both"/>
            <w:rPr>
              <w:rFonts w:ascii="Arial" w:hAnsi="Arial" w:cs="Arial"/>
              <w:sz w:val="24"/>
              <w:szCs w:val="24"/>
              <w:lang w:val="en-US"/>
            </w:rPr>
          </w:pPr>
        </w:p>
        <w:p w14:paraId="119E2727" w14:textId="68CE09C7" w:rsidR="00423051" w:rsidRDefault="00423051" w:rsidP="003A1FEF">
          <w:pPr>
            <w:spacing w:line="360" w:lineRule="auto"/>
            <w:jc w:val="both"/>
            <w:rPr>
              <w:rFonts w:ascii="Arial" w:hAnsi="Arial" w:cs="Arial"/>
              <w:sz w:val="24"/>
              <w:szCs w:val="24"/>
            </w:rPr>
          </w:pPr>
        </w:p>
        <w:p w14:paraId="34BB310F" w14:textId="77777777" w:rsidR="00423051" w:rsidRPr="002423BE" w:rsidRDefault="00423051" w:rsidP="003A1FEF">
          <w:pPr>
            <w:pStyle w:val="Heading1"/>
            <w:spacing w:line="360" w:lineRule="auto"/>
            <w:jc w:val="both"/>
            <w:rPr>
              <w:rFonts w:ascii="Arial" w:hAnsi="Arial" w:cs="Arial"/>
            </w:rPr>
          </w:pPr>
          <w:bookmarkStart w:id="8" w:name="_Toc95093806"/>
          <w:r w:rsidRPr="002423BE">
            <w:rPr>
              <w:rFonts w:ascii="Arial" w:hAnsi="Arial" w:cs="Arial"/>
            </w:rPr>
            <w:t>Financial Analysis Trends</w:t>
          </w:r>
          <w:bookmarkEnd w:id="8"/>
        </w:p>
        <w:p w14:paraId="0C55DBBA" w14:textId="77777777" w:rsidR="00423051" w:rsidRPr="002423BE" w:rsidRDefault="00423051" w:rsidP="003A1FEF">
          <w:pPr>
            <w:pStyle w:val="Heading2"/>
            <w:spacing w:line="360" w:lineRule="auto"/>
            <w:jc w:val="both"/>
            <w:rPr>
              <w:rFonts w:ascii="Arial" w:hAnsi="Arial" w:cs="Arial"/>
            </w:rPr>
          </w:pPr>
          <w:bookmarkStart w:id="9" w:name="_Toc95093807"/>
          <w:r w:rsidRPr="002423BE">
            <w:rPr>
              <w:rFonts w:ascii="Arial" w:hAnsi="Arial" w:cs="Arial"/>
            </w:rPr>
            <w:t>Profitability</w:t>
          </w:r>
          <w:bookmarkEnd w:id="9"/>
        </w:p>
        <w:p w14:paraId="54DB372D" w14:textId="1A9B0774" w:rsidR="00423051" w:rsidRDefault="00F0048C" w:rsidP="003A1FEF">
          <w:pPr>
            <w:spacing w:line="360" w:lineRule="auto"/>
            <w:jc w:val="both"/>
            <w:rPr>
              <w:rFonts w:ascii="Arial" w:hAnsi="Arial" w:cs="Arial"/>
              <w:sz w:val="24"/>
              <w:szCs w:val="24"/>
            </w:rPr>
          </w:pPr>
          <w:r>
            <w:rPr>
              <w:rFonts w:ascii="Arial" w:hAnsi="Arial" w:cs="Arial"/>
              <w:sz w:val="24"/>
              <w:szCs w:val="24"/>
            </w:rPr>
            <w:t>From the figure below the profitability factor of Jury’s Inn company is seeing its lowering in profit in 2020.</w:t>
          </w:r>
        </w:p>
        <w:tbl>
          <w:tblPr>
            <w:tblStyle w:val="TableGrid"/>
            <w:tblW w:w="0" w:type="auto"/>
            <w:tblLook w:val="04A0" w:firstRow="1" w:lastRow="0" w:firstColumn="1" w:lastColumn="0" w:noHBand="0" w:noVBand="1"/>
          </w:tblPr>
          <w:tblGrid>
            <w:gridCol w:w="3005"/>
            <w:gridCol w:w="3005"/>
            <w:gridCol w:w="3006"/>
          </w:tblGrid>
          <w:tr w:rsidR="008C34B0" w14:paraId="0EC4191C" w14:textId="77777777" w:rsidTr="008C34B0">
            <w:tc>
              <w:tcPr>
                <w:tcW w:w="3005" w:type="dxa"/>
              </w:tcPr>
              <w:p w14:paraId="484F40FF" w14:textId="4B7E8010" w:rsidR="008C34B0" w:rsidRDefault="00066AB0" w:rsidP="003A1FEF">
                <w:pPr>
                  <w:spacing w:line="360" w:lineRule="auto"/>
                  <w:jc w:val="both"/>
                  <w:rPr>
                    <w:rFonts w:ascii="Arial" w:hAnsi="Arial" w:cs="Arial"/>
                    <w:sz w:val="24"/>
                    <w:szCs w:val="24"/>
                  </w:rPr>
                </w:pPr>
                <w:r>
                  <w:rPr>
                    <w:rFonts w:ascii="Arial" w:hAnsi="Arial" w:cs="Arial"/>
                    <w:sz w:val="24"/>
                    <w:szCs w:val="24"/>
                  </w:rPr>
                  <w:t>Factors</w:t>
                </w:r>
              </w:p>
            </w:tc>
            <w:tc>
              <w:tcPr>
                <w:tcW w:w="3005" w:type="dxa"/>
              </w:tcPr>
              <w:p w14:paraId="237D59C5" w14:textId="341D838F" w:rsidR="008C34B0" w:rsidRDefault="009C5C51" w:rsidP="003A1FEF">
                <w:pPr>
                  <w:spacing w:line="360" w:lineRule="auto"/>
                  <w:jc w:val="both"/>
                  <w:rPr>
                    <w:rFonts w:ascii="Arial" w:hAnsi="Arial" w:cs="Arial"/>
                    <w:sz w:val="24"/>
                    <w:szCs w:val="24"/>
                  </w:rPr>
                </w:pPr>
                <w:r>
                  <w:rPr>
                    <w:rFonts w:ascii="Arial" w:hAnsi="Arial" w:cs="Arial"/>
                    <w:sz w:val="24"/>
                    <w:szCs w:val="24"/>
                  </w:rPr>
                  <w:t>Y</w:t>
                </w:r>
                <w:r w:rsidR="00066AB0">
                  <w:rPr>
                    <w:rFonts w:ascii="Arial" w:hAnsi="Arial" w:cs="Arial"/>
                    <w:sz w:val="24"/>
                    <w:szCs w:val="24"/>
                  </w:rPr>
                  <w:t>ear 2019</w:t>
                </w:r>
              </w:p>
            </w:tc>
            <w:tc>
              <w:tcPr>
                <w:tcW w:w="3006" w:type="dxa"/>
              </w:tcPr>
              <w:p w14:paraId="1AE999F5" w14:textId="7FE63339" w:rsidR="008C34B0" w:rsidRDefault="00066AB0" w:rsidP="003A1FEF">
                <w:pPr>
                  <w:spacing w:line="360" w:lineRule="auto"/>
                  <w:jc w:val="both"/>
                  <w:rPr>
                    <w:rFonts w:ascii="Arial" w:hAnsi="Arial" w:cs="Arial"/>
                    <w:sz w:val="24"/>
                    <w:szCs w:val="24"/>
                  </w:rPr>
                </w:pPr>
                <w:r>
                  <w:rPr>
                    <w:rFonts w:ascii="Arial" w:hAnsi="Arial" w:cs="Arial"/>
                    <w:sz w:val="24"/>
                    <w:szCs w:val="24"/>
                  </w:rPr>
                  <w:t>Y</w:t>
                </w:r>
                <w:r w:rsidR="009C5C51">
                  <w:rPr>
                    <w:rFonts w:ascii="Arial" w:hAnsi="Arial" w:cs="Arial"/>
                    <w:sz w:val="24"/>
                    <w:szCs w:val="24"/>
                  </w:rPr>
                  <w:t>ea</w:t>
                </w:r>
                <w:r>
                  <w:rPr>
                    <w:rFonts w:ascii="Arial" w:hAnsi="Arial" w:cs="Arial"/>
                    <w:sz w:val="24"/>
                    <w:szCs w:val="24"/>
                  </w:rPr>
                  <w:t>r 2020</w:t>
                </w:r>
              </w:p>
            </w:tc>
          </w:tr>
          <w:tr w:rsidR="008C34B0" w14:paraId="19E21777" w14:textId="77777777" w:rsidTr="008C34B0">
            <w:tc>
              <w:tcPr>
                <w:tcW w:w="3005" w:type="dxa"/>
              </w:tcPr>
              <w:p w14:paraId="1403F721" w14:textId="2F38A382" w:rsidR="008C34B0" w:rsidRDefault="00066AB0" w:rsidP="003A1FEF">
                <w:pPr>
                  <w:spacing w:line="360" w:lineRule="auto"/>
                  <w:jc w:val="both"/>
                  <w:rPr>
                    <w:rFonts w:ascii="Arial" w:hAnsi="Arial" w:cs="Arial"/>
                    <w:sz w:val="24"/>
                    <w:szCs w:val="24"/>
                  </w:rPr>
                </w:pPr>
                <w:r>
                  <w:rPr>
                    <w:rFonts w:ascii="Arial" w:hAnsi="Arial" w:cs="Arial"/>
                    <w:sz w:val="24"/>
                    <w:szCs w:val="24"/>
                  </w:rPr>
                  <w:t>Gross Profit Ratio</w:t>
                </w:r>
              </w:p>
            </w:tc>
            <w:tc>
              <w:tcPr>
                <w:tcW w:w="3005" w:type="dxa"/>
              </w:tcPr>
              <w:p w14:paraId="772C6A0D" w14:textId="70D4EEB0" w:rsidR="008C34B0" w:rsidRDefault="00066AB0" w:rsidP="003A1FEF">
                <w:pPr>
                  <w:spacing w:line="360" w:lineRule="auto"/>
                  <w:jc w:val="both"/>
                  <w:rPr>
                    <w:rFonts w:ascii="Arial" w:hAnsi="Arial" w:cs="Arial"/>
                    <w:sz w:val="24"/>
                    <w:szCs w:val="24"/>
                  </w:rPr>
                </w:pPr>
                <w:r>
                  <w:rPr>
                    <w:rFonts w:ascii="Arial" w:hAnsi="Arial" w:cs="Arial"/>
                    <w:sz w:val="24"/>
                    <w:szCs w:val="24"/>
                  </w:rPr>
                  <w:t>91.81%</w:t>
                </w:r>
              </w:p>
            </w:tc>
            <w:tc>
              <w:tcPr>
                <w:tcW w:w="3006" w:type="dxa"/>
              </w:tcPr>
              <w:p w14:paraId="7DED7658" w14:textId="0E2621BB" w:rsidR="008C34B0" w:rsidRDefault="00066AB0" w:rsidP="003A1FEF">
                <w:pPr>
                  <w:spacing w:line="360" w:lineRule="auto"/>
                  <w:jc w:val="both"/>
                  <w:rPr>
                    <w:rFonts w:ascii="Arial" w:hAnsi="Arial" w:cs="Arial"/>
                    <w:sz w:val="24"/>
                    <w:szCs w:val="24"/>
                  </w:rPr>
                </w:pPr>
                <w:r>
                  <w:rPr>
                    <w:rFonts w:ascii="Arial" w:hAnsi="Arial" w:cs="Arial"/>
                    <w:sz w:val="24"/>
                    <w:szCs w:val="24"/>
                  </w:rPr>
                  <w:t>85.83%</w:t>
                </w:r>
              </w:p>
            </w:tc>
          </w:tr>
          <w:tr w:rsidR="008C34B0" w14:paraId="6A4A3693" w14:textId="77777777" w:rsidTr="008C34B0">
            <w:tc>
              <w:tcPr>
                <w:tcW w:w="3005" w:type="dxa"/>
              </w:tcPr>
              <w:p w14:paraId="11AAEFB3" w14:textId="78256989" w:rsidR="008C34B0" w:rsidRDefault="00066AB0" w:rsidP="003A1FEF">
                <w:pPr>
                  <w:spacing w:line="360" w:lineRule="auto"/>
                  <w:jc w:val="both"/>
                  <w:rPr>
                    <w:rFonts w:ascii="Arial" w:hAnsi="Arial" w:cs="Arial"/>
                    <w:sz w:val="24"/>
                    <w:szCs w:val="24"/>
                  </w:rPr>
                </w:pPr>
                <w:r>
                  <w:rPr>
                    <w:rFonts w:ascii="Arial" w:hAnsi="Arial" w:cs="Arial"/>
                    <w:sz w:val="24"/>
                    <w:szCs w:val="24"/>
                  </w:rPr>
                  <w:t>Net Profit Ratio</w:t>
                </w:r>
              </w:p>
            </w:tc>
            <w:tc>
              <w:tcPr>
                <w:tcW w:w="3005" w:type="dxa"/>
              </w:tcPr>
              <w:p w14:paraId="65BA53BB" w14:textId="437E4965" w:rsidR="008C34B0" w:rsidRDefault="00066AB0" w:rsidP="003A1FEF">
                <w:pPr>
                  <w:spacing w:line="360" w:lineRule="auto"/>
                  <w:jc w:val="both"/>
                  <w:rPr>
                    <w:rFonts w:ascii="Arial" w:hAnsi="Arial" w:cs="Arial"/>
                    <w:sz w:val="24"/>
                    <w:szCs w:val="24"/>
                  </w:rPr>
                </w:pPr>
                <w:r>
                  <w:rPr>
                    <w:rFonts w:ascii="Arial" w:hAnsi="Arial" w:cs="Arial"/>
                    <w:sz w:val="24"/>
                    <w:szCs w:val="24"/>
                  </w:rPr>
                  <w:t>72.87%</w:t>
                </w:r>
              </w:p>
            </w:tc>
            <w:tc>
              <w:tcPr>
                <w:tcW w:w="3006" w:type="dxa"/>
              </w:tcPr>
              <w:p w14:paraId="382B257E" w14:textId="6CF56831" w:rsidR="008C34B0" w:rsidRDefault="00066AB0" w:rsidP="003A1FEF">
                <w:pPr>
                  <w:spacing w:line="360" w:lineRule="auto"/>
                  <w:jc w:val="both"/>
                  <w:rPr>
                    <w:rFonts w:ascii="Arial" w:hAnsi="Arial" w:cs="Arial"/>
                    <w:sz w:val="24"/>
                    <w:szCs w:val="24"/>
                  </w:rPr>
                </w:pPr>
                <w:r>
                  <w:rPr>
                    <w:rFonts w:ascii="Arial" w:hAnsi="Arial" w:cs="Arial"/>
                    <w:sz w:val="24"/>
                    <w:szCs w:val="24"/>
                  </w:rPr>
                  <w:t>68.88%</w:t>
                </w:r>
              </w:p>
            </w:tc>
          </w:tr>
        </w:tbl>
        <w:p w14:paraId="37F5E656" w14:textId="1BA09068" w:rsidR="00713F45" w:rsidRDefault="00713F45" w:rsidP="003A1FEF">
          <w:pPr>
            <w:spacing w:line="360" w:lineRule="auto"/>
            <w:jc w:val="both"/>
            <w:rPr>
              <w:rFonts w:ascii="Arial" w:hAnsi="Arial" w:cs="Arial"/>
              <w:sz w:val="24"/>
              <w:szCs w:val="24"/>
            </w:rPr>
          </w:pPr>
        </w:p>
        <w:p w14:paraId="6D8BAA80" w14:textId="08095314" w:rsidR="00031628" w:rsidRPr="003676AF" w:rsidRDefault="00934C24" w:rsidP="003A1FEF">
          <w:pPr>
            <w:spacing w:line="360" w:lineRule="auto"/>
            <w:jc w:val="both"/>
            <w:rPr>
              <w:rFonts w:ascii="Arial" w:hAnsi="Arial" w:cs="Arial"/>
              <w:sz w:val="24"/>
              <w:szCs w:val="24"/>
            </w:rPr>
          </w:pPr>
          <w:r>
            <w:rPr>
              <w:rFonts w:ascii="Arial" w:hAnsi="Arial" w:cs="Arial"/>
              <w:sz w:val="24"/>
              <w:szCs w:val="24"/>
            </w:rPr>
            <w:t xml:space="preserve">. </w:t>
          </w:r>
          <w:r w:rsidR="0025419A">
            <w:rPr>
              <w:rFonts w:ascii="Arial" w:hAnsi="Arial" w:cs="Arial"/>
              <w:sz w:val="24"/>
              <w:szCs w:val="24"/>
            </w:rPr>
            <w:t xml:space="preserve"> </w:t>
          </w:r>
          <w:r w:rsidR="001F4D9B">
            <w:rPr>
              <w:rFonts w:ascii="Arial" w:hAnsi="Arial" w:cs="Arial"/>
              <w:sz w:val="24"/>
              <w:szCs w:val="24"/>
            </w:rPr>
            <w:t xml:space="preserve"> </w:t>
          </w:r>
        </w:p>
        <w:p w14:paraId="3A57CAFB" w14:textId="77777777" w:rsidR="007523A4" w:rsidRPr="002423BE" w:rsidRDefault="007523A4" w:rsidP="003A1FEF">
          <w:pPr>
            <w:pStyle w:val="Heading2"/>
            <w:spacing w:line="360" w:lineRule="auto"/>
            <w:jc w:val="both"/>
            <w:rPr>
              <w:rFonts w:ascii="Arial" w:hAnsi="Arial" w:cs="Arial"/>
            </w:rPr>
          </w:pPr>
          <w:bookmarkStart w:id="10" w:name="_Toc95093808"/>
          <w:r w:rsidRPr="002423BE">
            <w:rPr>
              <w:rFonts w:ascii="Arial" w:hAnsi="Arial" w:cs="Arial"/>
            </w:rPr>
            <w:t>Liquidity</w:t>
          </w:r>
          <w:bookmarkEnd w:id="10"/>
        </w:p>
        <w:p w14:paraId="5512D281" w14:textId="6D01F4A6" w:rsidR="007523A4" w:rsidRDefault="00F0048C" w:rsidP="003A1FEF">
          <w:pPr>
            <w:spacing w:line="360" w:lineRule="auto"/>
            <w:jc w:val="both"/>
            <w:rPr>
              <w:rFonts w:ascii="Arial" w:hAnsi="Arial" w:cs="Arial"/>
              <w:sz w:val="24"/>
              <w:szCs w:val="24"/>
            </w:rPr>
          </w:pPr>
          <w:r>
            <w:rPr>
              <w:rFonts w:ascii="Arial" w:hAnsi="Arial" w:cs="Arial"/>
              <w:sz w:val="24"/>
              <w:szCs w:val="24"/>
            </w:rPr>
            <w:t xml:space="preserve">From the viewpoint of quickly diverting assets into cash, </w:t>
          </w:r>
          <w:r w:rsidR="009C5C51">
            <w:rPr>
              <w:rFonts w:ascii="Arial" w:hAnsi="Arial" w:cs="Arial"/>
              <w:sz w:val="24"/>
              <w:szCs w:val="24"/>
            </w:rPr>
            <w:t xml:space="preserve">the </w:t>
          </w:r>
          <w:r>
            <w:rPr>
              <w:rFonts w:ascii="Arial" w:hAnsi="Arial" w:cs="Arial"/>
              <w:sz w:val="24"/>
              <w:szCs w:val="24"/>
            </w:rPr>
            <w:t>year 2020 is providing bad results</w:t>
          </w:r>
          <w:r w:rsidR="00F91D2B">
            <w:rPr>
              <w:rFonts w:ascii="Arial" w:hAnsi="Arial" w:cs="Arial"/>
              <w:sz w:val="24"/>
              <w:szCs w:val="24"/>
            </w:rPr>
            <w:t>.</w:t>
          </w:r>
          <w:r w:rsidR="009C5C51">
            <w:rPr>
              <w:rFonts w:ascii="Arial" w:hAnsi="Arial" w:cs="Arial"/>
              <w:sz w:val="24"/>
              <w:szCs w:val="24"/>
            </w:rPr>
            <w:t xml:space="preserve"> </w:t>
          </w:r>
          <w:r>
            <w:rPr>
              <w:rFonts w:ascii="Arial" w:hAnsi="Arial" w:cs="Arial"/>
              <w:sz w:val="24"/>
              <w:szCs w:val="24"/>
            </w:rPr>
            <w:t>The net working capital has also decreased in the same year.</w:t>
          </w:r>
        </w:p>
        <w:tbl>
          <w:tblPr>
            <w:tblStyle w:val="TableGrid"/>
            <w:tblW w:w="0" w:type="auto"/>
            <w:tblLook w:val="04A0" w:firstRow="1" w:lastRow="0" w:firstColumn="1" w:lastColumn="0" w:noHBand="0" w:noVBand="1"/>
          </w:tblPr>
          <w:tblGrid>
            <w:gridCol w:w="3005"/>
            <w:gridCol w:w="3005"/>
            <w:gridCol w:w="3006"/>
          </w:tblGrid>
          <w:tr w:rsidR="00066AB0" w14:paraId="4F3689B3" w14:textId="77777777" w:rsidTr="00F35325">
            <w:tc>
              <w:tcPr>
                <w:tcW w:w="3005" w:type="dxa"/>
              </w:tcPr>
              <w:p w14:paraId="1F954C29" w14:textId="77777777" w:rsidR="00066AB0" w:rsidRDefault="00066AB0" w:rsidP="00F35325">
                <w:pPr>
                  <w:spacing w:line="360" w:lineRule="auto"/>
                  <w:jc w:val="both"/>
                  <w:rPr>
                    <w:rFonts w:ascii="Arial" w:hAnsi="Arial" w:cs="Arial"/>
                    <w:sz w:val="24"/>
                    <w:szCs w:val="24"/>
                  </w:rPr>
                </w:pPr>
                <w:r>
                  <w:rPr>
                    <w:rFonts w:ascii="Arial" w:hAnsi="Arial" w:cs="Arial"/>
                    <w:sz w:val="24"/>
                    <w:szCs w:val="24"/>
                  </w:rPr>
                  <w:t>Factors</w:t>
                </w:r>
              </w:p>
            </w:tc>
            <w:tc>
              <w:tcPr>
                <w:tcW w:w="3005" w:type="dxa"/>
              </w:tcPr>
              <w:p w14:paraId="3D9795CA" w14:textId="77777777" w:rsidR="00066AB0" w:rsidRDefault="00066AB0" w:rsidP="00F35325">
                <w:pPr>
                  <w:spacing w:line="360" w:lineRule="auto"/>
                  <w:jc w:val="both"/>
                  <w:rPr>
                    <w:rFonts w:ascii="Arial" w:hAnsi="Arial" w:cs="Arial"/>
                    <w:sz w:val="24"/>
                    <w:szCs w:val="24"/>
                  </w:rPr>
                </w:pPr>
                <w:r>
                  <w:rPr>
                    <w:rFonts w:ascii="Arial" w:hAnsi="Arial" w:cs="Arial"/>
                    <w:sz w:val="24"/>
                    <w:szCs w:val="24"/>
                  </w:rPr>
                  <w:t>Year 2019</w:t>
                </w:r>
              </w:p>
            </w:tc>
            <w:tc>
              <w:tcPr>
                <w:tcW w:w="3006" w:type="dxa"/>
              </w:tcPr>
              <w:p w14:paraId="7B5A3880" w14:textId="77777777" w:rsidR="00066AB0" w:rsidRDefault="00066AB0" w:rsidP="00F35325">
                <w:pPr>
                  <w:spacing w:line="360" w:lineRule="auto"/>
                  <w:jc w:val="both"/>
                  <w:rPr>
                    <w:rFonts w:ascii="Arial" w:hAnsi="Arial" w:cs="Arial"/>
                    <w:sz w:val="24"/>
                    <w:szCs w:val="24"/>
                  </w:rPr>
                </w:pPr>
                <w:r>
                  <w:rPr>
                    <w:rFonts w:ascii="Arial" w:hAnsi="Arial" w:cs="Arial"/>
                    <w:sz w:val="24"/>
                    <w:szCs w:val="24"/>
                  </w:rPr>
                  <w:t>Yaer 2020</w:t>
                </w:r>
              </w:p>
            </w:tc>
          </w:tr>
          <w:tr w:rsidR="00066AB0" w14:paraId="58FE6A5B" w14:textId="77777777" w:rsidTr="00F35325">
            <w:tc>
              <w:tcPr>
                <w:tcW w:w="3005" w:type="dxa"/>
              </w:tcPr>
              <w:p w14:paraId="7A4D73F6" w14:textId="7EE4DCC1" w:rsidR="00066AB0" w:rsidRDefault="00066AB0" w:rsidP="00F35325">
                <w:pPr>
                  <w:spacing w:line="360" w:lineRule="auto"/>
                  <w:jc w:val="both"/>
                  <w:rPr>
                    <w:rFonts w:ascii="Arial" w:hAnsi="Arial" w:cs="Arial"/>
                    <w:sz w:val="24"/>
                    <w:szCs w:val="24"/>
                  </w:rPr>
                </w:pPr>
                <w:r>
                  <w:rPr>
                    <w:rFonts w:ascii="Arial" w:hAnsi="Arial" w:cs="Arial"/>
                    <w:sz w:val="24"/>
                    <w:szCs w:val="24"/>
                  </w:rPr>
                  <w:t>Current Ratio</w:t>
                </w:r>
              </w:p>
            </w:tc>
            <w:tc>
              <w:tcPr>
                <w:tcW w:w="3005" w:type="dxa"/>
              </w:tcPr>
              <w:p w14:paraId="08669FB4" w14:textId="11676105" w:rsidR="00066AB0" w:rsidRDefault="00066AB0" w:rsidP="00F35325">
                <w:pPr>
                  <w:spacing w:line="360" w:lineRule="auto"/>
                  <w:jc w:val="both"/>
                  <w:rPr>
                    <w:rFonts w:ascii="Arial" w:hAnsi="Arial" w:cs="Arial"/>
                    <w:sz w:val="24"/>
                    <w:szCs w:val="24"/>
                  </w:rPr>
                </w:pPr>
                <w:r>
                  <w:rPr>
                    <w:rFonts w:ascii="Arial" w:hAnsi="Arial" w:cs="Arial"/>
                    <w:sz w:val="24"/>
                    <w:szCs w:val="24"/>
                  </w:rPr>
                  <w:t>2.28</w:t>
                </w:r>
              </w:p>
            </w:tc>
            <w:tc>
              <w:tcPr>
                <w:tcW w:w="3006" w:type="dxa"/>
              </w:tcPr>
              <w:p w14:paraId="64096F44" w14:textId="3F990A3D" w:rsidR="00066AB0" w:rsidRDefault="00066AB0" w:rsidP="00F35325">
                <w:pPr>
                  <w:spacing w:line="360" w:lineRule="auto"/>
                  <w:jc w:val="both"/>
                  <w:rPr>
                    <w:rFonts w:ascii="Arial" w:hAnsi="Arial" w:cs="Arial"/>
                    <w:sz w:val="24"/>
                    <w:szCs w:val="24"/>
                  </w:rPr>
                </w:pPr>
                <w:r>
                  <w:rPr>
                    <w:rFonts w:ascii="Arial" w:hAnsi="Arial" w:cs="Arial"/>
                    <w:sz w:val="24"/>
                    <w:szCs w:val="24"/>
                  </w:rPr>
                  <w:t>2.004</w:t>
                </w:r>
              </w:p>
            </w:tc>
          </w:tr>
          <w:tr w:rsidR="00066AB0" w14:paraId="0BF17648" w14:textId="77777777" w:rsidTr="00F35325">
            <w:tc>
              <w:tcPr>
                <w:tcW w:w="3005" w:type="dxa"/>
              </w:tcPr>
              <w:p w14:paraId="3342F90E" w14:textId="3304B869" w:rsidR="00066AB0" w:rsidRDefault="00066AB0" w:rsidP="00F35325">
                <w:pPr>
                  <w:spacing w:line="360" w:lineRule="auto"/>
                  <w:jc w:val="both"/>
                  <w:rPr>
                    <w:rFonts w:ascii="Arial" w:hAnsi="Arial" w:cs="Arial"/>
                    <w:sz w:val="24"/>
                    <w:szCs w:val="24"/>
                  </w:rPr>
                </w:pPr>
                <w:r>
                  <w:rPr>
                    <w:rFonts w:ascii="Arial" w:hAnsi="Arial" w:cs="Arial"/>
                    <w:sz w:val="24"/>
                    <w:szCs w:val="24"/>
                  </w:rPr>
                  <w:t>Net Working Capital</w:t>
                </w:r>
              </w:p>
            </w:tc>
            <w:tc>
              <w:tcPr>
                <w:tcW w:w="3005" w:type="dxa"/>
              </w:tcPr>
              <w:p w14:paraId="2B595951" w14:textId="5EFFBB2F" w:rsidR="00066AB0" w:rsidRDefault="00066AB0" w:rsidP="00F35325">
                <w:pPr>
                  <w:spacing w:line="360" w:lineRule="auto"/>
                  <w:jc w:val="both"/>
                  <w:rPr>
                    <w:rFonts w:ascii="Arial" w:hAnsi="Arial" w:cs="Arial"/>
                    <w:sz w:val="24"/>
                    <w:szCs w:val="24"/>
                  </w:rPr>
                </w:pPr>
                <w:r w:rsidRPr="00066AB0">
                  <w:rPr>
                    <w:rFonts w:ascii="Arial" w:hAnsi="Arial" w:cs="Arial"/>
                    <w:sz w:val="24"/>
                    <w:szCs w:val="24"/>
                  </w:rPr>
                  <w:t>£</w:t>
                </w:r>
                <w:r>
                  <w:rPr>
                    <w:rFonts w:ascii="Arial" w:hAnsi="Arial" w:cs="Arial"/>
                    <w:sz w:val="24"/>
                    <w:szCs w:val="24"/>
                  </w:rPr>
                  <w:t>1,726</w:t>
                </w:r>
              </w:p>
            </w:tc>
            <w:tc>
              <w:tcPr>
                <w:tcW w:w="3006" w:type="dxa"/>
              </w:tcPr>
              <w:p w14:paraId="1DC439FE" w14:textId="73D85BC2" w:rsidR="00066AB0" w:rsidRDefault="00066AB0" w:rsidP="00F35325">
                <w:pPr>
                  <w:spacing w:line="360" w:lineRule="auto"/>
                  <w:jc w:val="both"/>
                  <w:rPr>
                    <w:rFonts w:ascii="Arial" w:hAnsi="Arial" w:cs="Arial"/>
                    <w:sz w:val="24"/>
                    <w:szCs w:val="24"/>
                  </w:rPr>
                </w:pPr>
                <w:r w:rsidRPr="00066AB0">
                  <w:rPr>
                    <w:rFonts w:ascii="Arial" w:hAnsi="Arial" w:cs="Arial"/>
                    <w:sz w:val="24"/>
                    <w:szCs w:val="24"/>
                  </w:rPr>
                  <w:t>£</w:t>
                </w:r>
                <w:r>
                  <w:rPr>
                    <w:rFonts w:ascii="Arial" w:hAnsi="Arial" w:cs="Arial"/>
                    <w:sz w:val="24"/>
                    <w:szCs w:val="24"/>
                  </w:rPr>
                  <w:t>1,624</w:t>
                </w:r>
              </w:p>
            </w:tc>
          </w:tr>
        </w:tbl>
        <w:p w14:paraId="6DA37978" w14:textId="77777777" w:rsidR="00066AB0" w:rsidRDefault="00066AB0" w:rsidP="003A1FEF">
          <w:pPr>
            <w:spacing w:line="360" w:lineRule="auto"/>
            <w:jc w:val="both"/>
            <w:rPr>
              <w:rFonts w:ascii="Arial" w:hAnsi="Arial" w:cs="Arial"/>
              <w:sz w:val="24"/>
              <w:szCs w:val="24"/>
            </w:rPr>
          </w:pPr>
        </w:p>
        <w:p w14:paraId="4E22781A" w14:textId="77777777" w:rsidR="007523A4" w:rsidRPr="002423BE" w:rsidRDefault="007523A4" w:rsidP="003A1FEF">
          <w:pPr>
            <w:pStyle w:val="Heading2"/>
            <w:spacing w:line="360" w:lineRule="auto"/>
            <w:jc w:val="both"/>
            <w:rPr>
              <w:rFonts w:ascii="Arial" w:hAnsi="Arial" w:cs="Arial"/>
            </w:rPr>
          </w:pPr>
          <w:bookmarkStart w:id="11" w:name="_Toc95093809"/>
          <w:r w:rsidRPr="002423BE">
            <w:rPr>
              <w:rFonts w:ascii="Arial" w:hAnsi="Arial" w:cs="Arial"/>
            </w:rPr>
            <w:t>Gearing</w:t>
          </w:r>
          <w:bookmarkEnd w:id="11"/>
        </w:p>
        <w:p w14:paraId="7BDE5C63" w14:textId="1194BB64" w:rsidR="00A05B6E" w:rsidRDefault="00F0048C" w:rsidP="00066AB0">
          <w:pPr>
            <w:spacing w:line="360" w:lineRule="auto"/>
            <w:jc w:val="both"/>
            <w:rPr>
              <w:rFonts w:ascii="Arial" w:hAnsi="Arial" w:cs="Arial"/>
              <w:sz w:val="24"/>
              <w:szCs w:val="24"/>
            </w:rPr>
          </w:pPr>
          <w:r>
            <w:rPr>
              <w:rFonts w:ascii="Arial" w:hAnsi="Arial" w:cs="Arial"/>
              <w:sz w:val="24"/>
              <w:szCs w:val="24"/>
            </w:rPr>
            <w:t xml:space="preserve">The amount of debt to </w:t>
          </w:r>
          <w:r w:rsidR="009C5C51">
            <w:rPr>
              <w:rFonts w:ascii="Arial" w:hAnsi="Arial" w:cs="Arial"/>
              <w:sz w:val="24"/>
              <w:szCs w:val="24"/>
            </w:rPr>
            <w:t xml:space="preserve">be </w:t>
          </w:r>
          <w:r>
            <w:rPr>
              <w:rFonts w:ascii="Arial" w:hAnsi="Arial" w:cs="Arial"/>
              <w:sz w:val="24"/>
              <w:szCs w:val="24"/>
            </w:rPr>
            <w:t>p</w:t>
          </w:r>
          <w:r w:rsidR="009C5C51">
            <w:rPr>
              <w:rFonts w:ascii="Arial" w:hAnsi="Arial" w:cs="Arial"/>
              <w:sz w:val="24"/>
              <w:szCs w:val="24"/>
            </w:rPr>
            <w:t>ai</w:t>
          </w:r>
          <w:r>
            <w:rPr>
              <w:rFonts w:ascii="Arial" w:hAnsi="Arial" w:cs="Arial"/>
              <w:sz w:val="24"/>
              <w:szCs w:val="24"/>
            </w:rPr>
            <w:t>d has b</w:t>
          </w:r>
          <w:r w:rsidR="009C5C51">
            <w:rPr>
              <w:rFonts w:ascii="Arial" w:hAnsi="Arial" w:cs="Arial"/>
              <w:sz w:val="24"/>
              <w:szCs w:val="24"/>
            </w:rPr>
            <w:t>e</w:t>
          </w:r>
          <w:r>
            <w:rPr>
              <w:rFonts w:ascii="Arial" w:hAnsi="Arial" w:cs="Arial"/>
              <w:sz w:val="24"/>
              <w:szCs w:val="24"/>
            </w:rPr>
            <w:t xml:space="preserve">en increased in 2020 and </w:t>
          </w:r>
          <w:r w:rsidR="009C5C51">
            <w:rPr>
              <w:rFonts w:ascii="Arial" w:hAnsi="Arial" w:cs="Arial"/>
              <w:sz w:val="24"/>
              <w:szCs w:val="24"/>
            </w:rPr>
            <w:t xml:space="preserve">the </w:t>
          </w:r>
          <w:r>
            <w:rPr>
              <w:rFonts w:ascii="Arial" w:hAnsi="Arial" w:cs="Arial"/>
              <w:sz w:val="24"/>
              <w:szCs w:val="24"/>
            </w:rPr>
            <w:t>capital gearing ratio has also decre</w:t>
          </w:r>
          <w:r w:rsidR="009C5C51">
            <w:rPr>
              <w:rFonts w:ascii="Arial" w:hAnsi="Arial" w:cs="Arial"/>
              <w:sz w:val="24"/>
              <w:szCs w:val="24"/>
            </w:rPr>
            <w:t>a</w:t>
          </w:r>
          <w:r>
            <w:rPr>
              <w:rFonts w:ascii="Arial" w:hAnsi="Arial" w:cs="Arial"/>
              <w:sz w:val="24"/>
              <w:szCs w:val="24"/>
            </w:rPr>
            <w:t>sed</w:t>
          </w:r>
          <w:r w:rsidR="00F91D2B">
            <w:rPr>
              <w:rFonts w:ascii="Arial" w:hAnsi="Arial" w:cs="Arial"/>
              <w:sz w:val="24"/>
              <w:szCs w:val="24"/>
            </w:rPr>
            <w:t xml:space="preserve">. </w:t>
          </w:r>
          <w:r w:rsidR="00EE7183">
            <w:rPr>
              <w:rFonts w:ascii="Arial" w:hAnsi="Arial" w:cs="Arial"/>
              <w:sz w:val="24"/>
              <w:szCs w:val="24"/>
            </w:rPr>
            <w:t xml:space="preserve"> </w:t>
          </w:r>
          <w:r w:rsidR="00A8270C">
            <w:rPr>
              <w:rFonts w:ascii="Arial" w:hAnsi="Arial" w:cs="Arial"/>
              <w:sz w:val="24"/>
              <w:szCs w:val="24"/>
            </w:rPr>
            <w:t xml:space="preserve"> </w:t>
          </w:r>
          <w:r w:rsidR="00193E33">
            <w:rPr>
              <w:rFonts w:ascii="Arial" w:hAnsi="Arial" w:cs="Arial"/>
              <w:sz w:val="24"/>
              <w:szCs w:val="24"/>
            </w:rPr>
            <w:t xml:space="preserve"> </w:t>
          </w:r>
        </w:p>
        <w:tbl>
          <w:tblPr>
            <w:tblStyle w:val="TableGrid"/>
            <w:tblW w:w="0" w:type="auto"/>
            <w:tblLook w:val="04A0" w:firstRow="1" w:lastRow="0" w:firstColumn="1" w:lastColumn="0" w:noHBand="0" w:noVBand="1"/>
          </w:tblPr>
          <w:tblGrid>
            <w:gridCol w:w="3005"/>
            <w:gridCol w:w="3005"/>
            <w:gridCol w:w="3006"/>
          </w:tblGrid>
          <w:tr w:rsidR="00066AB0" w14:paraId="3DE71ED8" w14:textId="77777777" w:rsidTr="00F35325">
            <w:tc>
              <w:tcPr>
                <w:tcW w:w="3005" w:type="dxa"/>
              </w:tcPr>
              <w:p w14:paraId="1CBE753C" w14:textId="77777777" w:rsidR="00066AB0" w:rsidRDefault="00066AB0" w:rsidP="00F35325">
                <w:pPr>
                  <w:spacing w:line="360" w:lineRule="auto"/>
                  <w:jc w:val="both"/>
                  <w:rPr>
                    <w:rFonts w:ascii="Arial" w:hAnsi="Arial" w:cs="Arial"/>
                    <w:sz w:val="24"/>
                    <w:szCs w:val="24"/>
                  </w:rPr>
                </w:pPr>
                <w:r>
                  <w:rPr>
                    <w:rFonts w:ascii="Arial" w:hAnsi="Arial" w:cs="Arial"/>
                    <w:sz w:val="24"/>
                    <w:szCs w:val="24"/>
                  </w:rPr>
                  <w:t>Factors</w:t>
                </w:r>
              </w:p>
            </w:tc>
            <w:tc>
              <w:tcPr>
                <w:tcW w:w="3005" w:type="dxa"/>
              </w:tcPr>
              <w:p w14:paraId="51A440A8" w14:textId="77777777" w:rsidR="00066AB0" w:rsidRDefault="00066AB0" w:rsidP="00F35325">
                <w:pPr>
                  <w:spacing w:line="360" w:lineRule="auto"/>
                  <w:jc w:val="both"/>
                  <w:rPr>
                    <w:rFonts w:ascii="Arial" w:hAnsi="Arial" w:cs="Arial"/>
                    <w:sz w:val="24"/>
                    <w:szCs w:val="24"/>
                  </w:rPr>
                </w:pPr>
                <w:r>
                  <w:rPr>
                    <w:rFonts w:ascii="Arial" w:hAnsi="Arial" w:cs="Arial"/>
                    <w:sz w:val="24"/>
                    <w:szCs w:val="24"/>
                  </w:rPr>
                  <w:t>Year 2019</w:t>
                </w:r>
              </w:p>
            </w:tc>
            <w:tc>
              <w:tcPr>
                <w:tcW w:w="3006" w:type="dxa"/>
              </w:tcPr>
              <w:p w14:paraId="25516046" w14:textId="77777777" w:rsidR="00066AB0" w:rsidRDefault="00066AB0" w:rsidP="00F35325">
                <w:pPr>
                  <w:spacing w:line="360" w:lineRule="auto"/>
                  <w:jc w:val="both"/>
                  <w:rPr>
                    <w:rFonts w:ascii="Arial" w:hAnsi="Arial" w:cs="Arial"/>
                    <w:sz w:val="24"/>
                    <w:szCs w:val="24"/>
                  </w:rPr>
                </w:pPr>
                <w:r>
                  <w:rPr>
                    <w:rFonts w:ascii="Arial" w:hAnsi="Arial" w:cs="Arial"/>
                    <w:sz w:val="24"/>
                    <w:szCs w:val="24"/>
                  </w:rPr>
                  <w:t>Yaer 2020</w:t>
                </w:r>
              </w:p>
            </w:tc>
          </w:tr>
          <w:tr w:rsidR="00066AB0" w14:paraId="43A2EEBD" w14:textId="77777777" w:rsidTr="00F35325">
            <w:tc>
              <w:tcPr>
                <w:tcW w:w="3005" w:type="dxa"/>
              </w:tcPr>
              <w:p w14:paraId="66970DE5" w14:textId="2BFA3494" w:rsidR="00066AB0" w:rsidRDefault="00066AB0" w:rsidP="00F35325">
                <w:pPr>
                  <w:spacing w:line="360" w:lineRule="auto"/>
                  <w:jc w:val="both"/>
                  <w:rPr>
                    <w:rFonts w:ascii="Arial" w:hAnsi="Arial" w:cs="Arial"/>
                    <w:sz w:val="24"/>
                    <w:szCs w:val="24"/>
                  </w:rPr>
                </w:pPr>
                <w:r>
                  <w:rPr>
                    <w:rFonts w:ascii="Arial" w:hAnsi="Arial" w:cs="Arial"/>
                    <w:sz w:val="24"/>
                    <w:szCs w:val="24"/>
                  </w:rPr>
                  <w:t>Capital Gearing Ratio</w:t>
                </w:r>
              </w:p>
            </w:tc>
            <w:tc>
              <w:tcPr>
                <w:tcW w:w="3005" w:type="dxa"/>
              </w:tcPr>
              <w:p w14:paraId="4BFD0AB1" w14:textId="48D58F71" w:rsidR="00066AB0" w:rsidRDefault="00066AB0" w:rsidP="00F35325">
                <w:pPr>
                  <w:spacing w:line="360" w:lineRule="auto"/>
                  <w:jc w:val="both"/>
                  <w:rPr>
                    <w:rFonts w:ascii="Arial" w:hAnsi="Arial" w:cs="Arial"/>
                    <w:sz w:val="24"/>
                    <w:szCs w:val="24"/>
                  </w:rPr>
                </w:pPr>
                <w:r>
                  <w:rPr>
                    <w:rFonts w:ascii="Arial" w:hAnsi="Arial" w:cs="Arial"/>
                    <w:sz w:val="24"/>
                    <w:szCs w:val="24"/>
                  </w:rPr>
                  <w:t>0.11</w:t>
                </w:r>
              </w:p>
            </w:tc>
            <w:tc>
              <w:tcPr>
                <w:tcW w:w="3006" w:type="dxa"/>
              </w:tcPr>
              <w:p w14:paraId="459015D9" w14:textId="44944678" w:rsidR="00066AB0" w:rsidRDefault="00066AB0" w:rsidP="00F35325">
                <w:pPr>
                  <w:spacing w:line="360" w:lineRule="auto"/>
                  <w:jc w:val="both"/>
                  <w:rPr>
                    <w:rFonts w:ascii="Arial" w:hAnsi="Arial" w:cs="Arial"/>
                    <w:sz w:val="24"/>
                    <w:szCs w:val="24"/>
                  </w:rPr>
                </w:pPr>
                <w:r>
                  <w:rPr>
                    <w:rFonts w:ascii="Arial" w:hAnsi="Arial" w:cs="Arial"/>
                    <w:sz w:val="24"/>
                    <w:szCs w:val="24"/>
                  </w:rPr>
                  <w:t>0.10</w:t>
                </w:r>
              </w:p>
            </w:tc>
          </w:tr>
          <w:tr w:rsidR="00066AB0" w14:paraId="7EC71CB9" w14:textId="77777777" w:rsidTr="00F35325">
            <w:tc>
              <w:tcPr>
                <w:tcW w:w="3005" w:type="dxa"/>
              </w:tcPr>
              <w:p w14:paraId="5CAD9862" w14:textId="22C454B2" w:rsidR="00066AB0" w:rsidRDefault="00066AB0" w:rsidP="00F35325">
                <w:pPr>
                  <w:spacing w:line="360" w:lineRule="auto"/>
                  <w:jc w:val="both"/>
                  <w:rPr>
                    <w:rFonts w:ascii="Arial" w:hAnsi="Arial" w:cs="Arial"/>
                    <w:sz w:val="24"/>
                    <w:szCs w:val="24"/>
                  </w:rPr>
                </w:pPr>
                <w:r>
                  <w:rPr>
                    <w:rFonts w:ascii="Arial" w:hAnsi="Arial" w:cs="Arial"/>
                    <w:sz w:val="24"/>
                    <w:szCs w:val="24"/>
                  </w:rPr>
                  <w:t>Debt to Total Asset Ratio</w:t>
                </w:r>
              </w:p>
            </w:tc>
            <w:tc>
              <w:tcPr>
                <w:tcW w:w="3005" w:type="dxa"/>
              </w:tcPr>
              <w:p w14:paraId="0ABBCBA2" w14:textId="54A749A0" w:rsidR="00066AB0" w:rsidRDefault="00066AB0" w:rsidP="00F35325">
                <w:pPr>
                  <w:spacing w:line="360" w:lineRule="auto"/>
                  <w:jc w:val="both"/>
                  <w:rPr>
                    <w:rFonts w:ascii="Arial" w:hAnsi="Arial" w:cs="Arial"/>
                    <w:sz w:val="24"/>
                    <w:szCs w:val="24"/>
                  </w:rPr>
                </w:pPr>
                <w:r>
                  <w:rPr>
                    <w:rFonts w:ascii="Arial" w:hAnsi="Arial" w:cs="Arial"/>
                    <w:sz w:val="24"/>
                    <w:szCs w:val="24"/>
                  </w:rPr>
                  <w:t>0.24</w:t>
                </w:r>
              </w:p>
            </w:tc>
            <w:tc>
              <w:tcPr>
                <w:tcW w:w="3006" w:type="dxa"/>
              </w:tcPr>
              <w:p w14:paraId="617FCC22" w14:textId="154B7EF6" w:rsidR="00066AB0" w:rsidRDefault="00066AB0" w:rsidP="00F35325">
                <w:pPr>
                  <w:spacing w:line="360" w:lineRule="auto"/>
                  <w:jc w:val="both"/>
                  <w:rPr>
                    <w:rFonts w:ascii="Arial" w:hAnsi="Arial" w:cs="Arial"/>
                    <w:sz w:val="24"/>
                    <w:szCs w:val="24"/>
                  </w:rPr>
                </w:pPr>
                <w:r>
                  <w:rPr>
                    <w:rFonts w:ascii="Arial" w:hAnsi="Arial" w:cs="Arial"/>
                    <w:sz w:val="24"/>
                    <w:szCs w:val="24"/>
                  </w:rPr>
                  <w:t>0.28</w:t>
                </w:r>
              </w:p>
            </w:tc>
          </w:tr>
        </w:tbl>
        <w:p w14:paraId="26C3AE5E" w14:textId="77777777" w:rsidR="00A05B6E" w:rsidRDefault="00A05B6E" w:rsidP="003A1FEF">
          <w:pPr>
            <w:spacing w:line="360" w:lineRule="auto"/>
            <w:jc w:val="both"/>
            <w:rPr>
              <w:rFonts w:ascii="Arial" w:hAnsi="Arial" w:cs="Arial"/>
              <w:sz w:val="24"/>
              <w:szCs w:val="24"/>
            </w:rPr>
          </w:pPr>
        </w:p>
        <w:p w14:paraId="4810F354" w14:textId="77777777" w:rsidR="00A05B6E" w:rsidRDefault="00A05B6E" w:rsidP="003A1FEF">
          <w:pPr>
            <w:spacing w:line="360" w:lineRule="auto"/>
            <w:jc w:val="both"/>
            <w:rPr>
              <w:rFonts w:ascii="Arial" w:hAnsi="Arial" w:cs="Arial"/>
              <w:sz w:val="24"/>
              <w:szCs w:val="24"/>
            </w:rPr>
          </w:pPr>
        </w:p>
        <w:p w14:paraId="3075B89E" w14:textId="77777777" w:rsidR="00A05B6E" w:rsidRDefault="00A05B6E" w:rsidP="003A1FEF">
          <w:pPr>
            <w:spacing w:line="360" w:lineRule="auto"/>
            <w:jc w:val="both"/>
            <w:rPr>
              <w:rFonts w:ascii="Arial" w:hAnsi="Arial" w:cs="Arial"/>
              <w:sz w:val="24"/>
              <w:szCs w:val="24"/>
            </w:rPr>
          </w:pPr>
        </w:p>
        <w:p w14:paraId="421AE714" w14:textId="77777777" w:rsidR="007523A4" w:rsidRPr="002423BE" w:rsidRDefault="007523A4" w:rsidP="003A1FEF">
          <w:pPr>
            <w:pStyle w:val="Heading1"/>
            <w:spacing w:line="360" w:lineRule="auto"/>
            <w:jc w:val="both"/>
            <w:rPr>
              <w:rFonts w:ascii="Arial" w:hAnsi="Arial" w:cs="Arial"/>
            </w:rPr>
          </w:pPr>
          <w:bookmarkStart w:id="12" w:name="_Toc95093810"/>
          <w:r w:rsidRPr="002423BE">
            <w:rPr>
              <w:rFonts w:ascii="Arial" w:hAnsi="Arial" w:cs="Arial"/>
            </w:rPr>
            <w:lastRenderedPageBreak/>
            <w:t>Knowledge from Ratio Analysis</w:t>
          </w:r>
          <w:bookmarkEnd w:id="12"/>
        </w:p>
        <w:p w14:paraId="28352AB5"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A company's financial management must be top-notch if it wants to be successful in the ratio analysis process. Ratio analysis is an essential management tool that helps leaders make sound decisions for their firms. Ratio studies are used to determine a company's strengths and flaws. As a result of applying ratio analysis, management is more likely to focus on the many issues that need to be addressed. Ratio analysis has several drawbacks, one of which is that it cannot account for inflation-induced price variations (Nissim et al., 2018). There are several practical applications for ratio studies, including figuring out whether or not a business is dependent on grant revenue or other forms of support. One of the many advantages of using financial ratios is that they can reveal a company's weaknesses as well as its strengths, as well as simplify a financial statement into a few simple numbers that can be compared. The effectiveness of a company's asset use and revenue generation can also be gauged through ratio studies. Because there is no standard definition for a ratio, different companies may use different formulas for the ratios, making it difficult to compare the performance of different businesses.</w:t>
          </w:r>
        </w:p>
        <w:p w14:paraId="1AB427AA"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Ratio analysis is useful in stock valuation (Cui and Ryan, 2019). Financial ratios provide a standard vocabulary for analysts and investors to evaluate and explain a firm's strengths and faults. In fundamental analysis, ratio analysis is used to assess a company's relative strength. As well as the market's shortcomings, ratio analysis can disclose a company's ability to enhance its stock value over time and its profitability potential. Ratio analysis is often used in planning. Ratios can help entrepreneurs create business plans for investors and lenders. Companies can create goals by comparing them to industry benchmarks.</w:t>
          </w:r>
        </w:p>
        <w:p w14:paraId="548417D5" w14:textId="0C626A4B" w:rsidR="00974AE2" w:rsidRPr="00974AE2"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 xml:space="preserve">Sometimes, the ratios themselves present a comparability issue. Financial statements for many companies use a variety of accounting principles and methodologies (Feroz, et al., 2022). Accounting standards vary, making it impossible to compare key financial metrics. Some accounting procedures use the FIFO and LIFO inventory valuation methodologies. The varying inventory valuation procedures are to blame. These methods can impact current and acid-test ratios, as well as inventory and asset turnover. Disparities in the depreciation and amortization techniques used affect ratio analysis. The declining-balance and straight-line approaches to depreciation provide </w:t>
          </w:r>
          <w:r w:rsidRPr="004F6CB4">
            <w:rPr>
              <w:rFonts w:ascii="Arial" w:hAnsi="Arial" w:cs="Arial"/>
              <w:sz w:val="24"/>
              <w:szCs w:val="24"/>
              <w:lang w:val="en-US"/>
            </w:rPr>
            <w:lastRenderedPageBreak/>
            <w:t>very different total depreciation and total asset values. To compare two organizations employing distinct accounting and reporting standards, accounting and reporting standards must be employed</w:t>
          </w:r>
          <w:r w:rsidR="00974AE2" w:rsidRPr="00974AE2">
            <w:rPr>
              <w:rFonts w:ascii="Arial" w:hAnsi="Arial" w:cs="Arial"/>
              <w:sz w:val="24"/>
              <w:szCs w:val="24"/>
              <w:lang w:val="en-US"/>
            </w:rPr>
            <w:t>.</w:t>
          </w:r>
        </w:p>
        <w:p w14:paraId="64828AB2" w14:textId="337D6363" w:rsidR="007523A4" w:rsidRDefault="007523A4" w:rsidP="003A1FEF">
          <w:pPr>
            <w:pStyle w:val="Heading1"/>
            <w:spacing w:line="360" w:lineRule="auto"/>
            <w:jc w:val="both"/>
            <w:rPr>
              <w:rFonts w:ascii="Arial" w:hAnsi="Arial" w:cs="Arial"/>
            </w:rPr>
          </w:pPr>
          <w:bookmarkStart w:id="13" w:name="_Toc95093811"/>
          <w:r w:rsidRPr="002423BE">
            <w:rPr>
              <w:rFonts w:ascii="Arial" w:hAnsi="Arial" w:cs="Arial"/>
            </w:rPr>
            <w:t>Benefits and Limitations of Ratio Analysis</w:t>
          </w:r>
          <w:bookmarkEnd w:id="13"/>
        </w:p>
        <w:p w14:paraId="7213D391"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Ratio analysis is still relevant today. Financial performance analysis is a four-step process with four components. Profitability, liquidity, debt-to-equity ratios, and operational efficacy should all be considered. Comparing these attributes to those of competitors exposes the latter's financial health, strengths, and weaknesses (Nissim et al., 2018). One can assess the advantages and disadvantages of a standard approach to financial ratio analysis while also considering new concepts and methodologies. Financial ratios can help investors identify a company's financial strengths and weaknesses before making an investment choice.</w:t>
          </w:r>
        </w:p>
        <w:p w14:paraId="7DA85895"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It is designed to help users of financial statements understand the data. Ratio analysis has the advantage of examining a company's financial performance (Schmidgall, 2019). Revenue, expense, profit, and cash flow are all factors that affect a company's financial success. Profitability is a measure of an organization's ability to generate revenue. Every company wants to enhance profits and shareholder ownership. The failure of a corporation to make a profit puts investors, creditors, and lenders in danger of losing money. Among other indicators, an organization's profitability can be calculated using gross margins, net income margins, ROI, and ROE. Creditors and investors are worried. Concerned about a company's capacity to pay current debts and dividends. Indicators like the current ratio and acid-test ratio are frequently used to assess a bank's liquidity.</w:t>
          </w:r>
        </w:p>
        <w:p w14:paraId="3E5B5686"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Financial ratio analysis can show a company's ability to produce sales by efficiently using its assets and resources (Williamson et al., 2015)). Efficiency ratios can be used to evaluate a firm's management. An efficiency analysis can help set stock and credit rules. There are efficiency ratios for receivables, assets, and inventory. Leverage is another approach to assess a company's financial health. Using debt and debt-to-equity ratios, an organization's financial leverage — or debt management ability — may be assessed. Leverage ratios allow corporations to benefit from tax breaks while minimizing the risk of failure and insolvency. Finance decisions by lenders often involve financial leverage.</w:t>
          </w:r>
        </w:p>
        <w:p w14:paraId="51131909"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lastRenderedPageBreak/>
            <w:t>Financial ratio analysis adds another way to compare organizations in the same industry (Abid, 2019). Using ratio analysis, the analyst perceives all companies as being on an equal footing, rather than judging them solely on their financial performance. Incomplete image from simple company comparison utilizing raw financial data from a single industry. Firms are no longer judged solely on their sales revenue or equity but rather on their ability to generate profits, retain liquidity and manage debt. Return on assets, return on equity, and net profit margin is measures of a company's efficiency and profitability. The ratio analysis is useful when examining a problem.</w:t>
          </w:r>
        </w:p>
        <w:p w14:paraId="64B45D9C"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Industry finances Companies within an industry can be compared using ratios as new trends and financial norms arise. Small and medium-sized firms (SMEs) use industry benchmarks to compare their financial performance to their counterparts while creating their business strategies.</w:t>
          </w:r>
        </w:p>
        <w:p w14:paraId="6C5A89F4" w14:textId="4232BA0D" w:rsidR="00974AE2" w:rsidRPr="00974AE2" w:rsidRDefault="004F6CB4" w:rsidP="004F6CB4">
          <w:pPr>
            <w:spacing w:line="360" w:lineRule="auto"/>
            <w:jc w:val="both"/>
            <w:rPr>
              <w:rFonts w:ascii="Arial" w:hAnsi="Arial" w:cs="Arial"/>
              <w:sz w:val="24"/>
              <w:szCs w:val="24"/>
            </w:rPr>
          </w:pPr>
          <w:r w:rsidRPr="004F6CB4">
            <w:rPr>
              <w:rFonts w:ascii="Arial" w:hAnsi="Arial" w:cs="Arial"/>
              <w:sz w:val="24"/>
              <w:szCs w:val="24"/>
              <w:lang w:val="en-US"/>
            </w:rPr>
            <w:t>Ratio analysis has constraints for macroeconomic and industrial variables. Accounting ratios are less common when inflation is strong (Kim et al., 2020). However, due to inflation and historical performance, these ratios might not fully reflect the company's current value. Accounting ratios may be affected or misleading due to inflationary effects on some variables. Financial market investment and financing decisions are made using accounting ratios that aren't completely reputable or accurate. Accounting ratios must take into account the industry scenario, economic conditions, company size and product diversity, as well as operational approaches that differentiate firms within the same industry</w:t>
          </w:r>
          <w:r w:rsidR="00974AE2" w:rsidRPr="00974AE2">
            <w:rPr>
              <w:rFonts w:ascii="Arial" w:hAnsi="Arial" w:cs="Arial"/>
              <w:sz w:val="24"/>
              <w:szCs w:val="24"/>
              <w:lang w:val="en-US"/>
            </w:rPr>
            <w:t>.</w:t>
          </w:r>
        </w:p>
        <w:p w14:paraId="41572ED6" w14:textId="3E14238B" w:rsidR="0047675C" w:rsidRDefault="00C4498B" w:rsidP="003A1FEF">
          <w:pPr>
            <w:pStyle w:val="Heading1"/>
            <w:spacing w:line="360" w:lineRule="auto"/>
            <w:jc w:val="both"/>
            <w:rPr>
              <w:rFonts w:ascii="Arial" w:hAnsi="Arial" w:cs="Arial"/>
            </w:rPr>
          </w:pPr>
          <w:bookmarkStart w:id="14" w:name="_Toc95093812"/>
          <w:r w:rsidRPr="002423BE">
            <w:rPr>
              <w:rFonts w:ascii="Arial" w:hAnsi="Arial" w:cs="Arial"/>
            </w:rPr>
            <w:t>Conclusion</w:t>
          </w:r>
          <w:bookmarkEnd w:id="14"/>
        </w:p>
        <w:p w14:paraId="1C2F3C18"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Ratios are useful in financial reporting because they show crucial correlations between various components (financial statements). The nature of ratios is one of its constraints. The financial ratios are computed using the financial statements' data. Approximations, inaccuracies, data manipulation, and practice variances are all possible. Due to these considerations, ratios are irrelevant when attempting to provide trustworthy findings.</w:t>
          </w:r>
        </w:p>
        <w:p w14:paraId="25A47094" w14:textId="77777777" w:rsidR="00974AE2" w:rsidRPr="00974AE2" w:rsidRDefault="00974AE2" w:rsidP="003A1FEF">
          <w:pPr>
            <w:spacing w:line="360" w:lineRule="auto"/>
            <w:jc w:val="both"/>
          </w:pPr>
        </w:p>
        <w:p w14:paraId="7AE27983" w14:textId="607D6717" w:rsidR="00CA09F3" w:rsidRDefault="0047675C" w:rsidP="003A1FEF">
          <w:pPr>
            <w:pStyle w:val="Heading1"/>
            <w:spacing w:line="360" w:lineRule="auto"/>
            <w:jc w:val="both"/>
            <w:rPr>
              <w:rFonts w:ascii="Arial" w:hAnsi="Arial" w:cs="Arial"/>
            </w:rPr>
          </w:pPr>
          <w:bookmarkStart w:id="15" w:name="_Toc95093813"/>
          <w:r w:rsidRPr="002423BE">
            <w:rPr>
              <w:rFonts w:ascii="Arial" w:hAnsi="Arial" w:cs="Arial"/>
            </w:rPr>
            <w:lastRenderedPageBreak/>
            <w:t>Bibliography</w:t>
          </w:r>
        </w:p>
      </w:sdtContent>
    </w:sdt>
    <w:bookmarkEnd w:id="15" w:displacedByCustomXml="prev"/>
    <w:p w14:paraId="65E6E399"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Abid, N., 2019. Financial Statement Analysis.</w:t>
      </w:r>
    </w:p>
    <w:p w14:paraId="65B64B9B"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Cui, X. and Ryan, C., 2019. Perceptions of place, modernity and the impacts of tourism–Differences among rural and urban residents of Ankang, China: A likelihood ratio analysis. </w:t>
      </w:r>
      <w:r w:rsidRPr="004F6CB4">
        <w:rPr>
          <w:rFonts w:ascii="Arial" w:hAnsi="Arial" w:cs="Arial"/>
          <w:i/>
          <w:iCs/>
          <w:sz w:val="24"/>
          <w:szCs w:val="24"/>
          <w:lang w:val="en-US"/>
        </w:rPr>
        <w:t>Tourism Management</w:t>
      </w:r>
      <w:r w:rsidRPr="004F6CB4">
        <w:rPr>
          <w:rFonts w:ascii="Arial" w:hAnsi="Arial" w:cs="Arial"/>
          <w:sz w:val="24"/>
          <w:szCs w:val="24"/>
          <w:lang w:val="en-US"/>
        </w:rPr>
        <w:t>, </w:t>
      </w:r>
      <w:r w:rsidRPr="004F6CB4">
        <w:rPr>
          <w:rFonts w:ascii="Arial" w:hAnsi="Arial" w:cs="Arial"/>
          <w:i/>
          <w:iCs/>
          <w:sz w:val="24"/>
          <w:szCs w:val="24"/>
          <w:lang w:val="en-US"/>
        </w:rPr>
        <w:t>32</w:t>
      </w:r>
      <w:r w:rsidRPr="004F6CB4">
        <w:rPr>
          <w:rFonts w:ascii="Arial" w:hAnsi="Arial" w:cs="Arial"/>
          <w:sz w:val="24"/>
          <w:szCs w:val="24"/>
          <w:lang w:val="en-US"/>
        </w:rPr>
        <w:t>(3), pp.604-615.</w:t>
      </w:r>
    </w:p>
    <w:p w14:paraId="1D7F7026"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Feroz, E.H., Kim, S. and Raab, R.L., 2022. Financial statement analysis: A data envelopment analysis approach. </w:t>
      </w:r>
      <w:r w:rsidRPr="004F6CB4">
        <w:rPr>
          <w:rFonts w:ascii="Arial" w:hAnsi="Arial" w:cs="Arial"/>
          <w:i/>
          <w:iCs/>
          <w:sz w:val="24"/>
          <w:szCs w:val="24"/>
          <w:lang w:val="en-US"/>
        </w:rPr>
        <w:t>Journal of the Operational Research Society</w:t>
      </w:r>
      <w:r w:rsidRPr="004F6CB4">
        <w:rPr>
          <w:rFonts w:ascii="Arial" w:hAnsi="Arial" w:cs="Arial"/>
          <w:sz w:val="24"/>
          <w:szCs w:val="24"/>
          <w:lang w:val="en-US"/>
        </w:rPr>
        <w:t>, </w:t>
      </w:r>
      <w:r w:rsidRPr="004F6CB4">
        <w:rPr>
          <w:rFonts w:ascii="Arial" w:hAnsi="Arial" w:cs="Arial"/>
          <w:i/>
          <w:iCs/>
          <w:sz w:val="24"/>
          <w:szCs w:val="24"/>
          <w:lang w:val="en-US"/>
        </w:rPr>
        <w:t>54</w:t>
      </w:r>
      <w:r w:rsidRPr="004F6CB4">
        <w:rPr>
          <w:rFonts w:ascii="Arial" w:hAnsi="Arial" w:cs="Arial"/>
          <w:sz w:val="24"/>
          <w:szCs w:val="24"/>
          <w:lang w:val="en-US"/>
        </w:rPr>
        <w:t>(1), pp.48-58.</w:t>
      </w:r>
    </w:p>
    <w:p w14:paraId="3CFE186E"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Firdaus, F. and Endri, E., 2020. Financial Statement Analysis: Evidence from Indonesian Bank BUKU IV. </w:t>
      </w:r>
      <w:r w:rsidRPr="004F6CB4">
        <w:rPr>
          <w:rFonts w:ascii="Arial" w:hAnsi="Arial" w:cs="Arial"/>
          <w:i/>
          <w:iCs/>
          <w:sz w:val="24"/>
          <w:szCs w:val="24"/>
          <w:lang w:val="en-US"/>
        </w:rPr>
        <w:t>International Journal of Innovative Science and Research Technology</w:t>
      </w:r>
      <w:r w:rsidRPr="004F6CB4">
        <w:rPr>
          <w:rFonts w:ascii="Arial" w:hAnsi="Arial" w:cs="Arial"/>
          <w:sz w:val="24"/>
          <w:szCs w:val="24"/>
          <w:lang w:val="en-US"/>
        </w:rPr>
        <w:t>, </w:t>
      </w:r>
      <w:r w:rsidRPr="004F6CB4">
        <w:rPr>
          <w:rFonts w:ascii="Arial" w:hAnsi="Arial" w:cs="Arial"/>
          <w:i/>
          <w:iCs/>
          <w:sz w:val="24"/>
          <w:szCs w:val="24"/>
          <w:lang w:val="en-US"/>
        </w:rPr>
        <w:t>5</w:t>
      </w:r>
      <w:r w:rsidRPr="004F6CB4">
        <w:rPr>
          <w:rFonts w:ascii="Arial" w:hAnsi="Arial" w:cs="Arial"/>
          <w:sz w:val="24"/>
          <w:szCs w:val="24"/>
          <w:lang w:val="en-US"/>
        </w:rPr>
        <w:t>(4), pp.455-461.</w:t>
      </w:r>
    </w:p>
    <w:p w14:paraId="7AFBF765"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Kim, H. and Gu, Z., 2021. Logistic regression analysis for predicting bankruptcy in the hospitality industry. </w:t>
      </w:r>
      <w:r w:rsidRPr="004F6CB4">
        <w:rPr>
          <w:rFonts w:ascii="Arial" w:hAnsi="Arial" w:cs="Arial"/>
          <w:i/>
          <w:iCs/>
          <w:sz w:val="24"/>
          <w:szCs w:val="24"/>
          <w:lang w:val="en-US"/>
        </w:rPr>
        <w:t>The Journal of Hospitality Financial Management</w:t>
      </w:r>
      <w:r w:rsidRPr="004F6CB4">
        <w:rPr>
          <w:rFonts w:ascii="Arial" w:hAnsi="Arial" w:cs="Arial"/>
          <w:sz w:val="24"/>
          <w:szCs w:val="24"/>
          <w:lang w:val="en-US"/>
        </w:rPr>
        <w:t>, </w:t>
      </w:r>
      <w:r w:rsidRPr="004F6CB4">
        <w:rPr>
          <w:rFonts w:ascii="Arial" w:hAnsi="Arial" w:cs="Arial"/>
          <w:i/>
          <w:iCs/>
          <w:sz w:val="24"/>
          <w:szCs w:val="24"/>
          <w:lang w:val="en-US"/>
        </w:rPr>
        <w:t>14</w:t>
      </w:r>
      <w:r w:rsidRPr="004F6CB4">
        <w:rPr>
          <w:rFonts w:ascii="Arial" w:hAnsi="Arial" w:cs="Arial"/>
          <w:sz w:val="24"/>
          <w:szCs w:val="24"/>
          <w:lang w:val="en-US"/>
        </w:rPr>
        <w:t>(1), pp.17-34.</w:t>
      </w:r>
    </w:p>
    <w:p w14:paraId="2F4EC9D0"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Mao, Z. and Gu, Z., 2020. Risk-adjusted stock performance: A cross-sector analysis of hospitality firms in the recent economic downturn. </w:t>
      </w:r>
      <w:r w:rsidRPr="004F6CB4">
        <w:rPr>
          <w:rFonts w:ascii="Arial" w:hAnsi="Arial" w:cs="Arial"/>
          <w:i/>
          <w:iCs/>
          <w:sz w:val="24"/>
          <w:szCs w:val="24"/>
          <w:lang w:val="en-US"/>
        </w:rPr>
        <w:t>International Journal of Hospitality &amp; Tourism Administration</w:t>
      </w:r>
      <w:r w:rsidRPr="004F6CB4">
        <w:rPr>
          <w:rFonts w:ascii="Arial" w:hAnsi="Arial" w:cs="Arial"/>
          <w:sz w:val="24"/>
          <w:szCs w:val="24"/>
          <w:lang w:val="en-US"/>
        </w:rPr>
        <w:t>, </w:t>
      </w:r>
      <w:r w:rsidRPr="004F6CB4">
        <w:rPr>
          <w:rFonts w:ascii="Arial" w:hAnsi="Arial" w:cs="Arial"/>
          <w:i/>
          <w:iCs/>
          <w:sz w:val="24"/>
          <w:szCs w:val="24"/>
          <w:lang w:val="en-US"/>
        </w:rPr>
        <w:t>8</w:t>
      </w:r>
      <w:r w:rsidRPr="004F6CB4">
        <w:rPr>
          <w:rFonts w:ascii="Arial" w:hAnsi="Arial" w:cs="Arial"/>
          <w:sz w:val="24"/>
          <w:szCs w:val="24"/>
          <w:lang w:val="en-US"/>
        </w:rPr>
        <w:t>(4), pp.77-98.</w:t>
      </w:r>
    </w:p>
    <w:p w14:paraId="7CA10E98"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Nissim, D. and Penman, S.H., 2018. Ratio analysis and equity valuation: From research to practice. </w:t>
      </w:r>
      <w:r w:rsidRPr="004F6CB4">
        <w:rPr>
          <w:rFonts w:ascii="Arial" w:hAnsi="Arial" w:cs="Arial"/>
          <w:i/>
          <w:iCs/>
          <w:sz w:val="24"/>
          <w:szCs w:val="24"/>
          <w:lang w:val="en-US"/>
        </w:rPr>
        <w:t>Review of accounting studies</w:t>
      </w:r>
      <w:r w:rsidRPr="004F6CB4">
        <w:rPr>
          <w:rFonts w:ascii="Arial" w:hAnsi="Arial" w:cs="Arial"/>
          <w:sz w:val="24"/>
          <w:szCs w:val="24"/>
          <w:lang w:val="en-US"/>
        </w:rPr>
        <w:t>, </w:t>
      </w:r>
      <w:r w:rsidRPr="004F6CB4">
        <w:rPr>
          <w:rFonts w:ascii="Arial" w:hAnsi="Arial" w:cs="Arial"/>
          <w:i/>
          <w:iCs/>
          <w:sz w:val="24"/>
          <w:szCs w:val="24"/>
          <w:lang w:val="en-US"/>
        </w:rPr>
        <w:t>6</w:t>
      </w:r>
      <w:r w:rsidRPr="004F6CB4">
        <w:rPr>
          <w:rFonts w:ascii="Arial" w:hAnsi="Arial" w:cs="Arial"/>
          <w:sz w:val="24"/>
          <w:szCs w:val="24"/>
          <w:lang w:val="en-US"/>
        </w:rPr>
        <w:t>(1), pp.109-154.</w:t>
      </w:r>
    </w:p>
    <w:p w14:paraId="49B9DBD9"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Schmidgall, R.S., 2019. </w:t>
      </w:r>
      <w:r w:rsidRPr="004F6CB4">
        <w:rPr>
          <w:rFonts w:ascii="Arial" w:hAnsi="Arial" w:cs="Arial"/>
          <w:i/>
          <w:iCs/>
          <w:sz w:val="24"/>
          <w:szCs w:val="24"/>
          <w:lang w:val="en-US"/>
        </w:rPr>
        <w:t>Hospitality industry managerial accounting</w:t>
      </w:r>
      <w:r w:rsidRPr="004F6CB4">
        <w:rPr>
          <w:rFonts w:ascii="Arial" w:hAnsi="Arial" w:cs="Arial"/>
          <w:sz w:val="24"/>
          <w:szCs w:val="24"/>
          <w:lang w:val="en-US"/>
        </w:rPr>
        <w:t>. Educational Institute, American Hotel &amp; Motel Association.</w:t>
      </w:r>
    </w:p>
    <w:p w14:paraId="7A33ECC5"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Stickney, C.P., Brown, P. and Press, D., 2019. </w:t>
      </w:r>
      <w:r w:rsidRPr="004F6CB4">
        <w:rPr>
          <w:rFonts w:ascii="Arial" w:hAnsi="Arial" w:cs="Arial"/>
          <w:i/>
          <w:iCs/>
          <w:sz w:val="24"/>
          <w:szCs w:val="24"/>
          <w:lang w:val="en-US"/>
        </w:rPr>
        <w:t>Financial statement analysis</w:t>
      </w:r>
      <w:r w:rsidRPr="004F6CB4">
        <w:rPr>
          <w:rFonts w:ascii="Arial" w:hAnsi="Arial" w:cs="Arial"/>
          <w:sz w:val="24"/>
          <w:szCs w:val="24"/>
          <w:lang w:val="en-US"/>
        </w:rPr>
        <w:t>. Harcourt Brace College Publishers.</w:t>
      </w:r>
    </w:p>
    <w:p w14:paraId="350F32B6" w14:textId="77777777" w:rsidR="004F6CB4" w:rsidRPr="004F6CB4" w:rsidRDefault="004F6CB4" w:rsidP="004F6CB4">
      <w:pPr>
        <w:spacing w:line="360" w:lineRule="auto"/>
        <w:jc w:val="both"/>
        <w:rPr>
          <w:rFonts w:ascii="Arial" w:hAnsi="Arial" w:cs="Arial"/>
          <w:sz w:val="24"/>
          <w:szCs w:val="24"/>
          <w:lang w:val="en-US"/>
        </w:rPr>
      </w:pPr>
      <w:r w:rsidRPr="004F6CB4">
        <w:rPr>
          <w:rFonts w:ascii="Arial" w:hAnsi="Arial" w:cs="Arial"/>
          <w:sz w:val="24"/>
          <w:szCs w:val="24"/>
          <w:lang w:val="en-US"/>
        </w:rPr>
        <w:t>Williamson, J.W., Mayo, C.R. and Casson, M., 2015. THE USE OF RATIO ANALYSIS IN HOSPITALITY AND TOURISM OPERATIONS. </w:t>
      </w:r>
      <w:r w:rsidRPr="004F6CB4">
        <w:rPr>
          <w:rFonts w:ascii="Arial" w:hAnsi="Arial" w:cs="Arial"/>
          <w:i/>
          <w:iCs/>
          <w:sz w:val="24"/>
          <w:szCs w:val="24"/>
          <w:lang w:val="en-US"/>
        </w:rPr>
        <w:t>Consortium Journal of Hospitality &amp; Tourism</w:t>
      </w:r>
      <w:r w:rsidRPr="004F6CB4">
        <w:rPr>
          <w:rFonts w:ascii="Arial" w:hAnsi="Arial" w:cs="Arial"/>
          <w:sz w:val="24"/>
          <w:szCs w:val="24"/>
          <w:lang w:val="en-US"/>
        </w:rPr>
        <w:t>, </w:t>
      </w:r>
      <w:r w:rsidRPr="004F6CB4">
        <w:rPr>
          <w:rFonts w:ascii="Arial" w:hAnsi="Arial" w:cs="Arial"/>
          <w:i/>
          <w:iCs/>
          <w:sz w:val="24"/>
          <w:szCs w:val="24"/>
          <w:lang w:val="en-US"/>
        </w:rPr>
        <w:t>9</w:t>
      </w:r>
      <w:r w:rsidRPr="004F6CB4">
        <w:rPr>
          <w:rFonts w:ascii="Arial" w:hAnsi="Arial" w:cs="Arial"/>
          <w:sz w:val="24"/>
          <w:szCs w:val="24"/>
          <w:lang w:val="en-US"/>
        </w:rPr>
        <w:t>(2).</w:t>
      </w:r>
    </w:p>
    <w:p w14:paraId="1CBF489E" w14:textId="77777777" w:rsidR="00B813E3" w:rsidRPr="0047675C" w:rsidRDefault="00B813E3" w:rsidP="004F6CB4">
      <w:pPr>
        <w:spacing w:line="360" w:lineRule="auto"/>
        <w:jc w:val="both"/>
      </w:pPr>
    </w:p>
    <w:sectPr w:rsidR="00B813E3" w:rsidRPr="0047675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F47D0F"/>
    <w:multiLevelType w:val="hybridMultilevel"/>
    <w:tmpl w:val="1160EE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zsTAzNTE2sTQ3NTJV0lEKTi0uzszPAykwqgUAu9UlTCwAAAA="/>
  </w:docVars>
  <w:rsids>
    <w:rsidRoot w:val="007D1947"/>
    <w:rsid w:val="000115BC"/>
    <w:rsid w:val="00026091"/>
    <w:rsid w:val="000262C9"/>
    <w:rsid w:val="00026FF0"/>
    <w:rsid w:val="00031628"/>
    <w:rsid w:val="00046905"/>
    <w:rsid w:val="000511CD"/>
    <w:rsid w:val="00057B02"/>
    <w:rsid w:val="00063059"/>
    <w:rsid w:val="00066AB0"/>
    <w:rsid w:val="00071EFB"/>
    <w:rsid w:val="00075773"/>
    <w:rsid w:val="00075E90"/>
    <w:rsid w:val="000803A5"/>
    <w:rsid w:val="000866EF"/>
    <w:rsid w:val="000934F7"/>
    <w:rsid w:val="00097D75"/>
    <w:rsid w:val="000A1C05"/>
    <w:rsid w:val="000A1EAE"/>
    <w:rsid w:val="000B1D93"/>
    <w:rsid w:val="000B3016"/>
    <w:rsid w:val="000B4B2F"/>
    <w:rsid w:val="000C55E1"/>
    <w:rsid w:val="000E3C70"/>
    <w:rsid w:val="000F572A"/>
    <w:rsid w:val="001026D4"/>
    <w:rsid w:val="00103FF5"/>
    <w:rsid w:val="001053EA"/>
    <w:rsid w:val="00115B96"/>
    <w:rsid w:val="001229FA"/>
    <w:rsid w:val="00123E43"/>
    <w:rsid w:val="0013076E"/>
    <w:rsid w:val="0013422E"/>
    <w:rsid w:val="00137E15"/>
    <w:rsid w:val="001523AD"/>
    <w:rsid w:val="00162900"/>
    <w:rsid w:val="001645D2"/>
    <w:rsid w:val="00164C9A"/>
    <w:rsid w:val="00165814"/>
    <w:rsid w:val="001718F0"/>
    <w:rsid w:val="00180FD4"/>
    <w:rsid w:val="00181C88"/>
    <w:rsid w:val="00182BD3"/>
    <w:rsid w:val="00184CDC"/>
    <w:rsid w:val="001879BE"/>
    <w:rsid w:val="001905F7"/>
    <w:rsid w:val="00193E33"/>
    <w:rsid w:val="00196AE9"/>
    <w:rsid w:val="001A1A72"/>
    <w:rsid w:val="001A3459"/>
    <w:rsid w:val="001A3EAA"/>
    <w:rsid w:val="001B1EBC"/>
    <w:rsid w:val="001B34A9"/>
    <w:rsid w:val="001B4843"/>
    <w:rsid w:val="001C0CBD"/>
    <w:rsid w:val="001C315B"/>
    <w:rsid w:val="001D029C"/>
    <w:rsid w:val="001D4849"/>
    <w:rsid w:val="001E4B21"/>
    <w:rsid w:val="001F1036"/>
    <w:rsid w:val="001F2866"/>
    <w:rsid w:val="001F4D9B"/>
    <w:rsid w:val="001F750E"/>
    <w:rsid w:val="00200855"/>
    <w:rsid w:val="00207624"/>
    <w:rsid w:val="00216465"/>
    <w:rsid w:val="00225470"/>
    <w:rsid w:val="00233698"/>
    <w:rsid w:val="0023567F"/>
    <w:rsid w:val="00235BE2"/>
    <w:rsid w:val="002423BE"/>
    <w:rsid w:val="00244D21"/>
    <w:rsid w:val="0025419A"/>
    <w:rsid w:val="00257ADB"/>
    <w:rsid w:val="00276D33"/>
    <w:rsid w:val="002852B5"/>
    <w:rsid w:val="0029072A"/>
    <w:rsid w:val="00290915"/>
    <w:rsid w:val="002960A7"/>
    <w:rsid w:val="002A42F4"/>
    <w:rsid w:val="002B20BC"/>
    <w:rsid w:val="002B5E1B"/>
    <w:rsid w:val="002C0B00"/>
    <w:rsid w:val="002C703B"/>
    <w:rsid w:val="002D78CE"/>
    <w:rsid w:val="002D7910"/>
    <w:rsid w:val="002F4347"/>
    <w:rsid w:val="002F4750"/>
    <w:rsid w:val="002F6B6F"/>
    <w:rsid w:val="002F75C9"/>
    <w:rsid w:val="002F7FE7"/>
    <w:rsid w:val="0030199E"/>
    <w:rsid w:val="00312E02"/>
    <w:rsid w:val="00315E8A"/>
    <w:rsid w:val="00324CCD"/>
    <w:rsid w:val="003307C2"/>
    <w:rsid w:val="00335760"/>
    <w:rsid w:val="00335F82"/>
    <w:rsid w:val="003377E4"/>
    <w:rsid w:val="00360AD1"/>
    <w:rsid w:val="003676AF"/>
    <w:rsid w:val="00371EA8"/>
    <w:rsid w:val="003743BD"/>
    <w:rsid w:val="00377402"/>
    <w:rsid w:val="00380A2B"/>
    <w:rsid w:val="00380EFE"/>
    <w:rsid w:val="00397553"/>
    <w:rsid w:val="003A1FEF"/>
    <w:rsid w:val="003A48CD"/>
    <w:rsid w:val="003A5BBB"/>
    <w:rsid w:val="003A727E"/>
    <w:rsid w:val="003B2A0B"/>
    <w:rsid w:val="003C499D"/>
    <w:rsid w:val="003D0573"/>
    <w:rsid w:val="00403416"/>
    <w:rsid w:val="004162F5"/>
    <w:rsid w:val="00416D21"/>
    <w:rsid w:val="00423051"/>
    <w:rsid w:val="00435C6A"/>
    <w:rsid w:val="004403C0"/>
    <w:rsid w:val="00450410"/>
    <w:rsid w:val="004544F1"/>
    <w:rsid w:val="00456021"/>
    <w:rsid w:val="00473A52"/>
    <w:rsid w:val="00475AF2"/>
    <w:rsid w:val="0047675C"/>
    <w:rsid w:val="00493382"/>
    <w:rsid w:val="0049598D"/>
    <w:rsid w:val="004A11F6"/>
    <w:rsid w:val="004B0AD7"/>
    <w:rsid w:val="004B7EFB"/>
    <w:rsid w:val="004C0530"/>
    <w:rsid w:val="004D519C"/>
    <w:rsid w:val="004D6F4E"/>
    <w:rsid w:val="004E1061"/>
    <w:rsid w:val="004E1C27"/>
    <w:rsid w:val="004F229C"/>
    <w:rsid w:val="004F5D66"/>
    <w:rsid w:val="004F6CB4"/>
    <w:rsid w:val="0050052D"/>
    <w:rsid w:val="00506B0C"/>
    <w:rsid w:val="00531D59"/>
    <w:rsid w:val="005351F4"/>
    <w:rsid w:val="00536665"/>
    <w:rsid w:val="00537A4D"/>
    <w:rsid w:val="005436FF"/>
    <w:rsid w:val="00543F10"/>
    <w:rsid w:val="00557591"/>
    <w:rsid w:val="0056360E"/>
    <w:rsid w:val="005650DE"/>
    <w:rsid w:val="0058693B"/>
    <w:rsid w:val="005A1016"/>
    <w:rsid w:val="005B02B7"/>
    <w:rsid w:val="005B44A0"/>
    <w:rsid w:val="005C0F56"/>
    <w:rsid w:val="005C4E3F"/>
    <w:rsid w:val="005D5F93"/>
    <w:rsid w:val="005E4746"/>
    <w:rsid w:val="005F0D7F"/>
    <w:rsid w:val="005F4CB0"/>
    <w:rsid w:val="006059D2"/>
    <w:rsid w:val="006117AE"/>
    <w:rsid w:val="00612F0B"/>
    <w:rsid w:val="00612F1E"/>
    <w:rsid w:val="0061362F"/>
    <w:rsid w:val="00614694"/>
    <w:rsid w:val="006223A4"/>
    <w:rsid w:val="00641715"/>
    <w:rsid w:val="00643405"/>
    <w:rsid w:val="00643F23"/>
    <w:rsid w:val="00644C96"/>
    <w:rsid w:val="0064519F"/>
    <w:rsid w:val="00653432"/>
    <w:rsid w:val="00654524"/>
    <w:rsid w:val="00670DA6"/>
    <w:rsid w:val="006823BF"/>
    <w:rsid w:val="00696B67"/>
    <w:rsid w:val="006A4551"/>
    <w:rsid w:val="006A5DE0"/>
    <w:rsid w:val="006A6CF3"/>
    <w:rsid w:val="006A6D21"/>
    <w:rsid w:val="006B2946"/>
    <w:rsid w:val="006D0C0A"/>
    <w:rsid w:val="006D13A6"/>
    <w:rsid w:val="006D2392"/>
    <w:rsid w:val="006D3333"/>
    <w:rsid w:val="006D6D4C"/>
    <w:rsid w:val="006E6CBA"/>
    <w:rsid w:val="006E6D14"/>
    <w:rsid w:val="006F069F"/>
    <w:rsid w:val="00700774"/>
    <w:rsid w:val="0070433A"/>
    <w:rsid w:val="00713F45"/>
    <w:rsid w:val="00716392"/>
    <w:rsid w:val="007212A5"/>
    <w:rsid w:val="00723470"/>
    <w:rsid w:val="00734577"/>
    <w:rsid w:val="00734956"/>
    <w:rsid w:val="00741737"/>
    <w:rsid w:val="007523A4"/>
    <w:rsid w:val="0075340D"/>
    <w:rsid w:val="0075620E"/>
    <w:rsid w:val="00756889"/>
    <w:rsid w:val="0076595C"/>
    <w:rsid w:val="00766782"/>
    <w:rsid w:val="007679B2"/>
    <w:rsid w:val="00770671"/>
    <w:rsid w:val="0077248D"/>
    <w:rsid w:val="0077458F"/>
    <w:rsid w:val="00780821"/>
    <w:rsid w:val="007817AC"/>
    <w:rsid w:val="007935CB"/>
    <w:rsid w:val="00794253"/>
    <w:rsid w:val="00795E48"/>
    <w:rsid w:val="007A22BB"/>
    <w:rsid w:val="007A65BB"/>
    <w:rsid w:val="007A7279"/>
    <w:rsid w:val="007B2516"/>
    <w:rsid w:val="007C02D1"/>
    <w:rsid w:val="007C276B"/>
    <w:rsid w:val="007C559B"/>
    <w:rsid w:val="007C760F"/>
    <w:rsid w:val="007C77F7"/>
    <w:rsid w:val="007D1947"/>
    <w:rsid w:val="007D227B"/>
    <w:rsid w:val="007D6355"/>
    <w:rsid w:val="007E2A6A"/>
    <w:rsid w:val="007E4CE4"/>
    <w:rsid w:val="007F0AC8"/>
    <w:rsid w:val="00800F48"/>
    <w:rsid w:val="00802B29"/>
    <w:rsid w:val="00802DBB"/>
    <w:rsid w:val="00803DAA"/>
    <w:rsid w:val="008040CD"/>
    <w:rsid w:val="008051AD"/>
    <w:rsid w:val="00826766"/>
    <w:rsid w:val="00835DC3"/>
    <w:rsid w:val="00836D08"/>
    <w:rsid w:val="0084577A"/>
    <w:rsid w:val="00852194"/>
    <w:rsid w:val="00857FAD"/>
    <w:rsid w:val="008644F7"/>
    <w:rsid w:val="008A1EEF"/>
    <w:rsid w:val="008B3A99"/>
    <w:rsid w:val="008C2A39"/>
    <w:rsid w:val="008C34B0"/>
    <w:rsid w:val="008D6983"/>
    <w:rsid w:val="008E7176"/>
    <w:rsid w:val="008F44B2"/>
    <w:rsid w:val="0090062B"/>
    <w:rsid w:val="00912196"/>
    <w:rsid w:val="009123E6"/>
    <w:rsid w:val="00932815"/>
    <w:rsid w:val="00934C24"/>
    <w:rsid w:val="00934E37"/>
    <w:rsid w:val="00935888"/>
    <w:rsid w:val="00942EF1"/>
    <w:rsid w:val="009440CD"/>
    <w:rsid w:val="00957DCC"/>
    <w:rsid w:val="0096047C"/>
    <w:rsid w:val="00962402"/>
    <w:rsid w:val="00974AE2"/>
    <w:rsid w:val="009817C4"/>
    <w:rsid w:val="009840CF"/>
    <w:rsid w:val="00994476"/>
    <w:rsid w:val="009966B8"/>
    <w:rsid w:val="009B0C8D"/>
    <w:rsid w:val="009C176D"/>
    <w:rsid w:val="009C5A84"/>
    <w:rsid w:val="009C5C51"/>
    <w:rsid w:val="009C70C7"/>
    <w:rsid w:val="009D3A24"/>
    <w:rsid w:val="009D7A72"/>
    <w:rsid w:val="009E0A01"/>
    <w:rsid w:val="009E73E3"/>
    <w:rsid w:val="009F604A"/>
    <w:rsid w:val="00A007F0"/>
    <w:rsid w:val="00A014AA"/>
    <w:rsid w:val="00A019B0"/>
    <w:rsid w:val="00A045E3"/>
    <w:rsid w:val="00A05B6E"/>
    <w:rsid w:val="00A225DC"/>
    <w:rsid w:val="00A31104"/>
    <w:rsid w:val="00A33060"/>
    <w:rsid w:val="00A4050E"/>
    <w:rsid w:val="00A41F05"/>
    <w:rsid w:val="00A51A40"/>
    <w:rsid w:val="00A527E3"/>
    <w:rsid w:val="00A60414"/>
    <w:rsid w:val="00A64F58"/>
    <w:rsid w:val="00A6619C"/>
    <w:rsid w:val="00A8270C"/>
    <w:rsid w:val="00A83DEF"/>
    <w:rsid w:val="00A91E85"/>
    <w:rsid w:val="00A949F9"/>
    <w:rsid w:val="00AA2A91"/>
    <w:rsid w:val="00AA2FE4"/>
    <w:rsid w:val="00AA3CE7"/>
    <w:rsid w:val="00AA3E43"/>
    <w:rsid w:val="00AB7D4E"/>
    <w:rsid w:val="00AC1C78"/>
    <w:rsid w:val="00AD16F3"/>
    <w:rsid w:val="00AE0D59"/>
    <w:rsid w:val="00AE10E0"/>
    <w:rsid w:val="00AE1A0D"/>
    <w:rsid w:val="00AE30AB"/>
    <w:rsid w:val="00AF4E0A"/>
    <w:rsid w:val="00AF7501"/>
    <w:rsid w:val="00B00CC6"/>
    <w:rsid w:val="00B07F9A"/>
    <w:rsid w:val="00B12751"/>
    <w:rsid w:val="00B15CE1"/>
    <w:rsid w:val="00B272EE"/>
    <w:rsid w:val="00B33728"/>
    <w:rsid w:val="00B33758"/>
    <w:rsid w:val="00B43578"/>
    <w:rsid w:val="00B43D1A"/>
    <w:rsid w:val="00B502A5"/>
    <w:rsid w:val="00B6428E"/>
    <w:rsid w:val="00B755B3"/>
    <w:rsid w:val="00B76125"/>
    <w:rsid w:val="00B813E3"/>
    <w:rsid w:val="00B86BF1"/>
    <w:rsid w:val="00B9117F"/>
    <w:rsid w:val="00B96083"/>
    <w:rsid w:val="00B96398"/>
    <w:rsid w:val="00BA0066"/>
    <w:rsid w:val="00BA621B"/>
    <w:rsid w:val="00BA796B"/>
    <w:rsid w:val="00BB7A69"/>
    <w:rsid w:val="00BC06AB"/>
    <w:rsid w:val="00BC500C"/>
    <w:rsid w:val="00BD03A5"/>
    <w:rsid w:val="00BE3982"/>
    <w:rsid w:val="00BE6555"/>
    <w:rsid w:val="00BF7C2E"/>
    <w:rsid w:val="00C00E08"/>
    <w:rsid w:val="00C00F27"/>
    <w:rsid w:val="00C02CF7"/>
    <w:rsid w:val="00C0612A"/>
    <w:rsid w:val="00C063CC"/>
    <w:rsid w:val="00C163FD"/>
    <w:rsid w:val="00C235BB"/>
    <w:rsid w:val="00C245BE"/>
    <w:rsid w:val="00C31B9C"/>
    <w:rsid w:val="00C3226E"/>
    <w:rsid w:val="00C4498B"/>
    <w:rsid w:val="00C45805"/>
    <w:rsid w:val="00C47196"/>
    <w:rsid w:val="00C47927"/>
    <w:rsid w:val="00C53F48"/>
    <w:rsid w:val="00C57029"/>
    <w:rsid w:val="00C57893"/>
    <w:rsid w:val="00C63D08"/>
    <w:rsid w:val="00C66D60"/>
    <w:rsid w:val="00C67977"/>
    <w:rsid w:val="00C71FB5"/>
    <w:rsid w:val="00C72986"/>
    <w:rsid w:val="00C734D6"/>
    <w:rsid w:val="00C77B17"/>
    <w:rsid w:val="00C8600B"/>
    <w:rsid w:val="00C92CF0"/>
    <w:rsid w:val="00C9395F"/>
    <w:rsid w:val="00C95E51"/>
    <w:rsid w:val="00C9618E"/>
    <w:rsid w:val="00CA0342"/>
    <w:rsid w:val="00CA09F3"/>
    <w:rsid w:val="00CC1C3A"/>
    <w:rsid w:val="00CC203F"/>
    <w:rsid w:val="00CC5B90"/>
    <w:rsid w:val="00CC5CBC"/>
    <w:rsid w:val="00CC6DDA"/>
    <w:rsid w:val="00CD127D"/>
    <w:rsid w:val="00CD59D3"/>
    <w:rsid w:val="00CE21A2"/>
    <w:rsid w:val="00CE6B0C"/>
    <w:rsid w:val="00CF0C42"/>
    <w:rsid w:val="00CF1F3A"/>
    <w:rsid w:val="00CF3454"/>
    <w:rsid w:val="00D01649"/>
    <w:rsid w:val="00D20398"/>
    <w:rsid w:val="00D21494"/>
    <w:rsid w:val="00D35893"/>
    <w:rsid w:val="00D37266"/>
    <w:rsid w:val="00D434C5"/>
    <w:rsid w:val="00D43DE7"/>
    <w:rsid w:val="00D45F13"/>
    <w:rsid w:val="00D5099C"/>
    <w:rsid w:val="00D50BED"/>
    <w:rsid w:val="00D568FC"/>
    <w:rsid w:val="00D7097B"/>
    <w:rsid w:val="00D71E7E"/>
    <w:rsid w:val="00D73138"/>
    <w:rsid w:val="00D815DF"/>
    <w:rsid w:val="00D83196"/>
    <w:rsid w:val="00D854A5"/>
    <w:rsid w:val="00D9395F"/>
    <w:rsid w:val="00DA1B6B"/>
    <w:rsid w:val="00DA2D66"/>
    <w:rsid w:val="00DA5606"/>
    <w:rsid w:val="00DB5E08"/>
    <w:rsid w:val="00DB76FD"/>
    <w:rsid w:val="00DC0C5B"/>
    <w:rsid w:val="00DC0E33"/>
    <w:rsid w:val="00DC1221"/>
    <w:rsid w:val="00DC223A"/>
    <w:rsid w:val="00DD4C9F"/>
    <w:rsid w:val="00DE0C2C"/>
    <w:rsid w:val="00DE2DB1"/>
    <w:rsid w:val="00DE2E60"/>
    <w:rsid w:val="00DE7E47"/>
    <w:rsid w:val="00DF1D80"/>
    <w:rsid w:val="00DF59C2"/>
    <w:rsid w:val="00E01841"/>
    <w:rsid w:val="00E03B72"/>
    <w:rsid w:val="00E03BF4"/>
    <w:rsid w:val="00E06BEB"/>
    <w:rsid w:val="00E16C99"/>
    <w:rsid w:val="00E20582"/>
    <w:rsid w:val="00E26DC9"/>
    <w:rsid w:val="00E3162C"/>
    <w:rsid w:val="00E321D2"/>
    <w:rsid w:val="00E33691"/>
    <w:rsid w:val="00E35669"/>
    <w:rsid w:val="00E6059F"/>
    <w:rsid w:val="00E718F3"/>
    <w:rsid w:val="00E71AD6"/>
    <w:rsid w:val="00E7273A"/>
    <w:rsid w:val="00E921D9"/>
    <w:rsid w:val="00E923CC"/>
    <w:rsid w:val="00E97C65"/>
    <w:rsid w:val="00E97D38"/>
    <w:rsid w:val="00EA2A3B"/>
    <w:rsid w:val="00EB277B"/>
    <w:rsid w:val="00EC2CA6"/>
    <w:rsid w:val="00ED1C20"/>
    <w:rsid w:val="00ED548D"/>
    <w:rsid w:val="00ED5B65"/>
    <w:rsid w:val="00EE6423"/>
    <w:rsid w:val="00EE7183"/>
    <w:rsid w:val="00F0048C"/>
    <w:rsid w:val="00F012A8"/>
    <w:rsid w:val="00F05CA9"/>
    <w:rsid w:val="00F0715D"/>
    <w:rsid w:val="00F20625"/>
    <w:rsid w:val="00F259BD"/>
    <w:rsid w:val="00F27ECA"/>
    <w:rsid w:val="00F31161"/>
    <w:rsid w:val="00F3183C"/>
    <w:rsid w:val="00F43BF6"/>
    <w:rsid w:val="00F46A34"/>
    <w:rsid w:val="00F53697"/>
    <w:rsid w:val="00F55E13"/>
    <w:rsid w:val="00F61412"/>
    <w:rsid w:val="00F62677"/>
    <w:rsid w:val="00F638DD"/>
    <w:rsid w:val="00F7248B"/>
    <w:rsid w:val="00F730D4"/>
    <w:rsid w:val="00F81088"/>
    <w:rsid w:val="00F8631D"/>
    <w:rsid w:val="00F91D2B"/>
    <w:rsid w:val="00FA0308"/>
    <w:rsid w:val="00FA402F"/>
    <w:rsid w:val="00FB05F5"/>
    <w:rsid w:val="00FB4C3F"/>
    <w:rsid w:val="00FB6A75"/>
    <w:rsid w:val="00FC34AE"/>
    <w:rsid w:val="00FC668C"/>
    <w:rsid w:val="00FD5C58"/>
    <w:rsid w:val="00FE0296"/>
    <w:rsid w:val="00FE50C5"/>
    <w:rsid w:val="00FE6F67"/>
    <w:rsid w:val="00FF315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278D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FA0308"/>
    <w:pPr>
      <w:ind w:left="720"/>
      <w:contextualSpacing/>
    </w:pPr>
  </w:style>
  <w:style w:type="table" w:styleId="TableGrid">
    <w:name w:val="Table Grid"/>
    <w:basedOn w:val="TableNormal"/>
    <w:uiPriority w:val="39"/>
    <w:rsid w:val="00974A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166831">
      <w:bodyDiv w:val="1"/>
      <w:marLeft w:val="0"/>
      <w:marRight w:val="0"/>
      <w:marTop w:val="0"/>
      <w:marBottom w:val="0"/>
      <w:divBdr>
        <w:top w:val="none" w:sz="0" w:space="0" w:color="auto"/>
        <w:left w:val="none" w:sz="0" w:space="0" w:color="auto"/>
        <w:bottom w:val="none" w:sz="0" w:space="0" w:color="auto"/>
        <w:right w:val="none" w:sz="0" w:space="0" w:color="auto"/>
      </w:divBdr>
    </w:div>
    <w:div w:id="436562489">
      <w:bodyDiv w:val="1"/>
      <w:marLeft w:val="0"/>
      <w:marRight w:val="0"/>
      <w:marTop w:val="0"/>
      <w:marBottom w:val="0"/>
      <w:divBdr>
        <w:top w:val="none" w:sz="0" w:space="0" w:color="auto"/>
        <w:left w:val="none" w:sz="0" w:space="0" w:color="auto"/>
        <w:bottom w:val="none" w:sz="0" w:space="0" w:color="auto"/>
        <w:right w:val="none" w:sz="0" w:space="0" w:color="auto"/>
      </w:divBdr>
    </w:div>
    <w:div w:id="192992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D7D07"/>
    <w:rsid w:val="003E7A1C"/>
    <w:rsid w:val="00480AE9"/>
    <w:rsid w:val="0083132B"/>
    <w:rsid w:val="00862B8B"/>
    <w:rsid w:val="00A34C42"/>
    <w:rsid w:val="00BC1251"/>
    <w:rsid w:val="00C67429"/>
    <w:rsid w:val="00FC1F9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C98C68-DF82-42E3-A68C-D8B5414A32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Analysis of the Financial Statements</dc:subject>
  <dc:creator>Marie Pitson</dc:creator>
  <cp:keywords/>
  <dc:description/>
  <cp:lastModifiedBy>Mohamed Ashraful Mallik (2012833)</cp:lastModifiedBy>
  <cp:revision>3</cp:revision>
  <dcterms:created xsi:type="dcterms:W3CDTF">2022-02-10T01:04:00Z</dcterms:created>
  <dcterms:modified xsi:type="dcterms:W3CDTF">2022-02-10T01:05:00Z</dcterms:modified>
</cp:coreProperties>
</file>