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7851714"/>
        <w:docPartObj>
          <w:docPartGallery w:val="Cover Pages"/>
          <w:docPartUnique/>
        </w:docPartObj>
      </w:sdtPr>
      <w:sdtEndPr>
        <w:rPr>
          <w:rFonts w:ascii="Arial" w:hAnsi="Arial" w:cs="Arial"/>
          <w:sz w:val="24"/>
          <w:szCs w:val="24"/>
        </w:rPr>
      </w:sdtEndPr>
      <w:sdtContent>
        <w:p w14:paraId="32EDD5E9" w14:textId="4DA31E26" w:rsidR="0051674A" w:rsidRPr="002258C5" w:rsidRDefault="0051674A">
          <w:pPr>
            <w:rPr>
              <w:rFonts w:ascii="Arial" w:hAnsi="Arial" w:cs="Arial"/>
              <w:sz w:val="24"/>
              <w:szCs w:val="24"/>
            </w:rPr>
          </w:pPr>
          <w:r>
            <w:rPr>
              <w:noProof/>
            </w:rPr>
            <mc:AlternateContent>
              <mc:Choice Requires="wpg">
                <w:drawing>
                  <wp:anchor distT="0" distB="0" distL="114300" distR="114300" simplePos="0" relativeHeight="251662336" behindDoc="0" locked="0" layoutInCell="1" allowOverlap="1" wp14:anchorId="69341286" wp14:editId="05C8716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5959F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p>
        <w:p w14:paraId="73BDF8DF" w14:textId="77777777" w:rsidR="00F32801" w:rsidRDefault="002258C5">
          <w:pPr>
            <w:rPr>
              <w:rFonts w:ascii="Arial" w:hAnsi="Arial" w:cs="Arial"/>
              <w:sz w:val="24"/>
              <w:szCs w:val="24"/>
            </w:rPr>
          </w:pPr>
          <w:r w:rsidRPr="002258C5">
            <w:rPr>
              <w:rFonts w:ascii="Arial" w:hAnsi="Arial" w:cs="Arial"/>
              <w:noProof/>
              <w:sz w:val="24"/>
              <w:szCs w:val="24"/>
            </w:rPr>
            <mc:AlternateContent>
              <mc:Choice Requires="wps">
                <w:drawing>
                  <wp:anchor distT="0" distB="0" distL="114300" distR="114300" simplePos="0" relativeHeight="251666432" behindDoc="0" locked="0" layoutInCell="1" allowOverlap="1" wp14:anchorId="496A7D64" wp14:editId="58032527">
                    <wp:simplePos x="0" y="0"/>
                    <wp:positionH relativeFrom="column">
                      <wp:posOffset>-7620</wp:posOffset>
                    </wp:positionH>
                    <wp:positionV relativeFrom="paragraph">
                      <wp:posOffset>1615440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A2B355C" w14:textId="05AE5072" w:rsidR="0051674A" w:rsidRPr="002258C5" w:rsidRDefault="0051674A" w:rsidP="0051674A">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58C5">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Personnel Resourcing and Development </w:t>
                                </w:r>
                              </w:p>
                              <w:p w14:paraId="62D47F0E" w14:textId="77F15D55" w:rsidR="0051674A" w:rsidRPr="002258C5" w:rsidRDefault="0051674A" w:rsidP="0051674A">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58C5">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BMIH5005</w:t>
                                </w:r>
                              </w:p>
                              <w:p w14:paraId="40B02CBE" w14:textId="445F5FB2" w:rsidR="0051674A" w:rsidRPr="002258C5" w:rsidRDefault="0051674A" w:rsidP="0051674A">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58C5">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Level 5 </w:t>
                                </w:r>
                              </w:p>
                              <w:p w14:paraId="19E6F713" w14:textId="77777777" w:rsidR="0051674A" w:rsidRPr="0051674A" w:rsidRDefault="0051674A" w:rsidP="0051674A">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496A7D64" id="_x0000_t202" coordsize="21600,21600" o:spt="202" path="m,l,21600r21600,l21600,xe">
                    <v:stroke joinstyle="miter"/>
                    <v:path gradientshapeok="t" o:connecttype="rect"/>
                  </v:shapetype>
                  <v:shape id="Text Box 2" o:spid="_x0000_s1026" type="#_x0000_t202" style="position:absolute;margin-left:-.6pt;margin-top:127.2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" filled="f" stroked="f">
                    <v:fill o:detectmouseclick="t"/>
                    <v:textbox style="mso-fit-shape-to-text:t">
                      <w:txbxContent>
                        <w:p w14:paraId="7A2B355C" w14:textId="05AE5072" w:rsidR="0051674A" w:rsidRPr="002258C5" w:rsidRDefault="0051674A" w:rsidP="0051674A">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58C5">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Personnel Resourcing and Development </w:t>
                          </w:r>
                        </w:p>
                        <w:p w14:paraId="62D47F0E" w14:textId="77F15D55" w:rsidR="0051674A" w:rsidRPr="002258C5" w:rsidRDefault="0051674A" w:rsidP="0051674A">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58C5">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BMIH5005</w:t>
                          </w:r>
                        </w:p>
                        <w:p w14:paraId="40B02CBE" w14:textId="445F5FB2" w:rsidR="0051674A" w:rsidRPr="002258C5" w:rsidRDefault="0051674A" w:rsidP="0051674A">
                          <w:pPr>
                            <w:jc w:val="center"/>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58C5">
                            <w:rPr>
                              <w:rFonts w:ascii="Arial" w:hAnsi="Arial" w:cs="Arial"/>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Level 5 </w:t>
                          </w:r>
                        </w:p>
                        <w:p w14:paraId="19E6F713" w14:textId="77777777" w:rsidR="0051674A" w:rsidRPr="0051674A" w:rsidRDefault="0051674A" w:rsidP="0051674A">
                          <w:pPr>
                            <w:jc w:val="cente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v:shape>
                </w:pict>
              </mc:Fallback>
            </mc:AlternateContent>
          </w:r>
          <w:r w:rsidR="0051674A" w:rsidRPr="002258C5">
            <w:rPr>
              <w:rFonts w:ascii="Arial" w:hAnsi="Arial" w:cs="Arial"/>
              <w:noProof/>
              <w:sz w:val="24"/>
              <w:szCs w:val="24"/>
            </w:rPr>
            <mc:AlternateContent>
              <mc:Choice Requires="wps">
                <w:drawing>
                  <wp:anchor distT="45720" distB="45720" distL="114300" distR="114300" simplePos="0" relativeHeight="251668480" behindDoc="0" locked="0" layoutInCell="1" allowOverlap="1" wp14:anchorId="7077057B" wp14:editId="6463CD38">
                    <wp:simplePos x="0" y="0"/>
                    <wp:positionH relativeFrom="column">
                      <wp:posOffset>1417320</wp:posOffset>
                    </wp:positionH>
                    <wp:positionV relativeFrom="paragraph">
                      <wp:posOffset>7071995</wp:posOffset>
                    </wp:positionV>
                    <wp:extent cx="3276600" cy="1404620"/>
                    <wp:effectExtent l="0" t="0" r="0" b="82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1404620"/>
                            </a:xfrm>
                            <a:prstGeom prst="rect">
                              <a:avLst/>
                            </a:prstGeom>
                            <a:solidFill>
                              <a:srgbClr val="FFFFFF"/>
                            </a:solidFill>
                            <a:ln w="9525">
                              <a:noFill/>
                              <a:miter lim="800000"/>
                              <a:headEnd/>
                              <a:tailEnd/>
                            </a:ln>
                          </wps:spPr>
                          <wps:txbx>
                            <w:txbxContent>
                              <w:p w14:paraId="31365183" w14:textId="41B83079" w:rsidR="0051674A" w:rsidRPr="002258C5" w:rsidRDefault="0051674A">
                                <w:pPr>
                                  <w:rPr>
                                    <w:rFonts w:ascii="Arial" w:hAnsi="Arial" w:cs="Arial"/>
                                    <w:sz w:val="44"/>
                                    <w:szCs w:val="44"/>
                                  </w:rPr>
                                </w:pPr>
                                <w:r w:rsidRPr="002258C5">
                                  <w:rPr>
                                    <w:rFonts w:ascii="Arial" w:hAnsi="Arial" w:cs="Arial"/>
                                    <w:sz w:val="44"/>
                                    <w:szCs w:val="44"/>
                                  </w:rPr>
                                  <w:t>Emily Williams</w:t>
                                </w:r>
                              </w:p>
                              <w:p w14:paraId="52285A0A" w14:textId="71130CE5" w:rsidR="0051674A" w:rsidRPr="002258C5" w:rsidRDefault="0051674A">
                                <w:pPr>
                                  <w:rPr>
                                    <w:rFonts w:ascii="Arial" w:hAnsi="Arial" w:cs="Arial"/>
                                    <w:sz w:val="44"/>
                                    <w:szCs w:val="44"/>
                                  </w:rPr>
                                </w:pPr>
                              </w:p>
                              <w:p w14:paraId="02E2902D" w14:textId="3A2C2885" w:rsidR="0051674A" w:rsidRPr="002258C5" w:rsidRDefault="0051674A">
                                <w:pPr>
                                  <w:rPr>
                                    <w:rFonts w:ascii="Arial" w:hAnsi="Arial" w:cs="Arial"/>
                                    <w:sz w:val="44"/>
                                    <w:szCs w:val="44"/>
                                  </w:rPr>
                                </w:pPr>
                                <w:r w:rsidRPr="002258C5">
                                  <w:rPr>
                                    <w:rFonts w:ascii="Arial" w:hAnsi="Arial" w:cs="Arial"/>
                                    <w:sz w:val="44"/>
                                    <w:szCs w:val="44"/>
                                  </w:rPr>
                                  <w:t xml:space="preserve">Milon Miah -1909933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77057B" id="_x0000_s1027" type="#_x0000_t202" style="position:absolute;margin-left:111.6pt;margin-top:556.85pt;width:258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" stroked="f">
                    <v:textbox style="mso-fit-shape-to-text:t">
                      <w:txbxContent>
                        <w:p w14:paraId="31365183" w14:textId="41B83079" w:rsidR="0051674A" w:rsidRPr="002258C5" w:rsidRDefault="0051674A">
                          <w:pPr>
                            <w:rPr>
                              <w:rFonts w:ascii="Arial" w:hAnsi="Arial" w:cs="Arial"/>
                              <w:sz w:val="44"/>
                              <w:szCs w:val="44"/>
                            </w:rPr>
                          </w:pPr>
                          <w:r w:rsidRPr="002258C5">
                            <w:rPr>
                              <w:rFonts w:ascii="Arial" w:hAnsi="Arial" w:cs="Arial"/>
                              <w:sz w:val="44"/>
                              <w:szCs w:val="44"/>
                            </w:rPr>
                            <w:t>Emily Williams</w:t>
                          </w:r>
                        </w:p>
                        <w:p w14:paraId="52285A0A" w14:textId="71130CE5" w:rsidR="0051674A" w:rsidRPr="002258C5" w:rsidRDefault="0051674A">
                          <w:pPr>
                            <w:rPr>
                              <w:rFonts w:ascii="Arial" w:hAnsi="Arial" w:cs="Arial"/>
                              <w:sz w:val="44"/>
                              <w:szCs w:val="44"/>
                            </w:rPr>
                          </w:pPr>
                        </w:p>
                        <w:p w14:paraId="02E2902D" w14:textId="3A2C2885" w:rsidR="0051674A" w:rsidRPr="002258C5" w:rsidRDefault="0051674A">
                          <w:pPr>
                            <w:rPr>
                              <w:rFonts w:ascii="Arial" w:hAnsi="Arial" w:cs="Arial"/>
                              <w:sz w:val="44"/>
                              <w:szCs w:val="44"/>
                            </w:rPr>
                          </w:pPr>
                          <w:r w:rsidRPr="002258C5">
                            <w:rPr>
                              <w:rFonts w:ascii="Arial" w:hAnsi="Arial" w:cs="Arial"/>
                              <w:sz w:val="44"/>
                              <w:szCs w:val="44"/>
                            </w:rPr>
                            <w:t xml:space="preserve">Milon Miah -1909933 </w:t>
                          </w:r>
                        </w:p>
                      </w:txbxContent>
                    </v:textbox>
                    <w10:wrap type="square"/>
                  </v:shape>
                </w:pict>
              </mc:Fallback>
            </mc:AlternateContent>
          </w:r>
          <w:r w:rsidR="0051674A" w:rsidRPr="002258C5">
            <w:rPr>
              <w:rFonts w:ascii="Arial" w:hAnsi="Arial" w:cs="Arial"/>
              <w:sz w:val="24"/>
              <w:szCs w:val="24"/>
            </w:rPr>
            <w:t xml:space="preserve">Personnel Resourcing and </w:t>
          </w:r>
          <w:r w:rsidR="0051674A" w:rsidRPr="002258C5">
            <w:rPr>
              <w:rFonts w:ascii="Arial" w:hAnsi="Arial" w:cs="Arial"/>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Development</w:t>
          </w:r>
          <w:r w:rsidR="0051674A" w:rsidRPr="002258C5">
            <w:rPr>
              <w:rFonts w:ascii="Arial" w:hAnsi="Arial" w:cs="Arial"/>
              <w:sz w:val="24"/>
              <w:szCs w:val="24"/>
            </w:rPr>
            <w:t xml:space="preserve"> – BMIH5005</w:t>
          </w:r>
          <w:r w:rsidR="0051674A" w:rsidRPr="002258C5">
            <w:rPr>
              <w:rFonts w:ascii="Arial" w:hAnsi="Arial" w:cs="Arial"/>
              <w:noProof/>
              <w:sz w:val="24"/>
              <w:szCs w:val="24"/>
            </w:rPr>
            <mc:AlternateContent>
              <mc:Choice Requires="wps">
                <w:drawing>
                  <wp:anchor distT="0" distB="0" distL="114300" distR="114300" simplePos="0" relativeHeight="251664384" behindDoc="0" locked="0" layoutInCell="1" allowOverlap="1" wp14:anchorId="0B4656EE" wp14:editId="2CC21B59">
                    <wp:simplePos x="0" y="0"/>
                    <wp:positionH relativeFrom="column">
                      <wp:posOffset>0</wp:posOffset>
                    </wp:positionH>
                    <wp:positionV relativeFrom="paragraph">
                      <wp:posOffset>-1270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FF77FAF" w14:textId="63C4F2E9" w:rsidR="0051674A" w:rsidRPr="0051674A" w:rsidRDefault="0051674A" w:rsidP="0051674A">
                                <w:pPr>
                                  <w:rPr>
                                    <w:smallCaps/>
                                    <w:color w:val="404040" w:themeColor="text1" w:themeTint="BF"/>
                                    <w:sz w:val="44"/>
                                    <w:szCs w:val="44"/>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B4656EE" id="Text Box 1" o:spid="_x0000_s1028" type="#_x0000_t202" style="position:absolute;margin-left:0;margin-top:-.1pt;width:2in;height:2in;z-index:25166438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k7GE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" filled="f" stroked="f">
                    <v:fill o:detectmouseclick="t"/>
                    <v:textbox style="mso-fit-shape-to-text:t">
                      <w:txbxContent>
                        <w:p w14:paraId="4FF77FAF" w14:textId="63C4F2E9" w:rsidR="0051674A" w:rsidRPr="0051674A" w:rsidRDefault="0051674A" w:rsidP="0051674A">
                          <w:pPr>
                            <w:rPr>
                              <w:smallCaps/>
                              <w:color w:val="404040" w:themeColor="text1" w:themeTint="BF"/>
                              <w:sz w:val="44"/>
                              <w:szCs w:val="44"/>
                            </w:rPr>
                          </w:pPr>
                        </w:p>
                      </w:txbxContent>
                    </v:textbox>
                  </v:shape>
                </w:pict>
              </mc:Fallback>
            </mc:AlternateContent>
          </w:r>
        </w:p>
        <w:p w14:paraId="6410ADE5" w14:textId="72BEF1E8" w:rsidR="00F32801" w:rsidRDefault="00F32801" w:rsidP="00F32801">
          <w:pPr>
            <w:spacing w:line="259" w:lineRule="auto"/>
            <w:rPr>
              <w:rFonts w:ascii="Arial" w:hAnsi="Arial" w:cs="Arial"/>
              <w:sz w:val="24"/>
              <w:szCs w:val="24"/>
            </w:rPr>
          </w:pPr>
          <w:r>
            <w:rPr>
              <w:rFonts w:ascii="Arial" w:hAnsi="Arial" w:cs="Arial"/>
              <w:sz w:val="24"/>
              <w:szCs w:val="24"/>
            </w:rPr>
            <w:br w:type="page"/>
          </w:r>
        </w:p>
      </w:sdtContent>
    </w:sdt>
    <w:p w14:paraId="6E34E550" w14:textId="23E00446" w:rsidR="00F32801" w:rsidRPr="00F32801" w:rsidRDefault="00F32801" w:rsidP="00F32801">
      <w:pPr>
        <w:spacing w:line="360" w:lineRule="auto"/>
        <w:jc w:val="both"/>
        <w:rPr>
          <w:rFonts w:ascii="Arial" w:hAnsi="Arial" w:cs="Arial"/>
          <w:sz w:val="24"/>
          <w:szCs w:val="24"/>
        </w:rPr>
      </w:pPr>
      <w:r w:rsidRPr="00F32801">
        <w:rPr>
          <w:rFonts w:ascii="Arial" w:eastAsia="Times New Roman" w:hAnsi="Arial" w:cs="Arial"/>
          <w:b/>
          <w:bCs/>
          <w:color w:val="000000"/>
          <w:sz w:val="24"/>
          <w:szCs w:val="24"/>
          <w:u w:val="single"/>
          <w:lang w:eastAsia="en-GB"/>
        </w:rPr>
        <w:lastRenderedPageBreak/>
        <w:t>The impact of COVID19 and Rebuilding the Workforce in Hotel Trinity</w:t>
      </w:r>
    </w:p>
    <w:p w14:paraId="7E4E18FB" w14:textId="5CDC20B9"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This essay will explore the impact that Covid19 has had on Hotel Trinity’s employment. More specifically, the essay will analyse current labour markets, and consider ways in which Trinity Hotel can rebuild their workforce considering redundancies and employees being furloughed. Furlough refers to granting employees temporary leave because of exceptional circumstances, in this case the coronavirus outbreak</w:t>
      </w:r>
      <w:r w:rsidR="00131309">
        <w:rPr>
          <w:rFonts w:ascii="Arial" w:eastAsia="Times New Roman" w:hAnsi="Arial" w:cs="Arial"/>
          <w:color w:val="000000"/>
          <w:sz w:val="24"/>
          <w:szCs w:val="24"/>
          <w:lang w:eastAsia="en-GB"/>
        </w:rPr>
        <w:t xml:space="preserve">. </w:t>
      </w:r>
      <w:r w:rsidRPr="00F32801">
        <w:rPr>
          <w:rFonts w:ascii="Arial" w:eastAsia="Times New Roman" w:hAnsi="Arial" w:cs="Arial"/>
          <w:color w:val="000000"/>
          <w:sz w:val="24"/>
          <w:szCs w:val="24"/>
          <w:lang w:eastAsia="en-GB"/>
        </w:rPr>
        <w:t>This essay will also refer to both the employee lifecycle and PESTLE analysis. The employee lifecycle is a model and organisational method that is utilized to explain how an employee engages with its employer</w:t>
      </w:r>
      <w:r w:rsidR="00362AD5">
        <w:rPr>
          <w:rFonts w:ascii="Arial" w:eastAsia="Times New Roman" w:hAnsi="Arial" w:cs="Arial"/>
          <w:color w:val="000000"/>
          <w:sz w:val="24"/>
          <w:szCs w:val="24"/>
          <w:lang w:eastAsia="en-GB"/>
        </w:rPr>
        <w:t xml:space="preserve"> </w:t>
      </w:r>
      <w:r w:rsidR="00362AD5" w:rsidRPr="00362AD5">
        <w:rPr>
          <w:rFonts w:ascii="Arial" w:eastAsia="Times New Roman" w:hAnsi="Arial" w:cs="Arial"/>
          <w:color w:val="000000"/>
          <w:sz w:val="24"/>
          <w:szCs w:val="24"/>
          <w:lang w:eastAsia="en-GB"/>
        </w:rPr>
        <w:t>(Cattermole, 2019</w:t>
      </w:r>
      <w:r w:rsidRPr="00F32801">
        <w:rPr>
          <w:rFonts w:ascii="Arial" w:eastAsia="Times New Roman" w:hAnsi="Arial" w:cs="Arial"/>
          <w:color w:val="000000"/>
          <w:sz w:val="24"/>
          <w:szCs w:val="24"/>
          <w:lang w:eastAsia="en-GB"/>
        </w:rPr>
        <w:t>). </w:t>
      </w:r>
    </w:p>
    <w:p w14:paraId="15215D2E"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2C6A11AD" w14:textId="7E56991F" w:rsid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Covid19 has had a great impact on the day-to-day operations of Hotel Trinity. The ongoing pandemic has resulted in major changes in the hotel industry and has proven to be a time of difficulty. The nationwide lockdown meant that in May 2021, numerous Hotels including Trinity temporarily closed. This is because working from home is not applicable in the hotel industry. Moreover, although furlough was made available in aiding the organisation in retaining its employees, it was not feasible to sustain this long term. Unfortunately, this led to Trinity making a substantial segment of its workforce redundant. Hotel Trinity has since reopened operations in April 2021, however, the impact of Covid19 has left a mark and Trinity is now required to rebuild its workforce. Since Trinity reopened, it also needs to facilitate a return which abides by the COVID-secure workplace (CIPD, 2020).</w:t>
      </w:r>
    </w:p>
    <w:p w14:paraId="5B3D2AF4" w14:textId="77777777" w:rsidR="00131309" w:rsidRPr="00F32801" w:rsidRDefault="00131309" w:rsidP="00F32801">
      <w:pPr>
        <w:spacing w:after="0" w:line="360" w:lineRule="auto"/>
        <w:jc w:val="both"/>
        <w:rPr>
          <w:rFonts w:ascii="Arial" w:eastAsia="Times New Roman" w:hAnsi="Arial" w:cs="Arial"/>
          <w:sz w:val="24"/>
          <w:szCs w:val="24"/>
          <w:lang w:eastAsia="en-GB"/>
        </w:rPr>
      </w:pPr>
    </w:p>
    <w:p w14:paraId="14693D84" w14:textId="04A5CBAC"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It can be noted that Covid19 has impacted several aspects of Hotel Trinity. These are political, economic, sociological, technological, legal, and environmental impacts; PESTEL analysis. A political impact is that Covid19 meant that most of the world was on lockdown and there were long-term travel bans. This meant that tourism had come to a halt. This resulted in a lack of income from foreign customers as well as locals. Although the bans are slowly being lifted, there are still some countries that are not allowed to travel to the UK (</w:t>
      </w:r>
      <w:r w:rsidRPr="00F32801">
        <w:rPr>
          <w:rFonts w:ascii="Arial" w:eastAsia="Times New Roman" w:hAnsi="Arial" w:cs="Arial"/>
          <w:color w:val="000000"/>
          <w:sz w:val="24"/>
          <w:szCs w:val="24"/>
          <w:shd w:val="clear" w:color="auto" w:fill="FFFFFF"/>
          <w:lang w:eastAsia="en-GB"/>
        </w:rPr>
        <w:t>Farooq, 2021</w:t>
      </w:r>
      <w:r w:rsidRPr="00F32801">
        <w:rPr>
          <w:rFonts w:ascii="Arial" w:eastAsia="Times New Roman" w:hAnsi="Arial" w:cs="Arial"/>
          <w:color w:val="000000"/>
          <w:sz w:val="24"/>
          <w:szCs w:val="24"/>
          <w:lang w:eastAsia="en-GB"/>
        </w:rPr>
        <w:t>).</w:t>
      </w:r>
    </w:p>
    <w:p w14:paraId="2469A82D"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04659B2C" w14:textId="77777777"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 xml:space="preserve">Covid19 has had an economic impact on Hotel Trinity. Covid19 meant that there were high levels of unemployment, and a mini economic crisis. This means that there was decreased levels of disposable income, which means that although hotels have </w:t>
      </w:r>
      <w:r w:rsidRPr="00F32801">
        <w:rPr>
          <w:rFonts w:ascii="Arial" w:eastAsia="Times New Roman" w:hAnsi="Arial" w:cs="Arial"/>
          <w:color w:val="000000"/>
          <w:sz w:val="24"/>
          <w:szCs w:val="24"/>
          <w:lang w:eastAsia="en-GB"/>
        </w:rPr>
        <w:lastRenderedPageBreak/>
        <w:t>opened for business, people still lack funds. Recessions also impact the type of hotels people will stay at. At times of financial difficulty, people are less likely to stay at luxury hotels, and will opt to stay at more affordable alternatives (Condor Ferries ltd, 2021). </w:t>
      </w:r>
    </w:p>
    <w:p w14:paraId="48FE8BC6"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3BE5DEF4" w14:textId="156744C5"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 xml:space="preserve">Furthermore, there is also a sociological impact that covid19 has had on Hotel Trinity. For example, governments and health and safety boards have issued warnings to people travelling. During the peak of covid19, people were told to stay indoors which meant no business. Even though Hotels have opened for business, people are still very cautious and are wary that covid19 is still an issue and infections remain. This means that there is a stigma that is now attached to staying in places except one's home </w:t>
      </w:r>
      <w:r w:rsidRPr="00F32801">
        <w:rPr>
          <w:rFonts w:ascii="Arial" w:eastAsia="Times New Roman" w:hAnsi="Arial" w:cs="Arial"/>
          <w:color w:val="000000"/>
          <w:sz w:val="24"/>
          <w:szCs w:val="24"/>
          <w:shd w:val="clear" w:color="auto" w:fill="FFFFFF"/>
          <w:lang w:eastAsia="en-GB"/>
        </w:rPr>
        <w:t>(Farooq, 2021</w:t>
      </w:r>
      <w:r w:rsidRPr="00F32801">
        <w:rPr>
          <w:rFonts w:ascii="Arial" w:eastAsia="Times New Roman" w:hAnsi="Arial" w:cs="Arial"/>
          <w:color w:val="000000"/>
          <w:sz w:val="24"/>
          <w:szCs w:val="24"/>
          <w:lang w:eastAsia="en-GB"/>
        </w:rPr>
        <w:t>).</w:t>
      </w:r>
    </w:p>
    <w:p w14:paraId="35C5F057"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7CA70829" w14:textId="77777777"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shd w:val="clear" w:color="auto" w:fill="FFFFFF"/>
          <w:lang w:eastAsia="en-GB"/>
        </w:rPr>
        <w:t>Technological impacts can also be seen due to Covid19. Face-to-face contact is now frowned upon, and people are leaning towards online and no contact dealings. This means that people are cautious about booking, checking in and checking out from hotels in person. This can be combated by Hotel Trinity by utilising online platforms. For example, by adopting online booking facilities directly or through third-party apps. This means that customers can book from anywhere and face to face contact will be minimised. </w:t>
      </w:r>
    </w:p>
    <w:p w14:paraId="2EF0FEB6"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6E6862A8" w14:textId="77777777"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shd w:val="clear" w:color="auto" w:fill="FFFFFF"/>
          <w:lang w:eastAsia="en-GB"/>
        </w:rPr>
        <w:t>Environmental issues are another component of Pestel analysis that can be used to show the impact that Covid19 has had on Hotel Trinity. Huge losses because of non-operation may mean that the hotel must now revise its budget and spending and switch to more sustainable resources to carry on operating (Financial Support for Jobs and Businesses, 2021). </w:t>
      </w:r>
    </w:p>
    <w:p w14:paraId="359DBF5E"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7FC34832" w14:textId="77777777"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shd w:val="clear" w:color="auto" w:fill="FFFFFF"/>
          <w:lang w:eastAsia="en-GB"/>
        </w:rPr>
        <w:t>There have been changes in law due to covid19 that will affect the Hotel industry. One of which is health and safety law, in which companies will be forced to take extra precaution and steps to ensure that their premises are up to standard in line with covid regulation. Many organizations will also need to make sure they implement covid19 tracking and trace systems. Governments have also introduced financial support for business such as the recovery loan scheme and coronavirus job retention scheme which can be utilized by Trinity (Government Support for the Tourism, Hospitality and Leisure Sector | GC Business Growth Hub, 2021). </w:t>
      </w:r>
    </w:p>
    <w:p w14:paraId="55732516" w14:textId="796A3DBC" w:rsidR="00F32801" w:rsidRPr="00F32801" w:rsidRDefault="00F32801" w:rsidP="00F32801">
      <w:pPr>
        <w:shd w:val="clear" w:color="auto" w:fill="FFFFFF"/>
        <w:spacing w:after="0" w:line="360" w:lineRule="auto"/>
        <w:jc w:val="both"/>
        <w:rPr>
          <w:rFonts w:ascii="Arial" w:eastAsia="Times New Roman" w:hAnsi="Arial" w:cs="Arial"/>
          <w:sz w:val="24"/>
          <w:szCs w:val="24"/>
          <w:lang w:eastAsia="en-GB"/>
        </w:rPr>
      </w:pPr>
      <w:r w:rsidRPr="00F32801">
        <w:rPr>
          <w:rFonts w:ascii="Arial" w:eastAsia="Times New Roman" w:hAnsi="Arial" w:cs="Arial"/>
          <w:sz w:val="24"/>
          <w:szCs w:val="24"/>
          <w:lang w:eastAsia="en-GB"/>
        </w:rPr>
        <w:lastRenderedPageBreak/>
        <w:t> </w:t>
      </w:r>
    </w:p>
    <w:p w14:paraId="0B9D0B68" w14:textId="59B9FC25"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 xml:space="preserve">Change Management refers to the strategic planning of solving and managing problems/situations. The process of change management is to plan, take initiative, realise and stabilise the change. Change is a continuous process and there are two types of change: organisational development and reengineering. Organisational development is defined as a gradual incline approach to change. It is based on combining corporate and individual employee objectives to meet the goals required. Reengineering change is a more of a structural change, known as corporate or business transformations, where all aspects of the business is reinvented. Due to Covid19 Hotel Trinity must adopt effective change management as the circumstances beyond their control have now become issues. For example, having a plan in place to overcome covid restrictions that may come back into force, such as lockdowns or staff ratios is of priority when maintaining the hotel </w:t>
      </w:r>
      <w:r w:rsidRPr="00F32801">
        <w:rPr>
          <w:rFonts w:ascii="Arial" w:eastAsia="Times New Roman" w:hAnsi="Arial" w:cs="Arial"/>
          <w:color w:val="000000"/>
          <w:sz w:val="24"/>
          <w:szCs w:val="24"/>
          <w:shd w:val="clear" w:color="auto" w:fill="FFFFFF"/>
          <w:lang w:eastAsia="en-GB"/>
        </w:rPr>
        <w:t>(Managing Change, 2021</w:t>
      </w:r>
      <w:r w:rsidRPr="00F32801">
        <w:rPr>
          <w:rFonts w:ascii="Arial" w:eastAsia="Times New Roman" w:hAnsi="Arial" w:cs="Arial"/>
          <w:color w:val="000000"/>
          <w:sz w:val="24"/>
          <w:szCs w:val="24"/>
          <w:lang w:eastAsia="en-GB"/>
        </w:rPr>
        <w:t>). </w:t>
      </w:r>
    </w:p>
    <w:p w14:paraId="4F0B0510"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22CB47E2" w14:textId="117671B2"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 xml:space="preserve">Personnel resourcing refers to use of Human Resource Management (HR) regarding the obtaining and retaining of their workforce. Human Resource Management can be defined as the organisation's approach (coherent and strategic) to their assets. In this case, the employees (Armstrong, 2006). HR consists of activities to obtain and retain employment such as employee relations, employee development and reward management. Having strong and effective HR management is key to Hotel Trinity in rebuilding its workforce in the aspects of obtaining and retaining a workforce. In terms of obtaining employment, HR plays a key role in the recruitment, </w:t>
      </w:r>
      <w:r w:rsidR="000A19B0" w:rsidRPr="00F32801">
        <w:rPr>
          <w:rFonts w:ascii="Arial" w:eastAsia="Times New Roman" w:hAnsi="Arial" w:cs="Arial"/>
          <w:color w:val="000000"/>
          <w:sz w:val="24"/>
          <w:szCs w:val="24"/>
          <w:lang w:eastAsia="en-GB"/>
        </w:rPr>
        <w:t>selection,</w:t>
      </w:r>
      <w:r w:rsidRPr="00F32801">
        <w:rPr>
          <w:rFonts w:ascii="Arial" w:eastAsia="Times New Roman" w:hAnsi="Arial" w:cs="Arial"/>
          <w:color w:val="000000"/>
          <w:sz w:val="24"/>
          <w:szCs w:val="24"/>
          <w:lang w:eastAsia="en-GB"/>
        </w:rPr>
        <w:t xml:space="preserve"> and placement of employees. Considering Covid19, Hotel Trinity will need to adapt to the difficulties in the recruitment process. Due to the risk of infection and transmitting the virus, they can hold interviews online, and switch to online capability tests as opposed to face-to-face and in person. In terms of rebuilding the retainment measures, HR can also play a pivotal role. For example, absence management and redundancy. Considering Covid19, there is likely to be more absences due to the infection rates and increased number of illnesses. This means that Hotel Trinity may wish to adopt a lenient approach to absences and allow employees time off due to illness without repercussions (e.g. redundancies). Furthermore, HR management can be utilised by Hotel Trinity in terms of career development and training in rebuilding the workforce. Covid19 means that health and safety measures will need to be updated in light with safety guidance, and all employees will be required to be retrained. HR management </w:t>
      </w:r>
      <w:r w:rsidRPr="00F32801">
        <w:rPr>
          <w:rFonts w:ascii="Arial" w:eastAsia="Times New Roman" w:hAnsi="Arial" w:cs="Arial"/>
          <w:color w:val="000000"/>
          <w:sz w:val="24"/>
          <w:szCs w:val="24"/>
          <w:lang w:eastAsia="en-GB"/>
        </w:rPr>
        <w:lastRenderedPageBreak/>
        <w:t>can be used in helping employees have access and support to these new training methods. For example, online courses on how to clean, sanitise and prepare rooms in relation to Covid19 (</w:t>
      </w:r>
      <w:proofErr w:type="spellStart"/>
      <w:r w:rsidRPr="00F32801">
        <w:rPr>
          <w:rFonts w:ascii="Arial" w:eastAsia="Times New Roman" w:hAnsi="Arial" w:cs="Arial"/>
          <w:color w:val="000000"/>
          <w:sz w:val="24"/>
          <w:szCs w:val="24"/>
          <w:lang w:eastAsia="en-GB"/>
        </w:rPr>
        <w:t>Roehling</w:t>
      </w:r>
      <w:proofErr w:type="spellEnd"/>
      <w:r w:rsidRPr="00F32801">
        <w:rPr>
          <w:rFonts w:ascii="Arial" w:eastAsia="Times New Roman" w:hAnsi="Arial" w:cs="Arial"/>
          <w:color w:val="000000"/>
          <w:sz w:val="24"/>
          <w:szCs w:val="24"/>
          <w:lang w:eastAsia="en-GB"/>
        </w:rPr>
        <w:t xml:space="preserve"> et al, 2005). </w:t>
      </w:r>
    </w:p>
    <w:p w14:paraId="6B917E4B"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47A6F13E" w14:textId="161FC0AC"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 xml:space="preserve">The Employee Lifecycle can also be adopted by Hotel Trinity to rebuild their workforce due to the impact of Covid19. One way in which they can do so is improvements to the attraction component of the employee lifecycle. Attracting workers may be problematic as working physically is no longer desired by workers due to Covid19. Hotel Trinity must make changes to attract new and correct talent. For example, making sure that the workplace is safe and ready to combat Covid19. This can be in the form of having health and safety measures to protect workers against clients (e.g., face shields). This will make working for Trinity more attractive as the fear of catching Covid19 is now important </w:t>
      </w:r>
      <w:r w:rsidRPr="00F32801">
        <w:rPr>
          <w:rFonts w:ascii="Arial" w:eastAsia="Times New Roman" w:hAnsi="Arial" w:cs="Arial"/>
          <w:color w:val="000000"/>
          <w:sz w:val="24"/>
          <w:szCs w:val="24"/>
          <w:shd w:val="clear" w:color="auto" w:fill="FFFFFF"/>
          <w:lang w:eastAsia="en-GB"/>
        </w:rPr>
        <w:t>(</w:t>
      </w:r>
      <w:proofErr w:type="spellStart"/>
      <w:r w:rsidRPr="00F32801">
        <w:rPr>
          <w:rFonts w:ascii="Arial" w:eastAsia="Times New Roman" w:hAnsi="Arial" w:cs="Arial"/>
          <w:color w:val="000000"/>
          <w:sz w:val="24"/>
          <w:szCs w:val="24"/>
          <w:shd w:val="clear" w:color="auto" w:fill="FFFFFF"/>
          <w:lang w:eastAsia="en-GB"/>
        </w:rPr>
        <w:t>SpriggHR</w:t>
      </w:r>
      <w:proofErr w:type="spellEnd"/>
      <w:r w:rsidRPr="00F32801">
        <w:rPr>
          <w:rFonts w:ascii="Arial" w:eastAsia="Times New Roman" w:hAnsi="Arial" w:cs="Arial"/>
          <w:color w:val="000000"/>
          <w:sz w:val="24"/>
          <w:szCs w:val="24"/>
          <w:shd w:val="clear" w:color="auto" w:fill="FFFFFF"/>
          <w:lang w:eastAsia="en-GB"/>
        </w:rPr>
        <w:t>, 2021)</w:t>
      </w:r>
    </w:p>
    <w:p w14:paraId="6A81A3E0"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0A78A5BD" w14:textId="4AF99690"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 xml:space="preserve">Recruitment is another component of The Employee Lifecycle which the hotel can use when rebuilding the workforce which has been affected by Covid19. Recruiting appropriate individuals is of utmost importance to Hotel Trinity as they need people with the right skills and capabilities. When recruiting, Hotel Trinity can define the role clearly and transparently, so that individuals are aware of the job responsibilities. They should advertise on a wider range of sources such as online (indeed, LinkedIn etc), to increase the recruitment pool. They can then use the methods of attraction explained earlier to attract applicants. Managing the application and selection process is key, as the hotel can use capability tests, carry out group activities, and do extensive CV checks to filter out the most appropriate candidate. Hotel trinity can also use internal recruiting (hiring known candidates or promoting existing staff), as this method is cost effective and saves time </w:t>
      </w:r>
      <w:r w:rsidRPr="00F32801">
        <w:rPr>
          <w:rFonts w:ascii="Arial" w:eastAsia="Times New Roman" w:hAnsi="Arial" w:cs="Arial"/>
          <w:color w:val="000000"/>
          <w:sz w:val="24"/>
          <w:szCs w:val="24"/>
          <w:shd w:val="clear" w:color="auto" w:fill="FFFFFF"/>
          <w:lang w:eastAsia="en-GB"/>
        </w:rPr>
        <w:t>(</w:t>
      </w:r>
      <w:r w:rsidR="004F1767" w:rsidRPr="000C7FA9">
        <w:rPr>
          <w:rFonts w:ascii="Arial" w:eastAsia="Times New Roman" w:hAnsi="Arial" w:cs="Arial"/>
          <w:color w:val="000000"/>
          <w:sz w:val="24"/>
          <w:szCs w:val="24"/>
          <w:lang w:eastAsia="en-GB"/>
        </w:rPr>
        <w:t>Gupta, 2021</w:t>
      </w:r>
      <w:r w:rsidR="004F1767">
        <w:rPr>
          <w:rFonts w:ascii="Arial" w:eastAsia="Times New Roman" w:hAnsi="Arial" w:cs="Arial"/>
          <w:color w:val="000000"/>
          <w:sz w:val="24"/>
          <w:szCs w:val="24"/>
          <w:lang w:eastAsia="en-GB"/>
        </w:rPr>
        <w:t xml:space="preserve">). </w:t>
      </w:r>
      <w:r w:rsidRPr="00F32801">
        <w:rPr>
          <w:rFonts w:ascii="Arial" w:eastAsia="Times New Roman" w:hAnsi="Arial" w:cs="Arial"/>
          <w:color w:val="000000"/>
          <w:sz w:val="24"/>
          <w:szCs w:val="24"/>
          <w:shd w:val="clear" w:color="auto" w:fill="FFFFFF"/>
          <w:lang w:eastAsia="en-GB"/>
        </w:rPr>
        <w:t xml:space="preserve"> </w:t>
      </w:r>
    </w:p>
    <w:p w14:paraId="517B0393"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7744F5EA" w14:textId="463D7B8D"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 xml:space="preserve">Onboarding is a further component of The Employee Lifecycle which the hotel can use when rebuilding the workforce which has been affected by Covid19. This stage refers to steps after recruiting workers in which you educate them on the organisation, what is expected of them, and performance related goals. The management at Trinity should respond to questions they may have and get a sense of what the values mean to them. This is beneficial as it will ensure that all parties' perspectives align with success. In this stage, Hotel Trinity can thoroughly train workers regarding their job </w:t>
      </w:r>
      <w:r w:rsidRPr="00F32801">
        <w:rPr>
          <w:rFonts w:ascii="Arial" w:eastAsia="Times New Roman" w:hAnsi="Arial" w:cs="Arial"/>
          <w:color w:val="000000"/>
          <w:sz w:val="24"/>
          <w:szCs w:val="24"/>
          <w:lang w:eastAsia="en-GB"/>
        </w:rPr>
        <w:lastRenderedPageBreak/>
        <w:t xml:space="preserve">responsibilities as well as identify skills, behaviours, and attitudes. The new workers should feel welcome, and steps should be taken to do regular meetings and check-ups to make sure that the employee is happy </w:t>
      </w:r>
      <w:r w:rsidR="00843CC3" w:rsidRPr="00F32801">
        <w:rPr>
          <w:rFonts w:ascii="Arial" w:eastAsia="Times New Roman" w:hAnsi="Arial" w:cs="Arial"/>
          <w:color w:val="000000"/>
          <w:sz w:val="24"/>
          <w:szCs w:val="24"/>
          <w:shd w:val="clear" w:color="auto" w:fill="FFFFFF"/>
          <w:lang w:eastAsia="en-GB"/>
        </w:rPr>
        <w:t>(</w:t>
      </w:r>
      <w:r w:rsidR="00843CC3" w:rsidRPr="00362AD5">
        <w:rPr>
          <w:rFonts w:ascii="Arial" w:eastAsia="Times New Roman" w:hAnsi="Arial" w:cs="Arial"/>
          <w:color w:val="000000"/>
          <w:sz w:val="24"/>
          <w:szCs w:val="24"/>
          <w:shd w:val="clear" w:color="auto" w:fill="FFFFFF"/>
          <w:lang w:eastAsia="en-GB"/>
        </w:rPr>
        <w:t>Cattermole, 2019)</w:t>
      </w:r>
      <w:r w:rsidR="00843CC3" w:rsidRPr="00F32801">
        <w:rPr>
          <w:rFonts w:ascii="Arial" w:eastAsia="Times New Roman" w:hAnsi="Arial" w:cs="Arial"/>
          <w:color w:val="000000"/>
          <w:sz w:val="24"/>
          <w:szCs w:val="24"/>
          <w:shd w:val="clear" w:color="auto" w:fill="FFFFFF"/>
          <w:lang w:eastAsia="en-GB"/>
        </w:rPr>
        <w:t>.</w:t>
      </w:r>
    </w:p>
    <w:p w14:paraId="2B9B1835"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77FC6904" w14:textId="61C0C1B2"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Furthermore, development is a component of The Employee Lifecycle which the hotel can use when rebuilding the workforce which has been affected by Covid19. Rebuilding the workforce in becoming skilled at what they do is important for Hotel Trinity. After they have recruited staff, they should actively encourage skill development, and open future pathways in which employees can progress within the company. Hotel Trinity can do this by rewarding their employees. For example, if an employee is performing well, you can point this out and congratulate and thank them. You may also offer prizes. This is important as the workforce will feel valued. Hotel trinity can also use external learning. For example, give access to online training, seminars, and training material. This should be regular as the covid19 situation is forever changing and so is the guidance surrounding it. It is important that employees are up to date for performance, health, and safety reasons. They can also rebuild the workforce by encouraging employees to take leadership and be responsible for their own development</w:t>
      </w:r>
      <w:r w:rsidRPr="00F32801">
        <w:rPr>
          <w:rFonts w:ascii="Arial" w:eastAsia="Times New Roman" w:hAnsi="Arial" w:cs="Arial"/>
          <w:b/>
          <w:bCs/>
          <w:color w:val="000000"/>
          <w:sz w:val="24"/>
          <w:szCs w:val="24"/>
          <w:lang w:eastAsia="en-GB"/>
        </w:rPr>
        <w:t>.</w:t>
      </w:r>
      <w:r w:rsidRPr="00F32801">
        <w:rPr>
          <w:rFonts w:ascii="Arial" w:eastAsia="Times New Roman" w:hAnsi="Arial" w:cs="Arial"/>
          <w:color w:val="000000"/>
          <w:sz w:val="24"/>
          <w:szCs w:val="24"/>
          <w:lang w:eastAsia="en-GB"/>
        </w:rPr>
        <w:t xml:space="preserve"> To make sure focus is maintained, Trinity may wish to encourage workers to develop a professional action plan. This plan should set out to help them develop their abilities and increase their chances of career advancement (specifically within the company). This will benefit Hotel Trinity as they will be left with a highly skilled, up to date, self-responsible workforce that they can continuously employ </w:t>
      </w:r>
      <w:r w:rsidR="000C7FA9" w:rsidRPr="000C7FA9">
        <w:rPr>
          <w:rFonts w:ascii="Arial" w:eastAsia="Times New Roman" w:hAnsi="Arial" w:cs="Arial"/>
          <w:color w:val="000000"/>
          <w:sz w:val="24"/>
          <w:szCs w:val="24"/>
          <w:lang w:eastAsia="en-GB"/>
        </w:rPr>
        <w:t>(Gupta, 2021)</w:t>
      </w:r>
      <w:r w:rsidR="000C7FA9">
        <w:rPr>
          <w:rFonts w:ascii="Arial" w:eastAsia="Times New Roman" w:hAnsi="Arial" w:cs="Arial"/>
          <w:color w:val="000000"/>
          <w:sz w:val="24"/>
          <w:szCs w:val="24"/>
          <w:lang w:eastAsia="en-GB"/>
        </w:rPr>
        <w:t xml:space="preserve">. </w:t>
      </w:r>
    </w:p>
    <w:p w14:paraId="2955AE66"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571040EA" w14:textId="203A066D" w:rsidR="00F32801" w:rsidRP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t xml:space="preserve">Retention should be considered by Hotel Trinity when rebuilding its workforce. As the job market is difficult and there are large levels of unemployment; thus, populated labour markets, it is important that Hotel Trinity hires top workers that are kept within the company. This means that Hotel Trinity should take steps to ensure that their top workforce is happy and enjoying their roles. This also helps in building a strong and resilient culture. Should top employees be unhappy, this would lead to a high rate of staff turnover which is not desirable. Hotel Trinity can do this in several ways. For example, seek feedback from employees. This will allow you to fix any issues, listen and take on meaningful recommendations, as well as boost morale </w:t>
      </w:r>
      <w:r w:rsidR="00884437" w:rsidRPr="00884437">
        <w:rPr>
          <w:rFonts w:ascii="Arial" w:eastAsia="Times New Roman" w:hAnsi="Arial" w:cs="Arial"/>
          <w:color w:val="000000"/>
          <w:sz w:val="24"/>
          <w:szCs w:val="24"/>
          <w:shd w:val="clear" w:color="auto" w:fill="FFFFFF"/>
          <w:lang w:eastAsia="en-GB"/>
        </w:rPr>
        <w:t>(Holliday, 2021</w:t>
      </w:r>
      <w:r w:rsidRPr="00F32801">
        <w:rPr>
          <w:rFonts w:ascii="Arial" w:eastAsia="Times New Roman" w:hAnsi="Arial" w:cs="Arial"/>
          <w:color w:val="000000"/>
          <w:sz w:val="24"/>
          <w:szCs w:val="24"/>
          <w:shd w:val="clear" w:color="auto" w:fill="FFFFFF"/>
          <w:lang w:eastAsia="en-GB"/>
        </w:rPr>
        <w:t>)</w:t>
      </w:r>
      <w:r w:rsidRPr="00F32801">
        <w:rPr>
          <w:rFonts w:ascii="Arial" w:eastAsia="Times New Roman" w:hAnsi="Arial" w:cs="Arial"/>
          <w:color w:val="000000"/>
          <w:sz w:val="24"/>
          <w:szCs w:val="24"/>
          <w:lang w:eastAsia="en-GB"/>
        </w:rPr>
        <w:t>. </w:t>
      </w:r>
    </w:p>
    <w:p w14:paraId="25974440" w14:textId="77777777" w:rsidR="00F32801" w:rsidRPr="00F32801" w:rsidRDefault="00F32801" w:rsidP="00F32801">
      <w:pPr>
        <w:spacing w:after="0" w:line="360" w:lineRule="auto"/>
        <w:jc w:val="both"/>
        <w:rPr>
          <w:rFonts w:ascii="Arial" w:eastAsia="Times New Roman" w:hAnsi="Arial" w:cs="Arial"/>
          <w:sz w:val="24"/>
          <w:szCs w:val="24"/>
          <w:lang w:eastAsia="en-GB"/>
        </w:rPr>
      </w:pPr>
    </w:p>
    <w:p w14:paraId="43285042" w14:textId="3B316BF0" w:rsidR="00F32801" w:rsidRDefault="00F32801" w:rsidP="00F32801">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lang w:eastAsia="en-GB"/>
        </w:rPr>
        <w:lastRenderedPageBreak/>
        <w:t>Separation is the last component of The Employee Lifecycle. For the majority of a company’s workforce, there will come a stage where the employee retires, stops working or finds another job. This will have an adverse effect on the rest of the workforce, hence why it is important that Trinity approach this stage attentively. It is usually the responsibility of HR or management to ensure that employee exits do not cause issues. This can be tackled by asking for feedback from the leaving employee. This allows Hotel Trinity to find out why they are leaving, and whether it is something that can be changed within the organisation. For example, issues with salary, working hours etc. If replacements cannot be found immediately, they must reallocate workloads and tasks in a way that it doesn't hinder performance but is not too much at the same time. The key is also to remain positive. You must remind the workforce to look ahead and not let it dampen the team morale</w:t>
      </w:r>
      <w:r w:rsidR="000C7FA9">
        <w:rPr>
          <w:rFonts w:ascii="Arial" w:eastAsia="Times New Roman" w:hAnsi="Arial" w:cs="Arial"/>
          <w:color w:val="000000"/>
          <w:sz w:val="24"/>
          <w:szCs w:val="24"/>
          <w:shd w:val="clear" w:color="auto" w:fill="FFFFFF"/>
          <w:lang w:eastAsia="en-GB"/>
        </w:rPr>
        <w:t xml:space="preserve"> </w:t>
      </w:r>
      <w:r w:rsidR="000C7FA9" w:rsidRPr="000C7FA9">
        <w:rPr>
          <w:rFonts w:ascii="Arial" w:eastAsia="Times New Roman" w:hAnsi="Arial" w:cs="Arial"/>
          <w:color w:val="000000"/>
          <w:sz w:val="24"/>
          <w:szCs w:val="24"/>
          <w:shd w:val="clear" w:color="auto" w:fill="FFFFFF"/>
          <w:lang w:eastAsia="en-GB"/>
        </w:rPr>
        <w:t>(Gupta, 2021)</w:t>
      </w:r>
      <w:r w:rsidR="000C7FA9">
        <w:rPr>
          <w:rFonts w:ascii="Arial" w:eastAsia="Times New Roman" w:hAnsi="Arial" w:cs="Arial"/>
          <w:color w:val="000000"/>
          <w:sz w:val="24"/>
          <w:szCs w:val="24"/>
          <w:shd w:val="clear" w:color="auto" w:fill="FFFFFF"/>
          <w:lang w:eastAsia="en-GB"/>
        </w:rPr>
        <w:t>.</w:t>
      </w:r>
    </w:p>
    <w:p w14:paraId="108226D9" w14:textId="6B3C758D" w:rsidR="00F32801" w:rsidRDefault="00F32801" w:rsidP="00F32801">
      <w:pPr>
        <w:spacing w:after="0" w:line="360" w:lineRule="auto"/>
        <w:jc w:val="both"/>
        <w:rPr>
          <w:rFonts w:ascii="Arial" w:eastAsia="Times New Roman" w:hAnsi="Arial" w:cs="Arial"/>
          <w:color w:val="000000"/>
          <w:sz w:val="24"/>
          <w:szCs w:val="24"/>
          <w:shd w:val="clear" w:color="auto" w:fill="FFFF00"/>
          <w:lang w:eastAsia="en-GB"/>
        </w:rPr>
      </w:pPr>
      <w:r w:rsidRPr="00F32801">
        <w:rPr>
          <w:rFonts w:ascii="Arial" w:eastAsia="Times New Roman" w:hAnsi="Arial" w:cs="Arial"/>
          <w:sz w:val="24"/>
          <w:szCs w:val="24"/>
          <w:lang w:eastAsia="en-GB"/>
        </w:rPr>
        <w:br/>
      </w:r>
      <w:r w:rsidRPr="00F32801">
        <w:rPr>
          <w:rFonts w:ascii="Arial" w:eastAsia="Times New Roman" w:hAnsi="Arial" w:cs="Arial"/>
          <w:color w:val="000000"/>
          <w:sz w:val="24"/>
          <w:szCs w:val="24"/>
          <w:lang w:eastAsia="en-GB"/>
        </w:rPr>
        <w:t>In summation, it can be interpreted that Covid19 has had a severe impact on Hotel Trinity. PESTEL analysis has shown that covid19 has impacted Hotel Trinity in several factors including political, economic, sociological, technological, legal, and environmental impacts. Change management and personal resourcing theories have been used when highlighting ways in which the hotel can rebuild its workforce post covid19, namely the use of HR management. The employee lifecycle has also been used to highlight ways in which Hotel Trinity can rebuild its workforce. This includes ways the hotel can attract new workers, recruit workers, onboarding techniques, develop the workforce to combat covid19, how to retain its workforce, and how to deal with employees leaving</w:t>
      </w:r>
      <w:r w:rsidR="000A19B0">
        <w:rPr>
          <w:rFonts w:ascii="Arial" w:eastAsia="Times New Roman" w:hAnsi="Arial" w:cs="Arial"/>
          <w:color w:val="000000"/>
          <w:sz w:val="24"/>
          <w:szCs w:val="24"/>
          <w:lang w:eastAsia="en-GB"/>
        </w:rPr>
        <w:t xml:space="preserve">. </w:t>
      </w:r>
    </w:p>
    <w:p w14:paraId="06689A91" w14:textId="77777777" w:rsidR="00F32801" w:rsidRDefault="00F32801">
      <w:pPr>
        <w:spacing w:line="259" w:lineRule="auto"/>
        <w:rPr>
          <w:rFonts w:ascii="Arial" w:eastAsia="Times New Roman" w:hAnsi="Arial" w:cs="Arial"/>
          <w:color w:val="000000"/>
          <w:sz w:val="24"/>
          <w:szCs w:val="24"/>
          <w:shd w:val="clear" w:color="auto" w:fill="FFFF00"/>
          <w:lang w:eastAsia="en-GB"/>
        </w:rPr>
      </w:pPr>
      <w:r>
        <w:rPr>
          <w:rFonts w:ascii="Arial" w:eastAsia="Times New Roman" w:hAnsi="Arial" w:cs="Arial"/>
          <w:color w:val="000000"/>
          <w:sz w:val="24"/>
          <w:szCs w:val="24"/>
          <w:shd w:val="clear" w:color="auto" w:fill="FFFF00"/>
          <w:lang w:eastAsia="en-GB"/>
        </w:rPr>
        <w:br w:type="page"/>
      </w:r>
    </w:p>
    <w:p w14:paraId="0B0DAEED" w14:textId="576AF490" w:rsidR="000C7FA9" w:rsidRPr="000C7FA9" w:rsidRDefault="00F32801" w:rsidP="000C7FA9">
      <w:pPr>
        <w:spacing w:after="0" w:line="360" w:lineRule="auto"/>
        <w:jc w:val="both"/>
        <w:rPr>
          <w:rFonts w:ascii="Arial" w:eastAsia="Times New Roman" w:hAnsi="Arial" w:cs="Arial"/>
          <w:b/>
          <w:bCs/>
          <w:sz w:val="24"/>
          <w:szCs w:val="24"/>
          <w:u w:val="single"/>
          <w:lang w:eastAsia="en-GB"/>
        </w:rPr>
      </w:pPr>
      <w:r w:rsidRPr="00F32801">
        <w:rPr>
          <w:rFonts w:ascii="Arial" w:eastAsia="Times New Roman" w:hAnsi="Arial" w:cs="Arial"/>
          <w:b/>
          <w:bCs/>
          <w:sz w:val="24"/>
          <w:szCs w:val="24"/>
          <w:u w:val="single"/>
          <w:lang w:eastAsia="en-GB"/>
        </w:rPr>
        <w:lastRenderedPageBreak/>
        <w:t xml:space="preserve"> Reference list </w:t>
      </w:r>
    </w:p>
    <w:p w14:paraId="26FC6914" w14:textId="77777777" w:rsidR="000C7FA9" w:rsidRDefault="000C7FA9" w:rsidP="000C7FA9">
      <w:pPr>
        <w:spacing w:after="0" w:line="360" w:lineRule="auto"/>
        <w:jc w:val="both"/>
        <w:rPr>
          <w:rFonts w:ascii="Arial" w:eastAsia="Times New Roman" w:hAnsi="Arial" w:cs="Arial"/>
          <w:sz w:val="24"/>
          <w:szCs w:val="24"/>
          <w:lang w:eastAsia="en-GB"/>
        </w:rPr>
      </w:pPr>
    </w:p>
    <w:p w14:paraId="3C57F9D6" w14:textId="74E12A75" w:rsidR="000C7FA9" w:rsidRDefault="000C7FA9" w:rsidP="000C7FA9">
      <w:pPr>
        <w:spacing w:after="0" w:line="360" w:lineRule="auto"/>
        <w:jc w:val="both"/>
        <w:rPr>
          <w:rFonts w:ascii="Arial" w:eastAsia="Times New Roman" w:hAnsi="Arial" w:cs="Arial"/>
          <w:color w:val="232323"/>
          <w:sz w:val="24"/>
          <w:szCs w:val="24"/>
          <w:lang w:eastAsia="en-GB"/>
        </w:rPr>
      </w:pPr>
      <w:r w:rsidRPr="00F32801">
        <w:rPr>
          <w:rFonts w:ascii="Arial" w:eastAsia="Times New Roman" w:hAnsi="Arial" w:cs="Arial"/>
          <w:color w:val="232323"/>
          <w:sz w:val="24"/>
          <w:szCs w:val="24"/>
          <w:lang w:eastAsia="en-GB"/>
        </w:rPr>
        <w:t>Armstrong, M. (2006) A Handbook of Human Resource Management Practice. 10th Edition, Kogan Page Publishing, London.</w:t>
      </w:r>
    </w:p>
    <w:p w14:paraId="7D26C469" w14:textId="77777777" w:rsidR="000C7FA9" w:rsidRDefault="000C7FA9" w:rsidP="000C7FA9">
      <w:pPr>
        <w:spacing w:after="0" w:line="360" w:lineRule="auto"/>
        <w:jc w:val="both"/>
        <w:rPr>
          <w:rFonts w:ascii="Arial" w:eastAsia="Times New Roman" w:hAnsi="Arial" w:cs="Arial"/>
          <w:color w:val="232323"/>
          <w:sz w:val="24"/>
          <w:szCs w:val="24"/>
          <w:lang w:eastAsia="en-GB"/>
        </w:rPr>
      </w:pPr>
    </w:p>
    <w:p w14:paraId="16184ADB" w14:textId="53E4771E" w:rsidR="000C7FA9" w:rsidRDefault="000C7FA9" w:rsidP="000C7FA9">
      <w:pPr>
        <w:spacing w:after="0" w:line="360" w:lineRule="auto"/>
        <w:jc w:val="both"/>
        <w:rPr>
          <w:rFonts w:ascii="Arial" w:eastAsia="Times New Roman" w:hAnsi="Arial" w:cs="Arial"/>
          <w:sz w:val="24"/>
          <w:szCs w:val="24"/>
          <w:lang w:eastAsia="en-GB"/>
        </w:rPr>
      </w:pPr>
      <w:r w:rsidRPr="00362AD5">
        <w:rPr>
          <w:rFonts w:ascii="Arial" w:eastAsia="Times New Roman" w:hAnsi="Arial" w:cs="Arial"/>
          <w:sz w:val="24"/>
          <w:szCs w:val="24"/>
          <w:lang w:eastAsia="en-GB"/>
        </w:rPr>
        <w:t xml:space="preserve">Cattermole, G., 2019. Developing the employee lifecycle to keep top talent. Strategic HR Review, 18(6), pp.258-262. </w:t>
      </w:r>
    </w:p>
    <w:p w14:paraId="7EBA91DC" w14:textId="77777777" w:rsidR="000C7FA9" w:rsidRPr="00F32801" w:rsidRDefault="000C7FA9" w:rsidP="000C7FA9">
      <w:pPr>
        <w:spacing w:after="0" w:line="360" w:lineRule="auto"/>
        <w:jc w:val="both"/>
        <w:rPr>
          <w:rFonts w:ascii="Arial" w:eastAsia="Times New Roman" w:hAnsi="Arial" w:cs="Arial"/>
          <w:sz w:val="24"/>
          <w:szCs w:val="24"/>
          <w:lang w:eastAsia="en-GB"/>
        </w:rPr>
      </w:pPr>
    </w:p>
    <w:p w14:paraId="3CFC6B4E" w14:textId="567AAE90" w:rsidR="000C7FA9" w:rsidRPr="00F32801" w:rsidRDefault="000C7FA9" w:rsidP="000C7FA9">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shd w:val="clear" w:color="auto" w:fill="FFFFFF"/>
          <w:lang w:eastAsia="en-GB"/>
        </w:rPr>
        <w:t xml:space="preserve">Chartered Institute of Personnel and Development . 2020 [online] </w:t>
      </w:r>
    </w:p>
    <w:p w14:paraId="3AAD6E92" w14:textId="3B87BE14"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r w:rsidRPr="000C7FA9">
        <w:rPr>
          <w:rFonts w:ascii="Arial" w:eastAsia="Times New Roman" w:hAnsi="Arial" w:cs="Arial"/>
          <w:color w:val="000000"/>
          <w:sz w:val="24"/>
          <w:szCs w:val="24"/>
          <w:shd w:val="clear" w:color="auto" w:fill="FFFFFF"/>
          <w:lang w:eastAsia="en-GB"/>
        </w:rPr>
        <w:t>Chartered Institute of Personnel and Development</w:t>
      </w:r>
      <w:r>
        <w:rPr>
          <w:rFonts w:ascii="Arial" w:eastAsia="Times New Roman" w:hAnsi="Arial" w:cs="Arial"/>
          <w:color w:val="000000"/>
          <w:sz w:val="24"/>
          <w:szCs w:val="24"/>
          <w:shd w:val="clear" w:color="auto" w:fill="FFFFFF"/>
          <w:lang w:eastAsia="en-GB"/>
        </w:rPr>
        <w:t xml:space="preserve"> 2020 </w:t>
      </w:r>
      <w:r w:rsidRPr="00F32801">
        <w:rPr>
          <w:rFonts w:ascii="Arial" w:eastAsia="Times New Roman" w:hAnsi="Arial" w:cs="Arial"/>
          <w:color w:val="000000"/>
          <w:sz w:val="24"/>
          <w:szCs w:val="24"/>
          <w:shd w:val="clear" w:color="auto" w:fill="FFFFFF"/>
          <w:lang w:eastAsia="en-GB"/>
        </w:rPr>
        <w:t xml:space="preserve">https://moodle.uwtsd.ac.uk/pluginfile.php/472879/mod_resource/content/1/resourcing-and-talent-planning-appendix-2020_tcm18-85531.pdf. 2021. </w:t>
      </w:r>
      <w:r w:rsidRPr="00F32801">
        <w:rPr>
          <w:rFonts w:ascii="Arial" w:eastAsia="Times New Roman" w:hAnsi="Arial" w:cs="Arial"/>
          <w:i/>
          <w:iCs/>
          <w:color w:val="000000"/>
          <w:sz w:val="24"/>
          <w:szCs w:val="24"/>
          <w:shd w:val="clear" w:color="auto" w:fill="FFFFFF"/>
          <w:lang w:eastAsia="en-GB"/>
        </w:rPr>
        <w:t>RESOURCING AND TALENT PLANNING SURVEY 2020</w:t>
      </w:r>
      <w:r w:rsidRPr="00F32801">
        <w:rPr>
          <w:rFonts w:ascii="Arial" w:eastAsia="Times New Roman" w:hAnsi="Arial" w:cs="Arial"/>
          <w:color w:val="000000"/>
          <w:sz w:val="24"/>
          <w:szCs w:val="24"/>
          <w:shd w:val="clear" w:color="auto" w:fill="FFFFFF"/>
          <w:lang w:eastAsia="en-GB"/>
        </w:rPr>
        <w:t>. [online] Available at: &lt;</w:t>
      </w:r>
      <w:hyperlink r:id="rId8" w:history="1">
        <w:r w:rsidRPr="00F32801">
          <w:rPr>
            <w:rFonts w:ascii="Arial" w:eastAsia="Times New Roman" w:hAnsi="Arial" w:cs="Arial"/>
            <w:color w:val="1155CC"/>
            <w:sz w:val="24"/>
            <w:szCs w:val="24"/>
            <w:u w:val="single"/>
            <w:shd w:val="clear" w:color="auto" w:fill="FFFFFF"/>
            <w:lang w:eastAsia="en-GB"/>
          </w:rPr>
          <w:t>https://moodle.uwtsd.ac.uk/pluginfile.php/472879/mod_resource/content/1/resourcing-and-talent-planning-appendix-2020_tcm18-85531.pdf</w:t>
        </w:r>
      </w:hyperlink>
      <w:r w:rsidRPr="00F32801">
        <w:rPr>
          <w:rFonts w:ascii="Arial" w:eastAsia="Times New Roman" w:hAnsi="Arial" w:cs="Arial"/>
          <w:color w:val="000000"/>
          <w:sz w:val="24"/>
          <w:szCs w:val="24"/>
          <w:shd w:val="clear" w:color="auto" w:fill="FFFFFF"/>
          <w:lang w:eastAsia="en-GB"/>
        </w:rPr>
        <w:t> </w:t>
      </w:r>
    </w:p>
    <w:p w14:paraId="6193D117" w14:textId="77777777"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p>
    <w:p w14:paraId="2A77ABB6" w14:textId="7EC958A9" w:rsidR="000C7FA9" w:rsidRDefault="000C7FA9" w:rsidP="000C7FA9">
      <w:pPr>
        <w:shd w:val="clear" w:color="auto" w:fill="FFFFFF"/>
        <w:spacing w:line="360" w:lineRule="auto"/>
        <w:jc w:val="both"/>
        <w:rPr>
          <w:rFonts w:ascii="Arial" w:eastAsia="Times New Roman" w:hAnsi="Arial" w:cs="Arial"/>
          <w:color w:val="484848"/>
          <w:sz w:val="24"/>
          <w:szCs w:val="24"/>
          <w:shd w:val="clear" w:color="auto" w:fill="FFFFFF"/>
          <w:lang w:eastAsia="en-GB"/>
        </w:rPr>
      </w:pPr>
      <w:r w:rsidRPr="00F32801">
        <w:rPr>
          <w:rFonts w:ascii="Arial" w:eastAsia="Times New Roman" w:hAnsi="Arial" w:cs="Arial"/>
          <w:color w:val="484848"/>
          <w:sz w:val="24"/>
          <w:szCs w:val="24"/>
          <w:shd w:val="clear" w:color="auto" w:fill="FFFFFF"/>
          <w:lang w:eastAsia="en-GB"/>
        </w:rPr>
        <w:t xml:space="preserve">Condor Ferries Ltd (2021) Hotel industry statistics 2020/21, available at: </w:t>
      </w:r>
      <w:hyperlink r:id="rId9" w:history="1">
        <w:r w:rsidRPr="00F32801">
          <w:rPr>
            <w:rFonts w:ascii="Arial" w:eastAsia="Times New Roman" w:hAnsi="Arial" w:cs="Arial"/>
            <w:color w:val="1155CC"/>
            <w:sz w:val="24"/>
            <w:szCs w:val="24"/>
            <w:u w:val="single"/>
            <w:shd w:val="clear" w:color="auto" w:fill="FFFFFF"/>
            <w:lang w:eastAsia="en-GB"/>
          </w:rPr>
          <w:t>https://www.condorferries.co.uk/hotel-industry-statistics</w:t>
        </w:r>
      </w:hyperlink>
      <w:r w:rsidRPr="00F32801">
        <w:rPr>
          <w:rFonts w:ascii="Arial" w:eastAsia="Times New Roman" w:hAnsi="Arial" w:cs="Arial"/>
          <w:color w:val="484848"/>
          <w:sz w:val="24"/>
          <w:szCs w:val="24"/>
          <w:shd w:val="clear" w:color="auto" w:fill="FFFFFF"/>
          <w:lang w:eastAsia="en-GB"/>
        </w:rPr>
        <w:t> </w:t>
      </w:r>
    </w:p>
    <w:p w14:paraId="0D5B4E86" w14:textId="77777777" w:rsidR="000C7FA9" w:rsidRDefault="000C7FA9" w:rsidP="000C7FA9">
      <w:pPr>
        <w:shd w:val="clear" w:color="auto" w:fill="FFFFFF"/>
        <w:spacing w:line="360" w:lineRule="auto"/>
        <w:jc w:val="both"/>
        <w:rPr>
          <w:rFonts w:ascii="Arial" w:eastAsia="Times New Roman" w:hAnsi="Arial" w:cs="Arial"/>
          <w:color w:val="484848"/>
          <w:sz w:val="24"/>
          <w:szCs w:val="24"/>
          <w:shd w:val="clear" w:color="auto" w:fill="FFFFFF"/>
          <w:lang w:eastAsia="en-GB"/>
        </w:rPr>
      </w:pPr>
    </w:p>
    <w:p w14:paraId="4C032255" w14:textId="02E0195D"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r w:rsidRPr="00F32801">
        <w:rPr>
          <w:rFonts w:ascii="Arial" w:eastAsia="Times New Roman" w:hAnsi="Arial" w:cs="Arial"/>
          <w:color w:val="000000"/>
          <w:sz w:val="24"/>
          <w:szCs w:val="24"/>
          <w:shd w:val="clear" w:color="auto" w:fill="FFFFFF"/>
          <w:lang w:eastAsia="en-GB"/>
        </w:rPr>
        <w:t xml:space="preserve">Farooq, U., 2021. </w:t>
      </w:r>
      <w:r w:rsidRPr="00F32801">
        <w:rPr>
          <w:rFonts w:ascii="Arial" w:eastAsia="Times New Roman" w:hAnsi="Arial" w:cs="Arial"/>
          <w:i/>
          <w:iCs/>
          <w:color w:val="000000"/>
          <w:sz w:val="24"/>
          <w:szCs w:val="24"/>
          <w:shd w:val="clear" w:color="auto" w:fill="FFFFFF"/>
          <w:lang w:eastAsia="en-GB"/>
        </w:rPr>
        <w:t>PESTLE Analysis of the Hotel Industry | Marketing Tutor</w:t>
      </w:r>
      <w:r w:rsidRPr="00F32801">
        <w:rPr>
          <w:rFonts w:ascii="Arial" w:eastAsia="Times New Roman" w:hAnsi="Arial" w:cs="Arial"/>
          <w:color w:val="000000"/>
          <w:sz w:val="24"/>
          <w:szCs w:val="24"/>
          <w:shd w:val="clear" w:color="auto" w:fill="FFFFFF"/>
          <w:lang w:eastAsia="en-GB"/>
        </w:rPr>
        <w:t>. [online] Marketing Tutor. Available at: &lt;</w:t>
      </w:r>
      <w:hyperlink r:id="rId10" w:history="1">
        <w:r w:rsidRPr="00F32801">
          <w:rPr>
            <w:rFonts w:ascii="Arial" w:eastAsia="Times New Roman" w:hAnsi="Arial" w:cs="Arial"/>
            <w:color w:val="1155CC"/>
            <w:sz w:val="24"/>
            <w:szCs w:val="24"/>
            <w:u w:val="single"/>
            <w:shd w:val="clear" w:color="auto" w:fill="FFFFFF"/>
            <w:lang w:eastAsia="en-GB"/>
          </w:rPr>
          <w:t>https://www.marketingtutor.net/pestle-analysis-of-the-hotel-industry</w:t>
        </w:r>
      </w:hyperlink>
      <w:r w:rsidRPr="00F32801">
        <w:rPr>
          <w:rFonts w:ascii="Arial" w:eastAsia="Times New Roman" w:hAnsi="Arial" w:cs="Arial"/>
          <w:color w:val="000000"/>
          <w:sz w:val="24"/>
          <w:szCs w:val="24"/>
          <w:shd w:val="clear" w:color="auto" w:fill="FFFFFF"/>
          <w:lang w:eastAsia="en-GB"/>
        </w:rPr>
        <w:t> </w:t>
      </w:r>
    </w:p>
    <w:p w14:paraId="6A39BE7A" w14:textId="77777777"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p>
    <w:p w14:paraId="2F490014" w14:textId="444D4948" w:rsidR="000C7FA9" w:rsidRDefault="000C7FA9" w:rsidP="000C7FA9">
      <w:pPr>
        <w:shd w:val="clear" w:color="auto" w:fill="FFFFFF"/>
        <w:spacing w:after="0" w:line="360" w:lineRule="auto"/>
        <w:jc w:val="both"/>
        <w:rPr>
          <w:rFonts w:ascii="Arial" w:eastAsia="Times New Roman" w:hAnsi="Arial" w:cs="Arial"/>
          <w:color w:val="000000"/>
          <w:sz w:val="24"/>
          <w:szCs w:val="24"/>
          <w:shd w:val="clear" w:color="auto" w:fill="FFFFFF"/>
          <w:lang w:eastAsia="en-GB"/>
        </w:rPr>
      </w:pPr>
      <w:r w:rsidRPr="00F32801">
        <w:rPr>
          <w:rFonts w:ascii="Arial" w:eastAsia="Times New Roman" w:hAnsi="Arial" w:cs="Arial"/>
          <w:color w:val="000000"/>
          <w:sz w:val="24"/>
          <w:szCs w:val="24"/>
          <w:lang w:eastAsia="en-GB"/>
        </w:rPr>
        <w:t> </w:t>
      </w:r>
      <w:r w:rsidRPr="00F32801">
        <w:rPr>
          <w:rFonts w:ascii="Arial" w:eastAsia="Times New Roman" w:hAnsi="Arial" w:cs="Arial"/>
          <w:color w:val="000000"/>
          <w:sz w:val="24"/>
          <w:szCs w:val="24"/>
          <w:shd w:val="clear" w:color="auto" w:fill="FFFFFF"/>
          <w:lang w:eastAsia="en-GB"/>
        </w:rPr>
        <w:t xml:space="preserve">GC Business Growth Hub. 2021. </w:t>
      </w:r>
      <w:r w:rsidRPr="00F32801">
        <w:rPr>
          <w:rFonts w:ascii="Arial" w:eastAsia="Times New Roman" w:hAnsi="Arial" w:cs="Arial"/>
          <w:i/>
          <w:iCs/>
          <w:color w:val="000000"/>
          <w:sz w:val="24"/>
          <w:szCs w:val="24"/>
          <w:shd w:val="clear" w:color="auto" w:fill="FFFFFF"/>
          <w:lang w:eastAsia="en-GB"/>
        </w:rPr>
        <w:t>Government Support for the Tourism, Hospitality and Leisure Sector | GC Business Growth Hub</w:t>
      </w:r>
      <w:r w:rsidRPr="00F32801">
        <w:rPr>
          <w:rFonts w:ascii="Arial" w:eastAsia="Times New Roman" w:hAnsi="Arial" w:cs="Arial"/>
          <w:color w:val="000000"/>
          <w:sz w:val="24"/>
          <w:szCs w:val="24"/>
          <w:shd w:val="clear" w:color="auto" w:fill="FFFFFF"/>
          <w:lang w:eastAsia="en-GB"/>
        </w:rPr>
        <w:t>. [online] Available at: &lt;</w:t>
      </w:r>
      <w:hyperlink r:id="rId11" w:history="1">
        <w:r w:rsidRPr="00F32801">
          <w:rPr>
            <w:rFonts w:ascii="Arial" w:eastAsia="Times New Roman" w:hAnsi="Arial" w:cs="Arial"/>
            <w:color w:val="1155CC"/>
            <w:sz w:val="24"/>
            <w:szCs w:val="24"/>
            <w:u w:val="single"/>
            <w:shd w:val="clear" w:color="auto" w:fill="FFFFFF"/>
            <w:lang w:eastAsia="en-GB"/>
          </w:rPr>
          <w:t>https://www.businessgrowthhub.com/coronavirus/greater-manchester-s-tourism-hospitality-and-leisure-business-support-service/government-support-for-the-tourism-hospitality-and-leisure-sector</w:t>
        </w:r>
      </w:hyperlink>
      <w:r w:rsidRPr="00F32801">
        <w:rPr>
          <w:rFonts w:ascii="Arial" w:eastAsia="Times New Roman" w:hAnsi="Arial" w:cs="Arial"/>
          <w:color w:val="000000"/>
          <w:sz w:val="24"/>
          <w:szCs w:val="24"/>
          <w:shd w:val="clear" w:color="auto" w:fill="FFFFFF"/>
          <w:lang w:eastAsia="en-GB"/>
        </w:rPr>
        <w:t>. </w:t>
      </w:r>
    </w:p>
    <w:p w14:paraId="64011C68" w14:textId="77777777" w:rsidR="000C7FA9" w:rsidRDefault="000C7FA9" w:rsidP="000C7FA9">
      <w:pPr>
        <w:shd w:val="clear" w:color="auto" w:fill="FFFFFF"/>
        <w:spacing w:after="0" w:line="360" w:lineRule="auto"/>
        <w:jc w:val="both"/>
        <w:rPr>
          <w:rFonts w:ascii="Arial" w:eastAsia="Times New Roman" w:hAnsi="Arial" w:cs="Arial"/>
          <w:color w:val="000000"/>
          <w:sz w:val="24"/>
          <w:szCs w:val="24"/>
          <w:shd w:val="clear" w:color="auto" w:fill="FFFFFF"/>
          <w:lang w:eastAsia="en-GB"/>
        </w:rPr>
      </w:pPr>
    </w:p>
    <w:p w14:paraId="1E94DA02" w14:textId="19ABA60A"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r w:rsidRPr="00F32801">
        <w:rPr>
          <w:rFonts w:ascii="Arial" w:eastAsia="Times New Roman" w:hAnsi="Arial" w:cs="Arial"/>
          <w:color w:val="000000"/>
          <w:sz w:val="24"/>
          <w:szCs w:val="24"/>
          <w:shd w:val="clear" w:color="auto" w:fill="FFFFFF"/>
          <w:lang w:eastAsia="en-GB"/>
        </w:rPr>
        <w:t xml:space="preserve">Gov.uk. 2021. </w:t>
      </w:r>
      <w:r w:rsidRPr="00F32801">
        <w:rPr>
          <w:rFonts w:ascii="Arial" w:eastAsia="Times New Roman" w:hAnsi="Arial" w:cs="Arial"/>
          <w:i/>
          <w:iCs/>
          <w:color w:val="000000"/>
          <w:sz w:val="24"/>
          <w:szCs w:val="24"/>
          <w:shd w:val="clear" w:color="auto" w:fill="FFFFFF"/>
          <w:lang w:eastAsia="en-GB"/>
        </w:rPr>
        <w:t>Financial Support for Jobs and Businesses</w:t>
      </w:r>
      <w:r w:rsidRPr="00F32801">
        <w:rPr>
          <w:rFonts w:ascii="Arial" w:eastAsia="Times New Roman" w:hAnsi="Arial" w:cs="Arial"/>
          <w:color w:val="000000"/>
          <w:sz w:val="24"/>
          <w:szCs w:val="24"/>
          <w:shd w:val="clear" w:color="auto" w:fill="FFFFFF"/>
          <w:lang w:eastAsia="en-GB"/>
        </w:rPr>
        <w:t>. [online] Available at: &lt;</w:t>
      </w:r>
      <w:hyperlink r:id="rId12" w:history="1">
        <w:r w:rsidRPr="00F32801">
          <w:rPr>
            <w:rFonts w:ascii="Arial" w:eastAsia="Times New Roman" w:hAnsi="Arial" w:cs="Arial"/>
            <w:color w:val="1155CC"/>
            <w:sz w:val="24"/>
            <w:szCs w:val="24"/>
            <w:u w:val="single"/>
            <w:shd w:val="clear" w:color="auto" w:fill="FFFFFF"/>
            <w:lang w:eastAsia="en-GB"/>
          </w:rPr>
          <w:t>https://www.gov.uk/government/news/plan-for-jobs-chancellor-increases-financial-support-for-businesses-and-workers</w:t>
        </w:r>
      </w:hyperlink>
      <w:r w:rsidRPr="00F32801">
        <w:rPr>
          <w:rFonts w:ascii="Arial" w:eastAsia="Times New Roman" w:hAnsi="Arial" w:cs="Arial"/>
          <w:color w:val="000000"/>
          <w:sz w:val="24"/>
          <w:szCs w:val="24"/>
          <w:shd w:val="clear" w:color="auto" w:fill="FFFFFF"/>
          <w:lang w:eastAsia="en-GB"/>
        </w:rPr>
        <w:t>. </w:t>
      </w:r>
    </w:p>
    <w:p w14:paraId="690D8275" w14:textId="77777777"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p>
    <w:p w14:paraId="4F7C30EE" w14:textId="77777777"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r>
        <w:rPr>
          <w:rFonts w:ascii="Arial" w:hAnsi="Arial" w:cs="Arial"/>
          <w:color w:val="000000"/>
        </w:rPr>
        <w:lastRenderedPageBreak/>
        <w:t> </w:t>
      </w:r>
      <w:r>
        <w:rPr>
          <w:rFonts w:ascii="Arial" w:hAnsi="Arial" w:cs="Arial"/>
          <w:color w:val="000000"/>
          <w:sz w:val="20"/>
          <w:szCs w:val="20"/>
          <w:shd w:val="clear" w:color="auto" w:fill="FFFFFF"/>
        </w:rPr>
        <w:t xml:space="preserve">Gupta, S., 2021. </w:t>
      </w:r>
      <w:r>
        <w:rPr>
          <w:rFonts w:ascii="Arial" w:hAnsi="Arial" w:cs="Arial"/>
          <w:i/>
          <w:iCs/>
          <w:color w:val="000000"/>
          <w:sz w:val="20"/>
          <w:szCs w:val="20"/>
          <w:shd w:val="clear" w:color="auto" w:fill="FFFFFF"/>
        </w:rPr>
        <w:t>Challenges Faced by Adecco Employees in Handling Employee Lifecycle</w:t>
      </w:r>
      <w:r>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p>
    <w:p w14:paraId="6A6DE8C2" w14:textId="46529E84" w:rsidR="000C7FA9" w:rsidRDefault="000C7FA9" w:rsidP="000C7FA9">
      <w:pPr>
        <w:spacing w:after="0" w:line="360" w:lineRule="auto"/>
        <w:jc w:val="both"/>
        <w:rPr>
          <w:rFonts w:ascii="Arial" w:eastAsia="Times New Roman" w:hAnsi="Arial" w:cs="Arial"/>
          <w:sz w:val="24"/>
          <w:szCs w:val="24"/>
          <w:lang w:eastAsia="en-GB"/>
        </w:rPr>
      </w:pPr>
      <w:r w:rsidRPr="000C7FA9">
        <w:rPr>
          <w:rFonts w:ascii="Arial" w:eastAsia="Times New Roman" w:hAnsi="Arial" w:cs="Arial"/>
          <w:sz w:val="24"/>
          <w:szCs w:val="24"/>
          <w:lang w:eastAsia="en-GB"/>
        </w:rPr>
        <w:t>Holliday, M., 2021. [online] Netsuite.com. Available at: &lt;https://www.netsuite.com/portal/resource/articles/human-resources/employee-life-cycle.shtm</w:t>
      </w:r>
      <w:r>
        <w:rPr>
          <w:rFonts w:ascii="Arial" w:eastAsia="Times New Roman" w:hAnsi="Arial" w:cs="Arial"/>
          <w:sz w:val="24"/>
          <w:szCs w:val="24"/>
          <w:lang w:eastAsia="en-GB"/>
        </w:rPr>
        <w:t xml:space="preserve">l </w:t>
      </w:r>
    </w:p>
    <w:p w14:paraId="6A9809E3" w14:textId="77777777" w:rsidR="000C7FA9" w:rsidRPr="00F32801" w:rsidRDefault="000C7FA9" w:rsidP="000C7FA9">
      <w:pPr>
        <w:spacing w:after="0" w:line="360" w:lineRule="auto"/>
        <w:jc w:val="both"/>
        <w:rPr>
          <w:rFonts w:ascii="Arial" w:eastAsia="Times New Roman" w:hAnsi="Arial" w:cs="Arial"/>
          <w:sz w:val="24"/>
          <w:szCs w:val="24"/>
          <w:lang w:eastAsia="en-GB"/>
        </w:rPr>
      </w:pPr>
    </w:p>
    <w:p w14:paraId="15875390" w14:textId="65C044CB"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r w:rsidRPr="00F32801">
        <w:rPr>
          <w:rFonts w:ascii="Arial" w:eastAsia="Times New Roman" w:hAnsi="Arial" w:cs="Arial"/>
          <w:color w:val="000000"/>
          <w:sz w:val="24"/>
          <w:szCs w:val="24"/>
          <w:shd w:val="clear" w:color="auto" w:fill="FFFFFF"/>
          <w:lang w:eastAsia="en-GB"/>
        </w:rPr>
        <w:t xml:space="preserve">Oxford Reference. 2021. </w:t>
      </w:r>
      <w:r w:rsidRPr="00F32801">
        <w:rPr>
          <w:rFonts w:ascii="Arial" w:eastAsia="Times New Roman" w:hAnsi="Arial" w:cs="Arial"/>
          <w:i/>
          <w:iCs/>
          <w:color w:val="000000"/>
          <w:sz w:val="24"/>
          <w:szCs w:val="24"/>
          <w:shd w:val="clear" w:color="auto" w:fill="FFFFFF"/>
          <w:lang w:eastAsia="en-GB"/>
        </w:rPr>
        <w:t>employee resourcing</w:t>
      </w:r>
      <w:r w:rsidRPr="00F32801">
        <w:rPr>
          <w:rFonts w:ascii="Arial" w:eastAsia="Times New Roman" w:hAnsi="Arial" w:cs="Arial"/>
          <w:color w:val="000000"/>
          <w:sz w:val="24"/>
          <w:szCs w:val="24"/>
          <w:shd w:val="clear" w:color="auto" w:fill="FFFFFF"/>
          <w:lang w:eastAsia="en-GB"/>
        </w:rPr>
        <w:t>. [online] Available at: &lt;</w:t>
      </w:r>
      <w:hyperlink r:id="rId13" w:history="1">
        <w:r w:rsidRPr="00F32801">
          <w:rPr>
            <w:rFonts w:ascii="Arial" w:eastAsia="Times New Roman" w:hAnsi="Arial" w:cs="Arial"/>
            <w:color w:val="1155CC"/>
            <w:sz w:val="24"/>
            <w:szCs w:val="24"/>
            <w:u w:val="single"/>
            <w:shd w:val="clear" w:color="auto" w:fill="FFFFFF"/>
            <w:lang w:eastAsia="en-GB"/>
          </w:rPr>
          <w:t>https://www.oxfordreference.com/view/10.1093/oi/authority.20110803095750268</w:t>
        </w:r>
      </w:hyperlink>
      <w:r w:rsidRPr="00F32801">
        <w:rPr>
          <w:rFonts w:ascii="Arial" w:eastAsia="Times New Roman" w:hAnsi="Arial" w:cs="Arial"/>
          <w:color w:val="000000"/>
          <w:sz w:val="24"/>
          <w:szCs w:val="24"/>
          <w:shd w:val="clear" w:color="auto" w:fill="FFFFFF"/>
          <w:lang w:eastAsia="en-GB"/>
        </w:rPr>
        <w:t> </w:t>
      </w:r>
    </w:p>
    <w:p w14:paraId="1C1C1F34" w14:textId="77777777" w:rsidR="000C7FA9" w:rsidRPr="00F32801" w:rsidRDefault="000C7FA9" w:rsidP="000C7FA9">
      <w:pPr>
        <w:spacing w:after="0" w:line="360" w:lineRule="auto"/>
        <w:jc w:val="both"/>
        <w:rPr>
          <w:rFonts w:ascii="Arial" w:eastAsia="Times New Roman" w:hAnsi="Arial" w:cs="Arial"/>
          <w:sz w:val="24"/>
          <w:szCs w:val="24"/>
          <w:lang w:eastAsia="en-GB"/>
        </w:rPr>
      </w:pPr>
    </w:p>
    <w:p w14:paraId="039D832C" w14:textId="7DE5C03D" w:rsidR="000C7FA9" w:rsidRDefault="000C7FA9" w:rsidP="000C7FA9">
      <w:pPr>
        <w:spacing w:before="220" w:after="220" w:line="360" w:lineRule="auto"/>
        <w:jc w:val="both"/>
        <w:rPr>
          <w:rFonts w:ascii="Arial" w:eastAsia="Times New Roman" w:hAnsi="Arial" w:cs="Arial"/>
          <w:color w:val="005274"/>
          <w:sz w:val="24"/>
          <w:szCs w:val="24"/>
          <w:shd w:val="clear" w:color="auto" w:fill="FFFFFF"/>
          <w:lang w:eastAsia="en-GB"/>
        </w:rPr>
      </w:pPr>
      <w:proofErr w:type="spellStart"/>
      <w:r w:rsidRPr="00F32801">
        <w:rPr>
          <w:rFonts w:ascii="Arial" w:eastAsia="Times New Roman" w:hAnsi="Arial" w:cs="Arial"/>
          <w:color w:val="005274"/>
          <w:sz w:val="24"/>
          <w:szCs w:val="24"/>
          <w:shd w:val="clear" w:color="auto" w:fill="FFFFFF"/>
          <w:lang w:eastAsia="en-GB"/>
        </w:rPr>
        <w:t>Roehling</w:t>
      </w:r>
      <w:proofErr w:type="spellEnd"/>
      <w:r w:rsidRPr="00F32801">
        <w:rPr>
          <w:rFonts w:ascii="Arial" w:eastAsia="Times New Roman" w:hAnsi="Arial" w:cs="Arial"/>
          <w:color w:val="005274"/>
          <w:sz w:val="24"/>
          <w:szCs w:val="24"/>
          <w:shd w:val="clear" w:color="auto" w:fill="FFFFFF"/>
          <w:lang w:eastAsia="en-GB"/>
        </w:rPr>
        <w:t xml:space="preserve">, M., Boswell, W., Caligiuri, P., Feldman, D., Graham, M., Guthrie, J., </w:t>
      </w:r>
      <w:proofErr w:type="spellStart"/>
      <w:r w:rsidRPr="00F32801">
        <w:rPr>
          <w:rFonts w:ascii="Arial" w:eastAsia="Times New Roman" w:hAnsi="Arial" w:cs="Arial"/>
          <w:color w:val="005274"/>
          <w:sz w:val="24"/>
          <w:szCs w:val="24"/>
          <w:shd w:val="clear" w:color="auto" w:fill="FFFFFF"/>
          <w:lang w:eastAsia="en-GB"/>
        </w:rPr>
        <w:t>Morishima</w:t>
      </w:r>
      <w:proofErr w:type="spellEnd"/>
      <w:r w:rsidRPr="00F32801">
        <w:rPr>
          <w:rFonts w:ascii="Arial" w:eastAsia="Times New Roman" w:hAnsi="Arial" w:cs="Arial"/>
          <w:color w:val="005274"/>
          <w:sz w:val="24"/>
          <w:szCs w:val="24"/>
          <w:shd w:val="clear" w:color="auto" w:fill="FFFFFF"/>
          <w:lang w:eastAsia="en-GB"/>
        </w:rPr>
        <w:t xml:space="preserve">, M. and </w:t>
      </w:r>
      <w:proofErr w:type="spellStart"/>
      <w:r w:rsidRPr="00F32801">
        <w:rPr>
          <w:rFonts w:ascii="Arial" w:eastAsia="Times New Roman" w:hAnsi="Arial" w:cs="Arial"/>
          <w:color w:val="005274"/>
          <w:sz w:val="24"/>
          <w:szCs w:val="24"/>
          <w:shd w:val="clear" w:color="auto" w:fill="FFFFFF"/>
          <w:lang w:eastAsia="en-GB"/>
        </w:rPr>
        <w:t>Tansky</w:t>
      </w:r>
      <w:proofErr w:type="spellEnd"/>
      <w:r w:rsidRPr="00F32801">
        <w:rPr>
          <w:rFonts w:ascii="Arial" w:eastAsia="Times New Roman" w:hAnsi="Arial" w:cs="Arial"/>
          <w:color w:val="005274"/>
          <w:sz w:val="24"/>
          <w:szCs w:val="24"/>
          <w:shd w:val="clear" w:color="auto" w:fill="FFFFFF"/>
          <w:lang w:eastAsia="en-GB"/>
        </w:rPr>
        <w:t xml:space="preserve">, J., 2005. The future of HR management: Research needs and directions. </w:t>
      </w:r>
      <w:r w:rsidRPr="00F32801">
        <w:rPr>
          <w:rFonts w:ascii="Arial" w:eastAsia="Times New Roman" w:hAnsi="Arial" w:cs="Arial"/>
          <w:i/>
          <w:iCs/>
          <w:color w:val="005274"/>
          <w:sz w:val="24"/>
          <w:szCs w:val="24"/>
          <w:shd w:val="clear" w:color="auto" w:fill="FFFFFF"/>
          <w:lang w:eastAsia="en-GB"/>
        </w:rPr>
        <w:t>Human Resource Management</w:t>
      </w:r>
      <w:r w:rsidRPr="00F32801">
        <w:rPr>
          <w:rFonts w:ascii="Arial" w:eastAsia="Times New Roman" w:hAnsi="Arial" w:cs="Arial"/>
          <w:color w:val="005274"/>
          <w:sz w:val="24"/>
          <w:szCs w:val="24"/>
          <w:shd w:val="clear" w:color="auto" w:fill="FFFFFF"/>
          <w:lang w:eastAsia="en-GB"/>
        </w:rPr>
        <w:t>, 44(2), pp.207-216. </w:t>
      </w:r>
    </w:p>
    <w:p w14:paraId="720CE6C2" w14:textId="77777777" w:rsidR="000C7FA9" w:rsidRPr="00F32801" w:rsidRDefault="000C7FA9" w:rsidP="000C7FA9">
      <w:pPr>
        <w:spacing w:before="220" w:after="220" w:line="360" w:lineRule="auto"/>
        <w:jc w:val="both"/>
        <w:rPr>
          <w:rFonts w:ascii="Arial" w:eastAsia="Times New Roman" w:hAnsi="Arial" w:cs="Arial"/>
          <w:color w:val="005274"/>
          <w:sz w:val="24"/>
          <w:szCs w:val="24"/>
          <w:shd w:val="clear" w:color="auto" w:fill="FFFFFF"/>
          <w:lang w:eastAsia="en-GB"/>
        </w:rPr>
      </w:pPr>
    </w:p>
    <w:p w14:paraId="4CBDE9E1" w14:textId="73FD9164" w:rsidR="000C7FA9" w:rsidRDefault="000C7FA9" w:rsidP="000C7FA9">
      <w:pPr>
        <w:spacing w:after="0" w:line="360" w:lineRule="auto"/>
        <w:jc w:val="both"/>
        <w:rPr>
          <w:rFonts w:ascii="Arial" w:eastAsia="Times New Roman" w:hAnsi="Arial" w:cs="Arial"/>
          <w:sz w:val="24"/>
          <w:szCs w:val="24"/>
          <w:lang w:eastAsia="en-GB"/>
        </w:rPr>
      </w:pPr>
      <w:proofErr w:type="spellStart"/>
      <w:r w:rsidRPr="00362AD5">
        <w:rPr>
          <w:rFonts w:ascii="Arial" w:eastAsia="Times New Roman" w:hAnsi="Arial" w:cs="Arial"/>
          <w:sz w:val="24"/>
          <w:szCs w:val="24"/>
          <w:lang w:eastAsia="en-GB"/>
        </w:rPr>
        <w:t>Shambi</w:t>
      </w:r>
      <w:proofErr w:type="spellEnd"/>
      <w:r w:rsidRPr="00362AD5">
        <w:rPr>
          <w:rFonts w:ascii="Arial" w:eastAsia="Times New Roman" w:hAnsi="Arial" w:cs="Arial"/>
          <w:sz w:val="24"/>
          <w:szCs w:val="24"/>
          <w:lang w:eastAsia="en-GB"/>
        </w:rPr>
        <w:t>, J., 2021. Redefining Employee Experience during the Pandemic. [online] Philpapers.org. Available at: &lt;https://philpapers.org/rec/SHAREE</w:t>
      </w:r>
      <w:r>
        <w:rPr>
          <w:rFonts w:ascii="Arial" w:eastAsia="Times New Roman" w:hAnsi="Arial" w:cs="Arial"/>
          <w:sz w:val="24"/>
          <w:szCs w:val="24"/>
          <w:lang w:eastAsia="en-GB"/>
        </w:rPr>
        <w:t xml:space="preserve"> </w:t>
      </w:r>
    </w:p>
    <w:p w14:paraId="61BF9F57" w14:textId="77777777" w:rsidR="000C7FA9" w:rsidRPr="007E0E25" w:rsidRDefault="000C7FA9" w:rsidP="000C7FA9">
      <w:pPr>
        <w:spacing w:after="0" w:line="360" w:lineRule="auto"/>
        <w:jc w:val="both"/>
        <w:rPr>
          <w:rFonts w:ascii="Arial" w:eastAsia="Times New Roman" w:hAnsi="Arial" w:cs="Arial"/>
          <w:sz w:val="24"/>
          <w:szCs w:val="24"/>
          <w:lang w:eastAsia="en-GB"/>
        </w:rPr>
      </w:pPr>
    </w:p>
    <w:p w14:paraId="2CC22DBD" w14:textId="0F50A9BF"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proofErr w:type="spellStart"/>
      <w:r w:rsidRPr="00F32801">
        <w:rPr>
          <w:rFonts w:ascii="Arial" w:eastAsia="Times New Roman" w:hAnsi="Arial" w:cs="Arial"/>
          <w:color w:val="000000"/>
          <w:sz w:val="24"/>
          <w:szCs w:val="24"/>
          <w:shd w:val="clear" w:color="auto" w:fill="FFFFFF"/>
          <w:lang w:eastAsia="en-GB"/>
        </w:rPr>
        <w:t>SpriggHR</w:t>
      </w:r>
      <w:proofErr w:type="spellEnd"/>
      <w:r w:rsidRPr="00F32801">
        <w:rPr>
          <w:rFonts w:ascii="Arial" w:eastAsia="Times New Roman" w:hAnsi="Arial" w:cs="Arial"/>
          <w:color w:val="000000"/>
          <w:sz w:val="24"/>
          <w:szCs w:val="24"/>
          <w:shd w:val="clear" w:color="auto" w:fill="FFFFFF"/>
          <w:lang w:eastAsia="en-GB"/>
        </w:rPr>
        <w:t xml:space="preserve">. 2021. </w:t>
      </w:r>
      <w:r w:rsidRPr="00F32801">
        <w:rPr>
          <w:rFonts w:ascii="Arial" w:eastAsia="Times New Roman" w:hAnsi="Arial" w:cs="Arial"/>
          <w:i/>
          <w:iCs/>
          <w:color w:val="000000"/>
          <w:sz w:val="24"/>
          <w:szCs w:val="24"/>
          <w:shd w:val="clear" w:color="auto" w:fill="FFFFFF"/>
          <w:lang w:eastAsia="en-GB"/>
        </w:rPr>
        <w:t xml:space="preserve">The 6 Stages of the Employee Life Cycle • </w:t>
      </w:r>
      <w:proofErr w:type="spellStart"/>
      <w:r w:rsidRPr="00F32801">
        <w:rPr>
          <w:rFonts w:ascii="Arial" w:eastAsia="Times New Roman" w:hAnsi="Arial" w:cs="Arial"/>
          <w:i/>
          <w:iCs/>
          <w:color w:val="000000"/>
          <w:sz w:val="24"/>
          <w:szCs w:val="24"/>
          <w:shd w:val="clear" w:color="auto" w:fill="FFFFFF"/>
          <w:lang w:eastAsia="en-GB"/>
        </w:rPr>
        <w:t>SpriggHR</w:t>
      </w:r>
      <w:proofErr w:type="spellEnd"/>
      <w:r w:rsidRPr="00F32801">
        <w:rPr>
          <w:rFonts w:ascii="Arial" w:eastAsia="Times New Roman" w:hAnsi="Arial" w:cs="Arial"/>
          <w:color w:val="000000"/>
          <w:sz w:val="24"/>
          <w:szCs w:val="24"/>
          <w:shd w:val="clear" w:color="auto" w:fill="FFFFFF"/>
          <w:lang w:eastAsia="en-GB"/>
        </w:rPr>
        <w:t>. [online] Available at: &lt;</w:t>
      </w:r>
      <w:hyperlink r:id="rId14" w:history="1">
        <w:r w:rsidRPr="00F32801">
          <w:rPr>
            <w:rFonts w:ascii="Arial" w:eastAsia="Times New Roman" w:hAnsi="Arial" w:cs="Arial"/>
            <w:color w:val="1155CC"/>
            <w:sz w:val="24"/>
            <w:szCs w:val="24"/>
            <w:u w:val="single"/>
            <w:shd w:val="clear" w:color="auto" w:fill="FFFFFF"/>
            <w:lang w:eastAsia="en-GB"/>
          </w:rPr>
          <w:t>https://sprigghr.com/blog/360-degree-continuous-feedback/the-6-stages-of-the-employee-life-cycle/</w:t>
        </w:r>
      </w:hyperlink>
      <w:r w:rsidRPr="00F32801">
        <w:rPr>
          <w:rFonts w:ascii="Arial" w:eastAsia="Times New Roman" w:hAnsi="Arial" w:cs="Arial"/>
          <w:color w:val="000000"/>
          <w:sz w:val="24"/>
          <w:szCs w:val="24"/>
          <w:shd w:val="clear" w:color="auto" w:fill="FFFFFF"/>
          <w:lang w:eastAsia="en-GB"/>
        </w:rPr>
        <w:t> </w:t>
      </w:r>
    </w:p>
    <w:p w14:paraId="248CAF66" w14:textId="77777777" w:rsidR="000C7FA9" w:rsidRDefault="000C7FA9" w:rsidP="000C7FA9">
      <w:pPr>
        <w:spacing w:after="0" w:line="360" w:lineRule="auto"/>
        <w:jc w:val="both"/>
        <w:rPr>
          <w:rFonts w:ascii="Arial" w:eastAsia="Times New Roman" w:hAnsi="Arial" w:cs="Arial"/>
          <w:color w:val="000000"/>
          <w:sz w:val="24"/>
          <w:szCs w:val="24"/>
          <w:shd w:val="clear" w:color="auto" w:fill="FFFFFF"/>
          <w:lang w:eastAsia="en-GB"/>
        </w:rPr>
      </w:pPr>
    </w:p>
    <w:p w14:paraId="30616CB3" w14:textId="77777777" w:rsidR="000C7FA9" w:rsidRPr="00F32801" w:rsidRDefault="000C7FA9" w:rsidP="000C7FA9">
      <w:pPr>
        <w:spacing w:after="0" w:line="360" w:lineRule="auto"/>
        <w:jc w:val="both"/>
        <w:rPr>
          <w:rFonts w:ascii="Arial" w:eastAsia="Times New Roman" w:hAnsi="Arial" w:cs="Arial"/>
          <w:sz w:val="24"/>
          <w:szCs w:val="24"/>
          <w:lang w:eastAsia="en-GB"/>
        </w:rPr>
      </w:pPr>
      <w:r w:rsidRPr="00F32801">
        <w:rPr>
          <w:rFonts w:ascii="Arial" w:eastAsia="Times New Roman" w:hAnsi="Arial" w:cs="Arial"/>
          <w:color w:val="000000"/>
          <w:sz w:val="24"/>
          <w:szCs w:val="24"/>
          <w:shd w:val="clear" w:color="auto" w:fill="FFFFFF"/>
          <w:lang w:eastAsia="en-GB"/>
        </w:rPr>
        <w:t xml:space="preserve">Themanager.org. 2021. </w:t>
      </w:r>
      <w:r w:rsidRPr="00F32801">
        <w:rPr>
          <w:rFonts w:ascii="Arial" w:eastAsia="Times New Roman" w:hAnsi="Arial" w:cs="Arial"/>
          <w:i/>
          <w:iCs/>
          <w:color w:val="000000"/>
          <w:sz w:val="24"/>
          <w:szCs w:val="24"/>
          <w:shd w:val="clear" w:color="auto" w:fill="FFFFFF"/>
          <w:lang w:eastAsia="en-GB"/>
        </w:rPr>
        <w:t>Managing Change</w:t>
      </w:r>
      <w:r w:rsidRPr="00F32801">
        <w:rPr>
          <w:rFonts w:ascii="Arial" w:eastAsia="Times New Roman" w:hAnsi="Arial" w:cs="Arial"/>
          <w:color w:val="000000"/>
          <w:sz w:val="24"/>
          <w:szCs w:val="24"/>
          <w:shd w:val="clear" w:color="auto" w:fill="FFFFFF"/>
          <w:lang w:eastAsia="en-GB"/>
        </w:rPr>
        <w:t>. [online] Available at: &lt;</w:t>
      </w:r>
      <w:hyperlink r:id="rId15" w:history="1">
        <w:r w:rsidRPr="00F32801">
          <w:rPr>
            <w:rFonts w:ascii="Arial" w:eastAsia="Times New Roman" w:hAnsi="Arial" w:cs="Arial"/>
            <w:color w:val="1155CC"/>
            <w:sz w:val="24"/>
            <w:szCs w:val="24"/>
            <w:u w:val="single"/>
            <w:shd w:val="clear" w:color="auto" w:fill="FFFFFF"/>
            <w:lang w:eastAsia="en-GB"/>
          </w:rPr>
          <w:t>https://themanager.org/pdf/Change_Phases.PDF</w:t>
        </w:r>
      </w:hyperlink>
      <w:r w:rsidRPr="00F32801">
        <w:rPr>
          <w:rFonts w:ascii="Arial" w:eastAsia="Times New Roman" w:hAnsi="Arial" w:cs="Arial"/>
          <w:color w:val="000000"/>
          <w:sz w:val="24"/>
          <w:szCs w:val="24"/>
          <w:shd w:val="clear" w:color="auto" w:fill="FFFFFF"/>
          <w:lang w:eastAsia="en-GB"/>
        </w:rPr>
        <w:t>. </w:t>
      </w:r>
    </w:p>
    <w:sectPr w:rsidR="000C7FA9" w:rsidRPr="00F32801" w:rsidSect="0051674A">
      <w:headerReference w:type="default" r:id="rId16"/>
      <w:footerReference w:type="defaul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D3CDD" w14:textId="77777777" w:rsidR="001465C4" w:rsidRDefault="001465C4" w:rsidP="0051674A">
      <w:pPr>
        <w:spacing w:after="0" w:line="240" w:lineRule="auto"/>
      </w:pPr>
      <w:r>
        <w:separator/>
      </w:r>
    </w:p>
  </w:endnote>
  <w:endnote w:type="continuationSeparator" w:id="0">
    <w:p w14:paraId="39CDE2E3" w14:textId="77777777" w:rsidR="001465C4" w:rsidRDefault="001465C4" w:rsidP="00516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224921"/>
      <w:docPartObj>
        <w:docPartGallery w:val="Page Numbers (Bottom of Page)"/>
        <w:docPartUnique/>
      </w:docPartObj>
    </w:sdtPr>
    <w:sdtEndPr>
      <w:rPr>
        <w:noProof/>
      </w:rPr>
    </w:sdtEndPr>
    <w:sdtContent>
      <w:p w14:paraId="5556AAB1" w14:textId="2704A486" w:rsidR="009311E0" w:rsidRDefault="009311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8BE453" w14:textId="77777777" w:rsidR="009311E0" w:rsidRDefault="009311E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152734"/>
      <w:docPartObj>
        <w:docPartGallery w:val="Page Numbers (Bottom of Page)"/>
        <w:docPartUnique/>
      </w:docPartObj>
    </w:sdtPr>
    <w:sdtEndPr>
      <w:rPr>
        <w:noProof/>
      </w:rPr>
    </w:sdtEndPr>
    <w:sdtContent>
      <w:p w14:paraId="4B65E2A1" w14:textId="7F52A714" w:rsidR="0051674A" w:rsidRDefault="0051674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3FBBEA" w14:textId="77777777" w:rsidR="0051674A" w:rsidRDefault="00516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72FA6" w14:textId="77777777" w:rsidR="001465C4" w:rsidRDefault="001465C4" w:rsidP="0051674A">
      <w:pPr>
        <w:spacing w:after="0" w:line="240" w:lineRule="auto"/>
      </w:pPr>
      <w:r>
        <w:separator/>
      </w:r>
    </w:p>
  </w:footnote>
  <w:footnote w:type="continuationSeparator" w:id="0">
    <w:p w14:paraId="45CA5CE5" w14:textId="77777777" w:rsidR="001465C4" w:rsidRDefault="001465C4" w:rsidP="005167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DF8879" w14:textId="452F7895" w:rsidR="0051674A" w:rsidRPr="002258C5" w:rsidRDefault="0051674A">
    <w:pPr>
      <w:pStyle w:val="Header"/>
      <w:rPr>
        <w:sz w:val="24"/>
        <w:szCs w:val="24"/>
      </w:rPr>
    </w:pPr>
    <w:r w:rsidRPr="002258C5">
      <w:rPr>
        <w:rFonts w:ascii="Arial" w:hAnsi="Arial" w:cs="Arial"/>
        <w:sz w:val="24"/>
        <w:szCs w:val="24"/>
      </w:rPr>
      <w:t xml:space="preserve">1909933 </w:t>
    </w:r>
    <w:r w:rsidR="002258C5" w:rsidRPr="002258C5">
      <w:rPr>
        <w:sz w:val="24"/>
        <w:szCs w:val="24"/>
      </w:rPr>
      <w:tab/>
    </w:r>
    <w:r w:rsidR="002258C5" w:rsidRPr="002258C5">
      <w:rPr>
        <w:sz w:val="24"/>
        <w:szCs w:val="24"/>
      </w:rPr>
      <w:tab/>
    </w:r>
    <w:r w:rsidR="002258C5" w:rsidRPr="002258C5">
      <w:rPr>
        <w:rFonts w:ascii="Arial" w:hAnsi="Arial" w:cs="Arial"/>
        <w:sz w:val="24"/>
        <w:szCs w:val="24"/>
      </w:rPr>
      <w:t>BMIH5005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655"/>
    <w:rsid w:val="000A19B0"/>
    <w:rsid w:val="000C7FA9"/>
    <w:rsid w:val="00131309"/>
    <w:rsid w:val="001465C4"/>
    <w:rsid w:val="00215238"/>
    <w:rsid w:val="002258C5"/>
    <w:rsid w:val="0031541C"/>
    <w:rsid w:val="00362AD5"/>
    <w:rsid w:val="004F1767"/>
    <w:rsid w:val="0051674A"/>
    <w:rsid w:val="00526916"/>
    <w:rsid w:val="007E0E25"/>
    <w:rsid w:val="00843CC3"/>
    <w:rsid w:val="00884437"/>
    <w:rsid w:val="00904D22"/>
    <w:rsid w:val="009311E0"/>
    <w:rsid w:val="00E53655"/>
    <w:rsid w:val="00ED5E41"/>
    <w:rsid w:val="00F32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10ACF"/>
  <w15:chartTrackingRefBased/>
  <w15:docId w15:val="{357DA54F-56E3-4880-A0FE-520872ADD8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74A"/>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1674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1674A"/>
    <w:rPr>
      <w:rFonts w:eastAsiaTheme="minorEastAsia"/>
      <w:lang w:val="en-US"/>
    </w:rPr>
  </w:style>
  <w:style w:type="paragraph" w:styleId="Header">
    <w:name w:val="header"/>
    <w:basedOn w:val="Normal"/>
    <w:link w:val="HeaderChar"/>
    <w:uiPriority w:val="99"/>
    <w:unhideWhenUsed/>
    <w:rsid w:val="005167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74A"/>
  </w:style>
  <w:style w:type="paragraph" w:styleId="Footer">
    <w:name w:val="footer"/>
    <w:basedOn w:val="Normal"/>
    <w:link w:val="FooterChar"/>
    <w:uiPriority w:val="99"/>
    <w:unhideWhenUsed/>
    <w:rsid w:val="005167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74A"/>
  </w:style>
  <w:style w:type="paragraph" w:styleId="NormalWeb">
    <w:name w:val="Normal (Web)"/>
    <w:basedOn w:val="Normal"/>
    <w:uiPriority w:val="99"/>
    <w:semiHidden/>
    <w:unhideWhenUsed/>
    <w:rsid w:val="00F328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3280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3997">
      <w:bodyDiv w:val="1"/>
      <w:marLeft w:val="0"/>
      <w:marRight w:val="0"/>
      <w:marTop w:val="0"/>
      <w:marBottom w:val="0"/>
      <w:divBdr>
        <w:top w:val="none" w:sz="0" w:space="0" w:color="auto"/>
        <w:left w:val="none" w:sz="0" w:space="0" w:color="auto"/>
        <w:bottom w:val="none" w:sz="0" w:space="0" w:color="auto"/>
        <w:right w:val="none" w:sz="0" w:space="0" w:color="auto"/>
      </w:divBdr>
    </w:div>
    <w:div w:id="74403498">
      <w:bodyDiv w:val="1"/>
      <w:marLeft w:val="0"/>
      <w:marRight w:val="0"/>
      <w:marTop w:val="0"/>
      <w:marBottom w:val="0"/>
      <w:divBdr>
        <w:top w:val="none" w:sz="0" w:space="0" w:color="auto"/>
        <w:left w:val="none" w:sz="0" w:space="0" w:color="auto"/>
        <w:bottom w:val="none" w:sz="0" w:space="0" w:color="auto"/>
        <w:right w:val="none" w:sz="0" w:space="0" w:color="auto"/>
      </w:divBdr>
    </w:div>
    <w:div w:id="539173305">
      <w:bodyDiv w:val="1"/>
      <w:marLeft w:val="0"/>
      <w:marRight w:val="0"/>
      <w:marTop w:val="0"/>
      <w:marBottom w:val="0"/>
      <w:divBdr>
        <w:top w:val="none" w:sz="0" w:space="0" w:color="auto"/>
        <w:left w:val="none" w:sz="0" w:space="0" w:color="auto"/>
        <w:bottom w:val="none" w:sz="0" w:space="0" w:color="auto"/>
        <w:right w:val="none" w:sz="0" w:space="0" w:color="auto"/>
      </w:divBdr>
    </w:div>
    <w:div w:id="843473484">
      <w:bodyDiv w:val="1"/>
      <w:marLeft w:val="0"/>
      <w:marRight w:val="0"/>
      <w:marTop w:val="0"/>
      <w:marBottom w:val="0"/>
      <w:divBdr>
        <w:top w:val="none" w:sz="0" w:space="0" w:color="auto"/>
        <w:left w:val="none" w:sz="0" w:space="0" w:color="auto"/>
        <w:bottom w:val="none" w:sz="0" w:space="0" w:color="auto"/>
        <w:right w:val="none" w:sz="0" w:space="0" w:color="auto"/>
      </w:divBdr>
    </w:div>
    <w:div w:id="1033191249">
      <w:bodyDiv w:val="1"/>
      <w:marLeft w:val="0"/>
      <w:marRight w:val="0"/>
      <w:marTop w:val="0"/>
      <w:marBottom w:val="0"/>
      <w:divBdr>
        <w:top w:val="none" w:sz="0" w:space="0" w:color="auto"/>
        <w:left w:val="none" w:sz="0" w:space="0" w:color="auto"/>
        <w:bottom w:val="none" w:sz="0" w:space="0" w:color="auto"/>
        <w:right w:val="none" w:sz="0" w:space="0" w:color="auto"/>
      </w:divBdr>
    </w:div>
    <w:div w:id="1076437880">
      <w:bodyDiv w:val="1"/>
      <w:marLeft w:val="0"/>
      <w:marRight w:val="0"/>
      <w:marTop w:val="0"/>
      <w:marBottom w:val="0"/>
      <w:divBdr>
        <w:top w:val="none" w:sz="0" w:space="0" w:color="auto"/>
        <w:left w:val="none" w:sz="0" w:space="0" w:color="auto"/>
        <w:bottom w:val="none" w:sz="0" w:space="0" w:color="auto"/>
        <w:right w:val="none" w:sz="0" w:space="0" w:color="auto"/>
      </w:divBdr>
    </w:div>
    <w:div w:id="1226798119">
      <w:bodyDiv w:val="1"/>
      <w:marLeft w:val="0"/>
      <w:marRight w:val="0"/>
      <w:marTop w:val="0"/>
      <w:marBottom w:val="0"/>
      <w:divBdr>
        <w:top w:val="none" w:sz="0" w:space="0" w:color="auto"/>
        <w:left w:val="none" w:sz="0" w:space="0" w:color="auto"/>
        <w:bottom w:val="none" w:sz="0" w:space="0" w:color="auto"/>
        <w:right w:val="none" w:sz="0" w:space="0" w:color="auto"/>
      </w:divBdr>
    </w:div>
    <w:div w:id="1239289789">
      <w:bodyDiv w:val="1"/>
      <w:marLeft w:val="0"/>
      <w:marRight w:val="0"/>
      <w:marTop w:val="0"/>
      <w:marBottom w:val="0"/>
      <w:divBdr>
        <w:top w:val="none" w:sz="0" w:space="0" w:color="auto"/>
        <w:left w:val="none" w:sz="0" w:space="0" w:color="auto"/>
        <w:bottom w:val="none" w:sz="0" w:space="0" w:color="auto"/>
        <w:right w:val="none" w:sz="0" w:space="0" w:color="auto"/>
      </w:divBdr>
    </w:div>
    <w:div w:id="1624772564">
      <w:bodyDiv w:val="1"/>
      <w:marLeft w:val="0"/>
      <w:marRight w:val="0"/>
      <w:marTop w:val="0"/>
      <w:marBottom w:val="0"/>
      <w:divBdr>
        <w:top w:val="none" w:sz="0" w:space="0" w:color="auto"/>
        <w:left w:val="none" w:sz="0" w:space="0" w:color="auto"/>
        <w:bottom w:val="none" w:sz="0" w:space="0" w:color="auto"/>
        <w:right w:val="none" w:sz="0" w:space="0" w:color="auto"/>
      </w:divBdr>
    </w:div>
    <w:div w:id="1996176609">
      <w:bodyDiv w:val="1"/>
      <w:marLeft w:val="0"/>
      <w:marRight w:val="0"/>
      <w:marTop w:val="0"/>
      <w:marBottom w:val="0"/>
      <w:divBdr>
        <w:top w:val="none" w:sz="0" w:space="0" w:color="auto"/>
        <w:left w:val="none" w:sz="0" w:space="0" w:color="auto"/>
        <w:bottom w:val="none" w:sz="0" w:space="0" w:color="auto"/>
        <w:right w:val="none" w:sz="0" w:space="0" w:color="auto"/>
      </w:divBdr>
    </w:div>
    <w:div w:id="2012564124">
      <w:bodyDiv w:val="1"/>
      <w:marLeft w:val="0"/>
      <w:marRight w:val="0"/>
      <w:marTop w:val="0"/>
      <w:marBottom w:val="0"/>
      <w:divBdr>
        <w:top w:val="none" w:sz="0" w:space="0" w:color="auto"/>
        <w:left w:val="none" w:sz="0" w:space="0" w:color="auto"/>
        <w:bottom w:val="none" w:sz="0" w:space="0" w:color="auto"/>
        <w:right w:val="none" w:sz="0" w:space="0" w:color="auto"/>
      </w:divBdr>
    </w:div>
    <w:div w:id="2107456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472879/mod_resource/content/1/resourcing-and-talent-planning-appendix-2020_tcm18-85531.pdf" TargetMode="External"/><Relationship Id="rId13" Type="http://schemas.openxmlformats.org/officeDocument/2006/relationships/hyperlink" Target="https://www.oxfordreference.com/view/10.1093/oi/authority.20110803095750268"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gov.uk/government/news/plan-for-jobs-chancellor-increases-financial-support-for-businesses-and-worker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usinessgrowthhub.com/coronavirus/greater-manchester-s-tourism-hospitality-and-leisure-business-support-service/government-support-for-the-tourism-hospitality-and-leisure-sector" TargetMode="External"/><Relationship Id="rId5" Type="http://schemas.openxmlformats.org/officeDocument/2006/relationships/endnotes" Target="endnotes.xml"/><Relationship Id="rId15" Type="http://schemas.openxmlformats.org/officeDocument/2006/relationships/hyperlink" Target="https://themanager.org/pdf/Change_Phases.PDF" TargetMode="External"/><Relationship Id="rId10" Type="http://schemas.openxmlformats.org/officeDocument/2006/relationships/hyperlink" Target="https://www.marketingtutor.net/pestle-analysis-of-the-hotel-industry"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ndorferries.co.uk/hotel-industry-statistics" TargetMode="External"/><Relationship Id="rId14" Type="http://schemas.openxmlformats.org/officeDocument/2006/relationships/hyperlink" Target="https://sprigghr.com/blog/360-degree-continuous-feedback/the-6-stages-of-the-employee-lif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2854</TotalTime>
  <Pages>9</Pages>
  <Words>2646</Words>
  <Characters>15088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Ema Begum</cp:lastModifiedBy>
  <cp:revision>9</cp:revision>
  <dcterms:created xsi:type="dcterms:W3CDTF">2021-10-17T17:47:00Z</dcterms:created>
  <dcterms:modified xsi:type="dcterms:W3CDTF">2021-10-19T19:03:00Z</dcterms:modified>
</cp:coreProperties>
</file>