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Heading2"/>
        <w:jc w:val="both"/>
      </w:pPr>
      <w:r>
        <w:rPr/>
        <w:pict>
          <v:line style="position:absolute;mso-position-horizontal-relative:page;mso-position-vertical-relative:paragraph;z-index:-10984" from="158.067001pt,5.169348pt" to="158.067001pt,14.169348pt" stroked="true" strokeweight="1pt" strokecolor="#58595b">
            <v:stroke dashstyle="solid"/>
            <w10:wrap type="none"/>
          </v:line>
        </w:pict>
      </w:r>
      <w:r>
        <w:rPr>
          <w:rFonts w:ascii="Trebuchet MS"/>
          <w:b/>
          <w:color w:val="231F20"/>
          <w:spacing w:val="3"/>
          <w:w w:val="115"/>
        </w:rPr>
        <w:t>88 </w:t>
      </w:r>
      <w:r>
        <w:rPr>
          <w:rFonts w:ascii="Trebuchet MS"/>
          <w:b/>
          <w:color w:val="231F20"/>
          <w:spacing w:val="70"/>
          <w:w w:val="115"/>
        </w:rPr>
        <w:t> </w:t>
      </w:r>
      <w:r>
        <w:rPr>
          <w:color w:val="2A6FB5"/>
          <w:spacing w:val="6"/>
          <w:w w:val="115"/>
        </w:rPr>
        <w:t>LEADERSHIP   </w:t>
      </w:r>
      <w:r>
        <w:rPr>
          <w:color w:val="2A6FB5"/>
          <w:spacing w:val="5"/>
          <w:w w:val="115"/>
        </w:rPr>
        <w:t>THEORY  </w:t>
      </w:r>
      <w:r>
        <w:rPr>
          <w:color w:val="2A6FB5"/>
          <w:spacing w:val="5"/>
          <w:w w:val="115"/>
        </w:rPr>
        <w:t>AND </w:t>
      </w:r>
      <w:r>
        <w:rPr>
          <w:color w:val="2A6FB5"/>
          <w:spacing w:val="7"/>
          <w:w w:val="115"/>
        </w:rPr>
        <w:t>PRACTICE</w:t>
      </w:r>
    </w:p>
    <w:p>
      <w:pPr>
        <w:pStyle w:val="BodyText"/>
        <w:rPr>
          <w:sz w:val="20"/>
        </w:rPr>
      </w:pPr>
    </w:p>
    <w:p>
      <w:pPr>
        <w:spacing w:before="129"/>
        <w:ind w:left="1440" w:right="0" w:firstLine="0"/>
        <w:jc w:val="left"/>
        <w:rPr>
          <w:rFonts w:ascii="Trebuchet MS"/>
          <w:b/>
          <w:sz w:val="22"/>
        </w:rPr>
      </w:pPr>
      <w:r>
        <w:rPr>
          <w:rFonts w:ascii="Trebuchet MS"/>
          <w:b/>
          <w:color w:val="2A6FB5"/>
          <w:sz w:val="22"/>
        </w:rPr>
        <w:t>Leadership Behavior Questionnaire</w:t>
      </w:r>
    </w:p>
    <w:p>
      <w:pPr>
        <w:pStyle w:val="BodyText"/>
        <w:spacing w:line="254" w:lineRule="auto" w:before="129"/>
        <w:ind w:left="260" w:right="494"/>
        <w:jc w:val="both"/>
      </w:pPr>
      <w:r>
        <w:rPr>
          <w:i/>
          <w:color w:val="2A6FB5"/>
          <w:w w:val="115"/>
        </w:rPr>
        <w:t>Instructions:</w:t>
      </w:r>
      <w:r>
        <w:rPr>
          <w:i/>
          <w:color w:val="2A6FB5"/>
          <w:spacing w:val="-7"/>
          <w:w w:val="115"/>
        </w:rPr>
        <w:t> </w:t>
      </w:r>
      <w:r>
        <w:rPr>
          <w:color w:val="231F20"/>
          <w:w w:val="115"/>
        </w:rPr>
        <w:t>Read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each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item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carefully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and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think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about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how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often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you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(or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the person you are evaluating) engage in the described behavior. Indicate your response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to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each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item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by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circling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one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of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five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numbers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to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right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of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each item.</w:t>
      </w:r>
    </w:p>
    <w:p>
      <w:pPr>
        <w:pStyle w:val="BodyText"/>
        <w:spacing w:before="120"/>
        <w:ind w:left="260"/>
        <w:jc w:val="both"/>
      </w:pPr>
      <w:r>
        <w:rPr>
          <w:color w:val="231F20"/>
          <w:w w:val="115"/>
        </w:rPr>
        <w:t>Key:   1 = Never    2 = Seldom     3 = Occasionally      4 = Often       5 =  Always</w:t>
      </w:r>
    </w:p>
    <w:p>
      <w:pPr>
        <w:pStyle w:val="BodyText"/>
        <w:spacing w:before="1"/>
        <w:rPr>
          <w:sz w:val="11"/>
        </w:rPr>
      </w:pPr>
    </w:p>
    <w:tbl>
      <w:tblPr>
        <w:tblW w:w="0" w:type="auto"/>
        <w:jc w:val="left"/>
        <w:tblInd w:w="2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4676"/>
        <w:gridCol w:w="291"/>
        <w:gridCol w:w="280"/>
        <w:gridCol w:w="290"/>
        <w:gridCol w:w="290"/>
        <w:gridCol w:w="247"/>
      </w:tblGrid>
      <w:tr>
        <w:trPr>
          <w:trHeight w:val="240" w:hRule="atLeast"/>
        </w:trPr>
        <w:tc>
          <w:tcPr>
            <w:tcW w:w="4676" w:type="dxa"/>
          </w:tcPr>
          <w:p>
            <w:pPr>
              <w:pStyle w:val="TableParagraph"/>
              <w:spacing w:line="205" w:lineRule="exact" w:before="0"/>
              <w:ind w:left="134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1.  Tells group members what they are supposed to do.</w:t>
            </w:r>
          </w:p>
        </w:tc>
        <w:tc>
          <w:tcPr>
            <w:tcW w:w="291" w:type="dxa"/>
          </w:tcPr>
          <w:p>
            <w:pPr>
              <w:pStyle w:val="TableParagraph"/>
              <w:spacing w:line="205" w:lineRule="exact" w:before="0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spacing w:line="205" w:lineRule="exact" w:before="0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spacing w:line="205" w:lineRule="exact" w:before="0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spacing w:line="205" w:lineRule="exact" w:before="0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spacing w:line="205" w:lineRule="exact" w:before="0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134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2.   Acts friendly with members of the group.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134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3. Sets standards of performance for group members.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134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4.  Helps others in the group feel comfortable.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134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5.  Makes suggestions about how to solve problems.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134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6. Responds favorably to suggestions made by others.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134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7. Makes his or her perspective clear to others.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134"/>
              <w:rPr>
                <w:sz w:val="17"/>
              </w:rPr>
            </w:pPr>
            <w:r>
              <w:rPr>
                <w:color w:val="231F20"/>
                <w:w w:val="110"/>
                <w:sz w:val="17"/>
              </w:rPr>
              <w:t>8.    Treats others fairly.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134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9.   Develops a plan of action for the group.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500" w:hRule="atLeast"/>
        </w:trPr>
        <w:tc>
          <w:tcPr>
            <w:tcW w:w="4676" w:type="dxa"/>
          </w:tcPr>
          <w:p>
            <w:pPr>
              <w:pStyle w:val="TableParagraph"/>
              <w:spacing w:line="254" w:lineRule="auto"/>
              <w:ind w:left="410" w:hanging="36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10. Behaves in a predictable manner toward group members.</w:t>
            </w:r>
          </w:p>
        </w:tc>
        <w:tc>
          <w:tcPr>
            <w:tcW w:w="291" w:type="dxa"/>
          </w:tcPr>
          <w:p>
            <w:pPr>
              <w:pStyle w:val="TableParagraph"/>
              <w:spacing w:before="0"/>
              <w:rPr>
                <w:sz w:val="21"/>
              </w:rPr>
            </w:pPr>
          </w:p>
          <w:p>
            <w:pPr>
              <w:pStyle w:val="TableParagraph"/>
              <w:spacing w:before="0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spacing w:before="0"/>
              <w:rPr>
                <w:sz w:val="21"/>
              </w:rPr>
            </w:pPr>
          </w:p>
          <w:p>
            <w:pPr>
              <w:pStyle w:val="TableParagraph"/>
              <w:spacing w:before="0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spacing w:before="0"/>
              <w:rPr>
                <w:sz w:val="21"/>
              </w:rPr>
            </w:pPr>
          </w:p>
          <w:p>
            <w:pPr>
              <w:pStyle w:val="TableParagraph"/>
              <w:spacing w:before="0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spacing w:before="0"/>
              <w:rPr>
                <w:sz w:val="21"/>
              </w:rPr>
            </w:pPr>
          </w:p>
          <w:p>
            <w:pPr>
              <w:pStyle w:val="TableParagraph"/>
              <w:spacing w:before="0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spacing w:before="0"/>
              <w:rPr>
                <w:sz w:val="21"/>
              </w:rPr>
            </w:pPr>
          </w:p>
          <w:p>
            <w:pPr>
              <w:pStyle w:val="TableParagraph"/>
              <w:spacing w:before="0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11.  Defines role responsibilities for each group member.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12. Communicates actively with group members.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13.  Clarifies his or her own role within the group.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14.  Shows concern for the well-being of others.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15.  Provides a plan for how the work is to be done.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16.  Shows flexibility in making decisions.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17.  Provides criteria for what is expected of the group.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18. Discloses thoughts and feelings to group members.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80" w:hRule="atLeast"/>
        </w:trPr>
        <w:tc>
          <w:tcPr>
            <w:tcW w:w="4676" w:type="dxa"/>
          </w:tcPr>
          <w:p>
            <w:pPr>
              <w:pStyle w:val="TableParagraph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19.  Encourages group members to do high-quality work.</w:t>
            </w:r>
          </w:p>
        </w:tc>
        <w:tc>
          <w:tcPr>
            <w:tcW w:w="291" w:type="dxa"/>
          </w:tcPr>
          <w:p>
            <w:pPr>
              <w:pStyle w:val="TableParagraph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  <w:tr>
        <w:trPr>
          <w:trHeight w:val="240" w:hRule="atLeast"/>
        </w:trPr>
        <w:tc>
          <w:tcPr>
            <w:tcW w:w="4676" w:type="dxa"/>
          </w:tcPr>
          <w:p>
            <w:pPr>
              <w:pStyle w:val="TableParagraph"/>
              <w:spacing w:line="184" w:lineRule="exact"/>
              <w:ind w:left="50"/>
              <w:rPr>
                <w:sz w:val="17"/>
              </w:rPr>
            </w:pPr>
            <w:r>
              <w:rPr>
                <w:color w:val="231F20"/>
                <w:w w:val="115"/>
                <w:sz w:val="17"/>
              </w:rPr>
              <w:t>20.  Helps group members get along with each other.</w:t>
            </w:r>
          </w:p>
        </w:tc>
        <w:tc>
          <w:tcPr>
            <w:tcW w:w="291" w:type="dxa"/>
          </w:tcPr>
          <w:p>
            <w:pPr>
              <w:pStyle w:val="TableParagraph"/>
              <w:spacing w:line="184" w:lineRule="exact"/>
              <w:ind w:right="8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1</w:t>
            </w:r>
          </w:p>
        </w:tc>
        <w:tc>
          <w:tcPr>
            <w:tcW w:w="280" w:type="dxa"/>
          </w:tcPr>
          <w:p>
            <w:pPr>
              <w:pStyle w:val="TableParagraph"/>
              <w:spacing w:line="184" w:lineRule="exact"/>
              <w:ind w:right="18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2</w:t>
            </w:r>
          </w:p>
        </w:tc>
        <w:tc>
          <w:tcPr>
            <w:tcW w:w="290" w:type="dxa"/>
          </w:tcPr>
          <w:p>
            <w:pPr>
              <w:pStyle w:val="TableParagraph"/>
              <w:spacing w:line="184" w:lineRule="exact"/>
              <w:ind w:right="90"/>
              <w:jc w:val="right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3</w:t>
            </w:r>
          </w:p>
        </w:tc>
        <w:tc>
          <w:tcPr>
            <w:tcW w:w="290" w:type="dxa"/>
          </w:tcPr>
          <w:p>
            <w:pPr>
              <w:pStyle w:val="TableParagraph"/>
              <w:spacing w:line="184" w:lineRule="exact"/>
              <w:ind w:left="92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4</w:t>
            </w:r>
          </w:p>
        </w:tc>
        <w:tc>
          <w:tcPr>
            <w:tcW w:w="247" w:type="dxa"/>
          </w:tcPr>
          <w:p>
            <w:pPr>
              <w:pStyle w:val="TableParagraph"/>
              <w:spacing w:line="184" w:lineRule="exact"/>
              <w:ind w:left="52"/>
              <w:jc w:val="center"/>
              <w:rPr>
                <w:sz w:val="17"/>
              </w:rPr>
            </w:pPr>
            <w:r>
              <w:rPr>
                <w:color w:val="231F20"/>
                <w:w w:val="109"/>
                <w:sz w:val="17"/>
              </w:rPr>
              <w:t>5</w:t>
            </w:r>
          </w:p>
        </w:tc>
      </w:tr>
    </w:tbl>
    <w:p>
      <w:pPr>
        <w:pStyle w:val="BodyText"/>
        <w:rPr>
          <w:sz w:val="20"/>
        </w:rPr>
      </w:pPr>
    </w:p>
    <w:p>
      <w:pPr>
        <w:pStyle w:val="Heading1"/>
        <w:spacing w:before="156"/>
      </w:pPr>
      <w:r>
        <w:rPr>
          <w:color w:val="2A6FB5"/>
          <w:w w:val="105"/>
        </w:rPr>
        <w:t>Scoring</w:t>
      </w:r>
    </w:p>
    <w:p>
      <w:pPr>
        <w:pStyle w:val="BodyText"/>
        <w:spacing w:line="254" w:lineRule="auto" w:before="191"/>
        <w:ind w:left="260" w:right="496"/>
        <w:jc w:val="both"/>
      </w:pPr>
      <w:r>
        <w:rPr>
          <w:color w:val="231F20"/>
          <w:w w:val="115"/>
        </w:rPr>
        <w:t>The Leadership Behavior Questionnaire is designed to measure two major types</w:t>
      </w:r>
      <w:r>
        <w:rPr>
          <w:color w:val="231F20"/>
          <w:spacing w:val="-10"/>
          <w:w w:val="115"/>
        </w:rPr>
        <w:t> </w:t>
      </w:r>
      <w:r>
        <w:rPr>
          <w:color w:val="231F20"/>
          <w:w w:val="115"/>
        </w:rPr>
        <w:t>of</w:t>
      </w:r>
      <w:r>
        <w:rPr>
          <w:color w:val="231F20"/>
          <w:spacing w:val="-10"/>
          <w:w w:val="115"/>
        </w:rPr>
        <w:t> </w:t>
      </w:r>
      <w:r>
        <w:rPr>
          <w:color w:val="231F20"/>
          <w:w w:val="115"/>
        </w:rPr>
        <w:t>leadership</w:t>
      </w:r>
      <w:r>
        <w:rPr>
          <w:color w:val="231F20"/>
          <w:spacing w:val="-10"/>
          <w:w w:val="115"/>
        </w:rPr>
        <w:t> </w:t>
      </w:r>
      <w:r>
        <w:rPr>
          <w:color w:val="231F20"/>
          <w:w w:val="115"/>
        </w:rPr>
        <w:t>behaviors:</w:t>
      </w:r>
      <w:r>
        <w:rPr>
          <w:color w:val="231F20"/>
          <w:spacing w:val="-10"/>
          <w:w w:val="115"/>
        </w:rPr>
        <w:t> </w:t>
      </w:r>
      <w:r>
        <w:rPr>
          <w:color w:val="231F20"/>
          <w:w w:val="115"/>
        </w:rPr>
        <w:t>task</w:t>
      </w:r>
      <w:r>
        <w:rPr>
          <w:color w:val="231F20"/>
          <w:spacing w:val="-10"/>
          <w:w w:val="115"/>
        </w:rPr>
        <w:t> </w:t>
      </w:r>
      <w:r>
        <w:rPr>
          <w:color w:val="231F20"/>
          <w:w w:val="115"/>
        </w:rPr>
        <w:t>and</w:t>
      </w:r>
      <w:r>
        <w:rPr>
          <w:color w:val="231F20"/>
          <w:spacing w:val="-10"/>
          <w:w w:val="115"/>
        </w:rPr>
        <w:t> </w:t>
      </w:r>
      <w:r>
        <w:rPr>
          <w:color w:val="231F20"/>
          <w:w w:val="115"/>
        </w:rPr>
        <w:t>relationship.</w:t>
      </w:r>
      <w:r>
        <w:rPr>
          <w:color w:val="231F20"/>
          <w:spacing w:val="-10"/>
          <w:w w:val="115"/>
        </w:rPr>
        <w:t> </w:t>
      </w:r>
      <w:r>
        <w:rPr>
          <w:color w:val="231F20"/>
          <w:w w:val="115"/>
        </w:rPr>
        <w:t>Score</w:t>
      </w:r>
      <w:r>
        <w:rPr>
          <w:color w:val="231F20"/>
          <w:spacing w:val="-10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10"/>
          <w:w w:val="115"/>
        </w:rPr>
        <w:t> </w:t>
      </w:r>
      <w:r>
        <w:rPr>
          <w:color w:val="231F20"/>
          <w:w w:val="115"/>
        </w:rPr>
        <w:t>questionnaire by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doing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following: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First,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sum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responses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on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odd-numbered</w:t>
      </w:r>
      <w:r>
        <w:rPr>
          <w:color w:val="231F20"/>
          <w:spacing w:val="-13"/>
          <w:w w:val="115"/>
        </w:rPr>
        <w:t> </w:t>
      </w:r>
      <w:r>
        <w:rPr>
          <w:color w:val="231F20"/>
          <w:w w:val="115"/>
        </w:rPr>
        <w:t>items. This is your task score. Second, sum the responses on the even-numbered items.</w:t>
      </w:r>
      <w:r>
        <w:rPr>
          <w:color w:val="231F20"/>
          <w:spacing w:val="-17"/>
          <w:w w:val="115"/>
        </w:rPr>
        <w:t> </w:t>
      </w:r>
      <w:r>
        <w:rPr>
          <w:color w:val="231F20"/>
          <w:w w:val="115"/>
        </w:rPr>
        <w:t>This</w:t>
      </w:r>
      <w:r>
        <w:rPr>
          <w:color w:val="231F20"/>
          <w:spacing w:val="-17"/>
          <w:w w:val="115"/>
        </w:rPr>
        <w:t> </w:t>
      </w:r>
      <w:r>
        <w:rPr>
          <w:color w:val="231F20"/>
          <w:w w:val="115"/>
        </w:rPr>
        <w:t>is</w:t>
      </w:r>
      <w:r>
        <w:rPr>
          <w:color w:val="231F20"/>
          <w:spacing w:val="-17"/>
          <w:w w:val="115"/>
        </w:rPr>
        <w:t> </w:t>
      </w:r>
      <w:r>
        <w:rPr>
          <w:color w:val="231F20"/>
          <w:w w:val="115"/>
        </w:rPr>
        <w:t>your</w:t>
      </w:r>
      <w:r>
        <w:rPr>
          <w:color w:val="231F20"/>
          <w:spacing w:val="-17"/>
          <w:w w:val="115"/>
        </w:rPr>
        <w:t> </w:t>
      </w:r>
      <w:r>
        <w:rPr>
          <w:color w:val="231F20"/>
          <w:w w:val="115"/>
        </w:rPr>
        <w:t>relationship</w:t>
      </w:r>
      <w:r>
        <w:rPr>
          <w:color w:val="231F20"/>
          <w:spacing w:val="-17"/>
          <w:w w:val="115"/>
        </w:rPr>
        <w:t> </w:t>
      </w:r>
      <w:r>
        <w:rPr>
          <w:color w:val="231F20"/>
          <w:w w:val="115"/>
        </w:rPr>
        <w:t>score.</w:t>
      </w:r>
    </w:p>
    <w:p>
      <w:pPr>
        <w:pStyle w:val="BodyText"/>
        <w:tabs>
          <w:tab w:pos="2813" w:val="left" w:leader="none"/>
          <w:tab w:pos="4888" w:val="left" w:leader="none"/>
        </w:tabs>
        <w:spacing w:before="119"/>
        <w:ind w:left="260"/>
        <w:jc w:val="both"/>
      </w:pPr>
      <w:r>
        <w:rPr>
          <w:color w:val="231F20"/>
          <w:spacing w:val="-4"/>
          <w:w w:val="115"/>
        </w:rPr>
        <w:t>Total</w:t>
      </w:r>
      <w:r>
        <w:rPr>
          <w:color w:val="231F20"/>
          <w:spacing w:val="-1"/>
          <w:w w:val="115"/>
        </w:rPr>
        <w:t> </w:t>
      </w:r>
      <w:r>
        <w:rPr>
          <w:color w:val="231F20"/>
          <w:w w:val="115"/>
        </w:rPr>
        <w:t>scores:</w:t>
      </w:r>
      <w:r>
        <w:rPr>
          <w:color w:val="231F20"/>
          <w:spacing w:val="-1"/>
          <w:w w:val="115"/>
        </w:rPr>
        <w:t> </w:t>
      </w:r>
      <w:r>
        <w:rPr>
          <w:color w:val="231F20"/>
          <w:spacing w:val="-4"/>
          <w:w w:val="115"/>
        </w:rPr>
        <w:t>Task</w:t>
      </w:r>
      <w:r>
        <w:rPr>
          <w:color w:val="231F20"/>
          <w:spacing w:val="-4"/>
          <w:w w:val="115"/>
          <w:u w:val="single" w:color="221E1F"/>
        </w:rPr>
        <w:tab/>
      </w:r>
      <w:r>
        <w:rPr>
          <w:color w:val="231F20"/>
          <w:w w:val="115"/>
        </w:rPr>
        <w:t>Relationship</w:t>
      </w:r>
      <w:r>
        <w:rPr>
          <w:color w:val="231F20"/>
          <w:spacing w:val="6"/>
        </w:rPr>
        <w:t> </w:t>
      </w:r>
      <w:r>
        <w:rPr>
          <w:color w:val="231F20"/>
          <w:w w:val="122"/>
          <w:u w:val="single" w:color="221E1F"/>
        </w:rPr>
        <w:t> </w:t>
      </w:r>
      <w:r>
        <w:rPr>
          <w:color w:val="231F20"/>
          <w:u w:val="single" w:color="221E1F"/>
        </w:rPr>
        <w:tab/>
      </w:r>
    </w:p>
    <w:p>
      <w:pPr>
        <w:spacing w:after="0"/>
        <w:jc w:val="both"/>
        <w:sectPr>
          <w:type w:val="continuous"/>
          <w:pgSz w:w="9360" w:h="13680"/>
          <w:pgMar w:top="1080" w:bottom="280" w:left="1300" w:right="1300"/>
        </w:sectPr>
      </w:pPr>
    </w:p>
    <w:p>
      <w:pPr>
        <w:pStyle w:val="Heading2"/>
        <w:ind w:left="3425"/>
        <w:rPr>
          <w:rFonts w:ascii="Trebuchet MS"/>
          <w:b/>
        </w:rPr>
      </w:pPr>
      <w:r>
        <w:rPr/>
        <w:pict>
          <v:line style="position:absolute;mso-position-horizontal-relative:page;mso-position-vertical-relative:paragraph;z-index:-10960" from="280.777008pt,5.169348pt" to="280.777008pt,14.169348pt" stroked="true" strokeweight="1pt" strokecolor="#58595b">
            <v:stroke dashstyle="solid"/>
            <w10:wrap type="none"/>
          </v:line>
        </w:pict>
      </w:r>
      <w:r>
        <w:rPr>
          <w:color w:val="2A6FB5"/>
          <w:w w:val="115"/>
        </w:rPr>
        <w:t>Chapter 4   Behavioral Approach  </w:t>
      </w:r>
      <w:r>
        <w:rPr>
          <w:rFonts w:ascii="Trebuchet MS"/>
          <w:b/>
          <w:color w:val="231F20"/>
          <w:w w:val="115"/>
        </w:rPr>
        <w:t>89</w:t>
      </w:r>
    </w:p>
    <w:p>
      <w:pPr>
        <w:pStyle w:val="BodyText"/>
        <w:spacing w:before="9"/>
        <w:rPr>
          <w:rFonts w:ascii="Trebuchet MS"/>
          <w:b/>
          <w:sz w:val="23"/>
        </w:rPr>
      </w:pPr>
    </w:p>
    <w:p>
      <w:pPr>
        <w:spacing w:before="99"/>
        <w:ind w:left="500" w:right="0" w:firstLine="0"/>
        <w:jc w:val="both"/>
        <w:rPr>
          <w:rFonts w:ascii="Trebuchet MS"/>
          <w:b/>
          <w:sz w:val="21"/>
        </w:rPr>
      </w:pPr>
      <w:r>
        <w:rPr>
          <w:rFonts w:ascii="Trebuchet MS"/>
          <w:b/>
          <w:color w:val="2A6FB5"/>
          <w:sz w:val="21"/>
        </w:rPr>
        <w:t>Scoring Interpretation</w:t>
      </w:r>
    </w:p>
    <w:p>
      <w:pPr>
        <w:pStyle w:val="BodyText"/>
        <w:tabs>
          <w:tab w:pos="1219" w:val="left" w:leader="none"/>
        </w:tabs>
        <w:spacing w:line="324" w:lineRule="auto" w:before="191"/>
        <w:ind w:left="500" w:right="4281"/>
      </w:pPr>
      <w:r>
        <w:rPr>
          <w:color w:val="231F20"/>
          <w:w w:val="115"/>
        </w:rPr>
        <w:t>45–50</w:t>
        <w:tab/>
      </w:r>
      <w:r>
        <w:rPr>
          <w:color w:val="231F20"/>
          <w:spacing w:val="-3"/>
          <w:w w:val="115"/>
        </w:rPr>
        <w:t>Very</w:t>
      </w:r>
      <w:r>
        <w:rPr>
          <w:color w:val="231F20"/>
          <w:spacing w:val="7"/>
          <w:w w:val="115"/>
        </w:rPr>
        <w:t> </w:t>
      </w:r>
      <w:r>
        <w:rPr>
          <w:color w:val="231F20"/>
          <w:w w:val="115"/>
        </w:rPr>
        <w:t>high</w:t>
      </w:r>
      <w:r>
        <w:rPr>
          <w:color w:val="231F20"/>
          <w:spacing w:val="7"/>
          <w:w w:val="115"/>
        </w:rPr>
        <w:t> </w:t>
      </w:r>
      <w:r>
        <w:rPr>
          <w:color w:val="231F20"/>
          <w:w w:val="115"/>
        </w:rPr>
        <w:t>range</w:t>
      </w:r>
      <w:r>
        <w:rPr>
          <w:color w:val="231F20"/>
          <w:spacing w:val="-1"/>
          <w:w w:val="117"/>
        </w:rPr>
        <w:t> </w:t>
      </w:r>
      <w:r>
        <w:rPr>
          <w:color w:val="231F20"/>
          <w:w w:val="115"/>
        </w:rPr>
        <w:t>40–44</w:t>
        <w:tab/>
        <w:t>High</w:t>
      </w:r>
      <w:r>
        <w:rPr>
          <w:color w:val="231F20"/>
          <w:spacing w:val="17"/>
          <w:w w:val="115"/>
        </w:rPr>
        <w:t> </w:t>
      </w:r>
      <w:r>
        <w:rPr>
          <w:color w:val="231F20"/>
          <w:w w:val="115"/>
        </w:rPr>
        <w:t>range</w:t>
      </w:r>
    </w:p>
    <w:p>
      <w:pPr>
        <w:pStyle w:val="BodyText"/>
        <w:tabs>
          <w:tab w:pos="1219" w:val="left" w:leader="none"/>
        </w:tabs>
        <w:spacing w:line="324" w:lineRule="auto"/>
        <w:ind w:left="500" w:right="3723"/>
      </w:pPr>
      <w:r>
        <w:rPr>
          <w:color w:val="231F20"/>
          <w:w w:val="115"/>
        </w:rPr>
        <w:t>35–39</w:t>
        <w:tab/>
        <w:t>Moderately</w:t>
      </w:r>
      <w:r>
        <w:rPr>
          <w:color w:val="231F20"/>
          <w:spacing w:val="-1"/>
          <w:w w:val="115"/>
        </w:rPr>
        <w:t> </w:t>
      </w:r>
      <w:r>
        <w:rPr>
          <w:color w:val="231F20"/>
          <w:w w:val="115"/>
        </w:rPr>
        <w:t>high</w:t>
      </w:r>
      <w:r>
        <w:rPr>
          <w:color w:val="231F20"/>
          <w:spacing w:val="-1"/>
          <w:w w:val="115"/>
        </w:rPr>
        <w:t> </w:t>
      </w:r>
      <w:r>
        <w:rPr>
          <w:color w:val="231F20"/>
          <w:w w:val="115"/>
        </w:rPr>
        <w:t>range</w:t>
      </w:r>
      <w:r>
        <w:rPr>
          <w:color w:val="231F20"/>
          <w:spacing w:val="-1"/>
          <w:w w:val="117"/>
        </w:rPr>
        <w:t> </w:t>
      </w:r>
      <w:r>
        <w:rPr>
          <w:color w:val="231F20"/>
          <w:w w:val="115"/>
        </w:rPr>
        <w:t>30–34</w:t>
        <w:tab/>
        <w:t>Moderately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low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range</w:t>
      </w:r>
      <w:r>
        <w:rPr>
          <w:color w:val="231F20"/>
          <w:spacing w:val="-1"/>
          <w:w w:val="117"/>
        </w:rPr>
        <w:t> </w:t>
      </w:r>
      <w:r>
        <w:rPr>
          <w:color w:val="231F20"/>
          <w:w w:val="115"/>
        </w:rPr>
        <w:t>25–29</w:t>
        <w:tab/>
        <w:t>Low</w:t>
      </w:r>
      <w:r>
        <w:rPr>
          <w:color w:val="231F20"/>
          <w:spacing w:val="7"/>
          <w:w w:val="115"/>
        </w:rPr>
        <w:t> </w:t>
      </w:r>
      <w:r>
        <w:rPr>
          <w:color w:val="231F20"/>
          <w:w w:val="115"/>
        </w:rPr>
        <w:t>range</w:t>
      </w:r>
    </w:p>
    <w:p>
      <w:pPr>
        <w:pStyle w:val="BodyText"/>
        <w:ind w:left="500"/>
        <w:jc w:val="both"/>
      </w:pPr>
      <w:r>
        <w:rPr>
          <w:color w:val="231F20"/>
          <w:w w:val="115"/>
        </w:rPr>
        <w:t>10–24      Very low range</w:t>
      </w:r>
    </w:p>
    <w:p>
      <w:pPr>
        <w:pStyle w:val="BodyText"/>
        <w:spacing w:before="8"/>
        <w:rPr>
          <w:sz w:val="20"/>
        </w:rPr>
      </w:pPr>
    </w:p>
    <w:p>
      <w:pPr>
        <w:pStyle w:val="BodyText"/>
        <w:spacing w:line="254" w:lineRule="auto"/>
        <w:ind w:left="500" w:right="255"/>
        <w:jc w:val="both"/>
      </w:pPr>
      <w:r>
        <w:rPr>
          <w:color w:val="231F20"/>
          <w:w w:val="115"/>
        </w:rPr>
        <w:t>The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score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you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receive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for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task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refers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to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degree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to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which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you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help</w:t>
      </w:r>
      <w:r>
        <w:rPr>
          <w:color w:val="231F20"/>
          <w:spacing w:val="-3"/>
          <w:w w:val="115"/>
        </w:rPr>
        <w:t> </w:t>
      </w:r>
      <w:r>
        <w:rPr>
          <w:color w:val="231F20"/>
          <w:w w:val="115"/>
        </w:rPr>
        <w:t>others by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defining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their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roles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and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letting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them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know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what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is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expected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of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them.</w:t>
      </w:r>
      <w:r>
        <w:rPr>
          <w:color w:val="231F20"/>
          <w:spacing w:val="-5"/>
          <w:w w:val="115"/>
        </w:rPr>
        <w:t> </w:t>
      </w:r>
      <w:r>
        <w:rPr>
          <w:color w:val="231F20"/>
          <w:w w:val="115"/>
        </w:rPr>
        <w:t>This factor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describes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your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tendencies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to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be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task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directed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toward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others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when</w:t>
      </w:r>
      <w:r>
        <w:rPr>
          <w:color w:val="231F20"/>
          <w:spacing w:val="-12"/>
          <w:w w:val="115"/>
        </w:rPr>
        <w:t> </w:t>
      </w:r>
      <w:r>
        <w:rPr>
          <w:color w:val="231F20"/>
          <w:w w:val="115"/>
        </w:rPr>
        <w:t>you are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in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a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leadership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position.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score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you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receive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for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relationship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is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a</w:t>
      </w:r>
      <w:r>
        <w:rPr>
          <w:color w:val="231F20"/>
          <w:spacing w:val="-22"/>
          <w:w w:val="115"/>
        </w:rPr>
        <w:t> </w:t>
      </w:r>
      <w:r>
        <w:rPr>
          <w:color w:val="231F20"/>
          <w:w w:val="115"/>
        </w:rPr>
        <w:t>measure of the degree to which you try to make subordinates feel comfortable with themselves,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each</w:t>
      </w:r>
      <w:r>
        <w:rPr>
          <w:color w:val="231F20"/>
          <w:spacing w:val="-6"/>
          <w:w w:val="115"/>
        </w:rPr>
        <w:t> </w:t>
      </w:r>
      <w:r>
        <w:rPr>
          <w:color w:val="231F20"/>
          <w:spacing w:val="-4"/>
          <w:w w:val="115"/>
        </w:rPr>
        <w:t>other,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and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the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group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itself.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It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represents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a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measure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of</w:t>
      </w:r>
      <w:r>
        <w:rPr>
          <w:color w:val="231F20"/>
          <w:spacing w:val="-6"/>
          <w:w w:val="115"/>
        </w:rPr>
        <w:t> </w:t>
      </w:r>
      <w:r>
        <w:rPr>
          <w:color w:val="231F20"/>
          <w:w w:val="115"/>
        </w:rPr>
        <w:t>how people oriented you</w:t>
      </w:r>
      <w:r>
        <w:rPr>
          <w:color w:val="231F20"/>
          <w:spacing w:val="-24"/>
          <w:w w:val="115"/>
        </w:rPr>
        <w:t> </w:t>
      </w:r>
      <w:r>
        <w:rPr>
          <w:color w:val="231F20"/>
          <w:w w:val="115"/>
        </w:rPr>
        <w:t>are.</w:t>
      </w:r>
    </w:p>
    <w:p>
      <w:pPr>
        <w:pStyle w:val="BodyText"/>
        <w:spacing w:line="254" w:lineRule="auto" w:before="120"/>
        <w:ind w:left="500" w:right="254"/>
        <w:jc w:val="both"/>
      </w:pPr>
      <w:r>
        <w:rPr>
          <w:color w:val="231F20"/>
          <w:spacing w:val="-5"/>
          <w:w w:val="115"/>
        </w:rPr>
        <w:t>Your </w:t>
      </w:r>
      <w:r>
        <w:rPr>
          <w:color w:val="231F20"/>
          <w:w w:val="115"/>
        </w:rPr>
        <w:t>results on the Leadership Behavior Questionnaire give you data about your task orientation and people orientation. What do your scores suggest about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your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leadership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style?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Are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you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more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likely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to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lead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with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an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emphasis</w:t>
      </w:r>
      <w:r>
        <w:rPr>
          <w:color w:val="231F20"/>
          <w:spacing w:val="-11"/>
          <w:w w:val="115"/>
        </w:rPr>
        <w:t> </w:t>
      </w:r>
      <w:r>
        <w:rPr>
          <w:color w:val="231F20"/>
          <w:w w:val="115"/>
        </w:rPr>
        <w:t>on task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or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with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an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emphasis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on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relationship?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As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you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interpret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your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responses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to the Leadership Behavior Questionnaire, ask yourself if there are ways you could change your behavior to shift the emphasis you give to tasks and</w:t>
      </w:r>
      <w:r>
        <w:rPr>
          <w:color w:val="231F20"/>
          <w:spacing w:val="-29"/>
          <w:w w:val="115"/>
        </w:rPr>
        <w:t> </w:t>
      </w:r>
      <w:r>
        <w:rPr>
          <w:color w:val="231F20"/>
          <w:w w:val="115"/>
        </w:rPr>
        <w:t>rela- tionships. </w:t>
      </w:r>
      <w:r>
        <w:rPr>
          <w:color w:val="231F20"/>
          <w:spacing w:val="-7"/>
          <w:w w:val="115"/>
        </w:rPr>
        <w:t>To </w:t>
      </w:r>
      <w:r>
        <w:rPr>
          <w:color w:val="231F20"/>
          <w:w w:val="115"/>
        </w:rPr>
        <w:t>gain more information about your style, you may want to</w:t>
      </w:r>
      <w:r>
        <w:rPr>
          <w:color w:val="231F20"/>
          <w:spacing w:val="-19"/>
          <w:w w:val="115"/>
        </w:rPr>
        <w:t> </w:t>
      </w:r>
      <w:r>
        <w:rPr>
          <w:color w:val="231F20"/>
          <w:w w:val="115"/>
        </w:rPr>
        <w:t>have four or five of your coworkers fill out the questionnaire based on their per- ceptions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of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you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as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a</w:t>
      </w:r>
      <w:r>
        <w:rPr>
          <w:color w:val="231F20"/>
          <w:spacing w:val="-9"/>
          <w:w w:val="115"/>
        </w:rPr>
        <w:t> </w:t>
      </w:r>
      <w:r>
        <w:rPr>
          <w:color w:val="231F20"/>
          <w:spacing w:val="-3"/>
          <w:w w:val="115"/>
        </w:rPr>
        <w:t>leader.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This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will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give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you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additional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data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to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compare</w:t>
      </w:r>
      <w:r>
        <w:rPr>
          <w:color w:val="231F20"/>
          <w:spacing w:val="-9"/>
          <w:w w:val="115"/>
        </w:rPr>
        <w:t> </w:t>
      </w:r>
      <w:r>
        <w:rPr>
          <w:color w:val="231F20"/>
          <w:w w:val="115"/>
        </w:rPr>
        <w:t>and contrast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to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your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own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scores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about</w:t>
      </w:r>
      <w:r>
        <w:rPr>
          <w:color w:val="231F20"/>
          <w:spacing w:val="-7"/>
          <w:w w:val="115"/>
        </w:rPr>
        <w:t> </w:t>
      </w:r>
      <w:r>
        <w:rPr>
          <w:color w:val="231F20"/>
          <w:w w:val="115"/>
        </w:rPr>
        <w:t>yourself.</w:t>
      </w:r>
    </w:p>
    <w:sectPr>
      <w:pgSz w:w="9360" w:h="13680"/>
      <w:pgMar w:top="1080" w:bottom="280" w:left="1300" w:right="130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Trebuchet MS">
    <w:altName w:val="Trebuchet MS"/>
    <w:charset w:val="0"/>
    <w:family w:val="swiss"/>
    <w:pitch w:val="variable"/>
  </w:font>
  <w:font w:name="Calibri">
    <w:altName w:val="Calibri"/>
    <w:charset w:val="0"/>
    <w:family w:val="swiss"/>
    <w:pitch w:val="variable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Calibri" w:hAnsi="Calibri" w:eastAsia="Calibri" w:cs="Calibri"/>
    </w:rPr>
  </w:style>
  <w:style w:styleId="BodyText" w:type="paragraph">
    <w:name w:val="Body Text"/>
    <w:basedOn w:val="Normal"/>
    <w:uiPriority w:val="1"/>
    <w:qFormat/>
    <w:pPr/>
    <w:rPr>
      <w:rFonts w:ascii="Calibri" w:hAnsi="Calibri" w:eastAsia="Calibri" w:cs="Calibri"/>
      <w:sz w:val="17"/>
      <w:szCs w:val="17"/>
    </w:rPr>
  </w:style>
  <w:style w:styleId="Heading1" w:type="paragraph">
    <w:name w:val="Heading 1"/>
    <w:basedOn w:val="Normal"/>
    <w:uiPriority w:val="1"/>
    <w:qFormat/>
    <w:pPr>
      <w:spacing w:before="99"/>
      <w:ind w:left="260"/>
      <w:jc w:val="both"/>
      <w:outlineLvl w:val="1"/>
    </w:pPr>
    <w:rPr>
      <w:rFonts w:ascii="Trebuchet MS" w:hAnsi="Trebuchet MS" w:eastAsia="Trebuchet MS" w:cs="Trebuchet MS"/>
      <w:b/>
      <w:bCs/>
      <w:sz w:val="21"/>
      <w:szCs w:val="21"/>
    </w:rPr>
  </w:style>
  <w:style w:styleId="Heading2" w:type="paragraph">
    <w:name w:val="Heading 2"/>
    <w:basedOn w:val="Normal"/>
    <w:uiPriority w:val="1"/>
    <w:qFormat/>
    <w:pPr>
      <w:spacing w:before="84"/>
      <w:ind w:left="260"/>
      <w:outlineLvl w:val="2"/>
    </w:pPr>
    <w:rPr>
      <w:rFonts w:ascii="Calibri" w:hAnsi="Calibri" w:eastAsia="Calibri" w:cs="Calibri"/>
      <w:sz w:val="18"/>
      <w:szCs w:val="18"/>
    </w:rPr>
  </w:style>
  <w:style w:styleId="ListParagraph" w:type="paragraph">
    <w:name w:val="List Paragraph"/>
    <w:basedOn w:val="Normal"/>
    <w:uiPriority w:val="1"/>
    <w:qFormat/>
    <w:pPr/>
    <w:rPr/>
  </w:style>
  <w:style w:styleId="TableParagraph" w:type="paragraph">
    <w:name w:val="Table Paragraph"/>
    <w:basedOn w:val="Normal"/>
    <w:uiPriority w:val="1"/>
    <w:qFormat/>
    <w:pPr>
      <w:spacing w:before="36"/>
    </w:pPr>
    <w:rPr>
      <w:rFonts w:ascii="Calibri" w:hAnsi="Calibri" w:eastAsia="Calibri" w:cs="Calibri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2019-04-30T19:23:20Z</dcterms:created>
  <dcterms:modified xsi:type="dcterms:W3CDTF">2019-04-30T19:23:20Z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2015-02-04T00:00:00Z</vt:filetime>
  </property>
  <property fmtid="{D5CDD505-2E9C-101B-9397-08002B2CF9AE}" pid="3" name="Creator">
    <vt:lpwstr>Adobe InDesign CS6 (Windows)</vt:lpwstr>
  </property>
  <property fmtid="{D5CDD505-2E9C-101B-9397-08002B2CF9AE}" pid="4" name="LastSaved">
    <vt:filetime>2019-04-30T00:00:00Z</vt:filetime>
  </property>
</Properties>
</file>