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780DBB" w14:textId="6DB3B40B" w:rsidR="003570E6" w:rsidRPr="00167748" w:rsidRDefault="003570E6" w:rsidP="00167748">
      <w:pPr>
        <w:spacing w:line="480" w:lineRule="auto"/>
        <w:jc w:val="both"/>
        <w:rPr>
          <w:sz w:val="24"/>
          <w:szCs w:val="24"/>
        </w:rPr>
      </w:pPr>
    </w:p>
    <w:p w14:paraId="220F0687" w14:textId="7BC89A03" w:rsidR="003570E6" w:rsidRPr="00167748" w:rsidRDefault="00A2045D" w:rsidP="00167748">
      <w:pPr>
        <w:spacing w:line="480" w:lineRule="auto"/>
        <w:jc w:val="both"/>
        <w:rPr>
          <w:i/>
          <w:iCs/>
          <w:sz w:val="24"/>
          <w:szCs w:val="24"/>
          <w:u w:val="single"/>
        </w:rPr>
      </w:pPr>
      <w:r w:rsidRPr="00167748">
        <w:rPr>
          <w:i/>
          <w:iCs/>
          <w:sz w:val="24"/>
          <w:szCs w:val="24"/>
          <w:u w:val="single"/>
        </w:rPr>
        <w:t>Introduction</w:t>
      </w:r>
      <w:r w:rsidR="00ED019C" w:rsidRPr="00167748">
        <w:rPr>
          <w:i/>
          <w:iCs/>
          <w:sz w:val="24"/>
          <w:szCs w:val="24"/>
          <w:u w:val="single"/>
        </w:rPr>
        <w:t xml:space="preserve"> </w:t>
      </w:r>
    </w:p>
    <w:p w14:paraId="5BF7E179" w14:textId="53DD5F91" w:rsidR="00ED019C" w:rsidRPr="00167748" w:rsidRDefault="00A2045D" w:rsidP="00167748">
      <w:pPr>
        <w:spacing w:line="480" w:lineRule="auto"/>
        <w:jc w:val="both"/>
        <w:rPr>
          <w:sz w:val="24"/>
          <w:szCs w:val="24"/>
        </w:rPr>
      </w:pPr>
      <w:r w:rsidRPr="00167748">
        <w:rPr>
          <w:sz w:val="24"/>
          <w:szCs w:val="24"/>
        </w:rPr>
        <w:t>Throughout the development of equity, there has been an attempt by the courts to ensure that fairness prevails, but when making decisions both in an interim situation but also when making judgments. It is vitally important for the acceptance of legal principles and judgments that they are deemed fair and equitable. It is here that equity has evolved to ensure that unconscionable conduct is eliminated as far as possible from court proceedings</w:t>
      </w:r>
      <w:r w:rsidR="003C424B" w:rsidRPr="00167748">
        <w:rPr>
          <w:sz w:val="24"/>
          <w:szCs w:val="24"/>
        </w:rPr>
        <w:t>. With this in mind, the court can use two areas of interim action to seek to balance the needs of both the claimants and defendants</w:t>
      </w:r>
      <w:r w:rsidR="007C0818" w:rsidRPr="00167748">
        <w:rPr>
          <w:sz w:val="24"/>
          <w:szCs w:val="24"/>
        </w:rPr>
        <w:t xml:space="preserve"> under analysis here, namely the freezing orders and search orders. It is noted that both of these are interim options that are available to the court to ensure that the needs of the parties are adequately balanced and to prevent actions taking place in the short term that would then have an inequitable result in the future. These are not remedies in themselves, which is an important element of the discussion here and will form part of the analysis here. The paper here will look at both of these in turn with a view to </w:t>
      </w:r>
      <w:r w:rsidR="00494DF9" w:rsidRPr="00167748">
        <w:rPr>
          <w:sz w:val="24"/>
          <w:szCs w:val="24"/>
        </w:rPr>
        <w:t xml:space="preserve">ascertaining the way in which the court deals with the application of rules and requirements associated with each of these </w:t>
      </w:r>
      <w:r w:rsidR="008754ED" w:rsidRPr="00167748">
        <w:rPr>
          <w:sz w:val="24"/>
          <w:szCs w:val="24"/>
        </w:rPr>
        <w:t>interests’</w:t>
      </w:r>
      <w:r w:rsidR="00494DF9" w:rsidRPr="00167748">
        <w:rPr>
          <w:sz w:val="24"/>
          <w:szCs w:val="24"/>
        </w:rPr>
        <w:t xml:space="preserve"> orders and, in particular, how the court seeks to balance the interests of both claimants and the defendants with the consideration of whether or not this is truly achieved in either or both of the situations noted below</w:t>
      </w:r>
      <w:r w:rsidRPr="00167748">
        <w:rPr>
          <w:rStyle w:val="FootnoteReference"/>
          <w:sz w:val="24"/>
          <w:szCs w:val="24"/>
        </w:rPr>
        <w:footnoteReference w:id="1"/>
      </w:r>
      <w:r w:rsidR="00494DF9" w:rsidRPr="00167748">
        <w:rPr>
          <w:sz w:val="24"/>
          <w:szCs w:val="24"/>
        </w:rPr>
        <w:t>. Conclusions will then be drawn as to the general operation of these interim orders and a statement of how and if a balance is truly achieved.</w:t>
      </w:r>
    </w:p>
    <w:p w14:paraId="0B2FE623" w14:textId="77777777" w:rsidR="0011690B" w:rsidRDefault="0011690B" w:rsidP="00167748">
      <w:pPr>
        <w:spacing w:line="480" w:lineRule="auto"/>
        <w:jc w:val="both"/>
        <w:rPr>
          <w:i/>
          <w:iCs/>
          <w:sz w:val="24"/>
          <w:szCs w:val="24"/>
          <w:u w:val="single"/>
        </w:rPr>
      </w:pPr>
    </w:p>
    <w:p w14:paraId="7A6B2C7F" w14:textId="16F33473" w:rsidR="003570E6" w:rsidRPr="00167748" w:rsidRDefault="00A2045D" w:rsidP="00167748">
      <w:pPr>
        <w:spacing w:line="480" w:lineRule="auto"/>
        <w:jc w:val="both"/>
        <w:rPr>
          <w:i/>
          <w:iCs/>
          <w:sz w:val="24"/>
          <w:szCs w:val="24"/>
          <w:u w:val="single"/>
        </w:rPr>
      </w:pPr>
      <w:r w:rsidRPr="00167748">
        <w:rPr>
          <w:i/>
          <w:iCs/>
          <w:sz w:val="24"/>
          <w:szCs w:val="24"/>
          <w:u w:val="single"/>
        </w:rPr>
        <w:lastRenderedPageBreak/>
        <w:t>Freezing Orders</w:t>
      </w:r>
      <w:r w:rsidR="00ED019C" w:rsidRPr="00167748">
        <w:rPr>
          <w:i/>
          <w:iCs/>
          <w:sz w:val="24"/>
          <w:szCs w:val="24"/>
          <w:u w:val="single"/>
        </w:rPr>
        <w:t xml:space="preserve"> </w:t>
      </w:r>
    </w:p>
    <w:p w14:paraId="703CE6EC" w14:textId="27F95832" w:rsidR="00494DF9" w:rsidRPr="00167748" w:rsidRDefault="00A2045D" w:rsidP="00167748">
      <w:pPr>
        <w:spacing w:line="480" w:lineRule="auto"/>
        <w:jc w:val="both"/>
        <w:rPr>
          <w:sz w:val="24"/>
          <w:szCs w:val="24"/>
        </w:rPr>
      </w:pPr>
      <w:r w:rsidRPr="00167748">
        <w:rPr>
          <w:sz w:val="24"/>
          <w:szCs w:val="24"/>
        </w:rPr>
        <w:t>Freezing orders, as noted above, are interim injunctions and have previously been referred to as Mareva injunctions due to the fact that they were established in the leading case of Mareva in 1975</w:t>
      </w:r>
      <w:r w:rsidRPr="00167748">
        <w:rPr>
          <w:rStyle w:val="FootnoteReference"/>
          <w:sz w:val="24"/>
          <w:szCs w:val="24"/>
        </w:rPr>
        <w:footnoteReference w:id="2"/>
      </w:r>
      <w:r w:rsidRPr="00167748">
        <w:rPr>
          <w:sz w:val="24"/>
          <w:szCs w:val="24"/>
        </w:rPr>
        <w:t>. The operation of a freezing order is now dealt with under the Civil Procedure rules</w:t>
      </w:r>
      <w:r w:rsidRPr="00167748">
        <w:rPr>
          <w:rStyle w:val="FootnoteReference"/>
          <w:sz w:val="24"/>
          <w:szCs w:val="24"/>
        </w:rPr>
        <w:footnoteReference w:id="3"/>
      </w:r>
      <w:r w:rsidRPr="00167748">
        <w:rPr>
          <w:sz w:val="24"/>
          <w:szCs w:val="24"/>
        </w:rPr>
        <w:t xml:space="preserve"> and specifically, rule 25. A freezing order works as an interim injunction and prevents one of the parties from dealing with assets or disposing of assets while the full trial is being prepared and before the trial has been heard. </w:t>
      </w:r>
      <w:r w:rsidR="008754ED" w:rsidRPr="00167748">
        <w:rPr>
          <w:sz w:val="24"/>
          <w:szCs w:val="24"/>
        </w:rPr>
        <w:t>Therefore,</w:t>
      </w:r>
      <w:r w:rsidRPr="00167748">
        <w:rPr>
          <w:sz w:val="24"/>
          <w:szCs w:val="24"/>
        </w:rPr>
        <w:t xml:space="preserve"> this interim injunction could be issued against an individual who ultimately goes on to win their case and to be able to reclaim the use of their assets. For this reason, a freezing order is not seen as a remedy but rather a way of maintaining the current position while the trial occurs. The underlying reasoning behind this type of interim injunction is to ensure that the defendants assets are preserved in a way that if the judgement is then obtained, the assets are available to the claimant will stop in the absence of this type of freezing order it will be possible for a defendant who is faced with litigation remove all of their assets from the jurisdiction or remove them from the scope of the court in order to protect them and that if the claimant then does go on to win their case, they would have no assets upon which they could enforce their victory. However, the other side of this is that in the event that the claimant is unsuccessful, the defendant has had their assets frozen for potentially a prolonged period of time due to no fault of their own, and this again would not seem a particularly fair approach with the notion that an individual should not be penalised until there is some form of culpability proven against them.</w:t>
      </w:r>
    </w:p>
    <w:p w14:paraId="411BB329" w14:textId="7A9554B2" w:rsidR="00494DF9" w:rsidRPr="00167748" w:rsidRDefault="00A2045D" w:rsidP="00167748">
      <w:pPr>
        <w:spacing w:line="480" w:lineRule="auto"/>
        <w:jc w:val="both"/>
        <w:rPr>
          <w:sz w:val="24"/>
          <w:szCs w:val="24"/>
        </w:rPr>
      </w:pPr>
      <w:r w:rsidRPr="00167748">
        <w:rPr>
          <w:sz w:val="24"/>
          <w:szCs w:val="24"/>
        </w:rPr>
        <w:lastRenderedPageBreak/>
        <w:t>Crucially and based on case law, a freezing order does not have the effect of creating security over the assets; it simply prevents the individual from disposing or using their assets in a way that would remove them from the claimant's control in the event that they were then successful in the future. It is not a charge on the assets and cannot be treated as such</w:t>
      </w:r>
      <w:r w:rsidRPr="00167748">
        <w:rPr>
          <w:rStyle w:val="FootnoteReference"/>
          <w:sz w:val="24"/>
          <w:szCs w:val="24"/>
        </w:rPr>
        <w:footnoteReference w:id="4"/>
      </w:r>
      <w:r w:rsidRPr="00167748">
        <w:rPr>
          <w:sz w:val="24"/>
          <w:szCs w:val="24"/>
        </w:rPr>
        <w:t>.</w:t>
      </w:r>
    </w:p>
    <w:p w14:paraId="4DDF18E4" w14:textId="16DA6C90" w:rsidR="00494DF9" w:rsidRPr="00167748" w:rsidRDefault="00A2045D" w:rsidP="00167748">
      <w:pPr>
        <w:spacing w:line="480" w:lineRule="auto"/>
        <w:jc w:val="both"/>
        <w:rPr>
          <w:sz w:val="24"/>
          <w:szCs w:val="24"/>
        </w:rPr>
      </w:pPr>
      <w:r w:rsidRPr="00167748">
        <w:rPr>
          <w:sz w:val="24"/>
          <w:szCs w:val="24"/>
        </w:rPr>
        <w:t xml:space="preserve">One aspect that may provide a degree of balance is looking at the types of assets that can be frozen, such as bank accounts, motor vehicles, land, and shares in companies. It is also noted that it is possible to obtain orders across England and Wales as a domestic freezing order or a worldwide freezing water where the assets may be outside of the immediate jurisdiction. When a freezing order is issued, this not only has the effect that the defendant cannot use the assets, but it also has an implication on third parties who are not able to act in a way that would breach the terms of the order and cannot assist a defendant in breaching the order meaning that individuals who aren't even involved in the case could find themselves having to pay attention to the terms of a freezing order. It seems on the face of it, therefore, that the balance is very much in favour of the claimant and that an individual who is subject to a freezing order could find themselves severely restricted in the way that they undertake their </w:t>
      </w:r>
      <w:r w:rsidR="008754ED" w:rsidRPr="00167748">
        <w:rPr>
          <w:sz w:val="24"/>
          <w:szCs w:val="24"/>
        </w:rPr>
        <w:t>day-to-day</w:t>
      </w:r>
      <w:r w:rsidRPr="00167748">
        <w:rPr>
          <w:sz w:val="24"/>
          <w:szCs w:val="24"/>
        </w:rPr>
        <w:t xml:space="preserve"> life and the way in which they manage their assets even where there has been no culpability shown.</w:t>
      </w:r>
    </w:p>
    <w:p w14:paraId="70C9CBCB" w14:textId="471DEF77" w:rsidR="00C34571" w:rsidRPr="00167748" w:rsidRDefault="00A2045D" w:rsidP="00167748">
      <w:pPr>
        <w:spacing w:line="480" w:lineRule="auto"/>
        <w:jc w:val="both"/>
        <w:rPr>
          <w:sz w:val="24"/>
          <w:szCs w:val="24"/>
        </w:rPr>
      </w:pPr>
      <w:r w:rsidRPr="00167748">
        <w:rPr>
          <w:sz w:val="24"/>
          <w:szCs w:val="24"/>
        </w:rPr>
        <w:t>However, the potency of a freezing order is not lost on the courts, with the judiciary being relatively careful when it comes to determining when a freezing order should be issued, as specifically noted in the case of Mellat</w:t>
      </w:r>
      <w:r w:rsidRPr="00167748">
        <w:rPr>
          <w:rStyle w:val="FootnoteReference"/>
          <w:sz w:val="24"/>
          <w:szCs w:val="24"/>
        </w:rPr>
        <w:footnoteReference w:id="5"/>
      </w:r>
      <w:r w:rsidRPr="00167748">
        <w:rPr>
          <w:sz w:val="24"/>
          <w:szCs w:val="24"/>
        </w:rPr>
        <w:t xml:space="preserve"> where the freezing order was referred to as a “nuclear weapon.” it is therefore argued here that the court will only seek to exercise the discretion </w:t>
      </w:r>
      <w:r w:rsidRPr="00167748">
        <w:rPr>
          <w:sz w:val="24"/>
          <w:szCs w:val="24"/>
        </w:rPr>
        <w:lastRenderedPageBreak/>
        <w:t>available to it in order to grant a freezing order where it feels that it is both convenient and just to do so.</w:t>
      </w:r>
    </w:p>
    <w:p w14:paraId="627870E9" w14:textId="4F33AF7E" w:rsidR="00C34571" w:rsidRPr="00167748" w:rsidRDefault="00A2045D" w:rsidP="00167748">
      <w:pPr>
        <w:spacing w:line="480" w:lineRule="auto"/>
        <w:jc w:val="both"/>
        <w:rPr>
          <w:sz w:val="24"/>
          <w:szCs w:val="24"/>
        </w:rPr>
      </w:pPr>
      <w:r w:rsidRPr="00167748">
        <w:rPr>
          <w:sz w:val="24"/>
          <w:szCs w:val="24"/>
        </w:rPr>
        <w:t>The main provisions of what should be proved in order to obtain a freezing order are contained within the supreme court act 1981</w:t>
      </w:r>
      <w:r w:rsidRPr="00167748">
        <w:rPr>
          <w:rStyle w:val="FootnoteReference"/>
          <w:sz w:val="24"/>
          <w:szCs w:val="24"/>
        </w:rPr>
        <w:footnoteReference w:id="6"/>
      </w:r>
      <w:r w:rsidRPr="00167748">
        <w:rPr>
          <w:sz w:val="24"/>
          <w:szCs w:val="24"/>
        </w:rPr>
        <w:t xml:space="preserve"> and specifically, section 37, where the court's focus is the decision as to whether or not it is just inconvenient to grant the freezing order being applied for. It seems reasonable to state that an application for a freezing order will be refused where the inconvenience that is going to be suffered by the defendant far outweighs the potential benefit that the claimant would gain in issuing such an order. Whilst this statement seems relatively obvious, the methods by which the court can prove this point or determine this point are far from simple. The court will, in reference to the fact that it originates in an equitable remedy all be it only an interim remedy</w:t>
      </w:r>
      <w:r w:rsidR="003731B2" w:rsidRPr="00167748">
        <w:rPr>
          <w:sz w:val="24"/>
          <w:szCs w:val="24"/>
        </w:rPr>
        <w:t xml:space="preserve"> the court will look a</w:t>
      </w:r>
      <w:r w:rsidRPr="00167748">
        <w:rPr>
          <w:sz w:val="24"/>
          <w:szCs w:val="24"/>
        </w:rPr>
        <w:t>t the conduct of the parties and will require the individual applying for the freezing order to have acted in a reasonable way and have done so without any unnecessary or undue delay. In applying this case law has sought to set down six conditions for a freezing order to be successfully achieved. These requirements are that the applicant has an underlying legal or equitable right that they are relying upon for the main course of action, that the English court has jurisdiction over the matter, and that the applicant has a reasonably good and arguable case</w:t>
      </w:r>
      <w:r w:rsidRPr="00167748">
        <w:rPr>
          <w:rStyle w:val="FootnoteReference"/>
          <w:sz w:val="24"/>
          <w:szCs w:val="24"/>
        </w:rPr>
        <w:footnoteReference w:id="7"/>
      </w:r>
      <w:r w:rsidRPr="00167748">
        <w:rPr>
          <w:sz w:val="24"/>
          <w:szCs w:val="24"/>
        </w:rPr>
        <w:t xml:space="preserve">. From a practical point of view, it is also necessary for the applicant to show that there are assets in existence and that there is a realistic risk of dissipation of these assets. It will also be necessary for the applicant to provide an undertaking in damages such that the subject to </w:t>
      </w:r>
      <w:r w:rsidRPr="00167748">
        <w:rPr>
          <w:sz w:val="24"/>
          <w:szCs w:val="24"/>
        </w:rPr>
        <w:lastRenderedPageBreak/>
        <w:t>the freezing order has the security of knowing that in the event that they do not ultimately lose the case, they will potentially be able to claim damages for any losses they have suffered</w:t>
      </w:r>
      <w:r w:rsidRPr="00167748">
        <w:rPr>
          <w:rStyle w:val="FootnoteReference"/>
          <w:sz w:val="24"/>
          <w:szCs w:val="24"/>
        </w:rPr>
        <w:footnoteReference w:id="8"/>
      </w:r>
      <w:r w:rsidRPr="00167748">
        <w:rPr>
          <w:sz w:val="24"/>
          <w:szCs w:val="24"/>
        </w:rPr>
        <w:t xml:space="preserve">. </w:t>
      </w:r>
    </w:p>
    <w:p w14:paraId="55A1E9B6" w14:textId="4A504F8F" w:rsidR="00C34571" w:rsidRPr="00167748" w:rsidRDefault="00A2045D" w:rsidP="00167748">
      <w:pPr>
        <w:spacing w:line="480" w:lineRule="auto"/>
        <w:jc w:val="both"/>
        <w:rPr>
          <w:sz w:val="24"/>
          <w:szCs w:val="24"/>
        </w:rPr>
      </w:pPr>
      <w:r w:rsidRPr="00167748">
        <w:rPr>
          <w:sz w:val="24"/>
          <w:szCs w:val="24"/>
        </w:rPr>
        <w:t>This latter point is particularly relevant when it comes to ensuring that there is a balanced approach between the needs of both the claimant and the defendant</w:t>
      </w:r>
      <w:r w:rsidR="003E68BB" w:rsidRPr="00167748">
        <w:rPr>
          <w:sz w:val="24"/>
          <w:szCs w:val="24"/>
        </w:rPr>
        <w:t xml:space="preserve"> and is contained within the Practice Direction associated with the Civil procedure rules. The undertaking that we need to be provided by the claimant is to ensure that they pay any damages that the respondent would sustain due to the freezing order where this is found unwarranted. </w:t>
      </w:r>
    </w:p>
    <w:p w14:paraId="0608F4A6" w14:textId="58B09C86" w:rsidR="00204C53" w:rsidRPr="00167748" w:rsidRDefault="00A2045D" w:rsidP="00167748">
      <w:pPr>
        <w:spacing w:line="480" w:lineRule="auto"/>
        <w:jc w:val="both"/>
        <w:rPr>
          <w:sz w:val="24"/>
          <w:szCs w:val="24"/>
        </w:rPr>
      </w:pPr>
      <w:r w:rsidRPr="00167748">
        <w:rPr>
          <w:sz w:val="24"/>
          <w:szCs w:val="24"/>
        </w:rPr>
        <w:t xml:space="preserve">The actual procedures for applying for a freezing order is contained in the Civil Procedure Rules 23 and 25, and when an application is made, this is typically done without notice to the respondent as clearly a respondent on notice of a potential freezing order is likely to act to dissipate their assets prior to the freezing order coming into place. This set of provisions ensures that the claimant maintains the opportunity to ensure that assets are not dissipated but also the fact that an undertaking for damages has to be provided does then offer the respondent some security that in the event that they win the underlying case, they could potentially achieve damages for any losses that they've incurred as a result of this freezing order. As well as the important undertaking for damages, there are some limitations on the scope for a freezing order, for example, there are limits on the assets that can be frozen with particular carve-outs being offered for the ordinary course of business common living in legal expenses and of course there is judiciary discretion to exclude assets that would have a particularly detrimental impact on the defendant. Although the concept of the ordinary course of business should be relatively narrowly construed, it does offer an opportunity for </w:t>
      </w:r>
      <w:r w:rsidRPr="00167748">
        <w:rPr>
          <w:sz w:val="24"/>
          <w:szCs w:val="24"/>
        </w:rPr>
        <w:lastRenderedPageBreak/>
        <w:t>the corporate respondent to ensure that they are able to continue to operate their business and do not suffer losses to such an extent that their business itself may collapse as a result of the freezing order</w:t>
      </w:r>
      <w:r w:rsidRPr="00167748">
        <w:rPr>
          <w:rStyle w:val="FootnoteReference"/>
          <w:sz w:val="24"/>
          <w:szCs w:val="24"/>
        </w:rPr>
        <w:footnoteReference w:id="9"/>
      </w:r>
      <w:r w:rsidRPr="00167748">
        <w:rPr>
          <w:sz w:val="24"/>
          <w:szCs w:val="24"/>
        </w:rPr>
        <w:t>.</w:t>
      </w:r>
    </w:p>
    <w:p w14:paraId="442EE268" w14:textId="57589E4C" w:rsidR="00204C53" w:rsidRPr="00167748" w:rsidRDefault="00A2045D" w:rsidP="00167748">
      <w:pPr>
        <w:spacing w:line="480" w:lineRule="auto"/>
        <w:jc w:val="both"/>
        <w:rPr>
          <w:sz w:val="24"/>
          <w:szCs w:val="24"/>
        </w:rPr>
      </w:pPr>
      <w:r w:rsidRPr="00167748">
        <w:rPr>
          <w:sz w:val="24"/>
          <w:szCs w:val="24"/>
        </w:rPr>
        <w:t>It is argued here that on balance freezing orders, although recognises being a particularly draconian and method of ensuring that assets are not removed from the jurisdiction or dissipated, there are checks and balances in place to ensure that freezing orders are not issued without due consideration and are only issued where it is entirely reasonable to do so. In particular, the existence of undertaking for damages provides a specific level of support for the defendants.</w:t>
      </w:r>
    </w:p>
    <w:p w14:paraId="67565A9C" w14:textId="6094DC04" w:rsidR="003570E6" w:rsidRPr="00167748" w:rsidRDefault="00A2045D" w:rsidP="00167748">
      <w:pPr>
        <w:spacing w:line="480" w:lineRule="auto"/>
        <w:jc w:val="both"/>
        <w:rPr>
          <w:i/>
          <w:iCs/>
          <w:sz w:val="24"/>
          <w:szCs w:val="24"/>
          <w:u w:val="single"/>
        </w:rPr>
      </w:pPr>
      <w:r w:rsidRPr="00167748">
        <w:rPr>
          <w:i/>
          <w:iCs/>
          <w:sz w:val="24"/>
          <w:szCs w:val="24"/>
          <w:u w:val="single"/>
        </w:rPr>
        <w:t>Search Orders</w:t>
      </w:r>
    </w:p>
    <w:p w14:paraId="49C96104" w14:textId="69D90886" w:rsidR="00BA1737" w:rsidRPr="00167748" w:rsidRDefault="00A2045D" w:rsidP="00167748">
      <w:pPr>
        <w:spacing w:line="480" w:lineRule="auto"/>
        <w:jc w:val="both"/>
        <w:rPr>
          <w:sz w:val="24"/>
          <w:szCs w:val="24"/>
        </w:rPr>
      </w:pPr>
      <w:r w:rsidRPr="00167748">
        <w:rPr>
          <w:sz w:val="24"/>
          <w:szCs w:val="24"/>
        </w:rPr>
        <w:t>A search order, by extension, is a mandatory interim injunction and allows the claimant or their representative to enter into a defendant's premises to search, copy and potentially remove material and documents that are linked to the case in question. Interestingly, and despite the recognition that a freezing order can be extremely powerful, it is argued here that the search order is one of the strictest orders that a court can make; it was established in the leading case of Anton Piller; hence a search and seizure border often being referred to as an Anton Piller order</w:t>
      </w:r>
      <w:r w:rsidRPr="00167748">
        <w:rPr>
          <w:rStyle w:val="FootnoteReference"/>
          <w:sz w:val="24"/>
          <w:szCs w:val="24"/>
        </w:rPr>
        <w:footnoteReference w:id="10"/>
      </w:r>
      <w:r w:rsidRPr="00167748">
        <w:rPr>
          <w:sz w:val="24"/>
          <w:szCs w:val="24"/>
        </w:rPr>
        <w:t>. The search and seizure order was established in this case despite the recognition that an individual has the legal power to prevent individuals from entering into their property in order to inspect papers or documents without the appropriate order in place</w:t>
      </w:r>
      <w:r w:rsidRPr="00167748">
        <w:rPr>
          <w:rStyle w:val="FootnoteReference"/>
          <w:sz w:val="24"/>
          <w:szCs w:val="24"/>
        </w:rPr>
        <w:footnoteReference w:id="11"/>
      </w:r>
      <w:r w:rsidRPr="00167748">
        <w:rPr>
          <w:sz w:val="24"/>
          <w:szCs w:val="24"/>
        </w:rPr>
        <w:t xml:space="preserve">. Notwithstanding this recognition, the judge in the Anton pillar case noted that a </w:t>
      </w:r>
      <w:r w:rsidRPr="00167748">
        <w:rPr>
          <w:sz w:val="24"/>
          <w:szCs w:val="24"/>
        </w:rPr>
        <w:lastRenderedPageBreak/>
        <w:t>search and seizure order might be appropriate where there are three preconditions in place</w:t>
      </w:r>
      <w:r w:rsidRPr="00167748">
        <w:rPr>
          <w:rStyle w:val="FootnoteReference"/>
          <w:sz w:val="24"/>
          <w:szCs w:val="24"/>
        </w:rPr>
        <w:footnoteReference w:id="12"/>
      </w:r>
      <w:r w:rsidRPr="00167748">
        <w:rPr>
          <w:sz w:val="24"/>
          <w:szCs w:val="24"/>
        </w:rPr>
        <w:t xml:space="preserve">. </w:t>
      </w:r>
      <w:r w:rsidR="008754ED" w:rsidRPr="00167748">
        <w:rPr>
          <w:sz w:val="24"/>
          <w:szCs w:val="24"/>
        </w:rPr>
        <w:t>Firstly,</w:t>
      </w:r>
      <w:r w:rsidRPr="00167748">
        <w:rPr>
          <w:sz w:val="24"/>
          <w:szCs w:val="24"/>
        </w:rPr>
        <w:t xml:space="preserve"> there is a requirement for the party to show that they have a very strong prima facie case. Secondly, it will be necessary for the claimant to show that the damage of not being able to search for materials or documents would be extremely serious, and thirdly there must be real and credible evidence in place to ensure that the defendant actually has these documents, it cannot simply be at the whim of the claimant who believes there may be documents present. </w:t>
      </w:r>
      <w:r w:rsidR="00337355" w:rsidRPr="00167748">
        <w:rPr>
          <w:sz w:val="24"/>
          <w:szCs w:val="24"/>
        </w:rPr>
        <w:t>Therefore, it is immediately apparent that the courts place a very high burden on an applicant seeking such a search and seizure order. The power that the court has to issue these orders is contained within the Civil Procedure act 1997</w:t>
      </w:r>
      <w:r w:rsidRPr="00167748">
        <w:rPr>
          <w:rStyle w:val="FootnoteReference"/>
          <w:sz w:val="24"/>
          <w:szCs w:val="24"/>
        </w:rPr>
        <w:footnoteReference w:id="13"/>
      </w:r>
      <w:r w:rsidR="00337355" w:rsidRPr="00167748">
        <w:rPr>
          <w:sz w:val="24"/>
          <w:szCs w:val="24"/>
        </w:rPr>
        <w:t xml:space="preserve"> Section 7 as well as within rule 25 of the Civil Procedure Rules. It is helpful to consider the underlying reasons that a search order may be issued. This approach will typically be to preserve evidence or to preserve property that may otherwise be destroyed and is fundamental to the case at hand. This order operates on a very </w:t>
      </w:r>
      <w:r w:rsidR="008754ED" w:rsidRPr="00167748">
        <w:rPr>
          <w:sz w:val="24"/>
          <w:szCs w:val="24"/>
        </w:rPr>
        <w:t>short-term</w:t>
      </w:r>
      <w:r w:rsidR="00337355" w:rsidRPr="00167748">
        <w:rPr>
          <w:sz w:val="24"/>
          <w:szCs w:val="24"/>
        </w:rPr>
        <w:t xml:space="preserve"> agenda, and once the documents or assets have been placed in safekeeping, the need for the search order diminishes.</w:t>
      </w:r>
      <w:r w:rsidR="00BB2720" w:rsidRPr="00167748">
        <w:rPr>
          <w:sz w:val="24"/>
          <w:szCs w:val="24"/>
        </w:rPr>
        <w:t xml:space="preserve"> Therefore, the key issue is to preserve evidence in the form of documents and is not a way of obtaining the evidence or a method by which disclosure can be enforced</w:t>
      </w:r>
      <w:r w:rsidRPr="00167748">
        <w:rPr>
          <w:rStyle w:val="FootnoteReference"/>
          <w:sz w:val="24"/>
          <w:szCs w:val="24"/>
        </w:rPr>
        <w:footnoteReference w:id="14"/>
      </w:r>
      <w:r w:rsidR="00EE3EA5" w:rsidRPr="00167748">
        <w:rPr>
          <w:sz w:val="24"/>
          <w:szCs w:val="24"/>
        </w:rPr>
        <w:t>.</w:t>
      </w:r>
    </w:p>
    <w:p w14:paraId="1126FEBE" w14:textId="4EF8A60F" w:rsidR="00EE3EA5" w:rsidRPr="00167748" w:rsidRDefault="00A2045D" w:rsidP="00167748">
      <w:pPr>
        <w:spacing w:line="480" w:lineRule="auto"/>
        <w:jc w:val="both"/>
        <w:rPr>
          <w:sz w:val="24"/>
          <w:szCs w:val="24"/>
        </w:rPr>
      </w:pPr>
      <w:r w:rsidRPr="00167748">
        <w:rPr>
          <w:sz w:val="24"/>
          <w:szCs w:val="24"/>
        </w:rPr>
        <w:t xml:space="preserve">Given the draconian nature of the search order, it is unsurprising that case law has established many safeguards that the defendant can rely upon when they are the potential subject of the search order. </w:t>
      </w:r>
      <w:r w:rsidR="008754ED" w:rsidRPr="00167748">
        <w:rPr>
          <w:sz w:val="24"/>
          <w:szCs w:val="24"/>
        </w:rPr>
        <w:t>Firstly,</w:t>
      </w:r>
      <w:r w:rsidRPr="00167748">
        <w:rPr>
          <w:sz w:val="24"/>
          <w:szCs w:val="24"/>
        </w:rPr>
        <w:t xml:space="preserve"> there is a duty on the claimant to make full and frank disclosure, and they are also required to provide an undertaking in damages, both of which offer a reasonably robust set of safeguards.</w:t>
      </w:r>
      <w:r w:rsidR="00CF0D12" w:rsidRPr="00167748">
        <w:rPr>
          <w:sz w:val="24"/>
          <w:szCs w:val="24"/>
        </w:rPr>
        <w:t xml:space="preserve"> Furthermore, an independent solicitor must be appointed to </w:t>
      </w:r>
      <w:r w:rsidR="00CF0D12" w:rsidRPr="00167748">
        <w:rPr>
          <w:sz w:val="24"/>
          <w:szCs w:val="24"/>
        </w:rPr>
        <w:lastRenderedPageBreak/>
        <w:t>supervise and report upon the way in which the search has taken place, offering a further cheque to ensure that the extent of the search order is appropriate and that there is a balance of the needs of the parties</w:t>
      </w:r>
      <w:r w:rsidRPr="00167748">
        <w:rPr>
          <w:rStyle w:val="FootnoteReference"/>
          <w:sz w:val="24"/>
          <w:szCs w:val="24"/>
        </w:rPr>
        <w:footnoteReference w:id="15"/>
      </w:r>
      <w:r w:rsidR="00CF0D12" w:rsidRPr="00167748">
        <w:rPr>
          <w:sz w:val="24"/>
          <w:szCs w:val="24"/>
        </w:rPr>
        <w:t>.</w:t>
      </w:r>
    </w:p>
    <w:p w14:paraId="7C0F0DF3" w14:textId="0B5216D1" w:rsidR="00E108E6" w:rsidRPr="00167748" w:rsidRDefault="00A2045D" w:rsidP="00167748">
      <w:pPr>
        <w:spacing w:line="480" w:lineRule="auto"/>
        <w:jc w:val="both"/>
        <w:rPr>
          <w:sz w:val="24"/>
          <w:szCs w:val="24"/>
        </w:rPr>
      </w:pPr>
      <w:r w:rsidRPr="00167748">
        <w:rPr>
          <w:sz w:val="24"/>
          <w:szCs w:val="24"/>
        </w:rPr>
        <w:t>When making an application for a search order, it is necessary for the court to consider whether there is any other less draconian remedy that they could rely upon; for example, it may be more appropriate to have a doorstop order where the defendant will be required to hand over certain materials to the representative, and therefore there would be no need to gain access to the premises that the items would still be maintained.</w:t>
      </w:r>
    </w:p>
    <w:p w14:paraId="674211B6" w14:textId="73F7C649" w:rsidR="006C3EE5" w:rsidRPr="00167748" w:rsidRDefault="00A2045D" w:rsidP="00167748">
      <w:pPr>
        <w:spacing w:line="480" w:lineRule="auto"/>
        <w:jc w:val="both"/>
        <w:rPr>
          <w:sz w:val="24"/>
          <w:szCs w:val="24"/>
        </w:rPr>
      </w:pPr>
      <w:r w:rsidRPr="00167748">
        <w:rPr>
          <w:sz w:val="24"/>
          <w:szCs w:val="24"/>
        </w:rPr>
        <w:t xml:space="preserve">Further practical limitations that may impact the desirability of a search order include the fact that obtaining a search order and executing a search order is a reasonably expensive process and, therefore, not something to be undertaken lightly by the claimant. Furthermore, even where a search order is provided, this does not allow the representative to gain forcible entry into the property, so therefore a defendant who is being particularly resistant may still continue to be resistant, and the defendant may seek to disobey the order. Finally, even where the representative was able to gain access to the premises, there is no guarantee that they will be able to find the documents that they are looking for. Arguably, however, the greatest issue for the claimant is that if a search order is set aside, it may well be the case that the defendant can then obtain damages from the claimant. </w:t>
      </w:r>
    </w:p>
    <w:p w14:paraId="037ED1D7" w14:textId="5100FD27" w:rsidR="00BA59B3" w:rsidRPr="00167748" w:rsidRDefault="00A2045D" w:rsidP="00167748">
      <w:pPr>
        <w:spacing w:line="480" w:lineRule="auto"/>
        <w:jc w:val="both"/>
        <w:rPr>
          <w:sz w:val="24"/>
          <w:szCs w:val="24"/>
        </w:rPr>
      </w:pPr>
      <w:r w:rsidRPr="00167748">
        <w:rPr>
          <w:sz w:val="24"/>
          <w:szCs w:val="24"/>
        </w:rPr>
        <w:t>Given the potential challenges associated with the search order, they're typically only used in very limited cases such as those relating to intellectual property</w:t>
      </w:r>
      <w:r w:rsidRPr="00167748">
        <w:rPr>
          <w:rStyle w:val="FootnoteReference"/>
          <w:sz w:val="24"/>
          <w:szCs w:val="24"/>
        </w:rPr>
        <w:footnoteReference w:id="16"/>
      </w:r>
      <w:r w:rsidRPr="00167748">
        <w:rPr>
          <w:sz w:val="24"/>
          <w:szCs w:val="24"/>
        </w:rPr>
        <w:t xml:space="preserve">, fraud, or breach of confidence cases will stop there is also a use of these orders in matrimonial cases although </w:t>
      </w:r>
      <w:r w:rsidRPr="00167748">
        <w:rPr>
          <w:sz w:val="24"/>
          <w:szCs w:val="24"/>
        </w:rPr>
        <w:lastRenderedPageBreak/>
        <w:t>commonly they are more associated with commercial undertakings due to the costs associated with such an order</w:t>
      </w:r>
      <w:r w:rsidRPr="00167748">
        <w:rPr>
          <w:rStyle w:val="FootnoteReference"/>
          <w:sz w:val="24"/>
          <w:szCs w:val="24"/>
        </w:rPr>
        <w:footnoteReference w:id="17"/>
      </w:r>
      <w:r w:rsidRPr="00167748">
        <w:rPr>
          <w:sz w:val="24"/>
          <w:szCs w:val="24"/>
        </w:rPr>
        <w:t>.</w:t>
      </w:r>
    </w:p>
    <w:p w14:paraId="1BD9C2A6" w14:textId="6C1852FE" w:rsidR="00CF7EA4" w:rsidRPr="00167748" w:rsidRDefault="00A2045D" w:rsidP="00167748">
      <w:pPr>
        <w:spacing w:line="480" w:lineRule="auto"/>
        <w:jc w:val="both"/>
        <w:rPr>
          <w:sz w:val="24"/>
          <w:szCs w:val="24"/>
        </w:rPr>
      </w:pPr>
      <w:r w:rsidRPr="00167748">
        <w:rPr>
          <w:sz w:val="24"/>
          <w:szCs w:val="24"/>
        </w:rPr>
        <w:t>In summary, when looking at the way in which the courts have dealt with applications for search orders, it is argued here that it is relatively limited situations in which a search order will be deemed to be the most appropriate way forwards</w:t>
      </w:r>
      <w:r w:rsidRPr="00167748">
        <w:rPr>
          <w:rStyle w:val="FootnoteReference"/>
          <w:sz w:val="24"/>
          <w:szCs w:val="24"/>
        </w:rPr>
        <w:footnoteReference w:id="18"/>
      </w:r>
      <w:r w:rsidRPr="00167748">
        <w:rPr>
          <w:sz w:val="24"/>
          <w:szCs w:val="24"/>
        </w:rPr>
        <w:t>. Alternative orders such as doorstep orders will always be considered an alternative, and the search order is viewed largely as a last resort. From the claimant's point of view, there are additional challenges associated with proving the necessary elements to obtain the search order, and there is a very realistic risk that they will be required to pay damages if the search order is then set aside. All of these aspects are likely to mean that a claimant will only use a search order where they are in a very strong position and where they are relatively certain that the search order will be successful. Essentially the difficulties being faced by the claimant seeking to obtain a search order act as a means of protecting the defendant from spurious applications, with search orders being relatively exceptional and certainly not commonplace</w:t>
      </w:r>
      <w:r w:rsidRPr="00167748">
        <w:rPr>
          <w:rStyle w:val="FootnoteReference"/>
          <w:sz w:val="24"/>
          <w:szCs w:val="24"/>
        </w:rPr>
        <w:footnoteReference w:id="19"/>
      </w:r>
      <w:r w:rsidRPr="00167748">
        <w:rPr>
          <w:sz w:val="24"/>
          <w:szCs w:val="24"/>
        </w:rPr>
        <w:t>.</w:t>
      </w:r>
    </w:p>
    <w:p w14:paraId="1CAA724E" w14:textId="6DE0602B" w:rsidR="009166DF" w:rsidRPr="00167748" w:rsidRDefault="00A2045D" w:rsidP="00167748">
      <w:pPr>
        <w:spacing w:line="480" w:lineRule="auto"/>
        <w:jc w:val="both"/>
        <w:rPr>
          <w:sz w:val="24"/>
          <w:szCs w:val="24"/>
        </w:rPr>
      </w:pPr>
      <w:r w:rsidRPr="00167748">
        <w:rPr>
          <w:sz w:val="24"/>
          <w:szCs w:val="24"/>
        </w:rPr>
        <w:t xml:space="preserve">When an application comes before the court, if the court looks at the likely harm that will be created to the defendant and considers this to be disproportionate based on the likely documents that are going to be obtained, the search order will not be issued, and instead, the court will likely look at alternative orders that if it could use in order to achieve the same result. So the existence of these lesser orders makes for a particularly strong safeguard for the defendants.  Finally, in the case of the search order, there is also the requirement to have </w:t>
      </w:r>
      <w:r w:rsidRPr="00167748">
        <w:rPr>
          <w:sz w:val="24"/>
          <w:szCs w:val="24"/>
        </w:rPr>
        <w:lastRenderedPageBreak/>
        <w:t>a supervising solicitor, and this again offers an opportunity to ensure that the process of issuing that search order and executing the search order is done fairly.</w:t>
      </w:r>
    </w:p>
    <w:p w14:paraId="3AFF2EC9" w14:textId="0DD415A5" w:rsidR="003570E6" w:rsidRPr="00167748" w:rsidRDefault="00A2045D" w:rsidP="00167748">
      <w:pPr>
        <w:spacing w:line="480" w:lineRule="auto"/>
        <w:jc w:val="both"/>
        <w:rPr>
          <w:i/>
          <w:iCs/>
          <w:sz w:val="24"/>
          <w:szCs w:val="24"/>
          <w:u w:val="single"/>
        </w:rPr>
      </w:pPr>
      <w:r w:rsidRPr="00167748">
        <w:rPr>
          <w:i/>
          <w:iCs/>
          <w:sz w:val="24"/>
          <w:szCs w:val="24"/>
          <w:u w:val="single"/>
        </w:rPr>
        <w:t xml:space="preserve">Conclusions </w:t>
      </w:r>
    </w:p>
    <w:p w14:paraId="1C4F2054" w14:textId="53F1FCED" w:rsidR="009166DF" w:rsidRPr="00167748" w:rsidRDefault="00A2045D" w:rsidP="00167748">
      <w:pPr>
        <w:spacing w:line="480" w:lineRule="auto"/>
        <w:jc w:val="both"/>
        <w:rPr>
          <w:sz w:val="24"/>
          <w:szCs w:val="24"/>
        </w:rPr>
      </w:pPr>
      <w:r w:rsidRPr="00167748">
        <w:rPr>
          <w:sz w:val="24"/>
          <w:szCs w:val="24"/>
        </w:rPr>
        <w:t>When looking at the equitable remedies of the freezing order and search orders, which are interim in nature, it is clear to see that the courts have made a strong attempt to ensure that the needs of both parties are balanced and that there are safeguards put in place to prevent an applicant putting forward situations that could place the defendant at a particular disadvantage even though the underlying cause has not yet been determined</w:t>
      </w:r>
      <w:r w:rsidRPr="00167748">
        <w:rPr>
          <w:rStyle w:val="FootnoteReference"/>
          <w:sz w:val="24"/>
          <w:szCs w:val="24"/>
        </w:rPr>
        <w:footnoteReference w:id="20"/>
      </w:r>
      <w:r w:rsidRPr="00167748">
        <w:rPr>
          <w:sz w:val="24"/>
          <w:szCs w:val="24"/>
        </w:rPr>
        <w:t xml:space="preserve">. </w:t>
      </w:r>
    </w:p>
    <w:p w14:paraId="4312FE58" w14:textId="340772E7" w:rsidR="009166DF" w:rsidRPr="00167748" w:rsidRDefault="00A2045D" w:rsidP="00167748">
      <w:pPr>
        <w:spacing w:line="480" w:lineRule="auto"/>
        <w:jc w:val="both"/>
        <w:rPr>
          <w:sz w:val="24"/>
          <w:szCs w:val="24"/>
        </w:rPr>
      </w:pPr>
      <w:r w:rsidRPr="00167748">
        <w:rPr>
          <w:sz w:val="24"/>
          <w:szCs w:val="24"/>
        </w:rPr>
        <w:t xml:space="preserve">Of particular use is the need for the applicant to provide an undertaking for damages such that if they are in a position that the orders are unsuccessful or there are any losses as a result of a spurious application, they would be required to provide </w:t>
      </w:r>
      <w:r w:rsidR="00033907" w:rsidRPr="00167748">
        <w:rPr>
          <w:sz w:val="24"/>
          <w:szCs w:val="24"/>
        </w:rPr>
        <w:t>damages</w:t>
      </w:r>
      <w:r w:rsidRPr="00167748">
        <w:rPr>
          <w:sz w:val="24"/>
          <w:szCs w:val="24"/>
        </w:rPr>
        <w:t xml:space="preserve"> to the respondent. The courts have typically taken a very cautious approach in issuing both of these orders, recognising just how draconian they can potentially be to the defendant who is likely to face the order without notice. Alternative orders will always be considered. As such, there are suitable safeguards to ensure that these orders are only used in the most extreme of situations and where it is just and equitable to do so.</w:t>
      </w:r>
    </w:p>
    <w:p w14:paraId="1CCFDF83" w14:textId="6DBE6507" w:rsidR="008754ED" w:rsidRPr="00167748" w:rsidRDefault="008754ED" w:rsidP="00167748">
      <w:pPr>
        <w:spacing w:line="480" w:lineRule="auto"/>
        <w:jc w:val="both"/>
        <w:rPr>
          <w:sz w:val="24"/>
          <w:szCs w:val="24"/>
        </w:rPr>
      </w:pPr>
    </w:p>
    <w:p w14:paraId="5EF3F450" w14:textId="77777777" w:rsidR="008754ED" w:rsidRPr="00167748" w:rsidRDefault="008754ED" w:rsidP="00167748">
      <w:pPr>
        <w:spacing w:line="480" w:lineRule="auto"/>
        <w:jc w:val="both"/>
        <w:rPr>
          <w:sz w:val="24"/>
          <w:szCs w:val="24"/>
        </w:rPr>
      </w:pPr>
    </w:p>
    <w:p w14:paraId="5D27A45B" w14:textId="77777777" w:rsidR="0011690B" w:rsidRDefault="0011690B" w:rsidP="00167748">
      <w:pPr>
        <w:spacing w:line="480" w:lineRule="auto"/>
        <w:jc w:val="both"/>
        <w:rPr>
          <w:b/>
          <w:bCs/>
          <w:sz w:val="24"/>
          <w:szCs w:val="24"/>
        </w:rPr>
      </w:pPr>
    </w:p>
    <w:p w14:paraId="2752EEC1" w14:textId="77777777" w:rsidR="0011690B" w:rsidRDefault="0011690B" w:rsidP="00167748">
      <w:pPr>
        <w:spacing w:line="480" w:lineRule="auto"/>
        <w:jc w:val="both"/>
        <w:rPr>
          <w:b/>
          <w:bCs/>
          <w:sz w:val="24"/>
          <w:szCs w:val="24"/>
        </w:rPr>
      </w:pPr>
    </w:p>
    <w:p w14:paraId="04D217D8" w14:textId="54D916F7" w:rsidR="00A2045D" w:rsidRPr="00167748" w:rsidRDefault="00A2045D" w:rsidP="00167748">
      <w:pPr>
        <w:spacing w:line="480" w:lineRule="auto"/>
        <w:jc w:val="both"/>
        <w:rPr>
          <w:b/>
          <w:bCs/>
          <w:sz w:val="24"/>
          <w:szCs w:val="24"/>
        </w:rPr>
      </w:pPr>
      <w:r w:rsidRPr="00167748">
        <w:rPr>
          <w:b/>
          <w:bCs/>
          <w:sz w:val="24"/>
          <w:szCs w:val="24"/>
        </w:rPr>
        <w:lastRenderedPageBreak/>
        <w:t>References</w:t>
      </w:r>
    </w:p>
    <w:p w14:paraId="792C7711" w14:textId="77777777" w:rsidR="00A2045D" w:rsidRPr="00167748" w:rsidRDefault="00A2045D" w:rsidP="00167748">
      <w:pPr>
        <w:spacing w:line="480" w:lineRule="auto"/>
        <w:jc w:val="both"/>
        <w:rPr>
          <w:sz w:val="24"/>
          <w:szCs w:val="24"/>
        </w:rPr>
      </w:pPr>
      <w:r w:rsidRPr="00167748">
        <w:rPr>
          <w:sz w:val="24"/>
          <w:szCs w:val="24"/>
        </w:rPr>
        <w:t xml:space="preserve">  Alexander, K. (1996). The </w:t>
      </w:r>
      <w:proofErr w:type="spellStart"/>
      <w:r w:rsidRPr="00167748">
        <w:rPr>
          <w:sz w:val="24"/>
          <w:szCs w:val="24"/>
        </w:rPr>
        <w:t>Mareva</w:t>
      </w:r>
      <w:proofErr w:type="spellEnd"/>
      <w:r w:rsidRPr="00167748">
        <w:rPr>
          <w:sz w:val="24"/>
          <w:szCs w:val="24"/>
        </w:rPr>
        <w:t xml:space="preserve"> Injunction and Anton </w:t>
      </w:r>
      <w:proofErr w:type="spellStart"/>
      <w:r w:rsidRPr="00167748">
        <w:rPr>
          <w:sz w:val="24"/>
          <w:szCs w:val="24"/>
        </w:rPr>
        <w:t>Piller</w:t>
      </w:r>
      <w:proofErr w:type="spellEnd"/>
      <w:r w:rsidRPr="00167748">
        <w:rPr>
          <w:sz w:val="24"/>
          <w:szCs w:val="24"/>
        </w:rPr>
        <w:t xml:space="preserve"> Order: The </w:t>
      </w:r>
      <w:proofErr w:type="gramStart"/>
      <w:r w:rsidRPr="00167748">
        <w:rPr>
          <w:sz w:val="24"/>
          <w:szCs w:val="24"/>
        </w:rPr>
        <w:t>Nuclear Weapons</w:t>
      </w:r>
      <w:proofErr w:type="gramEnd"/>
      <w:r w:rsidRPr="00167748">
        <w:rPr>
          <w:sz w:val="24"/>
          <w:szCs w:val="24"/>
        </w:rPr>
        <w:t xml:space="preserve"> of English Commercial Litigation. Fla. J. Int'l L., 11, 487.</w:t>
      </w:r>
    </w:p>
    <w:p w14:paraId="39E0B9E4" w14:textId="77777777" w:rsidR="00A2045D" w:rsidRPr="00167748" w:rsidRDefault="00A2045D" w:rsidP="00167748">
      <w:pPr>
        <w:spacing w:line="480" w:lineRule="auto"/>
        <w:jc w:val="both"/>
        <w:rPr>
          <w:sz w:val="24"/>
          <w:szCs w:val="24"/>
        </w:rPr>
      </w:pPr>
      <w:r w:rsidRPr="00167748">
        <w:rPr>
          <w:sz w:val="24"/>
          <w:szCs w:val="24"/>
        </w:rPr>
        <w:t xml:space="preserve">  </w:t>
      </w:r>
      <w:proofErr w:type="spellStart"/>
      <w:r w:rsidRPr="00167748">
        <w:rPr>
          <w:sz w:val="24"/>
          <w:szCs w:val="24"/>
        </w:rPr>
        <w:t>Andoh</w:t>
      </w:r>
      <w:proofErr w:type="spellEnd"/>
      <w:r w:rsidRPr="00167748">
        <w:rPr>
          <w:sz w:val="24"/>
          <w:szCs w:val="24"/>
        </w:rPr>
        <w:t>, B. (2010). The Freezing Injunction Today. Business Law Review, 31(2).</w:t>
      </w:r>
    </w:p>
    <w:p w14:paraId="7D483D43" w14:textId="77777777" w:rsidR="00A2045D" w:rsidRPr="00167748" w:rsidRDefault="00A2045D" w:rsidP="00167748">
      <w:pPr>
        <w:spacing w:line="480" w:lineRule="auto"/>
        <w:jc w:val="both"/>
        <w:rPr>
          <w:sz w:val="24"/>
          <w:szCs w:val="24"/>
        </w:rPr>
      </w:pPr>
      <w:r w:rsidRPr="00167748">
        <w:rPr>
          <w:sz w:val="24"/>
          <w:szCs w:val="24"/>
        </w:rPr>
        <w:t xml:space="preserve">  Anton </w:t>
      </w:r>
      <w:proofErr w:type="spellStart"/>
      <w:r w:rsidRPr="00167748">
        <w:rPr>
          <w:sz w:val="24"/>
          <w:szCs w:val="24"/>
        </w:rPr>
        <w:t>Piller</w:t>
      </w:r>
      <w:proofErr w:type="spellEnd"/>
      <w:r w:rsidRPr="00167748">
        <w:rPr>
          <w:sz w:val="24"/>
          <w:szCs w:val="24"/>
        </w:rPr>
        <w:t xml:space="preserve"> KG v Manufacturing Processes Ltd &amp; </w:t>
      </w:r>
      <w:proofErr w:type="spellStart"/>
      <w:r w:rsidRPr="00167748">
        <w:rPr>
          <w:sz w:val="24"/>
          <w:szCs w:val="24"/>
        </w:rPr>
        <w:t>Ors</w:t>
      </w:r>
      <w:proofErr w:type="spellEnd"/>
      <w:r w:rsidRPr="00167748">
        <w:rPr>
          <w:sz w:val="24"/>
          <w:szCs w:val="24"/>
        </w:rPr>
        <w:t xml:space="preserve"> [1975] EWCA </w:t>
      </w:r>
      <w:proofErr w:type="spellStart"/>
      <w:r w:rsidRPr="00167748">
        <w:rPr>
          <w:sz w:val="24"/>
          <w:szCs w:val="24"/>
        </w:rPr>
        <w:t>Civ</w:t>
      </w:r>
      <w:proofErr w:type="spellEnd"/>
      <w:r w:rsidRPr="00167748">
        <w:rPr>
          <w:sz w:val="24"/>
          <w:szCs w:val="24"/>
        </w:rPr>
        <w:t xml:space="preserve"> 12</w:t>
      </w:r>
    </w:p>
    <w:p w14:paraId="57632096" w14:textId="77777777" w:rsidR="00A2045D" w:rsidRPr="00167748" w:rsidRDefault="00A2045D" w:rsidP="00167748">
      <w:pPr>
        <w:spacing w:line="480" w:lineRule="auto"/>
        <w:jc w:val="both"/>
        <w:rPr>
          <w:sz w:val="24"/>
          <w:szCs w:val="24"/>
        </w:rPr>
      </w:pPr>
      <w:r w:rsidRPr="00167748">
        <w:rPr>
          <w:sz w:val="24"/>
          <w:szCs w:val="24"/>
        </w:rPr>
        <w:t xml:space="preserve">  Bank </w:t>
      </w:r>
      <w:proofErr w:type="spellStart"/>
      <w:r w:rsidRPr="00167748">
        <w:rPr>
          <w:sz w:val="24"/>
          <w:szCs w:val="24"/>
        </w:rPr>
        <w:t>Mellat</w:t>
      </w:r>
      <w:proofErr w:type="spellEnd"/>
      <w:r w:rsidRPr="00167748">
        <w:rPr>
          <w:sz w:val="24"/>
          <w:szCs w:val="24"/>
        </w:rPr>
        <w:t xml:space="preserve"> v </w:t>
      </w:r>
      <w:proofErr w:type="spellStart"/>
      <w:r w:rsidRPr="00167748">
        <w:rPr>
          <w:sz w:val="24"/>
          <w:szCs w:val="24"/>
        </w:rPr>
        <w:t>Nikpour</w:t>
      </w:r>
      <w:proofErr w:type="spellEnd"/>
      <w:r w:rsidRPr="00167748">
        <w:rPr>
          <w:sz w:val="24"/>
          <w:szCs w:val="24"/>
        </w:rPr>
        <w:t xml:space="preserve"> [1985] FSR 87</w:t>
      </w:r>
    </w:p>
    <w:p w14:paraId="10E5EE0A" w14:textId="77777777" w:rsidR="00A2045D" w:rsidRPr="00167748" w:rsidRDefault="00A2045D" w:rsidP="00167748">
      <w:pPr>
        <w:spacing w:line="480" w:lineRule="auto"/>
        <w:jc w:val="both"/>
        <w:rPr>
          <w:sz w:val="24"/>
          <w:szCs w:val="24"/>
        </w:rPr>
      </w:pPr>
      <w:r w:rsidRPr="00167748">
        <w:rPr>
          <w:sz w:val="24"/>
          <w:szCs w:val="24"/>
        </w:rPr>
        <w:t xml:space="preserve">  Civil Procedure Act 1997</w:t>
      </w:r>
    </w:p>
    <w:p w14:paraId="5FE9BD6A" w14:textId="77777777" w:rsidR="00A2045D" w:rsidRPr="00167748" w:rsidRDefault="00A2045D" w:rsidP="00167748">
      <w:pPr>
        <w:spacing w:line="480" w:lineRule="auto"/>
        <w:jc w:val="both"/>
        <w:rPr>
          <w:sz w:val="24"/>
          <w:szCs w:val="24"/>
        </w:rPr>
      </w:pPr>
      <w:r w:rsidRPr="00167748">
        <w:rPr>
          <w:sz w:val="24"/>
          <w:szCs w:val="24"/>
        </w:rPr>
        <w:t xml:space="preserve">  Civil Procedure Rules</w:t>
      </w:r>
    </w:p>
    <w:p w14:paraId="251465CC" w14:textId="77777777" w:rsidR="00A2045D" w:rsidRPr="00167748" w:rsidRDefault="00A2045D" w:rsidP="00167748">
      <w:pPr>
        <w:spacing w:line="480" w:lineRule="auto"/>
        <w:jc w:val="both"/>
        <w:rPr>
          <w:sz w:val="24"/>
          <w:szCs w:val="24"/>
        </w:rPr>
      </w:pPr>
      <w:r w:rsidRPr="00167748">
        <w:rPr>
          <w:sz w:val="24"/>
          <w:szCs w:val="24"/>
        </w:rPr>
        <w:t xml:space="preserve">  Crowther v Crowther [2020] EWCA </w:t>
      </w:r>
      <w:proofErr w:type="spellStart"/>
      <w:r w:rsidRPr="00167748">
        <w:rPr>
          <w:sz w:val="24"/>
          <w:szCs w:val="24"/>
        </w:rPr>
        <w:t>Civ</w:t>
      </w:r>
      <w:proofErr w:type="spellEnd"/>
      <w:r w:rsidRPr="00167748">
        <w:rPr>
          <w:sz w:val="24"/>
          <w:szCs w:val="24"/>
        </w:rPr>
        <w:t xml:space="preserve"> 762</w:t>
      </w:r>
    </w:p>
    <w:p w14:paraId="1A92183B" w14:textId="77777777" w:rsidR="00A2045D" w:rsidRPr="00167748" w:rsidRDefault="00A2045D" w:rsidP="00167748">
      <w:pPr>
        <w:spacing w:line="480" w:lineRule="auto"/>
        <w:jc w:val="both"/>
        <w:rPr>
          <w:sz w:val="24"/>
          <w:szCs w:val="24"/>
        </w:rPr>
      </w:pPr>
      <w:r w:rsidRPr="00167748">
        <w:rPr>
          <w:sz w:val="24"/>
          <w:szCs w:val="24"/>
        </w:rPr>
        <w:t xml:space="preserve">  Entick v Carrington &amp; </w:t>
      </w:r>
      <w:proofErr w:type="spellStart"/>
      <w:r w:rsidRPr="00167748">
        <w:rPr>
          <w:sz w:val="24"/>
          <w:szCs w:val="24"/>
        </w:rPr>
        <w:t>Ors</w:t>
      </w:r>
      <w:proofErr w:type="spellEnd"/>
      <w:r w:rsidRPr="00167748">
        <w:rPr>
          <w:sz w:val="24"/>
          <w:szCs w:val="24"/>
        </w:rPr>
        <w:t xml:space="preserve"> [1765] EWHC J98 (KB)</w:t>
      </w:r>
    </w:p>
    <w:p w14:paraId="71B85018" w14:textId="77777777" w:rsidR="00A2045D" w:rsidRPr="00167748" w:rsidRDefault="00A2045D" w:rsidP="00167748">
      <w:pPr>
        <w:spacing w:line="480" w:lineRule="auto"/>
        <w:jc w:val="both"/>
        <w:rPr>
          <w:sz w:val="24"/>
          <w:szCs w:val="24"/>
        </w:rPr>
      </w:pPr>
      <w:r w:rsidRPr="00167748">
        <w:rPr>
          <w:sz w:val="24"/>
          <w:szCs w:val="24"/>
        </w:rPr>
        <w:t xml:space="preserve">  </w:t>
      </w:r>
      <w:proofErr w:type="spellStart"/>
      <w:r w:rsidRPr="00167748">
        <w:rPr>
          <w:sz w:val="24"/>
          <w:szCs w:val="24"/>
        </w:rPr>
        <w:t>Fabano</w:t>
      </w:r>
      <w:proofErr w:type="spellEnd"/>
      <w:r w:rsidRPr="00167748">
        <w:rPr>
          <w:sz w:val="24"/>
          <w:szCs w:val="24"/>
        </w:rPr>
        <w:t xml:space="preserve">, C. (2002). Maximizing Plaintiff Protection in the World of Asset Freezing and Bypassing the Due Process Requirement of Notice: The </w:t>
      </w:r>
      <w:proofErr w:type="spellStart"/>
      <w:r w:rsidRPr="00167748">
        <w:rPr>
          <w:sz w:val="24"/>
          <w:szCs w:val="24"/>
        </w:rPr>
        <w:t>Mareva</w:t>
      </w:r>
      <w:proofErr w:type="spellEnd"/>
      <w:r w:rsidRPr="00167748">
        <w:rPr>
          <w:sz w:val="24"/>
          <w:szCs w:val="24"/>
        </w:rPr>
        <w:t xml:space="preserve"> Injunction as an Alternative to the American Legal Remedies. ILSA J. Int'l &amp; Comp. L., 9, 131.</w:t>
      </w:r>
    </w:p>
    <w:p w14:paraId="46E59F8E" w14:textId="77777777" w:rsidR="00A2045D" w:rsidRPr="00167748" w:rsidRDefault="00A2045D" w:rsidP="00167748">
      <w:pPr>
        <w:spacing w:line="480" w:lineRule="auto"/>
        <w:jc w:val="both"/>
        <w:rPr>
          <w:sz w:val="24"/>
          <w:szCs w:val="24"/>
        </w:rPr>
      </w:pPr>
      <w:r w:rsidRPr="00167748">
        <w:rPr>
          <w:sz w:val="24"/>
          <w:szCs w:val="24"/>
        </w:rPr>
        <w:t xml:space="preserve">  Folarin, A. (2020). Evaluating the Scope of the </w:t>
      </w:r>
      <w:proofErr w:type="spellStart"/>
      <w:r w:rsidRPr="00167748">
        <w:rPr>
          <w:sz w:val="24"/>
          <w:szCs w:val="24"/>
        </w:rPr>
        <w:t>Mareva</w:t>
      </w:r>
      <w:proofErr w:type="spellEnd"/>
      <w:r w:rsidRPr="00167748">
        <w:rPr>
          <w:sz w:val="24"/>
          <w:szCs w:val="24"/>
        </w:rPr>
        <w:t xml:space="preserve"> and Anton </w:t>
      </w:r>
      <w:proofErr w:type="spellStart"/>
      <w:r w:rsidRPr="00167748">
        <w:rPr>
          <w:sz w:val="24"/>
          <w:szCs w:val="24"/>
        </w:rPr>
        <w:t>Piller</w:t>
      </w:r>
      <w:proofErr w:type="spellEnd"/>
      <w:r w:rsidRPr="00167748">
        <w:rPr>
          <w:sz w:val="24"/>
          <w:szCs w:val="24"/>
        </w:rPr>
        <w:t xml:space="preserve"> Injunctions and the Rights of Parties. Available at SSRN 3643983.</w:t>
      </w:r>
    </w:p>
    <w:p w14:paraId="7226E7B8" w14:textId="77777777" w:rsidR="00A2045D" w:rsidRPr="00167748" w:rsidRDefault="00A2045D" w:rsidP="00167748">
      <w:pPr>
        <w:spacing w:line="480" w:lineRule="auto"/>
        <w:jc w:val="both"/>
        <w:rPr>
          <w:sz w:val="24"/>
          <w:szCs w:val="24"/>
        </w:rPr>
      </w:pPr>
      <w:r w:rsidRPr="00167748">
        <w:rPr>
          <w:sz w:val="24"/>
          <w:szCs w:val="24"/>
        </w:rPr>
        <w:t xml:space="preserve">  Hayhurst, W. L. (1981). The Anton </w:t>
      </w:r>
      <w:proofErr w:type="spellStart"/>
      <w:r w:rsidRPr="00167748">
        <w:rPr>
          <w:sz w:val="24"/>
          <w:szCs w:val="24"/>
        </w:rPr>
        <w:t>Piller</w:t>
      </w:r>
      <w:proofErr w:type="spellEnd"/>
      <w:r w:rsidRPr="00167748">
        <w:rPr>
          <w:sz w:val="24"/>
          <w:szCs w:val="24"/>
        </w:rPr>
        <w:t xml:space="preserve"> Order. Can. Bus. LJ, 6, 2.</w:t>
      </w:r>
    </w:p>
    <w:p w14:paraId="59947594" w14:textId="77777777" w:rsidR="00A2045D" w:rsidRPr="00167748" w:rsidRDefault="00A2045D" w:rsidP="00167748">
      <w:pPr>
        <w:spacing w:line="480" w:lineRule="auto"/>
        <w:jc w:val="both"/>
        <w:rPr>
          <w:sz w:val="24"/>
          <w:szCs w:val="24"/>
        </w:rPr>
      </w:pPr>
      <w:r w:rsidRPr="00167748">
        <w:rPr>
          <w:sz w:val="24"/>
          <w:szCs w:val="24"/>
        </w:rPr>
        <w:t xml:space="preserve">  JSC BTA Bank v Ablyazov (No 3) [2010] EWCA </w:t>
      </w:r>
      <w:proofErr w:type="spellStart"/>
      <w:r w:rsidRPr="00167748">
        <w:rPr>
          <w:sz w:val="24"/>
          <w:szCs w:val="24"/>
        </w:rPr>
        <w:t>Civ</w:t>
      </w:r>
      <w:proofErr w:type="spellEnd"/>
      <w:r w:rsidRPr="00167748">
        <w:rPr>
          <w:sz w:val="24"/>
          <w:szCs w:val="24"/>
        </w:rPr>
        <w:t xml:space="preserve"> 1141</w:t>
      </w:r>
    </w:p>
    <w:p w14:paraId="2F6F92CC" w14:textId="77777777" w:rsidR="00A2045D" w:rsidRPr="00167748" w:rsidRDefault="00A2045D" w:rsidP="00167748">
      <w:pPr>
        <w:spacing w:line="480" w:lineRule="auto"/>
        <w:jc w:val="both"/>
        <w:rPr>
          <w:sz w:val="24"/>
          <w:szCs w:val="24"/>
        </w:rPr>
      </w:pPr>
      <w:r w:rsidRPr="00167748">
        <w:rPr>
          <w:sz w:val="24"/>
          <w:szCs w:val="24"/>
        </w:rPr>
        <w:t xml:space="preserve">  </w:t>
      </w:r>
      <w:proofErr w:type="spellStart"/>
      <w:r w:rsidRPr="00167748">
        <w:rPr>
          <w:sz w:val="24"/>
          <w:szCs w:val="24"/>
        </w:rPr>
        <w:t>Kyriakides</w:t>
      </w:r>
      <w:proofErr w:type="spellEnd"/>
      <w:r w:rsidRPr="00167748">
        <w:rPr>
          <w:sz w:val="24"/>
          <w:szCs w:val="24"/>
        </w:rPr>
        <w:t xml:space="preserve">, N. (2012). Search orders and Anton </w:t>
      </w:r>
      <w:proofErr w:type="spellStart"/>
      <w:r w:rsidRPr="00167748">
        <w:rPr>
          <w:sz w:val="24"/>
          <w:szCs w:val="24"/>
        </w:rPr>
        <w:t>Piller</w:t>
      </w:r>
      <w:proofErr w:type="spellEnd"/>
      <w:r w:rsidRPr="00167748">
        <w:rPr>
          <w:sz w:val="24"/>
          <w:szCs w:val="24"/>
        </w:rPr>
        <w:t xml:space="preserve"> relief: Past, present, and future (Doctoral dissertation, Oxford University, UK).</w:t>
      </w:r>
    </w:p>
    <w:p w14:paraId="665F6264" w14:textId="77777777" w:rsidR="00A2045D" w:rsidRPr="00167748" w:rsidRDefault="00A2045D" w:rsidP="00167748">
      <w:pPr>
        <w:spacing w:line="480" w:lineRule="auto"/>
        <w:jc w:val="both"/>
        <w:rPr>
          <w:sz w:val="24"/>
          <w:szCs w:val="24"/>
        </w:rPr>
      </w:pPr>
      <w:r w:rsidRPr="00167748">
        <w:rPr>
          <w:sz w:val="24"/>
          <w:szCs w:val="24"/>
        </w:rPr>
        <w:t xml:space="preserve">  </w:t>
      </w:r>
      <w:proofErr w:type="spellStart"/>
      <w:r w:rsidRPr="00167748">
        <w:rPr>
          <w:sz w:val="24"/>
          <w:szCs w:val="24"/>
        </w:rPr>
        <w:t>Mareva</w:t>
      </w:r>
      <w:proofErr w:type="spellEnd"/>
      <w:r w:rsidRPr="00167748">
        <w:rPr>
          <w:sz w:val="24"/>
          <w:szCs w:val="24"/>
        </w:rPr>
        <w:t xml:space="preserve"> </w:t>
      </w:r>
      <w:proofErr w:type="spellStart"/>
      <w:r w:rsidRPr="00167748">
        <w:rPr>
          <w:sz w:val="24"/>
          <w:szCs w:val="24"/>
        </w:rPr>
        <w:t>Compania</w:t>
      </w:r>
      <w:proofErr w:type="spellEnd"/>
      <w:r w:rsidRPr="00167748">
        <w:rPr>
          <w:sz w:val="24"/>
          <w:szCs w:val="24"/>
        </w:rPr>
        <w:t xml:space="preserve"> Naviera SA v. International </w:t>
      </w:r>
      <w:proofErr w:type="spellStart"/>
      <w:r w:rsidRPr="00167748">
        <w:rPr>
          <w:sz w:val="24"/>
          <w:szCs w:val="24"/>
        </w:rPr>
        <w:t>Bulkcarriers</w:t>
      </w:r>
      <w:proofErr w:type="spellEnd"/>
      <w:r w:rsidRPr="00167748">
        <w:rPr>
          <w:sz w:val="24"/>
          <w:szCs w:val="24"/>
        </w:rPr>
        <w:t xml:space="preserve"> SA, [1975] 2 Lloyd's Rep 509</w:t>
      </w:r>
    </w:p>
    <w:p w14:paraId="744E7EB3" w14:textId="77777777" w:rsidR="00A2045D" w:rsidRPr="00167748" w:rsidRDefault="00A2045D" w:rsidP="00167748">
      <w:pPr>
        <w:spacing w:line="480" w:lineRule="auto"/>
        <w:jc w:val="both"/>
        <w:rPr>
          <w:sz w:val="24"/>
          <w:szCs w:val="24"/>
        </w:rPr>
      </w:pPr>
      <w:r w:rsidRPr="00167748">
        <w:rPr>
          <w:sz w:val="24"/>
          <w:szCs w:val="24"/>
        </w:rPr>
        <w:lastRenderedPageBreak/>
        <w:t xml:space="preserve">  Rademeyer, G. (1994). The Life and Hard Times of Anton </w:t>
      </w:r>
      <w:proofErr w:type="spellStart"/>
      <w:r w:rsidRPr="00167748">
        <w:rPr>
          <w:sz w:val="24"/>
          <w:szCs w:val="24"/>
        </w:rPr>
        <w:t>Piller</w:t>
      </w:r>
      <w:proofErr w:type="spellEnd"/>
      <w:r w:rsidRPr="00167748">
        <w:rPr>
          <w:sz w:val="24"/>
          <w:szCs w:val="24"/>
        </w:rPr>
        <w:t>. Juta's Bus. L., 2, 180.</w:t>
      </w:r>
    </w:p>
    <w:p w14:paraId="025F9A35" w14:textId="77777777" w:rsidR="00A2045D" w:rsidRPr="00167748" w:rsidRDefault="00A2045D" w:rsidP="00167748">
      <w:pPr>
        <w:spacing w:line="480" w:lineRule="auto"/>
        <w:jc w:val="both"/>
        <w:rPr>
          <w:sz w:val="24"/>
          <w:szCs w:val="24"/>
        </w:rPr>
      </w:pPr>
      <w:r w:rsidRPr="00167748">
        <w:rPr>
          <w:sz w:val="24"/>
          <w:szCs w:val="24"/>
        </w:rPr>
        <w:t xml:space="preserve">  Sahai, S., &amp; Bora, N. (2008). Perspectives of Anton </w:t>
      </w:r>
      <w:proofErr w:type="spellStart"/>
      <w:r w:rsidRPr="00167748">
        <w:rPr>
          <w:sz w:val="24"/>
          <w:szCs w:val="24"/>
        </w:rPr>
        <w:t>Piller</w:t>
      </w:r>
      <w:proofErr w:type="spellEnd"/>
      <w:r w:rsidRPr="00167748">
        <w:rPr>
          <w:sz w:val="24"/>
          <w:szCs w:val="24"/>
        </w:rPr>
        <w:t xml:space="preserve"> Injunctions in Intellectual Property Infringement Cases. GNLU L. Rev., 1, 95.</w:t>
      </w:r>
    </w:p>
    <w:p w14:paraId="28AB9C6D" w14:textId="77777777" w:rsidR="00A2045D" w:rsidRPr="00167748" w:rsidRDefault="00A2045D" w:rsidP="00167748">
      <w:pPr>
        <w:spacing w:line="480" w:lineRule="auto"/>
        <w:jc w:val="both"/>
        <w:rPr>
          <w:sz w:val="24"/>
          <w:szCs w:val="24"/>
        </w:rPr>
      </w:pPr>
      <w:r w:rsidRPr="00167748">
        <w:rPr>
          <w:sz w:val="24"/>
          <w:szCs w:val="24"/>
        </w:rPr>
        <w:t xml:space="preserve">  Supreme Court Act 1981</w:t>
      </w:r>
    </w:p>
    <w:p w14:paraId="5A9CCBC7" w14:textId="77777777" w:rsidR="00A2045D" w:rsidRPr="00167748" w:rsidRDefault="00A2045D" w:rsidP="00167748">
      <w:pPr>
        <w:spacing w:line="480" w:lineRule="auto"/>
        <w:jc w:val="both"/>
        <w:rPr>
          <w:sz w:val="24"/>
          <w:szCs w:val="24"/>
        </w:rPr>
      </w:pPr>
      <w:r w:rsidRPr="00167748">
        <w:rPr>
          <w:sz w:val="24"/>
          <w:szCs w:val="24"/>
        </w:rPr>
        <w:t xml:space="preserve">  </w:t>
      </w:r>
      <w:proofErr w:type="spellStart"/>
      <w:r w:rsidRPr="00167748">
        <w:rPr>
          <w:sz w:val="24"/>
          <w:szCs w:val="24"/>
        </w:rPr>
        <w:t>Vneshprombank</w:t>
      </w:r>
      <w:proofErr w:type="spellEnd"/>
      <w:r w:rsidRPr="00167748">
        <w:rPr>
          <w:sz w:val="24"/>
          <w:szCs w:val="24"/>
        </w:rPr>
        <w:t xml:space="preserve"> LLC v </w:t>
      </w:r>
      <w:proofErr w:type="spellStart"/>
      <w:r w:rsidRPr="00167748">
        <w:rPr>
          <w:sz w:val="24"/>
          <w:szCs w:val="24"/>
        </w:rPr>
        <w:t>Bedzhamov</w:t>
      </w:r>
      <w:proofErr w:type="spellEnd"/>
      <w:r w:rsidRPr="00167748">
        <w:rPr>
          <w:sz w:val="24"/>
          <w:szCs w:val="24"/>
        </w:rPr>
        <w:t xml:space="preserve"> &amp; </w:t>
      </w:r>
      <w:proofErr w:type="spellStart"/>
      <w:r w:rsidRPr="00167748">
        <w:rPr>
          <w:sz w:val="24"/>
          <w:szCs w:val="24"/>
        </w:rPr>
        <w:t>Ors</w:t>
      </w:r>
      <w:proofErr w:type="spellEnd"/>
      <w:r w:rsidRPr="00167748">
        <w:rPr>
          <w:sz w:val="24"/>
          <w:szCs w:val="24"/>
        </w:rPr>
        <w:t xml:space="preserve"> [2021] EWHC 1360 (Ch) </w:t>
      </w:r>
    </w:p>
    <w:p w14:paraId="4C427B64" w14:textId="77777777" w:rsidR="00A2045D" w:rsidRPr="00167748" w:rsidRDefault="00A2045D" w:rsidP="00167748">
      <w:pPr>
        <w:spacing w:line="480" w:lineRule="auto"/>
        <w:jc w:val="both"/>
        <w:rPr>
          <w:sz w:val="24"/>
          <w:szCs w:val="24"/>
        </w:rPr>
      </w:pPr>
      <w:r w:rsidRPr="00167748">
        <w:rPr>
          <w:sz w:val="24"/>
          <w:szCs w:val="24"/>
        </w:rPr>
        <w:t xml:space="preserve">  Yadav, D. V. (2018). Judicial response to Anton </w:t>
      </w:r>
      <w:proofErr w:type="spellStart"/>
      <w:r w:rsidRPr="00167748">
        <w:rPr>
          <w:sz w:val="24"/>
          <w:szCs w:val="24"/>
        </w:rPr>
        <w:t>Piller</w:t>
      </w:r>
      <w:proofErr w:type="spellEnd"/>
      <w:r w:rsidRPr="00167748">
        <w:rPr>
          <w:sz w:val="24"/>
          <w:szCs w:val="24"/>
        </w:rPr>
        <w:t xml:space="preserve"> order: a critical appraisal. International Journal of Basic and Applied Research, 8(10).</w:t>
      </w:r>
    </w:p>
    <w:p w14:paraId="2D848CF6" w14:textId="77777777" w:rsidR="00A2045D" w:rsidRPr="00167748" w:rsidRDefault="00A2045D" w:rsidP="00167748">
      <w:pPr>
        <w:spacing w:line="480" w:lineRule="auto"/>
        <w:jc w:val="both"/>
        <w:rPr>
          <w:sz w:val="24"/>
          <w:szCs w:val="24"/>
        </w:rPr>
      </w:pPr>
      <w:r w:rsidRPr="00167748">
        <w:rPr>
          <w:sz w:val="24"/>
          <w:szCs w:val="24"/>
        </w:rPr>
        <w:t xml:space="preserve">  Yousif v Salama [1980] 1 WLR 1540</w:t>
      </w:r>
    </w:p>
    <w:sectPr w:rsidR="00A2045D" w:rsidRPr="001677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3436B2" w14:textId="77777777" w:rsidR="00CE54ED" w:rsidRDefault="00CE54ED">
      <w:pPr>
        <w:spacing w:after="0" w:line="240" w:lineRule="auto"/>
      </w:pPr>
      <w:r>
        <w:separator/>
      </w:r>
    </w:p>
  </w:endnote>
  <w:endnote w:type="continuationSeparator" w:id="0">
    <w:p w14:paraId="284CCBB9" w14:textId="77777777" w:rsidR="00CE54ED" w:rsidRDefault="00CE5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719496" w14:textId="77777777" w:rsidR="00CE54ED" w:rsidRDefault="00CE54ED" w:rsidP="00494DF9">
      <w:pPr>
        <w:spacing w:after="0" w:line="240" w:lineRule="auto"/>
      </w:pPr>
      <w:r>
        <w:separator/>
      </w:r>
    </w:p>
  </w:footnote>
  <w:footnote w:type="continuationSeparator" w:id="0">
    <w:p w14:paraId="15258C0B" w14:textId="77777777" w:rsidR="00CE54ED" w:rsidRDefault="00CE54ED" w:rsidP="00494DF9">
      <w:pPr>
        <w:spacing w:after="0" w:line="240" w:lineRule="auto"/>
      </w:pPr>
      <w:r>
        <w:continuationSeparator/>
      </w:r>
    </w:p>
  </w:footnote>
  <w:footnote w:id="1">
    <w:p w14:paraId="498CC820" w14:textId="5C69E8C9" w:rsidR="00A2045D" w:rsidRDefault="00A2045D">
      <w:pPr>
        <w:pStyle w:val="FootnoteText"/>
      </w:pPr>
      <w:r>
        <w:rPr>
          <w:rStyle w:val="FootnoteReference"/>
        </w:rPr>
        <w:footnoteRef/>
      </w:r>
      <w:r>
        <w:t xml:space="preserve"> </w:t>
      </w:r>
      <w:r w:rsidRPr="00A2045D">
        <w:t xml:space="preserve">Alexander, K. (1996). The </w:t>
      </w:r>
      <w:proofErr w:type="spellStart"/>
      <w:r w:rsidRPr="00A2045D">
        <w:t>Mareva</w:t>
      </w:r>
      <w:proofErr w:type="spellEnd"/>
      <w:r w:rsidRPr="00A2045D">
        <w:t xml:space="preserve"> Injunction and Anton </w:t>
      </w:r>
      <w:proofErr w:type="spellStart"/>
      <w:r w:rsidRPr="00A2045D">
        <w:t>Piller</w:t>
      </w:r>
      <w:proofErr w:type="spellEnd"/>
      <w:r w:rsidRPr="00A2045D">
        <w:t xml:space="preserve"> Order: The </w:t>
      </w:r>
      <w:proofErr w:type="gramStart"/>
      <w:r w:rsidRPr="00A2045D">
        <w:t>Nuclear Weapons</w:t>
      </w:r>
      <w:proofErr w:type="gramEnd"/>
      <w:r w:rsidRPr="00A2045D">
        <w:t xml:space="preserve"> of English Commercial Litigation. Fla. J. Int'l L., 11, 487.</w:t>
      </w:r>
    </w:p>
  </w:footnote>
  <w:footnote w:id="2">
    <w:p w14:paraId="5B5B26C5" w14:textId="46A4BA93" w:rsidR="00494DF9" w:rsidRDefault="00A2045D">
      <w:pPr>
        <w:pStyle w:val="FootnoteText"/>
      </w:pPr>
      <w:r>
        <w:rPr>
          <w:rStyle w:val="FootnoteReference"/>
        </w:rPr>
        <w:footnoteRef/>
      </w:r>
      <w:r>
        <w:t xml:space="preserve"> </w:t>
      </w:r>
      <w:proofErr w:type="spellStart"/>
      <w:r w:rsidRPr="00494DF9">
        <w:t>Mareva</w:t>
      </w:r>
      <w:proofErr w:type="spellEnd"/>
      <w:r w:rsidRPr="00494DF9">
        <w:t xml:space="preserve"> </w:t>
      </w:r>
      <w:proofErr w:type="spellStart"/>
      <w:r w:rsidRPr="00494DF9">
        <w:t>Compania</w:t>
      </w:r>
      <w:proofErr w:type="spellEnd"/>
      <w:r w:rsidRPr="00494DF9">
        <w:t xml:space="preserve"> Naviera SA v. International Bulkcarriers SA, [1975] 2 Lloyd's Rep 509</w:t>
      </w:r>
    </w:p>
  </w:footnote>
  <w:footnote w:id="3">
    <w:p w14:paraId="732A4990" w14:textId="641A8559" w:rsidR="00C34571" w:rsidRDefault="00A2045D">
      <w:pPr>
        <w:pStyle w:val="FootnoteText"/>
      </w:pPr>
      <w:r>
        <w:rPr>
          <w:rStyle w:val="FootnoteReference"/>
        </w:rPr>
        <w:footnoteRef/>
      </w:r>
      <w:r>
        <w:t xml:space="preserve"> Civil Procedure Rules</w:t>
      </w:r>
    </w:p>
  </w:footnote>
  <w:footnote w:id="4">
    <w:p w14:paraId="64B43D83" w14:textId="704DFAA4" w:rsidR="00494DF9" w:rsidRDefault="00A2045D">
      <w:pPr>
        <w:pStyle w:val="FootnoteText"/>
      </w:pPr>
      <w:r>
        <w:rPr>
          <w:rStyle w:val="FootnoteReference"/>
        </w:rPr>
        <w:footnoteRef/>
      </w:r>
      <w:r>
        <w:t xml:space="preserve"> </w:t>
      </w:r>
      <w:r w:rsidRPr="00494DF9">
        <w:t>Crowther v Crowther [2020] EWCA Civ 762</w:t>
      </w:r>
    </w:p>
  </w:footnote>
  <w:footnote w:id="5">
    <w:p w14:paraId="0BDE38D6" w14:textId="5DF3DDAE" w:rsidR="00C34571" w:rsidRDefault="00A2045D">
      <w:pPr>
        <w:pStyle w:val="FootnoteText"/>
      </w:pPr>
      <w:r>
        <w:rPr>
          <w:rStyle w:val="FootnoteReference"/>
        </w:rPr>
        <w:footnoteRef/>
      </w:r>
      <w:r>
        <w:t xml:space="preserve"> </w:t>
      </w:r>
      <w:r w:rsidRPr="00C34571">
        <w:t xml:space="preserve">Bank Mellat v Nikpour </w:t>
      </w:r>
      <w:r>
        <w:t>[</w:t>
      </w:r>
      <w:r w:rsidRPr="00C34571">
        <w:t>1985</w:t>
      </w:r>
      <w:r>
        <w:t>]</w:t>
      </w:r>
      <w:r w:rsidRPr="00C34571">
        <w:t xml:space="preserve"> FSR 87</w:t>
      </w:r>
    </w:p>
  </w:footnote>
  <w:footnote w:id="6">
    <w:p w14:paraId="7FDA6F32" w14:textId="52A2522C" w:rsidR="00C34571" w:rsidRDefault="00A2045D">
      <w:pPr>
        <w:pStyle w:val="FootnoteText"/>
      </w:pPr>
      <w:r>
        <w:rPr>
          <w:rStyle w:val="FootnoteReference"/>
        </w:rPr>
        <w:footnoteRef/>
      </w:r>
      <w:r>
        <w:t xml:space="preserve"> Supreme Court Act 1981</w:t>
      </w:r>
    </w:p>
  </w:footnote>
  <w:footnote w:id="7">
    <w:p w14:paraId="0CE0573C" w14:textId="129E7BA5" w:rsidR="00A2045D" w:rsidRDefault="00A2045D">
      <w:pPr>
        <w:pStyle w:val="FootnoteText"/>
      </w:pPr>
      <w:r>
        <w:rPr>
          <w:rStyle w:val="FootnoteReference"/>
        </w:rPr>
        <w:footnoteRef/>
      </w:r>
      <w:r>
        <w:t xml:space="preserve"> </w:t>
      </w:r>
      <w:proofErr w:type="spellStart"/>
      <w:r w:rsidRPr="00A2045D">
        <w:t>Andoh</w:t>
      </w:r>
      <w:proofErr w:type="spellEnd"/>
      <w:r w:rsidRPr="00A2045D">
        <w:t>, B. (2010). The Freezing Injunction Today. Business Law Review, 31(2).</w:t>
      </w:r>
    </w:p>
  </w:footnote>
  <w:footnote w:id="8">
    <w:p w14:paraId="3661778C" w14:textId="211574EF" w:rsidR="00A2045D" w:rsidRDefault="00A2045D">
      <w:pPr>
        <w:pStyle w:val="FootnoteText"/>
      </w:pPr>
      <w:r>
        <w:rPr>
          <w:rStyle w:val="FootnoteReference"/>
        </w:rPr>
        <w:footnoteRef/>
      </w:r>
      <w:r>
        <w:t xml:space="preserve"> </w:t>
      </w:r>
      <w:proofErr w:type="spellStart"/>
      <w:r w:rsidRPr="00A2045D">
        <w:t>Fabano</w:t>
      </w:r>
      <w:proofErr w:type="spellEnd"/>
      <w:r w:rsidRPr="00A2045D">
        <w:t xml:space="preserve">, C. (2002). Maximizing Plaintiff Protection in the World of Asset Freezing and Bypassing the Due Process Requirement of Notice: The </w:t>
      </w:r>
      <w:proofErr w:type="spellStart"/>
      <w:r w:rsidRPr="00A2045D">
        <w:t>Mareva</w:t>
      </w:r>
      <w:proofErr w:type="spellEnd"/>
      <w:r w:rsidRPr="00A2045D">
        <w:t xml:space="preserve"> Injunction as an Alternative to the American Legal Remedies. ILSA J. Int'l &amp; Comp. L., 9, 131.</w:t>
      </w:r>
    </w:p>
  </w:footnote>
  <w:footnote w:id="9">
    <w:p w14:paraId="0A86A2BC" w14:textId="215B7B2A" w:rsidR="00204C53" w:rsidRDefault="00A2045D">
      <w:pPr>
        <w:pStyle w:val="FootnoteText"/>
      </w:pPr>
      <w:r>
        <w:rPr>
          <w:rStyle w:val="FootnoteReference"/>
        </w:rPr>
        <w:footnoteRef/>
      </w:r>
      <w:r>
        <w:t xml:space="preserve"> </w:t>
      </w:r>
      <w:r w:rsidRPr="00204C53">
        <w:t xml:space="preserve">JSC BTA Bank v Ablyazov (No 3) [2010] EWCA </w:t>
      </w:r>
      <w:proofErr w:type="spellStart"/>
      <w:r w:rsidRPr="00204C53">
        <w:t>Civ</w:t>
      </w:r>
      <w:proofErr w:type="spellEnd"/>
      <w:r w:rsidRPr="00204C53">
        <w:t xml:space="preserve"> 1141</w:t>
      </w:r>
    </w:p>
  </w:footnote>
  <w:footnote w:id="10">
    <w:p w14:paraId="3D35CB5A" w14:textId="6E7A2600" w:rsidR="00BA1737" w:rsidRDefault="00A2045D">
      <w:pPr>
        <w:pStyle w:val="FootnoteText"/>
      </w:pPr>
      <w:r>
        <w:rPr>
          <w:rStyle w:val="FootnoteReference"/>
        </w:rPr>
        <w:footnoteRef/>
      </w:r>
      <w:r>
        <w:t xml:space="preserve"> </w:t>
      </w:r>
      <w:r w:rsidRPr="00BA1737">
        <w:t>Anton Piller KG v Manufacturing Processes Ltd &amp; Ors [1975] EWCA Civ 12</w:t>
      </w:r>
    </w:p>
  </w:footnote>
  <w:footnote w:id="11">
    <w:p w14:paraId="54DB3025" w14:textId="003AA44A" w:rsidR="00BA1737" w:rsidRDefault="00A2045D">
      <w:pPr>
        <w:pStyle w:val="FootnoteText"/>
      </w:pPr>
      <w:r>
        <w:rPr>
          <w:rStyle w:val="FootnoteReference"/>
        </w:rPr>
        <w:footnoteRef/>
      </w:r>
      <w:r>
        <w:t xml:space="preserve"> </w:t>
      </w:r>
      <w:r w:rsidRPr="00BA1737">
        <w:t>Entick v Carrington &amp; Ors [1765] EWHC J98 (KB)</w:t>
      </w:r>
    </w:p>
  </w:footnote>
  <w:footnote w:id="12">
    <w:p w14:paraId="6A85A204" w14:textId="161E8978" w:rsidR="00A2045D" w:rsidRDefault="00A2045D">
      <w:pPr>
        <w:pStyle w:val="FootnoteText"/>
      </w:pPr>
      <w:r>
        <w:rPr>
          <w:rStyle w:val="FootnoteReference"/>
        </w:rPr>
        <w:footnoteRef/>
      </w:r>
      <w:r>
        <w:t xml:space="preserve"> </w:t>
      </w:r>
      <w:r w:rsidRPr="00A2045D">
        <w:t xml:space="preserve">Hayhurst, W. L. (1981). The Anton </w:t>
      </w:r>
      <w:proofErr w:type="spellStart"/>
      <w:r w:rsidRPr="00A2045D">
        <w:t>Piller</w:t>
      </w:r>
      <w:proofErr w:type="spellEnd"/>
      <w:r w:rsidRPr="00A2045D">
        <w:t xml:space="preserve"> Order. Can. Bus. LJ, 6, 2.</w:t>
      </w:r>
    </w:p>
  </w:footnote>
  <w:footnote w:id="13">
    <w:p w14:paraId="5945EF6E" w14:textId="1E6742AF" w:rsidR="00337355" w:rsidRDefault="00A2045D">
      <w:pPr>
        <w:pStyle w:val="FootnoteText"/>
      </w:pPr>
      <w:r>
        <w:rPr>
          <w:rStyle w:val="FootnoteReference"/>
        </w:rPr>
        <w:footnoteRef/>
      </w:r>
      <w:r>
        <w:t xml:space="preserve"> </w:t>
      </w:r>
      <w:r w:rsidRPr="00337355">
        <w:t xml:space="preserve">Civil Procedure </w:t>
      </w:r>
      <w:r>
        <w:t>Act 1997</w:t>
      </w:r>
    </w:p>
  </w:footnote>
  <w:footnote w:id="14">
    <w:p w14:paraId="25199385" w14:textId="52C7BEDD" w:rsidR="00A2045D" w:rsidRDefault="00A2045D">
      <w:pPr>
        <w:pStyle w:val="FootnoteText"/>
      </w:pPr>
      <w:r>
        <w:rPr>
          <w:rStyle w:val="FootnoteReference"/>
        </w:rPr>
        <w:footnoteRef/>
      </w:r>
      <w:r>
        <w:t xml:space="preserve"> </w:t>
      </w:r>
      <w:proofErr w:type="spellStart"/>
      <w:r w:rsidRPr="00A2045D">
        <w:t>Kyriakides</w:t>
      </w:r>
      <w:proofErr w:type="spellEnd"/>
      <w:r w:rsidRPr="00A2045D">
        <w:t xml:space="preserve">, N. (2012). Search orders and Anton </w:t>
      </w:r>
      <w:proofErr w:type="spellStart"/>
      <w:r w:rsidRPr="00A2045D">
        <w:t>Piller</w:t>
      </w:r>
      <w:proofErr w:type="spellEnd"/>
      <w:r w:rsidRPr="00A2045D">
        <w:t xml:space="preserve"> relief: Past, present, and future (Doctoral dissertation, Oxford University, UK).</w:t>
      </w:r>
    </w:p>
  </w:footnote>
  <w:footnote w:id="15">
    <w:p w14:paraId="509C00A1" w14:textId="751429A7" w:rsidR="009166DF" w:rsidRDefault="00A2045D">
      <w:pPr>
        <w:pStyle w:val="FootnoteText"/>
      </w:pPr>
      <w:r>
        <w:rPr>
          <w:rStyle w:val="FootnoteReference"/>
        </w:rPr>
        <w:footnoteRef/>
      </w:r>
      <w:r>
        <w:t xml:space="preserve"> </w:t>
      </w:r>
      <w:proofErr w:type="spellStart"/>
      <w:r w:rsidRPr="009166DF">
        <w:t>Vneshprombank</w:t>
      </w:r>
      <w:proofErr w:type="spellEnd"/>
      <w:r w:rsidRPr="009166DF">
        <w:t xml:space="preserve"> LLC v </w:t>
      </w:r>
      <w:proofErr w:type="spellStart"/>
      <w:r w:rsidRPr="009166DF">
        <w:t>Bedzhamov</w:t>
      </w:r>
      <w:proofErr w:type="spellEnd"/>
      <w:r w:rsidRPr="009166DF">
        <w:t xml:space="preserve"> &amp; </w:t>
      </w:r>
      <w:proofErr w:type="spellStart"/>
      <w:r w:rsidRPr="009166DF">
        <w:t>Ors</w:t>
      </w:r>
      <w:proofErr w:type="spellEnd"/>
      <w:r w:rsidRPr="009166DF">
        <w:t xml:space="preserve"> [2021] EWHC 1360 (Ch) </w:t>
      </w:r>
    </w:p>
  </w:footnote>
  <w:footnote w:id="16">
    <w:p w14:paraId="2DFC922B" w14:textId="69330E22" w:rsidR="00A2045D" w:rsidRDefault="00A2045D">
      <w:pPr>
        <w:pStyle w:val="FootnoteText"/>
      </w:pPr>
      <w:r>
        <w:rPr>
          <w:rStyle w:val="FootnoteReference"/>
        </w:rPr>
        <w:footnoteRef/>
      </w:r>
      <w:r>
        <w:t xml:space="preserve"> </w:t>
      </w:r>
      <w:r w:rsidRPr="00A2045D">
        <w:t xml:space="preserve">Sahai, S., &amp; Bora, N. (2008). Perspectives of Anton </w:t>
      </w:r>
      <w:proofErr w:type="spellStart"/>
      <w:r w:rsidRPr="00A2045D">
        <w:t>Piller</w:t>
      </w:r>
      <w:proofErr w:type="spellEnd"/>
      <w:r w:rsidRPr="00A2045D">
        <w:t xml:space="preserve"> Injunctions in Intellectual Property Infringement Cases. GNLU L. Rev., 1, 95.</w:t>
      </w:r>
    </w:p>
  </w:footnote>
  <w:footnote w:id="17">
    <w:p w14:paraId="4F0922D1" w14:textId="21F8632A" w:rsidR="00A2045D" w:rsidRDefault="00A2045D">
      <w:pPr>
        <w:pStyle w:val="FootnoteText"/>
      </w:pPr>
      <w:r>
        <w:rPr>
          <w:rStyle w:val="FootnoteReference"/>
        </w:rPr>
        <w:footnoteRef/>
      </w:r>
      <w:r>
        <w:t xml:space="preserve"> </w:t>
      </w:r>
      <w:r w:rsidRPr="00A2045D">
        <w:t xml:space="preserve">Rademeyer, G. (1994). The Life and Hard Times of Anton </w:t>
      </w:r>
      <w:proofErr w:type="spellStart"/>
      <w:r w:rsidRPr="00A2045D">
        <w:t>Piller</w:t>
      </w:r>
      <w:proofErr w:type="spellEnd"/>
      <w:r w:rsidRPr="00A2045D">
        <w:t>. Juta's Bus. L., 2, 180.</w:t>
      </w:r>
    </w:p>
  </w:footnote>
  <w:footnote w:id="18">
    <w:p w14:paraId="7C34C32B" w14:textId="3DAB4D8C" w:rsidR="00A2045D" w:rsidRDefault="00A2045D">
      <w:pPr>
        <w:pStyle w:val="FootnoteText"/>
      </w:pPr>
      <w:r>
        <w:rPr>
          <w:rStyle w:val="FootnoteReference"/>
        </w:rPr>
        <w:footnoteRef/>
      </w:r>
      <w:r>
        <w:t xml:space="preserve"> </w:t>
      </w:r>
      <w:r w:rsidRPr="00A2045D">
        <w:t xml:space="preserve">Folarin, A. (2020). Evaluating the Scope of the </w:t>
      </w:r>
      <w:proofErr w:type="spellStart"/>
      <w:r w:rsidRPr="00A2045D">
        <w:t>Mareva</w:t>
      </w:r>
      <w:proofErr w:type="spellEnd"/>
      <w:r w:rsidRPr="00A2045D">
        <w:t xml:space="preserve"> and Anton </w:t>
      </w:r>
      <w:proofErr w:type="spellStart"/>
      <w:r w:rsidRPr="00A2045D">
        <w:t>Piller</w:t>
      </w:r>
      <w:proofErr w:type="spellEnd"/>
      <w:r w:rsidRPr="00A2045D">
        <w:t xml:space="preserve"> Injunctions and the Rights of Parties. Available at SSRN 3643983.</w:t>
      </w:r>
    </w:p>
  </w:footnote>
  <w:footnote w:id="19">
    <w:p w14:paraId="28B54B5A" w14:textId="581429D7" w:rsidR="009166DF" w:rsidRDefault="00A2045D">
      <w:pPr>
        <w:pStyle w:val="FootnoteText"/>
      </w:pPr>
      <w:r>
        <w:rPr>
          <w:rStyle w:val="FootnoteReference"/>
        </w:rPr>
        <w:footnoteRef/>
      </w:r>
      <w:r>
        <w:t xml:space="preserve"> </w:t>
      </w:r>
      <w:r w:rsidRPr="009166DF">
        <w:t>Yousif v Salama [1980] 1 WLR 1540</w:t>
      </w:r>
    </w:p>
  </w:footnote>
  <w:footnote w:id="20">
    <w:p w14:paraId="0580E55F" w14:textId="2CA25EB7" w:rsidR="00A2045D" w:rsidRDefault="00A2045D">
      <w:pPr>
        <w:pStyle w:val="FootnoteText"/>
      </w:pPr>
      <w:r>
        <w:rPr>
          <w:rStyle w:val="FootnoteReference"/>
        </w:rPr>
        <w:footnoteRef/>
      </w:r>
      <w:r>
        <w:t xml:space="preserve"> </w:t>
      </w:r>
      <w:r w:rsidRPr="00A2045D">
        <w:t xml:space="preserve">Yadav, D. V. (2018). Judicial response to Anton </w:t>
      </w:r>
      <w:proofErr w:type="spellStart"/>
      <w:r w:rsidRPr="00A2045D">
        <w:t>Piller</w:t>
      </w:r>
      <w:proofErr w:type="spellEnd"/>
      <w:r w:rsidRPr="00A2045D">
        <w:t xml:space="preserve"> order: a critical appraisal. International Journal of Basic and Applied Research, 8(10).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D7E"/>
    <w:rsid w:val="000105BD"/>
    <w:rsid w:val="00033907"/>
    <w:rsid w:val="000F6F8E"/>
    <w:rsid w:val="0011690B"/>
    <w:rsid w:val="00167748"/>
    <w:rsid w:val="00204C53"/>
    <w:rsid w:val="00337355"/>
    <w:rsid w:val="003570E6"/>
    <w:rsid w:val="003731B2"/>
    <w:rsid w:val="003C424B"/>
    <w:rsid w:val="003E68BB"/>
    <w:rsid w:val="00494DF9"/>
    <w:rsid w:val="004F4924"/>
    <w:rsid w:val="006C3EE5"/>
    <w:rsid w:val="007A1D7E"/>
    <w:rsid w:val="007C0818"/>
    <w:rsid w:val="008754ED"/>
    <w:rsid w:val="008F3C48"/>
    <w:rsid w:val="009166DF"/>
    <w:rsid w:val="00924E00"/>
    <w:rsid w:val="00A2045D"/>
    <w:rsid w:val="00BA1737"/>
    <w:rsid w:val="00BA59B3"/>
    <w:rsid w:val="00BB2720"/>
    <w:rsid w:val="00C34571"/>
    <w:rsid w:val="00CE54ED"/>
    <w:rsid w:val="00CF0D12"/>
    <w:rsid w:val="00CF7EA4"/>
    <w:rsid w:val="00E108E6"/>
    <w:rsid w:val="00ED019C"/>
    <w:rsid w:val="00EE3E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A89270"/>
  <w15:chartTrackingRefBased/>
  <w15:docId w15:val="{CB781D9A-68E4-4479-9D55-B016C8EFC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94DF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94DF9"/>
    <w:rPr>
      <w:sz w:val="20"/>
      <w:szCs w:val="20"/>
    </w:rPr>
  </w:style>
  <w:style w:type="character" w:styleId="FootnoteReference">
    <w:name w:val="footnote reference"/>
    <w:basedOn w:val="DefaultParagraphFont"/>
    <w:uiPriority w:val="99"/>
    <w:semiHidden/>
    <w:unhideWhenUsed/>
    <w:rsid w:val="00494DF9"/>
    <w:rPr>
      <w:vertAlign w:val="superscript"/>
    </w:rPr>
  </w:style>
  <w:style w:type="paragraph" w:styleId="Header">
    <w:name w:val="header"/>
    <w:basedOn w:val="Normal"/>
    <w:link w:val="HeaderChar"/>
    <w:uiPriority w:val="99"/>
    <w:unhideWhenUsed/>
    <w:rsid w:val="00204C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4C53"/>
  </w:style>
  <w:style w:type="paragraph" w:styleId="Footer">
    <w:name w:val="footer"/>
    <w:basedOn w:val="Normal"/>
    <w:link w:val="FooterChar"/>
    <w:uiPriority w:val="99"/>
    <w:unhideWhenUsed/>
    <w:rsid w:val="00204C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4C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21B2B9-8838-4E97-86B5-2D379FA79D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2855</Words>
  <Characters>16278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Nia</dc:creator>
  <cp:lastModifiedBy>Naima Tasnim</cp:lastModifiedBy>
  <cp:revision>3</cp:revision>
  <dcterms:created xsi:type="dcterms:W3CDTF">2021-10-29T17:39:00Z</dcterms:created>
  <dcterms:modified xsi:type="dcterms:W3CDTF">2021-10-29T18:54:00Z</dcterms:modified>
</cp:coreProperties>
</file>