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9841205"/>
        <w:docPartObj>
          <w:docPartGallery w:val="Cover Pages"/>
          <w:docPartUnique/>
        </w:docPartObj>
      </w:sdtPr>
      <w:sdtEndPr>
        <w:rPr>
          <w:rFonts w:ascii="Arial" w:hAnsi="Arial" w:cs="Arial"/>
          <w:sz w:val="24"/>
          <w:szCs w:val="24"/>
        </w:rPr>
      </w:sdtEndPr>
      <w:sdtContent>
        <w:p w14:paraId="55647D17" w14:textId="2454E373" w:rsidR="00982612" w:rsidRDefault="00982612">
          <w:r>
            <w:rPr>
              <w:noProof/>
            </w:rPr>
            <mc:AlternateContent>
              <mc:Choice Requires="wps">
                <w:drawing>
                  <wp:anchor distT="0" distB="0" distL="114300" distR="114300" simplePos="0" relativeHeight="251664384" behindDoc="0" locked="0" layoutInCell="1" allowOverlap="1" wp14:anchorId="0B1FB041" wp14:editId="59B9595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5B7CFF9" w14:textId="05388429" w:rsidR="00982612"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82612">
                                      <w:rPr>
                                        <w:noProof/>
                                        <w:color w:val="0E2841" w:themeColor="text2"/>
                                      </w:rPr>
                                      <w:t>Ceri Marie Jones (1806930)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1FB041"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35B7CFF9" w14:textId="05388429" w:rsidR="00982612"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82612">
                                <w:rPr>
                                  <w:noProof/>
                                  <w:color w:val="0E2841" w:themeColor="text2"/>
                                </w:rPr>
                                <w:t>Ceri Marie Jones (1806930)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6A66E59" wp14:editId="29E42832">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03F0374" w14:textId="77777777" w:rsidR="00982612" w:rsidRDefault="0098261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6A66E59"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03F0374" w14:textId="77777777" w:rsidR="00982612" w:rsidRDefault="0098261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0E6D42A" wp14:editId="22662C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43E5FA" w14:textId="1EF674AC" w:rsidR="00982612"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8754CE">
                                      <w:rPr>
                                        <w:color w:val="FFFFFF" w:themeColor="background1"/>
                                      </w:rPr>
                                      <w:t xml:space="preserve">     </w:t>
                                    </w:r>
                                  </w:sdtContent>
                                </w:sdt>
                                <w:r w:rsidR="008754CE" w:rsidRPr="008754CE">
                                  <w:rPr>
                                    <w:noProof/>
                                  </w:rPr>
                                  <w:drawing>
                                    <wp:inline distT="0" distB="0" distL="0" distR="0" wp14:anchorId="6FE6B82F" wp14:editId="7A86485C">
                                      <wp:extent cx="2522893" cy="1276350"/>
                                      <wp:effectExtent l="0" t="0" r="0" b="0"/>
                                      <wp:docPr id="180411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14225" name=""/>
                                              <pic:cNvPicPr/>
                                            </pic:nvPicPr>
                                            <pic:blipFill>
                                              <a:blip r:embed="rId10"/>
                                              <a:stretch>
                                                <a:fillRect/>
                                              </a:stretch>
                                            </pic:blipFill>
                                            <pic:spPr>
                                              <a:xfrm>
                                                <a:off x="0" y="0"/>
                                                <a:ext cx="2528360" cy="1279116"/>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0E6D42A"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2743E5FA" w14:textId="1EF674AC" w:rsidR="00982612"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8754CE">
                                <w:rPr>
                                  <w:color w:val="FFFFFF" w:themeColor="background1"/>
                                </w:rPr>
                                <w:t xml:space="preserve">     </w:t>
                              </w:r>
                            </w:sdtContent>
                          </w:sdt>
                          <w:r w:rsidR="008754CE" w:rsidRPr="008754CE">
                            <w:rPr>
                              <w:noProof/>
                            </w:rPr>
                            <w:drawing>
                              <wp:inline distT="0" distB="0" distL="0" distR="0" wp14:anchorId="6FE6B82F" wp14:editId="7A86485C">
                                <wp:extent cx="2522893" cy="1276350"/>
                                <wp:effectExtent l="0" t="0" r="0" b="0"/>
                                <wp:docPr id="180411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14225" name=""/>
                                        <pic:cNvPicPr/>
                                      </pic:nvPicPr>
                                      <pic:blipFill>
                                        <a:blip r:embed="rId10"/>
                                        <a:stretch>
                                          <a:fillRect/>
                                        </a:stretch>
                                      </pic:blipFill>
                                      <pic:spPr>
                                        <a:xfrm>
                                          <a:off x="0" y="0"/>
                                          <a:ext cx="2528360" cy="1279116"/>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4C4CFEF" wp14:editId="4D69E39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AAA638B"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24CAA36" wp14:editId="022AC6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D83127B"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51CDFE7B" w14:textId="77777777" w:rsidR="008B6235" w:rsidRDefault="008754CE" w:rsidP="008B6235">
          <w:pPr>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3E161FF0" wp14:editId="0AB2E88A">
                    <wp:simplePos x="0" y="0"/>
                    <wp:positionH relativeFrom="page">
                      <wp:posOffset>3429000</wp:posOffset>
                    </wp:positionH>
                    <wp:positionV relativeFrom="page">
                      <wp:posOffset>3533775</wp:posOffset>
                    </wp:positionV>
                    <wp:extent cx="2731135" cy="3007995"/>
                    <wp:effectExtent l="0" t="0" r="0" b="1905"/>
                    <wp:wrapSquare wrapText="bothSides"/>
                    <wp:docPr id="470" name="Text Box 265"/>
                    <wp:cNvGraphicFramePr/>
                    <a:graphic xmlns:a="http://schemas.openxmlformats.org/drawingml/2006/main">
                      <a:graphicData uri="http://schemas.microsoft.com/office/word/2010/wordprocessingShape">
                        <wps:wsp>
                          <wps:cNvSpPr txBox="1"/>
                          <wps:spPr>
                            <a:xfrm>
                              <a:off x="0" y="0"/>
                              <a:ext cx="2731135" cy="3007995"/>
                            </a:xfrm>
                            <a:prstGeom prst="rect">
                              <a:avLst/>
                            </a:prstGeom>
                            <a:noFill/>
                            <a:ln w="6350">
                              <a:noFill/>
                            </a:ln>
                            <a:effectLst/>
                          </wps:spPr>
                          <wps:txbx>
                            <w:txbxContent>
                              <w:p w14:paraId="3FADB01B" w14:textId="04D73587" w:rsidR="00982612" w:rsidRPr="008754CE" w:rsidRDefault="00000000">
                                <w:pPr>
                                  <w:spacing w:line="240" w:lineRule="auto"/>
                                  <w:rPr>
                                    <w:rFonts w:asciiTheme="majorHAnsi" w:eastAsiaTheme="majorEastAsia" w:hAnsiTheme="majorHAnsi" w:cstheme="majorBidi"/>
                                    <w:noProof/>
                                    <w:color w:val="156082" w:themeColor="accent1"/>
                                    <w:sz w:val="48"/>
                                    <w:szCs w:val="48"/>
                                  </w:rPr>
                                </w:pPr>
                                <w:sdt>
                                  <w:sdtPr>
                                    <w:rPr>
                                      <w:rFonts w:asciiTheme="majorHAnsi" w:eastAsiaTheme="majorEastAsia" w:hAnsiTheme="majorHAnsi" w:cstheme="majorBidi"/>
                                      <w:noProof/>
                                      <w:color w:val="156082"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sidR="008754CE" w:rsidRPr="008754CE">
                                      <w:rPr>
                                        <w:rFonts w:asciiTheme="majorHAnsi" w:eastAsiaTheme="majorEastAsia" w:hAnsiTheme="majorHAnsi" w:cstheme="majorBidi"/>
                                        <w:noProof/>
                                        <w:color w:val="156082" w:themeColor="accent1"/>
                                        <w:sz w:val="48"/>
                                        <w:szCs w:val="48"/>
                                      </w:rPr>
                                      <w:t>Contemporary Issues in Criminal Justice</w:t>
                                    </w:r>
                                    <w:r w:rsidR="008754CE" w:rsidRPr="008754CE">
                                      <w:rPr>
                                        <w:rFonts w:ascii="Arial" w:eastAsiaTheme="majorEastAsia" w:hAnsi="Arial" w:cs="Arial"/>
                                        <w:noProof/>
                                        <w:color w:val="156082" w:themeColor="accent1"/>
                                        <w:sz w:val="48"/>
                                        <w:szCs w:val="48"/>
                                      </w:rPr>
                                      <w:t>  </w:t>
                                    </w:r>
                                  </w:sdtContent>
                                </w:sdt>
                              </w:p>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83AF0D6" w14:textId="77777777" w:rsidR="008754CE" w:rsidRDefault="008754CE">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9"/>
                                  <w:gridCol w:w="2083"/>
                                </w:tblGrid>
                                <w:tr w:rsidR="008754CE" w:rsidRPr="008754CE" w14:paraId="0231BA8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8361B2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Module code:</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7EBBB593"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BMCJ7005</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r w:rsidR="008754CE" w:rsidRPr="008754CE" w14:paraId="63DBD96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8CD4C5E"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Lecturer:</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06F79A0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Nerys Musgrove</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bl>
                              <w:p w14:paraId="0549DEA5" w14:textId="5FF51531" w:rsidR="00982612" w:rsidRDefault="00982612">
                                <w:pPr>
                                  <w:rPr>
                                    <w:rFonts w:asciiTheme="majorHAnsi" w:eastAsiaTheme="majorEastAsia" w:hAnsiTheme="majorHAnsi" w:cstheme="majorBidi"/>
                                    <w:noProof/>
                                    <w:color w:val="0E2841"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161FF0" id="Text Box 265" o:spid="_x0000_s1029" type="#_x0000_t202" style="position:absolute;margin-left:270pt;margin-top:278.25pt;width:215.05pt;height:236.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" filled="f" stroked="f" strokeweight=".5pt">
                    <v:textbox>
                      <w:txbxContent>
                        <w:p w14:paraId="3FADB01B" w14:textId="04D73587" w:rsidR="00982612" w:rsidRPr="008754CE" w:rsidRDefault="00000000">
                          <w:pPr>
                            <w:spacing w:line="240" w:lineRule="auto"/>
                            <w:rPr>
                              <w:rFonts w:asciiTheme="majorHAnsi" w:eastAsiaTheme="majorEastAsia" w:hAnsiTheme="majorHAnsi" w:cstheme="majorBidi"/>
                              <w:noProof/>
                              <w:color w:val="156082" w:themeColor="accent1"/>
                              <w:sz w:val="48"/>
                              <w:szCs w:val="48"/>
                            </w:rPr>
                          </w:pPr>
                          <w:sdt>
                            <w:sdtPr>
                              <w:rPr>
                                <w:rFonts w:asciiTheme="majorHAnsi" w:eastAsiaTheme="majorEastAsia" w:hAnsiTheme="majorHAnsi" w:cstheme="majorBidi"/>
                                <w:noProof/>
                                <w:color w:val="156082"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r w:rsidR="008754CE" w:rsidRPr="008754CE">
                                <w:rPr>
                                  <w:rFonts w:asciiTheme="majorHAnsi" w:eastAsiaTheme="majorEastAsia" w:hAnsiTheme="majorHAnsi" w:cstheme="majorBidi"/>
                                  <w:noProof/>
                                  <w:color w:val="156082" w:themeColor="accent1"/>
                                  <w:sz w:val="48"/>
                                  <w:szCs w:val="48"/>
                                </w:rPr>
                                <w:t>Contemporary Issues in Criminal Justice</w:t>
                              </w:r>
                              <w:r w:rsidR="008754CE" w:rsidRPr="008754CE">
                                <w:rPr>
                                  <w:rFonts w:ascii="Arial" w:eastAsiaTheme="majorEastAsia" w:hAnsi="Arial" w:cs="Arial"/>
                                  <w:noProof/>
                                  <w:color w:val="156082" w:themeColor="accent1"/>
                                  <w:sz w:val="48"/>
                                  <w:szCs w:val="48"/>
                                </w:rPr>
                                <w:t>  </w:t>
                              </w:r>
                            </w:sdtContent>
                          </w:sdt>
                        </w:p>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583AF0D6" w14:textId="77777777" w:rsidR="008754CE" w:rsidRDefault="008754CE">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9"/>
                            <w:gridCol w:w="2083"/>
                          </w:tblGrid>
                          <w:tr w:rsidR="008754CE" w:rsidRPr="008754CE" w14:paraId="0231BA8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68361B2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Module code:</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7EBBB593"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BMCJ7005</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r w:rsidR="008754CE" w:rsidRPr="008754CE" w14:paraId="63DBD96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48CD4C5E"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Lecturer:</w:t>
                                </w:r>
                                <w:r w:rsidRPr="008754CE">
                                  <w:rPr>
                                    <w:rFonts w:asciiTheme="majorHAnsi" w:eastAsiaTheme="majorEastAsia" w:hAnsiTheme="majorHAnsi" w:cstheme="majorBidi"/>
                                    <w:noProof/>
                                    <w:color w:val="0E2841" w:themeColor="text2"/>
                                    <w:sz w:val="32"/>
                                    <w:szCs w:val="32"/>
                                  </w:rPr>
                                  <w:t> </w:t>
                                </w:r>
                              </w:p>
                            </w:tc>
                            <w:tc>
                              <w:tcPr>
                                <w:tcW w:w="3285" w:type="dxa"/>
                                <w:tcBorders>
                                  <w:top w:val="single" w:sz="6" w:space="0" w:color="auto"/>
                                  <w:left w:val="single" w:sz="6" w:space="0" w:color="auto"/>
                                  <w:bottom w:val="single" w:sz="6" w:space="0" w:color="auto"/>
                                  <w:right w:val="single" w:sz="6" w:space="0" w:color="auto"/>
                                </w:tcBorders>
                                <w:hideMark/>
                              </w:tcPr>
                              <w:p w14:paraId="06F79A01" w14:textId="77777777" w:rsidR="008754CE" w:rsidRPr="008754CE" w:rsidRDefault="008754CE" w:rsidP="008754CE">
                                <w:pPr>
                                  <w:rPr>
                                    <w:rFonts w:asciiTheme="majorHAnsi" w:eastAsiaTheme="majorEastAsia" w:hAnsiTheme="majorHAnsi" w:cstheme="majorBidi"/>
                                    <w:noProof/>
                                    <w:color w:val="0E2841" w:themeColor="text2"/>
                                    <w:sz w:val="32"/>
                                    <w:szCs w:val="32"/>
                                  </w:rPr>
                                </w:pPr>
                                <w:r w:rsidRPr="008754CE">
                                  <w:rPr>
                                    <w:rFonts w:asciiTheme="majorHAnsi" w:eastAsiaTheme="majorEastAsia" w:hAnsiTheme="majorHAnsi" w:cstheme="majorBidi"/>
                                    <w:b/>
                                    <w:bCs/>
                                    <w:noProof/>
                                    <w:color w:val="0E2841" w:themeColor="text2"/>
                                    <w:sz w:val="32"/>
                                    <w:szCs w:val="32"/>
                                  </w:rPr>
                                  <w:t>Nerys Musgrove</w:t>
                                </w:r>
                                <w:r w:rsidRPr="008754CE">
                                  <w:rPr>
                                    <w:rFonts w:ascii="Arial" w:eastAsiaTheme="majorEastAsia" w:hAnsi="Arial" w:cs="Arial"/>
                                    <w:b/>
                                    <w:bCs/>
                                    <w:noProof/>
                                    <w:color w:val="0E2841" w:themeColor="text2"/>
                                    <w:sz w:val="32"/>
                                    <w:szCs w:val="32"/>
                                  </w:rPr>
                                  <w:t> </w:t>
                                </w:r>
                                <w:r w:rsidRPr="008754CE">
                                  <w:rPr>
                                    <w:rFonts w:asciiTheme="majorHAnsi" w:eastAsiaTheme="majorEastAsia" w:hAnsiTheme="majorHAnsi" w:cstheme="majorBidi"/>
                                    <w:noProof/>
                                    <w:color w:val="0E2841" w:themeColor="text2"/>
                                    <w:sz w:val="32"/>
                                    <w:szCs w:val="32"/>
                                  </w:rPr>
                                  <w:t> </w:t>
                                </w:r>
                              </w:p>
                            </w:tc>
                          </w:tr>
                        </w:tbl>
                        <w:p w14:paraId="0549DEA5" w14:textId="5FF51531" w:rsidR="00982612" w:rsidRDefault="00982612">
                          <w:pPr>
                            <w:rPr>
                              <w:rFonts w:asciiTheme="majorHAnsi" w:eastAsiaTheme="majorEastAsia" w:hAnsiTheme="majorHAnsi" w:cstheme="majorBidi"/>
                              <w:noProof/>
                              <w:color w:val="0E2841" w:themeColor="text2"/>
                              <w:sz w:val="32"/>
                              <w:szCs w:val="40"/>
                            </w:rPr>
                          </w:pPr>
                        </w:p>
                      </w:txbxContent>
                    </v:textbox>
                    <w10:wrap type="square" anchorx="page" anchory="page"/>
                  </v:shape>
                </w:pict>
              </mc:Fallback>
            </mc:AlternateContent>
          </w:r>
          <w:r w:rsidR="00982612">
            <w:rPr>
              <w:rFonts w:ascii="Arial" w:hAnsi="Arial" w:cs="Arial"/>
              <w:sz w:val="24"/>
              <w:szCs w:val="24"/>
            </w:rPr>
            <w:br w:type="page"/>
          </w:r>
        </w:p>
        <w:p w14:paraId="4B0D086E" w14:textId="52138479" w:rsidR="008B6235" w:rsidRDefault="00000000" w:rsidP="008B6235">
          <w:pPr>
            <w:rPr>
              <w:rFonts w:ascii="Arial" w:hAnsi="Arial" w:cs="Arial"/>
              <w:sz w:val="24"/>
              <w:szCs w:val="24"/>
            </w:rPr>
          </w:pPr>
        </w:p>
      </w:sdtContent>
    </w:sdt>
    <w:p w14:paraId="0BBDA990" w14:textId="11036A2D" w:rsidR="007D52A2" w:rsidRPr="00FF692F" w:rsidRDefault="32F16CDF" w:rsidP="008B6235">
      <w:pPr>
        <w:rPr>
          <w:rFonts w:ascii="Arial" w:hAnsi="Arial" w:cs="Arial"/>
          <w:sz w:val="24"/>
          <w:szCs w:val="24"/>
          <w:u w:val="single"/>
        </w:rPr>
      </w:pPr>
      <w:r w:rsidRPr="00FF692F">
        <w:rPr>
          <w:rFonts w:ascii="Arial" w:hAnsi="Arial" w:cs="Arial"/>
          <w:b/>
          <w:bCs/>
          <w:sz w:val="24"/>
          <w:szCs w:val="24"/>
          <w:u w:val="single"/>
        </w:rPr>
        <w:t>Metropolitan Police Strip</w:t>
      </w:r>
      <w:r w:rsidRPr="00FF692F">
        <w:rPr>
          <w:rFonts w:ascii="Cambria Math" w:hAnsi="Cambria Math" w:cs="Cambria Math"/>
          <w:b/>
          <w:bCs/>
          <w:sz w:val="24"/>
          <w:szCs w:val="24"/>
          <w:u w:val="single"/>
        </w:rPr>
        <w:t>‑</w:t>
      </w:r>
      <w:r w:rsidRPr="00FF692F">
        <w:rPr>
          <w:rFonts w:ascii="Arial" w:hAnsi="Arial" w:cs="Arial"/>
          <w:b/>
          <w:bCs/>
          <w:sz w:val="24"/>
          <w:szCs w:val="24"/>
          <w:u w:val="single"/>
        </w:rPr>
        <w:t>Searching Children: A Critical Human Rights Evaluation</w:t>
      </w:r>
    </w:p>
    <w:p w14:paraId="3C335D54" w14:textId="6F08F185"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The Metropolitan Police Service’s use of strip</w:t>
      </w:r>
      <w:r w:rsidRPr="00FF692F">
        <w:rPr>
          <w:rFonts w:ascii="Cambria Math" w:eastAsia="Arial" w:hAnsi="Cambria Math" w:cs="Cambria Math"/>
          <w:sz w:val="24"/>
          <w:szCs w:val="24"/>
        </w:rPr>
        <w:t>‑</w:t>
      </w:r>
      <w:r w:rsidRPr="00FF692F">
        <w:rPr>
          <w:rFonts w:ascii="Arial" w:eastAsia="Arial" w:hAnsi="Arial" w:cs="Arial"/>
          <w:sz w:val="24"/>
          <w:szCs w:val="24"/>
        </w:rPr>
        <w:t>search powers on children has emerged as one of the most controversial policing practices in the United Kingdom. This issue gained renewed scrutiny following the 2022 Child Q case, in which a Black schoolgirl was strip</w:t>
      </w:r>
      <w:r w:rsidRPr="00FF692F">
        <w:rPr>
          <w:rFonts w:ascii="Cambria Math" w:eastAsia="Arial" w:hAnsi="Cambria Math" w:cs="Cambria Math"/>
          <w:sz w:val="24"/>
          <w:szCs w:val="24"/>
        </w:rPr>
        <w:t>‑</w:t>
      </w:r>
      <w:r w:rsidRPr="00FF692F">
        <w:rPr>
          <w:rFonts w:ascii="Arial" w:eastAsia="Arial" w:hAnsi="Arial" w:cs="Arial"/>
          <w:sz w:val="24"/>
          <w:szCs w:val="24"/>
        </w:rPr>
        <w:t>searched at school without an appropriate adult present after unfounded suspicions of cannabis possession, and no prohibited items were found (Independent Office for Police Conduct, 2025). The decision was later found to constitute gross misconduct, reinforcing concerns about the legality and ethics of the practice (Independent Office for Police Conduct, 2025). This essay critically evaluates whether the Metropolitan Police’s strip</w:t>
      </w:r>
      <w:r w:rsidRPr="00FF692F">
        <w:rPr>
          <w:rFonts w:ascii="Cambria Math" w:eastAsia="Arial" w:hAnsi="Cambria Math" w:cs="Cambria Math"/>
          <w:sz w:val="24"/>
          <w:szCs w:val="24"/>
        </w:rPr>
        <w:t>‑</w:t>
      </w:r>
      <w:r w:rsidRPr="00FF692F">
        <w:rPr>
          <w:rFonts w:ascii="Arial" w:eastAsia="Arial" w:hAnsi="Arial" w:cs="Arial"/>
          <w:sz w:val="24"/>
          <w:szCs w:val="24"/>
        </w:rPr>
        <w:t>searching of children was warranted, considering legal frameworks, safeguarding imperatives, racial disparities, empirical evidence, and criminological theory. It argues that the practice has typically been unjustified, disproportionate, and incompatible with human rights law. The essay first examines legal frameworks and safeguarding considerations, then analyses racial disparities and empirical evidence, before evaluating policy and theoretical implications.</w:t>
      </w:r>
    </w:p>
    <w:p w14:paraId="10525B48" w14:textId="0EC6352C" w:rsidR="007D52A2" w:rsidRPr="00FF692F" w:rsidRDefault="2205A6BA"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Strip</w:t>
      </w:r>
      <w:r w:rsidRPr="00FF692F">
        <w:rPr>
          <w:rFonts w:ascii="Cambria Math" w:eastAsia="Arial" w:hAnsi="Cambria Math" w:cs="Cambria Math"/>
          <w:sz w:val="24"/>
          <w:szCs w:val="24"/>
        </w:rPr>
        <w:t>‑</w:t>
      </w:r>
      <w:r w:rsidRPr="00FF692F">
        <w:rPr>
          <w:rFonts w:ascii="Arial" w:eastAsia="Arial" w:hAnsi="Arial" w:cs="Arial"/>
          <w:sz w:val="24"/>
          <w:szCs w:val="24"/>
        </w:rPr>
        <w:t xml:space="preserve">searching represents one of the most intrusive powers available to police. Under the Police and Criminal Evidence Act 1984 (PACE), officers may conduct a strip search if they have reasonable grounds to suspect the person is concealing drugs, weapons, or other evidence and if such a search is necessary and proportionate (Home Office, 2023; Smith, 2019). PACE and its associated Code C explicitly define a “child” as anyone under the age of 18 for the purposes of detention and search, and require that children must be searched only in the presence of an appropriate adult unless there is an immediate risk of harm (Home Office, 2023; HM Inspectorate of Constabulary and Fire &amp; Rescue Services, 2023; Roberts and Patel, 2021). </w:t>
      </w:r>
      <w:r w:rsidR="27934AFA" w:rsidRPr="00FF692F">
        <w:rPr>
          <w:rFonts w:ascii="Arial" w:eastAsia="Arial" w:hAnsi="Arial" w:cs="Arial"/>
          <w:sz w:val="24"/>
          <w:szCs w:val="24"/>
        </w:rPr>
        <w:t xml:space="preserve">In fact, The United Nations Convention on the Rights of the Child (1990) also defines a child as every human being below the age of eighteen years and requires that states prioritise children’s welfare and protection. </w:t>
      </w:r>
    </w:p>
    <w:p w14:paraId="666B93AF" w14:textId="39C45D9B" w:rsidR="007D52A2" w:rsidRPr="00FF692F" w:rsidRDefault="2205A6BA"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 xml:space="preserve">Police guidance also stresses that, where age is uncertain, officers should treat the person as a child unless there is clear evidence they are older (College of Policing, 2022). Despite these statutory safeguards, data compiled by the Children’s </w:t>
      </w:r>
      <w:r w:rsidRPr="00FF692F">
        <w:rPr>
          <w:rFonts w:ascii="Arial" w:eastAsia="Arial" w:hAnsi="Arial" w:cs="Arial"/>
          <w:sz w:val="24"/>
          <w:szCs w:val="24"/>
        </w:rPr>
        <w:lastRenderedPageBreak/>
        <w:t>Commissioner indicates that between January 2018 and June 2023 there were 3,368 strip searches of children in England and Wales, equivalent to one child every 14 hours, with nearly half lacking confirmed attendance of an appropriate adult (Children’s Commissioner for England, 2024; Sky News, 2024; Jones, 2023).</w:t>
      </w:r>
    </w:p>
    <w:p w14:paraId="1808CA63" w14:textId="4A8E2E6C" w:rsidR="007D52A2" w:rsidRPr="00FF692F" w:rsidRDefault="2205A6BA"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 xml:space="preserve">Children are inherently vulnerable within criminal justice encounters. Developmental criminology highlights that children have reduced cognitive and emotional capacities, limiting their ability to understand, consent to, or resist invasive procedures such as strip searches (Goldson, 2013; Bateman, 2020; Muncie, 2009). </w:t>
      </w:r>
    </w:p>
    <w:p w14:paraId="41EAA909" w14:textId="69CE406C"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Critical criminology and labelling theory highlight the risks of intrusive policing, showing how coercive interventions can reinforce deviant identities and draw vulnerable children into sustained criminal justice contact, perpetuating inequalities (Becker, 1963; Muncie, 2009; Goldson, 2013). These risks are heightened for Black children due to structural and institutional racial biases in discretionary policing (Phillips and Bowling, 2017; Lammy, 2017; Liebling et al., 2019). The evidence underscores the urgent need for proportionate, legally compliant, and child-centred policing practices that respect children’s rights and mitigate harm.</w:t>
      </w:r>
    </w:p>
    <w:p w14:paraId="37026CA2" w14:textId="75CF3510"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The Child Q case vividly illustrates how these standards were breached. In December 2020, a 15</w:t>
      </w:r>
      <w:r w:rsidRPr="00FF692F">
        <w:rPr>
          <w:rFonts w:ascii="Cambria Math" w:eastAsia="Arial" w:hAnsi="Cambria Math" w:cs="Cambria Math"/>
          <w:sz w:val="24"/>
          <w:szCs w:val="24"/>
        </w:rPr>
        <w:t>‑</w:t>
      </w:r>
      <w:r w:rsidRPr="00FF692F">
        <w:rPr>
          <w:rFonts w:ascii="Arial" w:eastAsia="Arial" w:hAnsi="Arial" w:cs="Arial"/>
          <w:sz w:val="24"/>
          <w:szCs w:val="24"/>
        </w:rPr>
        <w:t>year-old Black girl was strip</w:t>
      </w:r>
      <w:r w:rsidRPr="00FF692F">
        <w:rPr>
          <w:rFonts w:ascii="Cambria Math" w:eastAsia="Arial" w:hAnsi="Cambria Math" w:cs="Cambria Math"/>
          <w:sz w:val="24"/>
          <w:szCs w:val="24"/>
        </w:rPr>
        <w:t>‑</w:t>
      </w:r>
      <w:r w:rsidRPr="00FF692F">
        <w:rPr>
          <w:rFonts w:ascii="Arial" w:eastAsia="Arial" w:hAnsi="Arial" w:cs="Arial"/>
          <w:sz w:val="24"/>
          <w:szCs w:val="24"/>
        </w:rPr>
        <w:t>searched by Metropolitan Police officers in a school in Hackney without reasonable grounds or an appropriate adult, resulting in profound feelings of degradation and humiliation (Guardian, 2025). In June 2025, the IOPC disciplinary panel found two officers guilty of gross misconduct for their roles, highlighting that the search was disproportionate, unnecessary, and violated professional standards (Independent Office for Police Conduct, 2025). These findings underscore that decision-making and safeguarding considerations were inadequate and that the officers failed to adhere to legal and policy requirements.</w:t>
      </w:r>
    </w:p>
    <w:p w14:paraId="62F82F86" w14:textId="21AA9A08"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Police justifications for strip searches often invoke public safety, particularly the prevention of harm related to drugs, weapons, and other contraband. Officers argue that strip searches are necessary to protect themselves, other detainees, and the wider community from immediate risks (Home Office, 2023; Smith, 2019). Police guidance emphasises that such searches can help secure evidence critical for investigations, deter criminal behaviour, and uphold law and order within detention settings (College of Policing, 2022; HMICFRS, 2023). The Metropolitan Police have defended the use of strip</w:t>
      </w:r>
      <w:r w:rsidRPr="00FF692F">
        <w:rPr>
          <w:rFonts w:ascii="Cambria Math" w:eastAsia="Arial" w:hAnsi="Cambria Math" w:cs="Cambria Math"/>
          <w:sz w:val="24"/>
          <w:szCs w:val="24"/>
        </w:rPr>
        <w:t>‑</w:t>
      </w:r>
      <w:r w:rsidRPr="00FF692F">
        <w:rPr>
          <w:rFonts w:ascii="Arial" w:eastAsia="Arial" w:hAnsi="Arial" w:cs="Arial"/>
          <w:sz w:val="24"/>
          <w:szCs w:val="24"/>
        </w:rPr>
        <w:t>search powers as tools for preventing harm and maintaining public confidence (Guardian, 2024). These arguments align with Packer’s crime control model, which prioritises swift suppression of crime and protection of societal order (Packer, 1968).</w:t>
      </w:r>
    </w:p>
    <w:p w14:paraId="3B67EEFE" w14:textId="28BAF1D5"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However, the principle of proportionality in human rights law constrains these justifications: even legitimate aims cannot justify humiliating or invasive acts that are disproportionate to the threat posed (ECHR, 1950; Bateman, 2020). The disproportionate application of strip searches to Black children further challenges the legitimacy of police discretion. Data indicate that Black children have been up to six times more likely to be strip</w:t>
      </w:r>
      <w:r w:rsidRPr="00FF692F">
        <w:rPr>
          <w:rFonts w:ascii="Cambria Math" w:eastAsia="Arial" w:hAnsi="Cambria Math" w:cs="Cambria Math"/>
          <w:sz w:val="24"/>
          <w:szCs w:val="24"/>
        </w:rPr>
        <w:t>‑</w:t>
      </w:r>
      <w:r w:rsidRPr="00FF692F">
        <w:rPr>
          <w:rFonts w:ascii="Arial" w:eastAsia="Arial" w:hAnsi="Arial" w:cs="Arial"/>
          <w:sz w:val="24"/>
          <w:szCs w:val="24"/>
        </w:rPr>
        <w:t>searched than their white peers, with London’s Metropolitan Police accounting for a disproportionately high share of those searches (Guardian, 2024; Phillips and Bowling, 2017; Lammy, 2017). Research also highlights that police rationales often prioritise risk management and operational efficiency over child welfare or developmental considerations, raising questions about the ethical and legal justification of these powers (Goldson, 2013; Muncie, 2009).</w:t>
      </w:r>
    </w:p>
    <w:p w14:paraId="6482493A" w14:textId="5B738B48"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The over</w:t>
      </w:r>
      <w:r w:rsidRPr="00FF692F">
        <w:rPr>
          <w:rFonts w:ascii="Cambria Math" w:eastAsia="Arial" w:hAnsi="Cambria Math" w:cs="Cambria Math"/>
          <w:sz w:val="24"/>
          <w:szCs w:val="24"/>
        </w:rPr>
        <w:t>‑</w:t>
      </w:r>
      <w:r w:rsidRPr="00FF692F">
        <w:rPr>
          <w:rFonts w:ascii="Arial" w:eastAsia="Arial" w:hAnsi="Arial" w:cs="Arial"/>
          <w:sz w:val="24"/>
          <w:szCs w:val="24"/>
        </w:rPr>
        <w:t>representation of Black children within strip</w:t>
      </w:r>
      <w:r w:rsidRPr="00FF692F">
        <w:rPr>
          <w:rFonts w:ascii="Cambria Math" w:eastAsia="Arial" w:hAnsi="Cambria Math" w:cs="Cambria Math"/>
          <w:sz w:val="24"/>
          <w:szCs w:val="24"/>
        </w:rPr>
        <w:t>‑</w:t>
      </w:r>
      <w:r w:rsidRPr="00FF692F">
        <w:rPr>
          <w:rFonts w:ascii="Arial" w:eastAsia="Arial" w:hAnsi="Arial" w:cs="Arial"/>
          <w:sz w:val="24"/>
          <w:szCs w:val="24"/>
        </w:rPr>
        <w:t>search statistics reflects broader structural racism within policing. Despite the disciplinary panel’s finding that race was not proven to have influenced individual officers’ actions in the Child Q case, pervasive disparities suggest deeper institutional issues rather than isolated bias (Metropolitan Police news release, 2025). Critical race scholars argue that discretionary policing frequently reproduces societal inequalities, particularly affecting ethnic minorities (Phillips and Bowling, 2017).</w:t>
      </w:r>
    </w:p>
    <w:p w14:paraId="20BFEEF9" w14:textId="1226E63C"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Empirical evidence questions the effectiveness of strip searches on children as a crime</w:t>
      </w:r>
      <w:r w:rsidRPr="00FF692F">
        <w:rPr>
          <w:rFonts w:ascii="Cambria Math" w:eastAsia="Arial" w:hAnsi="Cambria Math" w:cs="Cambria Math"/>
          <w:sz w:val="24"/>
          <w:szCs w:val="24"/>
        </w:rPr>
        <w:t>‑</w:t>
      </w:r>
      <w:r w:rsidRPr="00FF692F">
        <w:rPr>
          <w:rFonts w:ascii="Arial" w:eastAsia="Arial" w:hAnsi="Arial" w:cs="Arial"/>
          <w:sz w:val="24"/>
          <w:szCs w:val="24"/>
        </w:rPr>
        <w:t xml:space="preserve">fighting tool. Data from the Children’s Commissioner for England indicate that many searches yield no prohibited items, and a substantial proportion are conducted without an appropriate adult, reflecting a poor balance between enforcement aims and children’s rights (Children’s Commissioner for England, 2024). While police often justify strip searches on public safety, operational efficiency, or evidence recovery, outcomes are rarely achieved in practice (Home Office, 2023; Smith, 2019). Bradford et al. (2014) demonstrate that intrusive policing damages legitimacy and erodes trust, particularly among vulnerable or marginalised groups, compromising long-term crime prevention. Psychological research further </w:t>
      </w:r>
      <w:r w:rsidR="00FF692F" w:rsidRPr="00FF692F">
        <w:rPr>
          <w:rFonts w:ascii="Arial" w:eastAsia="Arial" w:hAnsi="Arial" w:cs="Arial"/>
          <w:sz w:val="24"/>
          <w:szCs w:val="24"/>
        </w:rPr>
        <w:t>evidences</w:t>
      </w:r>
      <w:r w:rsidRPr="00FF692F">
        <w:rPr>
          <w:rFonts w:ascii="Arial" w:eastAsia="Arial" w:hAnsi="Arial" w:cs="Arial"/>
          <w:sz w:val="24"/>
          <w:szCs w:val="24"/>
        </w:rPr>
        <w:t xml:space="preserve"> trauma, anxiety, and disengagement with authority experienced as a result of such encounters, undermining both short-term safety and long-term community trust (Taylor, French and Halsey, 2018).</w:t>
      </w:r>
    </w:p>
    <w:p w14:paraId="07E41215" w14:textId="2A2CFE3D"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Recent nationwide data compiled by the Children’s Commissioner further undermine claims that strip</w:t>
      </w:r>
      <w:r w:rsidRPr="00FF692F">
        <w:rPr>
          <w:rFonts w:ascii="Cambria Math" w:eastAsia="Arial" w:hAnsi="Cambria Math" w:cs="Cambria Math"/>
          <w:sz w:val="24"/>
          <w:szCs w:val="24"/>
        </w:rPr>
        <w:t>‑</w:t>
      </w:r>
      <w:r w:rsidRPr="00FF692F">
        <w:rPr>
          <w:rFonts w:ascii="Arial" w:eastAsia="Arial" w:hAnsi="Arial" w:cs="Arial"/>
          <w:sz w:val="24"/>
          <w:szCs w:val="24"/>
        </w:rPr>
        <w:t>searching children is proportionate or justified. Almost half of the 3,368 searches between January 2018 and June 2023 were conducted without appropriate adults present, directly breaching procedural safeguards (Children’s Commissioner for England, 2024; Sky News, 2024). Nearly 88 % of these searches were initiated on suspicion of drug possession, while only a minority related to weapons or imminent risk (The Independent, 2024). These patterns call into question the necessity and proportionality requirements under PACE and human rights law.</w:t>
      </w:r>
    </w:p>
    <w:p w14:paraId="4DAB1C76" w14:textId="0F7B5928"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The misconduct findings in the Child Q case demonstrate that current practices can breach legal and ethical standards even within institutional review processes. The disciplinary panel found the decision to strip</w:t>
      </w:r>
      <w:r w:rsidRPr="00FF692F">
        <w:rPr>
          <w:rFonts w:ascii="Cambria Math" w:eastAsia="Arial" w:hAnsi="Cambria Math" w:cs="Cambria Math"/>
          <w:sz w:val="24"/>
          <w:szCs w:val="24"/>
        </w:rPr>
        <w:t>‑</w:t>
      </w:r>
      <w:r w:rsidRPr="00FF692F">
        <w:rPr>
          <w:rFonts w:ascii="Arial" w:eastAsia="Arial" w:hAnsi="Arial" w:cs="Arial"/>
          <w:sz w:val="24"/>
          <w:szCs w:val="24"/>
        </w:rPr>
        <w:t>search the girl was “disproportionate, inappropriate and unnecessary” and caused “enormous harm,” demonstrating that even police oversight mechanisms recognise serious failings (Independent Office for Police Conduct, 2025). Psychological impacts are increasingly documented, with children reporting trauma, anxiety, and humiliation, undermining trust in authority and community cooperation (The Guardian, 2025; The Times, 2025). This aligns with Article 3 of the ECHR, which prohibits degrading treatment (Wainwright v UK, 2006).</w:t>
      </w:r>
    </w:p>
    <w:p w14:paraId="3BD292B7" w14:textId="19CC33D5"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Parliamentary scrutiny has intensified. In 2025, an All</w:t>
      </w:r>
      <w:r w:rsidRPr="00FF692F">
        <w:rPr>
          <w:rFonts w:ascii="Cambria Math" w:eastAsia="Arial" w:hAnsi="Cambria Math" w:cs="Cambria Math"/>
          <w:sz w:val="24"/>
          <w:szCs w:val="24"/>
        </w:rPr>
        <w:t>‑</w:t>
      </w:r>
      <w:r w:rsidRPr="00FF692F">
        <w:rPr>
          <w:rFonts w:ascii="Arial" w:eastAsia="Arial" w:hAnsi="Arial" w:cs="Arial"/>
          <w:sz w:val="24"/>
          <w:szCs w:val="24"/>
        </w:rPr>
        <w:t>Party Parliamentary Group (APPG) report recommended that strip</w:t>
      </w:r>
      <w:r w:rsidRPr="00FF692F">
        <w:rPr>
          <w:rFonts w:ascii="Cambria Math" w:eastAsia="Arial" w:hAnsi="Cambria Math" w:cs="Cambria Math"/>
          <w:sz w:val="24"/>
          <w:szCs w:val="24"/>
        </w:rPr>
        <w:t>‑</w:t>
      </w:r>
      <w:r w:rsidRPr="00FF692F">
        <w:rPr>
          <w:rFonts w:ascii="Arial" w:eastAsia="Arial" w:hAnsi="Arial" w:cs="Arial"/>
          <w:sz w:val="24"/>
          <w:szCs w:val="24"/>
        </w:rPr>
        <w:t>search powers be limited to last resort, custody periods for minors shortened, and welfare-based approaches prioritised (The Guardian, 2025). The APPG highlighted that children subjected to strip searches are disproportionately likely to have mental health needs, special educational needs, or histories of exploitation, emphasising the necessity of safeguarding-centred practices (The Guardian, 2025).</w:t>
      </w:r>
    </w:p>
    <w:p w14:paraId="7A1E20A4" w14:textId="3472E19A"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Taken together, the evidence indicates that strip</w:t>
      </w:r>
      <w:r w:rsidRPr="00FF692F">
        <w:rPr>
          <w:rFonts w:ascii="Cambria Math" w:eastAsia="Arial" w:hAnsi="Cambria Math" w:cs="Cambria Math"/>
          <w:sz w:val="24"/>
          <w:szCs w:val="24"/>
        </w:rPr>
        <w:t>‑</w:t>
      </w:r>
      <w:r w:rsidRPr="00FF692F">
        <w:rPr>
          <w:rFonts w:ascii="Arial" w:eastAsia="Arial" w:hAnsi="Arial" w:cs="Arial"/>
          <w:sz w:val="24"/>
          <w:szCs w:val="24"/>
        </w:rPr>
        <w:t>searching children, particularly without appropriate adults, in the context of racial disparities, or when searches yield no further action, cannot be justified as proportionate, lawful, or effective. Such practices undermine fundamental rights, damage public trust, and conflict with safeguarding principles. Procedural justice theory suggests perceived unfairness delegitimises law enforcement and reduces compliance (Tyler, 2006). Policy proposals and independent reviews have sought to strengthen protections, including senior officer authorisation, safeguarding referrals, and parental notification (Home Office, 2024; UK Parliament, 2026). Recommendations also include a presumption against strip searches except in exceptional circumstances, non-intrusive alternatives, improving appropriate adult presence, enhancing information provision, and strengthening data collection and oversight (APPG on Children in Police Custody, 2025; Children’s Commissioner for England, 2024). Rights-based, safeguarding-centred approaches that prioritise dignity, proportionality, and trauma-informed practice are essential for lawful and legitimate policing.</w:t>
      </w:r>
    </w:p>
    <w:p w14:paraId="7C0EEB28" w14:textId="5FD7B45D"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Recommendations include: statutory presumption against strip-searching children except in imminent risk situations, trauma-informed and child-centred policing aligned with UNCRC principles, independent oversight of all searches involving minors, structural reforms to reduce racial disproportionality, and welfare-based diversionary responses for youth offending (United Nations Committee on the Rights of the Child, 2016; Lammy, 2017; Muncie, 2009).</w:t>
      </w:r>
    </w:p>
    <w:p w14:paraId="48DC3D87" w14:textId="33854CE7" w:rsidR="007D52A2" w:rsidRPr="00FF692F" w:rsidRDefault="2D9C62C4" w:rsidP="008B6235">
      <w:pPr>
        <w:spacing w:before="240" w:after="240" w:line="360" w:lineRule="auto"/>
        <w:jc w:val="both"/>
        <w:rPr>
          <w:rFonts w:ascii="Arial" w:eastAsia="Arial" w:hAnsi="Arial" w:cs="Arial"/>
          <w:sz w:val="24"/>
          <w:szCs w:val="24"/>
        </w:rPr>
      </w:pPr>
      <w:r w:rsidRPr="00FF692F">
        <w:rPr>
          <w:rFonts w:ascii="Arial" w:eastAsia="Arial" w:hAnsi="Arial" w:cs="Arial"/>
          <w:sz w:val="24"/>
          <w:szCs w:val="24"/>
        </w:rPr>
        <w:t>In conclusion, while public safety remains a legitimate policing objective, the strip-searching of children by the Metropolitan Police has been consistently disproportionate, legally tenuous, and ethically indefensible. The practice disproportionately targets Black and other marginalised children, inflicting profound psychological harm and undermining trust in law enforcement. Far from isolated errors, these incidents reveal entrenched institutional failings. Addressing these issues requires systemic reform: policies and practices must prioritise child welfare, uphold human rights, mitigate racial disparities, and embed trauma-informed, rights-based approaches to ensure policing of children is lawful and socially legitimate.</w:t>
      </w:r>
    </w:p>
    <w:p w14:paraId="06ADDD5C" w14:textId="46C0D3E3" w:rsidR="53DBB712" w:rsidRDefault="53DBB712" w:rsidP="53DBB712">
      <w:pPr>
        <w:spacing w:line="360" w:lineRule="auto"/>
        <w:jc w:val="both"/>
        <w:rPr>
          <w:rFonts w:ascii="Arial" w:hAnsi="Arial" w:cs="Arial"/>
          <w:sz w:val="24"/>
          <w:szCs w:val="24"/>
        </w:rPr>
      </w:pPr>
    </w:p>
    <w:p w14:paraId="0ED066E6" w14:textId="771AAD7B" w:rsidR="53DBB712" w:rsidRDefault="53DBB712" w:rsidP="53DBB712">
      <w:pPr>
        <w:spacing w:line="360" w:lineRule="auto"/>
        <w:jc w:val="both"/>
        <w:rPr>
          <w:rFonts w:ascii="Arial" w:hAnsi="Arial" w:cs="Arial"/>
          <w:sz w:val="24"/>
          <w:szCs w:val="24"/>
        </w:rPr>
      </w:pPr>
    </w:p>
    <w:p w14:paraId="50E73367" w14:textId="1DA6BDB4" w:rsidR="53DBB712" w:rsidRDefault="53DBB712" w:rsidP="53DBB712">
      <w:pPr>
        <w:spacing w:line="360" w:lineRule="auto"/>
        <w:jc w:val="both"/>
        <w:rPr>
          <w:rFonts w:ascii="Arial" w:hAnsi="Arial" w:cs="Arial"/>
          <w:sz w:val="24"/>
          <w:szCs w:val="24"/>
        </w:rPr>
      </w:pPr>
    </w:p>
    <w:p w14:paraId="677F8203" w14:textId="77777777" w:rsidR="008B6235" w:rsidRDefault="008B6235" w:rsidP="53DBB712">
      <w:pPr>
        <w:spacing w:line="360" w:lineRule="auto"/>
        <w:jc w:val="both"/>
        <w:rPr>
          <w:rFonts w:ascii="Arial" w:hAnsi="Arial" w:cs="Arial"/>
          <w:b/>
          <w:bCs/>
          <w:sz w:val="24"/>
          <w:szCs w:val="24"/>
        </w:rPr>
      </w:pPr>
    </w:p>
    <w:p w14:paraId="447D0DA0" w14:textId="6CA3EB1C" w:rsidR="53DBB712" w:rsidRPr="00FF692F" w:rsidRDefault="3E322D1B" w:rsidP="53DBB712">
      <w:pPr>
        <w:spacing w:line="360" w:lineRule="auto"/>
        <w:jc w:val="both"/>
        <w:rPr>
          <w:rFonts w:ascii="Arial" w:hAnsi="Arial" w:cs="Arial"/>
          <w:b/>
          <w:bCs/>
          <w:sz w:val="24"/>
          <w:szCs w:val="24"/>
          <w:u w:val="single"/>
        </w:rPr>
      </w:pPr>
      <w:r w:rsidRPr="00FF692F">
        <w:rPr>
          <w:rFonts w:ascii="Arial" w:hAnsi="Arial" w:cs="Arial"/>
          <w:b/>
          <w:bCs/>
          <w:sz w:val="24"/>
          <w:szCs w:val="24"/>
          <w:u w:val="single"/>
        </w:rPr>
        <w:t xml:space="preserve">Part 2 </w:t>
      </w:r>
      <w:r w:rsidR="008754CE" w:rsidRPr="00FF692F">
        <w:rPr>
          <w:rFonts w:ascii="Arial" w:hAnsi="Arial" w:cs="Arial"/>
          <w:b/>
          <w:bCs/>
          <w:sz w:val="24"/>
          <w:szCs w:val="24"/>
          <w:u w:val="single"/>
        </w:rPr>
        <w:t>-</w:t>
      </w:r>
      <w:r w:rsidR="008754CE" w:rsidRPr="00FF692F">
        <w:rPr>
          <w:b/>
          <w:bCs/>
          <w:u w:val="single"/>
        </w:rPr>
        <w:t xml:space="preserve"> </w:t>
      </w:r>
      <w:r w:rsidR="008754CE" w:rsidRPr="00FF692F">
        <w:rPr>
          <w:rFonts w:ascii="Arial" w:hAnsi="Arial" w:cs="Arial"/>
          <w:b/>
          <w:bCs/>
          <w:sz w:val="24"/>
          <w:szCs w:val="24"/>
          <w:u w:val="single"/>
        </w:rPr>
        <w:t>12-minute recorded presentation</w:t>
      </w:r>
    </w:p>
    <w:p w14:paraId="3BF13728" w14:textId="093CB956" w:rsidR="25092F0D" w:rsidRDefault="00FF692F" w:rsidP="25092F0D">
      <w:pPr>
        <w:spacing w:line="360" w:lineRule="auto"/>
        <w:jc w:val="both"/>
        <w:rPr>
          <w:rFonts w:ascii="Arial" w:hAnsi="Arial" w:cs="Arial"/>
          <w:sz w:val="24"/>
          <w:szCs w:val="24"/>
        </w:rPr>
      </w:pPr>
      <w:r>
        <w:rPr>
          <w:rFonts w:ascii="Arial" w:hAnsi="Arial" w:cs="Arial"/>
          <w:sz w:val="24"/>
          <w:szCs w:val="24"/>
        </w:rPr>
        <w:object w:dxaOrig="1543" w:dyaOrig="995" w14:anchorId="799EE0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49.75pt" o:ole="">
            <v:imagedata r:id="rId11" o:title=""/>
          </v:shape>
          <o:OLEObject Type="Embed" ProgID="Package" ShapeID="_x0000_i1025" DrawAspect="Icon" ObjectID="_1833637074" r:id="rId12"/>
        </w:object>
      </w:r>
    </w:p>
    <w:p w14:paraId="338D7131" w14:textId="77777777" w:rsidR="00FF692F" w:rsidRPr="00FF692F" w:rsidRDefault="00FF692F" w:rsidP="00FF692F">
      <w:pPr>
        <w:spacing w:line="360" w:lineRule="auto"/>
        <w:jc w:val="both"/>
        <w:rPr>
          <w:rFonts w:ascii="Arial" w:hAnsi="Arial" w:cs="Arial"/>
          <w:b/>
          <w:bCs/>
          <w:sz w:val="24"/>
          <w:szCs w:val="24"/>
          <w:u w:val="single"/>
        </w:rPr>
      </w:pPr>
      <w:r w:rsidRPr="00FF692F">
        <w:rPr>
          <w:rFonts w:ascii="Arial" w:hAnsi="Arial" w:cs="Arial"/>
          <w:b/>
          <w:bCs/>
          <w:sz w:val="24"/>
          <w:szCs w:val="24"/>
          <w:u w:val="single"/>
        </w:rPr>
        <w:t xml:space="preserve">Final Ready-to-Present Script </w:t>
      </w:r>
    </w:p>
    <w:p w14:paraId="591D73D0"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Today, I’m going to critically evaluate the Metropolitan Police’s use of strip-search powers on children and examine whether breaching human rights law was ever justified. This issue came to national attention after the 2022 Child Q case, where a Black schoolgirl was strip-searched in her school without an appropriate adult, and no prohibited items were found (Independent Office for Police Conduct, 2025). The case revealed both individual and systemic failings, particularly regarding race, vulnerability, and the prioritisation of enforcement over safeguarding (Lammy Review, 2017; Macpherson, 1999). The decision was later found to constitute gross misconduct, highlighting serious legal and ethical concerns. I will argue that while public safety is a legitimate policing aim, the strip-searching of children has frequently been unjustified, disproportionate, and incompatible with both UK law and international human rights obligations (UNCRC, 1989; 2016). </w:t>
      </w:r>
    </w:p>
    <w:p w14:paraId="48EA16AE"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Strip-searching is one of the most intrusive powers police can exercise (Home Office, 2023). Under the Police and Criminal Evidence Act 1984, officers may only conduct a strip search if they have reasonable grounds to believe someone is concealing drugs, weapons, or other evidence, and if the search is necessary and proportionate. For children, PACE Code C imposes additional safeguards, including the requirement for an appropriate adult unless there is an immediate risk of harm (HMICFRS, 2023; Roberts &amp; Patel, 2021). Despite these safeguards, between 2018 and 2023 thousands of children were strip-searched across England and Wales, and almost half of these searches lacked an appropriate adult (Children’s Commissioner for England, 2024; Sky News, 2024). These figures raise serious questions about the legality, necessity, and proportionality of these searches. </w:t>
      </w:r>
    </w:p>
    <w:p w14:paraId="277731C0"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Children are inherently vulnerable in policing encounters. Developmental criminology highlights that they have reduced cognitive and emotional capacity, limiting their ability to understand or resist invasive procedures (Goldson, 2013; Bateman, 2020; Muncie, 2009). This vulnerability is heightened for Black children, who are disproportionately affected due to structural and institutional racial biases in discretionary policing (Phillips &amp; Bowling, 2017; Lammy Review, 2017). The UN Convention on the Rights of the Child emphasises that children are rights-holders whose welfare must be prioritised (UNCRC, 1989). Intrusive policing can cause trauma, anxiety, humiliation, and long-term disengagement from authority, undermining trust and future cooperation with law enforcement (Taylor et al., 2018; Ferguson, 2017). </w:t>
      </w:r>
    </w:p>
    <w:p w14:paraId="3C2337EF"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Several legal frameworks govern the strip-searching of children. Article 3 of the European Convention on Human Rights prohibits inhuman or degrading treatment (Wainwright v UK, 2006). Article 8 protects privacy and bodily integrity, while Article 14 prevents discrimination (Gillan &amp; Quinton v UK, 2010). Domestic safeguards, including PACE Code C and the Equality Act 2010, emphasise proportionality, necessity, and safeguarding responsibilities (Home Office, 2023; EHRC, 2020). The UNCRC requires that the best interests of the child be a primary consideration (UNCRC, 1989; 2016). Together, these frameworks clearly define the limits of lawful and ethical policing for children. </w:t>
      </w:r>
    </w:p>
    <w:p w14:paraId="7D2B3E17"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In practice, many strip searches of children failed to meet these legal standards. Appropriate adults were frequently absent, searches occurred in inappropriate settings such as schools, and less intrusive alternatives were not considered (IOPC, 2022; HMICFRS, 2023). Data indicate that nearly half of recorded searches lacked an appropriate adult (Children’s Commissioner for England, 2024). These breaches disproportionately affected Black children, raising concerns under Article 14 ECHR and highlighting systemic discrimination (Macpherson, 1999; Lammy Review, 2017). The Child Q case vividly demonstrates the harm caused, with violations of dignity, privacy, and professional standards (Independent Office for Police Conduct, 2025; Guardian, 2025). </w:t>
      </w:r>
    </w:p>
    <w:p w14:paraId="6745101E"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The Child Q case exemplifies systemic failure. A 15-year-old Black girl was strip-searched at school without reasonable grounds or an appropriate adult present, causing profound psychological harm (Guardian, 2025; Independent Office for Police Conduct, 2025). The disciplinary panel concluded that the search was disproportionate, unnecessary, and caused enormous harm. Racialised assumptions were evident, demonstrating structural issues in policing. This case illustrates how policy, culture, and discretionary decision-making combined to produce a serious breach of children’s rights (Phillips &amp; Bowling, 2017). </w:t>
      </w:r>
    </w:p>
    <w:p w14:paraId="14386565"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Police often justify strip-searches on public safety grounds, particularly concerning drugs and weapons (Mayor of London, 2022). Crime control theory, as Packer (1968) describes, emphasises efficiency and risk management. Guidance also stresses evidence recovery, harm prevention, and maintaining public confidence (College of Policing, 2022; HMICFRS, 2023). However, even legitimate aims cannot override proportionality or the safeguarding of children (Bateman, 2020; UNCRC, 1989; 2016). Empirical evidence shows that many searches yield no prohibited items, questioning the effectiveness and legality of these practices. </w:t>
      </w:r>
    </w:p>
    <w:p w14:paraId="6CC97CED"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Labelling theory suggests that intrusive policing reinforces negative identities, increasing the likelihood of future criminalisation (Becker, 1963). Procedural justice theory highlights that perceived unfairness undermines legitimacy and reduces compliance with the law (Tyler, 2006). Critical race theory shows how discretionary powers reproduce structural inequalities, disproportionately affecting minority ethnic children (Phillips &amp; Bowling, 2017; Macpherson, 1999). Coercive policing can deepen social exclusion, accelerate youth criminalisation, and perpetuate inequality (Muncie, 2009; Goldson, 2013). </w:t>
      </w:r>
    </w:p>
    <w:p w14:paraId="1DF7CF31"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Empirical evidence challenges police justifications. Most strip-searches of children do not uncover prohibited items (Mayor of London, 2022), and Black children are overrepresented in these statistics (Lammy Review, 2017; Phillips &amp; Bowling, 2017). Almost 88% of searches relate to suspected drug possession rather than weapons or immediate threats (The Independent, 2024). Intrusive policing erodes trust, undermines legitimacy, and compromises long-term crime prevention (Bradford et al., 2014; Tyler, 2006; Williams &amp; Clarke, 2018). </w:t>
      </w:r>
    </w:p>
    <w:p w14:paraId="1B22C4DE"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Following public scrutiny, the Metropolitan Police revised guidance, requiring senior authorisation and emphasising safeguarding (Liberty, 2023; Children’s Commissioner, 2023). Reforms include stronger oversight and procedural accountability. However, NGOs argue that these procedural changes do not address deeper cultural issues or persistent racial disproportionality (INQUEST, 2023; Just for Kids Law, 2022). Without systemic reform, procedural updates alone are insufficient to protect children. </w:t>
      </w:r>
    </w:p>
    <w:p w14:paraId="1D8C0F01"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The strip-searching of children undermines police legitimacy, erodes trust, and increases the risk of future criminalisation (Bradford et al., 2014; Tyler, 2006). Coercive encounters damage relationships with young people, reducing cooperation and weakening community safety. Psychological research demonstrates that trauma, anxiety, and humiliation directly result from intrusive searches, affecting long-term engagement with authority (Taylor et al., 2018). </w:t>
      </w:r>
    </w:p>
    <w:p w14:paraId="13897845"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Recommendations must be **rights-based, safeguarding-centred, and systemic**. Firstly, introduce a statutory presumption against strip-searching children, except in imminent risk situations. Secondly, mandate the presence of an appropriate adult for all searches, with strict documentation. Thirdly, adopt trauma-informed, child-centred policing that prioritises welfare over operational efficiency (Liberty, 2023; Children’s Commissioner, 2023). Fourthly, implement independent oversight and external review of all child searches. Fifthly, address structural racial disproportionality through training, cultural change, and accountability mechanisms (Lammy Review, 2017; Macpherson, 1999). Sixthly, invest in diversionary, welfare-based interventions to reduce reliance on coercive policing (Muncie, 2009; Taylor et al., 2018). Finally, strengthen data collection, transparency, and reporting to monitor compliance and safeguard rights. These recommendations integrate legal obligations, empirical evidence, and criminological theory to ensure future policing of children is lawful, ethical, and effective. </w:t>
      </w:r>
    </w:p>
    <w:p w14:paraId="34D6AAA0"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 xml:space="preserve">In conclusion, while public safety is a legitimate policing aim, strip-searching children has been disproportionate, legally tenuous, and ethically indefensible. The practice disproportionately targets Black and marginalised children, causes profound psychological harm, and undermines trust in law enforcement (IOPC, 2022; UNCRC, 1989; 2016). These incidents reflect systemic failures rather than isolated errors. A safeguarding-centred, rights-based approach is essential to prevent future violations and rebuild legitimacy. </w:t>
      </w:r>
    </w:p>
    <w:p w14:paraId="007DEB82" w14:textId="77777777" w:rsidR="00FF692F" w:rsidRDefault="00FF692F" w:rsidP="00FF692F">
      <w:pPr>
        <w:spacing w:line="360" w:lineRule="auto"/>
        <w:jc w:val="both"/>
        <w:rPr>
          <w:rFonts w:ascii="Arial" w:hAnsi="Arial" w:cs="Arial"/>
          <w:sz w:val="24"/>
          <w:szCs w:val="24"/>
        </w:rPr>
      </w:pPr>
      <w:r w:rsidRPr="00FF692F">
        <w:rPr>
          <w:rFonts w:ascii="Arial" w:hAnsi="Arial" w:cs="Arial"/>
          <w:sz w:val="24"/>
          <w:szCs w:val="24"/>
        </w:rPr>
        <w:t>The Child Q case clearly demonstrates that breaching human rights laws was not justified. Protecting children’s dignity, welfare, and legal rights must take priority over coercive enforcement (Tyler, 2006; Goldson &amp; Bateman, 2020; Phillips &amp; Bowling, 2017). Embedding trauma-informed, independent, and child-centred policing is essential for lawful, ethical, and socially legitimate practice.</w:t>
      </w:r>
    </w:p>
    <w:p w14:paraId="17207E59" w14:textId="3B066C85" w:rsidR="1D295699" w:rsidRPr="00FF692F" w:rsidRDefault="1D295699" w:rsidP="00FF692F">
      <w:pPr>
        <w:spacing w:line="360" w:lineRule="auto"/>
        <w:jc w:val="both"/>
        <w:rPr>
          <w:rFonts w:ascii="Arial" w:hAnsi="Arial" w:cs="Arial"/>
          <w:sz w:val="24"/>
          <w:szCs w:val="24"/>
        </w:rPr>
      </w:pPr>
      <w:r w:rsidRPr="00FF692F">
        <w:rPr>
          <w:rFonts w:ascii="Arial" w:eastAsia="Arial" w:hAnsi="Arial" w:cs="Arial"/>
          <w:b/>
          <w:bCs/>
          <w:sz w:val="24"/>
          <w:szCs w:val="24"/>
          <w:u w:val="single"/>
        </w:rPr>
        <w:t>Reference list</w:t>
      </w:r>
    </w:p>
    <w:p w14:paraId="6A64B506"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All-Party Parliamentary Group (APPG) on Children in Police Custody (2025) </w:t>
      </w:r>
      <w:r w:rsidRPr="00F748ED">
        <w:rPr>
          <w:rFonts w:ascii="Arial" w:eastAsia="Times New Roman" w:hAnsi="Arial" w:cs="Arial"/>
          <w:i/>
          <w:iCs/>
          <w:kern w:val="0"/>
          <w:sz w:val="24"/>
          <w:szCs w:val="24"/>
          <w:lang w:eastAsia="en-GB"/>
          <w14:ligatures w14:val="none"/>
        </w:rPr>
        <w:t>Report on strip-search powers and safeguarding of minors</w:t>
      </w:r>
      <w:r w:rsidRPr="00F748ED">
        <w:rPr>
          <w:rFonts w:ascii="Arial" w:eastAsia="Times New Roman" w:hAnsi="Arial" w:cs="Arial"/>
          <w:kern w:val="0"/>
          <w:sz w:val="24"/>
          <w:szCs w:val="24"/>
          <w:lang w:eastAsia="en-GB"/>
          <w14:ligatures w14:val="none"/>
        </w:rPr>
        <w:t>. London: UK Parliament.</w:t>
      </w:r>
    </w:p>
    <w:p w14:paraId="3481A67C"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Bateman, T. (2020) ‘The vulnerabilities of children in contact with police’, </w:t>
      </w:r>
      <w:r w:rsidRPr="00F748ED">
        <w:rPr>
          <w:rFonts w:ascii="Arial" w:eastAsia="Times New Roman" w:hAnsi="Arial" w:cs="Arial"/>
          <w:i/>
          <w:iCs/>
          <w:kern w:val="0"/>
          <w:sz w:val="24"/>
          <w:szCs w:val="24"/>
          <w:lang w:eastAsia="en-GB"/>
          <w14:ligatures w14:val="none"/>
        </w:rPr>
        <w:t>Youth Justice</w:t>
      </w:r>
      <w:r w:rsidRPr="00F748ED">
        <w:rPr>
          <w:rFonts w:ascii="Arial" w:eastAsia="Times New Roman" w:hAnsi="Arial" w:cs="Arial"/>
          <w:kern w:val="0"/>
          <w:sz w:val="24"/>
          <w:szCs w:val="24"/>
          <w:lang w:eastAsia="en-GB"/>
          <w14:ligatures w14:val="none"/>
        </w:rPr>
        <w:t>, 20(2), pp. 125–140.</w:t>
      </w:r>
    </w:p>
    <w:p w14:paraId="6CDCADD3"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Becker, H.S. (1963) </w:t>
      </w:r>
      <w:r w:rsidRPr="00F748ED">
        <w:rPr>
          <w:rFonts w:ascii="Arial" w:eastAsia="Times New Roman" w:hAnsi="Arial" w:cs="Arial"/>
          <w:i/>
          <w:iCs/>
          <w:kern w:val="0"/>
          <w:sz w:val="24"/>
          <w:szCs w:val="24"/>
          <w:lang w:eastAsia="en-GB"/>
          <w14:ligatures w14:val="none"/>
        </w:rPr>
        <w:t>Outsiders: Studies in the Sociology of Deviance</w:t>
      </w:r>
      <w:r w:rsidRPr="00F748ED">
        <w:rPr>
          <w:rFonts w:ascii="Arial" w:eastAsia="Times New Roman" w:hAnsi="Arial" w:cs="Arial"/>
          <w:kern w:val="0"/>
          <w:sz w:val="24"/>
          <w:szCs w:val="24"/>
          <w:lang w:eastAsia="en-GB"/>
          <w14:ligatures w14:val="none"/>
        </w:rPr>
        <w:t>. New York: Free Press.</w:t>
      </w:r>
    </w:p>
    <w:p w14:paraId="69055C21"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Bradford, B., Jackson, J. and Hough, M. (2014) ‘Police legitimacy and public trust’, </w:t>
      </w:r>
      <w:r w:rsidRPr="00F748ED">
        <w:rPr>
          <w:rFonts w:ascii="Arial" w:eastAsia="Times New Roman" w:hAnsi="Arial" w:cs="Arial"/>
          <w:i/>
          <w:iCs/>
          <w:kern w:val="0"/>
          <w:sz w:val="24"/>
          <w:szCs w:val="24"/>
          <w:lang w:eastAsia="en-GB"/>
          <w14:ligatures w14:val="none"/>
        </w:rPr>
        <w:t>British Journal of Criminology</w:t>
      </w:r>
      <w:r w:rsidRPr="00F748ED">
        <w:rPr>
          <w:rFonts w:ascii="Arial" w:eastAsia="Times New Roman" w:hAnsi="Arial" w:cs="Arial"/>
          <w:kern w:val="0"/>
          <w:sz w:val="24"/>
          <w:szCs w:val="24"/>
          <w:lang w:eastAsia="en-GB"/>
          <w14:ligatures w14:val="none"/>
        </w:rPr>
        <w:t>, 54(3), pp. 449–470.</w:t>
      </w:r>
    </w:p>
    <w:p w14:paraId="0DAC4E2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Children’s Commissioner for England (2023) </w:t>
      </w:r>
      <w:r w:rsidRPr="00F748ED">
        <w:rPr>
          <w:rFonts w:ascii="Arial" w:eastAsia="Times New Roman" w:hAnsi="Arial" w:cs="Arial"/>
          <w:i/>
          <w:iCs/>
          <w:kern w:val="0"/>
          <w:sz w:val="24"/>
          <w:szCs w:val="24"/>
          <w:lang w:eastAsia="en-GB"/>
          <w14:ligatures w14:val="none"/>
        </w:rPr>
        <w:t>Strip-searching of children: Briefing and policy recommendations</w:t>
      </w:r>
      <w:r w:rsidRPr="00F748ED">
        <w:rPr>
          <w:rFonts w:ascii="Arial" w:eastAsia="Times New Roman" w:hAnsi="Arial" w:cs="Arial"/>
          <w:kern w:val="0"/>
          <w:sz w:val="24"/>
          <w:szCs w:val="24"/>
          <w:lang w:eastAsia="en-GB"/>
          <w14:ligatures w14:val="none"/>
        </w:rPr>
        <w:t>. London: Office of the Children’s Commissioner.</w:t>
      </w:r>
    </w:p>
    <w:p w14:paraId="263F2B26"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Children’s Commissioner for England (2024) </w:t>
      </w:r>
      <w:r w:rsidRPr="00F748ED">
        <w:rPr>
          <w:rFonts w:ascii="Arial" w:eastAsia="Times New Roman" w:hAnsi="Arial" w:cs="Arial"/>
          <w:i/>
          <w:iCs/>
          <w:kern w:val="0"/>
          <w:sz w:val="24"/>
          <w:szCs w:val="24"/>
          <w:lang w:eastAsia="en-GB"/>
          <w14:ligatures w14:val="none"/>
        </w:rPr>
        <w:t>Strip-searches of children in England and Wales: statistics January 2018 – June 2023</w:t>
      </w:r>
      <w:r w:rsidRPr="00F748ED">
        <w:rPr>
          <w:rFonts w:ascii="Arial" w:eastAsia="Times New Roman" w:hAnsi="Arial" w:cs="Arial"/>
          <w:kern w:val="0"/>
          <w:sz w:val="24"/>
          <w:szCs w:val="24"/>
          <w:lang w:eastAsia="en-GB"/>
          <w14:ligatures w14:val="none"/>
        </w:rPr>
        <w:t xml:space="preserve">. London: Office of the Children’s Commissioner. Available at: </w:t>
      </w:r>
      <w:hyperlink r:id="rId13" w:tgtFrame="_new" w:history="1">
        <w:r w:rsidRPr="00F748ED">
          <w:rPr>
            <w:rFonts w:ascii="Arial" w:eastAsia="Times New Roman" w:hAnsi="Arial" w:cs="Arial"/>
            <w:color w:val="0000FF"/>
            <w:kern w:val="0"/>
            <w:sz w:val="24"/>
            <w:szCs w:val="24"/>
            <w:u w:val="single"/>
            <w:lang w:eastAsia="en-GB"/>
            <w14:ligatures w14:val="none"/>
          </w:rPr>
          <w:t>https://www.childrenscommissioner.gov.uk/</w:t>
        </w:r>
      </w:hyperlink>
      <w:r w:rsidRPr="00F748ED">
        <w:rPr>
          <w:rFonts w:ascii="Arial" w:eastAsia="Times New Roman" w:hAnsi="Arial" w:cs="Arial"/>
          <w:kern w:val="0"/>
          <w:sz w:val="24"/>
          <w:szCs w:val="24"/>
          <w:lang w:eastAsia="en-GB"/>
          <w14:ligatures w14:val="none"/>
        </w:rPr>
        <w:t xml:space="preserve"> (Accessed: 20 February 2026).</w:t>
      </w:r>
    </w:p>
    <w:p w14:paraId="606729BE" w14:textId="27DF191F"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College of Policing (2022) </w:t>
      </w:r>
      <w:r w:rsidRPr="00F748ED">
        <w:rPr>
          <w:rFonts w:ascii="Arial" w:eastAsia="Times New Roman" w:hAnsi="Arial" w:cs="Arial"/>
          <w:i/>
          <w:iCs/>
          <w:kern w:val="0"/>
          <w:sz w:val="24"/>
          <w:szCs w:val="24"/>
          <w:lang w:eastAsia="en-GB"/>
          <w14:ligatures w14:val="none"/>
        </w:rPr>
        <w:t>Authorised Professional Practice: Stop and search and search of premises</w:t>
      </w:r>
      <w:r w:rsidRPr="00F748ED">
        <w:rPr>
          <w:rFonts w:ascii="Arial" w:eastAsia="Times New Roman" w:hAnsi="Arial" w:cs="Arial"/>
          <w:kern w:val="0"/>
          <w:sz w:val="24"/>
          <w:szCs w:val="24"/>
          <w:lang w:eastAsia="en-GB"/>
          <w14:ligatures w14:val="none"/>
        </w:rPr>
        <w:t xml:space="preserve">. London: College of Policing. Available at: </w:t>
      </w:r>
      <w:hyperlink r:id="rId14" w:tgtFrame="_new" w:history="1">
        <w:r w:rsidRPr="00F748ED">
          <w:rPr>
            <w:rFonts w:ascii="Arial" w:eastAsia="Times New Roman" w:hAnsi="Arial" w:cs="Arial"/>
            <w:color w:val="0000FF"/>
            <w:kern w:val="0"/>
            <w:sz w:val="24"/>
            <w:szCs w:val="24"/>
            <w:u w:val="single"/>
            <w:lang w:eastAsia="en-GB"/>
            <w14:ligatures w14:val="none"/>
          </w:rPr>
          <w:t>https://www.college.police.uk/app</w:t>
        </w:r>
      </w:hyperlink>
      <w:r w:rsidRPr="00F748ED">
        <w:rPr>
          <w:rFonts w:ascii="Arial" w:eastAsia="Times New Roman" w:hAnsi="Arial" w:cs="Arial"/>
          <w:kern w:val="0"/>
          <w:sz w:val="24"/>
          <w:szCs w:val="24"/>
          <w:lang w:eastAsia="en-GB"/>
          <w14:ligatures w14:val="none"/>
        </w:rPr>
        <w:t xml:space="preserve"> (Accessed: 02 February 2026).</w:t>
      </w:r>
    </w:p>
    <w:p w14:paraId="70B94F2A" w14:textId="2D8EA3F2"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Equality Act 2010 (c.15). London: The Stationery Office. Available at: </w:t>
      </w:r>
      <w:hyperlink r:id="rId15" w:tgtFrame="_new" w:history="1">
        <w:r w:rsidRPr="00F748ED">
          <w:rPr>
            <w:rFonts w:ascii="Arial" w:eastAsia="Times New Roman" w:hAnsi="Arial" w:cs="Arial"/>
            <w:color w:val="0000FF"/>
            <w:kern w:val="0"/>
            <w:sz w:val="24"/>
            <w:szCs w:val="24"/>
            <w:u w:val="single"/>
            <w:lang w:eastAsia="en-GB"/>
            <w14:ligatures w14:val="none"/>
          </w:rPr>
          <w:t>https://www.legislation.gov.uk/ukpga/2010/15</w:t>
        </w:r>
      </w:hyperlink>
      <w:r w:rsidRPr="00F748ED">
        <w:rPr>
          <w:rFonts w:ascii="Arial" w:eastAsia="Times New Roman" w:hAnsi="Arial" w:cs="Arial"/>
          <w:kern w:val="0"/>
          <w:sz w:val="24"/>
          <w:szCs w:val="24"/>
          <w:lang w:eastAsia="en-GB"/>
          <w14:ligatures w14:val="none"/>
        </w:rPr>
        <w:t xml:space="preserve"> (Accessed: 18 February 2026).</w:t>
      </w:r>
    </w:p>
    <w:p w14:paraId="101EE2BD" w14:textId="1952D23B"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European Convention on Human Rights (1950). Council of Europe. Available at: </w:t>
      </w:r>
      <w:hyperlink r:id="rId16" w:tgtFrame="_new" w:history="1">
        <w:r w:rsidRPr="00F748ED">
          <w:rPr>
            <w:rFonts w:ascii="Arial" w:eastAsia="Times New Roman" w:hAnsi="Arial" w:cs="Arial"/>
            <w:color w:val="0000FF"/>
            <w:kern w:val="0"/>
            <w:sz w:val="24"/>
            <w:szCs w:val="24"/>
            <w:u w:val="single"/>
            <w:lang w:eastAsia="en-GB"/>
            <w14:ligatures w14:val="none"/>
          </w:rPr>
          <w:t>https://www.echr.coe.int/</w:t>
        </w:r>
      </w:hyperlink>
      <w:r w:rsidRPr="00F748ED">
        <w:rPr>
          <w:rFonts w:ascii="Arial" w:eastAsia="Times New Roman" w:hAnsi="Arial" w:cs="Arial"/>
          <w:kern w:val="0"/>
          <w:sz w:val="24"/>
          <w:szCs w:val="24"/>
          <w:lang w:eastAsia="en-GB"/>
          <w14:ligatures w14:val="none"/>
        </w:rPr>
        <w:t xml:space="preserve"> (Accessed: 10 February 2026).</w:t>
      </w:r>
    </w:p>
    <w:p w14:paraId="0BED3678"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Ferguson, A.G. (2017) </w:t>
      </w:r>
      <w:r w:rsidRPr="00F748ED">
        <w:rPr>
          <w:rFonts w:ascii="Arial" w:eastAsia="Times New Roman" w:hAnsi="Arial" w:cs="Arial"/>
          <w:i/>
          <w:iCs/>
          <w:kern w:val="0"/>
          <w:sz w:val="24"/>
          <w:szCs w:val="24"/>
          <w:lang w:eastAsia="en-GB"/>
          <w14:ligatures w14:val="none"/>
        </w:rPr>
        <w:t>The Rise of Big Data Policing: Surveillance, Race and the Future of Law Enforcement</w:t>
      </w:r>
      <w:r w:rsidRPr="00F748ED">
        <w:rPr>
          <w:rFonts w:ascii="Arial" w:eastAsia="Times New Roman" w:hAnsi="Arial" w:cs="Arial"/>
          <w:kern w:val="0"/>
          <w:sz w:val="24"/>
          <w:szCs w:val="24"/>
          <w:lang w:eastAsia="en-GB"/>
          <w14:ligatures w14:val="none"/>
        </w:rPr>
        <w:t>. New York: NYU Press.</w:t>
      </w:r>
    </w:p>
    <w:p w14:paraId="264F49D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Gillan and Quinton v United Kingdom (2010) European Court of Human Rights, Application no. 4158/05.</w:t>
      </w:r>
    </w:p>
    <w:p w14:paraId="4AD0E2C6"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Goldson, B. (2013) </w:t>
      </w:r>
      <w:r w:rsidRPr="00F748ED">
        <w:rPr>
          <w:rFonts w:ascii="Arial" w:eastAsia="Times New Roman" w:hAnsi="Arial" w:cs="Arial"/>
          <w:i/>
          <w:iCs/>
          <w:kern w:val="0"/>
          <w:sz w:val="24"/>
          <w:szCs w:val="24"/>
          <w:lang w:eastAsia="en-GB"/>
          <w14:ligatures w14:val="none"/>
        </w:rPr>
        <w:t>Youth Justice: Contemporary Policy and Practice</w:t>
      </w:r>
      <w:r w:rsidRPr="00F748ED">
        <w:rPr>
          <w:rFonts w:ascii="Arial" w:eastAsia="Times New Roman" w:hAnsi="Arial" w:cs="Arial"/>
          <w:kern w:val="0"/>
          <w:sz w:val="24"/>
          <w:szCs w:val="24"/>
          <w:lang w:eastAsia="en-GB"/>
          <w14:ligatures w14:val="none"/>
        </w:rPr>
        <w:t>. 2nd edn. London: Sage.</w:t>
      </w:r>
    </w:p>
    <w:p w14:paraId="4A9890B5"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Goldson, B. and Bateman, T. (2020) ‘Child-first justice?’, </w:t>
      </w:r>
      <w:r w:rsidRPr="00F748ED">
        <w:rPr>
          <w:rFonts w:ascii="Arial" w:eastAsia="Times New Roman" w:hAnsi="Arial" w:cs="Arial"/>
          <w:i/>
          <w:iCs/>
          <w:kern w:val="0"/>
          <w:sz w:val="24"/>
          <w:szCs w:val="24"/>
          <w:lang w:eastAsia="en-GB"/>
          <w14:ligatures w14:val="none"/>
        </w:rPr>
        <w:t>Youth Justice</w:t>
      </w:r>
      <w:r w:rsidRPr="00F748ED">
        <w:rPr>
          <w:rFonts w:ascii="Arial" w:eastAsia="Times New Roman" w:hAnsi="Arial" w:cs="Arial"/>
          <w:kern w:val="0"/>
          <w:sz w:val="24"/>
          <w:szCs w:val="24"/>
          <w:lang w:eastAsia="en-GB"/>
          <w14:ligatures w14:val="none"/>
        </w:rPr>
        <w:t>, 20(1), pp. 3–17.</w:t>
      </w:r>
    </w:p>
    <w:p w14:paraId="59F4543B" w14:textId="35925171"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Guardian (2024) ‘Metropolitan Police defend use of strip-search powers’, </w:t>
      </w:r>
      <w:r w:rsidRPr="00F748ED">
        <w:rPr>
          <w:rFonts w:ascii="Arial" w:eastAsia="Times New Roman" w:hAnsi="Arial" w:cs="Arial"/>
          <w:i/>
          <w:iCs/>
          <w:kern w:val="0"/>
          <w:sz w:val="24"/>
          <w:szCs w:val="24"/>
          <w:lang w:eastAsia="en-GB"/>
          <w14:ligatures w14:val="none"/>
        </w:rPr>
        <w:t>The Guardian</w:t>
      </w:r>
      <w:r w:rsidRPr="00F748ED">
        <w:rPr>
          <w:rFonts w:ascii="Arial" w:eastAsia="Times New Roman" w:hAnsi="Arial" w:cs="Arial"/>
          <w:kern w:val="0"/>
          <w:sz w:val="24"/>
          <w:szCs w:val="24"/>
          <w:lang w:eastAsia="en-GB"/>
          <w14:ligatures w14:val="none"/>
        </w:rPr>
        <w:t xml:space="preserve">. Available at: </w:t>
      </w:r>
      <w:hyperlink r:id="rId17" w:tgtFrame="_new" w:history="1">
        <w:r w:rsidRPr="00F748ED">
          <w:rPr>
            <w:rFonts w:ascii="Arial" w:eastAsia="Times New Roman" w:hAnsi="Arial" w:cs="Arial"/>
            <w:color w:val="0000FF"/>
            <w:kern w:val="0"/>
            <w:sz w:val="24"/>
            <w:szCs w:val="24"/>
            <w:u w:val="single"/>
            <w:lang w:eastAsia="en-GB"/>
            <w14:ligatures w14:val="none"/>
          </w:rPr>
          <w:t>https://www.theguardian.com/</w:t>
        </w:r>
      </w:hyperlink>
      <w:r w:rsidRPr="00F748ED">
        <w:rPr>
          <w:rFonts w:ascii="Arial" w:eastAsia="Times New Roman" w:hAnsi="Arial" w:cs="Arial"/>
          <w:kern w:val="0"/>
          <w:sz w:val="24"/>
          <w:szCs w:val="24"/>
          <w:lang w:eastAsia="en-GB"/>
          <w14:ligatures w14:val="none"/>
        </w:rPr>
        <w:t xml:space="preserve"> (Accessed: 07 February 2026).</w:t>
      </w:r>
    </w:p>
    <w:p w14:paraId="0D504B88" w14:textId="17C67873"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Guardian (2025) ‘Child Q disciplinary findings and strip-search ruling’, </w:t>
      </w:r>
      <w:r w:rsidRPr="00F748ED">
        <w:rPr>
          <w:rFonts w:ascii="Arial" w:eastAsia="Times New Roman" w:hAnsi="Arial" w:cs="Arial"/>
          <w:i/>
          <w:iCs/>
          <w:kern w:val="0"/>
          <w:sz w:val="24"/>
          <w:szCs w:val="24"/>
          <w:lang w:eastAsia="en-GB"/>
          <w14:ligatures w14:val="none"/>
        </w:rPr>
        <w:t>The Guardian</w:t>
      </w:r>
      <w:r w:rsidRPr="00F748ED">
        <w:rPr>
          <w:rFonts w:ascii="Arial" w:eastAsia="Times New Roman" w:hAnsi="Arial" w:cs="Arial"/>
          <w:kern w:val="0"/>
          <w:sz w:val="24"/>
          <w:szCs w:val="24"/>
          <w:lang w:eastAsia="en-GB"/>
          <w14:ligatures w14:val="none"/>
        </w:rPr>
        <w:t xml:space="preserve">, 15 January. Available at: </w:t>
      </w:r>
      <w:hyperlink r:id="rId18" w:tgtFrame="_new" w:history="1">
        <w:r w:rsidRPr="00F748ED">
          <w:rPr>
            <w:rFonts w:ascii="Arial" w:eastAsia="Times New Roman" w:hAnsi="Arial" w:cs="Arial"/>
            <w:color w:val="0000FF"/>
            <w:kern w:val="0"/>
            <w:sz w:val="24"/>
            <w:szCs w:val="24"/>
            <w:u w:val="single"/>
            <w:lang w:eastAsia="en-GB"/>
            <w14:ligatures w14:val="none"/>
          </w:rPr>
          <w:t>https://www.theguardian.com/</w:t>
        </w:r>
      </w:hyperlink>
      <w:r w:rsidRPr="00F748ED">
        <w:rPr>
          <w:rFonts w:ascii="Arial" w:eastAsia="Times New Roman" w:hAnsi="Arial" w:cs="Arial"/>
          <w:kern w:val="0"/>
          <w:sz w:val="24"/>
          <w:szCs w:val="24"/>
          <w:lang w:eastAsia="en-GB"/>
          <w14:ligatures w14:val="none"/>
        </w:rPr>
        <w:t xml:space="preserve"> (Accessed: 19 February 2026).</w:t>
      </w:r>
    </w:p>
    <w:p w14:paraId="5C6E49B1" w14:textId="19C7F97C"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HM Inspectorate of Constabulary and Fire &amp; Rescue Services (2023) </w:t>
      </w:r>
      <w:r w:rsidRPr="00F748ED">
        <w:rPr>
          <w:rFonts w:ascii="Arial" w:eastAsia="Times New Roman" w:hAnsi="Arial" w:cs="Arial"/>
          <w:i/>
          <w:iCs/>
          <w:kern w:val="0"/>
          <w:sz w:val="24"/>
          <w:szCs w:val="24"/>
          <w:lang w:eastAsia="en-GB"/>
          <w14:ligatures w14:val="none"/>
        </w:rPr>
        <w:t>A review of stop and search powers</w:t>
      </w:r>
      <w:r w:rsidRPr="00F748ED">
        <w:rPr>
          <w:rFonts w:ascii="Arial" w:eastAsia="Times New Roman" w:hAnsi="Arial" w:cs="Arial"/>
          <w:kern w:val="0"/>
          <w:sz w:val="24"/>
          <w:szCs w:val="24"/>
          <w:lang w:eastAsia="en-GB"/>
          <w14:ligatures w14:val="none"/>
        </w:rPr>
        <w:t xml:space="preserve">. London: HMICFRS. Available at: </w:t>
      </w:r>
      <w:hyperlink r:id="rId19" w:tgtFrame="_new" w:history="1">
        <w:r w:rsidRPr="00F748ED">
          <w:rPr>
            <w:rFonts w:ascii="Arial" w:eastAsia="Times New Roman" w:hAnsi="Arial" w:cs="Arial"/>
            <w:color w:val="0000FF"/>
            <w:kern w:val="0"/>
            <w:sz w:val="24"/>
            <w:szCs w:val="24"/>
            <w:u w:val="single"/>
            <w:lang w:eastAsia="en-GB"/>
            <w14:ligatures w14:val="none"/>
          </w:rPr>
          <w:t>https://www.justiceinspectorates.gov.uk/hmicfrs/</w:t>
        </w:r>
      </w:hyperlink>
      <w:r w:rsidRPr="00F748ED">
        <w:rPr>
          <w:rFonts w:ascii="Arial" w:eastAsia="Times New Roman" w:hAnsi="Arial" w:cs="Arial"/>
          <w:kern w:val="0"/>
          <w:sz w:val="24"/>
          <w:szCs w:val="24"/>
          <w:lang w:eastAsia="en-GB"/>
          <w14:ligatures w14:val="none"/>
        </w:rPr>
        <w:t xml:space="preserve"> (Accessed: 0</w:t>
      </w:r>
      <w:r w:rsidR="00F748ED">
        <w:rPr>
          <w:rFonts w:ascii="Arial" w:eastAsia="Times New Roman" w:hAnsi="Arial" w:cs="Arial"/>
          <w:kern w:val="0"/>
          <w:sz w:val="24"/>
          <w:szCs w:val="24"/>
          <w:lang w:eastAsia="en-GB"/>
          <w14:ligatures w14:val="none"/>
        </w:rPr>
        <w:t>1</w:t>
      </w:r>
      <w:r w:rsidRPr="00F748ED">
        <w:rPr>
          <w:rFonts w:ascii="Arial" w:eastAsia="Times New Roman" w:hAnsi="Arial" w:cs="Arial"/>
          <w:kern w:val="0"/>
          <w:sz w:val="24"/>
          <w:szCs w:val="24"/>
          <w:lang w:eastAsia="en-GB"/>
          <w14:ligatures w14:val="none"/>
        </w:rPr>
        <w:t xml:space="preserve"> February 2026).</w:t>
      </w:r>
    </w:p>
    <w:p w14:paraId="0E0DE85D" w14:textId="340F9F94"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Home Office (2023) </w:t>
      </w:r>
      <w:r w:rsidRPr="00F748ED">
        <w:rPr>
          <w:rFonts w:ascii="Arial" w:eastAsia="Times New Roman" w:hAnsi="Arial" w:cs="Arial"/>
          <w:i/>
          <w:iCs/>
          <w:kern w:val="0"/>
          <w:sz w:val="24"/>
          <w:szCs w:val="24"/>
          <w:lang w:eastAsia="en-GB"/>
          <w14:ligatures w14:val="none"/>
        </w:rPr>
        <w:t>Police and Criminal Evidence Act 1984: Code C – Detention, treatment and questioning of persons by police officers</w:t>
      </w:r>
      <w:r w:rsidRPr="00F748ED">
        <w:rPr>
          <w:rFonts w:ascii="Arial" w:eastAsia="Times New Roman" w:hAnsi="Arial" w:cs="Arial"/>
          <w:kern w:val="0"/>
          <w:sz w:val="24"/>
          <w:szCs w:val="24"/>
          <w:lang w:eastAsia="en-GB"/>
          <w14:ligatures w14:val="none"/>
        </w:rPr>
        <w:t xml:space="preserve">. London: Home Office. Available at: </w:t>
      </w:r>
      <w:hyperlink r:id="rId20" w:tgtFrame="_new" w:history="1">
        <w:r w:rsidRPr="00F748ED">
          <w:rPr>
            <w:rFonts w:ascii="Arial" w:eastAsia="Times New Roman" w:hAnsi="Arial" w:cs="Arial"/>
            <w:color w:val="0000FF"/>
            <w:kern w:val="0"/>
            <w:sz w:val="24"/>
            <w:szCs w:val="24"/>
            <w:u w:val="single"/>
            <w:lang w:eastAsia="en-GB"/>
            <w14:ligatures w14:val="none"/>
          </w:rPr>
          <w:t>https://www.gov.uk/government/publications/pace-code-c</w:t>
        </w:r>
      </w:hyperlink>
      <w:r w:rsidRPr="00F748ED">
        <w:rPr>
          <w:rFonts w:ascii="Arial" w:eastAsia="Times New Roman" w:hAnsi="Arial" w:cs="Arial"/>
          <w:kern w:val="0"/>
          <w:sz w:val="24"/>
          <w:szCs w:val="24"/>
          <w:lang w:eastAsia="en-GB"/>
          <w14:ligatures w14:val="none"/>
        </w:rPr>
        <w:t xml:space="preserve"> (Accessed: 10 February 2026).</w:t>
      </w:r>
    </w:p>
    <w:p w14:paraId="4698023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Home Office (2024) </w:t>
      </w:r>
      <w:r w:rsidRPr="00F748ED">
        <w:rPr>
          <w:rFonts w:ascii="Arial" w:eastAsia="Times New Roman" w:hAnsi="Arial" w:cs="Arial"/>
          <w:i/>
          <w:iCs/>
          <w:kern w:val="0"/>
          <w:sz w:val="24"/>
          <w:szCs w:val="24"/>
          <w:lang w:eastAsia="en-GB"/>
          <w14:ligatures w14:val="none"/>
        </w:rPr>
        <w:t>Revisions to PACE Code C: Safeguards for children and vulnerable persons</w:t>
      </w:r>
      <w:r w:rsidRPr="00F748ED">
        <w:rPr>
          <w:rFonts w:ascii="Arial" w:eastAsia="Times New Roman" w:hAnsi="Arial" w:cs="Arial"/>
          <w:kern w:val="0"/>
          <w:sz w:val="24"/>
          <w:szCs w:val="24"/>
          <w:lang w:eastAsia="en-GB"/>
          <w14:ligatures w14:val="none"/>
        </w:rPr>
        <w:t>. London: Home Office.</w:t>
      </w:r>
    </w:p>
    <w:p w14:paraId="5098D37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Independent Office for Police Conduct (2022) </w:t>
      </w:r>
      <w:r w:rsidRPr="00F748ED">
        <w:rPr>
          <w:rFonts w:ascii="Arial" w:eastAsia="Times New Roman" w:hAnsi="Arial" w:cs="Arial"/>
          <w:i/>
          <w:iCs/>
          <w:kern w:val="0"/>
          <w:sz w:val="24"/>
          <w:szCs w:val="24"/>
          <w:lang w:eastAsia="en-GB"/>
          <w14:ligatures w14:val="none"/>
        </w:rPr>
        <w:t>Investigation report into Child Q strip search</w:t>
      </w:r>
      <w:r w:rsidRPr="00F748ED">
        <w:rPr>
          <w:rFonts w:ascii="Arial" w:eastAsia="Times New Roman" w:hAnsi="Arial" w:cs="Arial"/>
          <w:kern w:val="0"/>
          <w:sz w:val="24"/>
          <w:szCs w:val="24"/>
          <w:lang w:eastAsia="en-GB"/>
          <w14:ligatures w14:val="none"/>
        </w:rPr>
        <w:t>. London: IOPC.</w:t>
      </w:r>
    </w:p>
    <w:p w14:paraId="11F44E06" w14:textId="32EA955A"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Independent Office for Police Conduct (2025) </w:t>
      </w:r>
      <w:r w:rsidRPr="00F748ED">
        <w:rPr>
          <w:rFonts w:ascii="Arial" w:eastAsia="Times New Roman" w:hAnsi="Arial" w:cs="Arial"/>
          <w:i/>
          <w:iCs/>
          <w:kern w:val="0"/>
          <w:sz w:val="24"/>
          <w:szCs w:val="24"/>
          <w:lang w:eastAsia="en-GB"/>
          <w14:ligatures w14:val="none"/>
        </w:rPr>
        <w:t>Disciplinary findings in the Child Q case</w:t>
      </w:r>
      <w:r w:rsidRPr="00F748ED">
        <w:rPr>
          <w:rFonts w:ascii="Arial" w:eastAsia="Times New Roman" w:hAnsi="Arial" w:cs="Arial"/>
          <w:kern w:val="0"/>
          <w:sz w:val="24"/>
          <w:szCs w:val="24"/>
          <w:lang w:eastAsia="en-GB"/>
          <w14:ligatures w14:val="none"/>
        </w:rPr>
        <w:t xml:space="preserve">. London: IOPC. Available at: </w:t>
      </w:r>
      <w:hyperlink r:id="rId21" w:tgtFrame="_new" w:history="1">
        <w:r w:rsidRPr="00F748ED">
          <w:rPr>
            <w:rFonts w:ascii="Arial" w:eastAsia="Times New Roman" w:hAnsi="Arial" w:cs="Arial"/>
            <w:color w:val="0000FF"/>
            <w:kern w:val="0"/>
            <w:sz w:val="24"/>
            <w:szCs w:val="24"/>
            <w:u w:val="single"/>
            <w:lang w:eastAsia="en-GB"/>
            <w14:ligatures w14:val="none"/>
          </w:rPr>
          <w:t>https://www.iopc.gov.uk/</w:t>
        </w:r>
      </w:hyperlink>
      <w:r w:rsidRPr="00F748ED">
        <w:rPr>
          <w:rFonts w:ascii="Arial" w:eastAsia="Times New Roman" w:hAnsi="Arial" w:cs="Arial"/>
          <w:kern w:val="0"/>
          <w:sz w:val="24"/>
          <w:szCs w:val="24"/>
          <w:lang w:eastAsia="en-GB"/>
          <w14:ligatures w14:val="none"/>
        </w:rPr>
        <w:t xml:space="preserve"> (Accessed: 07 February 2026).</w:t>
      </w:r>
    </w:p>
    <w:p w14:paraId="646209F4"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INQUEST (2023) </w:t>
      </w:r>
      <w:r w:rsidRPr="00F748ED">
        <w:rPr>
          <w:rFonts w:ascii="Arial" w:eastAsia="Times New Roman" w:hAnsi="Arial" w:cs="Arial"/>
          <w:i/>
          <w:iCs/>
          <w:kern w:val="0"/>
          <w:sz w:val="24"/>
          <w:szCs w:val="24"/>
          <w:lang w:eastAsia="en-GB"/>
          <w14:ligatures w14:val="none"/>
        </w:rPr>
        <w:t>Children’s rights and police custody briefing</w:t>
      </w:r>
      <w:r w:rsidRPr="00F748ED">
        <w:rPr>
          <w:rFonts w:ascii="Arial" w:eastAsia="Times New Roman" w:hAnsi="Arial" w:cs="Arial"/>
          <w:kern w:val="0"/>
          <w:sz w:val="24"/>
          <w:szCs w:val="24"/>
          <w:lang w:eastAsia="en-GB"/>
          <w14:ligatures w14:val="none"/>
        </w:rPr>
        <w:t>. London: INQUEST.</w:t>
      </w:r>
    </w:p>
    <w:p w14:paraId="2024C45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Jones, A. (2023) ‘Child strip-search data and safeguarding concerns’, </w:t>
      </w:r>
      <w:r w:rsidRPr="00F748ED">
        <w:rPr>
          <w:rFonts w:ascii="Arial" w:eastAsia="Times New Roman" w:hAnsi="Arial" w:cs="Arial"/>
          <w:i/>
          <w:iCs/>
          <w:kern w:val="0"/>
          <w:sz w:val="24"/>
          <w:szCs w:val="24"/>
          <w:lang w:eastAsia="en-GB"/>
          <w14:ligatures w14:val="none"/>
        </w:rPr>
        <w:t>Youth Justice Policy Review</w:t>
      </w:r>
      <w:r w:rsidRPr="00F748ED">
        <w:rPr>
          <w:rFonts w:ascii="Arial" w:eastAsia="Times New Roman" w:hAnsi="Arial" w:cs="Arial"/>
          <w:kern w:val="0"/>
          <w:sz w:val="24"/>
          <w:szCs w:val="24"/>
          <w:lang w:eastAsia="en-GB"/>
          <w14:ligatures w14:val="none"/>
        </w:rPr>
        <w:t>, 15(3), pp. 45–60.</w:t>
      </w:r>
    </w:p>
    <w:p w14:paraId="3D8BEF67"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Just for Kids Law (2022) </w:t>
      </w:r>
      <w:r w:rsidRPr="00F748ED">
        <w:rPr>
          <w:rFonts w:ascii="Arial" w:eastAsia="Times New Roman" w:hAnsi="Arial" w:cs="Arial"/>
          <w:i/>
          <w:iCs/>
          <w:kern w:val="0"/>
          <w:sz w:val="24"/>
          <w:szCs w:val="24"/>
          <w:lang w:eastAsia="en-GB"/>
          <w14:ligatures w14:val="none"/>
        </w:rPr>
        <w:t>Strip searching children: Legal briefing</w:t>
      </w:r>
      <w:r w:rsidRPr="00F748ED">
        <w:rPr>
          <w:rFonts w:ascii="Arial" w:eastAsia="Times New Roman" w:hAnsi="Arial" w:cs="Arial"/>
          <w:kern w:val="0"/>
          <w:sz w:val="24"/>
          <w:szCs w:val="24"/>
          <w:lang w:eastAsia="en-GB"/>
          <w14:ligatures w14:val="none"/>
        </w:rPr>
        <w:t>. London: Just for Kids Law.</w:t>
      </w:r>
    </w:p>
    <w:p w14:paraId="3C6C210E" w14:textId="5DC57FFA"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Lammy, D. (2017) </w:t>
      </w:r>
      <w:r w:rsidRPr="00F748ED">
        <w:rPr>
          <w:rFonts w:ascii="Arial" w:eastAsia="Times New Roman" w:hAnsi="Arial" w:cs="Arial"/>
          <w:i/>
          <w:iCs/>
          <w:kern w:val="0"/>
          <w:sz w:val="24"/>
          <w:szCs w:val="24"/>
          <w:lang w:eastAsia="en-GB"/>
          <w14:ligatures w14:val="none"/>
        </w:rPr>
        <w:t>The Lammy Review: An independent review into the treatment of, and outcomes for, Black, Asian and Minority Ethnic individuals in the Criminal Justice System</w:t>
      </w:r>
      <w:r w:rsidRPr="00F748ED">
        <w:rPr>
          <w:rFonts w:ascii="Arial" w:eastAsia="Times New Roman" w:hAnsi="Arial" w:cs="Arial"/>
          <w:kern w:val="0"/>
          <w:sz w:val="24"/>
          <w:szCs w:val="24"/>
          <w:lang w:eastAsia="en-GB"/>
          <w14:ligatures w14:val="none"/>
        </w:rPr>
        <w:t xml:space="preserve">. London: UK Government. Available at: </w:t>
      </w:r>
      <w:hyperlink r:id="rId22" w:tgtFrame="_new" w:history="1">
        <w:r w:rsidRPr="00F748ED">
          <w:rPr>
            <w:rFonts w:ascii="Arial" w:eastAsia="Times New Roman" w:hAnsi="Arial" w:cs="Arial"/>
            <w:color w:val="0000FF"/>
            <w:kern w:val="0"/>
            <w:sz w:val="24"/>
            <w:szCs w:val="24"/>
            <w:u w:val="single"/>
            <w:lang w:eastAsia="en-GB"/>
            <w14:ligatures w14:val="none"/>
          </w:rPr>
          <w:t>https://www.gov.uk/government/publications/lammy-review-final-report</w:t>
        </w:r>
      </w:hyperlink>
      <w:r w:rsidRPr="00F748ED">
        <w:rPr>
          <w:rFonts w:ascii="Arial" w:eastAsia="Times New Roman" w:hAnsi="Arial" w:cs="Arial"/>
          <w:kern w:val="0"/>
          <w:sz w:val="24"/>
          <w:szCs w:val="24"/>
          <w:lang w:eastAsia="en-GB"/>
          <w14:ligatures w14:val="none"/>
        </w:rPr>
        <w:t xml:space="preserve"> (Accessed: </w:t>
      </w:r>
      <w:r w:rsidR="00F748ED">
        <w:rPr>
          <w:rFonts w:ascii="Arial" w:eastAsia="Times New Roman" w:hAnsi="Arial" w:cs="Arial"/>
          <w:kern w:val="0"/>
          <w:sz w:val="24"/>
          <w:szCs w:val="24"/>
          <w:lang w:eastAsia="en-GB"/>
          <w14:ligatures w14:val="none"/>
        </w:rPr>
        <w:t xml:space="preserve">06 </w:t>
      </w:r>
      <w:r w:rsidRPr="00F748ED">
        <w:rPr>
          <w:rFonts w:ascii="Arial" w:eastAsia="Times New Roman" w:hAnsi="Arial" w:cs="Arial"/>
          <w:kern w:val="0"/>
          <w:sz w:val="24"/>
          <w:szCs w:val="24"/>
          <w:lang w:eastAsia="en-GB"/>
          <w14:ligatures w14:val="none"/>
        </w:rPr>
        <w:t>February 2026).</w:t>
      </w:r>
    </w:p>
    <w:p w14:paraId="1B3CD960"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Liebling, A., McAra, L. and McVie, S. (2019) ‘Young people, policing and procedural justice’, </w:t>
      </w:r>
      <w:r w:rsidRPr="00F748ED">
        <w:rPr>
          <w:rFonts w:ascii="Arial" w:eastAsia="Times New Roman" w:hAnsi="Arial" w:cs="Arial"/>
          <w:i/>
          <w:iCs/>
          <w:kern w:val="0"/>
          <w:sz w:val="24"/>
          <w:szCs w:val="24"/>
          <w:lang w:eastAsia="en-GB"/>
          <w14:ligatures w14:val="none"/>
        </w:rPr>
        <w:t>Criminology &amp; Criminal Justice</w:t>
      </w:r>
      <w:r w:rsidRPr="00F748ED">
        <w:rPr>
          <w:rFonts w:ascii="Arial" w:eastAsia="Times New Roman" w:hAnsi="Arial" w:cs="Arial"/>
          <w:kern w:val="0"/>
          <w:sz w:val="24"/>
          <w:szCs w:val="24"/>
          <w:lang w:eastAsia="en-GB"/>
          <w14:ligatures w14:val="none"/>
        </w:rPr>
        <w:t>, 19(3), pp. 1–18.</w:t>
      </w:r>
    </w:p>
    <w:p w14:paraId="086BEFB3"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Macpherson, W. (1999) </w:t>
      </w:r>
      <w:r w:rsidRPr="00F748ED">
        <w:rPr>
          <w:rFonts w:ascii="Arial" w:eastAsia="Times New Roman" w:hAnsi="Arial" w:cs="Arial"/>
          <w:i/>
          <w:iCs/>
          <w:kern w:val="0"/>
          <w:sz w:val="24"/>
          <w:szCs w:val="24"/>
          <w:lang w:eastAsia="en-GB"/>
          <w14:ligatures w14:val="none"/>
        </w:rPr>
        <w:t>The Stephen Lawrence Inquiry: Report of an Inquiry by Sir William Macpherson of Cluny</w:t>
      </w:r>
      <w:r w:rsidRPr="00F748ED">
        <w:rPr>
          <w:rFonts w:ascii="Arial" w:eastAsia="Times New Roman" w:hAnsi="Arial" w:cs="Arial"/>
          <w:kern w:val="0"/>
          <w:sz w:val="24"/>
          <w:szCs w:val="24"/>
          <w:lang w:eastAsia="en-GB"/>
          <w14:ligatures w14:val="none"/>
        </w:rPr>
        <w:t>. London: The Stationery Office.</w:t>
      </w:r>
    </w:p>
    <w:p w14:paraId="2FD765DE"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Mayor of London (2022) </w:t>
      </w:r>
      <w:r w:rsidRPr="00F748ED">
        <w:rPr>
          <w:rFonts w:ascii="Arial" w:eastAsia="Times New Roman" w:hAnsi="Arial" w:cs="Arial"/>
          <w:i/>
          <w:iCs/>
          <w:kern w:val="0"/>
          <w:sz w:val="24"/>
          <w:szCs w:val="24"/>
          <w:lang w:eastAsia="en-GB"/>
          <w14:ligatures w14:val="none"/>
        </w:rPr>
        <w:t>Review of the Metropolitan Police Service’s strip-search practices</w:t>
      </w:r>
      <w:r w:rsidRPr="00F748ED">
        <w:rPr>
          <w:rFonts w:ascii="Arial" w:eastAsia="Times New Roman" w:hAnsi="Arial" w:cs="Arial"/>
          <w:kern w:val="0"/>
          <w:sz w:val="24"/>
          <w:szCs w:val="24"/>
          <w:lang w:eastAsia="en-GB"/>
          <w14:ligatures w14:val="none"/>
        </w:rPr>
        <w:t>. London: Greater London Authority.</w:t>
      </w:r>
    </w:p>
    <w:p w14:paraId="756BC632"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Metropolitan Police Service (2025) </w:t>
      </w:r>
      <w:r w:rsidRPr="00F748ED">
        <w:rPr>
          <w:rFonts w:ascii="Arial" w:eastAsia="Times New Roman" w:hAnsi="Arial" w:cs="Arial"/>
          <w:i/>
          <w:iCs/>
          <w:kern w:val="0"/>
          <w:sz w:val="24"/>
          <w:szCs w:val="24"/>
          <w:lang w:eastAsia="en-GB"/>
          <w14:ligatures w14:val="none"/>
        </w:rPr>
        <w:t>News release: Outcome of disciplinary proceedings relating to Child Q</w:t>
      </w:r>
      <w:r w:rsidRPr="00F748ED">
        <w:rPr>
          <w:rFonts w:ascii="Arial" w:eastAsia="Times New Roman" w:hAnsi="Arial" w:cs="Arial"/>
          <w:kern w:val="0"/>
          <w:sz w:val="24"/>
          <w:szCs w:val="24"/>
          <w:lang w:eastAsia="en-GB"/>
          <w14:ligatures w14:val="none"/>
        </w:rPr>
        <w:t>. London: Metropolitan Police Service.</w:t>
      </w:r>
    </w:p>
    <w:p w14:paraId="429F501E"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Muncie, J. (2009) </w:t>
      </w:r>
      <w:r w:rsidRPr="00F748ED">
        <w:rPr>
          <w:rFonts w:ascii="Arial" w:eastAsia="Times New Roman" w:hAnsi="Arial" w:cs="Arial"/>
          <w:i/>
          <w:iCs/>
          <w:kern w:val="0"/>
          <w:sz w:val="24"/>
          <w:szCs w:val="24"/>
          <w:lang w:eastAsia="en-GB"/>
          <w14:ligatures w14:val="none"/>
        </w:rPr>
        <w:t>Youth and Crime</w:t>
      </w:r>
      <w:r w:rsidRPr="00F748ED">
        <w:rPr>
          <w:rFonts w:ascii="Arial" w:eastAsia="Times New Roman" w:hAnsi="Arial" w:cs="Arial"/>
          <w:kern w:val="0"/>
          <w:sz w:val="24"/>
          <w:szCs w:val="24"/>
          <w:lang w:eastAsia="en-GB"/>
          <w14:ligatures w14:val="none"/>
        </w:rPr>
        <w:t>. 3rd edn. London: Sage.</w:t>
      </w:r>
    </w:p>
    <w:p w14:paraId="74D174B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Packer, H.L. (1968) </w:t>
      </w:r>
      <w:r w:rsidRPr="00F748ED">
        <w:rPr>
          <w:rFonts w:ascii="Arial" w:eastAsia="Times New Roman" w:hAnsi="Arial" w:cs="Arial"/>
          <w:i/>
          <w:iCs/>
          <w:kern w:val="0"/>
          <w:sz w:val="24"/>
          <w:szCs w:val="24"/>
          <w:lang w:eastAsia="en-GB"/>
          <w14:ligatures w14:val="none"/>
        </w:rPr>
        <w:t>The Limits of the Criminal Sanction</w:t>
      </w:r>
      <w:r w:rsidRPr="00F748ED">
        <w:rPr>
          <w:rFonts w:ascii="Arial" w:eastAsia="Times New Roman" w:hAnsi="Arial" w:cs="Arial"/>
          <w:kern w:val="0"/>
          <w:sz w:val="24"/>
          <w:szCs w:val="24"/>
          <w:lang w:eastAsia="en-GB"/>
          <w14:ligatures w14:val="none"/>
        </w:rPr>
        <w:t>. Stanford, CA: Stanford University Press.</w:t>
      </w:r>
    </w:p>
    <w:p w14:paraId="2277D7A4"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Phillips, C. and Bowling, B. (2017) </w:t>
      </w:r>
      <w:r w:rsidRPr="00F748ED">
        <w:rPr>
          <w:rFonts w:ascii="Arial" w:eastAsia="Times New Roman" w:hAnsi="Arial" w:cs="Arial"/>
          <w:i/>
          <w:iCs/>
          <w:kern w:val="0"/>
          <w:sz w:val="24"/>
          <w:szCs w:val="24"/>
          <w:lang w:eastAsia="en-GB"/>
          <w14:ligatures w14:val="none"/>
        </w:rPr>
        <w:t>Ethnic Inequality in Policing: Revisiting the Evidence</w:t>
      </w:r>
      <w:r w:rsidRPr="00F748ED">
        <w:rPr>
          <w:rFonts w:ascii="Arial" w:eastAsia="Times New Roman" w:hAnsi="Arial" w:cs="Arial"/>
          <w:kern w:val="0"/>
          <w:sz w:val="24"/>
          <w:szCs w:val="24"/>
          <w:lang w:eastAsia="en-GB"/>
          <w14:ligatures w14:val="none"/>
        </w:rPr>
        <w:t>. Bristol: Policy Press.</w:t>
      </w:r>
    </w:p>
    <w:p w14:paraId="6A9880EC" w14:textId="22B6EF4E"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Police and Criminal Evidence Act 1984 (c.60). London: The Stationery Office. Available at: </w:t>
      </w:r>
      <w:hyperlink r:id="rId23" w:tgtFrame="_new" w:history="1">
        <w:r w:rsidRPr="00F748ED">
          <w:rPr>
            <w:rFonts w:ascii="Arial" w:eastAsia="Times New Roman" w:hAnsi="Arial" w:cs="Arial"/>
            <w:color w:val="0000FF"/>
            <w:kern w:val="0"/>
            <w:sz w:val="24"/>
            <w:szCs w:val="24"/>
            <w:u w:val="single"/>
            <w:lang w:eastAsia="en-GB"/>
            <w14:ligatures w14:val="none"/>
          </w:rPr>
          <w:t>https://www.legislation.gov.uk/ukpga/1984/60</w:t>
        </w:r>
      </w:hyperlink>
      <w:r w:rsidRPr="00F748ED">
        <w:rPr>
          <w:rFonts w:ascii="Arial" w:eastAsia="Times New Roman" w:hAnsi="Arial" w:cs="Arial"/>
          <w:kern w:val="0"/>
          <w:sz w:val="24"/>
          <w:szCs w:val="24"/>
          <w:lang w:eastAsia="en-GB"/>
          <w14:ligatures w14:val="none"/>
        </w:rPr>
        <w:t xml:space="preserve"> (Accessed: </w:t>
      </w:r>
      <w:r w:rsidR="00F748ED">
        <w:rPr>
          <w:rFonts w:ascii="Arial" w:eastAsia="Times New Roman" w:hAnsi="Arial" w:cs="Arial"/>
          <w:kern w:val="0"/>
          <w:sz w:val="24"/>
          <w:szCs w:val="24"/>
          <w:lang w:eastAsia="en-GB"/>
          <w14:ligatures w14:val="none"/>
        </w:rPr>
        <w:t>12</w:t>
      </w:r>
      <w:r w:rsidRPr="00F748ED">
        <w:rPr>
          <w:rFonts w:ascii="Arial" w:eastAsia="Times New Roman" w:hAnsi="Arial" w:cs="Arial"/>
          <w:kern w:val="0"/>
          <w:sz w:val="24"/>
          <w:szCs w:val="24"/>
          <w:lang w:eastAsia="en-GB"/>
          <w14:ligatures w14:val="none"/>
        </w:rPr>
        <w:t xml:space="preserve"> February 2026).</w:t>
      </w:r>
    </w:p>
    <w:p w14:paraId="7796CF7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Roberts, A. and Patel, R. (2021) ‘Safeguarding children during police searches’, </w:t>
      </w:r>
      <w:r w:rsidRPr="00F748ED">
        <w:rPr>
          <w:rFonts w:ascii="Arial" w:eastAsia="Times New Roman" w:hAnsi="Arial" w:cs="Arial"/>
          <w:i/>
          <w:iCs/>
          <w:kern w:val="0"/>
          <w:sz w:val="24"/>
          <w:szCs w:val="24"/>
          <w:lang w:eastAsia="en-GB"/>
          <w14:ligatures w14:val="none"/>
        </w:rPr>
        <w:t>Journal of Child Protection</w:t>
      </w:r>
      <w:r w:rsidRPr="00F748ED">
        <w:rPr>
          <w:rFonts w:ascii="Arial" w:eastAsia="Times New Roman" w:hAnsi="Arial" w:cs="Arial"/>
          <w:kern w:val="0"/>
          <w:sz w:val="24"/>
          <w:szCs w:val="24"/>
          <w:lang w:eastAsia="en-GB"/>
          <w14:ligatures w14:val="none"/>
        </w:rPr>
        <w:t>, 12(2), pp. 78–92.</w:t>
      </w:r>
    </w:p>
    <w:p w14:paraId="6FA24AD1" w14:textId="11129BC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Sky News (2024) ‘Nearly half of child strip-searches lack appropriate adult’, </w:t>
      </w:r>
      <w:r w:rsidRPr="00F748ED">
        <w:rPr>
          <w:rFonts w:ascii="Arial" w:eastAsia="Times New Roman" w:hAnsi="Arial" w:cs="Arial"/>
          <w:i/>
          <w:iCs/>
          <w:kern w:val="0"/>
          <w:sz w:val="24"/>
          <w:szCs w:val="24"/>
          <w:lang w:eastAsia="en-GB"/>
          <w14:ligatures w14:val="none"/>
        </w:rPr>
        <w:t>Sky News</w:t>
      </w:r>
      <w:r w:rsidRPr="00F748ED">
        <w:rPr>
          <w:rFonts w:ascii="Arial" w:eastAsia="Times New Roman" w:hAnsi="Arial" w:cs="Arial"/>
          <w:kern w:val="0"/>
          <w:sz w:val="24"/>
          <w:szCs w:val="24"/>
          <w:lang w:eastAsia="en-GB"/>
          <w14:ligatures w14:val="none"/>
        </w:rPr>
        <w:t xml:space="preserve">, 12 September. Available at: </w:t>
      </w:r>
      <w:hyperlink r:id="rId24" w:tgtFrame="_new" w:history="1">
        <w:r w:rsidRPr="00F748ED">
          <w:rPr>
            <w:rFonts w:ascii="Arial" w:eastAsia="Times New Roman" w:hAnsi="Arial" w:cs="Arial"/>
            <w:color w:val="0000FF"/>
            <w:kern w:val="0"/>
            <w:sz w:val="24"/>
            <w:szCs w:val="24"/>
            <w:u w:val="single"/>
            <w:lang w:eastAsia="en-GB"/>
            <w14:ligatures w14:val="none"/>
          </w:rPr>
          <w:t>https://news.sky.com/</w:t>
        </w:r>
      </w:hyperlink>
      <w:r w:rsidRPr="00F748ED">
        <w:rPr>
          <w:rFonts w:ascii="Arial" w:eastAsia="Times New Roman" w:hAnsi="Arial" w:cs="Arial"/>
          <w:kern w:val="0"/>
          <w:sz w:val="24"/>
          <w:szCs w:val="24"/>
          <w:lang w:eastAsia="en-GB"/>
          <w14:ligatures w14:val="none"/>
        </w:rPr>
        <w:t xml:space="preserve"> (Accessed: 03 February 2026).</w:t>
      </w:r>
    </w:p>
    <w:p w14:paraId="401D297D"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Smith, J. (2019) ‘Police strip searches and proportionality under PACE’, </w:t>
      </w:r>
      <w:r w:rsidRPr="00F748ED">
        <w:rPr>
          <w:rFonts w:ascii="Arial" w:eastAsia="Times New Roman" w:hAnsi="Arial" w:cs="Arial"/>
          <w:i/>
          <w:iCs/>
          <w:kern w:val="0"/>
          <w:sz w:val="24"/>
          <w:szCs w:val="24"/>
          <w:lang w:eastAsia="en-GB"/>
          <w14:ligatures w14:val="none"/>
        </w:rPr>
        <w:t>Criminal Law Review</w:t>
      </w:r>
      <w:r w:rsidRPr="00F748ED">
        <w:rPr>
          <w:rFonts w:ascii="Arial" w:eastAsia="Times New Roman" w:hAnsi="Arial" w:cs="Arial"/>
          <w:kern w:val="0"/>
          <w:sz w:val="24"/>
          <w:szCs w:val="24"/>
          <w:lang w:eastAsia="en-GB"/>
          <w14:ligatures w14:val="none"/>
        </w:rPr>
        <w:t>, 7, pp. 520–535.</w:t>
      </w:r>
    </w:p>
    <w:p w14:paraId="39CD7A1A"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Taylor, N., French, W. and Halsey, M. (2018) ‘Psychological impacts of intrusive police searches on youth’, </w:t>
      </w:r>
      <w:r w:rsidRPr="00F748ED">
        <w:rPr>
          <w:rFonts w:ascii="Arial" w:eastAsia="Times New Roman" w:hAnsi="Arial" w:cs="Arial"/>
          <w:i/>
          <w:iCs/>
          <w:kern w:val="0"/>
          <w:sz w:val="24"/>
          <w:szCs w:val="24"/>
          <w:lang w:eastAsia="en-GB"/>
          <w14:ligatures w14:val="none"/>
        </w:rPr>
        <w:t>Social Psychology Review</w:t>
      </w:r>
      <w:r w:rsidRPr="00F748ED">
        <w:rPr>
          <w:rFonts w:ascii="Arial" w:eastAsia="Times New Roman" w:hAnsi="Arial" w:cs="Arial"/>
          <w:kern w:val="0"/>
          <w:sz w:val="24"/>
          <w:szCs w:val="24"/>
          <w:lang w:eastAsia="en-GB"/>
          <w14:ligatures w14:val="none"/>
        </w:rPr>
        <w:t>, 9(1), pp. 44–62.</w:t>
      </w:r>
    </w:p>
    <w:p w14:paraId="1AD1FB2F" w14:textId="53DF428B"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The Independent (2024) ‘Most strip-searches of children are for drugs, not weapons’, </w:t>
      </w:r>
      <w:r w:rsidRPr="00F748ED">
        <w:rPr>
          <w:rFonts w:ascii="Arial" w:eastAsia="Times New Roman" w:hAnsi="Arial" w:cs="Arial"/>
          <w:i/>
          <w:iCs/>
          <w:kern w:val="0"/>
          <w:sz w:val="24"/>
          <w:szCs w:val="24"/>
          <w:lang w:eastAsia="en-GB"/>
          <w14:ligatures w14:val="none"/>
        </w:rPr>
        <w:t>The Independent</w:t>
      </w:r>
      <w:r w:rsidRPr="00F748ED">
        <w:rPr>
          <w:rFonts w:ascii="Arial" w:eastAsia="Times New Roman" w:hAnsi="Arial" w:cs="Arial"/>
          <w:kern w:val="0"/>
          <w:sz w:val="24"/>
          <w:szCs w:val="24"/>
          <w:lang w:eastAsia="en-GB"/>
          <w14:ligatures w14:val="none"/>
        </w:rPr>
        <w:t xml:space="preserve">, 24 October. Available at: </w:t>
      </w:r>
      <w:hyperlink r:id="rId25" w:tgtFrame="_new" w:history="1">
        <w:r w:rsidRPr="00F748ED">
          <w:rPr>
            <w:rFonts w:ascii="Arial" w:eastAsia="Times New Roman" w:hAnsi="Arial" w:cs="Arial"/>
            <w:color w:val="0000FF"/>
            <w:kern w:val="0"/>
            <w:sz w:val="24"/>
            <w:szCs w:val="24"/>
            <w:u w:val="single"/>
            <w:lang w:eastAsia="en-GB"/>
            <w14:ligatures w14:val="none"/>
          </w:rPr>
          <w:t>https://www.independent.co.uk/</w:t>
        </w:r>
      </w:hyperlink>
      <w:r w:rsidRPr="00F748ED">
        <w:rPr>
          <w:rFonts w:ascii="Arial" w:eastAsia="Times New Roman" w:hAnsi="Arial" w:cs="Arial"/>
          <w:kern w:val="0"/>
          <w:sz w:val="24"/>
          <w:szCs w:val="24"/>
          <w:lang w:eastAsia="en-GB"/>
          <w14:ligatures w14:val="none"/>
        </w:rPr>
        <w:t xml:space="preserve"> (Accessed: 11 February 2026).</w:t>
      </w:r>
    </w:p>
    <w:p w14:paraId="049DF559"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The Times (2025) ‘Psychological harm and police strip-searches’, </w:t>
      </w:r>
      <w:r w:rsidRPr="00F748ED">
        <w:rPr>
          <w:rFonts w:ascii="Arial" w:eastAsia="Times New Roman" w:hAnsi="Arial" w:cs="Arial"/>
          <w:i/>
          <w:iCs/>
          <w:kern w:val="0"/>
          <w:sz w:val="24"/>
          <w:szCs w:val="24"/>
          <w:lang w:eastAsia="en-GB"/>
          <w14:ligatures w14:val="none"/>
        </w:rPr>
        <w:t>The Times</w:t>
      </w:r>
      <w:r w:rsidRPr="00F748ED">
        <w:rPr>
          <w:rFonts w:ascii="Arial" w:eastAsia="Times New Roman" w:hAnsi="Arial" w:cs="Arial"/>
          <w:kern w:val="0"/>
          <w:sz w:val="24"/>
          <w:szCs w:val="24"/>
          <w:lang w:eastAsia="en-GB"/>
          <w14:ligatures w14:val="none"/>
        </w:rPr>
        <w:t>, 18 January.</w:t>
      </w:r>
    </w:p>
    <w:p w14:paraId="3AD9FE72"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Tyler, T.R. (2006) </w:t>
      </w:r>
      <w:r w:rsidRPr="00F748ED">
        <w:rPr>
          <w:rFonts w:ascii="Arial" w:eastAsia="Times New Roman" w:hAnsi="Arial" w:cs="Arial"/>
          <w:i/>
          <w:iCs/>
          <w:kern w:val="0"/>
          <w:sz w:val="24"/>
          <w:szCs w:val="24"/>
          <w:lang w:eastAsia="en-GB"/>
          <w14:ligatures w14:val="none"/>
        </w:rPr>
        <w:t>Why People Obey the Law</w:t>
      </w:r>
      <w:r w:rsidRPr="00F748ED">
        <w:rPr>
          <w:rFonts w:ascii="Arial" w:eastAsia="Times New Roman" w:hAnsi="Arial" w:cs="Arial"/>
          <w:kern w:val="0"/>
          <w:sz w:val="24"/>
          <w:szCs w:val="24"/>
          <w:lang w:eastAsia="en-GB"/>
          <w14:ligatures w14:val="none"/>
        </w:rPr>
        <w:t>. Princeton, NJ: Princeton University Press.</w:t>
      </w:r>
    </w:p>
    <w:p w14:paraId="58032E35"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UK Parliament (2026) </w:t>
      </w:r>
      <w:r w:rsidRPr="00F748ED">
        <w:rPr>
          <w:rFonts w:ascii="Arial" w:eastAsia="Times New Roman" w:hAnsi="Arial" w:cs="Arial"/>
          <w:i/>
          <w:iCs/>
          <w:kern w:val="0"/>
          <w:sz w:val="24"/>
          <w:szCs w:val="24"/>
          <w:lang w:eastAsia="en-GB"/>
          <w14:ligatures w14:val="none"/>
        </w:rPr>
        <w:t>Policy review: Safeguarding children in police custody</w:t>
      </w:r>
      <w:r w:rsidRPr="00F748ED">
        <w:rPr>
          <w:rFonts w:ascii="Arial" w:eastAsia="Times New Roman" w:hAnsi="Arial" w:cs="Arial"/>
          <w:kern w:val="0"/>
          <w:sz w:val="24"/>
          <w:szCs w:val="24"/>
          <w:lang w:eastAsia="en-GB"/>
          <w14:ligatures w14:val="none"/>
        </w:rPr>
        <w:t>. London: House of Commons.</w:t>
      </w:r>
    </w:p>
    <w:p w14:paraId="0D109C72" w14:textId="38D510E0"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United Nations (1989) </w:t>
      </w:r>
      <w:r w:rsidRPr="00F748ED">
        <w:rPr>
          <w:rFonts w:ascii="Arial" w:eastAsia="Times New Roman" w:hAnsi="Arial" w:cs="Arial"/>
          <w:i/>
          <w:iCs/>
          <w:kern w:val="0"/>
          <w:sz w:val="24"/>
          <w:szCs w:val="24"/>
          <w:lang w:eastAsia="en-GB"/>
          <w14:ligatures w14:val="none"/>
        </w:rPr>
        <w:t>Convention on the Rights of the Child</w:t>
      </w:r>
      <w:r w:rsidRPr="00F748ED">
        <w:rPr>
          <w:rFonts w:ascii="Arial" w:eastAsia="Times New Roman" w:hAnsi="Arial" w:cs="Arial"/>
          <w:kern w:val="0"/>
          <w:sz w:val="24"/>
          <w:szCs w:val="24"/>
          <w:lang w:eastAsia="en-GB"/>
          <w14:ligatures w14:val="none"/>
        </w:rPr>
        <w:t xml:space="preserve">. New York: United Nations. Available at: </w:t>
      </w:r>
      <w:hyperlink r:id="rId26" w:tgtFrame="_new" w:history="1">
        <w:r w:rsidRPr="00F748ED">
          <w:rPr>
            <w:rFonts w:ascii="Arial" w:eastAsia="Times New Roman" w:hAnsi="Arial" w:cs="Arial"/>
            <w:color w:val="0000FF"/>
            <w:kern w:val="0"/>
            <w:sz w:val="24"/>
            <w:szCs w:val="24"/>
            <w:u w:val="single"/>
            <w:lang w:eastAsia="en-GB"/>
            <w14:ligatures w14:val="none"/>
          </w:rPr>
          <w:t>https://www.ohchr.org/en/instruments-mechanisms/instruments/convention-rights-child</w:t>
        </w:r>
      </w:hyperlink>
      <w:r w:rsidRPr="00F748ED">
        <w:rPr>
          <w:rFonts w:ascii="Arial" w:eastAsia="Times New Roman" w:hAnsi="Arial" w:cs="Arial"/>
          <w:kern w:val="0"/>
          <w:sz w:val="24"/>
          <w:szCs w:val="24"/>
          <w:lang w:eastAsia="en-GB"/>
          <w14:ligatures w14:val="none"/>
        </w:rPr>
        <w:t xml:space="preserve"> (Accessed: 12 February 2026).</w:t>
      </w:r>
    </w:p>
    <w:p w14:paraId="514E7830" w14:textId="3A552582"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United Nations Committee on the Rights of the Child (2016) </w:t>
      </w:r>
      <w:r w:rsidRPr="00F748ED">
        <w:rPr>
          <w:rFonts w:ascii="Arial" w:eastAsia="Times New Roman" w:hAnsi="Arial" w:cs="Arial"/>
          <w:i/>
          <w:iCs/>
          <w:kern w:val="0"/>
          <w:sz w:val="24"/>
          <w:szCs w:val="24"/>
          <w:lang w:eastAsia="en-GB"/>
          <w14:ligatures w14:val="none"/>
        </w:rPr>
        <w:t>General Comment No. 20 (2016) on the implementation of the rights of the child during adolescence</w:t>
      </w:r>
      <w:r w:rsidRPr="00F748ED">
        <w:rPr>
          <w:rFonts w:ascii="Arial" w:eastAsia="Times New Roman" w:hAnsi="Arial" w:cs="Arial"/>
          <w:kern w:val="0"/>
          <w:sz w:val="24"/>
          <w:szCs w:val="24"/>
          <w:lang w:eastAsia="en-GB"/>
          <w14:ligatures w14:val="none"/>
        </w:rPr>
        <w:t xml:space="preserve">. Geneva: United Nations. Available at: </w:t>
      </w:r>
      <w:hyperlink r:id="rId27" w:tgtFrame="_new" w:history="1">
        <w:r w:rsidRPr="00F748ED">
          <w:rPr>
            <w:rFonts w:ascii="Arial" w:eastAsia="Times New Roman" w:hAnsi="Arial" w:cs="Arial"/>
            <w:color w:val="0000FF"/>
            <w:kern w:val="0"/>
            <w:sz w:val="24"/>
            <w:szCs w:val="24"/>
            <w:u w:val="single"/>
            <w:lang w:eastAsia="en-GB"/>
            <w14:ligatures w14:val="none"/>
          </w:rPr>
          <w:t>https://www.ohchr.org/en/crc</w:t>
        </w:r>
      </w:hyperlink>
      <w:r w:rsidRPr="00F748ED">
        <w:rPr>
          <w:rFonts w:ascii="Arial" w:eastAsia="Times New Roman" w:hAnsi="Arial" w:cs="Arial"/>
          <w:kern w:val="0"/>
          <w:sz w:val="24"/>
          <w:szCs w:val="24"/>
          <w:lang w:eastAsia="en-GB"/>
          <w14:ligatures w14:val="none"/>
        </w:rPr>
        <w:t xml:space="preserve"> (Accessed: 10 February 2026).</w:t>
      </w:r>
    </w:p>
    <w:p w14:paraId="4A659ACF"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Wainwright v United Kingdom (2006) European Court of Human Rights, Application no. 12350/04.</w:t>
      </w:r>
    </w:p>
    <w:p w14:paraId="36F0DB14" w14:textId="77777777" w:rsidR="008B6235" w:rsidRPr="00F748ED" w:rsidRDefault="008B6235" w:rsidP="00F748ED">
      <w:pPr>
        <w:spacing w:before="100" w:beforeAutospacing="1" w:after="100" w:afterAutospacing="1" w:line="240" w:lineRule="auto"/>
        <w:rPr>
          <w:rFonts w:ascii="Arial" w:eastAsia="Times New Roman" w:hAnsi="Arial" w:cs="Arial"/>
          <w:kern w:val="0"/>
          <w:sz w:val="24"/>
          <w:szCs w:val="24"/>
          <w:lang w:eastAsia="en-GB"/>
          <w14:ligatures w14:val="none"/>
        </w:rPr>
      </w:pPr>
      <w:r w:rsidRPr="00F748ED">
        <w:rPr>
          <w:rFonts w:ascii="Arial" w:eastAsia="Times New Roman" w:hAnsi="Arial" w:cs="Arial"/>
          <w:kern w:val="0"/>
          <w:sz w:val="24"/>
          <w:szCs w:val="24"/>
          <w:lang w:eastAsia="en-GB"/>
          <w14:ligatures w14:val="none"/>
        </w:rPr>
        <w:t xml:space="preserve">Williams, P. and Clarke, B. (2018) </w:t>
      </w:r>
      <w:r w:rsidRPr="00F748ED">
        <w:rPr>
          <w:rFonts w:ascii="Arial" w:eastAsia="Times New Roman" w:hAnsi="Arial" w:cs="Arial"/>
          <w:i/>
          <w:iCs/>
          <w:kern w:val="0"/>
          <w:sz w:val="24"/>
          <w:szCs w:val="24"/>
          <w:lang w:eastAsia="en-GB"/>
          <w14:ligatures w14:val="none"/>
        </w:rPr>
        <w:t>Dangerous Associations: Joint Enterprise, Gangs and Racism</w:t>
      </w:r>
      <w:r w:rsidRPr="00F748ED">
        <w:rPr>
          <w:rFonts w:ascii="Arial" w:eastAsia="Times New Roman" w:hAnsi="Arial" w:cs="Arial"/>
          <w:kern w:val="0"/>
          <w:sz w:val="24"/>
          <w:szCs w:val="24"/>
          <w:lang w:eastAsia="en-GB"/>
          <w14:ligatures w14:val="none"/>
        </w:rPr>
        <w:t>. London: Centre for Crime and Justice Studies.</w:t>
      </w:r>
    </w:p>
    <w:sectPr w:rsidR="008B6235" w:rsidRPr="00F748ED" w:rsidSect="00982612">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DCDC5" w14:textId="77777777" w:rsidR="000635CE" w:rsidRDefault="000635CE" w:rsidP="008B6235">
      <w:pPr>
        <w:spacing w:after="0" w:line="240" w:lineRule="auto"/>
      </w:pPr>
      <w:r>
        <w:separator/>
      </w:r>
    </w:p>
  </w:endnote>
  <w:endnote w:type="continuationSeparator" w:id="0">
    <w:p w14:paraId="73E105AD" w14:textId="77777777" w:rsidR="000635CE" w:rsidRDefault="000635CE" w:rsidP="008B6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086708"/>
      <w:docPartObj>
        <w:docPartGallery w:val="Page Numbers (Bottom of Page)"/>
        <w:docPartUnique/>
      </w:docPartObj>
    </w:sdtPr>
    <w:sdtEndPr>
      <w:rPr>
        <w:noProof/>
      </w:rPr>
    </w:sdtEndPr>
    <w:sdtContent>
      <w:p w14:paraId="6572CC6B" w14:textId="5C85800B" w:rsidR="008B6235" w:rsidRDefault="008B62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72D3D2" w14:textId="77777777" w:rsidR="008B6235" w:rsidRDefault="008B6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6B2AC" w14:textId="77777777" w:rsidR="000635CE" w:rsidRDefault="000635CE" w:rsidP="008B6235">
      <w:pPr>
        <w:spacing w:after="0" w:line="240" w:lineRule="auto"/>
      </w:pPr>
      <w:r>
        <w:separator/>
      </w:r>
    </w:p>
  </w:footnote>
  <w:footnote w:type="continuationSeparator" w:id="0">
    <w:p w14:paraId="2172610A" w14:textId="77777777" w:rsidR="000635CE" w:rsidRDefault="000635CE" w:rsidP="008B623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62124"/>
    <w:multiLevelType w:val="hybridMultilevel"/>
    <w:tmpl w:val="2244F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80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2A2"/>
    <w:rsid w:val="000635CE"/>
    <w:rsid w:val="00144409"/>
    <w:rsid w:val="001B1E84"/>
    <w:rsid w:val="00287E12"/>
    <w:rsid w:val="00390673"/>
    <w:rsid w:val="00687D8B"/>
    <w:rsid w:val="007D52A2"/>
    <w:rsid w:val="008754CE"/>
    <w:rsid w:val="008B6235"/>
    <w:rsid w:val="009114B3"/>
    <w:rsid w:val="009715C7"/>
    <w:rsid w:val="00982612"/>
    <w:rsid w:val="00A4008D"/>
    <w:rsid w:val="00A669C3"/>
    <w:rsid w:val="00BB2BA1"/>
    <w:rsid w:val="00C56A00"/>
    <w:rsid w:val="00D243EE"/>
    <w:rsid w:val="00D934CC"/>
    <w:rsid w:val="00E25EAA"/>
    <w:rsid w:val="00F748ED"/>
    <w:rsid w:val="00FF692F"/>
    <w:rsid w:val="0202DA4A"/>
    <w:rsid w:val="0313D0DE"/>
    <w:rsid w:val="0456BF31"/>
    <w:rsid w:val="05EED4CB"/>
    <w:rsid w:val="0655A676"/>
    <w:rsid w:val="06691F23"/>
    <w:rsid w:val="0755F213"/>
    <w:rsid w:val="082AE602"/>
    <w:rsid w:val="0AF3B476"/>
    <w:rsid w:val="0B9EAD94"/>
    <w:rsid w:val="0CFC97B4"/>
    <w:rsid w:val="0E5CFC6F"/>
    <w:rsid w:val="0EA2D8E1"/>
    <w:rsid w:val="0F221E24"/>
    <w:rsid w:val="0F42779E"/>
    <w:rsid w:val="0F6F4DC6"/>
    <w:rsid w:val="11D2F936"/>
    <w:rsid w:val="13317722"/>
    <w:rsid w:val="13B7668A"/>
    <w:rsid w:val="14B4DCE3"/>
    <w:rsid w:val="15986B74"/>
    <w:rsid w:val="15A7D17A"/>
    <w:rsid w:val="1638760E"/>
    <w:rsid w:val="165DB1BD"/>
    <w:rsid w:val="16C4876C"/>
    <w:rsid w:val="18B26F1C"/>
    <w:rsid w:val="1A0A4AB9"/>
    <w:rsid w:val="1B4F2405"/>
    <w:rsid w:val="1D295699"/>
    <w:rsid w:val="1D31920A"/>
    <w:rsid w:val="2009BAB7"/>
    <w:rsid w:val="21BDCCF8"/>
    <w:rsid w:val="2205A6BA"/>
    <w:rsid w:val="221E7C03"/>
    <w:rsid w:val="23751196"/>
    <w:rsid w:val="25092F0D"/>
    <w:rsid w:val="26398508"/>
    <w:rsid w:val="27934AFA"/>
    <w:rsid w:val="27E85BAB"/>
    <w:rsid w:val="28503663"/>
    <w:rsid w:val="2A51AE1F"/>
    <w:rsid w:val="2B4E5ACC"/>
    <w:rsid w:val="2B9F669A"/>
    <w:rsid w:val="2C05C8C7"/>
    <w:rsid w:val="2C8BC6A5"/>
    <w:rsid w:val="2D6A8D45"/>
    <w:rsid w:val="2D9C62C4"/>
    <w:rsid w:val="2F7E63AA"/>
    <w:rsid w:val="2FC7AA79"/>
    <w:rsid w:val="31D3229E"/>
    <w:rsid w:val="321E1FB1"/>
    <w:rsid w:val="32F16CDF"/>
    <w:rsid w:val="33591A77"/>
    <w:rsid w:val="3384D1FC"/>
    <w:rsid w:val="34D62F1E"/>
    <w:rsid w:val="35728C26"/>
    <w:rsid w:val="360274F7"/>
    <w:rsid w:val="36B0BCD3"/>
    <w:rsid w:val="38B508C8"/>
    <w:rsid w:val="3938BAE6"/>
    <w:rsid w:val="393A9420"/>
    <w:rsid w:val="3A58D97B"/>
    <w:rsid w:val="3AD49A46"/>
    <w:rsid w:val="3C81DD47"/>
    <w:rsid w:val="3D1CA089"/>
    <w:rsid w:val="3E322D1B"/>
    <w:rsid w:val="3EA70361"/>
    <w:rsid w:val="3F9F79F7"/>
    <w:rsid w:val="4002F80A"/>
    <w:rsid w:val="40F3C205"/>
    <w:rsid w:val="46527722"/>
    <w:rsid w:val="47E8712B"/>
    <w:rsid w:val="497A5CCC"/>
    <w:rsid w:val="4B4997B3"/>
    <w:rsid w:val="4F5DC959"/>
    <w:rsid w:val="509E5557"/>
    <w:rsid w:val="5155A581"/>
    <w:rsid w:val="519908DB"/>
    <w:rsid w:val="51D5A417"/>
    <w:rsid w:val="52EF9554"/>
    <w:rsid w:val="53DBB712"/>
    <w:rsid w:val="54AD92EA"/>
    <w:rsid w:val="565B2608"/>
    <w:rsid w:val="569D1923"/>
    <w:rsid w:val="56D60BBC"/>
    <w:rsid w:val="576A9B13"/>
    <w:rsid w:val="5836DEDF"/>
    <w:rsid w:val="59EAB0D6"/>
    <w:rsid w:val="5A025020"/>
    <w:rsid w:val="5B1114FD"/>
    <w:rsid w:val="5D17AB6B"/>
    <w:rsid w:val="601E99DD"/>
    <w:rsid w:val="62B3212A"/>
    <w:rsid w:val="6301EF07"/>
    <w:rsid w:val="6361DBE8"/>
    <w:rsid w:val="6474CFEE"/>
    <w:rsid w:val="65BF130B"/>
    <w:rsid w:val="65D55639"/>
    <w:rsid w:val="65FAB57F"/>
    <w:rsid w:val="6634347E"/>
    <w:rsid w:val="671268CF"/>
    <w:rsid w:val="6749C92A"/>
    <w:rsid w:val="690D4369"/>
    <w:rsid w:val="69B4FC13"/>
    <w:rsid w:val="6DFF4D4A"/>
    <w:rsid w:val="772F21F3"/>
    <w:rsid w:val="78FF98A3"/>
    <w:rsid w:val="7A2BA4C4"/>
    <w:rsid w:val="7B25B1A4"/>
    <w:rsid w:val="7C199100"/>
    <w:rsid w:val="7C21DC48"/>
    <w:rsid w:val="7C5D1123"/>
    <w:rsid w:val="7CCFA2A6"/>
    <w:rsid w:val="7E5B7FA7"/>
    <w:rsid w:val="7F1A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23CE8"/>
  <w15:chartTrackingRefBased/>
  <w15:docId w15:val="{6EE9430D-FE6F-4CA8-81CF-6266095B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2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2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2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2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2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2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2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2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2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2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2A2"/>
    <w:rPr>
      <w:rFonts w:eastAsiaTheme="majorEastAsia" w:cstheme="majorBidi"/>
      <w:color w:val="272727" w:themeColor="text1" w:themeTint="D8"/>
    </w:rPr>
  </w:style>
  <w:style w:type="paragraph" w:styleId="Title">
    <w:name w:val="Title"/>
    <w:basedOn w:val="Normal"/>
    <w:next w:val="Normal"/>
    <w:link w:val="TitleChar"/>
    <w:uiPriority w:val="10"/>
    <w:qFormat/>
    <w:rsid w:val="007D5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2A2"/>
    <w:pPr>
      <w:spacing w:before="160"/>
      <w:jc w:val="center"/>
    </w:pPr>
    <w:rPr>
      <w:i/>
      <w:iCs/>
      <w:color w:val="404040" w:themeColor="text1" w:themeTint="BF"/>
    </w:rPr>
  </w:style>
  <w:style w:type="character" w:customStyle="1" w:styleId="QuoteChar">
    <w:name w:val="Quote Char"/>
    <w:basedOn w:val="DefaultParagraphFont"/>
    <w:link w:val="Quote"/>
    <w:uiPriority w:val="29"/>
    <w:rsid w:val="007D52A2"/>
    <w:rPr>
      <w:i/>
      <w:iCs/>
      <w:color w:val="404040" w:themeColor="text1" w:themeTint="BF"/>
    </w:rPr>
  </w:style>
  <w:style w:type="paragraph" w:styleId="ListParagraph">
    <w:name w:val="List Paragraph"/>
    <w:basedOn w:val="Normal"/>
    <w:uiPriority w:val="34"/>
    <w:qFormat/>
    <w:rsid w:val="007D52A2"/>
    <w:pPr>
      <w:ind w:left="720"/>
      <w:contextualSpacing/>
    </w:pPr>
  </w:style>
  <w:style w:type="character" w:styleId="IntenseEmphasis">
    <w:name w:val="Intense Emphasis"/>
    <w:basedOn w:val="DefaultParagraphFont"/>
    <w:uiPriority w:val="21"/>
    <w:qFormat/>
    <w:rsid w:val="007D52A2"/>
    <w:rPr>
      <w:i/>
      <w:iCs/>
      <w:color w:val="0F4761" w:themeColor="accent1" w:themeShade="BF"/>
    </w:rPr>
  </w:style>
  <w:style w:type="paragraph" w:styleId="IntenseQuote">
    <w:name w:val="Intense Quote"/>
    <w:basedOn w:val="Normal"/>
    <w:next w:val="Normal"/>
    <w:link w:val="IntenseQuoteChar"/>
    <w:uiPriority w:val="30"/>
    <w:qFormat/>
    <w:rsid w:val="007D52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2A2"/>
    <w:rPr>
      <w:i/>
      <w:iCs/>
      <w:color w:val="0F4761" w:themeColor="accent1" w:themeShade="BF"/>
    </w:rPr>
  </w:style>
  <w:style w:type="character" w:styleId="IntenseReference">
    <w:name w:val="Intense Reference"/>
    <w:basedOn w:val="DefaultParagraphFont"/>
    <w:uiPriority w:val="32"/>
    <w:qFormat/>
    <w:rsid w:val="007D52A2"/>
    <w:rPr>
      <w:b/>
      <w:bCs/>
      <w:smallCaps/>
      <w:color w:val="0F4761" w:themeColor="accent1" w:themeShade="BF"/>
      <w:spacing w:val="5"/>
    </w:rPr>
  </w:style>
  <w:style w:type="character" w:styleId="Hyperlink">
    <w:name w:val="Hyperlink"/>
    <w:basedOn w:val="DefaultParagraphFont"/>
    <w:uiPriority w:val="99"/>
    <w:unhideWhenUsed/>
    <w:rsid w:val="53DBB712"/>
    <w:rPr>
      <w:color w:val="467886"/>
      <w:u w:val="single"/>
    </w:rPr>
  </w:style>
  <w:style w:type="paragraph" w:styleId="NoSpacing">
    <w:name w:val="No Spacing"/>
    <w:link w:val="NoSpacingChar"/>
    <w:uiPriority w:val="1"/>
    <w:qFormat/>
    <w:rsid w:val="0098261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82612"/>
    <w:rPr>
      <w:rFonts w:eastAsiaTheme="minorEastAsia"/>
      <w:kern w:val="0"/>
      <w:lang w:val="en-US"/>
      <w14:ligatures w14:val="none"/>
    </w:rPr>
  </w:style>
  <w:style w:type="paragraph" w:styleId="Header">
    <w:name w:val="header"/>
    <w:basedOn w:val="Normal"/>
    <w:link w:val="HeaderChar"/>
    <w:uiPriority w:val="99"/>
    <w:unhideWhenUsed/>
    <w:rsid w:val="008B62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235"/>
  </w:style>
  <w:style w:type="paragraph" w:styleId="Footer">
    <w:name w:val="footer"/>
    <w:basedOn w:val="Normal"/>
    <w:link w:val="FooterChar"/>
    <w:uiPriority w:val="99"/>
    <w:unhideWhenUsed/>
    <w:rsid w:val="008B6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hildrenscommissioner.gov.uk/" TargetMode="External"/><Relationship Id="rId18" Type="http://schemas.openxmlformats.org/officeDocument/2006/relationships/hyperlink" Target="https://www.theguardian.com/" TargetMode="External"/><Relationship Id="rId26" Type="http://schemas.openxmlformats.org/officeDocument/2006/relationships/hyperlink" Target="https://www.ohchr.org/en/instruments-mechanisms/instruments/convention-rights-child" TargetMode="External"/><Relationship Id="rId3" Type="http://schemas.openxmlformats.org/officeDocument/2006/relationships/customXml" Target="../customXml/item3.xml"/><Relationship Id="rId21" Type="http://schemas.openxmlformats.org/officeDocument/2006/relationships/hyperlink" Target="https://www.iopc.gov.uk/" TargetMode="Externa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hyperlink" Target="https://www.theguardian.com/" TargetMode="External"/><Relationship Id="rId25" Type="http://schemas.openxmlformats.org/officeDocument/2006/relationships/hyperlink" Target="https://www.independent.co.uk/" TargetMode="External"/><Relationship Id="rId2" Type="http://schemas.openxmlformats.org/officeDocument/2006/relationships/customXml" Target="../customXml/item2.xml"/><Relationship Id="rId16" Type="http://schemas.openxmlformats.org/officeDocument/2006/relationships/hyperlink" Target="https://www.echr.coe.int/" TargetMode="External"/><Relationship Id="rId20" Type="http://schemas.openxmlformats.org/officeDocument/2006/relationships/hyperlink" Target="https://www.gov.uk/government/publications/pace-code-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hyperlink" Target="https://news.sky.com/" TargetMode="External"/><Relationship Id="rId5" Type="http://schemas.openxmlformats.org/officeDocument/2006/relationships/styles" Target="styles.xml"/><Relationship Id="rId15" Type="http://schemas.openxmlformats.org/officeDocument/2006/relationships/hyperlink" Target="https://www.legislation.gov.uk/ukpga/2010/15" TargetMode="External"/><Relationship Id="rId23" Type="http://schemas.openxmlformats.org/officeDocument/2006/relationships/hyperlink" Target="https://www.legislation.gov.uk/ukpga/1984/60"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justiceinspectorates.gov.uk/hmicfrs/" TargetMode="Externa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lege.police.uk/app" TargetMode="External"/><Relationship Id="rId22" Type="http://schemas.openxmlformats.org/officeDocument/2006/relationships/hyperlink" Target="https://www.gov.uk/government/publications/lammy-review-final-report" TargetMode="External"/><Relationship Id="rId27" Type="http://schemas.openxmlformats.org/officeDocument/2006/relationships/hyperlink" Target="https://www.ohchr.org/en/crc"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6" ma:contentTypeDescription="Create a new document." ma:contentTypeScope="" ma:versionID="63c4ed9d1c96b4547591d2a99834e5a1">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ec9d2419d8112ea65b4d72f9d1bf8adf"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5C62D2-E3DB-44EF-A8F5-18038E87BF10}">
  <ds:schemaRefs>
    <ds:schemaRef ds:uri="http://schemas.microsoft.com/sharepoint/v3/contenttype/forms"/>
  </ds:schemaRefs>
</ds:datastoreItem>
</file>

<file path=customXml/itemProps2.xml><?xml version="1.0" encoding="utf-8"?>
<ds:datastoreItem xmlns:ds="http://schemas.openxmlformats.org/officeDocument/2006/customXml" ds:itemID="{E0AFD370-647D-42E3-A5BF-90582CD1F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9DED2A-DC11-435C-8270-D21AD10DD4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4117</Words>
  <Characters>24871</Characters>
  <Application>Microsoft Office Word</Application>
  <DocSecurity>0</DocSecurity>
  <Lines>1554</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Criminal Justice  </dc:title>
  <dc:subject/>
  <dc:creator>Ceri Marie Jones (1806930)</dc:creator>
  <cp:keywords/>
  <dc:description/>
  <cp:lastModifiedBy>Ceri Marie Jones (1806930)</cp:lastModifiedBy>
  <cp:revision>2</cp:revision>
  <dcterms:created xsi:type="dcterms:W3CDTF">2026-02-26T18:51:00Z</dcterms:created>
  <dcterms:modified xsi:type="dcterms:W3CDTF">2026-02-26T18:51:00Z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4e57f4cc-a2eb-405b-93d3-9b1afbab8db9</vt:lpwstr>
  </property>
  <property fmtid="{D5CDD505-2E9C-101B-9397-08002B2CF9AE}" pid="3" name="ContentTypeId">
    <vt:lpwstr>0x0101008C692D30F6D5C64CABDFF0BDF08A3501</vt:lpwstr>
  </property>
</Properties>
</file>