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3618F" w14:textId="77777777" w:rsidR="0065577A" w:rsidRDefault="0065577A" w:rsidP="00410F93">
      <w:pPr>
        <w:spacing w:after="0" w:line="240" w:lineRule="auto"/>
        <w:rPr>
          <w:rFonts w:ascii="Arial" w:eastAsia="Times New Roman" w:hAnsi="Arial" w:cs="Arial"/>
          <w:kern w:val="0"/>
          <w:lang w:eastAsia="en-GB"/>
          <w14:ligatures w14:val="none"/>
        </w:rPr>
      </w:pPr>
    </w:p>
    <w:p w14:paraId="4461495B" w14:textId="7E24D8B2" w:rsidR="0065577A" w:rsidRPr="0065577A" w:rsidRDefault="0065577A" w:rsidP="0065577A">
      <w:pPr>
        <w:spacing w:after="0" w:line="240" w:lineRule="auto"/>
        <w:jc w:val="center"/>
        <w:rPr>
          <w:rFonts w:ascii="Arial" w:eastAsia="Times New Roman" w:hAnsi="Arial" w:cs="Arial"/>
          <w:kern w:val="0"/>
          <w:sz w:val="36"/>
          <w:szCs w:val="36"/>
          <w:lang w:eastAsia="en-GB"/>
          <w14:ligatures w14:val="none"/>
        </w:rPr>
      </w:pPr>
      <w:r>
        <w:rPr>
          <w:rFonts w:ascii="Arial" w:eastAsia="Times New Roman" w:hAnsi="Arial" w:cs="Arial"/>
          <w:kern w:val="0"/>
          <w:sz w:val="36"/>
          <w:szCs w:val="36"/>
          <w:lang w:eastAsia="en-GB"/>
          <w14:ligatures w14:val="none"/>
        </w:rPr>
        <w:t>Re</w:t>
      </w:r>
      <w:r w:rsidR="00F2501F">
        <w:rPr>
          <w:rFonts w:ascii="Arial" w:eastAsia="Times New Roman" w:hAnsi="Arial" w:cs="Arial"/>
          <w:kern w:val="0"/>
          <w:sz w:val="36"/>
          <w:szCs w:val="36"/>
          <w:lang w:eastAsia="en-GB"/>
          <w14:ligatures w14:val="none"/>
        </w:rPr>
        <w:t>flection</w:t>
      </w:r>
      <w:r>
        <w:rPr>
          <w:rFonts w:ascii="Arial" w:eastAsia="Times New Roman" w:hAnsi="Arial" w:cs="Arial"/>
          <w:kern w:val="0"/>
          <w:sz w:val="36"/>
          <w:szCs w:val="36"/>
          <w:lang w:eastAsia="en-GB"/>
          <w14:ligatures w14:val="none"/>
        </w:rPr>
        <w:t xml:space="preserve"> Paper</w:t>
      </w:r>
    </w:p>
    <w:p w14:paraId="5EE4CA8D" w14:textId="77777777" w:rsidR="0065577A" w:rsidRDefault="0065577A" w:rsidP="00410F93">
      <w:pPr>
        <w:spacing w:after="0" w:line="240" w:lineRule="auto"/>
        <w:rPr>
          <w:rFonts w:ascii="Arial" w:eastAsia="Times New Roman" w:hAnsi="Arial" w:cs="Arial"/>
          <w:kern w:val="0"/>
          <w:lang w:eastAsia="en-GB"/>
          <w14:ligatures w14:val="none"/>
        </w:rPr>
      </w:pPr>
    </w:p>
    <w:p w14:paraId="088A8A0C" w14:textId="6B95A770" w:rsidR="00014603" w:rsidRPr="00014603" w:rsidRDefault="00410F93" w:rsidP="00014603">
      <w:pPr>
        <w:rPr>
          <w:rFonts w:ascii="Arial" w:eastAsia="Times New Roman" w:hAnsi="Arial" w:cs="Arial"/>
          <w:kern w:val="0"/>
          <w:lang w:eastAsia="en-GB"/>
          <w14:ligatures w14:val="none"/>
        </w:rPr>
      </w:pPr>
      <w:r w:rsidRPr="00014603">
        <w:rPr>
          <w:rFonts w:ascii="Arial" w:eastAsia="Times New Roman" w:hAnsi="Arial" w:cs="Arial"/>
          <w:kern w:val="0"/>
          <w:lang w:eastAsia="en-GB"/>
          <w14:ligatures w14:val="none"/>
        </w:rPr>
        <w:t>When discussing early childhood education and care facilities,</w:t>
      </w:r>
      <w:r w:rsidR="006C6278">
        <w:rPr>
          <w:rFonts w:ascii="Arial" w:eastAsia="Times New Roman" w:hAnsi="Arial" w:cs="Arial"/>
          <w:kern w:val="0"/>
          <w:lang w:eastAsia="en-GB"/>
          <w14:ligatures w14:val="none"/>
        </w:rPr>
        <w:t xml:space="preserve"> UNICEF (2000) states</w:t>
      </w:r>
      <w:r w:rsidRPr="00014603">
        <w:rPr>
          <w:rFonts w:ascii="Arial" w:eastAsia="Times New Roman" w:hAnsi="Arial" w:cs="Arial"/>
          <w:kern w:val="0"/>
          <w:lang w:eastAsia="en-GB"/>
          <w14:ligatures w14:val="none"/>
        </w:rPr>
        <w:t xml:space="preserve"> quality is used to describe the excellent standard of the activities, environment</w:t>
      </w:r>
      <w:r w:rsidR="00D54980">
        <w:rPr>
          <w:rFonts w:ascii="Arial" w:eastAsia="Times New Roman" w:hAnsi="Arial" w:cs="Arial"/>
          <w:kern w:val="0"/>
          <w:lang w:eastAsia="en-GB"/>
          <w14:ligatures w14:val="none"/>
        </w:rPr>
        <w:t>s and making sure the environments are healthy and safe</w:t>
      </w:r>
      <w:r w:rsidRPr="00014603">
        <w:rPr>
          <w:rFonts w:ascii="Arial" w:eastAsia="Times New Roman" w:hAnsi="Arial" w:cs="Arial"/>
          <w:kern w:val="0"/>
          <w:lang w:eastAsia="en-GB"/>
          <w14:ligatures w14:val="none"/>
        </w:rPr>
        <w:t>, and interactions that children are able to engage in. It includes a number of elements, including the qualifications and education of the staff members, the physical space's safety and cleanliness, the variety and suitability of the learning resources, and the caring and supporting interactions between carers and the children.</w:t>
      </w:r>
      <w:r w:rsidR="002B2D2D" w:rsidRPr="00014603">
        <w:rPr>
          <w:rFonts w:ascii="Arial" w:eastAsia="Times New Roman" w:hAnsi="Arial" w:cs="Arial"/>
          <w:kern w:val="0"/>
          <w:lang w:eastAsia="en-GB"/>
          <w14:ligatures w14:val="none"/>
        </w:rPr>
        <w:t xml:space="preserve"> </w:t>
      </w:r>
      <w:r w:rsidR="00014603" w:rsidRPr="00014603">
        <w:rPr>
          <w:rFonts w:ascii="Arial" w:eastAsia="Times New Roman" w:hAnsi="Arial" w:cs="Arial"/>
          <w:kern w:val="0"/>
          <w:lang w:eastAsia="en-GB"/>
          <w14:ligatures w14:val="none"/>
        </w:rPr>
        <w:t>Quality in early childhood services is not an objective, universal reality, but rather a constructed term that is subjective and based on values, beliefs, and interests</w:t>
      </w:r>
      <w:r w:rsidR="00014603">
        <w:rPr>
          <w:rFonts w:ascii="Arial" w:eastAsia="Times New Roman" w:hAnsi="Arial" w:cs="Arial"/>
          <w:kern w:val="0"/>
          <w:lang w:eastAsia="en-GB"/>
          <w14:ligatures w14:val="none"/>
        </w:rPr>
        <w:t xml:space="preserve"> (Moss, 2016). </w:t>
      </w:r>
      <w:r w:rsidR="00230782" w:rsidRPr="00230782">
        <w:rPr>
          <w:rFonts w:ascii="Arial" w:eastAsia="Times New Roman" w:hAnsi="Arial" w:cs="Arial"/>
          <w:kern w:val="0"/>
          <w:lang w:eastAsia="en-GB"/>
          <w14:ligatures w14:val="none"/>
        </w:rPr>
        <w:t xml:space="preserve">It is impossible to provide the highest level of </w:t>
      </w:r>
      <w:r w:rsidR="00230782">
        <w:rPr>
          <w:rFonts w:ascii="Arial" w:eastAsia="Times New Roman" w:hAnsi="Arial" w:cs="Arial"/>
          <w:kern w:val="0"/>
          <w:lang w:eastAsia="en-GB"/>
          <w14:ligatures w14:val="none"/>
        </w:rPr>
        <w:t xml:space="preserve">quality </w:t>
      </w:r>
      <w:r w:rsidR="00230782" w:rsidRPr="00230782">
        <w:rPr>
          <w:rFonts w:ascii="Arial" w:eastAsia="Times New Roman" w:hAnsi="Arial" w:cs="Arial"/>
          <w:kern w:val="0"/>
          <w:lang w:eastAsia="en-GB"/>
          <w14:ligatures w14:val="none"/>
        </w:rPr>
        <w:t xml:space="preserve">care without strong connections based on mutual trust, shared values, and a same goal, according to research from </w:t>
      </w:r>
      <w:r w:rsidR="00230782" w:rsidRPr="00230782">
        <w:rPr>
          <w:rFonts w:ascii="Arial" w:hAnsi="Arial" w:cs="Arial"/>
          <w:shd w:val="clear" w:color="auto" w:fill="FFFFFF"/>
        </w:rPr>
        <w:t>Cottle and Alexander, (2012).</w:t>
      </w:r>
    </w:p>
    <w:p w14:paraId="36081600" w14:textId="227920D4" w:rsidR="00410F93" w:rsidRPr="00F2501F" w:rsidRDefault="00410F93" w:rsidP="00F2501F">
      <w:pPr>
        <w:spacing w:after="0" w:line="360" w:lineRule="auto"/>
        <w:rPr>
          <w:rFonts w:ascii="Arial" w:eastAsia="Times New Roman" w:hAnsi="Arial" w:cs="Arial"/>
          <w:kern w:val="0"/>
          <w:lang w:eastAsia="en-GB"/>
          <w14:ligatures w14:val="none"/>
        </w:rPr>
      </w:pPr>
      <w:r w:rsidRPr="00410F93">
        <w:rPr>
          <w:rFonts w:ascii="Arial" w:eastAsia="Times New Roman" w:hAnsi="Arial" w:cs="Arial"/>
          <w:kern w:val="0"/>
          <w:lang w:eastAsia="en-GB"/>
          <w14:ligatures w14:val="none"/>
        </w:rPr>
        <w:t>Excellent early childhood environments are essential to the development of children and wellbeing</w:t>
      </w:r>
      <w:r w:rsidR="00D54980">
        <w:rPr>
          <w:rFonts w:ascii="Arial" w:eastAsia="Times New Roman" w:hAnsi="Arial" w:cs="Arial"/>
          <w:kern w:val="0"/>
          <w:lang w:eastAsia="en-GB"/>
          <w14:ligatures w14:val="none"/>
        </w:rPr>
        <w:t xml:space="preserve"> (Welsh</w:t>
      </w:r>
      <w:r w:rsidR="00230782">
        <w:rPr>
          <w:rFonts w:ascii="Arial" w:eastAsia="Times New Roman" w:hAnsi="Arial" w:cs="Arial"/>
          <w:kern w:val="0"/>
          <w:lang w:eastAsia="en-GB"/>
          <w14:ligatures w14:val="none"/>
        </w:rPr>
        <w:t xml:space="preserve"> </w:t>
      </w:r>
      <w:r w:rsidR="00D54980">
        <w:rPr>
          <w:rFonts w:ascii="Arial" w:eastAsia="Times New Roman" w:hAnsi="Arial" w:cs="Arial"/>
          <w:kern w:val="0"/>
          <w:lang w:eastAsia="en-GB"/>
          <w14:ligatures w14:val="none"/>
        </w:rPr>
        <w:t>Gov, 20</w:t>
      </w:r>
      <w:r w:rsidR="00230782">
        <w:rPr>
          <w:rFonts w:ascii="Arial" w:eastAsia="Times New Roman" w:hAnsi="Arial" w:cs="Arial"/>
          <w:kern w:val="0"/>
          <w:lang w:eastAsia="en-GB"/>
          <w14:ligatures w14:val="none"/>
        </w:rPr>
        <w:t>23).</w:t>
      </w:r>
      <w:r w:rsidRPr="00410F93">
        <w:rPr>
          <w:rFonts w:ascii="Arial" w:eastAsia="Times New Roman" w:hAnsi="Arial" w:cs="Arial"/>
          <w:kern w:val="0"/>
          <w:lang w:eastAsia="en-GB"/>
          <w14:ligatures w14:val="none"/>
        </w:rPr>
        <w:t xml:space="preserve"> This is the reason</w:t>
      </w:r>
      <w:r w:rsidR="00AE08CD" w:rsidRPr="00F2501F">
        <w:rPr>
          <w:rFonts w:ascii="Arial" w:eastAsia="Times New Roman" w:hAnsi="Arial" w:cs="Arial"/>
          <w:kern w:val="0"/>
          <w:lang w:eastAsia="en-GB"/>
          <w14:ligatures w14:val="none"/>
        </w:rPr>
        <w:t>s</w:t>
      </w:r>
      <w:r w:rsidRPr="00410F93">
        <w:rPr>
          <w:rFonts w:ascii="Arial" w:eastAsia="Times New Roman" w:hAnsi="Arial" w:cs="Arial"/>
          <w:kern w:val="0"/>
          <w:lang w:eastAsia="en-GB"/>
          <w14:ligatures w14:val="none"/>
        </w:rPr>
        <w:t xml:space="preserve"> why:</w:t>
      </w:r>
    </w:p>
    <w:p w14:paraId="300E2502" w14:textId="77777777" w:rsidR="00410F93" w:rsidRPr="00F2501F" w:rsidRDefault="00410F93" w:rsidP="00F2501F">
      <w:pPr>
        <w:spacing w:after="0" w:line="360" w:lineRule="auto"/>
        <w:rPr>
          <w:rFonts w:ascii="Arial" w:eastAsia="Times New Roman" w:hAnsi="Arial" w:cs="Arial"/>
          <w:kern w:val="0"/>
          <w:lang w:eastAsia="en-GB"/>
          <w14:ligatures w14:val="none"/>
        </w:rPr>
      </w:pPr>
      <w:r w:rsidRPr="00410F93">
        <w:rPr>
          <w:rFonts w:ascii="Arial" w:eastAsia="Times New Roman" w:hAnsi="Arial" w:cs="Arial"/>
          <w:kern w:val="0"/>
          <w:lang w:eastAsia="en-GB"/>
          <w14:ligatures w14:val="none"/>
        </w:rPr>
        <w:t xml:space="preserve">1. Early Developmental Outcomes: Children who attend high-quality early childhood programmes are more likely to exhibit better language skills, cognitive abilities, social competence, and emotional regulation, according to research. </w:t>
      </w:r>
    </w:p>
    <w:p w14:paraId="231AB3AB" w14:textId="25784597" w:rsidR="00230782" w:rsidRPr="00230782" w:rsidRDefault="00410F93" w:rsidP="00230782">
      <w:pPr>
        <w:rPr>
          <w:rFonts w:ascii="Times New Roman" w:eastAsia="Times New Roman" w:hAnsi="Times New Roman" w:cs="Times New Roman"/>
          <w:kern w:val="0"/>
          <w:lang w:eastAsia="en-GB"/>
          <w14:ligatures w14:val="none"/>
        </w:rPr>
      </w:pPr>
      <w:r w:rsidRPr="00410F93">
        <w:rPr>
          <w:rFonts w:ascii="Arial" w:eastAsia="Times New Roman" w:hAnsi="Arial" w:cs="Arial"/>
          <w:kern w:val="0"/>
          <w:lang w:eastAsia="en-GB"/>
          <w14:ligatures w14:val="none"/>
        </w:rPr>
        <w:t>2. School Readiness: Children who receive high-quality early childhood education are better prepared for success in school and later in life, as they are equipped with the fundamental knowledge and skills needed for academic achievement, such as literacy, numeracy, problem-solving, and social skills</w:t>
      </w:r>
      <w:r w:rsidR="003E423B">
        <w:rPr>
          <w:rFonts w:ascii="Arial" w:eastAsia="Times New Roman" w:hAnsi="Arial" w:cs="Arial"/>
          <w:kern w:val="0"/>
          <w:lang w:eastAsia="en-GB"/>
          <w14:ligatures w14:val="none"/>
        </w:rPr>
        <w:t xml:space="preserve"> (OFSTED, 2023).</w:t>
      </w:r>
    </w:p>
    <w:p w14:paraId="23D9A55F" w14:textId="07CF5818" w:rsidR="00410F93" w:rsidRPr="00410F93" w:rsidRDefault="00410F93" w:rsidP="00F2501F">
      <w:pPr>
        <w:spacing w:after="0" w:line="360" w:lineRule="auto"/>
        <w:rPr>
          <w:rFonts w:ascii="Arial" w:eastAsia="Times New Roman" w:hAnsi="Arial" w:cs="Arial"/>
          <w:kern w:val="0"/>
          <w:lang w:eastAsia="en-GB"/>
          <w14:ligatures w14:val="none"/>
        </w:rPr>
      </w:pPr>
      <w:r w:rsidRPr="00410F93">
        <w:rPr>
          <w:rFonts w:ascii="Arial" w:eastAsia="Times New Roman" w:hAnsi="Arial" w:cs="Arial"/>
          <w:kern w:val="0"/>
          <w:lang w:eastAsia="en-GB"/>
          <w14:ligatures w14:val="none"/>
        </w:rPr>
        <w:t>3. Long-Term Benefits: Children's lives are impacted in a lasting way by high-quality early childhood experiences. They are linked to improved health outcomes, more career prospects, higher educational attainment, and a lower incidence of crime and delinquency later in life</w:t>
      </w:r>
      <w:r w:rsidR="00B47F2A">
        <w:rPr>
          <w:rFonts w:ascii="Arial" w:eastAsia="Times New Roman" w:hAnsi="Arial" w:cs="Arial"/>
          <w:kern w:val="0"/>
          <w:lang w:eastAsia="en-GB"/>
          <w14:ligatures w14:val="none"/>
        </w:rPr>
        <w:t xml:space="preserve"> (Welsh Gov, 2023).</w:t>
      </w:r>
    </w:p>
    <w:p w14:paraId="6D694BBF" w14:textId="2240FBFD" w:rsidR="00410F93" w:rsidRPr="00410F93" w:rsidRDefault="00410F93" w:rsidP="00F2501F">
      <w:pPr>
        <w:spacing w:after="0" w:line="360" w:lineRule="auto"/>
        <w:rPr>
          <w:rFonts w:ascii="Arial" w:eastAsia="Times New Roman" w:hAnsi="Arial" w:cs="Arial"/>
          <w:kern w:val="0"/>
          <w:lang w:eastAsia="en-GB"/>
          <w14:ligatures w14:val="none"/>
        </w:rPr>
      </w:pPr>
      <w:r w:rsidRPr="00410F93">
        <w:rPr>
          <w:rFonts w:ascii="Arial" w:eastAsia="Times New Roman" w:hAnsi="Arial" w:cs="Arial"/>
          <w:kern w:val="0"/>
          <w:lang w:eastAsia="en-GB"/>
          <w14:ligatures w14:val="none"/>
        </w:rPr>
        <w:t>4. Equity and Social Justice:</w:t>
      </w:r>
      <w:r w:rsidR="009F6EAA">
        <w:rPr>
          <w:rFonts w:ascii="Arial" w:eastAsia="Times New Roman" w:hAnsi="Arial" w:cs="Arial"/>
          <w:kern w:val="0"/>
          <w:lang w:eastAsia="en-GB"/>
          <w14:ligatures w14:val="none"/>
        </w:rPr>
        <w:t xml:space="preserve"> Children’s Society, (N.D) states </w:t>
      </w:r>
      <w:r w:rsidRPr="00410F93">
        <w:rPr>
          <w:rFonts w:ascii="Arial" w:eastAsia="Times New Roman" w:hAnsi="Arial" w:cs="Arial"/>
          <w:kern w:val="0"/>
          <w:lang w:eastAsia="en-GB"/>
          <w14:ligatures w14:val="none"/>
        </w:rPr>
        <w:t>It's critical that children from underprivileged homes have access to high-quality early childhood environments. In addition to closing the achievement gap and fostering fairness in educational results, high-quality programmes can also lessen the effects of poverty and other risk factors</w:t>
      </w:r>
      <w:r w:rsidR="009F6EAA">
        <w:rPr>
          <w:rFonts w:ascii="Arial" w:eastAsia="Times New Roman" w:hAnsi="Arial" w:cs="Arial"/>
          <w:kern w:val="0"/>
          <w:lang w:eastAsia="en-GB"/>
          <w14:ligatures w14:val="none"/>
        </w:rPr>
        <w:t>.</w:t>
      </w:r>
      <w:r w:rsidRPr="00410F93">
        <w:rPr>
          <w:rFonts w:ascii="Arial" w:eastAsia="Times New Roman" w:hAnsi="Arial" w:cs="Arial"/>
          <w:kern w:val="0"/>
          <w:lang w:eastAsia="en-GB"/>
          <w14:ligatures w14:val="none"/>
        </w:rPr>
        <w:br/>
        <w:t>5. Resources and Support for Families: Effective early childhood programmes give parents the tools and resources they need to build strong parent-child bonds and take an active role in their children's education and growth</w:t>
      </w:r>
      <w:r w:rsidR="00DC5741">
        <w:rPr>
          <w:rFonts w:ascii="Arial" w:eastAsia="Times New Roman" w:hAnsi="Arial" w:cs="Arial"/>
          <w:kern w:val="0"/>
          <w:lang w:eastAsia="en-GB"/>
          <w14:ligatures w14:val="none"/>
        </w:rPr>
        <w:t xml:space="preserve"> this is also important to have positive interactions with the children and parents (Douglas, 2019).</w:t>
      </w:r>
    </w:p>
    <w:p w14:paraId="55E70A4D" w14:textId="05CE95E3" w:rsidR="00410F93" w:rsidRPr="00410F93" w:rsidRDefault="00410F93" w:rsidP="00F2501F">
      <w:pPr>
        <w:spacing w:after="0" w:line="360" w:lineRule="auto"/>
        <w:rPr>
          <w:rFonts w:ascii="Arial" w:eastAsia="Times New Roman" w:hAnsi="Arial" w:cs="Arial"/>
          <w:kern w:val="0"/>
          <w:lang w:eastAsia="en-GB"/>
          <w14:ligatures w14:val="none"/>
        </w:rPr>
      </w:pPr>
      <w:r w:rsidRPr="00410F93">
        <w:rPr>
          <w:rFonts w:ascii="Arial" w:eastAsia="Times New Roman" w:hAnsi="Arial" w:cs="Arial"/>
          <w:kern w:val="0"/>
          <w:lang w:eastAsia="en-GB"/>
          <w14:ligatures w14:val="none"/>
        </w:rPr>
        <w:lastRenderedPageBreak/>
        <w:t xml:space="preserve">Maximising the potential of every child requires ensuring their access to high-quality early childhood educational facilities. The evaluation and enhancement of early childhood programmes can be facilitated by quality indicators, which include staff qualifications, adult-child ratios, curriculum content, and the general learning environment. </w:t>
      </w:r>
      <w:r w:rsidR="00A1072C">
        <w:rPr>
          <w:rFonts w:ascii="Arial" w:eastAsia="Times New Roman" w:hAnsi="Arial" w:cs="Arial"/>
          <w:kern w:val="0"/>
          <w:lang w:eastAsia="en-GB"/>
          <w14:ligatures w14:val="none"/>
        </w:rPr>
        <w:t>Educators</w:t>
      </w:r>
      <w:r w:rsidRPr="00410F93">
        <w:rPr>
          <w:rFonts w:ascii="Arial" w:eastAsia="Times New Roman" w:hAnsi="Arial" w:cs="Arial"/>
          <w:kern w:val="0"/>
          <w:lang w:eastAsia="en-GB"/>
          <w14:ligatures w14:val="none"/>
        </w:rPr>
        <w:t xml:space="preserve"> may provide a solid basis for the prosperity and well-being of children and communities in the future by investing in high-quality early childhood education and care</w:t>
      </w:r>
      <w:r w:rsidR="00A1072C">
        <w:rPr>
          <w:rFonts w:ascii="Arial" w:eastAsia="Times New Roman" w:hAnsi="Arial" w:cs="Arial"/>
          <w:kern w:val="0"/>
          <w:lang w:eastAsia="en-GB"/>
          <w14:ligatures w14:val="none"/>
        </w:rPr>
        <w:t xml:space="preserve"> which Welsh Gov</w:t>
      </w:r>
      <w:r w:rsidR="004375AB">
        <w:rPr>
          <w:rFonts w:ascii="Arial" w:eastAsia="Times New Roman" w:hAnsi="Arial" w:cs="Arial"/>
          <w:kern w:val="0"/>
          <w:lang w:eastAsia="en-GB"/>
          <w14:ligatures w14:val="none"/>
        </w:rPr>
        <w:t>,</w:t>
      </w:r>
      <w:r w:rsidR="00A1072C">
        <w:rPr>
          <w:rFonts w:ascii="Arial" w:eastAsia="Times New Roman" w:hAnsi="Arial" w:cs="Arial"/>
          <w:kern w:val="0"/>
          <w:lang w:eastAsia="en-GB"/>
          <w14:ligatures w14:val="none"/>
        </w:rPr>
        <w:t xml:space="preserve"> </w:t>
      </w:r>
      <w:r w:rsidR="004375AB">
        <w:rPr>
          <w:rFonts w:ascii="Arial" w:eastAsia="Times New Roman" w:hAnsi="Arial" w:cs="Arial"/>
          <w:kern w:val="0"/>
          <w:lang w:eastAsia="en-GB"/>
          <w14:ligatures w14:val="none"/>
        </w:rPr>
        <w:t>(</w:t>
      </w:r>
      <w:r w:rsidR="00A1072C">
        <w:rPr>
          <w:rFonts w:ascii="Arial" w:eastAsia="Times New Roman" w:hAnsi="Arial" w:cs="Arial"/>
          <w:kern w:val="0"/>
          <w:lang w:eastAsia="en-GB"/>
          <w14:ligatures w14:val="none"/>
        </w:rPr>
        <w:t>2022)</w:t>
      </w:r>
      <w:r w:rsidR="004375AB">
        <w:rPr>
          <w:rFonts w:ascii="Arial" w:eastAsia="Times New Roman" w:hAnsi="Arial" w:cs="Arial"/>
          <w:kern w:val="0"/>
          <w:lang w:eastAsia="en-GB"/>
          <w14:ligatures w14:val="none"/>
        </w:rPr>
        <w:t xml:space="preserve"> changed the curriculum to build children who are confident, capable citizens in the future. </w:t>
      </w:r>
    </w:p>
    <w:p w14:paraId="76B1BEF8" w14:textId="77777777" w:rsidR="00410F93" w:rsidRPr="00F2501F" w:rsidRDefault="00410F93" w:rsidP="00F2501F">
      <w:pPr>
        <w:spacing w:after="0" w:line="360" w:lineRule="auto"/>
        <w:rPr>
          <w:rFonts w:ascii="Arial" w:eastAsia="Times New Roman" w:hAnsi="Arial" w:cs="Arial"/>
          <w:kern w:val="0"/>
          <w:lang w:eastAsia="en-GB"/>
          <w14:ligatures w14:val="none"/>
        </w:rPr>
      </w:pPr>
    </w:p>
    <w:p w14:paraId="5FDECFEB" w14:textId="27AEF246" w:rsidR="001F5052" w:rsidRPr="00F2501F" w:rsidRDefault="001F5052" w:rsidP="00F2501F">
      <w:pPr>
        <w:spacing w:after="0" w:line="360" w:lineRule="auto"/>
        <w:rPr>
          <w:rFonts w:ascii="Arial" w:hAnsi="Arial" w:cs="Arial"/>
          <w:color w:val="0D0D0D"/>
          <w:shd w:val="clear" w:color="auto" w:fill="FFFFFF"/>
        </w:rPr>
      </w:pPr>
      <w:r w:rsidRPr="00F2501F">
        <w:rPr>
          <w:rFonts w:ascii="Arial" w:hAnsi="Arial" w:cs="Arial"/>
        </w:rPr>
        <w:br/>
      </w:r>
      <w:r w:rsidRPr="00F2501F">
        <w:rPr>
          <w:rFonts w:ascii="Arial" w:hAnsi="Arial" w:cs="Arial"/>
          <w:color w:val="0D0D0D"/>
          <w:shd w:val="clear" w:color="auto" w:fill="FFFFFF"/>
        </w:rPr>
        <w:t>ITERS (Infant/Toddler Environment Rating Scale) and ECERS (Early Childhood Environment Rating Scale) are both tools used to assess the quality of early childhood education settings, but they focus on different age groups and aspects of the environment</w:t>
      </w:r>
      <w:r w:rsidR="0006296A">
        <w:rPr>
          <w:rFonts w:ascii="Arial" w:hAnsi="Arial" w:cs="Arial"/>
          <w:color w:val="0D0D0D"/>
          <w:shd w:val="clear" w:color="auto" w:fill="FFFFFF"/>
        </w:rPr>
        <w:t>.</w:t>
      </w:r>
      <w:r w:rsidR="001C1564">
        <w:rPr>
          <w:rFonts w:ascii="Arial" w:hAnsi="Arial" w:cs="Arial"/>
          <w:color w:val="0D0D0D"/>
          <w:shd w:val="clear" w:color="auto" w:fill="FFFFFF"/>
        </w:rPr>
        <w:t xml:space="preserve"> </w:t>
      </w:r>
      <w:proofErr w:type="spellStart"/>
      <w:r w:rsidR="0006296A">
        <w:rPr>
          <w:rFonts w:ascii="Arial" w:hAnsi="Arial" w:cs="Arial"/>
          <w:color w:val="0D0D0D"/>
          <w:shd w:val="clear" w:color="auto" w:fill="FFFFFF"/>
        </w:rPr>
        <w:t>Rudoe</w:t>
      </w:r>
      <w:proofErr w:type="spellEnd"/>
      <w:r w:rsidR="0006296A">
        <w:rPr>
          <w:rFonts w:ascii="Arial" w:hAnsi="Arial" w:cs="Arial"/>
          <w:color w:val="0D0D0D"/>
          <w:shd w:val="clear" w:color="auto" w:fill="FFFFFF"/>
        </w:rPr>
        <w:t>, (2020), tells us that these types of rating scales are used by gathering the data through observation.</w:t>
      </w:r>
    </w:p>
    <w:p w14:paraId="442ED92D" w14:textId="10F51C05" w:rsidR="00811F9D" w:rsidRPr="00F2501F" w:rsidRDefault="00811F9D" w:rsidP="00F2501F">
      <w:pPr>
        <w:spacing w:line="360" w:lineRule="auto"/>
        <w:rPr>
          <w:rFonts w:ascii="Arial" w:eastAsia="Times New Roman" w:hAnsi="Arial" w:cs="Arial"/>
          <w:kern w:val="0"/>
          <w:lang w:eastAsia="en-GB"/>
          <w14:ligatures w14:val="none"/>
        </w:rPr>
      </w:pPr>
      <w:r w:rsidRPr="00F2501F">
        <w:rPr>
          <w:rFonts w:ascii="Arial" w:eastAsia="Times New Roman" w:hAnsi="Arial" w:cs="Arial"/>
          <w:kern w:val="0"/>
          <w:lang w:eastAsia="en-GB"/>
          <w14:ligatures w14:val="none"/>
        </w:rPr>
        <w:t>Firstly,</w:t>
      </w:r>
      <w:r w:rsidR="00DC5741" w:rsidRPr="00DC5741">
        <w:rPr>
          <w:rFonts w:ascii="Roboto" w:hAnsi="Roboto"/>
          <w:color w:val="2C3E50"/>
          <w:sz w:val="23"/>
          <w:szCs w:val="23"/>
          <w:shd w:val="clear" w:color="auto" w:fill="FFFFFF"/>
        </w:rPr>
        <w:t xml:space="preserve"> </w:t>
      </w:r>
      <w:r w:rsidRPr="00F2501F">
        <w:rPr>
          <w:rFonts w:ascii="Arial" w:eastAsia="Times New Roman" w:hAnsi="Arial" w:cs="Arial"/>
          <w:kern w:val="0"/>
          <w:lang w:eastAsia="en-GB"/>
          <w14:ligatures w14:val="none"/>
        </w:rPr>
        <w:t>While ITERS is designed for infants and toddlers, typically from birth to 2.5 years old, ECERS is geared towards preschool-aged children, typically spanning from 2.5 to 5 years old. Each age group's individual developmental requirements and traits are reflected in this distinction. While ITERS emphasises the importance of nurturing connections, health, and safety issues for infants and toddlers, ECERS lays more emphasis on cognitive stimulation, social engagement, and classroom organisation appropriate for older preschoolers.</w:t>
      </w:r>
      <w:r w:rsidR="00F2501F" w:rsidRPr="00F2501F">
        <w:rPr>
          <w:rFonts w:ascii="Arial" w:eastAsia="Times New Roman" w:hAnsi="Arial" w:cs="Arial"/>
          <w:kern w:val="0"/>
          <w:lang w:eastAsia="en-GB"/>
          <w14:ligatures w14:val="none"/>
        </w:rPr>
        <w:t xml:space="preserve"> </w:t>
      </w:r>
      <w:r w:rsidR="00A1072C" w:rsidRPr="00A1072C">
        <w:rPr>
          <w:rFonts w:ascii="Arial" w:hAnsi="Arial" w:cs="Arial"/>
          <w:shd w:val="clear" w:color="auto" w:fill="FFFFFF"/>
        </w:rPr>
        <w:t xml:space="preserve">(La Paro, Williamson and Hatfield, 2014) </w:t>
      </w:r>
      <w:r w:rsidR="00A1072C" w:rsidRPr="00A1072C">
        <w:rPr>
          <w:rFonts w:ascii="Arial" w:eastAsia="Times New Roman" w:hAnsi="Arial" w:cs="Arial"/>
          <w:kern w:val="0"/>
          <w:lang w:eastAsia="en-GB"/>
          <w14:ligatures w14:val="none"/>
        </w:rPr>
        <w:t xml:space="preserve">and </w:t>
      </w:r>
      <w:proofErr w:type="gramStart"/>
      <w:r w:rsidR="00A1072C" w:rsidRPr="00A1072C">
        <w:rPr>
          <w:rFonts w:ascii="Arial" w:hAnsi="Arial" w:cs="Arial"/>
          <w:shd w:val="clear" w:color="auto" w:fill="FFFFFF"/>
        </w:rPr>
        <w:t>( Hui</w:t>
      </w:r>
      <w:proofErr w:type="gramEnd"/>
      <w:r w:rsidR="00A1072C" w:rsidRPr="00A1072C">
        <w:rPr>
          <w:rFonts w:ascii="Arial" w:hAnsi="Arial" w:cs="Arial"/>
          <w:shd w:val="clear" w:color="auto" w:fill="FFFFFF"/>
        </w:rPr>
        <w:t xml:space="preserve"> et al., 2017)</w:t>
      </w:r>
      <w:r w:rsidR="00733080">
        <w:rPr>
          <w:rFonts w:ascii="Arial" w:hAnsi="Arial" w:cs="Arial"/>
          <w:shd w:val="clear" w:color="auto" w:fill="FFFFFF"/>
        </w:rPr>
        <w:t>.</w:t>
      </w:r>
    </w:p>
    <w:p w14:paraId="3BB99EAD" w14:textId="578D5BCD" w:rsidR="00F2501F" w:rsidRPr="00F2501F" w:rsidRDefault="00F2501F" w:rsidP="00F2501F">
      <w:pPr>
        <w:spacing w:line="360" w:lineRule="auto"/>
        <w:rPr>
          <w:rFonts w:ascii="Arial" w:eastAsia="Times New Roman" w:hAnsi="Arial" w:cs="Arial"/>
          <w:kern w:val="0"/>
          <w:lang w:eastAsia="en-GB"/>
          <w14:ligatures w14:val="none"/>
        </w:rPr>
      </w:pPr>
      <w:r w:rsidRPr="00F2501F">
        <w:rPr>
          <w:rFonts w:ascii="Arial" w:eastAsia="Times New Roman" w:hAnsi="Arial" w:cs="Arial"/>
          <w:kern w:val="0"/>
          <w:lang w:eastAsia="en-GB"/>
          <w14:ligatures w14:val="none"/>
        </w:rPr>
        <w:t xml:space="preserve">Moreover, </w:t>
      </w:r>
      <w:r w:rsidR="0006296A" w:rsidRPr="00F2501F">
        <w:rPr>
          <w:rFonts w:ascii="Arial" w:eastAsia="Times New Roman" w:hAnsi="Arial" w:cs="Arial"/>
          <w:kern w:val="0"/>
          <w:lang w:eastAsia="en-GB"/>
          <w14:ligatures w14:val="none"/>
        </w:rPr>
        <w:t>each</w:t>
      </w:r>
      <w:r w:rsidRPr="00F2501F">
        <w:rPr>
          <w:rFonts w:ascii="Arial" w:eastAsia="Times New Roman" w:hAnsi="Arial" w:cs="Arial"/>
          <w:kern w:val="0"/>
          <w:lang w:eastAsia="en-GB"/>
          <w14:ligatures w14:val="none"/>
        </w:rPr>
        <w:t xml:space="preserve"> scale's criteria highlight various aspects of the surrounding environment</w:t>
      </w:r>
      <w:r w:rsidR="00555B07">
        <w:rPr>
          <w:rFonts w:ascii="Arial" w:eastAsia="Times New Roman" w:hAnsi="Arial" w:cs="Arial"/>
          <w:kern w:val="0"/>
          <w:lang w:eastAsia="en-GB"/>
          <w14:ligatures w14:val="none"/>
        </w:rPr>
        <w:t xml:space="preserve"> (Gordan et al,</w:t>
      </w:r>
      <w:r w:rsidRPr="00F2501F">
        <w:rPr>
          <w:rFonts w:ascii="Arial" w:eastAsia="Times New Roman" w:hAnsi="Arial" w:cs="Arial"/>
          <w:kern w:val="0"/>
          <w:lang w:eastAsia="en-GB"/>
          <w14:ligatures w14:val="none"/>
        </w:rPr>
        <w:t xml:space="preserve"> </w:t>
      </w:r>
      <w:r w:rsidR="00555B07">
        <w:rPr>
          <w:rFonts w:ascii="Arial" w:eastAsia="Times New Roman" w:hAnsi="Arial" w:cs="Arial"/>
          <w:kern w:val="0"/>
          <w:lang w:eastAsia="en-GB"/>
          <w14:ligatures w14:val="none"/>
        </w:rPr>
        <w:t xml:space="preserve">2015). </w:t>
      </w:r>
      <w:r w:rsidRPr="00F2501F">
        <w:rPr>
          <w:rFonts w:ascii="Arial" w:eastAsia="Times New Roman" w:hAnsi="Arial" w:cs="Arial"/>
          <w:kern w:val="0"/>
          <w:lang w:eastAsia="en-GB"/>
          <w14:ligatures w14:val="none"/>
        </w:rPr>
        <w:t>Programme structure, parents and staff, activities, language and literacy, space and furnishings, and interaction are all evaluated by ECERS</w:t>
      </w:r>
      <w:r w:rsidR="00555B07">
        <w:rPr>
          <w:rFonts w:ascii="Arial" w:eastAsia="Times New Roman" w:hAnsi="Arial" w:cs="Arial"/>
          <w:kern w:val="0"/>
          <w:lang w:eastAsia="en-GB"/>
          <w14:ligatures w14:val="none"/>
        </w:rPr>
        <w:t>.</w:t>
      </w:r>
      <w:r w:rsidRPr="00F2501F">
        <w:rPr>
          <w:rFonts w:ascii="Arial" w:eastAsia="Times New Roman" w:hAnsi="Arial" w:cs="Arial"/>
          <w:kern w:val="0"/>
          <w:lang w:eastAsia="en-GB"/>
          <w14:ligatures w14:val="none"/>
        </w:rPr>
        <w:t xml:space="preserve"> By comparison, </w:t>
      </w:r>
      <w:r w:rsidR="004375AB">
        <w:rPr>
          <w:rFonts w:ascii="Arial" w:eastAsia="Times New Roman" w:hAnsi="Arial" w:cs="Arial"/>
          <w:kern w:val="0"/>
          <w:lang w:eastAsia="en-GB"/>
          <w14:ligatures w14:val="none"/>
        </w:rPr>
        <w:t xml:space="preserve">Eris, (N.D) states that </w:t>
      </w:r>
      <w:r w:rsidRPr="00F2501F">
        <w:rPr>
          <w:rFonts w:ascii="Arial" w:eastAsia="Times New Roman" w:hAnsi="Arial" w:cs="Arial"/>
          <w:kern w:val="0"/>
          <w:lang w:eastAsia="en-GB"/>
          <w14:ligatures w14:val="none"/>
        </w:rPr>
        <w:t xml:space="preserve">ITERS evaluates subscales including personal care routines, language and books, activities, interaction, programme structure, and parents and staff in addition to space and furnishings. In several areas, such interaction and programme design, there is overlap; nevertheless, the focus and particular indicators differ according to the developmental requirements and capacities of the different age groups. </w:t>
      </w:r>
    </w:p>
    <w:p w14:paraId="0A091A18" w14:textId="1E426D22" w:rsidR="00F2501F" w:rsidRPr="00F2501F" w:rsidRDefault="00F2501F" w:rsidP="00F2501F">
      <w:pPr>
        <w:spacing w:after="0" w:line="360" w:lineRule="auto"/>
        <w:rPr>
          <w:rFonts w:ascii="Arial" w:eastAsia="Times New Roman" w:hAnsi="Arial" w:cs="Arial"/>
          <w:kern w:val="0"/>
          <w:lang w:eastAsia="en-GB"/>
          <w14:ligatures w14:val="none"/>
        </w:rPr>
      </w:pPr>
      <w:r w:rsidRPr="00F2501F">
        <w:rPr>
          <w:rFonts w:ascii="Arial" w:eastAsia="Times New Roman" w:hAnsi="Arial" w:cs="Arial"/>
          <w:kern w:val="0"/>
          <w:lang w:eastAsia="en-GB"/>
          <w14:ligatures w14:val="none"/>
        </w:rPr>
        <w:lastRenderedPageBreak/>
        <w:t xml:space="preserve">Although ECERS and ITERS differ in certain ways, they both aim to provide the best possible learning and development in early childhood environments. Their insightful observations help educators and carers pinpoint programme strengths and areas for development. Professionals may provide supportive environments that assist children's holistic development </w:t>
      </w:r>
      <w:r w:rsidR="003F435F">
        <w:rPr>
          <w:rFonts w:ascii="Arial" w:eastAsia="Times New Roman" w:hAnsi="Arial" w:cs="Arial"/>
          <w:kern w:val="0"/>
          <w:lang w:eastAsia="en-GB"/>
          <w14:ligatures w14:val="none"/>
        </w:rPr>
        <w:t>this play-based learning as suggested by</w:t>
      </w:r>
      <w:r w:rsidR="003F435F">
        <w:rPr>
          <w:rFonts w:ascii="Arial" w:hAnsi="Arial" w:cs="Arial"/>
          <w:shd w:val="clear" w:color="auto" w:fill="FFFFFF"/>
        </w:rPr>
        <w:t xml:space="preserve"> </w:t>
      </w:r>
      <w:r w:rsidR="003F435F" w:rsidRPr="003F435F">
        <w:rPr>
          <w:rFonts w:ascii="Arial" w:hAnsi="Arial" w:cs="Arial"/>
          <w:shd w:val="clear" w:color="auto" w:fill="FFFFFF"/>
        </w:rPr>
        <w:t xml:space="preserve">Keung and Cheung, </w:t>
      </w:r>
      <w:r w:rsidR="003F435F">
        <w:rPr>
          <w:rFonts w:ascii="Arial" w:hAnsi="Arial" w:cs="Arial"/>
          <w:shd w:val="clear" w:color="auto" w:fill="FFFFFF"/>
        </w:rPr>
        <w:t>(</w:t>
      </w:r>
      <w:r w:rsidR="003F435F" w:rsidRPr="003F435F">
        <w:rPr>
          <w:rFonts w:ascii="Arial" w:hAnsi="Arial" w:cs="Arial"/>
          <w:shd w:val="clear" w:color="auto" w:fill="FFFFFF"/>
        </w:rPr>
        <w:t>2019)</w:t>
      </w:r>
      <w:r w:rsidR="003F435F" w:rsidRPr="003F435F">
        <w:rPr>
          <w:rFonts w:ascii="Arial" w:eastAsia="Times New Roman" w:hAnsi="Arial" w:cs="Arial"/>
          <w:kern w:val="0"/>
          <w:lang w:eastAsia="en-GB"/>
          <w14:ligatures w14:val="none"/>
        </w:rPr>
        <w:t xml:space="preserve"> </w:t>
      </w:r>
      <w:r w:rsidRPr="00F2501F">
        <w:rPr>
          <w:rFonts w:ascii="Arial" w:eastAsia="Times New Roman" w:hAnsi="Arial" w:cs="Arial"/>
          <w:kern w:val="0"/>
          <w:lang w:eastAsia="en-GB"/>
          <w14:ligatures w14:val="none"/>
        </w:rPr>
        <w:t>set the stage for success in lifelong learning by effectively implementing these methods of assessment.</w:t>
      </w:r>
    </w:p>
    <w:p w14:paraId="67CC94A3" w14:textId="5B092E8F" w:rsidR="00F2501F" w:rsidRPr="00F2501F" w:rsidRDefault="00F2501F" w:rsidP="00F2501F">
      <w:pPr>
        <w:spacing w:line="360" w:lineRule="auto"/>
        <w:rPr>
          <w:rFonts w:ascii="Arial" w:eastAsia="Times New Roman" w:hAnsi="Arial" w:cs="Arial"/>
          <w:kern w:val="0"/>
          <w:lang w:eastAsia="en-GB"/>
          <w14:ligatures w14:val="none"/>
        </w:rPr>
      </w:pPr>
    </w:p>
    <w:p w14:paraId="4334BC72" w14:textId="5850E64B" w:rsidR="00573F2A" w:rsidRPr="00573F2A" w:rsidRDefault="00C27EFE" w:rsidP="00573F2A">
      <w:pPr>
        <w:rPr>
          <w:rFonts w:ascii="Times New Roman" w:eastAsia="Times New Roman" w:hAnsi="Times New Roman" w:cs="Times New Roman"/>
          <w:kern w:val="0"/>
          <w:lang w:eastAsia="en-GB"/>
          <w14:ligatures w14:val="none"/>
        </w:rPr>
      </w:pPr>
      <w:r>
        <w:rPr>
          <w:rFonts w:ascii="Arial" w:eastAsia="Times New Roman" w:hAnsi="Arial" w:cs="Arial"/>
          <w:kern w:val="0"/>
          <w:lang w:eastAsia="en-GB"/>
          <w14:ligatures w14:val="none"/>
        </w:rPr>
        <w:t>As mentioned above</w:t>
      </w:r>
      <w:r w:rsidR="00C514DA">
        <w:rPr>
          <w:rFonts w:ascii="Arial" w:eastAsia="Times New Roman" w:hAnsi="Arial" w:cs="Arial"/>
          <w:kern w:val="0"/>
          <w:lang w:eastAsia="en-GB"/>
          <w14:ligatures w14:val="none"/>
        </w:rPr>
        <w:t xml:space="preserve"> </w:t>
      </w:r>
      <w:r w:rsidR="00B12030" w:rsidRPr="00B12030">
        <w:rPr>
          <w:rFonts w:ascii="Arial" w:eastAsia="Times New Roman" w:hAnsi="Arial" w:cs="Arial"/>
          <w:kern w:val="0"/>
          <w:lang w:eastAsia="en-GB"/>
          <w14:ligatures w14:val="none"/>
        </w:rPr>
        <w:t>ITERS: Focuses on elements of the surroundings, like the physical environment, safety, health, and relationships with carers, that are especially crucial for the care of newborns and toddlers</w:t>
      </w:r>
      <w:r w:rsidR="00B12030" w:rsidRPr="00F2501F">
        <w:rPr>
          <w:rFonts w:ascii="Arial" w:eastAsia="Times New Roman" w:hAnsi="Arial" w:cs="Arial"/>
          <w:kern w:val="0"/>
          <w:lang w:eastAsia="en-GB"/>
          <w14:ligatures w14:val="none"/>
        </w:rPr>
        <w:t xml:space="preserve"> whereas </w:t>
      </w:r>
      <w:r w:rsidR="00B12030" w:rsidRPr="00B12030">
        <w:rPr>
          <w:rFonts w:ascii="Arial" w:eastAsia="Times New Roman" w:hAnsi="Arial" w:cs="Arial"/>
          <w:kern w:val="0"/>
          <w:lang w:eastAsia="en-GB"/>
          <w14:ligatures w14:val="none"/>
        </w:rPr>
        <w:t>ECERS: Concentrates on the standard of the surroundings in preschool settings, encompassing interactions between children and staff members, as well as the availability of educational resources, socialisation possibilities, and activities</w:t>
      </w:r>
      <w:r w:rsidR="00C514DA">
        <w:rPr>
          <w:rFonts w:ascii="Arial" w:eastAsia="Times New Roman" w:hAnsi="Arial" w:cs="Arial"/>
          <w:kern w:val="0"/>
          <w:lang w:eastAsia="en-GB"/>
          <w14:ligatures w14:val="none"/>
        </w:rPr>
        <w:t xml:space="preserve"> </w:t>
      </w:r>
      <w:r w:rsidR="00C514DA" w:rsidRPr="00C514DA">
        <w:rPr>
          <w:rFonts w:ascii="Arial" w:hAnsi="Arial" w:cs="Arial"/>
          <w:shd w:val="clear" w:color="auto" w:fill="FFFFFF"/>
        </w:rPr>
        <w:t>(</w:t>
      </w:r>
      <w:proofErr w:type="spellStart"/>
      <w:r w:rsidR="00C514DA" w:rsidRPr="00C514DA">
        <w:rPr>
          <w:rFonts w:ascii="Arial" w:hAnsi="Arial" w:cs="Arial"/>
          <w:shd w:val="clear" w:color="auto" w:fill="FFFFFF"/>
        </w:rPr>
        <w:t>Rentzou</w:t>
      </w:r>
      <w:proofErr w:type="spellEnd"/>
      <w:r w:rsidR="00C514DA" w:rsidRPr="00C514DA">
        <w:rPr>
          <w:rFonts w:ascii="Arial" w:hAnsi="Arial" w:cs="Arial"/>
          <w:shd w:val="clear" w:color="auto" w:fill="FFFFFF"/>
        </w:rPr>
        <w:t xml:space="preserve"> and Sakellariou, 2013)</w:t>
      </w:r>
      <w:r w:rsidR="00C514DA" w:rsidRPr="00C514DA">
        <w:rPr>
          <w:rFonts w:ascii="Arial" w:hAnsi="Arial" w:cs="Arial"/>
          <w:shd w:val="clear" w:color="auto" w:fill="FFFFFF"/>
        </w:rPr>
        <w:t xml:space="preserve">. </w:t>
      </w:r>
      <w:r w:rsidR="00B12030" w:rsidRPr="00F2501F">
        <w:rPr>
          <w:rFonts w:ascii="Arial" w:eastAsia="Times New Roman" w:hAnsi="Arial" w:cs="Arial"/>
          <w:kern w:val="0"/>
          <w:lang w:eastAsia="en-GB"/>
          <w14:ligatures w14:val="none"/>
        </w:rPr>
        <w:t>Experts in early childhood education and child development created and updated both scales with the intention of offering a trustworthy and accurate indicator of environmental quality. Both scales stress the value of parents being involved in the development of their children and education,</w:t>
      </w:r>
      <w:r w:rsidR="00573F2A">
        <w:rPr>
          <w:rFonts w:ascii="Arial" w:hAnsi="Arial" w:cs="Arial"/>
          <w:shd w:val="clear" w:color="auto" w:fill="FFFFFF"/>
        </w:rPr>
        <w:t xml:space="preserve"> </w:t>
      </w:r>
      <w:r w:rsidR="00573F2A" w:rsidRPr="00F2501F">
        <w:rPr>
          <w:rFonts w:ascii="Arial" w:eastAsia="Times New Roman" w:hAnsi="Arial" w:cs="Arial"/>
          <w:kern w:val="0"/>
          <w:lang w:eastAsia="en-GB"/>
          <w14:ligatures w14:val="none"/>
        </w:rPr>
        <w:t xml:space="preserve">yet they may differ in the precise methods by which this is measured. </w:t>
      </w:r>
      <w:r w:rsidR="00B12030" w:rsidRPr="00F2501F">
        <w:rPr>
          <w:rFonts w:ascii="Arial" w:eastAsia="Times New Roman" w:hAnsi="Arial" w:cs="Arial"/>
          <w:kern w:val="0"/>
          <w:lang w:eastAsia="en-GB"/>
          <w14:ligatures w14:val="none"/>
        </w:rPr>
        <w:t xml:space="preserve"> </w:t>
      </w:r>
      <w:r w:rsidR="00573F2A" w:rsidRPr="00573F2A">
        <w:rPr>
          <w:rFonts w:ascii="Arial" w:hAnsi="Arial" w:cs="Arial"/>
          <w:shd w:val="clear" w:color="auto" w:fill="FFFFFF"/>
        </w:rPr>
        <w:t xml:space="preserve">DeMeulenaere, </w:t>
      </w:r>
      <w:r w:rsidR="00573F2A" w:rsidRPr="00573F2A">
        <w:rPr>
          <w:rFonts w:ascii="Arial" w:hAnsi="Arial" w:cs="Arial"/>
          <w:shd w:val="clear" w:color="auto" w:fill="FFFFFF"/>
        </w:rPr>
        <w:t>(</w:t>
      </w:r>
      <w:r w:rsidR="00573F2A" w:rsidRPr="00573F2A">
        <w:rPr>
          <w:rFonts w:ascii="Arial" w:hAnsi="Arial" w:cs="Arial"/>
          <w:shd w:val="clear" w:color="auto" w:fill="FFFFFF"/>
        </w:rPr>
        <w:t>2015)</w:t>
      </w:r>
      <w:r w:rsidR="00573F2A">
        <w:rPr>
          <w:rFonts w:ascii="Arial" w:hAnsi="Arial" w:cs="Arial"/>
          <w:shd w:val="clear" w:color="auto" w:fill="FFFFFF"/>
        </w:rPr>
        <w:t xml:space="preserve"> suggests that </w:t>
      </w:r>
      <w:r w:rsidR="00573F2A" w:rsidRPr="00573F2A">
        <w:rPr>
          <w:rFonts w:ascii="Arial" w:eastAsia="Times New Roman" w:hAnsi="Arial" w:cs="Arial"/>
          <w:kern w:val="0"/>
          <w:lang w:eastAsia="en-GB"/>
          <w14:ligatures w14:val="none"/>
        </w:rPr>
        <w:t>e</w:t>
      </w:r>
      <w:r w:rsidR="00573F2A" w:rsidRPr="00573F2A">
        <w:rPr>
          <w:rFonts w:ascii="Arial" w:eastAsia="Times New Roman" w:hAnsi="Arial" w:cs="Arial"/>
          <w:kern w:val="0"/>
          <w:lang w:eastAsia="en-GB"/>
          <w14:ligatures w14:val="none"/>
        </w:rPr>
        <w:t>arly care and education provided by the family is crucial for the cognitive and social development of young children. at order to foster an environment that supports learning both at home and at school, families must collaborate with carers. This is known as family involvement.</w:t>
      </w:r>
    </w:p>
    <w:p w14:paraId="6F6B3DA1" w14:textId="1DF3304A" w:rsidR="00B12030" w:rsidRPr="00F2501F" w:rsidRDefault="00B750DC" w:rsidP="00F2501F">
      <w:pPr>
        <w:spacing w:line="360" w:lineRule="auto"/>
        <w:rPr>
          <w:rFonts w:ascii="Arial" w:hAnsi="Arial" w:cs="Arial"/>
          <w:color w:val="0D0D0D"/>
          <w:shd w:val="clear" w:color="auto" w:fill="FFFFFF"/>
        </w:rPr>
      </w:pPr>
      <w:r w:rsidRPr="00F2501F">
        <w:rPr>
          <w:rFonts w:ascii="Arial" w:eastAsia="Times New Roman" w:hAnsi="Arial" w:cs="Arial"/>
          <w:kern w:val="0"/>
          <w:lang w:eastAsia="en-GB"/>
          <w14:ligatures w14:val="none"/>
        </w:rPr>
        <w:t xml:space="preserve">There are plenty of advantages to </w:t>
      </w:r>
      <w:r w:rsidR="00AE08CD" w:rsidRPr="00F2501F">
        <w:rPr>
          <w:rFonts w:ascii="Arial" w:eastAsia="Times New Roman" w:hAnsi="Arial" w:cs="Arial"/>
          <w:kern w:val="0"/>
          <w:lang w:eastAsia="en-GB"/>
          <w14:ligatures w14:val="none"/>
        </w:rPr>
        <w:t>using</w:t>
      </w:r>
      <w:r w:rsidRPr="00F2501F">
        <w:rPr>
          <w:rFonts w:ascii="Arial" w:eastAsia="Times New Roman" w:hAnsi="Arial" w:cs="Arial"/>
          <w:kern w:val="0"/>
          <w:lang w:eastAsia="en-GB"/>
          <w14:ligatures w14:val="none"/>
        </w:rPr>
        <w:t xml:space="preserve"> ITERS and ECERS </w:t>
      </w:r>
      <w:r w:rsidR="00AE08CD" w:rsidRPr="00F2501F">
        <w:rPr>
          <w:rFonts w:ascii="Arial" w:eastAsia="Times New Roman" w:hAnsi="Arial" w:cs="Arial"/>
          <w:kern w:val="0"/>
          <w:lang w:eastAsia="en-GB"/>
          <w14:ligatures w14:val="none"/>
        </w:rPr>
        <w:t>such as they both cover a wide ra</w:t>
      </w:r>
      <w:r w:rsidR="002B2D2D">
        <w:rPr>
          <w:rFonts w:ascii="Arial" w:eastAsia="Times New Roman" w:hAnsi="Arial" w:cs="Arial"/>
          <w:kern w:val="0"/>
          <w:lang w:eastAsia="en-GB"/>
          <w14:ligatures w14:val="none"/>
        </w:rPr>
        <w:t>n</w:t>
      </w:r>
      <w:r w:rsidR="00AE08CD" w:rsidRPr="00F2501F">
        <w:rPr>
          <w:rFonts w:ascii="Arial" w:eastAsia="Times New Roman" w:hAnsi="Arial" w:cs="Arial"/>
          <w:kern w:val="0"/>
          <w:lang w:eastAsia="en-GB"/>
          <w14:ligatures w14:val="none"/>
        </w:rPr>
        <w:t>ge of aspects of the environment</w:t>
      </w:r>
      <w:r w:rsidR="00573F2A" w:rsidRPr="00573F2A">
        <w:rPr>
          <w:rFonts w:ascii="Roboto" w:hAnsi="Roboto"/>
          <w:color w:val="2C3E50"/>
          <w:sz w:val="23"/>
          <w:szCs w:val="23"/>
          <w:shd w:val="clear" w:color="auto" w:fill="FFFFFF"/>
        </w:rPr>
        <w:t xml:space="preserve"> </w:t>
      </w:r>
      <w:r w:rsidR="00573F2A" w:rsidRPr="00733080">
        <w:rPr>
          <w:rFonts w:ascii="Arial" w:hAnsi="Arial" w:cs="Arial"/>
          <w:shd w:val="clear" w:color="auto" w:fill="FFFFFF"/>
        </w:rPr>
        <w:t xml:space="preserve">(Social Sci </w:t>
      </w:r>
      <w:proofErr w:type="spellStart"/>
      <w:r w:rsidR="00573F2A" w:rsidRPr="00733080">
        <w:rPr>
          <w:rFonts w:ascii="Arial" w:hAnsi="Arial" w:cs="Arial"/>
          <w:shd w:val="clear" w:color="auto" w:fill="FFFFFF"/>
        </w:rPr>
        <w:t>LibreTexts</w:t>
      </w:r>
      <w:proofErr w:type="spellEnd"/>
      <w:r w:rsidR="00573F2A" w:rsidRPr="00733080">
        <w:rPr>
          <w:rFonts w:ascii="Arial" w:hAnsi="Arial" w:cs="Arial"/>
          <w:shd w:val="clear" w:color="auto" w:fill="FFFFFF"/>
        </w:rPr>
        <w:t>, 2020)</w:t>
      </w:r>
      <w:r w:rsidR="00573F2A" w:rsidRPr="00733080">
        <w:rPr>
          <w:rFonts w:ascii="Arial" w:hAnsi="Arial" w:cs="Arial"/>
          <w:shd w:val="clear" w:color="auto" w:fill="FFFFFF"/>
        </w:rPr>
        <w:t>.</w:t>
      </w:r>
      <w:r w:rsidR="00AE3F92" w:rsidRPr="00733080">
        <w:rPr>
          <w:rFonts w:ascii="Arial" w:eastAsia="Times New Roman" w:hAnsi="Arial" w:cs="Arial"/>
          <w:kern w:val="0"/>
          <w:lang w:eastAsia="en-GB"/>
          <w14:ligatures w14:val="none"/>
        </w:rPr>
        <w:t xml:space="preserve"> </w:t>
      </w:r>
      <w:r w:rsidR="00AE3F92" w:rsidRPr="00F2501F">
        <w:rPr>
          <w:rFonts w:ascii="Arial" w:hAnsi="Arial" w:cs="Arial"/>
          <w:color w:val="0D0D0D"/>
          <w:shd w:val="clear" w:color="auto" w:fill="FFFFFF"/>
        </w:rPr>
        <w:t xml:space="preserve">The items on the ITERS and ECERS are grounded in research on child development and early childhood education, ensuring that the scale is based on best practice and another big advantage is that they both identify areas of strength and areas needing improvement to enhance the quality of care provided to young children. Whilst there are these advantages there a few disadvantages to use these tools to assess the quality of early years childhood education settings. ITERS can be time consuming due to the need for careful observation and documentation, similarly it is stated that ECERS can also be time </w:t>
      </w:r>
      <w:r w:rsidR="00C57952" w:rsidRPr="00F2501F">
        <w:rPr>
          <w:rFonts w:ascii="Arial" w:hAnsi="Arial" w:cs="Arial"/>
          <w:color w:val="0D0D0D"/>
          <w:shd w:val="clear" w:color="auto" w:fill="FFFFFF"/>
        </w:rPr>
        <w:t>consuming,</w:t>
      </w:r>
      <w:r w:rsidR="00AE3F92" w:rsidRPr="00F2501F">
        <w:rPr>
          <w:rFonts w:ascii="Arial" w:hAnsi="Arial" w:cs="Arial"/>
          <w:color w:val="0D0D0D"/>
          <w:shd w:val="clear" w:color="auto" w:fill="FFFFFF"/>
        </w:rPr>
        <w:t xml:space="preserve"> so this is a disadvantage to using these methods.</w:t>
      </w:r>
      <w:r w:rsidR="00C57952" w:rsidRPr="00F2501F">
        <w:rPr>
          <w:rFonts w:ascii="Arial" w:hAnsi="Arial" w:cs="Arial"/>
          <w:color w:val="0D0D0D"/>
          <w:shd w:val="clear" w:color="auto" w:fill="FFFFFF"/>
        </w:rPr>
        <w:t xml:space="preserve"> As well as time being a disadvantage ITERS only focuses on infant and toddler environments, whereas ECERS focuses on slightly elder children so they may not capture specific considerations for different ages.</w:t>
      </w:r>
      <w:r w:rsidR="00825E7C" w:rsidRPr="00F2501F">
        <w:rPr>
          <w:rFonts w:ascii="Arial" w:hAnsi="Arial" w:cs="Arial"/>
          <w:color w:val="0D0D0D"/>
          <w:shd w:val="clear" w:color="auto" w:fill="FFFFFF"/>
        </w:rPr>
        <w:t xml:space="preserve"> </w:t>
      </w:r>
    </w:p>
    <w:p w14:paraId="476E0CC4" w14:textId="4D9CBF40" w:rsidR="00ED0892" w:rsidRPr="00F2501F" w:rsidRDefault="00825E7C" w:rsidP="00F2501F">
      <w:pPr>
        <w:spacing w:line="360" w:lineRule="auto"/>
        <w:rPr>
          <w:rFonts w:ascii="Arial" w:eastAsia="Times New Roman" w:hAnsi="Arial" w:cs="Arial"/>
          <w:kern w:val="0"/>
          <w:lang w:eastAsia="en-GB"/>
          <w14:ligatures w14:val="none"/>
        </w:rPr>
      </w:pPr>
      <w:r w:rsidRPr="00825E7C">
        <w:rPr>
          <w:rFonts w:ascii="Arial" w:eastAsia="Times New Roman" w:hAnsi="Arial" w:cs="Arial"/>
          <w:kern w:val="0"/>
          <w:lang w:eastAsia="en-GB"/>
          <w14:ligatures w14:val="none"/>
        </w:rPr>
        <w:lastRenderedPageBreak/>
        <w:t>When evaluating the calibre of early childhood environments, the Infant/Toddler Environment Rating Scale (ITERS) and the Early Childhood Environment Rating Scale (ECERS) are useful resources.</w:t>
      </w:r>
      <w:r w:rsidRPr="00F2501F">
        <w:rPr>
          <w:rFonts w:ascii="Arial" w:eastAsia="Times New Roman" w:hAnsi="Arial" w:cs="Arial"/>
          <w:kern w:val="0"/>
          <w:lang w:eastAsia="en-GB"/>
          <w14:ligatures w14:val="none"/>
        </w:rPr>
        <w:t xml:space="preserve"> </w:t>
      </w:r>
      <w:r w:rsidRPr="00825E7C">
        <w:rPr>
          <w:rFonts w:ascii="Arial" w:eastAsia="Times New Roman" w:hAnsi="Arial" w:cs="Arial"/>
          <w:kern w:val="0"/>
          <w:lang w:eastAsia="en-GB"/>
          <w14:ligatures w14:val="none"/>
        </w:rPr>
        <w:t xml:space="preserve"> </w:t>
      </w:r>
      <w:r w:rsidRPr="00F2501F">
        <w:rPr>
          <w:rFonts w:ascii="Arial" w:eastAsia="Times New Roman" w:hAnsi="Arial" w:cs="Arial"/>
          <w:kern w:val="0"/>
          <w:lang w:eastAsia="en-GB"/>
          <w14:ligatures w14:val="none"/>
        </w:rPr>
        <w:t>They do, however, have limitations. The unique needs and experiences of every child is an important factor that they might not fully convey.</w:t>
      </w:r>
      <w:r w:rsidR="00733080">
        <w:rPr>
          <w:rFonts w:ascii="Arial" w:eastAsia="Times New Roman" w:hAnsi="Arial" w:cs="Arial"/>
          <w:kern w:val="0"/>
          <w:lang w:eastAsia="en-GB"/>
          <w14:ligatures w14:val="none"/>
        </w:rPr>
        <w:t xml:space="preserve"> This is an important part of early years now as (Gov. Wales, N.D)</w:t>
      </w:r>
      <w:r w:rsidRPr="00F2501F">
        <w:rPr>
          <w:rFonts w:ascii="Arial" w:eastAsia="Times New Roman" w:hAnsi="Arial" w:cs="Arial"/>
          <w:kern w:val="0"/>
          <w:lang w:eastAsia="en-GB"/>
          <w14:ligatures w14:val="none"/>
        </w:rPr>
        <w:t xml:space="preserve"> </w:t>
      </w:r>
      <w:r w:rsidR="00733080">
        <w:rPr>
          <w:rFonts w:ascii="Arial" w:eastAsia="Times New Roman" w:hAnsi="Arial" w:cs="Arial"/>
          <w:kern w:val="0"/>
          <w:lang w:eastAsia="en-GB"/>
          <w14:ligatures w14:val="none"/>
        </w:rPr>
        <w:t xml:space="preserve">explains that all children are </w:t>
      </w:r>
      <w:r w:rsidR="00F7156D">
        <w:rPr>
          <w:rFonts w:ascii="Arial" w:eastAsia="Times New Roman" w:hAnsi="Arial" w:cs="Arial"/>
          <w:kern w:val="0"/>
          <w:lang w:eastAsia="en-GB"/>
          <w14:ligatures w14:val="none"/>
        </w:rPr>
        <w:t>unique,</w:t>
      </w:r>
      <w:r w:rsidR="00733080">
        <w:rPr>
          <w:rFonts w:ascii="Arial" w:eastAsia="Times New Roman" w:hAnsi="Arial" w:cs="Arial"/>
          <w:kern w:val="0"/>
          <w:lang w:eastAsia="en-GB"/>
          <w14:ligatures w14:val="none"/>
        </w:rPr>
        <w:t xml:space="preserve"> and all learn at different </w:t>
      </w:r>
      <w:r w:rsidR="00EB2284">
        <w:rPr>
          <w:rFonts w:ascii="Arial" w:eastAsia="Times New Roman" w:hAnsi="Arial" w:cs="Arial"/>
          <w:kern w:val="0"/>
          <w:lang w:eastAsia="en-GB"/>
          <w14:ligatures w14:val="none"/>
        </w:rPr>
        <w:t>stages.</w:t>
      </w:r>
      <w:r w:rsidR="00F7156D" w:rsidRPr="00F7156D">
        <w:rPr>
          <w:rFonts w:ascii="Roboto" w:hAnsi="Roboto"/>
          <w:color w:val="2C3E50"/>
          <w:sz w:val="23"/>
          <w:szCs w:val="23"/>
          <w:shd w:val="clear" w:color="auto" w:fill="FFFFFF"/>
        </w:rPr>
        <w:t xml:space="preserve"> </w:t>
      </w:r>
      <w:r w:rsidR="00F7156D" w:rsidRPr="00F7156D">
        <w:rPr>
          <w:rFonts w:ascii="Arial" w:hAnsi="Arial" w:cs="Arial"/>
          <w:color w:val="2C3E50"/>
          <w:shd w:val="clear" w:color="auto" w:fill="FFFFFF"/>
        </w:rPr>
        <w:t>Siraj</w:t>
      </w:r>
      <w:r w:rsidR="00F7156D" w:rsidRPr="00F7156D">
        <w:rPr>
          <w:rFonts w:ascii="Cambria Math" w:hAnsi="Cambria Math" w:cs="Cambria Math"/>
          <w:color w:val="2C3E50"/>
          <w:shd w:val="clear" w:color="auto" w:fill="FFFFFF"/>
        </w:rPr>
        <w:t>‐</w:t>
      </w:r>
      <w:r w:rsidR="00F7156D" w:rsidRPr="00F7156D">
        <w:rPr>
          <w:rFonts w:ascii="Arial" w:hAnsi="Arial" w:cs="Arial"/>
          <w:color w:val="2C3E50"/>
          <w:shd w:val="clear" w:color="auto" w:fill="FFFFFF"/>
        </w:rPr>
        <w:t xml:space="preserve">Blatchford and Sylva, </w:t>
      </w:r>
      <w:r w:rsidR="00F7156D">
        <w:rPr>
          <w:rFonts w:ascii="Arial" w:hAnsi="Arial" w:cs="Arial"/>
          <w:color w:val="2C3E50"/>
          <w:shd w:val="clear" w:color="auto" w:fill="FFFFFF"/>
        </w:rPr>
        <w:t>(</w:t>
      </w:r>
      <w:r w:rsidR="00F7156D" w:rsidRPr="00F7156D">
        <w:rPr>
          <w:rFonts w:ascii="Arial" w:hAnsi="Arial" w:cs="Arial"/>
          <w:color w:val="2C3E50"/>
          <w:shd w:val="clear" w:color="auto" w:fill="FFFFFF"/>
        </w:rPr>
        <w:t>2004)</w:t>
      </w:r>
      <w:r w:rsidR="00EB2284" w:rsidRPr="00F7156D">
        <w:rPr>
          <w:rFonts w:ascii="Arial" w:eastAsia="Times New Roman" w:hAnsi="Arial" w:cs="Arial"/>
          <w:kern w:val="0"/>
          <w:lang w:eastAsia="en-GB"/>
          <w14:ligatures w14:val="none"/>
        </w:rPr>
        <w:t xml:space="preserve"> </w:t>
      </w:r>
      <w:r w:rsidR="00F7156D">
        <w:rPr>
          <w:rFonts w:ascii="Arial" w:eastAsia="Times New Roman" w:hAnsi="Arial" w:cs="Arial"/>
          <w:kern w:val="0"/>
          <w:lang w:eastAsia="en-GB"/>
          <w14:ligatures w14:val="none"/>
        </w:rPr>
        <w:t>explains that t</w:t>
      </w:r>
      <w:r w:rsidR="00EB2284" w:rsidRPr="00F2501F">
        <w:rPr>
          <w:rFonts w:ascii="Arial" w:eastAsia="Times New Roman" w:hAnsi="Arial" w:cs="Arial"/>
          <w:kern w:val="0"/>
          <w:lang w:eastAsia="en-GB"/>
          <w14:ligatures w14:val="none"/>
        </w:rPr>
        <w:t>hese</w:t>
      </w:r>
      <w:r w:rsidRPr="00F2501F">
        <w:rPr>
          <w:rFonts w:ascii="Arial" w:eastAsia="Times New Roman" w:hAnsi="Arial" w:cs="Arial"/>
          <w:kern w:val="0"/>
          <w:lang w:eastAsia="en-GB"/>
          <w14:ligatures w14:val="none"/>
        </w:rPr>
        <w:t xml:space="preserve"> rating systems provide thorough instructions for designing environments that are stimulating, but they might not take into consideration each child's unique interests, developmental stage, or cultural background. They may additionally fail to see the dynamic exchanges that take place all day long between carers and children. These assessments' quantitative character may also obscure qualitative elements like the emotional atmosphere of the setting or the sense of safety and belonging that children experience. Additionally, they may not sufficiently address children's emotional and social growth in favour of emphasising the environment's physical features.</w:t>
      </w:r>
      <w:r w:rsidR="00ED0892" w:rsidRPr="00F2501F">
        <w:rPr>
          <w:rFonts w:ascii="Arial" w:eastAsia="Times New Roman" w:hAnsi="Arial" w:cs="Arial"/>
          <w:kern w:val="0"/>
          <w:lang w:eastAsia="en-GB"/>
          <w14:ligatures w14:val="none"/>
        </w:rPr>
        <w:t xml:space="preserve"> In summary, although ITERS and ECERS offer significant observations on the general quality of early childhood environments, they fall short of capturing the complex and diverse range of children's experiences and growth in those environments</w:t>
      </w:r>
      <w:r w:rsidR="008C44F9">
        <w:rPr>
          <w:rFonts w:ascii="Arial" w:eastAsia="Times New Roman" w:hAnsi="Arial" w:cs="Arial"/>
          <w:kern w:val="0"/>
          <w:lang w:eastAsia="en-GB"/>
          <w14:ligatures w14:val="none"/>
        </w:rPr>
        <w:t xml:space="preserve"> </w:t>
      </w:r>
      <w:r w:rsidR="008C44F9" w:rsidRPr="008C44F9">
        <w:rPr>
          <w:rFonts w:ascii="Arial" w:hAnsi="Arial" w:cs="Arial"/>
          <w:shd w:val="clear" w:color="auto" w:fill="FFFFFF"/>
        </w:rPr>
        <w:t>(Vermeer et al., 2016)</w:t>
      </w:r>
      <w:r w:rsidR="008C44F9">
        <w:rPr>
          <w:rFonts w:ascii="Arial" w:hAnsi="Arial" w:cs="Arial"/>
          <w:shd w:val="clear" w:color="auto" w:fill="FFFFFF"/>
        </w:rPr>
        <w:t>.</w:t>
      </w:r>
    </w:p>
    <w:p w14:paraId="62958602" w14:textId="3993782C" w:rsidR="00AE3F92" w:rsidRPr="00F2501F" w:rsidRDefault="0065577A" w:rsidP="00F2501F">
      <w:pPr>
        <w:spacing w:line="360" w:lineRule="auto"/>
        <w:rPr>
          <w:rFonts w:ascii="Arial" w:eastAsia="Times New Roman" w:hAnsi="Arial" w:cs="Arial"/>
          <w:kern w:val="0"/>
          <w:lang w:eastAsia="en-GB"/>
          <w14:ligatures w14:val="none"/>
        </w:rPr>
      </w:pPr>
      <w:r w:rsidRPr="00F2501F">
        <w:rPr>
          <w:rFonts w:ascii="Arial" w:eastAsia="Times New Roman" w:hAnsi="Arial" w:cs="Arial"/>
          <w:kern w:val="0"/>
          <w:lang w:eastAsia="en-GB"/>
          <w14:ligatures w14:val="none"/>
        </w:rPr>
        <w:t>By regularly conducting assessments using ITERS and ECERS, early childhood educators can pinpoint areas where they excel and areas where they can enhance their practices to better support children's development. This data-driven approach allows educators to make informed decisions about curriculum planning, staff training, and resource allocation, ultimately driving continuous quality improvement in early childhood settings. Moreover, these scales provide a common language and benchmark for quality across diverse early childhood programs, facilitating collaboration and sharing of best practices within the field. Overall, the systematic use of ITERS and ECERS enables educators to create nurturing, engaging, and high-quality environments that promote optimal learning and development for young children.</w:t>
      </w:r>
    </w:p>
    <w:p w14:paraId="4C6316B1" w14:textId="364AC262" w:rsidR="0044186D" w:rsidRPr="00F2501F" w:rsidRDefault="00C57952" w:rsidP="00F2501F">
      <w:pPr>
        <w:spacing w:line="360" w:lineRule="auto"/>
        <w:rPr>
          <w:rFonts w:ascii="Arial" w:eastAsia="Times New Roman" w:hAnsi="Arial" w:cs="Arial"/>
          <w:kern w:val="0"/>
          <w:lang w:eastAsia="en-GB"/>
          <w14:ligatures w14:val="none"/>
        </w:rPr>
      </w:pPr>
      <w:r w:rsidRPr="00F2501F">
        <w:rPr>
          <w:rFonts w:ascii="Arial" w:eastAsia="Times New Roman" w:hAnsi="Arial" w:cs="Arial"/>
          <w:kern w:val="0"/>
          <w:lang w:eastAsia="en-GB"/>
          <w14:ligatures w14:val="none"/>
        </w:rPr>
        <w:t>The information collected from ITERS and |ECERS assessments play a crucial role in promoting contin</w:t>
      </w:r>
      <w:r w:rsidR="001F31C2" w:rsidRPr="00F2501F">
        <w:rPr>
          <w:rFonts w:ascii="Arial" w:eastAsia="Times New Roman" w:hAnsi="Arial" w:cs="Arial"/>
          <w:kern w:val="0"/>
          <w:lang w:eastAsia="en-GB"/>
          <w14:ligatures w14:val="none"/>
        </w:rPr>
        <w:t>uous quality improvement in early childhood education settings, supporting professional growth and development, and enhancing outcomes for young children</w:t>
      </w:r>
      <w:r w:rsidR="00EB2284">
        <w:rPr>
          <w:rFonts w:ascii="Arial" w:eastAsia="Times New Roman" w:hAnsi="Arial" w:cs="Arial"/>
          <w:kern w:val="0"/>
          <w:lang w:eastAsia="en-GB"/>
          <w14:ligatures w14:val="none"/>
        </w:rPr>
        <w:t xml:space="preserve"> </w:t>
      </w:r>
      <w:r w:rsidR="00EB2284" w:rsidRPr="00EB2284">
        <w:rPr>
          <w:rFonts w:ascii="Arial" w:hAnsi="Arial" w:cs="Arial"/>
          <w:shd w:val="clear" w:color="auto" w:fill="FFFFFF"/>
        </w:rPr>
        <w:t>(Eadie et al. 2022)</w:t>
      </w:r>
      <w:r w:rsidR="00EB2284">
        <w:rPr>
          <w:rFonts w:ascii="Arial" w:hAnsi="Arial" w:cs="Arial"/>
          <w:shd w:val="clear" w:color="auto" w:fill="FFFFFF"/>
        </w:rPr>
        <w:t>.</w:t>
      </w:r>
      <w:r w:rsidR="001F31C2" w:rsidRPr="00EB2284">
        <w:rPr>
          <w:rFonts w:ascii="Arial" w:eastAsia="Times New Roman" w:hAnsi="Arial" w:cs="Arial"/>
          <w:kern w:val="0"/>
          <w:lang w:eastAsia="en-GB"/>
          <w14:ligatures w14:val="none"/>
        </w:rPr>
        <w:t xml:space="preserve"> </w:t>
      </w:r>
      <w:r w:rsidR="001F31C2" w:rsidRPr="00F2501F">
        <w:rPr>
          <w:rFonts w:ascii="Arial" w:eastAsia="Times New Roman" w:hAnsi="Arial" w:cs="Arial"/>
          <w:kern w:val="0"/>
          <w:lang w:eastAsia="en-GB"/>
          <w14:ligatures w14:val="none"/>
        </w:rPr>
        <w:t xml:space="preserve">The information gathered from both of these </w:t>
      </w:r>
      <w:r w:rsidR="001F31C2" w:rsidRPr="00F2501F">
        <w:rPr>
          <w:rFonts w:ascii="Arial" w:eastAsia="Times New Roman" w:hAnsi="Arial" w:cs="Arial"/>
          <w:kern w:val="0"/>
          <w:lang w:eastAsia="en-GB"/>
          <w14:ligatures w14:val="none"/>
        </w:rPr>
        <w:lastRenderedPageBreak/>
        <w:t xml:space="preserve">methods are used to identify areas of strengths and progress. </w:t>
      </w:r>
      <w:r w:rsidR="0044186D" w:rsidRPr="00F2501F">
        <w:rPr>
          <w:rFonts w:ascii="Arial" w:eastAsia="Times New Roman" w:hAnsi="Arial" w:cs="Arial"/>
          <w:kern w:val="0"/>
          <w:lang w:eastAsia="en-GB"/>
          <w14:ligatures w14:val="none"/>
        </w:rPr>
        <w:t>Teachers and administrators can determine programme strengths and areas for growth by using the data from these assessments. For example, teachers can concentrate on implementing measures to improve positive teacher-child interactions, including modelling responsive communication or arranging group activities that stimulate socialisation, if the evaluation results show low scores in the interactions section</w:t>
      </w:r>
      <w:r w:rsidR="00F7156D">
        <w:rPr>
          <w:rFonts w:ascii="Arial" w:eastAsia="Times New Roman" w:hAnsi="Arial" w:cs="Arial"/>
          <w:kern w:val="0"/>
          <w:lang w:eastAsia="en-GB"/>
          <w14:ligatures w14:val="none"/>
        </w:rPr>
        <w:t xml:space="preserve"> (Welsh Gov, 2023).</w:t>
      </w:r>
      <w:r w:rsidR="0044186D" w:rsidRPr="00F2501F">
        <w:rPr>
          <w:rFonts w:ascii="Arial" w:eastAsia="Times New Roman" w:hAnsi="Arial" w:cs="Arial"/>
          <w:kern w:val="0"/>
          <w:lang w:eastAsia="en-GB"/>
          <w14:ligatures w14:val="none"/>
        </w:rPr>
        <w:t xml:space="preserve"> In a comparable manner, educators might try to improve the learning environment by bringing in a variety of age-appropriate resources that encourage creativity and discovery if the assessment reveals gaps in the quality and variety of materials children have access to</w:t>
      </w:r>
      <w:r w:rsidR="0044186D" w:rsidRPr="0044186D">
        <w:rPr>
          <w:rFonts w:ascii="Arial" w:eastAsia="Times New Roman" w:hAnsi="Arial" w:cs="Arial"/>
          <w:kern w:val="0"/>
          <w:lang w:eastAsia="en-GB"/>
          <w14:ligatures w14:val="none"/>
        </w:rPr>
        <w:t xml:space="preserve"> the data to establish clear goals for development and modify their methods of instruction to better suit the needs of the children assigned to their care</w:t>
      </w:r>
      <w:r w:rsidR="00F7156D">
        <w:rPr>
          <w:rFonts w:ascii="Arial" w:eastAsia="Times New Roman" w:hAnsi="Arial" w:cs="Arial"/>
          <w:kern w:val="0"/>
          <w:lang w:eastAsia="en-GB"/>
          <w14:ligatures w14:val="none"/>
        </w:rPr>
        <w:t xml:space="preserve"> (Blatchford and Sylva, 2004).</w:t>
      </w:r>
      <w:r w:rsidR="0044186D" w:rsidRPr="0044186D">
        <w:rPr>
          <w:rFonts w:ascii="Arial" w:eastAsia="Times New Roman" w:hAnsi="Arial" w:cs="Arial"/>
          <w:kern w:val="0"/>
          <w:lang w:eastAsia="en-GB"/>
          <w14:ligatures w14:val="none"/>
        </w:rPr>
        <w:t>The combined data can be used by administrators to prioritise professional development programmes, manage resources wisely, and push for changes in legislation that would improve the general standard of early childhood education</w:t>
      </w:r>
      <w:r w:rsidR="0065577A" w:rsidRPr="00F2501F">
        <w:rPr>
          <w:rFonts w:ascii="Arial" w:eastAsia="Times New Roman" w:hAnsi="Arial" w:cs="Arial"/>
          <w:kern w:val="0"/>
          <w:lang w:eastAsia="en-GB"/>
          <w14:ligatures w14:val="none"/>
        </w:rPr>
        <w:t xml:space="preserve">. </w:t>
      </w:r>
      <w:r w:rsidR="0044186D" w:rsidRPr="00F2501F">
        <w:rPr>
          <w:rFonts w:ascii="Arial" w:eastAsia="Times New Roman" w:hAnsi="Arial" w:cs="Arial"/>
          <w:kern w:val="0"/>
          <w:lang w:eastAsia="en-GB"/>
          <w14:ligatures w14:val="none"/>
        </w:rPr>
        <w:t>Furthermore, these evaluations are essential for encouraging transparency and accountability in early childhood education settings. Programmes show their dedication to offering young children high-quality care and education by performing assessments on a regular basis and communicating the results to stakeholders, including parents and licencing authorities. In the end, the data obtained from the ITERS and ECERS assessments acts as a stimulant for ongoing development, resulting in excellent child outcomes as well as promoting excellence in early childhood education</w:t>
      </w:r>
      <w:r w:rsidR="00733080">
        <w:rPr>
          <w:rFonts w:ascii="Arial" w:eastAsia="Times New Roman" w:hAnsi="Arial" w:cs="Arial"/>
          <w:kern w:val="0"/>
          <w:lang w:eastAsia="en-GB"/>
          <w14:ligatures w14:val="none"/>
        </w:rPr>
        <w:t xml:space="preserve"> (Welsh Gov, 2023).</w:t>
      </w:r>
    </w:p>
    <w:p w14:paraId="23919D12" w14:textId="7AA932DC" w:rsidR="007D10B7" w:rsidRDefault="007D10B7" w:rsidP="00F2501F">
      <w:pPr>
        <w:spacing w:line="360" w:lineRule="auto"/>
        <w:rPr>
          <w:rFonts w:ascii="Arial" w:hAnsi="Arial" w:cs="Arial"/>
          <w:shd w:val="clear" w:color="auto" w:fill="FFFFFF"/>
        </w:rPr>
      </w:pPr>
      <w:r w:rsidRPr="00F2501F">
        <w:rPr>
          <w:rFonts w:ascii="Arial" w:hAnsi="Arial" w:cs="Arial"/>
          <w:color w:val="0D0D0D"/>
          <w:shd w:val="clear" w:color="auto" w:fill="FFFFFF"/>
        </w:rPr>
        <w:t>In conclusion, the benefits of using ITERS and ECERS to improve and expand the quality of early childhood education are manifold. From facilitating ongoing assessment and improvement to fostering professional growth and parental engagement, these rating scales play a crucial role in ensuring that young children receive the high-quality educational experiences they deserve. By embracing the principles of continuous quality enhancement embedded in ITERS and ECERS, early childhood educators can create nurturing environments where every child can thrive and reach their full potential</w:t>
      </w:r>
      <w:r w:rsidR="001B7872">
        <w:rPr>
          <w:rFonts w:ascii="Arial" w:hAnsi="Arial" w:cs="Arial"/>
          <w:color w:val="0D0D0D"/>
          <w:shd w:val="clear" w:color="auto" w:fill="FFFFFF"/>
        </w:rPr>
        <w:t xml:space="preserve"> as improving quality should be a priority to all those working in early years </w:t>
      </w:r>
      <w:r w:rsidR="001B7872" w:rsidRPr="001B7872">
        <w:rPr>
          <w:rFonts w:ascii="Arial" w:hAnsi="Arial" w:cs="Arial"/>
          <w:shd w:val="clear" w:color="auto" w:fill="FFFFFF"/>
        </w:rPr>
        <w:t>(Reed and Canning, 2012)</w:t>
      </w:r>
      <w:r w:rsidR="001B7872">
        <w:rPr>
          <w:rFonts w:ascii="Arial" w:hAnsi="Arial" w:cs="Arial"/>
          <w:shd w:val="clear" w:color="auto" w:fill="FFFFFF"/>
        </w:rPr>
        <w:t xml:space="preserve">. </w:t>
      </w:r>
    </w:p>
    <w:p w14:paraId="18E5DEB9" w14:textId="77777777" w:rsidR="008C44F9" w:rsidRDefault="008C44F9" w:rsidP="00F2501F">
      <w:pPr>
        <w:spacing w:line="360" w:lineRule="auto"/>
        <w:rPr>
          <w:rFonts w:ascii="Arial" w:hAnsi="Arial" w:cs="Arial"/>
          <w:shd w:val="clear" w:color="auto" w:fill="FFFFFF"/>
        </w:rPr>
      </w:pPr>
    </w:p>
    <w:p w14:paraId="5F138F5A" w14:textId="77777777" w:rsidR="008C44F9" w:rsidRDefault="008C44F9" w:rsidP="008C44F9">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lastRenderedPageBreak/>
        <w:t>Eadie, P., Page, J., Levickis, P., Elek, C., Murray, L., Wang, L. and Lloyd-Johnsen, C. (2022). Domains of quality in early childhood education and care: A scoping review of the extent and consistency of the literature. </w:t>
      </w:r>
      <w:r>
        <w:rPr>
          <w:rFonts w:ascii="Calibri" w:hAnsi="Calibri" w:cs="Calibri"/>
          <w:i/>
          <w:iCs/>
          <w:color w:val="000000"/>
          <w:sz w:val="27"/>
          <w:szCs w:val="27"/>
        </w:rPr>
        <w:t>Educational Review</w:t>
      </w:r>
      <w:r>
        <w:rPr>
          <w:rFonts w:ascii="Calibri" w:hAnsi="Calibri" w:cs="Calibri"/>
          <w:color w:val="000000"/>
          <w:sz w:val="27"/>
          <w:szCs w:val="27"/>
        </w:rPr>
        <w:t xml:space="preserve">, pp.1–30.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://doi.org/10.1080/00131911.2022.2077704</w:t>
      </w:r>
      <w:proofErr w:type="gramEnd"/>
      <w:r>
        <w:rPr>
          <w:rFonts w:ascii="Calibri" w:hAnsi="Calibri" w:cs="Calibri"/>
          <w:color w:val="000000"/>
          <w:sz w:val="27"/>
          <w:szCs w:val="27"/>
        </w:rPr>
        <w:t>.</w:t>
      </w:r>
    </w:p>
    <w:p w14:paraId="0C6F5D2B" w14:textId="77777777" w:rsidR="008C44F9" w:rsidRDefault="008C44F9" w:rsidP="008C44F9">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w:t>
      </w:r>
      <w:r w:rsidRPr="00E44098">
        <w:rPr>
          <w:rFonts w:ascii="Calibri" w:hAnsi="Calibri" w:cs="Calibri"/>
          <w:color w:val="000000"/>
          <w:sz w:val="27"/>
          <w:szCs w:val="27"/>
        </w:rPr>
        <w:t xml:space="preserve"> </w:t>
      </w:r>
      <w:r>
        <w:rPr>
          <w:rFonts w:ascii="Calibri" w:hAnsi="Calibri" w:cs="Calibri"/>
          <w:color w:val="000000"/>
          <w:sz w:val="27"/>
          <w:szCs w:val="27"/>
        </w:rPr>
        <w:t>Ofsted (2023). </w:t>
      </w:r>
      <w:r>
        <w:rPr>
          <w:rFonts w:ascii="Calibri" w:hAnsi="Calibri" w:cs="Calibri"/>
          <w:i/>
          <w:iCs/>
          <w:color w:val="000000"/>
          <w:sz w:val="27"/>
          <w:szCs w:val="27"/>
        </w:rPr>
        <w:t>Best start in life part 2: the 3 prime areas of learning</w:t>
      </w:r>
      <w:r>
        <w:rPr>
          <w:rFonts w:ascii="Calibri" w:hAnsi="Calibri" w:cs="Calibri"/>
          <w:color w:val="000000"/>
          <w:sz w:val="27"/>
          <w:szCs w:val="27"/>
        </w:rPr>
        <w:t>. [online] GOV.UK. Available at: https://www.gov.uk/government/publications/best-start-in-life-a-research-review-for-early-years/best-start-in-life-part-2-the-3-prime-areas-of-learning.</w:t>
      </w:r>
    </w:p>
    <w:p w14:paraId="2755FC8F" w14:textId="77777777" w:rsidR="008C44F9" w:rsidRDefault="008C44F9" w:rsidP="008C44F9">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w:t>
      </w:r>
      <w:r w:rsidRPr="001F7C4C">
        <w:rPr>
          <w:rFonts w:ascii="Calibri" w:hAnsi="Calibri" w:cs="Calibri"/>
          <w:color w:val="000000"/>
          <w:sz w:val="27"/>
          <w:szCs w:val="27"/>
        </w:rPr>
        <w:t xml:space="preserve"> </w:t>
      </w:r>
      <w:r>
        <w:rPr>
          <w:rFonts w:ascii="Calibri" w:hAnsi="Calibri" w:cs="Calibri"/>
          <w:color w:val="000000"/>
          <w:sz w:val="27"/>
          <w:szCs w:val="27"/>
        </w:rPr>
        <w:t xml:space="preserve">Social Sci </w:t>
      </w:r>
      <w:proofErr w:type="spellStart"/>
      <w:r>
        <w:rPr>
          <w:rFonts w:ascii="Calibri" w:hAnsi="Calibri" w:cs="Calibri"/>
          <w:color w:val="000000"/>
          <w:sz w:val="27"/>
          <w:szCs w:val="27"/>
        </w:rPr>
        <w:t>LibreTexts</w:t>
      </w:r>
      <w:proofErr w:type="spellEnd"/>
      <w:r>
        <w:rPr>
          <w:rFonts w:ascii="Calibri" w:hAnsi="Calibri" w:cs="Calibri"/>
          <w:color w:val="000000"/>
          <w:sz w:val="27"/>
          <w:szCs w:val="27"/>
        </w:rPr>
        <w:t>. (2020). </w:t>
      </w:r>
      <w:r>
        <w:rPr>
          <w:rFonts w:ascii="Calibri" w:hAnsi="Calibri" w:cs="Calibri"/>
          <w:i/>
          <w:iCs/>
          <w:color w:val="000000"/>
          <w:sz w:val="27"/>
          <w:szCs w:val="27"/>
        </w:rPr>
        <w:t>2.8: Measuring High-Quality in Early Care and Education Classrooms</w:t>
      </w:r>
      <w:r>
        <w:rPr>
          <w:rFonts w:ascii="Calibri" w:hAnsi="Calibri" w:cs="Calibri"/>
          <w:color w:val="000000"/>
          <w:sz w:val="27"/>
          <w:szCs w:val="27"/>
        </w:rPr>
        <w:t>. [online] Available at: https://socialsci.libretexts.org/Bookshelves/Early_Childhood_Education/Observation_and_Assessment_in_Early_Childhood_Education_(Peterson_and_Elam)/02%3A_Quality_Counts/2.08%3A_Measuring_High-Quality_in_Early_Care_and_Education_Classrooms.</w:t>
      </w:r>
    </w:p>
    <w:p w14:paraId="28C6CDCC" w14:textId="77777777" w:rsidR="008C44F9" w:rsidRDefault="008C44F9" w:rsidP="008C44F9">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Cottle, M. and Alexander, E. (2012). Quality in early years settings: government, research and practitioners’ perspectives. </w:t>
      </w:r>
      <w:r>
        <w:rPr>
          <w:rFonts w:ascii="Calibri" w:hAnsi="Calibri" w:cs="Calibri"/>
          <w:i/>
          <w:iCs/>
          <w:color w:val="000000"/>
          <w:sz w:val="27"/>
          <w:szCs w:val="27"/>
        </w:rPr>
        <w:t>British Educational Research Journal</w:t>
      </w:r>
      <w:r>
        <w:rPr>
          <w:rFonts w:ascii="Calibri" w:hAnsi="Calibri" w:cs="Calibri"/>
          <w:color w:val="000000"/>
          <w:sz w:val="27"/>
          <w:szCs w:val="27"/>
        </w:rPr>
        <w:t xml:space="preserve">, 38(4), pp.635–654.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://doi.org/10.1080/01411926.2011.571661</w:t>
      </w:r>
      <w:proofErr w:type="gramEnd"/>
      <w:r>
        <w:rPr>
          <w:rFonts w:ascii="Calibri" w:hAnsi="Calibri" w:cs="Calibri"/>
          <w:color w:val="000000"/>
          <w:sz w:val="27"/>
          <w:szCs w:val="27"/>
        </w:rPr>
        <w:t>.</w:t>
      </w:r>
    </w:p>
    <w:p w14:paraId="6DD1C866" w14:textId="77777777" w:rsidR="008C44F9" w:rsidRDefault="008C44F9" w:rsidP="008C44F9">
      <w:pPr>
        <w:pStyle w:val="NormalWeb"/>
        <w:spacing w:line="360" w:lineRule="auto"/>
        <w:rPr>
          <w:rFonts w:ascii="Calibri" w:hAnsi="Calibri" w:cs="Calibri"/>
          <w:color w:val="000000"/>
          <w:sz w:val="27"/>
          <w:szCs w:val="27"/>
        </w:rPr>
      </w:pPr>
      <w:r>
        <w:rPr>
          <w:rFonts w:ascii="Calibri" w:hAnsi="Calibri" w:cs="Calibri"/>
          <w:color w:val="000000"/>
          <w:sz w:val="27"/>
          <w:szCs w:val="27"/>
        </w:rPr>
        <w:t xml:space="preserve">‌DeMeulenaere, M. (2015). Focus on Family: Family Involvement in Quality Early </w:t>
      </w:r>
      <w:proofErr w:type="gramStart"/>
      <w:r>
        <w:rPr>
          <w:rFonts w:ascii="Calibri" w:hAnsi="Calibri" w:cs="Calibri"/>
          <w:color w:val="000000"/>
          <w:sz w:val="27"/>
          <w:szCs w:val="27"/>
        </w:rPr>
        <w:t>Child Care</w:t>
      </w:r>
      <w:proofErr w:type="gramEnd"/>
      <w:r>
        <w:rPr>
          <w:rFonts w:ascii="Calibri" w:hAnsi="Calibri" w:cs="Calibri"/>
          <w:color w:val="000000"/>
          <w:sz w:val="27"/>
          <w:szCs w:val="27"/>
        </w:rPr>
        <w:t xml:space="preserve"> </w:t>
      </w:r>
      <w:proofErr w:type="spellStart"/>
      <w:r>
        <w:rPr>
          <w:rFonts w:ascii="Calibri" w:hAnsi="Calibri" w:cs="Calibri"/>
          <w:color w:val="000000"/>
          <w:sz w:val="27"/>
          <w:szCs w:val="27"/>
        </w:rPr>
        <w:t>Centers</w:t>
      </w:r>
      <w:proofErr w:type="spellEnd"/>
      <w:r>
        <w:rPr>
          <w:rFonts w:ascii="Calibri" w:hAnsi="Calibri" w:cs="Calibri"/>
          <w:color w:val="000000"/>
          <w:sz w:val="27"/>
          <w:szCs w:val="27"/>
        </w:rPr>
        <w:t>. </w:t>
      </w:r>
      <w:r>
        <w:rPr>
          <w:rFonts w:ascii="Calibri" w:hAnsi="Calibri" w:cs="Calibri"/>
          <w:i/>
          <w:iCs/>
          <w:color w:val="000000"/>
          <w:sz w:val="27"/>
          <w:szCs w:val="27"/>
        </w:rPr>
        <w:t>Childhood Education</w:t>
      </w:r>
      <w:r>
        <w:rPr>
          <w:rFonts w:ascii="Calibri" w:hAnsi="Calibri" w:cs="Calibri"/>
          <w:color w:val="000000"/>
          <w:sz w:val="27"/>
          <w:szCs w:val="27"/>
        </w:rPr>
        <w:t xml:space="preserve">, 91(4), pp.315–316.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://doi.org/10.1080/00094056.2015.1069164</w:t>
      </w:r>
      <w:proofErr w:type="gramEnd"/>
      <w:r>
        <w:rPr>
          <w:rFonts w:ascii="Calibri" w:hAnsi="Calibri" w:cs="Calibri"/>
          <w:color w:val="000000"/>
          <w:sz w:val="27"/>
          <w:szCs w:val="27"/>
        </w:rPr>
        <w:t>.</w:t>
      </w:r>
    </w:p>
    <w:p w14:paraId="2401E139" w14:textId="77777777" w:rsidR="008C44F9" w:rsidRDefault="008C44F9" w:rsidP="008C44F9">
      <w:pPr>
        <w:pStyle w:val="paragraph"/>
        <w:spacing w:before="0" w:beforeAutospacing="0" w:after="0" w:afterAutospacing="0" w:line="360" w:lineRule="auto"/>
        <w:textAlignment w:val="baseline"/>
        <w:rPr>
          <w:rStyle w:val="eop"/>
          <w:rFonts w:ascii="Arial" w:eastAsiaTheme="majorEastAsia" w:hAnsi="Arial" w:cs="Arial"/>
          <w:color w:val="000000"/>
        </w:rPr>
      </w:pPr>
      <w:r>
        <w:rPr>
          <w:rStyle w:val="normaltextrun"/>
          <w:rFonts w:ascii="Arial" w:eastAsiaTheme="majorEastAsia" w:hAnsi="Arial" w:cs="Arial"/>
          <w:color w:val="000000"/>
        </w:rPr>
        <w:t xml:space="preserve">Douglas, A. (2019) ‘Leadership for quality early childhood education and care’, </w:t>
      </w:r>
      <w:r>
        <w:rPr>
          <w:rStyle w:val="normaltextrun"/>
          <w:rFonts w:ascii="Arial" w:eastAsiaTheme="majorEastAsia" w:hAnsi="Arial" w:cs="Arial"/>
          <w:i/>
          <w:iCs/>
        </w:rPr>
        <w:t>OECD working paper</w:t>
      </w:r>
      <w:r>
        <w:rPr>
          <w:rStyle w:val="normaltextrun"/>
          <w:rFonts w:ascii="Arial" w:eastAsiaTheme="majorEastAsia" w:hAnsi="Arial" w:cs="Arial"/>
        </w:rPr>
        <w:t xml:space="preserve">. Available at: </w:t>
      </w:r>
      <w:hyperlink r:id="rId7" w:tgtFrame="_blank" w:history="1">
        <w:r>
          <w:rPr>
            <w:rStyle w:val="normaltextrun"/>
            <w:rFonts w:ascii="Arial" w:eastAsiaTheme="majorEastAsia" w:hAnsi="Arial" w:cs="Arial"/>
            <w:color w:val="0563C1"/>
            <w:u w:val="single"/>
          </w:rPr>
          <w:t>https://www.oecd-ilibra</w:t>
        </w:r>
        <w:r>
          <w:rPr>
            <w:rStyle w:val="normaltextrun"/>
            <w:rFonts w:ascii="Arial" w:eastAsiaTheme="majorEastAsia" w:hAnsi="Arial" w:cs="Arial"/>
            <w:color w:val="0563C1"/>
            <w:u w:val="single"/>
          </w:rPr>
          <w:t>r</w:t>
        </w:r>
        <w:r>
          <w:rPr>
            <w:rStyle w:val="normaltextrun"/>
            <w:rFonts w:ascii="Arial" w:eastAsiaTheme="majorEastAsia" w:hAnsi="Arial" w:cs="Arial"/>
            <w:color w:val="0563C1"/>
            <w:u w:val="single"/>
          </w:rPr>
          <w:t>y.org/docserver/6e563bae-en.pdf?expires=1652964702&amp;id=id&amp;accname=guest&amp;checksum=F82E8AC31EFD387E3077321759EC1309</w:t>
        </w:r>
      </w:hyperlink>
      <w:r>
        <w:rPr>
          <w:rStyle w:val="normaltextrun"/>
          <w:rFonts w:ascii="Arial" w:eastAsiaTheme="majorEastAsia" w:hAnsi="Arial" w:cs="Arial"/>
          <w:color w:val="000000"/>
        </w:rPr>
        <w:t>.</w:t>
      </w:r>
      <w:r>
        <w:rPr>
          <w:rStyle w:val="eop"/>
          <w:rFonts w:ascii="Arial" w:eastAsiaTheme="majorEastAsia" w:hAnsi="Arial" w:cs="Arial"/>
          <w:color w:val="000000"/>
        </w:rPr>
        <w:t> </w:t>
      </w:r>
    </w:p>
    <w:p w14:paraId="772A1E65" w14:textId="77777777" w:rsidR="008C44F9" w:rsidRDefault="008C44F9" w:rsidP="008C44F9">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 xml:space="preserve">Gordon, R.A., Hofer, K.G., Fujimoto, K.A., Risk, N., Kaestner, R. and </w:t>
      </w:r>
      <w:proofErr w:type="spellStart"/>
      <w:r>
        <w:rPr>
          <w:rFonts w:ascii="Calibri" w:hAnsi="Calibri" w:cs="Calibri"/>
          <w:color w:val="000000"/>
          <w:sz w:val="27"/>
          <w:szCs w:val="27"/>
        </w:rPr>
        <w:t>Korenman</w:t>
      </w:r>
      <w:proofErr w:type="spellEnd"/>
      <w:r>
        <w:rPr>
          <w:rFonts w:ascii="Calibri" w:hAnsi="Calibri" w:cs="Calibri"/>
          <w:color w:val="000000"/>
          <w:sz w:val="27"/>
          <w:szCs w:val="27"/>
        </w:rPr>
        <w:t xml:space="preserve">, S. (2015). Identifying High-Quality Preschool Programs: New Evidence on the Validity of the Early Childhood Environment Rating Scale–Revised (ECERS-R) in </w:t>
      </w:r>
      <w:r>
        <w:rPr>
          <w:rFonts w:ascii="Calibri" w:hAnsi="Calibri" w:cs="Calibri"/>
          <w:color w:val="000000"/>
          <w:sz w:val="27"/>
          <w:szCs w:val="27"/>
        </w:rPr>
        <w:lastRenderedPageBreak/>
        <w:t>Relation to School Readiness Goals. </w:t>
      </w:r>
      <w:r>
        <w:rPr>
          <w:rFonts w:ascii="Calibri" w:hAnsi="Calibri" w:cs="Calibri"/>
          <w:i/>
          <w:iCs/>
          <w:color w:val="000000"/>
          <w:sz w:val="27"/>
          <w:szCs w:val="27"/>
        </w:rPr>
        <w:t>Early Education and Development</w:t>
      </w:r>
      <w:r>
        <w:rPr>
          <w:rFonts w:ascii="Calibri" w:hAnsi="Calibri" w:cs="Calibri"/>
          <w:color w:val="000000"/>
          <w:sz w:val="27"/>
          <w:szCs w:val="27"/>
        </w:rPr>
        <w:t xml:space="preserve">, 26(8), pp.1086–1110.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://doi.org/10.1080/10409289.2015.1036348</w:t>
      </w:r>
      <w:proofErr w:type="gramEnd"/>
      <w:r>
        <w:rPr>
          <w:rFonts w:ascii="Calibri" w:hAnsi="Calibri" w:cs="Calibri"/>
          <w:color w:val="000000"/>
          <w:sz w:val="27"/>
          <w:szCs w:val="27"/>
        </w:rPr>
        <w:t>.</w:t>
      </w:r>
    </w:p>
    <w:p w14:paraId="25DD0EF7" w14:textId="77777777" w:rsidR="008C44F9" w:rsidRDefault="008C44F9" w:rsidP="008C44F9">
      <w:pPr>
        <w:pStyle w:val="NormalWeb"/>
        <w:spacing w:line="360" w:lineRule="auto"/>
        <w:rPr>
          <w:rFonts w:ascii="Calibri" w:hAnsi="Calibri" w:cs="Calibri"/>
          <w:color w:val="000000"/>
          <w:sz w:val="27"/>
          <w:szCs w:val="27"/>
        </w:rPr>
      </w:pPr>
      <w:r>
        <w:rPr>
          <w:rFonts w:ascii="Calibri" w:hAnsi="Calibri" w:cs="Calibri"/>
          <w:color w:val="000000"/>
          <w:sz w:val="27"/>
          <w:szCs w:val="27"/>
        </w:rPr>
        <w:t>‌GOV.WALES. (n.d.). </w:t>
      </w:r>
      <w:r>
        <w:rPr>
          <w:rFonts w:ascii="Calibri" w:hAnsi="Calibri" w:cs="Calibri"/>
          <w:i/>
          <w:iCs/>
          <w:color w:val="000000"/>
          <w:sz w:val="27"/>
          <w:szCs w:val="27"/>
        </w:rPr>
        <w:t>Your child’s development</w:t>
      </w:r>
      <w:r>
        <w:rPr>
          <w:rFonts w:ascii="Calibri" w:hAnsi="Calibri" w:cs="Calibri"/>
          <w:color w:val="000000"/>
          <w:sz w:val="27"/>
          <w:szCs w:val="27"/>
        </w:rPr>
        <w:t xml:space="preserve">. [online] Available at: </w:t>
      </w:r>
      <w:hyperlink r:id="rId8" w:history="1">
        <w:r w:rsidRPr="00115243">
          <w:rPr>
            <w:rStyle w:val="Hyperlink"/>
            <w:rFonts w:ascii="Calibri" w:hAnsi="Calibri" w:cs="Calibri"/>
            <w:sz w:val="27"/>
            <w:szCs w:val="27"/>
          </w:rPr>
          <w:t>https://www.gov.wales/parenting-give-it-time/your-childs-development</w:t>
        </w:r>
      </w:hyperlink>
      <w:r>
        <w:rPr>
          <w:rFonts w:ascii="Calibri" w:hAnsi="Calibri" w:cs="Calibri"/>
          <w:color w:val="000000"/>
          <w:sz w:val="27"/>
          <w:szCs w:val="27"/>
        </w:rPr>
        <w:t>. (Accessed 18 April 2024).</w:t>
      </w:r>
    </w:p>
    <w:p w14:paraId="2C93E064" w14:textId="77777777" w:rsidR="008C44F9" w:rsidRDefault="008C44F9" w:rsidP="008C44F9">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 xml:space="preserve">‌Introduction to the Early Childhood Environment Rating Scale (ECERS). (n.d.). Available at: </w:t>
      </w:r>
      <w:hyperlink r:id="rId9" w:history="1">
        <w:r w:rsidRPr="00115243">
          <w:rPr>
            <w:rStyle w:val="Hyperlink"/>
            <w:rFonts w:ascii="Calibri" w:hAnsi="Calibri" w:cs="Calibri"/>
            <w:sz w:val="27"/>
            <w:szCs w:val="27"/>
          </w:rPr>
          <w:t>https://www.isbe.net/Documents/ecers_presentation.pdf</w:t>
        </w:r>
      </w:hyperlink>
      <w:r>
        <w:rPr>
          <w:rFonts w:ascii="Calibri" w:hAnsi="Calibri" w:cs="Calibri"/>
          <w:color w:val="000000"/>
          <w:sz w:val="27"/>
          <w:szCs w:val="27"/>
        </w:rPr>
        <w:t xml:space="preserve">. (Accessed 19 April 2020). </w:t>
      </w:r>
    </w:p>
    <w:p w14:paraId="40141AD2" w14:textId="77777777" w:rsidR="008C44F9" w:rsidRDefault="008C44F9" w:rsidP="008C44F9">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Keung, C.P.C. and Cheung, A.C.K. (2019). Towards Holistic Supporting of Play-Based Learning Implementation in Kindergartens: A Mixed Method Study. </w:t>
      </w:r>
      <w:r>
        <w:rPr>
          <w:rFonts w:ascii="Calibri" w:hAnsi="Calibri" w:cs="Calibri"/>
          <w:i/>
          <w:iCs/>
          <w:color w:val="000000"/>
          <w:sz w:val="27"/>
          <w:szCs w:val="27"/>
        </w:rPr>
        <w:t>Early Childhood Education Journal</w:t>
      </w:r>
      <w:r>
        <w:rPr>
          <w:rFonts w:ascii="Calibri" w:hAnsi="Calibri" w:cs="Calibri"/>
          <w:color w:val="000000"/>
          <w:sz w:val="27"/>
          <w:szCs w:val="27"/>
        </w:rPr>
        <w:t xml:space="preserve">, 47(5), pp.627–640.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://doi.org/10.1007/s10643-019-00956-2</w:t>
      </w:r>
      <w:proofErr w:type="gramEnd"/>
      <w:r>
        <w:rPr>
          <w:rFonts w:ascii="Calibri" w:hAnsi="Calibri" w:cs="Calibri"/>
          <w:color w:val="000000"/>
          <w:sz w:val="27"/>
          <w:szCs w:val="27"/>
        </w:rPr>
        <w:t>.</w:t>
      </w:r>
    </w:p>
    <w:p w14:paraId="5E55B07F" w14:textId="77777777" w:rsidR="008C44F9" w:rsidRDefault="008C44F9" w:rsidP="008C44F9">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La Paro, K.M., Williamson, A.C. and Hatfield, B. (2014). Assessing Quality in Toddler Classrooms Using the CLASS-Toddler and the ITERS-R. </w:t>
      </w:r>
      <w:r>
        <w:rPr>
          <w:rFonts w:ascii="Calibri" w:hAnsi="Calibri" w:cs="Calibri"/>
          <w:i/>
          <w:iCs/>
          <w:color w:val="000000"/>
          <w:sz w:val="27"/>
          <w:szCs w:val="27"/>
        </w:rPr>
        <w:t>Early Education and Development</w:t>
      </w:r>
      <w:r>
        <w:rPr>
          <w:rFonts w:ascii="Calibri" w:hAnsi="Calibri" w:cs="Calibri"/>
          <w:color w:val="000000"/>
          <w:sz w:val="27"/>
          <w:szCs w:val="27"/>
        </w:rPr>
        <w:t xml:space="preserve">, 25(6), pp.875–893.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://doi.org/10.1080/10409289.2014.883586</w:t>
      </w:r>
      <w:proofErr w:type="gramEnd"/>
      <w:r>
        <w:rPr>
          <w:rFonts w:ascii="Calibri" w:hAnsi="Calibri" w:cs="Calibri"/>
          <w:color w:val="000000"/>
          <w:sz w:val="27"/>
          <w:szCs w:val="27"/>
        </w:rPr>
        <w:t>.</w:t>
      </w:r>
    </w:p>
    <w:p w14:paraId="1860D98C" w14:textId="77777777" w:rsidR="008C44F9" w:rsidRDefault="008C44F9" w:rsidP="008C44F9">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Moss, P. (2016). Why can’t we get beyond quality? </w:t>
      </w:r>
      <w:r>
        <w:rPr>
          <w:rFonts w:ascii="Calibri" w:hAnsi="Calibri" w:cs="Calibri"/>
          <w:i/>
          <w:iCs/>
          <w:color w:val="000000"/>
          <w:sz w:val="27"/>
          <w:szCs w:val="27"/>
        </w:rPr>
        <w:t>Contemporary Issues in Early Childhood</w:t>
      </w:r>
      <w:r>
        <w:rPr>
          <w:rFonts w:ascii="Calibri" w:hAnsi="Calibri" w:cs="Calibri"/>
          <w:color w:val="000000"/>
          <w:sz w:val="27"/>
          <w:szCs w:val="27"/>
        </w:rPr>
        <w:t xml:space="preserve">, 17(1), pp.8–15.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://doi.org/10.1177/1463949115627895</w:t>
      </w:r>
      <w:proofErr w:type="gramEnd"/>
      <w:r>
        <w:rPr>
          <w:rFonts w:ascii="Calibri" w:hAnsi="Calibri" w:cs="Calibri"/>
          <w:color w:val="000000"/>
          <w:sz w:val="27"/>
          <w:szCs w:val="27"/>
        </w:rPr>
        <w:t>.</w:t>
      </w:r>
    </w:p>
    <w:p w14:paraId="5686886E" w14:textId="77777777" w:rsidR="008C44F9" w:rsidRDefault="008C44F9" w:rsidP="008C44F9">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 xml:space="preserve">N. N. Hui, A., L. W. Lee, M., S. C. Yeung, P., H. Y. Chick, J., K. Y. Ho, A. and K. Y. Ng, C. (2017). Enhancement of Quality in Early Childhood </w:t>
      </w:r>
      <w:proofErr w:type="gramStart"/>
      <w:r>
        <w:rPr>
          <w:rFonts w:ascii="Calibri" w:hAnsi="Calibri" w:cs="Calibri"/>
          <w:color w:val="000000"/>
          <w:sz w:val="27"/>
          <w:szCs w:val="27"/>
        </w:rPr>
        <w:t>Education :</w:t>
      </w:r>
      <w:proofErr w:type="gramEnd"/>
      <w:r>
        <w:rPr>
          <w:rFonts w:ascii="Calibri" w:hAnsi="Calibri" w:cs="Calibri"/>
          <w:color w:val="000000"/>
          <w:sz w:val="27"/>
          <w:szCs w:val="27"/>
        </w:rPr>
        <w:t xml:space="preserve"> Using the Early Childhood Environment Rating </w:t>
      </w:r>
      <w:proofErr w:type="spellStart"/>
      <w:r>
        <w:rPr>
          <w:rFonts w:ascii="Calibri" w:hAnsi="Calibri" w:cs="Calibri"/>
          <w:color w:val="000000"/>
          <w:sz w:val="27"/>
          <w:szCs w:val="27"/>
        </w:rPr>
        <w:t>ScaleExtension</w:t>
      </w:r>
      <w:proofErr w:type="spellEnd"/>
      <w:r>
        <w:rPr>
          <w:rFonts w:ascii="Calibri" w:hAnsi="Calibri" w:cs="Calibri"/>
          <w:color w:val="000000"/>
          <w:sz w:val="27"/>
          <w:szCs w:val="27"/>
        </w:rPr>
        <w:t xml:space="preserve"> (ECERS-E) and Revised (ECRES-R) as Formative Assessment Tools for Professional Development - An Experience from Hong Kong. </w:t>
      </w:r>
      <w:r>
        <w:rPr>
          <w:rFonts w:ascii="Calibri" w:hAnsi="Calibri" w:cs="Calibri"/>
          <w:i/>
          <w:iCs/>
          <w:color w:val="000000"/>
          <w:sz w:val="27"/>
          <w:szCs w:val="27"/>
        </w:rPr>
        <w:t>Pacific Early Childhood Education Research Association</w:t>
      </w:r>
      <w:r>
        <w:rPr>
          <w:rFonts w:ascii="Calibri" w:hAnsi="Calibri" w:cs="Calibri"/>
          <w:color w:val="000000"/>
          <w:sz w:val="27"/>
          <w:szCs w:val="27"/>
        </w:rPr>
        <w:t xml:space="preserve">, 11(3), pp.1–16.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://doi.org/10.17206/apjrece.2017.11.3.1</w:t>
      </w:r>
      <w:proofErr w:type="gramEnd"/>
      <w:r>
        <w:rPr>
          <w:rFonts w:ascii="Calibri" w:hAnsi="Calibri" w:cs="Calibri"/>
          <w:color w:val="000000"/>
          <w:sz w:val="27"/>
          <w:szCs w:val="27"/>
        </w:rPr>
        <w:t>.</w:t>
      </w:r>
    </w:p>
    <w:p w14:paraId="022CC320" w14:textId="77777777" w:rsidR="008C44F9" w:rsidRDefault="008C44F9" w:rsidP="008C44F9">
      <w:pPr>
        <w:pStyle w:val="NormalWeb"/>
        <w:spacing w:line="360" w:lineRule="auto"/>
        <w:rPr>
          <w:rFonts w:ascii="Calibri" w:hAnsi="Calibri" w:cs="Calibri"/>
          <w:color w:val="000000"/>
          <w:sz w:val="27"/>
          <w:szCs w:val="27"/>
        </w:rPr>
      </w:pPr>
      <w:r>
        <w:rPr>
          <w:rFonts w:ascii="Calibri" w:hAnsi="Calibri" w:cs="Calibri"/>
          <w:color w:val="000000"/>
          <w:sz w:val="27"/>
          <w:szCs w:val="27"/>
        </w:rPr>
        <w:t>‌Reed, M. and Canning, N. (2012). </w:t>
      </w:r>
      <w:r>
        <w:rPr>
          <w:rFonts w:ascii="Calibri" w:hAnsi="Calibri" w:cs="Calibri"/>
          <w:i/>
          <w:iCs/>
          <w:color w:val="000000"/>
          <w:sz w:val="27"/>
          <w:szCs w:val="27"/>
        </w:rPr>
        <w:t>Implementing quality improvement and change in the early years</w:t>
      </w:r>
      <w:r>
        <w:rPr>
          <w:rFonts w:ascii="Calibri" w:hAnsi="Calibri" w:cs="Calibri"/>
          <w:color w:val="000000"/>
          <w:sz w:val="27"/>
          <w:szCs w:val="27"/>
        </w:rPr>
        <w:t xml:space="preserve">. Los Angeles, </w:t>
      </w:r>
      <w:proofErr w:type="gramStart"/>
      <w:r>
        <w:rPr>
          <w:rFonts w:ascii="Calibri" w:hAnsi="Calibri" w:cs="Calibri"/>
          <w:color w:val="000000"/>
          <w:sz w:val="27"/>
          <w:szCs w:val="27"/>
        </w:rPr>
        <w:t>California ;</w:t>
      </w:r>
      <w:proofErr w:type="gramEnd"/>
      <w:r>
        <w:rPr>
          <w:rFonts w:ascii="Calibri" w:hAnsi="Calibri" w:cs="Calibri"/>
          <w:color w:val="000000"/>
          <w:sz w:val="27"/>
          <w:szCs w:val="27"/>
        </w:rPr>
        <w:t xml:space="preserve"> London: Sage.</w:t>
      </w:r>
    </w:p>
    <w:p w14:paraId="0A4649F7" w14:textId="77777777" w:rsidR="008C44F9" w:rsidRDefault="008C44F9" w:rsidP="008C44F9">
      <w:pPr>
        <w:pStyle w:val="NormalWeb"/>
        <w:spacing w:before="0" w:beforeAutospacing="0" w:after="0" w:afterAutospacing="0" w:line="360" w:lineRule="auto"/>
        <w:rPr>
          <w:rFonts w:ascii="Calibri" w:hAnsi="Calibri" w:cs="Calibri"/>
          <w:color w:val="000000"/>
          <w:sz w:val="27"/>
          <w:szCs w:val="27"/>
        </w:rPr>
      </w:pPr>
      <w:proofErr w:type="spellStart"/>
      <w:r>
        <w:rPr>
          <w:rFonts w:ascii="Calibri" w:hAnsi="Calibri" w:cs="Calibri"/>
          <w:color w:val="000000"/>
          <w:sz w:val="27"/>
          <w:szCs w:val="27"/>
        </w:rPr>
        <w:lastRenderedPageBreak/>
        <w:t>Rentzou</w:t>
      </w:r>
      <w:proofErr w:type="spellEnd"/>
      <w:r>
        <w:rPr>
          <w:rFonts w:ascii="Calibri" w:hAnsi="Calibri" w:cs="Calibri"/>
          <w:color w:val="000000"/>
          <w:sz w:val="27"/>
          <w:szCs w:val="27"/>
        </w:rPr>
        <w:t>, K. and Sakellariou, M. (2013). Researcher’s and parents’ perspectives on quality of care and education. </w:t>
      </w:r>
      <w:r>
        <w:rPr>
          <w:rFonts w:ascii="Calibri" w:hAnsi="Calibri" w:cs="Calibri"/>
          <w:i/>
          <w:iCs/>
          <w:color w:val="000000"/>
          <w:sz w:val="27"/>
          <w:szCs w:val="27"/>
        </w:rPr>
        <w:t>Early Child Development and Care</w:t>
      </w:r>
      <w:r>
        <w:rPr>
          <w:rFonts w:ascii="Calibri" w:hAnsi="Calibri" w:cs="Calibri"/>
          <w:color w:val="000000"/>
          <w:sz w:val="27"/>
          <w:szCs w:val="27"/>
        </w:rPr>
        <w:t xml:space="preserve">, 183(2), pp.294–307.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://doi.org/10.1080/03004430.2012.673486</w:t>
      </w:r>
      <w:proofErr w:type="gramEnd"/>
      <w:r>
        <w:rPr>
          <w:rFonts w:ascii="Calibri" w:hAnsi="Calibri" w:cs="Calibri"/>
          <w:color w:val="000000"/>
          <w:sz w:val="27"/>
          <w:szCs w:val="27"/>
        </w:rPr>
        <w:t>.</w:t>
      </w:r>
    </w:p>
    <w:p w14:paraId="45904A12" w14:textId="77777777" w:rsidR="008C44F9" w:rsidRDefault="008C44F9" w:rsidP="008C44F9">
      <w:pPr>
        <w:pStyle w:val="NormalWeb"/>
        <w:spacing w:before="0" w:beforeAutospacing="0" w:after="0" w:afterAutospacing="0" w:line="360" w:lineRule="auto"/>
        <w:rPr>
          <w:rFonts w:ascii="Calibri" w:hAnsi="Calibri" w:cs="Calibri"/>
          <w:color w:val="000000"/>
          <w:sz w:val="27"/>
          <w:szCs w:val="27"/>
        </w:rPr>
      </w:pPr>
      <w:r w:rsidRPr="00E10221">
        <w:rPr>
          <w:rFonts w:ascii="Calibri" w:hAnsi="Calibri" w:cs="Calibri"/>
          <w:color w:val="000000"/>
          <w:sz w:val="27"/>
          <w:szCs w:val="27"/>
        </w:rPr>
        <w:t xml:space="preserve"> </w:t>
      </w:r>
      <w:proofErr w:type="spellStart"/>
      <w:r>
        <w:rPr>
          <w:rFonts w:ascii="Calibri" w:hAnsi="Calibri" w:cs="Calibri"/>
          <w:color w:val="000000"/>
          <w:sz w:val="27"/>
          <w:szCs w:val="27"/>
        </w:rPr>
        <w:t>Rudoe</w:t>
      </w:r>
      <w:proofErr w:type="spellEnd"/>
      <w:r>
        <w:rPr>
          <w:rFonts w:ascii="Calibri" w:hAnsi="Calibri" w:cs="Calibri"/>
          <w:color w:val="000000"/>
          <w:sz w:val="27"/>
          <w:szCs w:val="27"/>
        </w:rPr>
        <w:t>, N. (2020). ‘We believe in every child as an individual’: Nursery school head teachers’ understandings of ‘quality’ in early years education. </w:t>
      </w:r>
      <w:r>
        <w:rPr>
          <w:rFonts w:ascii="Calibri" w:hAnsi="Calibri" w:cs="Calibri"/>
          <w:i/>
          <w:iCs/>
          <w:color w:val="000000"/>
          <w:sz w:val="27"/>
          <w:szCs w:val="27"/>
        </w:rPr>
        <w:t>British Educational Research Journal</w:t>
      </w:r>
      <w:r>
        <w:rPr>
          <w:rFonts w:ascii="Calibri" w:hAnsi="Calibri" w:cs="Calibri"/>
          <w:color w:val="000000"/>
          <w:sz w:val="27"/>
          <w:szCs w:val="27"/>
        </w:rPr>
        <w:t xml:space="preserve">, 46(5).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://doi.org/10.1002/berj.3610</w:t>
      </w:r>
      <w:proofErr w:type="gramEnd"/>
      <w:r>
        <w:rPr>
          <w:rFonts w:ascii="Calibri" w:hAnsi="Calibri" w:cs="Calibri"/>
          <w:color w:val="000000"/>
          <w:sz w:val="27"/>
          <w:szCs w:val="27"/>
        </w:rPr>
        <w:t>.</w:t>
      </w:r>
    </w:p>
    <w:p w14:paraId="4B766DFE" w14:textId="77777777" w:rsidR="008C44F9" w:rsidRDefault="008C44F9" w:rsidP="008C44F9">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Siraj‐</w:t>
      </w:r>
      <w:proofErr w:type="gramStart"/>
      <w:r>
        <w:rPr>
          <w:rFonts w:ascii="Calibri" w:hAnsi="Calibri" w:cs="Calibri"/>
          <w:color w:val="000000"/>
          <w:sz w:val="27"/>
          <w:szCs w:val="27"/>
        </w:rPr>
        <w:t>Blatchford ,</w:t>
      </w:r>
      <w:proofErr w:type="gramEnd"/>
      <w:r>
        <w:rPr>
          <w:rFonts w:ascii="Calibri" w:hAnsi="Calibri" w:cs="Calibri"/>
          <w:color w:val="000000"/>
          <w:sz w:val="27"/>
          <w:szCs w:val="27"/>
        </w:rPr>
        <w:t xml:space="preserve"> I. and Sylva, K. (2004). Researching pedagogy in English pre‐schools. </w:t>
      </w:r>
      <w:r>
        <w:rPr>
          <w:rFonts w:ascii="Calibri" w:hAnsi="Calibri" w:cs="Calibri"/>
          <w:i/>
          <w:iCs/>
          <w:color w:val="000000"/>
          <w:sz w:val="27"/>
          <w:szCs w:val="27"/>
        </w:rPr>
        <w:t>British Educational Research Journal</w:t>
      </w:r>
      <w:r>
        <w:rPr>
          <w:rFonts w:ascii="Calibri" w:hAnsi="Calibri" w:cs="Calibri"/>
          <w:color w:val="000000"/>
          <w:sz w:val="27"/>
          <w:szCs w:val="27"/>
        </w:rPr>
        <w:t xml:space="preserve">, 30(5), pp.713–730.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://doi.org/10.1080/0141192042000234665</w:t>
      </w:r>
      <w:proofErr w:type="gramEnd"/>
      <w:r>
        <w:rPr>
          <w:rFonts w:ascii="Calibri" w:hAnsi="Calibri" w:cs="Calibri"/>
          <w:color w:val="000000"/>
          <w:sz w:val="27"/>
          <w:szCs w:val="27"/>
        </w:rPr>
        <w:t>.</w:t>
      </w:r>
    </w:p>
    <w:p w14:paraId="1966958C" w14:textId="77777777" w:rsidR="008C44F9" w:rsidRDefault="008C44F9" w:rsidP="008C44F9">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UNICEF (2000). </w:t>
      </w:r>
      <w:r>
        <w:rPr>
          <w:rFonts w:ascii="Calibri" w:hAnsi="Calibri" w:cs="Calibri"/>
          <w:i/>
          <w:iCs/>
          <w:color w:val="000000"/>
          <w:sz w:val="27"/>
          <w:szCs w:val="27"/>
        </w:rPr>
        <w:t>Defining Quality in Education</w:t>
      </w:r>
      <w:r>
        <w:rPr>
          <w:rFonts w:ascii="Calibri" w:hAnsi="Calibri" w:cs="Calibri"/>
          <w:color w:val="000000"/>
          <w:sz w:val="27"/>
          <w:szCs w:val="27"/>
        </w:rPr>
        <w:t xml:space="preserve">. [online] Available at: </w:t>
      </w:r>
      <w:hyperlink r:id="rId10" w:history="1">
        <w:r w:rsidRPr="00115243">
          <w:rPr>
            <w:rStyle w:val="Hyperlink"/>
            <w:rFonts w:ascii="Calibri" w:hAnsi="Calibri" w:cs="Calibri"/>
            <w:sz w:val="27"/>
            <w:szCs w:val="27"/>
          </w:rPr>
          <w:t>https://www.right-to-education.org/sites/right-to-education.org/files/resource-attachments/UNICEF_Defining_Quality_Education_2000.PDF</w:t>
        </w:r>
      </w:hyperlink>
      <w:r>
        <w:rPr>
          <w:rFonts w:ascii="Calibri" w:hAnsi="Calibri" w:cs="Calibri"/>
          <w:color w:val="000000"/>
          <w:sz w:val="27"/>
          <w:szCs w:val="27"/>
        </w:rPr>
        <w:t>. (Accessed 18 April 2024).</w:t>
      </w:r>
    </w:p>
    <w:p w14:paraId="0F83E165" w14:textId="77777777" w:rsidR="008C44F9" w:rsidRDefault="008C44F9" w:rsidP="008C44F9">
      <w:pPr>
        <w:pStyle w:val="NormalWeb"/>
        <w:spacing w:before="0" w:beforeAutospacing="0" w:after="0" w:afterAutospacing="0" w:line="360" w:lineRule="auto"/>
        <w:rPr>
          <w:rFonts w:ascii="Calibri" w:hAnsi="Calibri" w:cs="Calibri"/>
          <w:color w:val="000000"/>
          <w:sz w:val="27"/>
          <w:szCs w:val="27"/>
        </w:rPr>
      </w:pPr>
      <w:r w:rsidRPr="00062C5C">
        <w:rPr>
          <w:rFonts w:ascii="Calibri" w:hAnsi="Calibri" w:cs="Calibri"/>
          <w:color w:val="000000"/>
          <w:sz w:val="27"/>
          <w:szCs w:val="27"/>
        </w:rPr>
        <w:t xml:space="preserve"> </w:t>
      </w:r>
      <w:r>
        <w:rPr>
          <w:rFonts w:ascii="Calibri" w:hAnsi="Calibri" w:cs="Calibri"/>
          <w:color w:val="000000"/>
          <w:sz w:val="27"/>
          <w:szCs w:val="27"/>
        </w:rPr>
        <w:t xml:space="preserve">Vermeer, H.J., van </w:t>
      </w:r>
      <w:proofErr w:type="spellStart"/>
      <w:r>
        <w:rPr>
          <w:rFonts w:ascii="Calibri" w:hAnsi="Calibri" w:cs="Calibri"/>
          <w:color w:val="000000"/>
          <w:sz w:val="27"/>
          <w:szCs w:val="27"/>
        </w:rPr>
        <w:t>IJzendoorn</w:t>
      </w:r>
      <w:proofErr w:type="spellEnd"/>
      <w:r>
        <w:rPr>
          <w:rFonts w:ascii="Calibri" w:hAnsi="Calibri" w:cs="Calibri"/>
          <w:color w:val="000000"/>
          <w:sz w:val="27"/>
          <w:szCs w:val="27"/>
        </w:rPr>
        <w:t xml:space="preserve">, M.H., Cárcamo, R.A. and Harrison, L.J. (2016). Quality of </w:t>
      </w:r>
      <w:proofErr w:type="gramStart"/>
      <w:r>
        <w:rPr>
          <w:rFonts w:ascii="Calibri" w:hAnsi="Calibri" w:cs="Calibri"/>
          <w:color w:val="000000"/>
          <w:sz w:val="27"/>
          <w:szCs w:val="27"/>
        </w:rPr>
        <w:t>Child Care</w:t>
      </w:r>
      <w:proofErr w:type="gramEnd"/>
      <w:r>
        <w:rPr>
          <w:rFonts w:ascii="Calibri" w:hAnsi="Calibri" w:cs="Calibri"/>
          <w:color w:val="000000"/>
          <w:sz w:val="27"/>
          <w:szCs w:val="27"/>
        </w:rPr>
        <w:t xml:space="preserve"> Using the Environment Rating Scales: A Meta-Analysis of International Studies. </w:t>
      </w:r>
      <w:r>
        <w:rPr>
          <w:rFonts w:ascii="Calibri" w:hAnsi="Calibri" w:cs="Calibri"/>
          <w:i/>
          <w:iCs/>
          <w:color w:val="000000"/>
          <w:sz w:val="27"/>
          <w:szCs w:val="27"/>
        </w:rPr>
        <w:t>International Journal of Early Childhood</w:t>
      </w:r>
      <w:r>
        <w:rPr>
          <w:rFonts w:ascii="Calibri" w:hAnsi="Calibri" w:cs="Calibri"/>
          <w:color w:val="000000"/>
          <w:sz w:val="27"/>
          <w:szCs w:val="27"/>
        </w:rPr>
        <w:t xml:space="preserve">, 48(1), pp.33–60. </w:t>
      </w:r>
      <w:proofErr w:type="spellStart"/>
      <w:proofErr w:type="gramStart"/>
      <w:r>
        <w:rPr>
          <w:rFonts w:ascii="Calibri" w:hAnsi="Calibri" w:cs="Calibri"/>
          <w:color w:val="000000"/>
          <w:sz w:val="27"/>
          <w:szCs w:val="27"/>
        </w:rPr>
        <w:t>doi:https</w:t>
      </w:r>
      <w:proofErr w:type="spellEnd"/>
      <w:r>
        <w:rPr>
          <w:rFonts w:ascii="Calibri" w:hAnsi="Calibri" w:cs="Calibri"/>
          <w:color w:val="000000"/>
          <w:sz w:val="27"/>
          <w:szCs w:val="27"/>
        </w:rPr>
        <w:t>://doi.org/10.1007/s13158-015-0154-9</w:t>
      </w:r>
      <w:proofErr w:type="gramEnd"/>
      <w:r>
        <w:rPr>
          <w:rFonts w:ascii="Calibri" w:hAnsi="Calibri" w:cs="Calibri"/>
          <w:color w:val="000000"/>
          <w:sz w:val="27"/>
          <w:szCs w:val="27"/>
        </w:rPr>
        <w:t>.</w:t>
      </w:r>
    </w:p>
    <w:p w14:paraId="516AA8BF" w14:textId="77777777" w:rsidR="008C44F9" w:rsidRDefault="008C44F9" w:rsidP="008C44F9">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Welsh Government (2022). </w:t>
      </w:r>
      <w:r>
        <w:rPr>
          <w:rFonts w:ascii="Calibri" w:hAnsi="Calibri" w:cs="Calibri"/>
          <w:i/>
          <w:iCs/>
          <w:color w:val="000000"/>
          <w:sz w:val="27"/>
          <w:szCs w:val="27"/>
        </w:rPr>
        <w:t>Education is changing</w:t>
      </w:r>
      <w:r>
        <w:rPr>
          <w:rFonts w:ascii="Calibri" w:hAnsi="Calibri" w:cs="Calibri"/>
          <w:color w:val="000000"/>
          <w:sz w:val="27"/>
          <w:szCs w:val="27"/>
        </w:rPr>
        <w:t xml:space="preserve">. [online] GOV.WALES. Available at: </w:t>
      </w:r>
      <w:hyperlink r:id="rId11" w:history="1">
        <w:r w:rsidRPr="00115243">
          <w:rPr>
            <w:rStyle w:val="Hyperlink"/>
            <w:rFonts w:ascii="Calibri" w:hAnsi="Calibri" w:cs="Calibri"/>
            <w:sz w:val="27"/>
            <w:szCs w:val="27"/>
          </w:rPr>
          <w:t>https://www.gov.wales/education-changing</w:t>
        </w:r>
      </w:hyperlink>
      <w:r>
        <w:rPr>
          <w:rFonts w:ascii="Calibri" w:hAnsi="Calibri" w:cs="Calibri"/>
          <w:color w:val="000000"/>
          <w:sz w:val="27"/>
          <w:szCs w:val="27"/>
        </w:rPr>
        <w:t xml:space="preserve">. (Accessed 18 April 2024). </w:t>
      </w:r>
    </w:p>
    <w:p w14:paraId="03D8850D" w14:textId="77777777" w:rsidR="008C44F9" w:rsidRPr="001022AD" w:rsidRDefault="008C44F9" w:rsidP="008C44F9">
      <w:pPr>
        <w:pStyle w:val="NormalWeb"/>
        <w:spacing w:line="360" w:lineRule="auto"/>
        <w:rPr>
          <w:rStyle w:val="eop"/>
          <w:rFonts w:ascii="Calibri" w:hAnsi="Calibri" w:cs="Calibri"/>
          <w:color w:val="000000"/>
          <w:sz w:val="27"/>
          <w:szCs w:val="27"/>
        </w:rPr>
      </w:pPr>
      <w:r>
        <w:rPr>
          <w:rFonts w:ascii="Calibri" w:hAnsi="Calibri" w:cs="Calibri"/>
          <w:color w:val="000000"/>
          <w:sz w:val="27"/>
          <w:szCs w:val="27"/>
        </w:rPr>
        <w:t>‌</w:t>
      </w:r>
      <w:r>
        <w:rPr>
          <w:rStyle w:val="normaltextrun"/>
          <w:rFonts w:ascii="Arial" w:eastAsiaTheme="majorEastAsia" w:hAnsi="Arial" w:cs="Arial"/>
        </w:rPr>
        <w:t xml:space="preserve">Welsh Government (2023) </w:t>
      </w:r>
      <w:r>
        <w:rPr>
          <w:rStyle w:val="normaltextrun"/>
          <w:rFonts w:ascii="Arial" w:eastAsiaTheme="majorEastAsia" w:hAnsi="Arial" w:cs="Arial"/>
          <w:i/>
          <w:iCs/>
        </w:rPr>
        <w:t>A Quality Framework for Early Childhood Play, Learning and Care in Wales.</w:t>
      </w:r>
      <w:r>
        <w:rPr>
          <w:rStyle w:val="normaltextrun"/>
          <w:rFonts w:ascii="Arial" w:eastAsiaTheme="majorEastAsia" w:hAnsi="Arial" w:cs="Arial"/>
        </w:rPr>
        <w:t xml:space="preserve"> Available at: </w:t>
      </w:r>
      <w:hyperlink r:id="rId12" w:tgtFrame="_blank" w:history="1">
        <w:r>
          <w:rPr>
            <w:rStyle w:val="normaltextrun"/>
            <w:rFonts w:ascii="Arial" w:eastAsiaTheme="majorEastAsia" w:hAnsi="Arial" w:cs="Arial"/>
            <w:u w:val="single"/>
          </w:rPr>
          <w:t>https://hwb.gov.wales/api/storage/031bbc2d-d2f8-429d-a944-5fc33484827d/a-quality-framework-for-early-childhood-play-learning-and-care-v1.pdf</w:t>
        </w:r>
      </w:hyperlink>
      <w:r>
        <w:rPr>
          <w:rStyle w:val="normaltextrun"/>
          <w:rFonts w:ascii="Arial" w:eastAsiaTheme="majorEastAsia" w:hAnsi="Arial" w:cs="Arial"/>
        </w:rPr>
        <w:t xml:space="preserve"> (Accessed: 18 April 2024).</w:t>
      </w:r>
      <w:r>
        <w:rPr>
          <w:rStyle w:val="eop"/>
          <w:rFonts w:ascii="Arial" w:eastAsiaTheme="majorEastAsia" w:hAnsi="Arial" w:cs="Arial"/>
        </w:rPr>
        <w:t> </w:t>
      </w:r>
    </w:p>
    <w:p w14:paraId="2474F926" w14:textId="77777777" w:rsidR="008C44F9" w:rsidRDefault="008C44F9" w:rsidP="008C44F9">
      <w:pPr>
        <w:pStyle w:val="NormalWeb"/>
        <w:spacing w:before="0" w:beforeAutospacing="0" w:after="0" w:afterAutospacing="0" w:line="360" w:lineRule="auto"/>
        <w:rPr>
          <w:rFonts w:ascii="Calibri" w:hAnsi="Calibri" w:cs="Calibri"/>
          <w:color w:val="000000"/>
          <w:sz w:val="27"/>
          <w:szCs w:val="27"/>
        </w:rPr>
      </w:pPr>
    </w:p>
    <w:p w14:paraId="3686EDD6" w14:textId="77777777" w:rsidR="008C44F9" w:rsidRDefault="008C44F9" w:rsidP="008C44F9">
      <w:pPr>
        <w:pStyle w:val="NormalWeb"/>
        <w:spacing w:before="0" w:beforeAutospacing="0" w:after="0" w:afterAutospacing="0" w:line="360" w:lineRule="auto"/>
        <w:rPr>
          <w:rFonts w:ascii="Calibri" w:hAnsi="Calibri" w:cs="Calibri"/>
          <w:color w:val="000000"/>
          <w:sz w:val="27"/>
          <w:szCs w:val="27"/>
        </w:rPr>
      </w:pPr>
    </w:p>
    <w:p w14:paraId="715F0C12" w14:textId="77777777" w:rsidR="008C44F9" w:rsidRDefault="008C44F9" w:rsidP="008C44F9">
      <w:pPr>
        <w:pStyle w:val="NormalWeb"/>
        <w:spacing w:before="0" w:beforeAutospacing="0" w:after="0" w:afterAutospacing="0" w:line="360" w:lineRule="auto"/>
        <w:rPr>
          <w:rFonts w:ascii="Calibri" w:hAnsi="Calibri" w:cs="Calibri"/>
          <w:color w:val="000000"/>
          <w:sz w:val="27"/>
          <w:szCs w:val="27"/>
        </w:rPr>
      </w:pPr>
    </w:p>
    <w:p w14:paraId="665F0CDE" w14:textId="77777777" w:rsidR="008C44F9" w:rsidRDefault="008C44F9" w:rsidP="008C44F9">
      <w:pPr>
        <w:pStyle w:val="NormalWeb"/>
        <w:spacing w:before="0" w:beforeAutospacing="0" w:after="0" w:afterAutospacing="0" w:line="360" w:lineRule="auto"/>
        <w:rPr>
          <w:rFonts w:ascii="Calibri" w:hAnsi="Calibri" w:cs="Calibri"/>
          <w:color w:val="000000"/>
          <w:sz w:val="27"/>
          <w:szCs w:val="27"/>
        </w:rPr>
      </w:pPr>
    </w:p>
    <w:p w14:paraId="677D8414" w14:textId="77777777" w:rsidR="008C44F9" w:rsidRDefault="008C44F9" w:rsidP="008C44F9">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lastRenderedPageBreak/>
        <w:t>www.childrenssociety.org.uk. (n.d.). </w:t>
      </w:r>
      <w:r>
        <w:rPr>
          <w:rFonts w:ascii="Calibri" w:hAnsi="Calibri" w:cs="Calibri"/>
          <w:i/>
          <w:iCs/>
          <w:color w:val="000000"/>
          <w:sz w:val="27"/>
          <w:szCs w:val="27"/>
        </w:rPr>
        <w:t>Effects Of Child Poverty | The Children’s Society</w:t>
      </w:r>
      <w:r>
        <w:rPr>
          <w:rFonts w:ascii="Calibri" w:hAnsi="Calibri" w:cs="Calibri"/>
          <w:color w:val="000000"/>
          <w:sz w:val="27"/>
          <w:szCs w:val="27"/>
        </w:rPr>
        <w:t xml:space="preserve">. [online] Available at: </w:t>
      </w:r>
      <w:proofErr w:type="gramStart"/>
      <w:r>
        <w:rPr>
          <w:rFonts w:ascii="Calibri" w:hAnsi="Calibri" w:cs="Calibri"/>
          <w:color w:val="000000"/>
          <w:sz w:val="27"/>
          <w:szCs w:val="27"/>
        </w:rPr>
        <w:t>https://www.childrenssociety.org.uk/what-we-do/our-work/ending-child-poverty/effects-of-living-in-poverty?gad_source=1&amp;gclid=CjwKCAjwz42xBhB9EiwA48pT7-m004UNIUie6BsZKLipiSX89mwQvNAzKmo2HNSHdjIO8dz1QfBdjxoC-ykQAvD_BwE  (</w:t>
      </w:r>
      <w:proofErr w:type="gramEnd"/>
      <w:r>
        <w:rPr>
          <w:rFonts w:ascii="Calibri" w:hAnsi="Calibri" w:cs="Calibri"/>
          <w:color w:val="000000"/>
          <w:sz w:val="27"/>
          <w:szCs w:val="27"/>
        </w:rPr>
        <w:t xml:space="preserve">Accessed 20 Apr. 2024). </w:t>
      </w:r>
    </w:p>
    <w:p w14:paraId="5540CE87" w14:textId="77777777" w:rsidR="008C44F9" w:rsidRDefault="008C44F9" w:rsidP="008C44F9">
      <w:pPr>
        <w:pStyle w:val="NormalWeb"/>
        <w:spacing w:before="0" w:beforeAutospacing="0" w:after="0" w:afterAutospacing="0" w:line="360" w:lineRule="auto"/>
        <w:rPr>
          <w:rFonts w:ascii="Calibri" w:hAnsi="Calibri" w:cs="Calibri"/>
          <w:color w:val="000000"/>
          <w:sz w:val="27"/>
          <w:szCs w:val="27"/>
        </w:rPr>
      </w:pPr>
    </w:p>
    <w:p w14:paraId="323FF406" w14:textId="77777777" w:rsidR="008C44F9" w:rsidRDefault="008C44F9" w:rsidP="008C44F9">
      <w:pPr>
        <w:pStyle w:val="NormalWeb"/>
        <w:spacing w:before="0" w:beforeAutospacing="0" w:after="0" w:afterAutospacing="0" w:line="360" w:lineRule="auto"/>
        <w:rPr>
          <w:rFonts w:ascii="Calibri" w:hAnsi="Calibri" w:cs="Calibri"/>
          <w:color w:val="000000"/>
          <w:sz w:val="27"/>
          <w:szCs w:val="27"/>
        </w:rPr>
      </w:pPr>
      <w:r>
        <w:rPr>
          <w:rFonts w:ascii="Calibri" w:hAnsi="Calibri" w:cs="Calibri"/>
          <w:color w:val="000000"/>
          <w:sz w:val="27"/>
          <w:szCs w:val="27"/>
        </w:rPr>
        <w:t>www.ersi.info. (n.d.). </w:t>
      </w:r>
      <w:r>
        <w:rPr>
          <w:rFonts w:ascii="Calibri" w:hAnsi="Calibri" w:cs="Calibri"/>
          <w:i/>
          <w:iCs/>
          <w:color w:val="000000"/>
          <w:sz w:val="27"/>
          <w:szCs w:val="27"/>
        </w:rPr>
        <w:t>ERS Institute</w:t>
      </w:r>
      <w:r>
        <w:rPr>
          <w:rFonts w:ascii="Calibri" w:hAnsi="Calibri" w:cs="Calibri"/>
          <w:color w:val="000000"/>
          <w:sz w:val="27"/>
          <w:szCs w:val="27"/>
        </w:rPr>
        <w:t xml:space="preserve">. [online] Available at: </w:t>
      </w:r>
      <w:hyperlink r:id="rId13" w:history="1">
        <w:r w:rsidRPr="00115243">
          <w:rPr>
            <w:rStyle w:val="Hyperlink"/>
            <w:rFonts w:ascii="Calibri" w:hAnsi="Calibri" w:cs="Calibri"/>
            <w:sz w:val="27"/>
            <w:szCs w:val="27"/>
          </w:rPr>
          <w:t>https://www.ersi.info/iters.html</w:t>
        </w:r>
      </w:hyperlink>
      <w:r>
        <w:rPr>
          <w:rFonts w:ascii="Calibri" w:hAnsi="Calibri" w:cs="Calibri"/>
          <w:color w:val="000000"/>
          <w:sz w:val="27"/>
          <w:szCs w:val="27"/>
        </w:rPr>
        <w:t>. (Accessed 19 April 2024).</w:t>
      </w:r>
    </w:p>
    <w:p w14:paraId="5C08F7B4" w14:textId="77777777" w:rsidR="008C44F9" w:rsidRPr="00F2501F" w:rsidRDefault="008C44F9" w:rsidP="00F2501F">
      <w:pPr>
        <w:spacing w:line="360" w:lineRule="auto"/>
        <w:rPr>
          <w:rFonts w:ascii="Arial" w:hAnsi="Arial" w:cs="Arial"/>
        </w:rPr>
      </w:pPr>
    </w:p>
    <w:sectPr w:rsidR="008C44F9" w:rsidRPr="00F2501F">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86D5FB" w14:textId="77777777" w:rsidR="00F64C95" w:rsidRDefault="00F64C95" w:rsidP="00234016">
      <w:pPr>
        <w:spacing w:after="0" w:line="240" w:lineRule="auto"/>
      </w:pPr>
      <w:r>
        <w:separator/>
      </w:r>
    </w:p>
  </w:endnote>
  <w:endnote w:type="continuationSeparator" w:id="0">
    <w:p w14:paraId="73ECCC3E" w14:textId="77777777" w:rsidR="00F64C95" w:rsidRDefault="00F64C95" w:rsidP="00234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C2D910" w14:textId="77777777" w:rsidR="00F64C95" w:rsidRDefault="00F64C95" w:rsidP="00234016">
      <w:pPr>
        <w:spacing w:after="0" w:line="240" w:lineRule="auto"/>
      </w:pPr>
      <w:r>
        <w:separator/>
      </w:r>
    </w:p>
  </w:footnote>
  <w:footnote w:type="continuationSeparator" w:id="0">
    <w:p w14:paraId="291309A9" w14:textId="77777777" w:rsidR="00F64C95" w:rsidRDefault="00F64C95" w:rsidP="002340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311344" w14:textId="3A03AEA5" w:rsidR="00234016" w:rsidRDefault="0065577A" w:rsidP="0065577A">
    <w:pPr>
      <w:pStyle w:val="Header"/>
      <w:rPr>
        <w:lang w:val="en-US"/>
      </w:rPr>
    </w:pPr>
    <w:r>
      <w:rPr>
        <w:lang w:val="en-US"/>
      </w:rPr>
      <w:t>Rebecca Wells                                       2204070</w:t>
    </w:r>
  </w:p>
  <w:p w14:paraId="6F33E13F" w14:textId="77777777" w:rsidR="00234016" w:rsidRPr="00234016" w:rsidRDefault="00234016">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5017C0"/>
    <w:multiLevelType w:val="multilevel"/>
    <w:tmpl w:val="B61E0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4AE0587"/>
    <w:multiLevelType w:val="multilevel"/>
    <w:tmpl w:val="841EE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45299351">
    <w:abstractNumId w:val="1"/>
  </w:num>
  <w:num w:numId="2" w16cid:durableId="6181024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F93"/>
    <w:rsid w:val="00014603"/>
    <w:rsid w:val="0006296A"/>
    <w:rsid w:val="001B7872"/>
    <w:rsid w:val="001C1564"/>
    <w:rsid w:val="001F31C2"/>
    <w:rsid w:val="001F5052"/>
    <w:rsid w:val="0022473A"/>
    <w:rsid w:val="00230782"/>
    <w:rsid w:val="00234016"/>
    <w:rsid w:val="002B2D2D"/>
    <w:rsid w:val="003E423B"/>
    <w:rsid w:val="003F435F"/>
    <w:rsid w:val="00410F93"/>
    <w:rsid w:val="004375AB"/>
    <w:rsid w:val="0044186D"/>
    <w:rsid w:val="00453AF4"/>
    <w:rsid w:val="00555B07"/>
    <w:rsid w:val="00573F2A"/>
    <w:rsid w:val="0065577A"/>
    <w:rsid w:val="006C6278"/>
    <w:rsid w:val="00733080"/>
    <w:rsid w:val="007D10B7"/>
    <w:rsid w:val="00811F9D"/>
    <w:rsid w:val="00825E7C"/>
    <w:rsid w:val="008C44F9"/>
    <w:rsid w:val="009F6EAA"/>
    <w:rsid w:val="00A1072C"/>
    <w:rsid w:val="00AE08CD"/>
    <w:rsid w:val="00AE3F92"/>
    <w:rsid w:val="00B12030"/>
    <w:rsid w:val="00B47F2A"/>
    <w:rsid w:val="00B750DC"/>
    <w:rsid w:val="00C27EFE"/>
    <w:rsid w:val="00C514DA"/>
    <w:rsid w:val="00C57952"/>
    <w:rsid w:val="00D54980"/>
    <w:rsid w:val="00DC5741"/>
    <w:rsid w:val="00EB2284"/>
    <w:rsid w:val="00ED0892"/>
    <w:rsid w:val="00F2501F"/>
    <w:rsid w:val="00F64C95"/>
    <w:rsid w:val="00F715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07FC0"/>
  <w15:chartTrackingRefBased/>
  <w15:docId w15:val="{24D0554F-293E-42D1-B00B-B363E6C7D5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0F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10F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10F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0F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0F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0F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0F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0F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0F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0F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10F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0F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0F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0F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0F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0F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0F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0F93"/>
    <w:rPr>
      <w:rFonts w:eastAsiaTheme="majorEastAsia" w:cstheme="majorBidi"/>
      <w:color w:val="272727" w:themeColor="text1" w:themeTint="D8"/>
    </w:rPr>
  </w:style>
  <w:style w:type="paragraph" w:styleId="Title">
    <w:name w:val="Title"/>
    <w:basedOn w:val="Normal"/>
    <w:next w:val="Normal"/>
    <w:link w:val="TitleChar"/>
    <w:uiPriority w:val="10"/>
    <w:qFormat/>
    <w:rsid w:val="00410F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0F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0F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0F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0F93"/>
    <w:pPr>
      <w:spacing w:before="160"/>
      <w:jc w:val="center"/>
    </w:pPr>
    <w:rPr>
      <w:i/>
      <w:iCs/>
      <w:color w:val="404040" w:themeColor="text1" w:themeTint="BF"/>
    </w:rPr>
  </w:style>
  <w:style w:type="character" w:customStyle="1" w:styleId="QuoteChar">
    <w:name w:val="Quote Char"/>
    <w:basedOn w:val="DefaultParagraphFont"/>
    <w:link w:val="Quote"/>
    <w:uiPriority w:val="29"/>
    <w:rsid w:val="00410F93"/>
    <w:rPr>
      <w:i/>
      <w:iCs/>
      <w:color w:val="404040" w:themeColor="text1" w:themeTint="BF"/>
    </w:rPr>
  </w:style>
  <w:style w:type="paragraph" w:styleId="ListParagraph">
    <w:name w:val="List Paragraph"/>
    <w:basedOn w:val="Normal"/>
    <w:uiPriority w:val="34"/>
    <w:qFormat/>
    <w:rsid w:val="00410F93"/>
    <w:pPr>
      <w:ind w:left="720"/>
      <w:contextualSpacing/>
    </w:pPr>
  </w:style>
  <w:style w:type="character" w:styleId="IntenseEmphasis">
    <w:name w:val="Intense Emphasis"/>
    <w:basedOn w:val="DefaultParagraphFont"/>
    <w:uiPriority w:val="21"/>
    <w:qFormat/>
    <w:rsid w:val="00410F93"/>
    <w:rPr>
      <w:i/>
      <w:iCs/>
      <w:color w:val="0F4761" w:themeColor="accent1" w:themeShade="BF"/>
    </w:rPr>
  </w:style>
  <w:style w:type="paragraph" w:styleId="IntenseQuote">
    <w:name w:val="Intense Quote"/>
    <w:basedOn w:val="Normal"/>
    <w:next w:val="Normal"/>
    <w:link w:val="IntenseQuoteChar"/>
    <w:uiPriority w:val="30"/>
    <w:qFormat/>
    <w:rsid w:val="00410F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0F93"/>
    <w:rPr>
      <w:i/>
      <w:iCs/>
      <w:color w:val="0F4761" w:themeColor="accent1" w:themeShade="BF"/>
    </w:rPr>
  </w:style>
  <w:style w:type="character" w:styleId="IntenseReference">
    <w:name w:val="Intense Reference"/>
    <w:basedOn w:val="DefaultParagraphFont"/>
    <w:uiPriority w:val="32"/>
    <w:qFormat/>
    <w:rsid w:val="00410F93"/>
    <w:rPr>
      <w:b/>
      <w:bCs/>
      <w:smallCaps/>
      <w:color w:val="0F4761" w:themeColor="accent1" w:themeShade="BF"/>
      <w:spacing w:val="5"/>
    </w:rPr>
  </w:style>
  <w:style w:type="paragraph" w:styleId="Header">
    <w:name w:val="header"/>
    <w:basedOn w:val="Normal"/>
    <w:link w:val="HeaderChar"/>
    <w:uiPriority w:val="99"/>
    <w:unhideWhenUsed/>
    <w:rsid w:val="002340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016"/>
  </w:style>
  <w:style w:type="paragraph" w:styleId="Footer">
    <w:name w:val="footer"/>
    <w:basedOn w:val="Normal"/>
    <w:link w:val="FooterChar"/>
    <w:uiPriority w:val="99"/>
    <w:unhideWhenUsed/>
    <w:rsid w:val="002340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016"/>
  </w:style>
  <w:style w:type="paragraph" w:customStyle="1" w:styleId="paragraph">
    <w:name w:val="paragraph"/>
    <w:basedOn w:val="Normal"/>
    <w:rsid w:val="008C44F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8C44F9"/>
  </w:style>
  <w:style w:type="character" w:customStyle="1" w:styleId="eop">
    <w:name w:val="eop"/>
    <w:basedOn w:val="DefaultParagraphFont"/>
    <w:rsid w:val="008C44F9"/>
  </w:style>
  <w:style w:type="paragraph" w:styleId="NormalWeb">
    <w:name w:val="Normal (Web)"/>
    <w:basedOn w:val="Normal"/>
    <w:uiPriority w:val="99"/>
    <w:unhideWhenUsed/>
    <w:rsid w:val="008C44F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8C44F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009004">
      <w:bodyDiv w:val="1"/>
      <w:marLeft w:val="0"/>
      <w:marRight w:val="0"/>
      <w:marTop w:val="0"/>
      <w:marBottom w:val="0"/>
      <w:divBdr>
        <w:top w:val="none" w:sz="0" w:space="0" w:color="auto"/>
        <w:left w:val="none" w:sz="0" w:space="0" w:color="auto"/>
        <w:bottom w:val="none" w:sz="0" w:space="0" w:color="auto"/>
        <w:right w:val="none" w:sz="0" w:space="0" w:color="auto"/>
      </w:divBdr>
    </w:div>
    <w:div w:id="48110872">
      <w:bodyDiv w:val="1"/>
      <w:marLeft w:val="0"/>
      <w:marRight w:val="0"/>
      <w:marTop w:val="0"/>
      <w:marBottom w:val="0"/>
      <w:divBdr>
        <w:top w:val="none" w:sz="0" w:space="0" w:color="auto"/>
        <w:left w:val="none" w:sz="0" w:space="0" w:color="auto"/>
        <w:bottom w:val="none" w:sz="0" w:space="0" w:color="auto"/>
        <w:right w:val="none" w:sz="0" w:space="0" w:color="auto"/>
      </w:divBdr>
    </w:div>
    <w:div w:id="172915386">
      <w:bodyDiv w:val="1"/>
      <w:marLeft w:val="0"/>
      <w:marRight w:val="0"/>
      <w:marTop w:val="0"/>
      <w:marBottom w:val="0"/>
      <w:divBdr>
        <w:top w:val="none" w:sz="0" w:space="0" w:color="auto"/>
        <w:left w:val="none" w:sz="0" w:space="0" w:color="auto"/>
        <w:bottom w:val="none" w:sz="0" w:space="0" w:color="auto"/>
        <w:right w:val="none" w:sz="0" w:space="0" w:color="auto"/>
      </w:divBdr>
    </w:div>
    <w:div w:id="195967222">
      <w:bodyDiv w:val="1"/>
      <w:marLeft w:val="0"/>
      <w:marRight w:val="0"/>
      <w:marTop w:val="0"/>
      <w:marBottom w:val="0"/>
      <w:divBdr>
        <w:top w:val="none" w:sz="0" w:space="0" w:color="auto"/>
        <w:left w:val="none" w:sz="0" w:space="0" w:color="auto"/>
        <w:bottom w:val="none" w:sz="0" w:space="0" w:color="auto"/>
        <w:right w:val="none" w:sz="0" w:space="0" w:color="auto"/>
      </w:divBdr>
    </w:div>
    <w:div w:id="255869175">
      <w:bodyDiv w:val="1"/>
      <w:marLeft w:val="0"/>
      <w:marRight w:val="0"/>
      <w:marTop w:val="0"/>
      <w:marBottom w:val="0"/>
      <w:divBdr>
        <w:top w:val="none" w:sz="0" w:space="0" w:color="auto"/>
        <w:left w:val="none" w:sz="0" w:space="0" w:color="auto"/>
        <w:bottom w:val="none" w:sz="0" w:space="0" w:color="auto"/>
        <w:right w:val="none" w:sz="0" w:space="0" w:color="auto"/>
      </w:divBdr>
    </w:div>
    <w:div w:id="272246144">
      <w:bodyDiv w:val="1"/>
      <w:marLeft w:val="0"/>
      <w:marRight w:val="0"/>
      <w:marTop w:val="0"/>
      <w:marBottom w:val="0"/>
      <w:divBdr>
        <w:top w:val="none" w:sz="0" w:space="0" w:color="auto"/>
        <w:left w:val="none" w:sz="0" w:space="0" w:color="auto"/>
        <w:bottom w:val="none" w:sz="0" w:space="0" w:color="auto"/>
        <w:right w:val="none" w:sz="0" w:space="0" w:color="auto"/>
      </w:divBdr>
    </w:div>
    <w:div w:id="301275075">
      <w:bodyDiv w:val="1"/>
      <w:marLeft w:val="0"/>
      <w:marRight w:val="0"/>
      <w:marTop w:val="0"/>
      <w:marBottom w:val="0"/>
      <w:divBdr>
        <w:top w:val="none" w:sz="0" w:space="0" w:color="auto"/>
        <w:left w:val="none" w:sz="0" w:space="0" w:color="auto"/>
        <w:bottom w:val="none" w:sz="0" w:space="0" w:color="auto"/>
        <w:right w:val="none" w:sz="0" w:space="0" w:color="auto"/>
      </w:divBdr>
    </w:div>
    <w:div w:id="312680739">
      <w:bodyDiv w:val="1"/>
      <w:marLeft w:val="0"/>
      <w:marRight w:val="0"/>
      <w:marTop w:val="0"/>
      <w:marBottom w:val="0"/>
      <w:divBdr>
        <w:top w:val="none" w:sz="0" w:space="0" w:color="auto"/>
        <w:left w:val="none" w:sz="0" w:space="0" w:color="auto"/>
        <w:bottom w:val="none" w:sz="0" w:space="0" w:color="auto"/>
        <w:right w:val="none" w:sz="0" w:space="0" w:color="auto"/>
      </w:divBdr>
    </w:div>
    <w:div w:id="427628894">
      <w:bodyDiv w:val="1"/>
      <w:marLeft w:val="0"/>
      <w:marRight w:val="0"/>
      <w:marTop w:val="0"/>
      <w:marBottom w:val="0"/>
      <w:divBdr>
        <w:top w:val="none" w:sz="0" w:space="0" w:color="auto"/>
        <w:left w:val="none" w:sz="0" w:space="0" w:color="auto"/>
        <w:bottom w:val="none" w:sz="0" w:space="0" w:color="auto"/>
        <w:right w:val="none" w:sz="0" w:space="0" w:color="auto"/>
      </w:divBdr>
    </w:div>
    <w:div w:id="447357716">
      <w:bodyDiv w:val="1"/>
      <w:marLeft w:val="0"/>
      <w:marRight w:val="0"/>
      <w:marTop w:val="0"/>
      <w:marBottom w:val="0"/>
      <w:divBdr>
        <w:top w:val="none" w:sz="0" w:space="0" w:color="auto"/>
        <w:left w:val="none" w:sz="0" w:space="0" w:color="auto"/>
        <w:bottom w:val="none" w:sz="0" w:space="0" w:color="auto"/>
        <w:right w:val="none" w:sz="0" w:space="0" w:color="auto"/>
      </w:divBdr>
    </w:div>
    <w:div w:id="537855448">
      <w:bodyDiv w:val="1"/>
      <w:marLeft w:val="0"/>
      <w:marRight w:val="0"/>
      <w:marTop w:val="0"/>
      <w:marBottom w:val="0"/>
      <w:divBdr>
        <w:top w:val="none" w:sz="0" w:space="0" w:color="auto"/>
        <w:left w:val="none" w:sz="0" w:space="0" w:color="auto"/>
        <w:bottom w:val="none" w:sz="0" w:space="0" w:color="auto"/>
        <w:right w:val="none" w:sz="0" w:space="0" w:color="auto"/>
      </w:divBdr>
    </w:div>
    <w:div w:id="701856980">
      <w:bodyDiv w:val="1"/>
      <w:marLeft w:val="0"/>
      <w:marRight w:val="0"/>
      <w:marTop w:val="0"/>
      <w:marBottom w:val="0"/>
      <w:divBdr>
        <w:top w:val="none" w:sz="0" w:space="0" w:color="auto"/>
        <w:left w:val="none" w:sz="0" w:space="0" w:color="auto"/>
        <w:bottom w:val="none" w:sz="0" w:space="0" w:color="auto"/>
        <w:right w:val="none" w:sz="0" w:space="0" w:color="auto"/>
      </w:divBdr>
    </w:div>
    <w:div w:id="769348736">
      <w:bodyDiv w:val="1"/>
      <w:marLeft w:val="0"/>
      <w:marRight w:val="0"/>
      <w:marTop w:val="0"/>
      <w:marBottom w:val="0"/>
      <w:divBdr>
        <w:top w:val="none" w:sz="0" w:space="0" w:color="auto"/>
        <w:left w:val="none" w:sz="0" w:space="0" w:color="auto"/>
        <w:bottom w:val="none" w:sz="0" w:space="0" w:color="auto"/>
        <w:right w:val="none" w:sz="0" w:space="0" w:color="auto"/>
      </w:divBdr>
    </w:div>
    <w:div w:id="822701130">
      <w:bodyDiv w:val="1"/>
      <w:marLeft w:val="0"/>
      <w:marRight w:val="0"/>
      <w:marTop w:val="0"/>
      <w:marBottom w:val="0"/>
      <w:divBdr>
        <w:top w:val="none" w:sz="0" w:space="0" w:color="auto"/>
        <w:left w:val="none" w:sz="0" w:space="0" w:color="auto"/>
        <w:bottom w:val="none" w:sz="0" w:space="0" w:color="auto"/>
        <w:right w:val="none" w:sz="0" w:space="0" w:color="auto"/>
      </w:divBdr>
    </w:div>
    <w:div w:id="1146318432">
      <w:bodyDiv w:val="1"/>
      <w:marLeft w:val="0"/>
      <w:marRight w:val="0"/>
      <w:marTop w:val="0"/>
      <w:marBottom w:val="0"/>
      <w:divBdr>
        <w:top w:val="none" w:sz="0" w:space="0" w:color="auto"/>
        <w:left w:val="none" w:sz="0" w:space="0" w:color="auto"/>
        <w:bottom w:val="none" w:sz="0" w:space="0" w:color="auto"/>
        <w:right w:val="none" w:sz="0" w:space="0" w:color="auto"/>
      </w:divBdr>
    </w:div>
    <w:div w:id="1153989731">
      <w:bodyDiv w:val="1"/>
      <w:marLeft w:val="0"/>
      <w:marRight w:val="0"/>
      <w:marTop w:val="0"/>
      <w:marBottom w:val="0"/>
      <w:divBdr>
        <w:top w:val="none" w:sz="0" w:space="0" w:color="auto"/>
        <w:left w:val="none" w:sz="0" w:space="0" w:color="auto"/>
        <w:bottom w:val="none" w:sz="0" w:space="0" w:color="auto"/>
        <w:right w:val="none" w:sz="0" w:space="0" w:color="auto"/>
      </w:divBdr>
    </w:div>
    <w:div w:id="1225995266">
      <w:bodyDiv w:val="1"/>
      <w:marLeft w:val="0"/>
      <w:marRight w:val="0"/>
      <w:marTop w:val="0"/>
      <w:marBottom w:val="0"/>
      <w:divBdr>
        <w:top w:val="none" w:sz="0" w:space="0" w:color="auto"/>
        <w:left w:val="none" w:sz="0" w:space="0" w:color="auto"/>
        <w:bottom w:val="none" w:sz="0" w:space="0" w:color="auto"/>
        <w:right w:val="none" w:sz="0" w:space="0" w:color="auto"/>
      </w:divBdr>
    </w:div>
    <w:div w:id="1331833165">
      <w:bodyDiv w:val="1"/>
      <w:marLeft w:val="0"/>
      <w:marRight w:val="0"/>
      <w:marTop w:val="0"/>
      <w:marBottom w:val="0"/>
      <w:divBdr>
        <w:top w:val="none" w:sz="0" w:space="0" w:color="auto"/>
        <w:left w:val="none" w:sz="0" w:space="0" w:color="auto"/>
        <w:bottom w:val="none" w:sz="0" w:space="0" w:color="auto"/>
        <w:right w:val="none" w:sz="0" w:space="0" w:color="auto"/>
      </w:divBdr>
      <w:divsChild>
        <w:div w:id="976564549">
          <w:marLeft w:val="0"/>
          <w:marRight w:val="0"/>
          <w:marTop w:val="0"/>
          <w:marBottom w:val="0"/>
          <w:divBdr>
            <w:top w:val="single" w:sz="2" w:space="0" w:color="E3E3E3"/>
            <w:left w:val="single" w:sz="2" w:space="0" w:color="E3E3E3"/>
            <w:bottom w:val="single" w:sz="2" w:space="0" w:color="E3E3E3"/>
            <w:right w:val="single" w:sz="2" w:space="0" w:color="E3E3E3"/>
          </w:divBdr>
          <w:divsChild>
            <w:div w:id="1596674472">
              <w:marLeft w:val="0"/>
              <w:marRight w:val="0"/>
              <w:marTop w:val="0"/>
              <w:marBottom w:val="0"/>
              <w:divBdr>
                <w:top w:val="single" w:sz="2" w:space="0" w:color="E3E3E3"/>
                <w:left w:val="single" w:sz="2" w:space="0" w:color="E3E3E3"/>
                <w:bottom w:val="single" w:sz="2" w:space="0" w:color="E3E3E3"/>
                <w:right w:val="single" w:sz="2" w:space="0" w:color="E3E3E3"/>
              </w:divBdr>
              <w:divsChild>
                <w:div w:id="1806653158">
                  <w:marLeft w:val="0"/>
                  <w:marRight w:val="0"/>
                  <w:marTop w:val="0"/>
                  <w:marBottom w:val="0"/>
                  <w:divBdr>
                    <w:top w:val="single" w:sz="2" w:space="0" w:color="E3E3E3"/>
                    <w:left w:val="single" w:sz="2" w:space="0" w:color="E3E3E3"/>
                    <w:bottom w:val="single" w:sz="2" w:space="0" w:color="E3E3E3"/>
                    <w:right w:val="single" w:sz="2" w:space="0" w:color="E3E3E3"/>
                  </w:divBdr>
                  <w:divsChild>
                    <w:div w:id="237523796">
                      <w:marLeft w:val="0"/>
                      <w:marRight w:val="0"/>
                      <w:marTop w:val="0"/>
                      <w:marBottom w:val="0"/>
                      <w:divBdr>
                        <w:top w:val="single" w:sz="2" w:space="0" w:color="E3E3E3"/>
                        <w:left w:val="single" w:sz="2" w:space="0" w:color="E3E3E3"/>
                        <w:bottom w:val="single" w:sz="2" w:space="0" w:color="E3E3E3"/>
                        <w:right w:val="single" w:sz="2" w:space="0" w:color="E3E3E3"/>
                      </w:divBdr>
                      <w:divsChild>
                        <w:div w:id="272055387">
                          <w:marLeft w:val="0"/>
                          <w:marRight w:val="0"/>
                          <w:marTop w:val="0"/>
                          <w:marBottom w:val="0"/>
                          <w:divBdr>
                            <w:top w:val="single" w:sz="2" w:space="0" w:color="E3E3E3"/>
                            <w:left w:val="single" w:sz="2" w:space="0" w:color="E3E3E3"/>
                            <w:bottom w:val="single" w:sz="2" w:space="0" w:color="E3E3E3"/>
                            <w:right w:val="single" w:sz="2" w:space="0" w:color="E3E3E3"/>
                          </w:divBdr>
                          <w:divsChild>
                            <w:div w:id="672413336">
                              <w:marLeft w:val="0"/>
                              <w:marRight w:val="0"/>
                              <w:marTop w:val="0"/>
                              <w:marBottom w:val="0"/>
                              <w:divBdr>
                                <w:top w:val="single" w:sz="2" w:space="0" w:color="E3E3E3"/>
                                <w:left w:val="single" w:sz="2" w:space="0" w:color="E3E3E3"/>
                                <w:bottom w:val="single" w:sz="2" w:space="0" w:color="E3E3E3"/>
                                <w:right w:val="single" w:sz="2" w:space="0" w:color="E3E3E3"/>
                              </w:divBdr>
                              <w:divsChild>
                                <w:div w:id="860555472">
                                  <w:marLeft w:val="0"/>
                                  <w:marRight w:val="0"/>
                                  <w:marTop w:val="100"/>
                                  <w:marBottom w:val="100"/>
                                  <w:divBdr>
                                    <w:top w:val="single" w:sz="2" w:space="0" w:color="E3E3E3"/>
                                    <w:left w:val="single" w:sz="2" w:space="0" w:color="E3E3E3"/>
                                    <w:bottom w:val="single" w:sz="2" w:space="0" w:color="E3E3E3"/>
                                    <w:right w:val="single" w:sz="2" w:space="0" w:color="E3E3E3"/>
                                  </w:divBdr>
                                  <w:divsChild>
                                    <w:div w:id="939724052">
                                      <w:marLeft w:val="0"/>
                                      <w:marRight w:val="0"/>
                                      <w:marTop w:val="0"/>
                                      <w:marBottom w:val="0"/>
                                      <w:divBdr>
                                        <w:top w:val="single" w:sz="2" w:space="0" w:color="E3E3E3"/>
                                        <w:left w:val="single" w:sz="2" w:space="0" w:color="E3E3E3"/>
                                        <w:bottom w:val="single" w:sz="2" w:space="0" w:color="E3E3E3"/>
                                        <w:right w:val="single" w:sz="2" w:space="0" w:color="E3E3E3"/>
                                      </w:divBdr>
                                      <w:divsChild>
                                        <w:div w:id="6642816">
                                          <w:marLeft w:val="0"/>
                                          <w:marRight w:val="0"/>
                                          <w:marTop w:val="0"/>
                                          <w:marBottom w:val="0"/>
                                          <w:divBdr>
                                            <w:top w:val="single" w:sz="2" w:space="0" w:color="E3E3E3"/>
                                            <w:left w:val="single" w:sz="2" w:space="0" w:color="E3E3E3"/>
                                            <w:bottom w:val="single" w:sz="2" w:space="0" w:color="E3E3E3"/>
                                            <w:right w:val="single" w:sz="2" w:space="0" w:color="E3E3E3"/>
                                          </w:divBdr>
                                          <w:divsChild>
                                            <w:div w:id="992022345">
                                              <w:marLeft w:val="0"/>
                                              <w:marRight w:val="0"/>
                                              <w:marTop w:val="0"/>
                                              <w:marBottom w:val="0"/>
                                              <w:divBdr>
                                                <w:top w:val="single" w:sz="2" w:space="0" w:color="E3E3E3"/>
                                                <w:left w:val="single" w:sz="2" w:space="0" w:color="E3E3E3"/>
                                                <w:bottom w:val="single" w:sz="2" w:space="0" w:color="E3E3E3"/>
                                                <w:right w:val="single" w:sz="2" w:space="0" w:color="E3E3E3"/>
                                              </w:divBdr>
                                              <w:divsChild>
                                                <w:div w:id="1183282669">
                                                  <w:marLeft w:val="0"/>
                                                  <w:marRight w:val="0"/>
                                                  <w:marTop w:val="0"/>
                                                  <w:marBottom w:val="0"/>
                                                  <w:divBdr>
                                                    <w:top w:val="single" w:sz="2" w:space="0" w:color="E3E3E3"/>
                                                    <w:left w:val="single" w:sz="2" w:space="0" w:color="E3E3E3"/>
                                                    <w:bottom w:val="single" w:sz="2" w:space="0" w:color="E3E3E3"/>
                                                    <w:right w:val="single" w:sz="2" w:space="0" w:color="E3E3E3"/>
                                                  </w:divBdr>
                                                  <w:divsChild>
                                                    <w:div w:id="251667557">
                                                      <w:marLeft w:val="0"/>
                                                      <w:marRight w:val="0"/>
                                                      <w:marTop w:val="0"/>
                                                      <w:marBottom w:val="0"/>
                                                      <w:divBdr>
                                                        <w:top w:val="single" w:sz="2" w:space="0" w:color="E3E3E3"/>
                                                        <w:left w:val="single" w:sz="2" w:space="0" w:color="E3E3E3"/>
                                                        <w:bottom w:val="single" w:sz="2" w:space="0" w:color="E3E3E3"/>
                                                        <w:right w:val="single" w:sz="2" w:space="0" w:color="E3E3E3"/>
                                                      </w:divBdr>
                                                      <w:divsChild>
                                                        <w:div w:id="999540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103837148">
          <w:marLeft w:val="0"/>
          <w:marRight w:val="0"/>
          <w:marTop w:val="0"/>
          <w:marBottom w:val="0"/>
          <w:divBdr>
            <w:top w:val="none" w:sz="0" w:space="0" w:color="auto"/>
            <w:left w:val="none" w:sz="0" w:space="0" w:color="auto"/>
            <w:bottom w:val="none" w:sz="0" w:space="0" w:color="auto"/>
            <w:right w:val="none" w:sz="0" w:space="0" w:color="auto"/>
          </w:divBdr>
        </w:div>
      </w:divsChild>
    </w:div>
    <w:div w:id="1417437377">
      <w:bodyDiv w:val="1"/>
      <w:marLeft w:val="0"/>
      <w:marRight w:val="0"/>
      <w:marTop w:val="0"/>
      <w:marBottom w:val="0"/>
      <w:divBdr>
        <w:top w:val="none" w:sz="0" w:space="0" w:color="auto"/>
        <w:left w:val="none" w:sz="0" w:space="0" w:color="auto"/>
        <w:bottom w:val="none" w:sz="0" w:space="0" w:color="auto"/>
        <w:right w:val="none" w:sz="0" w:space="0" w:color="auto"/>
      </w:divBdr>
    </w:div>
    <w:div w:id="1628195667">
      <w:bodyDiv w:val="1"/>
      <w:marLeft w:val="0"/>
      <w:marRight w:val="0"/>
      <w:marTop w:val="0"/>
      <w:marBottom w:val="0"/>
      <w:divBdr>
        <w:top w:val="none" w:sz="0" w:space="0" w:color="auto"/>
        <w:left w:val="none" w:sz="0" w:space="0" w:color="auto"/>
        <w:bottom w:val="none" w:sz="0" w:space="0" w:color="auto"/>
        <w:right w:val="none" w:sz="0" w:space="0" w:color="auto"/>
      </w:divBdr>
    </w:div>
    <w:div w:id="1672105193">
      <w:bodyDiv w:val="1"/>
      <w:marLeft w:val="0"/>
      <w:marRight w:val="0"/>
      <w:marTop w:val="0"/>
      <w:marBottom w:val="0"/>
      <w:divBdr>
        <w:top w:val="none" w:sz="0" w:space="0" w:color="auto"/>
        <w:left w:val="none" w:sz="0" w:space="0" w:color="auto"/>
        <w:bottom w:val="none" w:sz="0" w:space="0" w:color="auto"/>
        <w:right w:val="none" w:sz="0" w:space="0" w:color="auto"/>
      </w:divBdr>
    </w:div>
    <w:div w:id="1799687461">
      <w:bodyDiv w:val="1"/>
      <w:marLeft w:val="0"/>
      <w:marRight w:val="0"/>
      <w:marTop w:val="0"/>
      <w:marBottom w:val="0"/>
      <w:divBdr>
        <w:top w:val="none" w:sz="0" w:space="0" w:color="auto"/>
        <w:left w:val="none" w:sz="0" w:space="0" w:color="auto"/>
        <w:bottom w:val="none" w:sz="0" w:space="0" w:color="auto"/>
        <w:right w:val="none" w:sz="0" w:space="0" w:color="auto"/>
      </w:divBdr>
    </w:div>
    <w:div w:id="1947348768">
      <w:bodyDiv w:val="1"/>
      <w:marLeft w:val="0"/>
      <w:marRight w:val="0"/>
      <w:marTop w:val="0"/>
      <w:marBottom w:val="0"/>
      <w:divBdr>
        <w:top w:val="none" w:sz="0" w:space="0" w:color="auto"/>
        <w:left w:val="none" w:sz="0" w:space="0" w:color="auto"/>
        <w:bottom w:val="none" w:sz="0" w:space="0" w:color="auto"/>
        <w:right w:val="none" w:sz="0" w:space="0" w:color="auto"/>
      </w:divBdr>
    </w:div>
    <w:div w:id="2030446233">
      <w:bodyDiv w:val="1"/>
      <w:marLeft w:val="0"/>
      <w:marRight w:val="0"/>
      <w:marTop w:val="0"/>
      <w:marBottom w:val="0"/>
      <w:divBdr>
        <w:top w:val="none" w:sz="0" w:space="0" w:color="auto"/>
        <w:left w:val="none" w:sz="0" w:space="0" w:color="auto"/>
        <w:bottom w:val="none" w:sz="0" w:space="0" w:color="auto"/>
        <w:right w:val="none" w:sz="0" w:space="0" w:color="auto"/>
      </w:divBdr>
    </w:div>
    <w:div w:id="2040083170">
      <w:bodyDiv w:val="1"/>
      <w:marLeft w:val="0"/>
      <w:marRight w:val="0"/>
      <w:marTop w:val="0"/>
      <w:marBottom w:val="0"/>
      <w:divBdr>
        <w:top w:val="none" w:sz="0" w:space="0" w:color="auto"/>
        <w:left w:val="none" w:sz="0" w:space="0" w:color="auto"/>
        <w:bottom w:val="none" w:sz="0" w:space="0" w:color="auto"/>
        <w:right w:val="none" w:sz="0" w:space="0" w:color="auto"/>
      </w:divBdr>
    </w:div>
    <w:div w:id="2046707521">
      <w:bodyDiv w:val="1"/>
      <w:marLeft w:val="0"/>
      <w:marRight w:val="0"/>
      <w:marTop w:val="0"/>
      <w:marBottom w:val="0"/>
      <w:divBdr>
        <w:top w:val="none" w:sz="0" w:space="0" w:color="auto"/>
        <w:left w:val="none" w:sz="0" w:space="0" w:color="auto"/>
        <w:bottom w:val="none" w:sz="0" w:space="0" w:color="auto"/>
        <w:right w:val="none" w:sz="0" w:space="0" w:color="auto"/>
      </w:divBdr>
    </w:div>
    <w:div w:id="2142113066">
      <w:bodyDiv w:val="1"/>
      <w:marLeft w:val="0"/>
      <w:marRight w:val="0"/>
      <w:marTop w:val="0"/>
      <w:marBottom w:val="0"/>
      <w:divBdr>
        <w:top w:val="none" w:sz="0" w:space="0" w:color="auto"/>
        <w:left w:val="none" w:sz="0" w:space="0" w:color="auto"/>
        <w:bottom w:val="none" w:sz="0" w:space="0" w:color="auto"/>
        <w:right w:val="none" w:sz="0" w:space="0" w:color="auto"/>
      </w:divBdr>
    </w:div>
    <w:div w:id="2145006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parenting-give-it-time/your-childs-development" TargetMode="External"/><Relationship Id="rId13" Type="http://schemas.openxmlformats.org/officeDocument/2006/relationships/hyperlink" Target="https://www.ersi.info/iters.html" TargetMode="External"/><Relationship Id="rId3" Type="http://schemas.openxmlformats.org/officeDocument/2006/relationships/settings" Target="settings.xml"/><Relationship Id="rId7" Type="http://schemas.openxmlformats.org/officeDocument/2006/relationships/hyperlink" Target="https://www.oecd-ilibrary.org/docserver/6e563bae-en.pdf?expires=1652964702&amp;id=id&amp;accname=guest&amp;checksum=F82E8AC31EFD387E3077321759EC1309" TargetMode="External"/><Relationship Id="rId12" Type="http://schemas.openxmlformats.org/officeDocument/2006/relationships/hyperlink" Target="https://hwb.gov.wales/api/storage/031bbc2d-d2f8-429d-a944-5fc33484827d/a-quality-framework-for-early-childhood-play-learning-and-care-v1.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wales/education-changin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right-to-education.org/sites/right-to-education.org/files/resource-attachments/UNICEF_Defining_Quality_Education_2000.PDF" TargetMode="External"/><Relationship Id="rId4" Type="http://schemas.openxmlformats.org/officeDocument/2006/relationships/webSettings" Target="webSettings.xml"/><Relationship Id="rId9" Type="http://schemas.openxmlformats.org/officeDocument/2006/relationships/hyperlink" Target="https://www.isbe.net/Documents/ecers_presentation.pdf"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2844</Words>
  <Characters>16213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Wells</dc:creator>
  <cp:keywords/>
  <dc:description/>
  <cp:lastModifiedBy>Rebecca Wells</cp:lastModifiedBy>
  <cp:revision>2</cp:revision>
  <dcterms:created xsi:type="dcterms:W3CDTF">2024-04-20T21:04:00Z</dcterms:created>
  <dcterms:modified xsi:type="dcterms:W3CDTF">2024-04-20T21:04:00Z</dcterms:modified>
</cp:coreProperties>
</file>