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66CCB" w14:textId="77777777" w:rsidR="00A543D6" w:rsidRDefault="00A543D6">
      <w:pPr>
        <w:tabs>
          <w:tab w:val="center" w:pos="4680"/>
        </w:tabs>
        <w:spacing w:line="360" w:lineRule="auto"/>
        <w:contextualSpacing/>
        <w:rPr>
          <w:rFonts w:ascii="Arial" w:eastAsia="Yu Gothic Light" w:hAnsi="Arial" w:cs="Arial"/>
          <w:b/>
          <w:spacing w:val="-10"/>
          <w:kern w:val="28"/>
          <w:sz w:val="28"/>
          <w:szCs w:val="28"/>
        </w:rPr>
      </w:pPr>
      <w:r>
        <w:rPr>
          <w:rFonts w:ascii="Aptos Display" w:eastAsia="Yu Gothic Light" w:hAnsi="Aptos Display" w:cs="Times New Roman"/>
          <w:noProof/>
          <w:spacing w:val="-10"/>
          <w:kern w:val="28"/>
          <w:sz w:val="56"/>
          <w:szCs w:val="56"/>
        </w:rPr>
        <w:drawing>
          <wp:inline distT="0" distB="0" distL="0" distR="0" wp14:anchorId="7CB4BA3B" wp14:editId="3C597015">
            <wp:extent cx="5943600" cy="1045845"/>
            <wp:effectExtent l="0" t="0" r="0" b="1905"/>
            <wp:docPr id="1487800465" name="Picture 1" descr="Professional Investigation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essional Investigation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045845"/>
                    </a:xfrm>
                    <a:prstGeom prst="rect">
                      <a:avLst/>
                    </a:prstGeom>
                    <a:noFill/>
                    <a:ln>
                      <a:noFill/>
                    </a:ln>
                  </pic:spPr>
                </pic:pic>
              </a:graphicData>
            </a:graphic>
          </wp:inline>
        </w:drawing>
      </w:r>
      <w:r>
        <w:rPr>
          <w:rFonts w:ascii="Arial" w:eastAsia="Yu Gothic Light" w:hAnsi="Arial" w:cs="Arial"/>
          <w:b/>
          <w:spacing w:val="-10"/>
          <w:kern w:val="28"/>
          <w:sz w:val="28"/>
          <w:szCs w:val="28"/>
        </w:rPr>
        <w:tab/>
        <w:t>Natasha Ellis</w:t>
      </w:r>
    </w:p>
    <w:p w14:paraId="231877B2" w14:textId="77777777" w:rsidR="00A543D6" w:rsidRDefault="00A543D6">
      <w:pPr>
        <w:spacing w:line="360" w:lineRule="auto"/>
        <w:contextualSpacing/>
        <w:jc w:val="center"/>
        <w:rPr>
          <w:rFonts w:ascii="Arial" w:eastAsia="Yu Gothic Light" w:hAnsi="Arial" w:cs="Arial"/>
          <w:b/>
          <w:spacing w:val="-10"/>
          <w:kern w:val="28"/>
          <w:sz w:val="28"/>
          <w:szCs w:val="28"/>
        </w:rPr>
      </w:pPr>
      <w:r>
        <w:rPr>
          <w:rFonts w:ascii="Arial" w:eastAsia="Yu Gothic Light" w:hAnsi="Arial" w:cs="Arial"/>
          <w:b/>
          <w:spacing w:val="-10"/>
          <w:kern w:val="28"/>
          <w:sz w:val="28"/>
          <w:szCs w:val="28"/>
        </w:rPr>
        <w:t>Student number: 2309153</w:t>
      </w:r>
    </w:p>
    <w:p w14:paraId="50C2C060" w14:textId="77777777" w:rsidR="00A543D6" w:rsidRDefault="00A543D6">
      <w:pPr>
        <w:spacing w:line="360" w:lineRule="auto"/>
        <w:contextualSpacing/>
        <w:jc w:val="center"/>
        <w:rPr>
          <w:rFonts w:ascii="Arial" w:eastAsia="Yu Gothic Light" w:hAnsi="Arial" w:cs="Arial"/>
          <w:b/>
          <w:spacing w:val="-10"/>
          <w:kern w:val="28"/>
        </w:rPr>
      </w:pPr>
    </w:p>
    <w:p w14:paraId="6FEB66A8" w14:textId="77777777" w:rsidR="00A543D6" w:rsidRDefault="00A543D6">
      <w:pPr>
        <w:spacing w:line="360" w:lineRule="auto"/>
        <w:contextualSpacing/>
        <w:jc w:val="center"/>
        <w:rPr>
          <w:rFonts w:ascii="Arial" w:eastAsia="Yu Gothic Light" w:hAnsi="Arial" w:cs="Arial"/>
          <w:b/>
          <w:spacing w:val="-10"/>
          <w:kern w:val="28"/>
        </w:rPr>
      </w:pPr>
    </w:p>
    <w:p w14:paraId="674498A6" w14:textId="77777777" w:rsidR="00A543D6" w:rsidRDefault="00A543D6">
      <w:pPr>
        <w:spacing w:line="360" w:lineRule="auto"/>
        <w:contextualSpacing/>
        <w:jc w:val="center"/>
        <w:rPr>
          <w:rFonts w:ascii="Arial" w:eastAsia="Yu Gothic Light" w:hAnsi="Arial" w:cs="Arial"/>
          <w:b/>
          <w:spacing w:val="-10"/>
          <w:kern w:val="28"/>
        </w:rPr>
      </w:pPr>
    </w:p>
    <w:p w14:paraId="37E0B008" w14:textId="34CE3E9B" w:rsidR="00822A4E" w:rsidRDefault="00822A4E">
      <w:pPr>
        <w:spacing w:line="360" w:lineRule="auto"/>
        <w:contextualSpacing/>
        <w:jc w:val="center"/>
        <w:rPr>
          <w:rFonts w:ascii="Arial" w:eastAsia="Yu Gothic Light" w:hAnsi="Arial" w:cs="Arial"/>
          <w:b/>
          <w:spacing w:val="-10"/>
          <w:kern w:val="28"/>
        </w:rPr>
      </w:pPr>
      <w:r>
        <w:rPr>
          <w:rFonts w:ascii="Arial" w:eastAsia="Yu Gothic Light" w:hAnsi="Arial" w:cs="Arial"/>
          <w:b/>
          <w:spacing w:val="-10"/>
          <w:kern w:val="28"/>
        </w:rPr>
        <w:t>Module: BMHP6026 Digital Transformation in the Health and Care Professionals (BMHP6026 BIRM)</w:t>
      </w:r>
    </w:p>
    <w:p w14:paraId="41CDFD1F" w14:textId="77777777" w:rsidR="00822A4E" w:rsidRDefault="00822A4E">
      <w:pPr>
        <w:spacing w:line="360" w:lineRule="auto"/>
        <w:contextualSpacing/>
        <w:jc w:val="center"/>
        <w:rPr>
          <w:rFonts w:ascii="Arial" w:eastAsia="Yu Gothic Light" w:hAnsi="Arial" w:cs="Arial"/>
          <w:b/>
          <w:spacing w:val="-10"/>
          <w:kern w:val="28"/>
        </w:rPr>
      </w:pPr>
      <w:r>
        <w:rPr>
          <w:rFonts w:ascii="Arial" w:eastAsia="Yu Gothic Light" w:hAnsi="Arial" w:cs="Arial"/>
          <w:b/>
          <w:spacing w:val="-10"/>
          <w:kern w:val="28"/>
        </w:rPr>
        <w:t>Component: BMHP6026 Component 1 – Written Report</w:t>
      </w:r>
    </w:p>
    <w:p w14:paraId="16745C6A" w14:textId="77777777" w:rsidR="00822A4E" w:rsidRDefault="00822A4E">
      <w:pPr>
        <w:spacing w:line="360" w:lineRule="auto"/>
        <w:contextualSpacing/>
        <w:jc w:val="center"/>
        <w:rPr>
          <w:rFonts w:ascii="Arial" w:eastAsia="Yu Gothic Light" w:hAnsi="Arial" w:cs="Arial"/>
          <w:b/>
          <w:spacing w:val="-10"/>
          <w:kern w:val="28"/>
        </w:rPr>
      </w:pPr>
      <w:r>
        <w:rPr>
          <w:noProof/>
        </w:rPr>
        <w:drawing>
          <wp:anchor distT="0" distB="0" distL="114300" distR="114300" simplePos="0" relativeHeight="251668480" behindDoc="0" locked="0" layoutInCell="1" allowOverlap="1" wp14:anchorId="55C91E20" wp14:editId="1F9595BB">
            <wp:simplePos x="0" y="0"/>
            <wp:positionH relativeFrom="margin">
              <wp:align>center</wp:align>
            </wp:positionH>
            <wp:positionV relativeFrom="paragraph">
              <wp:posOffset>329565</wp:posOffset>
            </wp:positionV>
            <wp:extent cx="1402080" cy="1090930"/>
            <wp:effectExtent l="57150" t="0" r="64770" b="90170"/>
            <wp:wrapTopAndBottom/>
            <wp:docPr id="985361771" name="Picture 2" descr="A blue circle with white text"/>
            <wp:cNvGraphicFramePr/>
            <a:graphic xmlns:a="http://schemas.openxmlformats.org/drawingml/2006/main">
              <a:graphicData uri="http://schemas.openxmlformats.org/drawingml/2006/picture">
                <pic:pic xmlns:pic="http://schemas.openxmlformats.org/drawingml/2006/picture">
                  <pic:nvPicPr>
                    <pic:cNvPr id="985361771" name="Picture 1" descr="A blue circle with white text"/>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94765" cy="985520"/>
                    </a:xfrm>
                    <a:prstGeom prst="rect">
                      <a:avLst/>
                    </a:prstGeom>
                    <a:effectLst>
                      <a:outerShdw blurRad="50800" dist="50800" dir="5400000" algn="ctr" rotWithShape="0">
                        <a:srgbClr val="000000"/>
                      </a:outerShdw>
                    </a:effectLst>
                  </pic:spPr>
                </pic:pic>
              </a:graphicData>
            </a:graphic>
            <wp14:sizeRelH relativeFrom="margin">
              <wp14:pctWidth>0</wp14:pctWidth>
            </wp14:sizeRelH>
            <wp14:sizeRelV relativeFrom="margin">
              <wp14:pctHeight>0</wp14:pctHeight>
            </wp14:sizeRelV>
          </wp:anchor>
        </w:drawing>
      </w:r>
    </w:p>
    <w:p w14:paraId="090A134C" w14:textId="77777777" w:rsidR="00822A4E" w:rsidRDefault="00822A4E">
      <w:pPr>
        <w:spacing w:line="360" w:lineRule="auto"/>
        <w:contextualSpacing/>
        <w:jc w:val="center"/>
        <w:rPr>
          <w:rFonts w:ascii="Arial" w:eastAsia="Yu Gothic Light" w:hAnsi="Arial" w:cs="Arial"/>
          <w:b/>
          <w:spacing w:val="-10"/>
          <w:kern w:val="28"/>
        </w:rPr>
      </w:pPr>
    </w:p>
    <w:p w14:paraId="6292F458" w14:textId="77777777" w:rsidR="00822A4E" w:rsidRDefault="00822A4E">
      <w:pPr>
        <w:spacing w:line="360" w:lineRule="auto"/>
        <w:contextualSpacing/>
        <w:jc w:val="center"/>
        <w:rPr>
          <w:rFonts w:ascii="Arial" w:eastAsia="Yu Gothic Light" w:hAnsi="Arial" w:cs="Arial"/>
          <w:b/>
          <w:spacing w:val="-10"/>
          <w:kern w:val="28"/>
        </w:rPr>
      </w:pPr>
      <w:r>
        <w:rPr>
          <w:noProof/>
        </w:rPr>
        <mc:AlternateContent>
          <mc:Choice Requires="wps">
            <w:drawing>
              <wp:anchor distT="0" distB="0" distL="114300" distR="114300" simplePos="0" relativeHeight="251667456" behindDoc="0" locked="0" layoutInCell="1" allowOverlap="1" wp14:anchorId="489DF42F" wp14:editId="7EE731F1">
                <wp:simplePos x="0" y="0"/>
                <wp:positionH relativeFrom="margin">
                  <wp:posOffset>0</wp:posOffset>
                </wp:positionH>
                <wp:positionV relativeFrom="paragraph">
                  <wp:posOffset>65405</wp:posOffset>
                </wp:positionV>
                <wp:extent cx="5628005" cy="1125855"/>
                <wp:effectExtent l="0" t="0" r="0" b="0"/>
                <wp:wrapNone/>
                <wp:docPr id="1186445281" name="Text Box 1"/>
                <wp:cNvGraphicFramePr/>
                <a:graphic xmlns:a="http://schemas.openxmlformats.org/drawingml/2006/main">
                  <a:graphicData uri="http://schemas.microsoft.com/office/word/2010/wordprocessingShape">
                    <wps:wsp>
                      <wps:cNvSpPr txBox="1"/>
                      <wps:spPr>
                        <a:xfrm rot="10800000" flipV="1">
                          <a:off x="0" y="0"/>
                          <a:ext cx="5628005" cy="1125855"/>
                        </a:xfrm>
                        <a:prstGeom prst="rect">
                          <a:avLst/>
                        </a:prstGeom>
                        <a:noFill/>
                        <a:ln>
                          <a:noFill/>
                        </a:ln>
                      </wps:spPr>
                      <wps:txbx>
                        <w:txbxContent>
                          <w:p w14:paraId="706DE7CD" w14:textId="77777777" w:rsidR="00822A4E" w:rsidRDefault="00822A4E">
                            <w:pPr>
                              <w:pStyle w:val="Title"/>
                              <w:spacing w:line="360" w:lineRule="auto"/>
                              <w:jc w:val="center"/>
                              <w:rPr>
                                <w:rFonts w:ascii="Arial" w:hAnsi="Arial" w:cs="Arial"/>
                                <w:b/>
                                <w:bCs/>
                                <w:color w:val="000000"/>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8C0816">
                              <w:rPr>
                                <w:rFonts w:ascii="Arial" w:hAnsi="Arial" w:cs="Arial"/>
                                <w:b/>
                                <w:bCs/>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Medicus Health Cloud</w:t>
                            </w:r>
                            <w:r w:rsidRPr="008C0816">
                              <w:rPr>
                                <w:rFonts w:ascii="Cambria Math" w:hAnsi="Cambria Math" w:cs="Cambria Math"/>
                                <w:b/>
                                <w:bCs/>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noBreakHyphen/>
                            </w:r>
                            <w:r w:rsidRPr="008C0816">
                              <w:rPr>
                                <w:rFonts w:ascii="Arial" w:hAnsi="Arial" w:cs="Arial"/>
                                <w:b/>
                                <w:bCs/>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Based Clinical System: A Case Study in Digital </w:t>
                            </w:r>
                            <w:r>
                              <w:rPr>
                                <w:rFonts w:ascii="Arial" w:hAnsi="Arial" w:cs="Arial"/>
                                <w:b/>
                                <w:bCs/>
                                <w:color w:val="000000"/>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Transformation Across NHS General Practice</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9DF42F" id="_x0000_t202" coordsize="21600,21600" o:spt="202" path="m,l,21600r21600,l21600,xe">
                <v:stroke joinstyle="miter"/>
                <v:path gradientshapeok="t" o:connecttype="rect"/>
              </v:shapetype>
              <v:shape id="Text Box 1" o:spid="_x0000_s1026" type="#_x0000_t202" style="position:absolute;left:0;text-align:left;margin-left:0;margin-top:5.15pt;width:443.15pt;height:88.65pt;rotation:180;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" filled="f" stroked="f">
                <v:textbox>
                  <w:txbxContent>
                    <w:p w14:paraId="706DE7CD" w14:textId="77777777" w:rsidR="00822A4E" w:rsidRDefault="00822A4E">
                      <w:pPr>
                        <w:pStyle w:val="Title"/>
                        <w:spacing w:line="360" w:lineRule="auto"/>
                        <w:jc w:val="center"/>
                        <w:rPr>
                          <w:rFonts w:ascii="Arial" w:hAnsi="Arial" w:cs="Arial"/>
                          <w:b/>
                          <w:bCs/>
                          <w:color w:val="000000"/>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8C0816">
                        <w:rPr>
                          <w:rFonts w:ascii="Arial" w:hAnsi="Arial" w:cs="Arial"/>
                          <w:b/>
                          <w:bCs/>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Medicus Health Cloud</w:t>
                      </w:r>
                      <w:r w:rsidRPr="008C0816">
                        <w:rPr>
                          <w:rFonts w:ascii="Cambria Math" w:hAnsi="Cambria Math" w:cs="Cambria Math"/>
                          <w:b/>
                          <w:bCs/>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noBreakHyphen/>
                      </w:r>
                      <w:r w:rsidRPr="008C0816">
                        <w:rPr>
                          <w:rFonts w:ascii="Arial" w:hAnsi="Arial" w:cs="Arial"/>
                          <w:b/>
                          <w:bCs/>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Based Clinical System: A Case Study in Digital </w:t>
                      </w:r>
                      <w:r>
                        <w:rPr>
                          <w:rFonts w:ascii="Arial" w:hAnsi="Arial" w:cs="Arial"/>
                          <w:b/>
                          <w:bCs/>
                          <w:color w:val="000000"/>
                          <w:spacing w:val="0"/>
                          <w:sz w:val="24"/>
                          <w:szCs w:val="24"/>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Transformation Across NHS General Practice</w:t>
                      </w:r>
                    </w:p>
                  </w:txbxContent>
                </v:textbox>
                <w10:wrap anchorx="margin"/>
              </v:shape>
            </w:pict>
          </mc:Fallback>
        </mc:AlternateContent>
      </w:r>
    </w:p>
    <w:p w14:paraId="3AB4B47A" w14:textId="77777777" w:rsidR="00822A4E" w:rsidRDefault="00822A4E">
      <w:pPr>
        <w:spacing w:line="360" w:lineRule="auto"/>
        <w:contextualSpacing/>
        <w:rPr>
          <w:rFonts w:ascii="Arial" w:eastAsia="Yu Gothic Light" w:hAnsi="Arial" w:cs="Arial"/>
          <w:b/>
          <w:spacing w:val="-10"/>
          <w:kern w:val="28"/>
        </w:rPr>
      </w:pPr>
    </w:p>
    <w:p w14:paraId="417C845C" w14:textId="77777777" w:rsidR="00822A4E" w:rsidRDefault="00822A4E">
      <w:pPr>
        <w:spacing w:line="360" w:lineRule="auto"/>
        <w:contextualSpacing/>
        <w:rPr>
          <w:rFonts w:ascii="Arial" w:eastAsia="Yu Gothic Light" w:hAnsi="Arial" w:cs="Arial"/>
          <w:b/>
          <w:spacing w:val="-10"/>
          <w:kern w:val="28"/>
        </w:rPr>
      </w:pPr>
    </w:p>
    <w:p w14:paraId="60EEA7AB" w14:textId="77777777" w:rsidR="00822A4E" w:rsidRDefault="00822A4E">
      <w:pPr>
        <w:spacing w:line="360" w:lineRule="auto"/>
        <w:contextualSpacing/>
        <w:jc w:val="center"/>
        <w:rPr>
          <w:rFonts w:ascii="Arial" w:eastAsia="Yu Gothic Light" w:hAnsi="Arial" w:cs="Arial"/>
          <w:b/>
          <w:spacing w:val="-10"/>
          <w:kern w:val="28"/>
        </w:rPr>
      </w:pPr>
    </w:p>
    <w:p w14:paraId="3EA33AB1" w14:textId="77777777" w:rsidR="00822A4E" w:rsidRDefault="00822A4E">
      <w:pPr>
        <w:spacing w:line="360" w:lineRule="auto"/>
        <w:rPr>
          <w:rFonts w:ascii="Aptos" w:eastAsia="Yu Mincho" w:hAnsi="Aptos" w:cs="Arial"/>
        </w:rPr>
      </w:pPr>
    </w:p>
    <w:p w14:paraId="170F5D8A" w14:textId="77777777" w:rsidR="00822A4E" w:rsidRDefault="00822A4E">
      <w:pPr>
        <w:spacing w:line="360" w:lineRule="auto"/>
        <w:contextualSpacing/>
        <w:jc w:val="center"/>
        <w:rPr>
          <w:rFonts w:ascii="Arial" w:eastAsia="Yu Gothic Light" w:hAnsi="Arial" w:cs="Arial"/>
          <w:b/>
          <w:spacing w:val="-10"/>
          <w:kern w:val="28"/>
          <w:sz w:val="22"/>
          <w:szCs w:val="22"/>
        </w:rPr>
      </w:pPr>
      <w:r>
        <w:rPr>
          <w:rFonts w:ascii="Arial" w:eastAsia="Yu Gothic Light" w:hAnsi="Arial" w:cs="Arial"/>
          <w:b/>
          <w:spacing w:val="-10"/>
          <w:kern w:val="28"/>
          <w:sz w:val="22"/>
          <w:szCs w:val="22"/>
        </w:rPr>
        <w:t>(Tutor Name – Martin Svejda)</w:t>
      </w:r>
    </w:p>
    <w:p w14:paraId="43842451" w14:textId="77777777" w:rsidR="00822A4E" w:rsidRDefault="00822A4E">
      <w:pPr>
        <w:spacing w:line="360" w:lineRule="auto"/>
        <w:contextualSpacing/>
        <w:jc w:val="center"/>
        <w:rPr>
          <w:rFonts w:ascii="Arial" w:eastAsia="Yu Gothic Light" w:hAnsi="Arial" w:cs="Arial"/>
          <w:b/>
          <w:spacing w:val="-10"/>
          <w:kern w:val="28"/>
          <w:sz w:val="22"/>
          <w:szCs w:val="22"/>
        </w:rPr>
      </w:pPr>
      <w:r>
        <w:rPr>
          <w:rFonts w:ascii="Arial" w:eastAsia="Yu Gothic Light" w:hAnsi="Arial" w:cs="Arial"/>
          <w:b/>
          <w:spacing w:val="-10"/>
          <w:kern w:val="28"/>
          <w:sz w:val="22"/>
          <w:szCs w:val="22"/>
        </w:rPr>
        <w:t>Submission date: (02.08.2025)</w:t>
      </w:r>
    </w:p>
    <w:p w14:paraId="3F71FF35" w14:textId="77777777" w:rsidR="00822A4E" w:rsidRDefault="00822A4E">
      <w:pPr>
        <w:spacing w:line="360" w:lineRule="auto"/>
        <w:jc w:val="center"/>
        <w:rPr>
          <w:rFonts w:ascii="Arial" w:eastAsia="Yu Mincho" w:hAnsi="Arial" w:cs="Arial"/>
          <w:b/>
          <w:sz w:val="22"/>
          <w:szCs w:val="22"/>
        </w:rPr>
      </w:pPr>
      <w:r>
        <w:rPr>
          <w:rFonts w:ascii="Arial" w:eastAsia="Yu Mincho" w:hAnsi="Arial" w:cs="Arial"/>
          <w:b/>
          <w:sz w:val="22"/>
          <w:szCs w:val="22"/>
        </w:rPr>
        <w:t>Word count: (2,000 words) (+/-10%)</w:t>
      </w:r>
    </w:p>
    <w:p w14:paraId="13586E8C" w14:textId="77777777" w:rsidR="00822A4E" w:rsidRDefault="00822A4E">
      <w:pPr>
        <w:spacing w:line="360" w:lineRule="auto"/>
        <w:contextualSpacing/>
        <w:rPr>
          <w:rFonts w:ascii="Arial" w:eastAsia="Yu Gothic Light" w:hAnsi="Arial" w:cs="Arial"/>
          <w:b/>
          <w:bCs/>
          <w:spacing w:val="-10"/>
          <w:kern w:val="28"/>
          <w:sz w:val="20"/>
          <w:szCs w:val="20"/>
        </w:rPr>
      </w:pPr>
    </w:p>
    <w:p w14:paraId="42959F9D" w14:textId="77777777" w:rsidR="00822A4E" w:rsidRDefault="00822A4E">
      <w:pPr>
        <w:spacing w:line="360" w:lineRule="auto"/>
        <w:contextualSpacing/>
        <w:rPr>
          <w:rFonts w:ascii="Arial" w:eastAsia="Yu Gothic Light" w:hAnsi="Arial" w:cs="Arial"/>
          <w:b/>
          <w:bCs/>
          <w:spacing w:val="-10"/>
          <w:kern w:val="28"/>
          <w:sz w:val="20"/>
          <w:szCs w:val="20"/>
        </w:rPr>
      </w:pPr>
    </w:p>
    <w:tbl>
      <w:tblPr>
        <w:tblStyle w:val="TableGrid1"/>
        <w:tblW w:w="0" w:type="auto"/>
        <w:tblInd w:w="0" w:type="dxa"/>
        <w:tblLook w:val="04A0" w:firstRow="1" w:lastRow="0" w:firstColumn="1" w:lastColumn="0" w:noHBand="0" w:noVBand="1"/>
      </w:tblPr>
      <w:tblGrid>
        <w:gridCol w:w="9016"/>
      </w:tblGrid>
      <w:tr w:rsidR="00822A4E" w14:paraId="3E7C0349" w14:textId="77777777">
        <w:tc>
          <w:tcPr>
            <w:tcW w:w="9350" w:type="dxa"/>
            <w:tcBorders>
              <w:top w:val="single" w:sz="4" w:space="0" w:color="auto"/>
              <w:left w:val="single" w:sz="4" w:space="0" w:color="auto"/>
              <w:bottom w:val="single" w:sz="4" w:space="0" w:color="auto"/>
              <w:right w:val="single" w:sz="4" w:space="0" w:color="auto"/>
            </w:tcBorders>
            <w:hideMark/>
          </w:tcPr>
          <w:p w14:paraId="01193111" w14:textId="77777777" w:rsidR="00822A4E" w:rsidRDefault="00822A4E">
            <w:pPr>
              <w:spacing w:line="360" w:lineRule="auto"/>
              <w:rPr>
                <w:rFonts w:ascii="Arial" w:eastAsia="Yu Gothic Light" w:hAnsi="Arial" w:cs="Arial"/>
                <w:b/>
                <w:bCs/>
                <w:spacing w:val="-10"/>
                <w:kern w:val="28"/>
                <w:sz w:val="20"/>
                <w:szCs w:val="20"/>
              </w:rPr>
            </w:pPr>
            <w:r>
              <w:rPr>
                <w:rFonts w:ascii="Arial" w:eastAsia="Yu Gothic Light" w:hAnsi="Arial" w:cs="Arial"/>
                <w:b/>
                <w:bCs/>
                <w:spacing w:val="-10"/>
                <w:kern w:val="28"/>
                <w:sz w:val="20"/>
                <w:szCs w:val="20"/>
              </w:rPr>
              <w:t>Declaration: I confirm that this work is my own and has not been submitted for assessment elsewhere</w:t>
            </w:r>
          </w:p>
        </w:tc>
      </w:tr>
    </w:tbl>
    <w:p w14:paraId="59FA7594" w14:textId="77777777" w:rsidR="00B67989" w:rsidRPr="00847010" w:rsidRDefault="00B67989" w:rsidP="00A21B15">
      <w:pPr>
        <w:spacing w:line="360" w:lineRule="auto"/>
        <w:rPr>
          <w:rFonts w:ascii="Arial" w:hAnsi="Arial" w:cs="Arial"/>
          <w:lang w:eastAsia="en-GB"/>
        </w:rPr>
      </w:pPr>
      <w:r w:rsidRPr="00847010">
        <w:rPr>
          <w:rFonts w:ascii="Arial" w:hAnsi="Arial" w:cs="Arial"/>
          <w:lang w:eastAsia="en-GB"/>
        </w:rPr>
        <w:t> </w:t>
      </w:r>
    </w:p>
    <w:p w14:paraId="47126C49" w14:textId="77777777" w:rsidR="008857C1" w:rsidRPr="00847010" w:rsidRDefault="008857C1" w:rsidP="00A21B15">
      <w:pPr>
        <w:spacing w:line="360" w:lineRule="auto"/>
        <w:rPr>
          <w:rFonts w:ascii="Arial" w:hAnsi="Arial" w:cs="Arial"/>
          <w:lang w:eastAsia="en-GB"/>
        </w:rPr>
      </w:pPr>
    </w:p>
    <w:p w14:paraId="0D093726" w14:textId="77777777" w:rsidR="008857C1" w:rsidRPr="00847010" w:rsidRDefault="008857C1" w:rsidP="00A21B15">
      <w:pPr>
        <w:spacing w:line="360" w:lineRule="auto"/>
        <w:rPr>
          <w:rFonts w:ascii="Arial" w:hAnsi="Arial" w:cs="Arial"/>
          <w:lang w:eastAsia="en-GB"/>
        </w:rPr>
      </w:pPr>
    </w:p>
    <w:p w14:paraId="3D764905" w14:textId="77777777" w:rsidR="008857C1" w:rsidRPr="00847010" w:rsidRDefault="008857C1" w:rsidP="00A21B15">
      <w:pPr>
        <w:spacing w:line="360" w:lineRule="auto"/>
        <w:rPr>
          <w:rFonts w:ascii="Arial" w:hAnsi="Arial" w:cs="Arial"/>
          <w:lang w:eastAsia="en-GB"/>
        </w:rPr>
      </w:pPr>
    </w:p>
    <w:p w14:paraId="2D829B1A" w14:textId="66BE81DB" w:rsidR="00B67989" w:rsidRPr="00847010" w:rsidRDefault="00B67989" w:rsidP="00A543D6">
      <w:pPr>
        <w:pStyle w:val="Heading3"/>
        <w:rPr>
          <w:lang w:eastAsia="en-GB"/>
        </w:rPr>
      </w:pPr>
      <w:bookmarkStart w:id="0" w:name="_Toc212107789"/>
      <w:r w:rsidRPr="00847010">
        <w:rPr>
          <w:rFonts w:eastAsia="Arial"/>
          <w:lang w:eastAsia="ja-JP"/>
        </w:rPr>
        <w:t>Abstract</w:t>
      </w:r>
      <w:bookmarkEnd w:id="0"/>
    </w:p>
    <w:p w14:paraId="07E83816" w14:textId="5B51EF5D" w:rsidR="008C0816" w:rsidRPr="008C0816" w:rsidRDefault="00B67989" w:rsidP="00A21B15">
      <w:pPr>
        <w:spacing w:line="360" w:lineRule="auto"/>
        <w:rPr>
          <w:rFonts w:ascii="Arial" w:hAnsi="Arial" w:cs="Arial"/>
          <w:bCs/>
          <w:sz w:val="27"/>
          <w:szCs w:val="27"/>
          <w:lang w:eastAsia="en-GB"/>
        </w:rPr>
      </w:pPr>
      <w:r w:rsidRPr="00847010">
        <w:rPr>
          <w:rFonts w:ascii="Arial" w:hAnsi="Arial" w:cs="Arial"/>
          <w:lang w:eastAsia="ja-JP"/>
        </w:rPr>
        <w:t> </w:t>
      </w:r>
    </w:p>
    <w:p w14:paraId="40E42C34" w14:textId="68C5BBB1" w:rsidR="008C0816" w:rsidRPr="008C0816" w:rsidRDefault="008C0816" w:rsidP="00A21B15">
      <w:pPr>
        <w:spacing w:line="360" w:lineRule="auto"/>
        <w:rPr>
          <w:rFonts w:ascii="Arial" w:hAnsi="Arial" w:cs="Arial"/>
          <w:sz w:val="22"/>
          <w:szCs w:val="22"/>
          <w:lang w:eastAsia="en-GB"/>
        </w:rPr>
      </w:pPr>
      <w:r w:rsidRPr="008C0816">
        <w:rPr>
          <w:rFonts w:ascii="Arial" w:hAnsi="Arial" w:cs="Arial"/>
          <w:sz w:val="22"/>
          <w:szCs w:val="22"/>
          <w:lang w:eastAsia="en-GB"/>
        </w:rPr>
        <w:t>Background: Rapid rollout of electronic patient record (EPR) systems and expanded remote consultations have accelerated digital transformation in primary care but have also amplified patient safety risks and digital exclusion among marginalised groups. This report synthesises evidence and stakeholder insight to assess how EPR implementation and remote care intersect with safety, access, workforce readiness and equity.</w:t>
      </w:r>
    </w:p>
    <w:p w14:paraId="3BCB8CD1" w14:textId="0D1B0A25" w:rsidR="008C0816" w:rsidRPr="008C0816" w:rsidRDefault="008C0816" w:rsidP="00A21B15">
      <w:pPr>
        <w:spacing w:line="360" w:lineRule="auto"/>
        <w:rPr>
          <w:rFonts w:ascii="Arial" w:hAnsi="Arial" w:cs="Arial"/>
          <w:sz w:val="22"/>
          <w:szCs w:val="22"/>
          <w:lang w:eastAsia="en-GB"/>
        </w:rPr>
      </w:pPr>
      <w:r w:rsidRPr="008C0816">
        <w:rPr>
          <w:rFonts w:ascii="Arial" w:hAnsi="Arial" w:cs="Arial"/>
          <w:sz w:val="22"/>
          <w:szCs w:val="22"/>
          <w:lang w:eastAsia="en-GB"/>
        </w:rPr>
        <w:t>Aim: To evaluate the safety and inclusion implications of EPR adoption and remote primary care encounters, and to produce pragmatic, trauma‑informed recommendations for safe, equitable implementation in UK primary care settings.</w:t>
      </w:r>
    </w:p>
    <w:p w14:paraId="33801600" w14:textId="344036F5" w:rsidR="008C0816" w:rsidRPr="008C0816" w:rsidRDefault="008C0816" w:rsidP="00A21B15">
      <w:pPr>
        <w:spacing w:line="360" w:lineRule="auto"/>
        <w:rPr>
          <w:rFonts w:ascii="Arial" w:hAnsi="Arial" w:cs="Arial"/>
          <w:sz w:val="22"/>
          <w:szCs w:val="22"/>
          <w:lang w:eastAsia="en-GB"/>
        </w:rPr>
      </w:pPr>
      <w:r w:rsidRPr="008C0816">
        <w:rPr>
          <w:rFonts w:ascii="Arial" w:hAnsi="Arial" w:cs="Arial"/>
          <w:sz w:val="22"/>
          <w:szCs w:val="22"/>
          <w:lang w:eastAsia="en-GB"/>
        </w:rPr>
        <w:t>Methods: Rapid multimethod evidence synthesis combining systematic searches of peer‑reviewed literature and policy documents, thematic analysis of grey literature and case studies, and mapping of implementation barriers and enablers. Analysis applies a Safety I and Safety II lens to identify both failure modes and everyday adaptive practices that support resilient care. Findings were triangulated with organisational reports and exemplar local practice briefings.</w:t>
      </w:r>
    </w:p>
    <w:p w14:paraId="3F113978" w14:textId="586A7CC9" w:rsidR="008C0816" w:rsidRPr="008C0816" w:rsidRDefault="008C0816" w:rsidP="00A21B15">
      <w:pPr>
        <w:spacing w:line="360" w:lineRule="auto"/>
        <w:rPr>
          <w:rFonts w:ascii="Arial" w:hAnsi="Arial" w:cs="Arial"/>
          <w:sz w:val="22"/>
          <w:szCs w:val="22"/>
          <w:lang w:eastAsia="en-GB"/>
        </w:rPr>
      </w:pPr>
      <w:r w:rsidRPr="008C0816">
        <w:rPr>
          <w:rFonts w:ascii="Arial" w:hAnsi="Arial" w:cs="Arial"/>
          <w:sz w:val="22"/>
          <w:szCs w:val="22"/>
          <w:lang w:eastAsia="en-GB"/>
        </w:rPr>
        <w:t>Key findings: EPR implementation improves information continuity and supports remote workflows but introduces risks from poor usability, workflow mismatch, incomplete data migration and inadequate training. Remote consultations extend access for some patients while excluding others due to connectivity, digital literacy, language and socio‑economic barriers. Safety emerges as a socio‑technical problem: technology, human factors, training, governance and local pathways interact to produce harm or resilience. Trauma‑informed approaches and inclusive design mitigate exclusion and support safety by centring patient choice, consent, privacy and culturally competent communication.</w:t>
      </w:r>
    </w:p>
    <w:p w14:paraId="4C8C4A5B" w14:textId="097B6A86" w:rsidR="008C0816" w:rsidRPr="008C0816" w:rsidRDefault="008C0816" w:rsidP="00A21B15">
      <w:pPr>
        <w:spacing w:line="360" w:lineRule="auto"/>
        <w:rPr>
          <w:rFonts w:ascii="Arial" w:hAnsi="Arial" w:cs="Arial"/>
          <w:sz w:val="22"/>
          <w:szCs w:val="22"/>
          <w:lang w:eastAsia="en-GB"/>
        </w:rPr>
      </w:pPr>
      <w:r w:rsidRPr="008C0816">
        <w:rPr>
          <w:rFonts w:ascii="Arial" w:hAnsi="Arial" w:cs="Arial"/>
          <w:sz w:val="22"/>
          <w:szCs w:val="22"/>
          <w:lang w:eastAsia="en-GB"/>
        </w:rPr>
        <w:t>Conclusions and recommendations: Safe, equitable EPR and remote care adoption requires (1) co‑design with patients and staff, prioritising digital inclusion; (2) staged implementation with robust usability testing and simulated workflows; (3) mandatory, role‑specific training and local super‑user networks; (4) clear governance for data quality, escalation pathways and blended (digital + face) care options; and (5) monitoring using safety and equity indicators. Implementing these measures will reduce foreseeable harms and support resilient primary care services.</w:t>
      </w:r>
    </w:p>
    <w:p w14:paraId="3D0D6B30" w14:textId="77777777" w:rsidR="008C0816" w:rsidRPr="008C0816" w:rsidRDefault="008C0816" w:rsidP="00A21B15">
      <w:pPr>
        <w:spacing w:line="360" w:lineRule="auto"/>
        <w:rPr>
          <w:rFonts w:ascii="Arial" w:hAnsi="Arial" w:cs="Arial"/>
          <w:sz w:val="22"/>
          <w:szCs w:val="22"/>
          <w:lang w:eastAsia="en-GB"/>
        </w:rPr>
      </w:pPr>
      <w:r w:rsidRPr="008C0816">
        <w:rPr>
          <w:rFonts w:ascii="Arial" w:hAnsi="Arial" w:cs="Arial"/>
          <w:sz w:val="22"/>
          <w:szCs w:val="22"/>
          <w:lang w:eastAsia="en-GB"/>
        </w:rPr>
        <w:lastRenderedPageBreak/>
        <w:t>Keywords: electronic patient record, remote consultation, patient safety, digital inclusion, trauma‑informed care, primary care implementation.</w:t>
      </w:r>
    </w:p>
    <w:p w14:paraId="179AD320" w14:textId="46D5DA04" w:rsidR="00B67989" w:rsidRPr="008C0816" w:rsidRDefault="00B67989" w:rsidP="00A21B15">
      <w:pPr>
        <w:spacing w:line="360" w:lineRule="auto"/>
        <w:rPr>
          <w:rFonts w:ascii="Arial" w:hAnsi="Arial" w:cs="Arial"/>
          <w:sz w:val="22"/>
          <w:szCs w:val="22"/>
          <w:lang w:eastAsia="en-GB"/>
        </w:rPr>
      </w:pPr>
      <w:r w:rsidRPr="008C0816">
        <w:rPr>
          <w:rFonts w:ascii="Arial" w:hAnsi="Arial" w:cs="Arial"/>
          <w:sz w:val="22"/>
          <w:szCs w:val="22"/>
          <w:lang w:eastAsia="en-GB"/>
        </w:rPr>
        <w:t> </w:t>
      </w:r>
    </w:p>
    <w:p w14:paraId="29A235C3" w14:textId="77777777" w:rsidR="00B67989" w:rsidRPr="008C0816" w:rsidRDefault="00B67989" w:rsidP="00A21B15">
      <w:pPr>
        <w:spacing w:line="360" w:lineRule="auto"/>
        <w:rPr>
          <w:rFonts w:ascii="Arial" w:hAnsi="Arial" w:cs="Arial"/>
          <w:sz w:val="22"/>
          <w:szCs w:val="22"/>
          <w:lang w:eastAsia="en-GB"/>
        </w:rPr>
      </w:pPr>
      <w:r w:rsidRPr="008C0816">
        <w:rPr>
          <w:rFonts w:ascii="Arial" w:hAnsi="Arial" w:cs="Arial"/>
          <w:sz w:val="22"/>
          <w:szCs w:val="22"/>
          <w:lang w:eastAsia="en-GB"/>
        </w:rPr>
        <w:t> </w:t>
      </w:r>
    </w:p>
    <w:p w14:paraId="4EF54A16" w14:textId="77777777" w:rsidR="00B67989" w:rsidRPr="008C0816" w:rsidRDefault="00B67989" w:rsidP="00A21B15">
      <w:pPr>
        <w:spacing w:line="360" w:lineRule="auto"/>
        <w:rPr>
          <w:rFonts w:ascii="Arial" w:hAnsi="Arial" w:cs="Arial"/>
          <w:sz w:val="22"/>
          <w:szCs w:val="22"/>
          <w:lang w:eastAsia="en-GB"/>
        </w:rPr>
      </w:pPr>
      <w:r w:rsidRPr="008C0816">
        <w:rPr>
          <w:rFonts w:ascii="Arial" w:hAnsi="Arial" w:cs="Arial"/>
          <w:sz w:val="22"/>
          <w:szCs w:val="22"/>
          <w:lang w:eastAsia="en-GB"/>
        </w:rPr>
        <w:t> </w:t>
      </w:r>
    </w:p>
    <w:p w14:paraId="33281C70" w14:textId="77777777" w:rsidR="00B67989" w:rsidRPr="008C0816" w:rsidRDefault="00B67989" w:rsidP="00A21B15">
      <w:pPr>
        <w:spacing w:line="360" w:lineRule="auto"/>
        <w:rPr>
          <w:rFonts w:ascii="Arial" w:hAnsi="Arial" w:cs="Arial"/>
          <w:sz w:val="22"/>
          <w:szCs w:val="22"/>
          <w:lang w:eastAsia="en-GB"/>
        </w:rPr>
      </w:pPr>
      <w:r w:rsidRPr="008C0816">
        <w:rPr>
          <w:rFonts w:ascii="Arial" w:hAnsi="Arial" w:cs="Arial"/>
          <w:sz w:val="22"/>
          <w:szCs w:val="22"/>
          <w:lang w:eastAsia="en-GB"/>
        </w:rPr>
        <w:t> </w:t>
      </w:r>
    </w:p>
    <w:p w14:paraId="24D7C47D" w14:textId="77777777" w:rsidR="00B67989" w:rsidRPr="008C0816" w:rsidRDefault="00B67989" w:rsidP="00A21B15">
      <w:pPr>
        <w:spacing w:line="360" w:lineRule="auto"/>
        <w:rPr>
          <w:rFonts w:ascii="Arial" w:hAnsi="Arial" w:cs="Arial"/>
          <w:sz w:val="22"/>
          <w:szCs w:val="22"/>
          <w:lang w:eastAsia="en-GB"/>
        </w:rPr>
      </w:pPr>
      <w:r w:rsidRPr="008C0816">
        <w:rPr>
          <w:rFonts w:ascii="Arial" w:hAnsi="Arial" w:cs="Arial"/>
          <w:bCs/>
          <w:sz w:val="22"/>
          <w:szCs w:val="22"/>
          <w:lang w:eastAsia="ja-JP"/>
        </w:rPr>
        <w:t> </w:t>
      </w:r>
    </w:p>
    <w:p w14:paraId="0499B40C" w14:textId="77777777" w:rsidR="00B67989" w:rsidRPr="008C0816" w:rsidRDefault="00B67989" w:rsidP="00A21B15">
      <w:pPr>
        <w:spacing w:line="360" w:lineRule="auto"/>
        <w:rPr>
          <w:rFonts w:ascii="Arial" w:hAnsi="Arial" w:cs="Arial"/>
          <w:sz w:val="22"/>
          <w:szCs w:val="22"/>
          <w:lang w:eastAsia="en-GB"/>
        </w:rPr>
      </w:pPr>
      <w:r w:rsidRPr="008C0816">
        <w:rPr>
          <w:rFonts w:ascii="Arial" w:hAnsi="Arial" w:cs="Arial"/>
          <w:bCs/>
          <w:sz w:val="22"/>
          <w:szCs w:val="22"/>
          <w:lang w:eastAsia="en-GB"/>
        </w:rPr>
        <w:t> </w:t>
      </w:r>
    </w:p>
    <w:p w14:paraId="179CF286" w14:textId="77777777" w:rsidR="00B67989" w:rsidRPr="008C0816" w:rsidRDefault="00B67989" w:rsidP="00A21B15">
      <w:pPr>
        <w:spacing w:line="360" w:lineRule="auto"/>
        <w:rPr>
          <w:rFonts w:ascii="Arial" w:hAnsi="Arial" w:cs="Arial"/>
          <w:sz w:val="22"/>
          <w:szCs w:val="22"/>
          <w:lang w:eastAsia="en-GB"/>
        </w:rPr>
      </w:pPr>
      <w:r w:rsidRPr="008C0816">
        <w:rPr>
          <w:rFonts w:ascii="Arial" w:hAnsi="Arial" w:cs="Arial"/>
          <w:bCs/>
          <w:sz w:val="22"/>
          <w:szCs w:val="22"/>
          <w:lang w:eastAsia="en-GB"/>
        </w:rPr>
        <w:t> </w:t>
      </w:r>
    </w:p>
    <w:p w14:paraId="78BB8992" w14:textId="77777777" w:rsidR="00A42E8D" w:rsidRPr="00847010" w:rsidRDefault="00A42E8D" w:rsidP="00A21B15">
      <w:pPr>
        <w:spacing w:line="360" w:lineRule="auto"/>
        <w:rPr>
          <w:rFonts w:ascii="Arial" w:hAnsi="Arial" w:cs="Arial"/>
          <w:bCs/>
          <w:lang w:eastAsia="en-GB"/>
        </w:rPr>
      </w:pPr>
    </w:p>
    <w:p w14:paraId="18F8FC61" w14:textId="77777777" w:rsidR="00A42E8D" w:rsidRDefault="00A42E8D" w:rsidP="00A21B15">
      <w:pPr>
        <w:spacing w:line="360" w:lineRule="auto"/>
        <w:rPr>
          <w:rFonts w:ascii="Arial" w:hAnsi="Arial" w:cs="Arial"/>
          <w:bCs/>
          <w:lang w:eastAsia="en-GB"/>
        </w:rPr>
      </w:pPr>
    </w:p>
    <w:p w14:paraId="365D3FA5" w14:textId="77777777" w:rsidR="00290936" w:rsidRDefault="00290936" w:rsidP="00A21B15">
      <w:pPr>
        <w:spacing w:line="360" w:lineRule="auto"/>
        <w:rPr>
          <w:rFonts w:ascii="Arial" w:hAnsi="Arial" w:cs="Arial"/>
          <w:bCs/>
          <w:lang w:eastAsia="en-GB"/>
        </w:rPr>
      </w:pPr>
    </w:p>
    <w:p w14:paraId="6FAE5599" w14:textId="77777777" w:rsidR="008C0816" w:rsidRDefault="008C0816" w:rsidP="00A21B15">
      <w:pPr>
        <w:spacing w:line="360" w:lineRule="auto"/>
        <w:rPr>
          <w:rFonts w:ascii="Arial" w:hAnsi="Arial" w:cs="Arial"/>
          <w:bCs/>
          <w:lang w:eastAsia="en-GB"/>
        </w:rPr>
      </w:pPr>
    </w:p>
    <w:p w14:paraId="17397E1F" w14:textId="77777777" w:rsidR="008C0816" w:rsidRDefault="008C0816" w:rsidP="00A21B15">
      <w:pPr>
        <w:spacing w:line="360" w:lineRule="auto"/>
        <w:rPr>
          <w:rFonts w:ascii="Arial" w:hAnsi="Arial" w:cs="Arial"/>
          <w:bCs/>
          <w:lang w:eastAsia="en-GB"/>
        </w:rPr>
      </w:pPr>
    </w:p>
    <w:p w14:paraId="3487A0A2" w14:textId="77777777" w:rsidR="008C0816" w:rsidRDefault="008C0816" w:rsidP="00A21B15">
      <w:pPr>
        <w:spacing w:line="360" w:lineRule="auto"/>
        <w:rPr>
          <w:rFonts w:ascii="Arial" w:hAnsi="Arial" w:cs="Arial"/>
          <w:bCs/>
          <w:lang w:eastAsia="en-GB"/>
        </w:rPr>
      </w:pPr>
    </w:p>
    <w:p w14:paraId="399BFC80" w14:textId="77777777" w:rsidR="008C0816" w:rsidRDefault="008C0816" w:rsidP="00A21B15">
      <w:pPr>
        <w:spacing w:line="360" w:lineRule="auto"/>
        <w:rPr>
          <w:rFonts w:ascii="Arial" w:hAnsi="Arial" w:cs="Arial"/>
          <w:bCs/>
          <w:lang w:eastAsia="en-GB"/>
        </w:rPr>
      </w:pPr>
    </w:p>
    <w:p w14:paraId="1DFECFF6" w14:textId="77777777" w:rsidR="008C0816" w:rsidRDefault="008C0816" w:rsidP="00A21B15">
      <w:pPr>
        <w:spacing w:line="360" w:lineRule="auto"/>
        <w:rPr>
          <w:rFonts w:ascii="Arial" w:hAnsi="Arial" w:cs="Arial"/>
          <w:bCs/>
          <w:lang w:eastAsia="en-GB"/>
        </w:rPr>
      </w:pPr>
    </w:p>
    <w:p w14:paraId="794EAF24" w14:textId="77777777" w:rsidR="008C0816" w:rsidRDefault="008C0816" w:rsidP="00A21B15">
      <w:pPr>
        <w:spacing w:line="360" w:lineRule="auto"/>
        <w:rPr>
          <w:rFonts w:ascii="Arial" w:hAnsi="Arial" w:cs="Arial"/>
          <w:bCs/>
          <w:lang w:eastAsia="en-GB"/>
        </w:rPr>
      </w:pPr>
    </w:p>
    <w:p w14:paraId="0FB9769F" w14:textId="77777777" w:rsidR="008C0816" w:rsidRDefault="008C0816" w:rsidP="00A21B15">
      <w:pPr>
        <w:spacing w:line="360" w:lineRule="auto"/>
        <w:rPr>
          <w:rFonts w:ascii="Arial" w:hAnsi="Arial" w:cs="Arial"/>
          <w:bCs/>
          <w:lang w:eastAsia="en-GB"/>
        </w:rPr>
      </w:pPr>
    </w:p>
    <w:p w14:paraId="31770E77" w14:textId="77777777" w:rsidR="008C0816" w:rsidRDefault="008C0816" w:rsidP="00A21B15">
      <w:pPr>
        <w:spacing w:line="360" w:lineRule="auto"/>
        <w:rPr>
          <w:rFonts w:ascii="Arial" w:hAnsi="Arial" w:cs="Arial"/>
          <w:bCs/>
          <w:lang w:eastAsia="en-GB"/>
        </w:rPr>
      </w:pPr>
    </w:p>
    <w:p w14:paraId="2D1F61D4" w14:textId="77777777" w:rsidR="008C0816" w:rsidRDefault="008C0816" w:rsidP="00A21B15">
      <w:pPr>
        <w:spacing w:line="360" w:lineRule="auto"/>
        <w:rPr>
          <w:rFonts w:ascii="Arial" w:hAnsi="Arial" w:cs="Arial"/>
          <w:bCs/>
          <w:lang w:eastAsia="en-GB"/>
        </w:rPr>
      </w:pPr>
    </w:p>
    <w:p w14:paraId="115F0F00" w14:textId="77777777" w:rsidR="008C0816" w:rsidRDefault="008C0816" w:rsidP="00A21B15">
      <w:pPr>
        <w:spacing w:line="360" w:lineRule="auto"/>
        <w:rPr>
          <w:rFonts w:ascii="Arial" w:hAnsi="Arial" w:cs="Arial"/>
          <w:bCs/>
          <w:lang w:eastAsia="en-GB"/>
        </w:rPr>
      </w:pPr>
    </w:p>
    <w:p w14:paraId="55C173F2" w14:textId="77777777" w:rsidR="008C0816" w:rsidRDefault="008C0816" w:rsidP="00A21B15">
      <w:pPr>
        <w:spacing w:line="360" w:lineRule="auto"/>
        <w:rPr>
          <w:rFonts w:ascii="Arial" w:hAnsi="Arial" w:cs="Arial"/>
          <w:bCs/>
          <w:lang w:eastAsia="en-GB"/>
        </w:rPr>
      </w:pPr>
    </w:p>
    <w:p w14:paraId="0FB0B29F" w14:textId="77777777" w:rsidR="00290936" w:rsidRDefault="00290936" w:rsidP="00A21B15">
      <w:pPr>
        <w:spacing w:line="360" w:lineRule="auto"/>
        <w:rPr>
          <w:rFonts w:ascii="Arial" w:hAnsi="Arial" w:cs="Arial"/>
          <w:bCs/>
          <w:lang w:eastAsia="en-GB"/>
        </w:rPr>
      </w:pPr>
    </w:p>
    <w:p w14:paraId="79D4A69C" w14:textId="77777777" w:rsidR="00290936" w:rsidRPr="00847010" w:rsidRDefault="00290936" w:rsidP="00A21B15">
      <w:pPr>
        <w:spacing w:line="360" w:lineRule="auto"/>
        <w:rPr>
          <w:rFonts w:ascii="Arial" w:hAnsi="Arial" w:cs="Arial"/>
          <w:bCs/>
          <w:lang w:eastAsia="en-GB"/>
        </w:rPr>
      </w:pPr>
    </w:p>
    <w:sdt>
      <w:sdtPr>
        <w:rPr>
          <w:rFonts w:asciiTheme="minorHAnsi" w:eastAsiaTheme="minorEastAsia" w:hAnsiTheme="minorHAnsi" w:cstheme="minorBidi"/>
          <w:color w:val="auto"/>
          <w:kern w:val="2"/>
          <w:sz w:val="24"/>
          <w:szCs w:val="24"/>
          <w:lang w:eastAsia="en-US"/>
          <w14:ligatures w14:val="standardContextual"/>
        </w:rPr>
        <w:id w:val="1221796894"/>
        <w:docPartObj>
          <w:docPartGallery w:val="Table of Contents"/>
          <w:docPartUnique/>
        </w:docPartObj>
      </w:sdtPr>
      <w:sdtEndPr>
        <w:rPr>
          <w:b/>
          <w:bCs/>
          <w:sz w:val="22"/>
          <w:szCs w:val="22"/>
        </w:rPr>
      </w:sdtEndPr>
      <w:sdtContent>
        <w:p w14:paraId="3ECE10FA" w14:textId="1653B596" w:rsidR="00A42E8D" w:rsidRPr="005413C0" w:rsidRDefault="00A42E8D">
          <w:pPr>
            <w:pStyle w:val="TOCHeading"/>
            <w:rPr>
              <w:rStyle w:val="Heading3Char"/>
            </w:rPr>
          </w:pPr>
          <w:r w:rsidRPr="005413C0">
            <w:rPr>
              <w:rStyle w:val="Heading3Char"/>
            </w:rPr>
            <w:t>Contents</w:t>
          </w:r>
        </w:p>
        <w:p w14:paraId="08041B76" w14:textId="77777777" w:rsidR="009D6213" w:rsidRPr="00847010" w:rsidRDefault="009D6213" w:rsidP="009D6213">
          <w:pPr>
            <w:rPr>
              <w:lang w:eastAsia="en-GB"/>
            </w:rPr>
          </w:pPr>
        </w:p>
        <w:p w14:paraId="55EDF1C7" w14:textId="67810BDF" w:rsidR="009D6213" w:rsidRPr="00847010" w:rsidRDefault="00A42E8D">
          <w:pPr>
            <w:pStyle w:val="TOC2"/>
            <w:tabs>
              <w:tab w:val="right" w:leader="dot" w:pos="9016"/>
            </w:tabs>
            <w:rPr>
              <w:rFonts w:ascii="Arial" w:eastAsiaTheme="minorEastAsia" w:hAnsi="Arial" w:cs="Arial"/>
              <w:noProof/>
              <w:sz w:val="22"/>
              <w:szCs w:val="22"/>
              <w:lang w:eastAsia="en-GB"/>
            </w:rPr>
          </w:pPr>
          <w:r w:rsidRPr="00847010">
            <w:rPr>
              <w:rFonts w:ascii="Arial" w:hAnsi="Arial" w:cs="Arial"/>
              <w:sz w:val="22"/>
              <w:szCs w:val="22"/>
            </w:rPr>
            <w:fldChar w:fldCharType="begin"/>
          </w:r>
          <w:r w:rsidRPr="00847010">
            <w:rPr>
              <w:rFonts w:ascii="Arial" w:hAnsi="Arial" w:cs="Arial"/>
              <w:sz w:val="22"/>
              <w:szCs w:val="22"/>
            </w:rPr>
            <w:instrText xml:space="preserve"> TOC \o "1-3" \h \z \u </w:instrText>
          </w:r>
          <w:r w:rsidRPr="00847010">
            <w:rPr>
              <w:rFonts w:ascii="Arial" w:hAnsi="Arial" w:cs="Arial"/>
              <w:sz w:val="22"/>
              <w:szCs w:val="22"/>
            </w:rPr>
            <w:fldChar w:fldCharType="separate"/>
          </w:r>
        </w:p>
        <w:p w14:paraId="246135D6" w14:textId="12370AED" w:rsidR="009D6213" w:rsidRDefault="00821644" w:rsidP="009F671E">
          <w:r>
            <w:t>Abstract-page 2</w:t>
          </w:r>
        </w:p>
        <w:p w14:paraId="476AC75C" w14:textId="423BB18E" w:rsidR="00821644" w:rsidRDefault="00002CDD" w:rsidP="009F671E">
          <w:r>
            <w:t>Content</w:t>
          </w:r>
          <w:r w:rsidR="00821644">
            <w:t xml:space="preserve"> page </w:t>
          </w:r>
          <w:r>
            <w:t>- page 4</w:t>
          </w:r>
        </w:p>
        <w:p w14:paraId="2AF985FE" w14:textId="4C22EC40" w:rsidR="00002CDD" w:rsidRDefault="00002CDD" w:rsidP="009F671E">
          <w:r>
            <w:t>Introduction - page 6</w:t>
          </w:r>
        </w:p>
        <w:p w14:paraId="6B4E3565" w14:textId="2D980CD9" w:rsidR="00002CDD" w:rsidRDefault="00F72DBF" w:rsidP="009F671E">
          <w:r>
            <w:t>Impact on workforce</w:t>
          </w:r>
          <w:r w:rsidR="00F56C1E">
            <w:t>- page - 8</w:t>
          </w:r>
        </w:p>
        <w:p w14:paraId="342A1451" w14:textId="513193C4" w:rsidR="00F56C1E" w:rsidRDefault="00F56C1E" w:rsidP="009F671E">
          <w:r>
            <w:t>impact of service delivery - 10</w:t>
          </w:r>
        </w:p>
        <w:p w14:paraId="7883BBC4" w14:textId="73E52A81" w:rsidR="00F56C1E" w:rsidRDefault="00F56C1E" w:rsidP="009F671E">
          <w:r>
            <w:t xml:space="preserve">Impact of </w:t>
          </w:r>
          <w:r w:rsidR="00BA5007">
            <w:t>patient service users - page 12</w:t>
          </w:r>
        </w:p>
        <w:p w14:paraId="46AFC0AF" w14:textId="0CBEC00B" w:rsidR="00BA5007" w:rsidRDefault="00BA5007" w:rsidP="009F671E">
          <w:r>
            <w:t>Impact on community- page - 14</w:t>
          </w:r>
        </w:p>
        <w:p w14:paraId="4EAE6021" w14:textId="200D422B" w:rsidR="00F56C1E" w:rsidRDefault="009F671E" w:rsidP="009F671E">
          <w:r>
            <w:t xml:space="preserve">Conclusion- page 16 </w:t>
          </w:r>
        </w:p>
        <w:p w14:paraId="7AA8B39F" w14:textId="6EDC3494" w:rsidR="009F671E" w:rsidRDefault="009F671E" w:rsidP="009F671E">
          <w:r>
            <w:t>References - page 17</w:t>
          </w:r>
        </w:p>
        <w:p w14:paraId="161EA93B" w14:textId="760B4D31" w:rsidR="009F671E" w:rsidRDefault="009F671E" w:rsidP="009F671E">
          <w:r>
            <w:t>Appendix 21page 21</w:t>
          </w:r>
        </w:p>
        <w:p w14:paraId="10C9C876" w14:textId="77777777" w:rsidR="009F671E" w:rsidRDefault="009F671E" w:rsidP="009F671E"/>
        <w:p w14:paraId="3882DBF7" w14:textId="77777777" w:rsidR="00002CDD" w:rsidRPr="00821644" w:rsidRDefault="00002CDD" w:rsidP="009F671E"/>
        <w:p w14:paraId="0B667730" w14:textId="77777777" w:rsidR="00821644" w:rsidRPr="00821644" w:rsidRDefault="00821644" w:rsidP="00821644"/>
        <w:p w14:paraId="56D635C5" w14:textId="24F3EDC6" w:rsidR="009D6213" w:rsidRPr="00847010" w:rsidRDefault="009D6213">
          <w:pPr>
            <w:pStyle w:val="TOC2"/>
            <w:tabs>
              <w:tab w:val="right" w:leader="dot" w:pos="9016"/>
            </w:tabs>
            <w:rPr>
              <w:rFonts w:ascii="Arial" w:eastAsiaTheme="minorEastAsia" w:hAnsi="Arial" w:cs="Arial"/>
              <w:noProof/>
              <w:sz w:val="22"/>
              <w:szCs w:val="22"/>
              <w:lang w:eastAsia="en-GB"/>
            </w:rPr>
          </w:pPr>
        </w:p>
        <w:p w14:paraId="026E144D" w14:textId="72D9A2A7" w:rsidR="00A42E8D" w:rsidRPr="00847010" w:rsidRDefault="00A42E8D">
          <w:pPr>
            <w:rPr>
              <w:rFonts w:ascii="Arial" w:hAnsi="Arial" w:cs="Arial"/>
              <w:sz w:val="22"/>
              <w:szCs w:val="22"/>
            </w:rPr>
          </w:pPr>
          <w:r w:rsidRPr="00847010">
            <w:rPr>
              <w:rFonts w:ascii="Arial" w:hAnsi="Arial" w:cs="Arial"/>
              <w:b/>
              <w:bCs/>
              <w:sz w:val="22"/>
              <w:szCs w:val="22"/>
            </w:rPr>
            <w:fldChar w:fldCharType="end"/>
          </w:r>
        </w:p>
      </w:sdtContent>
    </w:sdt>
    <w:p w14:paraId="71B27850" w14:textId="77777777" w:rsidR="00A42E8D" w:rsidRPr="00847010" w:rsidRDefault="00A42E8D" w:rsidP="00A21B15">
      <w:pPr>
        <w:spacing w:line="360" w:lineRule="auto"/>
        <w:rPr>
          <w:rFonts w:ascii="Arial" w:hAnsi="Arial" w:cs="Arial"/>
          <w:bCs/>
          <w:lang w:eastAsia="en-GB"/>
        </w:rPr>
      </w:pPr>
    </w:p>
    <w:p w14:paraId="1D5A216A" w14:textId="77777777" w:rsidR="00A42E8D" w:rsidRPr="00847010" w:rsidRDefault="00A42E8D" w:rsidP="00A21B15">
      <w:pPr>
        <w:spacing w:line="360" w:lineRule="auto"/>
        <w:rPr>
          <w:rFonts w:ascii="Arial" w:hAnsi="Arial" w:cs="Arial"/>
          <w:bCs/>
          <w:lang w:eastAsia="en-GB"/>
        </w:rPr>
      </w:pPr>
    </w:p>
    <w:p w14:paraId="6A2C6430" w14:textId="77777777" w:rsidR="00A42E8D" w:rsidRPr="00847010" w:rsidRDefault="00A42E8D" w:rsidP="00A21B15">
      <w:pPr>
        <w:spacing w:line="360" w:lineRule="auto"/>
        <w:rPr>
          <w:rFonts w:ascii="Arial" w:hAnsi="Arial" w:cs="Arial"/>
          <w:bCs/>
          <w:lang w:eastAsia="en-GB"/>
        </w:rPr>
      </w:pPr>
    </w:p>
    <w:p w14:paraId="2CC674E7" w14:textId="77777777" w:rsidR="00A42E8D" w:rsidRPr="00847010" w:rsidRDefault="00A42E8D" w:rsidP="00A21B15">
      <w:pPr>
        <w:spacing w:line="360" w:lineRule="auto"/>
        <w:rPr>
          <w:rFonts w:ascii="Arial" w:hAnsi="Arial" w:cs="Arial"/>
          <w:bCs/>
          <w:lang w:eastAsia="en-GB"/>
        </w:rPr>
      </w:pPr>
    </w:p>
    <w:p w14:paraId="3B59B7C0" w14:textId="77777777" w:rsidR="00A42E8D" w:rsidRPr="00847010" w:rsidRDefault="00A42E8D" w:rsidP="00A21B15">
      <w:pPr>
        <w:spacing w:line="360" w:lineRule="auto"/>
        <w:rPr>
          <w:rFonts w:ascii="Arial" w:hAnsi="Arial" w:cs="Arial"/>
          <w:bCs/>
          <w:lang w:eastAsia="en-GB"/>
        </w:rPr>
      </w:pPr>
    </w:p>
    <w:p w14:paraId="01E42D03" w14:textId="77777777" w:rsidR="00A42E8D" w:rsidRPr="00847010" w:rsidRDefault="00A42E8D" w:rsidP="00A21B15">
      <w:pPr>
        <w:spacing w:line="360" w:lineRule="auto"/>
        <w:rPr>
          <w:rFonts w:ascii="Arial" w:hAnsi="Arial" w:cs="Arial"/>
          <w:bCs/>
          <w:lang w:eastAsia="en-GB"/>
        </w:rPr>
      </w:pPr>
    </w:p>
    <w:p w14:paraId="64B488F4" w14:textId="77777777" w:rsidR="00A42E8D" w:rsidRPr="00847010" w:rsidRDefault="00A42E8D" w:rsidP="00A21B15">
      <w:pPr>
        <w:spacing w:line="360" w:lineRule="auto"/>
        <w:rPr>
          <w:rFonts w:ascii="Arial" w:hAnsi="Arial" w:cs="Arial"/>
          <w:bCs/>
          <w:lang w:eastAsia="en-GB"/>
        </w:rPr>
      </w:pPr>
    </w:p>
    <w:p w14:paraId="28E37195" w14:textId="77777777" w:rsidR="00A42E8D" w:rsidRPr="00847010" w:rsidRDefault="00A42E8D" w:rsidP="00A21B15">
      <w:pPr>
        <w:spacing w:line="360" w:lineRule="auto"/>
        <w:rPr>
          <w:rFonts w:ascii="Arial" w:hAnsi="Arial" w:cs="Arial"/>
          <w:bCs/>
          <w:lang w:eastAsia="en-GB"/>
        </w:rPr>
      </w:pPr>
    </w:p>
    <w:p w14:paraId="02B0D8E4" w14:textId="77777777" w:rsidR="00A42E8D" w:rsidRPr="00847010" w:rsidRDefault="00A42E8D" w:rsidP="00A21B15">
      <w:pPr>
        <w:spacing w:line="360" w:lineRule="auto"/>
        <w:rPr>
          <w:rFonts w:ascii="Arial" w:hAnsi="Arial" w:cs="Arial"/>
          <w:bCs/>
          <w:lang w:eastAsia="en-GB"/>
        </w:rPr>
      </w:pPr>
    </w:p>
    <w:p w14:paraId="45B23102" w14:textId="77777777" w:rsidR="00A42E8D" w:rsidRPr="00847010" w:rsidRDefault="00A42E8D" w:rsidP="00A21B15">
      <w:pPr>
        <w:spacing w:line="360" w:lineRule="auto"/>
        <w:rPr>
          <w:rFonts w:ascii="Arial" w:hAnsi="Arial" w:cs="Arial"/>
          <w:bCs/>
          <w:lang w:eastAsia="en-GB"/>
        </w:rPr>
      </w:pPr>
    </w:p>
    <w:p w14:paraId="395DAAF1" w14:textId="77777777" w:rsidR="00A42E8D" w:rsidRPr="00847010" w:rsidRDefault="00A42E8D" w:rsidP="00A21B15">
      <w:pPr>
        <w:spacing w:line="360" w:lineRule="auto"/>
        <w:rPr>
          <w:rFonts w:ascii="Arial" w:hAnsi="Arial" w:cs="Arial"/>
          <w:bCs/>
          <w:lang w:eastAsia="en-GB"/>
        </w:rPr>
      </w:pPr>
    </w:p>
    <w:p w14:paraId="47A4A29D" w14:textId="77777777" w:rsidR="00A42E8D" w:rsidRPr="00847010" w:rsidRDefault="00A42E8D" w:rsidP="00A21B15">
      <w:pPr>
        <w:spacing w:line="360" w:lineRule="auto"/>
        <w:rPr>
          <w:rFonts w:ascii="Arial" w:hAnsi="Arial" w:cs="Arial"/>
          <w:bCs/>
          <w:lang w:eastAsia="en-GB"/>
        </w:rPr>
      </w:pPr>
    </w:p>
    <w:p w14:paraId="0596EB2A" w14:textId="77777777" w:rsidR="00A42E8D" w:rsidRPr="00847010" w:rsidRDefault="00A42E8D" w:rsidP="00A21B15">
      <w:pPr>
        <w:spacing w:line="360" w:lineRule="auto"/>
        <w:rPr>
          <w:rFonts w:ascii="Arial" w:hAnsi="Arial" w:cs="Arial"/>
          <w:bCs/>
          <w:lang w:eastAsia="en-GB"/>
        </w:rPr>
      </w:pPr>
    </w:p>
    <w:p w14:paraId="68CECF4D" w14:textId="77777777" w:rsidR="00A42E8D" w:rsidRPr="00847010" w:rsidRDefault="00A42E8D" w:rsidP="00A21B15">
      <w:pPr>
        <w:spacing w:line="360" w:lineRule="auto"/>
        <w:rPr>
          <w:rFonts w:ascii="Arial" w:hAnsi="Arial" w:cs="Arial"/>
          <w:bCs/>
          <w:lang w:eastAsia="en-GB"/>
        </w:rPr>
      </w:pPr>
    </w:p>
    <w:p w14:paraId="7DD34560" w14:textId="77777777" w:rsidR="00A42E8D" w:rsidRPr="00847010" w:rsidRDefault="00A42E8D" w:rsidP="00A21B15">
      <w:pPr>
        <w:spacing w:line="360" w:lineRule="auto"/>
        <w:rPr>
          <w:rFonts w:ascii="Arial" w:hAnsi="Arial" w:cs="Arial"/>
          <w:bCs/>
          <w:lang w:eastAsia="en-GB"/>
        </w:rPr>
      </w:pPr>
    </w:p>
    <w:p w14:paraId="0FFD2E9B" w14:textId="0CD23C1B" w:rsidR="00B67989" w:rsidRPr="00786987" w:rsidRDefault="00B67989" w:rsidP="00786987">
      <w:pPr>
        <w:pStyle w:val="Title"/>
        <w:rPr>
          <w:rFonts w:eastAsia="Times New Roman"/>
          <w:sz w:val="72"/>
          <w:szCs w:val="72"/>
          <w:lang w:eastAsia="en-GB"/>
        </w:rPr>
      </w:pPr>
      <w:r w:rsidRPr="00786987">
        <w:rPr>
          <w:rFonts w:eastAsia="Times New Roman"/>
          <w:sz w:val="72"/>
          <w:szCs w:val="72"/>
          <w:lang w:eastAsia="en-GB"/>
        </w:rPr>
        <w:t>Medicus Health Cloud- Native EPR-Thematic Rapid Synthesis</w:t>
      </w:r>
    </w:p>
    <w:p w14:paraId="2B9F1CE7" w14:textId="77777777" w:rsidR="009D0E2D" w:rsidRPr="00786987" w:rsidRDefault="009D0E2D" w:rsidP="00786987">
      <w:pPr>
        <w:pStyle w:val="Title"/>
        <w:rPr>
          <w:rFonts w:eastAsia="Times New Roman"/>
          <w:sz w:val="72"/>
          <w:szCs w:val="72"/>
          <w:lang w:eastAsia="en-GB"/>
        </w:rPr>
      </w:pPr>
    </w:p>
    <w:p w14:paraId="18A096A0" w14:textId="6162F007" w:rsidR="00B67989" w:rsidRPr="00786987" w:rsidRDefault="00B67989" w:rsidP="00786987">
      <w:pPr>
        <w:pStyle w:val="Title"/>
        <w:rPr>
          <w:rFonts w:eastAsia="Times New Roman"/>
          <w:sz w:val="72"/>
          <w:szCs w:val="72"/>
          <w:lang w:eastAsia="en-GB"/>
        </w:rPr>
      </w:pPr>
      <w:r w:rsidRPr="00786987">
        <w:rPr>
          <w:rFonts w:eastAsia="Times New Roman"/>
          <w:sz w:val="72"/>
          <w:szCs w:val="72"/>
          <w:lang w:eastAsia="en-GB"/>
        </w:rPr>
        <w:t xml:space="preserve">Critical Evaluation of Digital Transformation in NHS General Practice: The Case of Medicus Health Cloud-Based Clinical System </w:t>
      </w:r>
    </w:p>
    <w:p w14:paraId="79A0824B" w14:textId="77777777" w:rsidR="009D0E2D" w:rsidRPr="00786987" w:rsidRDefault="009D0E2D" w:rsidP="00786987">
      <w:pPr>
        <w:pStyle w:val="Title"/>
        <w:rPr>
          <w:sz w:val="20"/>
          <w:szCs w:val="20"/>
          <w:lang w:eastAsia="en-GB"/>
        </w:rPr>
      </w:pPr>
    </w:p>
    <w:p w14:paraId="47164D3F" w14:textId="2E02F37B" w:rsidR="00786987" w:rsidRDefault="00786987" w:rsidP="008C0816">
      <w:pPr>
        <w:spacing w:line="360" w:lineRule="auto"/>
        <w:rPr>
          <w:rFonts w:ascii="Arial" w:hAnsi="Arial" w:cs="Arial"/>
          <w:sz w:val="22"/>
          <w:szCs w:val="22"/>
          <w:lang w:eastAsia="en-GB"/>
        </w:rPr>
      </w:pPr>
    </w:p>
    <w:p w14:paraId="2E20A439" w14:textId="77777777" w:rsidR="008C0816" w:rsidRDefault="008C0816" w:rsidP="008C0816">
      <w:pPr>
        <w:spacing w:line="360" w:lineRule="auto"/>
        <w:rPr>
          <w:rFonts w:ascii="Arial" w:hAnsi="Arial" w:cs="Arial"/>
          <w:sz w:val="22"/>
          <w:szCs w:val="22"/>
          <w:lang w:eastAsia="en-GB"/>
        </w:rPr>
      </w:pPr>
    </w:p>
    <w:p w14:paraId="49042098" w14:textId="77777777" w:rsidR="008C0816" w:rsidRDefault="008C0816" w:rsidP="008C0816">
      <w:pPr>
        <w:spacing w:line="360" w:lineRule="auto"/>
        <w:rPr>
          <w:rFonts w:ascii="Arial" w:hAnsi="Arial" w:cs="Arial"/>
          <w:sz w:val="22"/>
          <w:szCs w:val="22"/>
          <w:lang w:eastAsia="en-GB"/>
        </w:rPr>
      </w:pPr>
    </w:p>
    <w:p w14:paraId="027B7A57" w14:textId="77777777" w:rsidR="008C0816" w:rsidRPr="008C0816" w:rsidRDefault="008C0816" w:rsidP="008C0816">
      <w:pPr>
        <w:spacing w:line="360" w:lineRule="auto"/>
        <w:rPr>
          <w:rFonts w:ascii="Arial" w:hAnsi="Arial" w:cs="Arial"/>
          <w:sz w:val="22"/>
          <w:szCs w:val="22"/>
          <w:lang w:eastAsia="en-GB"/>
        </w:rPr>
      </w:pPr>
    </w:p>
    <w:p w14:paraId="36E49109" w14:textId="12249406" w:rsidR="00B67989" w:rsidRDefault="00B67989" w:rsidP="00A21B15">
      <w:pPr>
        <w:spacing w:line="360" w:lineRule="auto"/>
        <w:rPr>
          <w:rFonts w:ascii="Arial" w:hAnsi="Arial" w:cs="Arial"/>
          <w:bCs/>
          <w:sz w:val="27"/>
          <w:szCs w:val="27"/>
          <w:lang w:eastAsia="en-GB"/>
        </w:rPr>
      </w:pPr>
    </w:p>
    <w:p w14:paraId="523C14A7" w14:textId="77777777" w:rsidR="00786987" w:rsidRDefault="00786987" w:rsidP="00A21B15">
      <w:pPr>
        <w:spacing w:line="360" w:lineRule="auto"/>
        <w:rPr>
          <w:rFonts w:ascii="Arial" w:hAnsi="Arial" w:cs="Arial"/>
          <w:bCs/>
          <w:sz w:val="27"/>
          <w:szCs w:val="27"/>
          <w:lang w:eastAsia="en-GB"/>
        </w:rPr>
      </w:pPr>
    </w:p>
    <w:p w14:paraId="72179E1B" w14:textId="77777777" w:rsidR="00786987" w:rsidRDefault="00786987" w:rsidP="00A21B15">
      <w:pPr>
        <w:spacing w:line="360" w:lineRule="auto"/>
        <w:rPr>
          <w:rFonts w:ascii="Arial" w:hAnsi="Arial" w:cs="Arial"/>
          <w:bCs/>
          <w:sz w:val="27"/>
          <w:szCs w:val="27"/>
          <w:lang w:eastAsia="en-GB"/>
        </w:rPr>
      </w:pPr>
    </w:p>
    <w:p w14:paraId="2BC29438" w14:textId="77777777" w:rsidR="00786987" w:rsidRDefault="00786987" w:rsidP="00A21B15">
      <w:pPr>
        <w:spacing w:line="360" w:lineRule="auto"/>
        <w:rPr>
          <w:rFonts w:ascii="Arial" w:hAnsi="Arial" w:cs="Arial"/>
          <w:bCs/>
          <w:sz w:val="27"/>
          <w:szCs w:val="27"/>
          <w:lang w:eastAsia="en-GB"/>
        </w:rPr>
      </w:pPr>
    </w:p>
    <w:p w14:paraId="0878EC43" w14:textId="77777777" w:rsidR="00786987" w:rsidRDefault="00786987" w:rsidP="00A21B15">
      <w:pPr>
        <w:spacing w:line="360" w:lineRule="auto"/>
        <w:rPr>
          <w:rFonts w:ascii="Arial" w:hAnsi="Arial" w:cs="Arial"/>
          <w:bCs/>
          <w:sz w:val="27"/>
          <w:szCs w:val="27"/>
          <w:lang w:eastAsia="en-GB"/>
        </w:rPr>
      </w:pPr>
    </w:p>
    <w:p w14:paraId="5FB366E7" w14:textId="77777777" w:rsidR="00B22CC0" w:rsidRDefault="00B22CC0" w:rsidP="00B22CC0">
      <w:pPr>
        <w:pStyle w:val="Heading2"/>
        <w:rPr>
          <w:rFonts w:ascii="Arial" w:eastAsia="Times New Roman" w:hAnsi="Arial" w:cs="Arial"/>
          <w:color w:val="auto"/>
          <w:sz w:val="56"/>
          <w:szCs w:val="56"/>
          <w:lang w:eastAsia="en-GB"/>
        </w:rPr>
      </w:pPr>
      <w:bookmarkStart w:id="1" w:name="_Toc212107790"/>
      <w:bookmarkStart w:id="2" w:name="_Toc212134989"/>
    </w:p>
    <w:p w14:paraId="799CC548" w14:textId="28C3196E" w:rsidR="00B67989" w:rsidRPr="00847010" w:rsidRDefault="00B67989" w:rsidP="008913CF">
      <w:pPr>
        <w:pStyle w:val="Heading3"/>
        <w:rPr>
          <w:rFonts w:eastAsia="Times New Roman"/>
          <w:lang w:eastAsia="en-GB"/>
        </w:rPr>
      </w:pPr>
      <w:r w:rsidRPr="00847010">
        <w:rPr>
          <w:rFonts w:eastAsia="Times New Roman"/>
          <w:lang w:eastAsia="en-GB"/>
        </w:rPr>
        <w:t>Introduction</w:t>
      </w:r>
      <w:bookmarkEnd w:id="1"/>
      <w:bookmarkEnd w:id="2"/>
    </w:p>
    <w:p w14:paraId="02DFF8D5" w14:textId="77777777" w:rsidR="00DC5430" w:rsidRDefault="00DC5430" w:rsidP="00324E75">
      <w:pPr>
        <w:rPr>
          <w:rFonts w:ascii="Arial" w:hAnsi="Arial" w:cs="Arial"/>
          <w:lang w:eastAsia="en-GB"/>
        </w:rPr>
      </w:pPr>
    </w:p>
    <w:p w14:paraId="3F6F4E39" w14:textId="651E5B91" w:rsidR="00DC5430" w:rsidRPr="00A93884" w:rsidRDefault="0027732F" w:rsidP="00A93884">
      <w:pPr>
        <w:spacing w:line="360" w:lineRule="auto"/>
        <w:rPr>
          <w:rFonts w:ascii="Arial" w:hAnsi="Arial" w:cs="Arial"/>
          <w:sz w:val="22"/>
          <w:szCs w:val="22"/>
          <w:lang w:eastAsia="en-GB"/>
        </w:rPr>
      </w:pPr>
      <w:r w:rsidRPr="00A93884">
        <w:rPr>
          <w:rFonts w:ascii="Arial" w:eastAsiaTheme="minorEastAsia" w:hAnsi="Arial" w:cs="Arial"/>
          <w:noProof/>
          <w:sz w:val="22"/>
          <w:szCs w:val="22"/>
        </w:rPr>
        <w:drawing>
          <wp:anchor distT="0" distB="0" distL="114300" distR="114300" simplePos="0" relativeHeight="251659264" behindDoc="0" locked="0" layoutInCell="1" allowOverlap="1" wp14:anchorId="076DE9FA" wp14:editId="6153639E">
            <wp:simplePos x="0" y="0"/>
            <wp:positionH relativeFrom="margin">
              <wp:posOffset>-138430</wp:posOffset>
            </wp:positionH>
            <wp:positionV relativeFrom="paragraph">
              <wp:posOffset>2990850</wp:posOffset>
            </wp:positionV>
            <wp:extent cx="6175375" cy="2023110"/>
            <wp:effectExtent l="0" t="0" r="15875" b="15240"/>
            <wp:wrapTopAndBottom/>
            <wp:docPr id="815411120" name="Chart 1">
              <a:extLst xmlns:a="http://schemas.openxmlformats.org/drawingml/2006/main">
                <a:ext uri="{FF2B5EF4-FFF2-40B4-BE49-F238E27FC236}">
                  <a16:creationId xmlns:a16="http://schemas.microsoft.com/office/drawing/2014/main" id="{31865C00-CA13-108D-C115-6812CDB3F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3E3B5A" w:rsidRPr="00A93884">
        <w:rPr>
          <w:rFonts w:ascii="Arial" w:hAnsi="Arial" w:cs="Arial"/>
          <w:sz w:val="22"/>
          <w:szCs w:val="22"/>
          <w:lang w:eastAsia="en-GB"/>
        </w:rPr>
        <w:t>Medicus Health is a cloud</w:t>
      </w:r>
      <w:r w:rsidR="003E3B5A" w:rsidRPr="00A93884">
        <w:rPr>
          <w:rFonts w:ascii="Cambria Math" w:hAnsi="Cambria Math" w:cs="Cambria Math"/>
          <w:sz w:val="22"/>
          <w:szCs w:val="22"/>
          <w:lang w:eastAsia="en-GB"/>
        </w:rPr>
        <w:t>‑</w:t>
      </w:r>
      <w:r w:rsidR="003E3B5A" w:rsidRPr="00A93884">
        <w:rPr>
          <w:rFonts w:ascii="Arial" w:hAnsi="Arial" w:cs="Arial"/>
          <w:sz w:val="22"/>
          <w:szCs w:val="22"/>
          <w:lang w:eastAsia="en-GB"/>
        </w:rPr>
        <w:t>native electronic patient record (EPR) platform that centralises clinical notes, coded data, appointment and messaging workflows, embedded clinical decision support (CDS) and a patient portal for secure record access and messaging. The platform supports point</w:t>
      </w:r>
      <w:r w:rsidR="003E3B5A" w:rsidRPr="00A93884">
        <w:rPr>
          <w:rFonts w:ascii="Cambria Math" w:hAnsi="Cambria Math" w:cs="Cambria Math"/>
          <w:sz w:val="22"/>
          <w:szCs w:val="22"/>
          <w:lang w:eastAsia="en-GB"/>
        </w:rPr>
        <w:t>‑</w:t>
      </w:r>
      <w:r w:rsidR="003E3B5A" w:rsidRPr="00A93884">
        <w:rPr>
          <w:rFonts w:ascii="Arial" w:hAnsi="Arial" w:cs="Arial"/>
          <w:sz w:val="22"/>
          <w:szCs w:val="22"/>
          <w:lang w:eastAsia="en-GB"/>
        </w:rPr>
        <w:t>of</w:t>
      </w:r>
      <w:r w:rsidR="003E3B5A" w:rsidRPr="00A93884">
        <w:rPr>
          <w:rFonts w:ascii="Cambria Math" w:hAnsi="Cambria Math" w:cs="Cambria Math"/>
          <w:sz w:val="22"/>
          <w:szCs w:val="22"/>
          <w:lang w:eastAsia="en-GB"/>
        </w:rPr>
        <w:t>‑</w:t>
      </w:r>
      <w:r w:rsidR="003E3B5A" w:rsidRPr="00A93884">
        <w:rPr>
          <w:rFonts w:ascii="Arial" w:hAnsi="Arial" w:cs="Arial"/>
          <w:sz w:val="22"/>
          <w:szCs w:val="22"/>
          <w:lang w:eastAsia="en-GB"/>
        </w:rPr>
        <w:t>care coded capture, configurable templates, national messaging and medicines</w:t>
      </w:r>
      <w:r w:rsidR="003E3B5A" w:rsidRPr="00A93884">
        <w:rPr>
          <w:rFonts w:ascii="Cambria Math" w:hAnsi="Cambria Math" w:cs="Cambria Math"/>
          <w:sz w:val="22"/>
          <w:szCs w:val="22"/>
          <w:lang w:eastAsia="en-GB"/>
        </w:rPr>
        <w:t>‑</w:t>
      </w:r>
      <w:r w:rsidR="003E3B5A" w:rsidRPr="00A93884">
        <w:rPr>
          <w:rFonts w:ascii="Arial" w:hAnsi="Arial" w:cs="Arial"/>
          <w:sz w:val="22"/>
          <w:szCs w:val="22"/>
          <w:lang w:eastAsia="en-GB"/>
        </w:rPr>
        <w:t>safety integrations to reduce duplication and improve prescribing safety. Over the past decade</w:t>
      </w:r>
      <w:r w:rsidR="00C23D2A">
        <w:rPr>
          <w:rFonts w:ascii="Arial" w:hAnsi="Arial" w:cs="Arial"/>
          <w:sz w:val="22"/>
          <w:szCs w:val="22"/>
          <w:lang w:eastAsia="en-GB"/>
        </w:rPr>
        <w:t>,</w:t>
      </w:r>
      <w:r w:rsidR="003E3B5A" w:rsidRPr="00A93884">
        <w:rPr>
          <w:rFonts w:ascii="Arial" w:hAnsi="Arial" w:cs="Arial"/>
          <w:sz w:val="22"/>
          <w:szCs w:val="22"/>
          <w:lang w:eastAsia="en-GB"/>
        </w:rPr>
        <w:t xml:space="preserve"> UK policy and procurement have emphasised interoperability and digital maturity across primary and secondary care, with large</w:t>
      </w:r>
      <w:r w:rsidR="003E3B5A" w:rsidRPr="00A93884">
        <w:rPr>
          <w:rFonts w:ascii="Cambria Math" w:hAnsi="Cambria Math" w:cs="Cambria Math"/>
          <w:sz w:val="22"/>
          <w:szCs w:val="22"/>
          <w:lang w:eastAsia="en-GB"/>
        </w:rPr>
        <w:t>‑</w:t>
      </w:r>
      <w:r w:rsidR="003E3B5A" w:rsidRPr="00A93884">
        <w:rPr>
          <w:rFonts w:ascii="Arial" w:hAnsi="Arial" w:cs="Arial"/>
          <w:sz w:val="22"/>
          <w:szCs w:val="22"/>
          <w:lang w:eastAsia="en-GB"/>
        </w:rPr>
        <w:t>trust EPR rollouts illustrating predictable migration burdens—bulk scanning, data mapping and intensive retraining—alongside measurable gains in data completeness and safety when CDS is well configured (Burns, 2024; HFMA, 2025). Medicus Health is live in early</w:t>
      </w:r>
      <w:r w:rsidR="003E3B5A" w:rsidRPr="00A93884">
        <w:rPr>
          <w:rFonts w:ascii="Cambria Math" w:hAnsi="Cambria Math" w:cs="Cambria Math"/>
          <w:sz w:val="22"/>
          <w:szCs w:val="22"/>
          <w:lang w:eastAsia="en-GB"/>
        </w:rPr>
        <w:t>‑</w:t>
      </w:r>
      <w:r w:rsidR="003E3B5A" w:rsidRPr="00A93884">
        <w:rPr>
          <w:rFonts w:ascii="Arial" w:hAnsi="Arial" w:cs="Arial"/>
          <w:sz w:val="22"/>
          <w:szCs w:val="22"/>
          <w:lang w:eastAsia="en-GB"/>
        </w:rPr>
        <w:t>adopter sites and currently serves over 42,000 patients across four practices, providing pilot data to inform deployment planning (</w:t>
      </w:r>
      <w:r w:rsidR="009E0742">
        <w:rPr>
          <w:rFonts w:ascii="Arial" w:hAnsi="Arial" w:cs="Arial"/>
          <w:sz w:val="22"/>
          <w:szCs w:val="22"/>
          <w:lang w:eastAsia="en-GB"/>
        </w:rPr>
        <w:t>W</w:t>
      </w:r>
      <w:r w:rsidR="0047531E">
        <w:rPr>
          <w:rFonts w:ascii="Arial" w:hAnsi="Arial" w:cs="Arial"/>
          <w:sz w:val="22"/>
          <w:szCs w:val="22"/>
          <w:lang w:eastAsia="en-GB"/>
        </w:rPr>
        <w:t>ilmslow Health Centre,</w:t>
      </w:r>
      <w:r w:rsidR="008737B9">
        <w:rPr>
          <w:rFonts w:ascii="Arial" w:hAnsi="Arial" w:cs="Arial"/>
          <w:sz w:val="22"/>
          <w:szCs w:val="22"/>
          <w:lang w:eastAsia="en-GB"/>
        </w:rPr>
        <w:t xml:space="preserve"> 2025</w:t>
      </w:r>
      <w:r w:rsidR="00F447E8">
        <w:rPr>
          <w:rFonts w:ascii="Arial" w:hAnsi="Arial" w:cs="Arial"/>
          <w:sz w:val="22"/>
          <w:szCs w:val="22"/>
          <w:lang w:eastAsia="en-GB"/>
        </w:rPr>
        <w:t>;</w:t>
      </w:r>
      <w:r w:rsidR="0047531E">
        <w:rPr>
          <w:rFonts w:ascii="Arial" w:hAnsi="Arial" w:cs="Arial"/>
          <w:sz w:val="22"/>
          <w:szCs w:val="22"/>
          <w:lang w:eastAsia="en-GB"/>
        </w:rPr>
        <w:t xml:space="preserve"> </w:t>
      </w:r>
      <w:r w:rsidR="003E3B5A" w:rsidRPr="00A93884">
        <w:rPr>
          <w:rFonts w:ascii="Arial" w:hAnsi="Arial" w:cs="Arial"/>
          <w:sz w:val="22"/>
          <w:szCs w:val="22"/>
          <w:lang w:eastAsia="en-GB"/>
        </w:rPr>
        <w:t xml:space="preserve">Medicus Health, 2025; NHS England, 2025a). </w:t>
      </w:r>
    </w:p>
    <w:p w14:paraId="5832EFE1" w14:textId="6D07FBC0" w:rsidR="00FE29E8" w:rsidRPr="00A93884" w:rsidRDefault="00FE29E8" w:rsidP="00A93884">
      <w:pPr>
        <w:spacing w:line="360" w:lineRule="auto"/>
        <w:rPr>
          <w:rFonts w:ascii="Arial" w:hAnsi="Arial" w:cs="Arial"/>
          <w:sz w:val="22"/>
          <w:szCs w:val="22"/>
          <w:lang w:eastAsia="en-GB"/>
        </w:rPr>
      </w:pPr>
    </w:p>
    <w:p w14:paraId="0AB36D71" w14:textId="69525A0D" w:rsidR="00B40B9A" w:rsidRPr="00B40B9A" w:rsidRDefault="00B40B9A" w:rsidP="00A93884">
      <w:pPr>
        <w:spacing w:line="360" w:lineRule="auto"/>
        <w:rPr>
          <w:rFonts w:ascii="Arial" w:hAnsi="Arial" w:cs="Arial"/>
          <w:b/>
          <w:bCs/>
          <w:sz w:val="16"/>
          <w:szCs w:val="16"/>
          <w:lang w:eastAsia="en-GB"/>
        </w:rPr>
      </w:pPr>
      <w:r w:rsidRPr="00B40B9A">
        <w:rPr>
          <w:rFonts w:ascii="Arial" w:hAnsi="Arial" w:cs="Arial"/>
          <w:b/>
          <w:bCs/>
          <w:sz w:val="16"/>
          <w:szCs w:val="16"/>
          <w:lang w:eastAsia="en-GB"/>
        </w:rPr>
        <w:t>Image 2: Patient Population of Early Adoption of Medicus Health Clinical System (Adapted from Medicus Health, 2025; NHS England, 2025b). Created by Natasha Ellis using Microsoft Excel</w:t>
      </w:r>
    </w:p>
    <w:p w14:paraId="734E50F5" w14:textId="207A3BD5" w:rsidR="00DC5430" w:rsidRPr="00A93884" w:rsidRDefault="004017EB" w:rsidP="00A93884">
      <w:pPr>
        <w:spacing w:line="360" w:lineRule="auto"/>
        <w:rPr>
          <w:rFonts w:ascii="Arial" w:hAnsi="Arial" w:cs="Arial"/>
          <w:sz w:val="22"/>
          <w:szCs w:val="22"/>
          <w:lang w:eastAsia="en-GB"/>
        </w:rPr>
      </w:pPr>
      <w:r w:rsidRPr="004017EB">
        <w:rPr>
          <w:rFonts w:ascii="Arial" w:hAnsi="Arial" w:cs="Arial"/>
          <w:sz w:val="22"/>
          <w:szCs w:val="22"/>
          <w:lang w:eastAsia="en-GB"/>
        </w:rPr>
        <w:t>National benchmarking indicates digitally mature organisations achieve approximately 13% greater operational efficiency than less mature peers (NHS England, 2025a). This report is a rapid thematic evaluation across workforce, service delivery, patient/service</w:t>
      </w:r>
      <w:r w:rsidRPr="004017EB">
        <w:rPr>
          <w:rFonts w:ascii="Cambria Math" w:hAnsi="Cambria Math" w:cs="Cambria Math"/>
          <w:sz w:val="22"/>
          <w:szCs w:val="22"/>
          <w:lang w:eastAsia="en-GB"/>
        </w:rPr>
        <w:t>‑</w:t>
      </w:r>
      <w:r w:rsidRPr="004017EB">
        <w:rPr>
          <w:rFonts w:ascii="Arial" w:hAnsi="Arial" w:cs="Arial"/>
          <w:sz w:val="22"/>
          <w:szCs w:val="22"/>
          <w:lang w:eastAsia="en-GB"/>
        </w:rPr>
        <w:t xml:space="preserve">user and </w:t>
      </w:r>
      <w:r w:rsidRPr="004017EB">
        <w:rPr>
          <w:rFonts w:ascii="Arial" w:hAnsi="Arial" w:cs="Arial"/>
          <w:sz w:val="22"/>
          <w:szCs w:val="22"/>
          <w:lang w:eastAsia="en-GB"/>
        </w:rPr>
        <w:lastRenderedPageBreak/>
        <w:t>community domains, identifying impacts, risks, mitigations and equity</w:t>
      </w:r>
      <w:r w:rsidRPr="004017EB">
        <w:rPr>
          <w:rFonts w:ascii="Cambria Math" w:hAnsi="Cambria Math" w:cs="Cambria Math"/>
          <w:sz w:val="22"/>
          <w:szCs w:val="22"/>
          <w:lang w:eastAsia="en-GB"/>
        </w:rPr>
        <w:t>‑</w:t>
      </w:r>
      <w:r w:rsidRPr="004017EB">
        <w:rPr>
          <w:rFonts w:ascii="Arial" w:hAnsi="Arial" w:cs="Arial"/>
          <w:sz w:val="22"/>
          <w:szCs w:val="22"/>
          <w:lang w:eastAsia="en-GB"/>
        </w:rPr>
        <w:t>focused KPIs; it concludes with practical recommendations for phased scale</w:t>
      </w:r>
      <w:r w:rsidRPr="004017EB">
        <w:rPr>
          <w:rFonts w:ascii="Cambria Math" w:hAnsi="Cambria Math" w:cs="Cambria Math"/>
          <w:sz w:val="22"/>
          <w:szCs w:val="22"/>
          <w:lang w:eastAsia="en-GB"/>
        </w:rPr>
        <w:t>‑</w:t>
      </w:r>
      <w:r w:rsidRPr="004017EB">
        <w:rPr>
          <w:rFonts w:ascii="Arial" w:hAnsi="Arial" w:cs="Arial"/>
          <w:sz w:val="22"/>
          <w:szCs w:val="22"/>
          <w:lang w:eastAsia="en-GB"/>
        </w:rPr>
        <w:t>up and evaluation.</w:t>
      </w:r>
    </w:p>
    <w:p w14:paraId="67AA04B0" w14:textId="4B2EACEE" w:rsidR="00DC5430" w:rsidRPr="00A93884" w:rsidRDefault="00DC5430" w:rsidP="00A93884">
      <w:pPr>
        <w:spacing w:line="360" w:lineRule="auto"/>
        <w:rPr>
          <w:rFonts w:ascii="Arial" w:hAnsi="Arial" w:cs="Arial"/>
          <w:sz w:val="22"/>
          <w:szCs w:val="22"/>
          <w:lang w:eastAsia="en-GB"/>
        </w:rPr>
      </w:pPr>
    </w:p>
    <w:p w14:paraId="4F0F66D2" w14:textId="77777777" w:rsidR="0094416D" w:rsidRPr="00847010" w:rsidRDefault="0094416D" w:rsidP="00A21B15">
      <w:pPr>
        <w:spacing w:line="360" w:lineRule="auto"/>
        <w:rPr>
          <w:rFonts w:ascii="Arial" w:hAnsi="Arial" w:cs="Arial"/>
          <w:sz w:val="22"/>
          <w:szCs w:val="22"/>
          <w:lang w:eastAsia="en-GB"/>
        </w:rPr>
      </w:pPr>
      <w:bookmarkStart w:id="3" w:name="_Toc212107791"/>
    </w:p>
    <w:p w14:paraId="496AA761" w14:textId="77777777" w:rsidR="00DA57F4" w:rsidRPr="00DA57F4" w:rsidRDefault="00DA57F4" w:rsidP="00DA57F4">
      <w:pPr>
        <w:rPr>
          <w:lang w:eastAsia="en-GB"/>
        </w:rPr>
      </w:pPr>
      <w:bookmarkStart w:id="4" w:name="_Toc212134990"/>
    </w:p>
    <w:p w14:paraId="4F0B613B" w14:textId="5F9FEC11" w:rsidR="00B67989" w:rsidRDefault="00B67989" w:rsidP="00EE1DEF">
      <w:pPr>
        <w:pStyle w:val="Heading3"/>
        <w:rPr>
          <w:rFonts w:eastAsia="Times New Roman"/>
          <w:lang w:eastAsia="en-GB"/>
        </w:rPr>
      </w:pPr>
      <w:r w:rsidRPr="00847010">
        <w:rPr>
          <w:rFonts w:eastAsia="Times New Roman"/>
          <w:lang w:eastAsia="en-GB"/>
        </w:rPr>
        <w:t>Overview of the digital innovation</w:t>
      </w:r>
      <w:bookmarkEnd w:id="3"/>
      <w:bookmarkEnd w:id="4"/>
    </w:p>
    <w:p w14:paraId="4C5C4366" w14:textId="77777777" w:rsidR="004D0192" w:rsidRPr="004D0192" w:rsidRDefault="004D0192" w:rsidP="004D0192">
      <w:pPr>
        <w:rPr>
          <w:lang w:eastAsia="en-GB"/>
        </w:rPr>
      </w:pPr>
    </w:p>
    <w:p w14:paraId="029DFA6A" w14:textId="6F7AD24F" w:rsidR="00B67989" w:rsidRPr="00847010" w:rsidRDefault="00B67989" w:rsidP="00A21B15">
      <w:pPr>
        <w:spacing w:line="360" w:lineRule="auto"/>
        <w:rPr>
          <w:rFonts w:ascii="Arial" w:hAnsi="Arial" w:cs="Arial"/>
          <w:sz w:val="22"/>
          <w:szCs w:val="22"/>
          <w:lang w:eastAsia="en-GB"/>
        </w:rPr>
      </w:pPr>
      <w:r w:rsidRPr="00847010">
        <w:rPr>
          <w:rFonts w:ascii="Arial" w:hAnsi="Arial" w:cs="Arial"/>
          <w:sz w:val="22"/>
          <w:szCs w:val="22"/>
          <w:lang w:eastAsia="en-GB"/>
        </w:rPr>
        <w:t>Medicus was developed to address fragmented primary</w:t>
      </w:r>
      <w:r w:rsidRPr="00847010">
        <w:rPr>
          <w:rFonts w:ascii="Arial" w:hAnsi="Arial" w:cs="Arial"/>
          <w:sz w:val="22"/>
          <w:szCs w:val="22"/>
          <w:lang w:eastAsia="en-GB"/>
        </w:rPr>
        <w:noBreakHyphen/>
        <w:t>care IT, duplicated administrative tasks and medication</w:t>
      </w:r>
      <w:r w:rsidRPr="00847010">
        <w:rPr>
          <w:rFonts w:ascii="Arial" w:hAnsi="Arial" w:cs="Arial"/>
          <w:sz w:val="22"/>
          <w:szCs w:val="22"/>
          <w:lang w:eastAsia="en-GB"/>
        </w:rPr>
        <w:noBreakHyphen/>
        <w:t xml:space="preserve">safety variation across disparate systems (Health Foundation, 2021). The platform’s modular API architecture integrates FDB </w:t>
      </w:r>
      <w:r w:rsidR="00B755BE" w:rsidRPr="00847010">
        <w:rPr>
          <w:rFonts w:ascii="Arial" w:hAnsi="Arial" w:cs="Arial"/>
          <w:sz w:val="22"/>
          <w:szCs w:val="22"/>
          <w:lang w:eastAsia="en-GB"/>
        </w:rPr>
        <w:t>Multiplex</w:t>
      </w:r>
      <w:r w:rsidRPr="00847010">
        <w:rPr>
          <w:rFonts w:ascii="Arial" w:hAnsi="Arial" w:cs="Arial"/>
          <w:sz w:val="22"/>
          <w:szCs w:val="22"/>
          <w:lang w:eastAsia="en-GB"/>
        </w:rPr>
        <w:t xml:space="preserve"> for context-aware prescribing CDS, structured templates, secure messaging, and e-consultation workflows, while central hosting reduces local server maintenance and enables more frequent vendor updates (Medicus Health, 2025; First Databank, 2025).</w:t>
      </w:r>
    </w:p>
    <w:p w14:paraId="019C7028" w14:textId="77777777" w:rsidR="00B67989" w:rsidRPr="00847010" w:rsidRDefault="00B67989" w:rsidP="00A21B15">
      <w:pPr>
        <w:spacing w:line="360" w:lineRule="auto"/>
        <w:rPr>
          <w:rFonts w:ascii="Arial" w:hAnsi="Arial" w:cs="Arial"/>
          <w:sz w:val="22"/>
          <w:szCs w:val="22"/>
          <w:lang w:eastAsia="en-GB"/>
        </w:rPr>
      </w:pPr>
      <w:r w:rsidRPr="00847010">
        <w:rPr>
          <w:rFonts w:ascii="Arial" w:hAnsi="Arial" w:cs="Arial"/>
          <w:sz w:val="22"/>
          <w:szCs w:val="22"/>
          <w:lang w:eastAsia="en-GB"/>
        </w:rPr>
        <w:t>UK implementation to date comprises staged pilots in 2025 across four practices of varied sizes to evaluate interoperability (EPS, NHS App), CDS activation, role-based training and super</w:t>
      </w:r>
      <w:r w:rsidRPr="00847010">
        <w:rPr>
          <w:rFonts w:ascii="Arial" w:hAnsi="Arial" w:cs="Arial"/>
          <w:sz w:val="22"/>
          <w:szCs w:val="22"/>
          <w:lang w:eastAsia="en-GB"/>
        </w:rPr>
        <w:noBreakHyphen/>
        <w:t>user development to manage go-live recovery (Medicus 2025; NHS England, 2025). Trade reporting and independent reviews suggest cloud-first EPRs can automate routine administrative tasks and shift workload toward message triage and exception handling, but these gains depend on CDS tuning, workforce training and resilience controls (Pulse Today, 2024; Health Foundation, 2024).</w:t>
      </w:r>
    </w:p>
    <w:p w14:paraId="6987521F" w14:textId="3A30DAC0" w:rsidR="00B67989" w:rsidRPr="00847010" w:rsidRDefault="00B67989" w:rsidP="00A21B15">
      <w:pPr>
        <w:spacing w:line="360" w:lineRule="auto"/>
        <w:rPr>
          <w:rFonts w:ascii="Arial" w:hAnsi="Arial" w:cs="Arial"/>
          <w:sz w:val="22"/>
          <w:szCs w:val="22"/>
          <w:lang w:eastAsia="en-GB"/>
        </w:rPr>
      </w:pPr>
      <w:r w:rsidRPr="00847010">
        <w:rPr>
          <w:rFonts w:ascii="Arial" w:hAnsi="Arial" w:cs="Arial"/>
          <w:sz w:val="22"/>
          <w:szCs w:val="22"/>
          <w:lang w:eastAsia="en-GB"/>
        </w:rPr>
        <w:t>The primary goals are improved medication safety, streamlined administrative workflows, enhanced patient access and population health analytics from structured data. Realising these depends on competency-based workforce models, funded assisted</w:t>
      </w:r>
      <w:r w:rsidRPr="00847010">
        <w:rPr>
          <w:rFonts w:ascii="Arial" w:hAnsi="Arial" w:cs="Arial"/>
          <w:sz w:val="22"/>
          <w:szCs w:val="22"/>
          <w:lang w:eastAsia="en-GB"/>
        </w:rPr>
        <w:noBreakHyphen/>
        <w:t>digital measures, robust contractual governance, and independent evaluation to verify vendor claims (Payne et al., 2021; Nuffield Trust</w:t>
      </w:r>
      <w:r w:rsidR="00C24271" w:rsidRPr="00847010">
        <w:rPr>
          <w:rFonts w:ascii="Arial" w:hAnsi="Arial" w:cs="Arial"/>
          <w:sz w:val="22"/>
          <w:szCs w:val="22"/>
          <w:lang w:eastAsia="en-GB"/>
        </w:rPr>
        <w:t xml:space="preserve">, </w:t>
      </w:r>
      <w:r w:rsidRPr="00847010">
        <w:rPr>
          <w:rFonts w:ascii="Arial" w:hAnsi="Arial" w:cs="Arial"/>
          <w:sz w:val="22"/>
          <w:szCs w:val="22"/>
          <w:lang w:eastAsia="en-GB"/>
        </w:rPr>
        <w:t xml:space="preserve">2022) </w:t>
      </w:r>
    </w:p>
    <w:p w14:paraId="07666AD1" w14:textId="77777777" w:rsidR="00B67989" w:rsidRPr="00847010" w:rsidRDefault="00B67989" w:rsidP="00A21B15">
      <w:pPr>
        <w:spacing w:line="360" w:lineRule="auto"/>
        <w:rPr>
          <w:rFonts w:ascii="Arial" w:hAnsi="Arial" w:cs="Arial"/>
          <w:lang w:eastAsia="en-GB"/>
        </w:rPr>
      </w:pPr>
      <w:r w:rsidRPr="00847010">
        <w:rPr>
          <w:rFonts w:ascii="Arial" w:hAnsi="Arial" w:cs="Arial"/>
          <w:lang w:eastAsia="en-GB"/>
        </w:rPr>
        <w:t> </w:t>
      </w:r>
    </w:p>
    <w:p w14:paraId="20EFC593" w14:textId="77777777" w:rsidR="009D6213" w:rsidRPr="00847010" w:rsidRDefault="009D6213" w:rsidP="00A21B15">
      <w:pPr>
        <w:spacing w:line="360" w:lineRule="auto"/>
        <w:rPr>
          <w:rFonts w:ascii="Arial" w:hAnsi="Arial" w:cs="Arial"/>
          <w:lang w:eastAsia="en-GB"/>
        </w:rPr>
      </w:pPr>
    </w:p>
    <w:p w14:paraId="7B3FFB37" w14:textId="77777777" w:rsidR="009D6213" w:rsidRPr="00847010" w:rsidRDefault="009D6213" w:rsidP="00A21B15">
      <w:pPr>
        <w:spacing w:line="360" w:lineRule="auto"/>
        <w:rPr>
          <w:rFonts w:ascii="Arial" w:hAnsi="Arial" w:cs="Arial"/>
          <w:lang w:eastAsia="en-GB"/>
        </w:rPr>
      </w:pPr>
    </w:p>
    <w:p w14:paraId="2D733230" w14:textId="77777777" w:rsidR="009D6213" w:rsidRPr="00847010" w:rsidRDefault="009D6213" w:rsidP="00A21B15">
      <w:pPr>
        <w:spacing w:line="360" w:lineRule="auto"/>
        <w:rPr>
          <w:rFonts w:ascii="Arial" w:hAnsi="Arial" w:cs="Arial"/>
          <w:lang w:eastAsia="en-GB"/>
        </w:rPr>
      </w:pPr>
    </w:p>
    <w:p w14:paraId="599D621D" w14:textId="77777777" w:rsidR="009D6213" w:rsidRDefault="009D6213" w:rsidP="00A21B15">
      <w:pPr>
        <w:spacing w:line="360" w:lineRule="auto"/>
        <w:rPr>
          <w:rFonts w:ascii="Arial" w:hAnsi="Arial" w:cs="Arial"/>
          <w:lang w:eastAsia="en-GB"/>
        </w:rPr>
      </w:pPr>
    </w:p>
    <w:p w14:paraId="319749A3" w14:textId="77777777" w:rsidR="004D0192" w:rsidRDefault="004D0192" w:rsidP="00A21B15">
      <w:pPr>
        <w:spacing w:line="360" w:lineRule="auto"/>
        <w:rPr>
          <w:rFonts w:ascii="Arial" w:hAnsi="Arial" w:cs="Arial"/>
          <w:lang w:eastAsia="en-GB"/>
        </w:rPr>
      </w:pPr>
    </w:p>
    <w:p w14:paraId="18CDFB61" w14:textId="77777777" w:rsidR="004D0192" w:rsidRDefault="004D0192" w:rsidP="00A21B15">
      <w:pPr>
        <w:spacing w:line="360" w:lineRule="auto"/>
        <w:rPr>
          <w:rFonts w:ascii="Arial" w:hAnsi="Arial" w:cs="Arial"/>
          <w:lang w:eastAsia="en-GB"/>
        </w:rPr>
      </w:pPr>
    </w:p>
    <w:p w14:paraId="15926F4C" w14:textId="77777777" w:rsidR="004D0192" w:rsidRPr="00847010" w:rsidRDefault="004D0192" w:rsidP="00A21B15">
      <w:pPr>
        <w:spacing w:line="360" w:lineRule="auto"/>
        <w:rPr>
          <w:rFonts w:ascii="Arial" w:hAnsi="Arial" w:cs="Arial"/>
          <w:lang w:eastAsia="en-GB"/>
        </w:rPr>
      </w:pPr>
    </w:p>
    <w:p w14:paraId="7F6A681B" w14:textId="77777777" w:rsidR="00CC5D6E" w:rsidRPr="00847010" w:rsidRDefault="00CC5D6E" w:rsidP="00CC5D6E">
      <w:pPr>
        <w:rPr>
          <w:lang w:eastAsia="en-GB"/>
        </w:rPr>
      </w:pPr>
      <w:bookmarkStart w:id="5" w:name="_Toc212107792"/>
      <w:bookmarkStart w:id="6" w:name="_Toc212134991"/>
    </w:p>
    <w:p w14:paraId="1B614AF4" w14:textId="63787723" w:rsidR="00B67989" w:rsidRPr="007C4AAD" w:rsidRDefault="00B67989" w:rsidP="008913CF">
      <w:pPr>
        <w:pStyle w:val="Heading3"/>
        <w:rPr>
          <w:rFonts w:eastAsia="Times New Roman"/>
          <w:sz w:val="24"/>
          <w:szCs w:val="24"/>
          <w:lang w:eastAsia="en-GB"/>
        </w:rPr>
      </w:pPr>
      <w:r w:rsidRPr="007C4AAD">
        <w:rPr>
          <w:rFonts w:eastAsia="Times New Roman"/>
          <w:lang w:eastAsia="en-GB"/>
        </w:rPr>
        <w:t>Impact on the workforce</w:t>
      </w:r>
      <w:bookmarkEnd w:id="5"/>
      <w:bookmarkEnd w:id="6"/>
    </w:p>
    <w:p w14:paraId="019F896B" w14:textId="35477DC8" w:rsidR="00745025" w:rsidRPr="007C4AAD" w:rsidRDefault="00981CF7" w:rsidP="007C4AAD">
      <w:pPr>
        <w:spacing w:before="100" w:beforeAutospacing="1" w:after="100" w:afterAutospacing="1" w:line="360" w:lineRule="auto"/>
        <w:rPr>
          <w:rFonts w:ascii="Arial" w:eastAsia="Times New Roman" w:hAnsi="Arial" w:cs="Arial"/>
          <w:kern w:val="0"/>
          <w:sz w:val="22"/>
          <w:szCs w:val="22"/>
          <w:lang w:eastAsia="en-GB"/>
          <w14:ligatures w14:val="none"/>
        </w:rPr>
      </w:pPr>
      <w:r w:rsidRPr="00981CF7">
        <w:rPr>
          <w:rFonts w:ascii="Arial" w:eastAsia="Times New Roman" w:hAnsi="Arial" w:cs="Arial"/>
          <w:kern w:val="0"/>
          <w:sz w:val="22"/>
          <w:szCs w:val="22"/>
          <w:lang w:eastAsia="en-GB"/>
          <w14:ligatures w14:val="none"/>
        </w:rPr>
        <w:t xml:space="preserve">Medicus Health is reshaping role boundaries and daily tasks across primary care teams. Clinicians increasingly validate coded records and act on embedded clinical decision support (CDS) prompts; administrative and reception staff manage EPR inboxes, initiate templates, reconcile results and perform digital triage. These shifts have formalised hybrid roles—General Practice Assistants and digitally enabled Learning Disability nurses—that bridge clinical and administrative workflows and create clearer pathways for task delegation and escalation </w:t>
      </w:r>
      <w:r w:rsidR="00745025" w:rsidRPr="007C4AAD">
        <w:rPr>
          <w:rFonts w:ascii="Arial" w:eastAsia="Times New Roman" w:hAnsi="Arial" w:cs="Arial"/>
          <w:kern w:val="0"/>
          <w:sz w:val="22"/>
          <w:szCs w:val="22"/>
          <w:lang w:eastAsia="en-GB"/>
          <w14:ligatures w14:val="none"/>
        </w:rPr>
        <w:t>(Finnegan &amp; Mountford, 2025; Lovell, 2025; Medicus Health, 2025).</w:t>
      </w:r>
    </w:p>
    <w:p w14:paraId="283BA2CC" w14:textId="26540DBB" w:rsidR="00981CF7" w:rsidRPr="00981CF7" w:rsidRDefault="00981CF7" w:rsidP="007C4A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981CF7">
        <w:rPr>
          <w:rFonts w:ascii="Arial" w:eastAsia="Times New Roman" w:hAnsi="Arial" w:cs="Arial"/>
          <w:b/>
          <w:bCs/>
          <w:kern w:val="0"/>
          <w:sz w:val="22"/>
          <w:szCs w:val="22"/>
          <w:lang w:eastAsia="en-GB"/>
          <w14:ligatures w14:val="none"/>
        </w:rPr>
        <w:t>Role changes and task reallocation</w:t>
      </w:r>
    </w:p>
    <w:p w14:paraId="6476AD47" w14:textId="7E08807F" w:rsidR="00981CF7" w:rsidRPr="00981CF7" w:rsidRDefault="00981CF7" w:rsidP="007C4AAD">
      <w:pPr>
        <w:spacing w:before="100" w:beforeAutospacing="1" w:after="100" w:afterAutospacing="1" w:line="360" w:lineRule="auto"/>
        <w:rPr>
          <w:rFonts w:ascii="Arial" w:eastAsia="Times New Roman" w:hAnsi="Arial" w:cs="Arial"/>
          <w:kern w:val="0"/>
          <w:sz w:val="22"/>
          <w:szCs w:val="22"/>
          <w:lang w:eastAsia="en-GB"/>
          <w14:ligatures w14:val="none"/>
        </w:rPr>
      </w:pPr>
      <w:r w:rsidRPr="00981CF7">
        <w:rPr>
          <w:rFonts w:ascii="Arial" w:eastAsia="Times New Roman" w:hAnsi="Arial" w:cs="Arial"/>
          <w:kern w:val="0"/>
          <w:sz w:val="22"/>
          <w:szCs w:val="22"/>
          <w:lang w:eastAsia="en-GB"/>
          <w14:ligatures w14:val="none"/>
        </w:rPr>
        <w:t>Routine paperwork and manual scanning have been substantially reduced, freeing time previously spent on record retrieval and paper handling. Templates and integrated results reduce information</w:t>
      </w:r>
      <w:r w:rsidRPr="00981CF7">
        <w:rPr>
          <w:rFonts w:ascii="Arial" w:eastAsia="Times New Roman" w:hAnsi="Arial" w:cs="Arial"/>
          <w:kern w:val="0"/>
          <w:sz w:val="22"/>
          <w:szCs w:val="22"/>
          <w:lang w:eastAsia="en-GB"/>
          <w14:ligatures w14:val="none"/>
        </w:rPr>
        <w:noBreakHyphen/>
        <w:t>chasing and repetition, altering the mix of tasks performed by clinicians and administrators</w:t>
      </w:r>
      <w:r w:rsidR="00A331B0">
        <w:rPr>
          <w:rFonts w:ascii="Arial" w:eastAsia="Times New Roman" w:hAnsi="Arial" w:cs="Arial"/>
          <w:kern w:val="0"/>
          <w:sz w:val="22"/>
          <w:szCs w:val="22"/>
          <w:lang w:eastAsia="en-GB"/>
          <w14:ligatures w14:val="none"/>
        </w:rPr>
        <w:t xml:space="preserve"> </w:t>
      </w:r>
      <w:r w:rsidR="00A331B0" w:rsidRPr="00A331B0">
        <w:rPr>
          <w:rFonts w:ascii="Arial" w:eastAsia="Times New Roman" w:hAnsi="Arial" w:cs="Arial"/>
          <w:kern w:val="0"/>
          <w:sz w:val="22"/>
          <w:szCs w:val="22"/>
          <w:lang w:eastAsia="en-GB"/>
          <w14:ligatures w14:val="none"/>
        </w:rPr>
        <w:t>Finnegan &amp; Mountford, 2025; Lovell, 2025).</w:t>
      </w:r>
      <w:r w:rsidRPr="00981CF7">
        <w:rPr>
          <w:rFonts w:ascii="Arial" w:eastAsia="Times New Roman" w:hAnsi="Arial" w:cs="Arial"/>
          <w:kern w:val="0"/>
          <w:sz w:val="22"/>
          <w:szCs w:val="22"/>
          <w:lang w:eastAsia="en-GB"/>
          <w14:ligatures w14:val="none"/>
        </w:rPr>
        <w:t>New tasks include inbox moderation, coding quality assurance, triage of portal messages and local CDS tuning; some traditional duties (manual filing, paper reconciliation) are reduced or eliminated</w:t>
      </w:r>
      <w:r w:rsidR="006153DC">
        <w:rPr>
          <w:rFonts w:ascii="Arial" w:eastAsia="Times New Roman" w:hAnsi="Arial" w:cs="Arial"/>
          <w:kern w:val="0"/>
          <w:sz w:val="22"/>
          <w:szCs w:val="22"/>
          <w:lang w:eastAsia="en-GB"/>
          <w14:ligatures w14:val="none"/>
        </w:rPr>
        <w:t xml:space="preserve"> </w:t>
      </w:r>
      <w:r w:rsidR="006153DC" w:rsidRPr="006153DC">
        <w:rPr>
          <w:rFonts w:ascii="Arial" w:eastAsia="Times New Roman" w:hAnsi="Arial" w:cs="Arial"/>
          <w:kern w:val="0"/>
          <w:sz w:val="22"/>
          <w:szCs w:val="22"/>
          <w:lang w:eastAsia="en-GB"/>
          <w14:ligatures w14:val="none"/>
        </w:rPr>
        <w:t>(e</w:t>
      </w:r>
      <w:r w:rsidR="006153DC" w:rsidRPr="006153DC">
        <w:rPr>
          <w:rFonts w:ascii="Cambria Math" w:eastAsia="Times New Roman" w:hAnsi="Cambria Math" w:cs="Cambria Math"/>
          <w:kern w:val="0"/>
          <w:sz w:val="22"/>
          <w:szCs w:val="22"/>
          <w:lang w:eastAsia="en-GB"/>
          <w14:ligatures w14:val="none"/>
        </w:rPr>
        <w:t>‑</w:t>
      </w:r>
      <w:r w:rsidR="006153DC" w:rsidRPr="006153DC">
        <w:rPr>
          <w:rFonts w:ascii="Arial" w:eastAsia="Times New Roman" w:hAnsi="Arial" w:cs="Arial"/>
          <w:kern w:val="0"/>
          <w:sz w:val="22"/>
          <w:szCs w:val="22"/>
          <w:lang w:eastAsia="en-GB"/>
          <w14:ligatures w14:val="none"/>
        </w:rPr>
        <w:t>LfH / NHS England, 2023; NCL Training Hub, no date; Medicus Health, 2025).</w:t>
      </w:r>
    </w:p>
    <w:p w14:paraId="37E27700" w14:textId="77777777" w:rsidR="00981CF7" w:rsidRPr="00981CF7" w:rsidRDefault="00981CF7" w:rsidP="007C4A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981CF7">
        <w:rPr>
          <w:rFonts w:ascii="Arial" w:eastAsia="Times New Roman" w:hAnsi="Arial" w:cs="Arial"/>
          <w:b/>
          <w:bCs/>
          <w:kern w:val="0"/>
          <w:sz w:val="22"/>
          <w:szCs w:val="22"/>
          <w:lang w:eastAsia="en-GB"/>
          <w14:ligatures w14:val="none"/>
        </w:rPr>
        <w:t>Competency and training needs</w:t>
      </w:r>
    </w:p>
    <w:p w14:paraId="67457FCF" w14:textId="67F6603A" w:rsidR="00846FFF" w:rsidRDefault="00981CF7" w:rsidP="00A857B4">
      <w:pPr>
        <w:spacing w:before="100" w:beforeAutospacing="1" w:after="100" w:afterAutospacing="1" w:line="360" w:lineRule="auto"/>
        <w:rPr>
          <w:rFonts w:ascii="Arial" w:eastAsia="Times New Roman" w:hAnsi="Arial" w:cs="Arial"/>
          <w:kern w:val="0"/>
          <w:sz w:val="22"/>
          <w:szCs w:val="22"/>
          <w:lang w:eastAsia="en-GB"/>
          <w14:ligatures w14:val="none"/>
        </w:rPr>
      </w:pPr>
      <w:r w:rsidRPr="00981CF7">
        <w:rPr>
          <w:rFonts w:ascii="Arial" w:eastAsia="Times New Roman" w:hAnsi="Arial" w:cs="Arial"/>
          <w:kern w:val="0"/>
          <w:sz w:val="22"/>
          <w:szCs w:val="22"/>
          <w:lang w:eastAsia="en-GB"/>
          <w14:ligatures w14:val="none"/>
        </w:rPr>
        <w:t>Effective adoption requires new competencies: accurate clinical coding, interpretation and contextualisation of CDS alerts, safe digital triage, and basic informatics literacy. Mapped training pathways</w:t>
      </w:r>
      <w:r w:rsidR="0012038F">
        <w:rPr>
          <w:rFonts w:ascii="Arial" w:eastAsia="Times New Roman" w:hAnsi="Arial" w:cs="Arial"/>
          <w:kern w:val="0"/>
          <w:sz w:val="22"/>
          <w:szCs w:val="22"/>
          <w:lang w:eastAsia="en-GB"/>
          <w14:ligatures w14:val="none"/>
        </w:rPr>
        <w:t xml:space="preserve"> </w:t>
      </w:r>
      <w:r w:rsidR="00A857B4" w:rsidRPr="00EB3C9E">
        <w:rPr>
          <w:rFonts w:ascii="Arial" w:eastAsia="Times New Roman" w:hAnsi="Arial" w:cs="Arial"/>
          <w:kern w:val="0"/>
          <w:sz w:val="22"/>
          <w:szCs w:val="22"/>
          <w:lang w:eastAsia="en-GB"/>
          <w14:ligatures w14:val="none"/>
        </w:rPr>
        <w:t>University Hospitals Birmingham NHS Foundation Trust (2025) provides</w:t>
      </w:r>
      <w:r w:rsidRPr="00981CF7">
        <w:rPr>
          <w:rFonts w:ascii="Arial" w:eastAsia="Times New Roman" w:hAnsi="Arial" w:cs="Arial"/>
          <w:kern w:val="0"/>
          <w:sz w:val="22"/>
          <w:szCs w:val="22"/>
          <w:lang w:eastAsia="en-GB"/>
          <w14:ligatures w14:val="none"/>
        </w:rPr>
        <w:t xml:space="preserve">, competency frameworks and protected learning time are necessary to ensure safe task transfer and maintain clinical </w:t>
      </w:r>
      <w:r w:rsidR="00BF6CF9" w:rsidRPr="00981CF7">
        <w:rPr>
          <w:rFonts w:ascii="Arial" w:eastAsia="Times New Roman" w:hAnsi="Arial" w:cs="Arial"/>
          <w:kern w:val="0"/>
          <w:sz w:val="22"/>
          <w:szCs w:val="22"/>
          <w:lang w:eastAsia="en-GB"/>
          <w14:ligatures w14:val="none"/>
        </w:rPr>
        <w:t>accountability</w:t>
      </w:r>
      <w:r w:rsidR="00BF6CF9" w:rsidRPr="007C4AAD">
        <w:rPr>
          <w:rFonts w:ascii="Arial" w:eastAsia="Times New Roman" w:hAnsi="Arial" w:cs="Arial"/>
          <w:kern w:val="0"/>
          <w:sz w:val="22"/>
          <w:szCs w:val="22"/>
          <w:lang w:eastAsia="en-GB"/>
          <w14:ligatures w14:val="none"/>
        </w:rPr>
        <w:t xml:space="preserve"> and</w:t>
      </w:r>
      <w:r w:rsidR="008B3EC3" w:rsidRPr="007C4AAD">
        <w:rPr>
          <w:rFonts w:ascii="Arial" w:eastAsia="Times New Roman" w:hAnsi="Arial" w:cs="Arial"/>
          <w:kern w:val="0"/>
          <w:sz w:val="22"/>
          <w:szCs w:val="22"/>
          <w:lang w:eastAsia="en-GB"/>
          <w14:ligatures w14:val="none"/>
        </w:rPr>
        <w:t xml:space="preserve"> should be aligned with national training and placement tariffs (Department of Health and Social Care and NHS England, 2024; e</w:t>
      </w:r>
      <w:r w:rsidR="008B3EC3" w:rsidRPr="007C4AAD">
        <w:rPr>
          <w:rFonts w:ascii="Cambria Math" w:eastAsia="Times New Roman" w:hAnsi="Cambria Math" w:cs="Cambria Math"/>
          <w:kern w:val="0"/>
          <w:sz w:val="22"/>
          <w:szCs w:val="22"/>
          <w:lang w:eastAsia="en-GB"/>
          <w14:ligatures w14:val="none"/>
        </w:rPr>
        <w:t>‑</w:t>
      </w:r>
      <w:r w:rsidR="008B3EC3" w:rsidRPr="007C4AAD">
        <w:rPr>
          <w:rFonts w:ascii="Arial" w:eastAsia="Times New Roman" w:hAnsi="Arial" w:cs="Arial"/>
          <w:kern w:val="0"/>
          <w:sz w:val="22"/>
          <w:szCs w:val="22"/>
          <w:lang w:eastAsia="en-GB"/>
          <w14:ligatures w14:val="none"/>
        </w:rPr>
        <w:t xml:space="preserve">LfH / NHS England, 2023). </w:t>
      </w:r>
    </w:p>
    <w:tbl>
      <w:tblPr>
        <w:tblStyle w:val="TableGrid1"/>
        <w:tblpPr w:leftFromText="180" w:rightFromText="180" w:vertAnchor="text" w:horzAnchor="margin" w:tblpY="230"/>
        <w:tblW w:w="9375" w:type="dxa"/>
        <w:tblInd w:w="0" w:type="dxa"/>
        <w:tblLook w:val="04A0" w:firstRow="1" w:lastRow="0" w:firstColumn="1" w:lastColumn="0" w:noHBand="0" w:noVBand="1"/>
      </w:tblPr>
      <w:tblGrid>
        <w:gridCol w:w="9375"/>
      </w:tblGrid>
      <w:tr w:rsidR="005A3F59" w:rsidRPr="00DC1C54" w14:paraId="2838EB17" w14:textId="77777777" w:rsidTr="00EE663A">
        <w:trPr>
          <w:trHeight w:val="218"/>
        </w:trPr>
        <w:tc>
          <w:tcPr>
            <w:tcW w:w="9375" w:type="dxa"/>
          </w:tcPr>
          <w:p w14:paraId="655FD345"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t>£5,519 ÷ 40.8 weeks = £135.27</w:t>
            </w:r>
          </w:p>
        </w:tc>
      </w:tr>
      <w:tr w:rsidR="005A3F59" w:rsidRPr="00DC1C54" w14:paraId="465E3E0A" w14:textId="77777777" w:rsidTr="00EE663A">
        <w:trPr>
          <w:trHeight w:val="650"/>
        </w:trPr>
        <w:tc>
          <w:tcPr>
            <w:tcW w:w="9375" w:type="dxa"/>
          </w:tcPr>
          <w:p w14:paraId="2A9F8FD9"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t>Once we have calculated the payment per week of £135.27, we are then able to calculate the payment per hour, which is calculated by dividing the weekly rate by 37.5 hours:</w:t>
            </w:r>
          </w:p>
        </w:tc>
      </w:tr>
      <w:tr w:rsidR="005A3F59" w:rsidRPr="00DC1C54" w14:paraId="27724992" w14:textId="77777777" w:rsidTr="00EE663A">
        <w:trPr>
          <w:trHeight w:val="218"/>
        </w:trPr>
        <w:tc>
          <w:tcPr>
            <w:tcW w:w="9375" w:type="dxa"/>
          </w:tcPr>
          <w:p w14:paraId="287EE70B"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t>£135.27 ÷ 37.5 hours = £3.61</w:t>
            </w:r>
          </w:p>
        </w:tc>
      </w:tr>
      <w:tr w:rsidR="005A3F59" w:rsidRPr="00DC1C54" w14:paraId="6914C571" w14:textId="77777777" w:rsidTr="00EE663A">
        <w:trPr>
          <w:trHeight w:val="430"/>
        </w:trPr>
        <w:tc>
          <w:tcPr>
            <w:tcW w:w="9375" w:type="dxa"/>
          </w:tcPr>
          <w:p w14:paraId="667D1ED5"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lastRenderedPageBreak/>
              <w:t>The hourly rate should then be applied to the total number of hours of placement activity:</w:t>
            </w:r>
          </w:p>
        </w:tc>
      </w:tr>
      <w:tr w:rsidR="005A3F59" w:rsidRPr="00DC1C54" w14:paraId="34841993" w14:textId="77777777" w:rsidTr="00EE663A">
        <w:trPr>
          <w:trHeight w:val="218"/>
        </w:trPr>
        <w:tc>
          <w:tcPr>
            <w:tcW w:w="9375" w:type="dxa"/>
          </w:tcPr>
          <w:p w14:paraId="5CE767C0"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t>5,000 hours × £3.61 = £18,035</w:t>
            </w:r>
          </w:p>
        </w:tc>
      </w:tr>
      <w:tr w:rsidR="005A3F59" w:rsidRPr="00DC1C54" w14:paraId="0DFE1292" w14:textId="77777777" w:rsidTr="00EE663A">
        <w:trPr>
          <w:trHeight w:val="218"/>
        </w:trPr>
        <w:tc>
          <w:tcPr>
            <w:tcW w:w="9375" w:type="dxa"/>
          </w:tcPr>
          <w:p w14:paraId="4AD5FAA9"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t>The final stage is to apply the MFF payment index to the total funding:</w:t>
            </w:r>
          </w:p>
        </w:tc>
      </w:tr>
      <w:tr w:rsidR="005A3F59" w:rsidRPr="00DC1C54" w14:paraId="146BF6C7" w14:textId="77777777" w:rsidTr="00EE663A">
        <w:trPr>
          <w:trHeight w:val="208"/>
        </w:trPr>
        <w:tc>
          <w:tcPr>
            <w:tcW w:w="9375" w:type="dxa"/>
          </w:tcPr>
          <w:p w14:paraId="671B111A"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t>£18,035 × 1.0383 (Midlands MFF rate) = £18,726.73</w:t>
            </w:r>
          </w:p>
        </w:tc>
      </w:tr>
      <w:tr w:rsidR="005A3F59" w:rsidRPr="00DC1C54" w14:paraId="11FBDFE3" w14:textId="77777777" w:rsidTr="00EE663A">
        <w:trPr>
          <w:trHeight w:val="208"/>
        </w:trPr>
        <w:tc>
          <w:tcPr>
            <w:tcW w:w="9375" w:type="dxa"/>
          </w:tcPr>
          <w:p w14:paraId="0CE6EC17" w14:textId="77777777" w:rsidR="005A3F59" w:rsidRPr="00DC1C54" w:rsidRDefault="005A3F59" w:rsidP="00EE663A">
            <w:pPr>
              <w:spacing w:line="276" w:lineRule="auto"/>
              <w:rPr>
                <w:rFonts w:ascii="Arial" w:eastAsia="Times New Roman" w:hAnsi="Arial" w:cs="Arial"/>
                <w:b/>
                <w:bCs/>
                <w:color w:val="0B0C0C"/>
                <w:sz w:val="16"/>
                <w:szCs w:val="16"/>
                <w:lang w:eastAsia="en-GB"/>
              </w:rPr>
            </w:pPr>
            <w:r w:rsidRPr="00DC1C54">
              <w:rPr>
                <w:rFonts w:ascii="Arial" w:eastAsia="Times New Roman" w:hAnsi="Arial" w:cs="Arial"/>
                <w:b/>
                <w:bCs/>
                <w:color w:val="0B0C0C"/>
                <w:sz w:val="16"/>
                <w:szCs w:val="16"/>
                <w:lang w:eastAsia="en-GB"/>
              </w:rPr>
              <w:t>The total funding that this activity will generate is therefore £18,726.73.</w:t>
            </w:r>
          </w:p>
        </w:tc>
      </w:tr>
    </w:tbl>
    <w:p w14:paraId="340E8932" w14:textId="77777777" w:rsidR="00EB28C9" w:rsidRDefault="00EB28C9" w:rsidP="00EB3C9E">
      <w:pPr>
        <w:spacing w:line="276" w:lineRule="auto"/>
        <w:rPr>
          <w:rFonts w:ascii="Arial" w:eastAsia="Times New Roman" w:hAnsi="Arial" w:cs="Arial"/>
          <w:b/>
          <w:bCs/>
          <w:kern w:val="0"/>
          <w:sz w:val="16"/>
          <w:szCs w:val="16"/>
          <w:lang w:eastAsia="en-GB"/>
          <w14:ligatures w14:val="none"/>
        </w:rPr>
      </w:pPr>
    </w:p>
    <w:p w14:paraId="3CECF23A" w14:textId="346C2685" w:rsidR="00EB3C9E" w:rsidRDefault="00EB3C9E" w:rsidP="00EB3C9E">
      <w:pPr>
        <w:spacing w:line="276" w:lineRule="auto"/>
        <w:rPr>
          <w:rFonts w:ascii="Arial" w:eastAsia="Yu Mincho" w:hAnsi="Arial" w:cs="Arial"/>
          <w:b/>
          <w:bCs/>
          <w:sz w:val="16"/>
          <w:szCs w:val="16"/>
          <w:lang w:eastAsia="en-GB"/>
        </w:rPr>
      </w:pPr>
      <w:r w:rsidRPr="00DC1C54">
        <w:rPr>
          <w:rFonts w:ascii="Arial" w:eastAsia="Times New Roman" w:hAnsi="Arial" w:cs="Arial"/>
          <w:b/>
          <w:bCs/>
          <w:kern w:val="0"/>
          <w:sz w:val="16"/>
          <w:szCs w:val="16"/>
          <w:lang w:eastAsia="en-GB"/>
          <w14:ligatures w14:val="none"/>
        </w:rPr>
        <w:t xml:space="preserve">Image : Healthcare education and training tariff calculation </w:t>
      </w:r>
      <w:r w:rsidRPr="00DC1C54">
        <w:rPr>
          <w:rFonts w:ascii="Arial" w:eastAsia="Yu Mincho" w:hAnsi="Arial" w:cs="Arial"/>
          <w:b/>
          <w:bCs/>
          <w:sz w:val="16"/>
          <w:szCs w:val="16"/>
          <w:lang w:eastAsia="en-GB"/>
        </w:rPr>
        <w:t>(Adapted from Department of Health and Social Care2024)</w:t>
      </w:r>
    </w:p>
    <w:p w14:paraId="11D85CC8" w14:textId="77777777" w:rsidR="00EB28C9" w:rsidRDefault="00EB28C9" w:rsidP="00EB3C9E">
      <w:pPr>
        <w:spacing w:line="276" w:lineRule="auto"/>
        <w:rPr>
          <w:rFonts w:ascii="Arial" w:eastAsia="Times New Roman" w:hAnsi="Arial" w:cs="Arial"/>
          <w:kern w:val="0"/>
          <w:sz w:val="22"/>
          <w:szCs w:val="22"/>
          <w:lang w:eastAsia="en-GB"/>
          <w14:ligatures w14:val="none"/>
        </w:rPr>
      </w:pPr>
    </w:p>
    <w:p w14:paraId="05FC1EA9" w14:textId="7AE3D7BD" w:rsidR="00981CF7" w:rsidRPr="00981CF7" w:rsidRDefault="00981CF7" w:rsidP="00EB3C9E">
      <w:pPr>
        <w:spacing w:line="276" w:lineRule="auto"/>
        <w:rPr>
          <w:rFonts w:ascii="Arial" w:eastAsia="Yu Mincho" w:hAnsi="Arial" w:cs="Arial"/>
          <w:b/>
          <w:bCs/>
          <w:sz w:val="16"/>
          <w:szCs w:val="16"/>
          <w:lang w:eastAsia="en-GB"/>
        </w:rPr>
      </w:pPr>
      <w:r w:rsidRPr="00981CF7">
        <w:rPr>
          <w:rFonts w:ascii="Arial" w:eastAsia="Times New Roman" w:hAnsi="Arial" w:cs="Arial"/>
          <w:kern w:val="0"/>
          <w:sz w:val="22"/>
          <w:szCs w:val="22"/>
          <w:lang w:eastAsia="en-GB"/>
          <w14:ligatures w14:val="none"/>
        </w:rPr>
        <w:t>Where formal training and supervision are provided, staff report greater confidence in coded documentation and lower early</w:t>
      </w:r>
      <w:r w:rsidRPr="00981CF7">
        <w:rPr>
          <w:rFonts w:ascii="Arial" w:eastAsia="Times New Roman" w:hAnsi="Arial" w:cs="Arial"/>
          <w:kern w:val="0"/>
          <w:sz w:val="22"/>
          <w:szCs w:val="22"/>
          <w:lang w:eastAsia="en-GB"/>
          <w14:ligatures w14:val="none"/>
        </w:rPr>
        <w:noBreakHyphen/>
        <w:t>phase error rates (Health Education England, 2023).</w:t>
      </w:r>
    </w:p>
    <w:p w14:paraId="690F3FA9" w14:textId="6C89E663" w:rsidR="009B1083" w:rsidRPr="00507455" w:rsidRDefault="00507455" w:rsidP="007C4AAD">
      <w:pPr>
        <w:spacing w:before="100" w:beforeAutospacing="1" w:after="100" w:afterAutospacing="1" w:line="360" w:lineRule="auto"/>
        <w:rPr>
          <w:rFonts w:ascii="Arial" w:eastAsia="Times New Roman" w:hAnsi="Arial" w:cs="Arial"/>
          <w:kern w:val="0"/>
          <w:sz w:val="22"/>
          <w:szCs w:val="22"/>
          <w:lang w:eastAsia="en-GB"/>
          <w14:ligatures w14:val="none"/>
        </w:rPr>
      </w:pPr>
      <w:r w:rsidRPr="00507455">
        <w:rPr>
          <w:rFonts w:ascii="Arial" w:eastAsia="Times New Roman" w:hAnsi="Arial" w:cs="Arial"/>
          <w:kern w:val="0"/>
          <w:sz w:val="22"/>
          <w:szCs w:val="22"/>
          <w:lang w:eastAsia="en-GB"/>
          <w14:ligatures w14:val="none"/>
        </w:rPr>
        <w:t>Mapped training pathways and protected learning time are committed in the Trust’s workforce plan (University Hospitals Birmingham NHS Foundation Trust, 2024</w:t>
      </w:r>
    </w:p>
    <w:p w14:paraId="3E9A8DD1" w14:textId="013BF57C" w:rsidR="00AB6136" w:rsidRPr="00B81CDF" w:rsidRDefault="00981CF7" w:rsidP="007C4A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981CF7">
        <w:rPr>
          <w:rFonts w:ascii="Arial" w:eastAsia="Times New Roman" w:hAnsi="Arial" w:cs="Arial"/>
          <w:b/>
          <w:bCs/>
          <w:kern w:val="0"/>
          <w:sz w:val="22"/>
          <w:szCs w:val="22"/>
          <w:lang w:eastAsia="en-GB"/>
          <w14:ligatures w14:val="none"/>
        </w:rPr>
        <w:t>Positive impacts</w:t>
      </w:r>
    </w:p>
    <w:p w14:paraId="42F159F4" w14:textId="52AF4781" w:rsidR="00B81CDF" w:rsidRPr="00981CF7" w:rsidRDefault="00AB6136" w:rsidP="00043747">
      <w:pPr>
        <w:spacing w:before="100" w:beforeAutospacing="1" w:after="100" w:afterAutospacing="1" w:line="360" w:lineRule="auto"/>
        <w:rPr>
          <w:rFonts w:ascii="Arial" w:eastAsia="Times New Roman" w:hAnsi="Arial" w:cs="Arial"/>
          <w:kern w:val="0"/>
          <w:sz w:val="22"/>
          <w:szCs w:val="22"/>
          <w:lang w:eastAsia="en-GB"/>
          <w14:ligatures w14:val="none"/>
        </w:rPr>
      </w:pPr>
      <w:r w:rsidRPr="007C4AAD">
        <w:rPr>
          <w:rFonts w:ascii="Arial" w:eastAsia="Times New Roman" w:hAnsi="Arial" w:cs="Arial"/>
          <w:kern w:val="0"/>
          <w:sz w:val="22"/>
          <w:szCs w:val="22"/>
          <w:lang w:eastAsia="en-GB"/>
          <w14:ligatures w14:val="none"/>
        </w:rPr>
        <w:t>Positive impacts include improved record completeness, faster access to information and safer point</w:t>
      </w:r>
      <w:r w:rsidRPr="007C4AAD">
        <w:rPr>
          <w:rFonts w:ascii="Cambria Math" w:eastAsia="Times New Roman" w:hAnsi="Cambria Math" w:cs="Cambria Math"/>
          <w:kern w:val="0"/>
          <w:sz w:val="22"/>
          <w:szCs w:val="22"/>
          <w:lang w:eastAsia="en-GB"/>
          <w14:ligatures w14:val="none"/>
        </w:rPr>
        <w:t>‑</w:t>
      </w:r>
      <w:r w:rsidRPr="007C4AAD">
        <w:rPr>
          <w:rFonts w:ascii="Arial" w:eastAsia="Times New Roman" w:hAnsi="Arial" w:cs="Arial"/>
          <w:kern w:val="0"/>
          <w:sz w:val="22"/>
          <w:szCs w:val="22"/>
          <w:lang w:eastAsia="en-GB"/>
          <w14:ligatures w14:val="none"/>
        </w:rPr>
        <w:t>of</w:t>
      </w:r>
      <w:r w:rsidRPr="007C4AAD">
        <w:rPr>
          <w:rFonts w:ascii="Cambria Math" w:eastAsia="Times New Roman" w:hAnsi="Cambria Math" w:cs="Cambria Math"/>
          <w:kern w:val="0"/>
          <w:sz w:val="22"/>
          <w:szCs w:val="22"/>
          <w:lang w:eastAsia="en-GB"/>
          <w14:ligatures w14:val="none"/>
        </w:rPr>
        <w:t>‑</w:t>
      </w:r>
      <w:r w:rsidRPr="007C4AAD">
        <w:rPr>
          <w:rFonts w:ascii="Arial" w:eastAsia="Times New Roman" w:hAnsi="Arial" w:cs="Arial"/>
          <w:kern w:val="0"/>
          <w:sz w:val="22"/>
          <w:szCs w:val="22"/>
          <w:lang w:eastAsia="en-GB"/>
          <w14:ligatures w14:val="none"/>
        </w:rPr>
        <w:t xml:space="preserve">care prescribing that reduces downstream pharmacy queries (First Databank, 2025). </w:t>
      </w:r>
    </w:p>
    <w:p w14:paraId="55A3A65C" w14:textId="77777777" w:rsidR="00981CF7" w:rsidRPr="00981CF7" w:rsidRDefault="00981CF7" w:rsidP="007C4A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981CF7">
        <w:rPr>
          <w:rFonts w:ascii="Arial" w:eastAsia="Times New Roman" w:hAnsi="Arial" w:cs="Arial"/>
          <w:b/>
          <w:bCs/>
          <w:kern w:val="0"/>
          <w:sz w:val="22"/>
          <w:szCs w:val="22"/>
          <w:lang w:eastAsia="en-GB"/>
          <w14:ligatures w14:val="none"/>
        </w:rPr>
        <w:t>Negative impacts and mitigations</w:t>
      </w:r>
    </w:p>
    <w:p w14:paraId="6F01E43E" w14:textId="056C4FED" w:rsidR="004D2DA5" w:rsidRPr="007C4AAD" w:rsidRDefault="004D2DA5" w:rsidP="007C4AAD">
      <w:pPr>
        <w:spacing w:before="100" w:beforeAutospacing="1" w:after="100" w:afterAutospacing="1" w:line="360" w:lineRule="auto"/>
        <w:rPr>
          <w:rFonts w:ascii="Arial" w:eastAsia="Times New Roman" w:hAnsi="Arial" w:cs="Arial"/>
          <w:kern w:val="0"/>
          <w:sz w:val="22"/>
          <w:szCs w:val="22"/>
          <w:lang w:eastAsia="en-GB"/>
          <w14:ligatures w14:val="none"/>
        </w:rPr>
      </w:pPr>
      <w:r w:rsidRPr="007C4AAD">
        <w:rPr>
          <w:rFonts w:ascii="Arial" w:eastAsia="Times New Roman" w:hAnsi="Arial" w:cs="Arial"/>
          <w:kern w:val="0"/>
          <w:sz w:val="22"/>
          <w:szCs w:val="22"/>
          <w:lang w:eastAsia="en-GB"/>
          <w14:ligatures w14:val="none"/>
        </w:rPr>
        <w:t>Negative impacts include short</w:t>
      </w:r>
      <w:r w:rsidRPr="007C4AAD">
        <w:rPr>
          <w:rFonts w:ascii="Cambria Math" w:eastAsia="Times New Roman" w:hAnsi="Cambria Math" w:cs="Cambria Math"/>
          <w:kern w:val="0"/>
          <w:sz w:val="22"/>
          <w:szCs w:val="22"/>
          <w:lang w:eastAsia="en-GB"/>
          <w14:ligatures w14:val="none"/>
        </w:rPr>
        <w:t>‑</w:t>
      </w:r>
      <w:r w:rsidRPr="007C4AAD">
        <w:rPr>
          <w:rFonts w:ascii="Arial" w:eastAsia="Times New Roman" w:hAnsi="Arial" w:cs="Arial"/>
          <w:kern w:val="0"/>
          <w:sz w:val="22"/>
          <w:szCs w:val="22"/>
          <w:lang w:eastAsia="en-GB"/>
          <w14:ligatures w14:val="none"/>
        </w:rPr>
        <w:t xml:space="preserve">term productivity dips during migration, increased clinician time validating structured entries and the risk of hidden workload transfer to administrative staff without commensurate resourcing or role </w:t>
      </w:r>
      <w:r w:rsidR="00B755BE" w:rsidRPr="007C4AAD">
        <w:rPr>
          <w:rFonts w:ascii="Arial" w:eastAsia="Times New Roman" w:hAnsi="Arial" w:cs="Arial"/>
          <w:kern w:val="0"/>
          <w:sz w:val="22"/>
          <w:szCs w:val="22"/>
          <w:lang w:eastAsia="en-GB"/>
          <w14:ligatures w14:val="none"/>
        </w:rPr>
        <w:t>regarding</w:t>
      </w:r>
      <w:r w:rsidRPr="007C4AAD">
        <w:rPr>
          <w:rFonts w:ascii="Arial" w:eastAsia="Times New Roman" w:hAnsi="Arial" w:cs="Arial"/>
          <w:kern w:val="0"/>
          <w:sz w:val="22"/>
          <w:szCs w:val="22"/>
          <w:lang w:eastAsia="en-GB"/>
          <w14:ligatures w14:val="none"/>
        </w:rPr>
        <w:t>. CDS alert fatigue and high volumes of low</w:t>
      </w:r>
      <w:r w:rsidRPr="007C4AAD">
        <w:rPr>
          <w:rFonts w:ascii="Cambria Math" w:eastAsia="Times New Roman" w:hAnsi="Cambria Math" w:cs="Cambria Math"/>
          <w:kern w:val="0"/>
          <w:sz w:val="22"/>
          <w:szCs w:val="22"/>
          <w:lang w:eastAsia="en-GB"/>
          <w14:ligatures w14:val="none"/>
        </w:rPr>
        <w:t>‑</w:t>
      </w:r>
      <w:r w:rsidRPr="007C4AAD">
        <w:rPr>
          <w:rFonts w:ascii="Arial" w:eastAsia="Times New Roman" w:hAnsi="Arial" w:cs="Arial"/>
          <w:kern w:val="0"/>
          <w:sz w:val="22"/>
          <w:szCs w:val="22"/>
          <w:lang w:eastAsia="en-GB"/>
          <w14:ligatures w14:val="none"/>
        </w:rPr>
        <w:t>value prompts increase cognitive load unless locally tuned (Payne et al., 2024).</w:t>
      </w:r>
    </w:p>
    <w:p w14:paraId="6739008E" w14:textId="77777777" w:rsidR="00FC683A" w:rsidRDefault="004D2DA5" w:rsidP="00BB3B2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81CDF">
        <w:rPr>
          <w:rFonts w:ascii="Arial" w:eastAsia="Times New Roman" w:hAnsi="Arial" w:cs="Arial"/>
          <w:b/>
          <w:bCs/>
          <w:kern w:val="0"/>
          <w:sz w:val="22"/>
          <w:szCs w:val="22"/>
          <w:lang w:eastAsia="en-GB"/>
          <w14:ligatures w14:val="none"/>
        </w:rPr>
        <w:t>Recommended mitigations</w:t>
      </w:r>
    </w:p>
    <w:p w14:paraId="36561E2F" w14:textId="2CBF8FF6" w:rsidR="00FC683A" w:rsidRPr="00FC683A" w:rsidRDefault="00FC683A" w:rsidP="00BB3B2B">
      <w:pPr>
        <w:spacing w:before="100" w:beforeAutospacing="1" w:after="100" w:afterAutospacing="1" w:line="360" w:lineRule="auto"/>
        <w:rPr>
          <w:rFonts w:ascii="Arial" w:eastAsia="Times New Roman" w:hAnsi="Arial" w:cs="Arial"/>
          <w:kern w:val="0"/>
          <w:sz w:val="22"/>
          <w:szCs w:val="22"/>
          <w:lang w:eastAsia="en-GB"/>
          <w14:ligatures w14:val="none"/>
        </w:rPr>
      </w:pPr>
      <w:r w:rsidRPr="00FC683A">
        <w:rPr>
          <w:rFonts w:ascii="Arial" w:eastAsia="Times New Roman" w:hAnsi="Arial" w:cs="Arial"/>
          <w:kern w:val="0"/>
          <w:sz w:val="22"/>
          <w:szCs w:val="22"/>
          <w:lang w:eastAsia="en-GB"/>
          <w14:ligatures w14:val="none"/>
        </w:rPr>
        <w:t>phased rollouts; local CDS governance; clear role descriptions and supervision; protected super</w:t>
      </w:r>
      <w:r w:rsidRPr="00FC683A">
        <w:rPr>
          <w:rFonts w:ascii="Cambria Math" w:eastAsia="Times New Roman" w:hAnsi="Cambria Math" w:cs="Cambria Math"/>
          <w:kern w:val="0"/>
          <w:sz w:val="22"/>
          <w:szCs w:val="22"/>
          <w:lang w:eastAsia="en-GB"/>
          <w14:ligatures w14:val="none"/>
        </w:rPr>
        <w:t>‑</w:t>
      </w:r>
      <w:r w:rsidRPr="00FC683A">
        <w:rPr>
          <w:rFonts w:ascii="Arial" w:eastAsia="Times New Roman" w:hAnsi="Arial" w:cs="Arial"/>
          <w:kern w:val="0"/>
          <w:sz w:val="22"/>
          <w:szCs w:val="22"/>
          <w:lang w:eastAsia="en-GB"/>
          <w14:ligatures w14:val="none"/>
        </w:rPr>
        <w:t>user hours; routine workload monitoring.</w:t>
      </w:r>
    </w:p>
    <w:p w14:paraId="1EA197AB" w14:textId="48992332" w:rsidR="0071198C" w:rsidRPr="00BB3B2B" w:rsidRDefault="000031FD" w:rsidP="00BB3B2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hAnsi="Arial" w:cs="Arial"/>
          <w:b/>
          <w:bCs/>
          <w:noProof/>
          <w:sz w:val="22"/>
          <w:szCs w:val="22"/>
          <w:lang w:eastAsia="en-GB"/>
        </w:rPr>
        <w:lastRenderedPageBreak/>
        <w:drawing>
          <wp:anchor distT="0" distB="0" distL="114300" distR="114300" simplePos="0" relativeHeight="251661312" behindDoc="0" locked="0" layoutInCell="1" allowOverlap="1" wp14:anchorId="127438C7" wp14:editId="35E80E2E">
            <wp:simplePos x="0" y="0"/>
            <wp:positionH relativeFrom="margin">
              <wp:align>left</wp:align>
            </wp:positionH>
            <wp:positionV relativeFrom="paragraph">
              <wp:posOffset>907042</wp:posOffset>
            </wp:positionV>
            <wp:extent cx="4400550" cy="1268730"/>
            <wp:effectExtent l="0" t="0" r="0" b="7620"/>
            <wp:wrapTopAndBottom/>
            <wp:docPr id="987083858" name="Picture 2"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58254" name="Picture 2" descr="A chart with text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00550" cy="1268730"/>
                    </a:xfrm>
                    <a:prstGeom prst="rect">
                      <a:avLst/>
                    </a:prstGeom>
                  </pic:spPr>
                </pic:pic>
              </a:graphicData>
            </a:graphic>
            <wp14:sizeRelH relativeFrom="margin">
              <wp14:pctWidth>0</wp14:pctWidth>
            </wp14:sizeRelH>
            <wp14:sizeRelV relativeFrom="margin">
              <wp14:pctHeight>0</wp14:pctHeight>
            </wp14:sizeRelV>
          </wp:anchor>
        </w:drawing>
      </w:r>
      <w:r w:rsidR="00BF3431">
        <w:rPr>
          <w:rFonts w:ascii="Arial" w:eastAsia="Times New Roman" w:hAnsi="Arial" w:cs="Arial"/>
          <w:kern w:val="0"/>
          <w:sz w:val="22"/>
          <w:szCs w:val="22"/>
          <w:lang w:eastAsia="en-GB"/>
          <w14:ligatures w14:val="none"/>
        </w:rPr>
        <w:t>In 2025</w:t>
      </w:r>
      <w:r>
        <w:rPr>
          <w:rFonts w:ascii="Arial" w:eastAsia="Times New Roman" w:hAnsi="Arial" w:cs="Arial"/>
          <w:kern w:val="0"/>
          <w:sz w:val="22"/>
          <w:szCs w:val="22"/>
          <w:lang w:eastAsia="en-GB"/>
          <w14:ligatures w14:val="none"/>
        </w:rPr>
        <w:t>, p</w:t>
      </w:r>
      <w:r w:rsidRPr="000031FD">
        <w:rPr>
          <w:rFonts w:ascii="Arial" w:eastAsia="Times New Roman" w:hAnsi="Arial" w:cs="Arial"/>
          <w:kern w:val="0"/>
          <w:sz w:val="22"/>
          <w:szCs w:val="22"/>
          <w:lang w:eastAsia="en-GB"/>
          <w14:ligatures w14:val="none"/>
        </w:rPr>
        <w:t>roportion of notes coded; training completion rates by role; % staff certified in CDS competency within 3 months; time spent on administrative versus clinical tasks; CDS alert response and override rates; staff</w:t>
      </w:r>
      <w:r w:rsidRPr="000031FD">
        <w:rPr>
          <w:rFonts w:ascii="Cambria Math" w:eastAsia="Times New Roman" w:hAnsi="Cambria Math" w:cs="Cambria Math"/>
          <w:kern w:val="0"/>
          <w:sz w:val="22"/>
          <w:szCs w:val="22"/>
          <w:lang w:eastAsia="en-GB"/>
          <w14:ligatures w14:val="none"/>
        </w:rPr>
        <w:t>‑</w:t>
      </w:r>
      <w:r w:rsidRPr="000031FD">
        <w:rPr>
          <w:rFonts w:ascii="Arial" w:eastAsia="Times New Roman" w:hAnsi="Arial" w:cs="Arial"/>
          <w:kern w:val="0"/>
          <w:sz w:val="22"/>
          <w:szCs w:val="22"/>
          <w:lang w:eastAsia="en-GB"/>
          <w14:ligatures w14:val="none"/>
        </w:rPr>
        <w:t>reported workload impact.</w:t>
      </w:r>
    </w:p>
    <w:p w14:paraId="2C4C0347" w14:textId="685D05F5" w:rsidR="0071198C" w:rsidRDefault="0071198C" w:rsidP="0071198C">
      <w:pPr>
        <w:spacing w:line="276" w:lineRule="auto"/>
        <w:rPr>
          <w:rFonts w:ascii="Arial" w:hAnsi="Arial" w:cs="Arial"/>
          <w:sz w:val="16"/>
          <w:szCs w:val="16"/>
        </w:rPr>
      </w:pPr>
      <w:r w:rsidRPr="004F5585">
        <w:rPr>
          <w:rFonts w:ascii="Arial" w:hAnsi="Arial" w:cs="Arial"/>
          <w:sz w:val="16"/>
          <w:szCs w:val="16"/>
        </w:rPr>
        <w:t xml:space="preserve"> </w:t>
      </w:r>
      <w:r>
        <w:rPr>
          <w:rFonts w:ascii="Arial" w:hAnsi="Arial" w:cs="Arial"/>
          <w:sz w:val="16"/>
          <w:szCs w:val="16"/>
        </w:rPr>
        <w:t>Image: Digital, data and technology transformation PDF (Adapted from NHS England pdf  (2025)</w:t>
      </w:r>
    </w:p>
    <w:p w14:paraId="4AA72233" w14:textId="7DA08B96" w:rsidR="00540F73" w:rsidRPr="002972B0" w:rsidRDefault="0071198C" w:rsidP="002972B0">
      <w:pPr>
        <w:spacing w:line="276" w:lineRule="auto"/>
        <w:rPr>
          <w:rFonts w:ascii="Arial" w:hAnsi="Arial" w:cs="Arial"/>
          <w:sz w:val="22"/>
          <w:szCs w:val="22"/>
        </w:rPr>
      </w:pPr>
      <w:r>
        <w:rPr>
          <w:rFonts w:ascii="Arial" w:hAnsi="Arial" w:cs="Arial"/>
          <w:sz w:val="22"/>
          <w:szCs w:val="22"/>
        </w:rPr>
        <w:t>Benefits include faster access to records, safer prescribing, and reduced duplication. Risks include alert fatigue, workload transfer to GPAs, and temporary productivity dips post-implementation. Mitigations include staged rollouts, protected training time, CDS monitoring and co-designed templates (Payne et al., 2021; NHS England pdf , 2025).</w:t>
      </w:r>
    </w:p>
    <w:p w14:paraId="61ABCCC0" w14:textId="11612513" w:rsidR="008913CF" w:rsidRDefault="008913CF" w:rsidP="008913CF">
      <w:pPr>
        <w:pStyle w:val="Heading3"/>
        <w:rPr>
          <w:rFonts w:eastAsia="Yu Mincho"/>
          <w:lang w:eastAsia="en-GB"/>
        </w:rPr>
      </w:pPr>
      <w:r>
        <w:rPr>
          <w:rFonts w:eastAsia="Yu Mincho"/>
          <w:lang w:eastAsia="en-GB"/>
        </w:rPr>
        <w:t xml:space="preserve">The impact on service delivery </w:t>
      </w:r>
    </w:p>
    <w:p w14:paraId="60332356" w14:textId="77777777" w:rsidR="008913CF" w:rsidRDefault="008913CF" w:rsidP="008601FE">
      <w:pPr>
        <w:spacing w:line="360" w:lineRule="auto"/>
        <w:rPr>
          <w:rFonts w:ascii="Arial" w:eastAsia="Yu Mincho" w:hAnsi="Arial" w:cs="Arial"/>
          <w:sz w:val="22"/>
          <w:szCs w:val="22"/>
          <w:lang w:eastAsia="en-GB"/>
        </w:rPr>
      </w:pPr>
    </w:p>
    <w:p w14:paraId="6A405133" w14:textId="16DABA8B" w:rsidR="008601FE" w:rsidRPr="008601FE" w:rsidRDefault="008601FE" w:rsidP="008601FE">
      <w:pPr>
        <w:spacing w:line="360" w:lineRule="auto"/>
        <w:rPr>
          <w:rFonts w:ascii="Arial" w:eastAsia="Yu Mincho" w:hAnsi="Arial" w:cs="Arial"/>
          <w:sz w:val="22"/>
          <w:szCs w:val="22"/>
          <w:lang w:eastAsia="en-GB"/>
        </w:rPr>
      </w:pPr>
      <w:r w:rsidRPr="008601FE">
        <w:rPr>
          <w:rFonts w:ascii="Arial" w:eastAsia="Yu Mincho" w:hAnsi="Arial" w:cs="Arial"/>
          <w:sz w:val="22"/>
          <w:szCs w:val="22"/>
          <w:lang w:eastAsia="en-GB"/>
        </w:rPr>
        <w:t>The Medicus</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enabled EPR has meaningfully reconfigured day</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to</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day service delivery by streamlining information flow, reducing duplication and enabling new digital front</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door workflows. Routine tasks such as paper retrieval, manual scanning and repeated history</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taking have declined as templates, integrated results and shared schedules provide rapid, consistent access to clinical information. This supports higher consultation throughput for straightforward problems and faster administrative turnaround for prescriptions and results, while introducing new operational tasks (inbox moderation, template completion, coding QA) that require explicit redistribution and governance (Greenhalgh et al., 2020; Finnegan &amp; Mountford, 2025).</w:t>
      </w:r>
    </w:p>
    <w:p w14:paraId="4077F9FA" w14:textId="4F642199" w:rsidR="008601FE" w:rsidRPr="008601FE" w:rsidRDefault="008601FE" w:rsidP="008601FE">
      <w:pPr>
        <w:spacing w:line="360" w:lineRule="auto"/>
        <w:rPr>
          <w:rFonts w:ascii="Arial" w:eastAsia="Yu Mincho" w:hAnsi="Arial" w:cs="Arial"/>
          <w:sz w:val="22"/>
          <w:szCs w:val="22"/>
          <w:lang w:eastAsia="en-GB"/>
        </w:rPr>
      </w:pPr>
      <w:r w:rsidRPr="008601FE">
        <w:rPr>
          <w:rFonts w:ascii="Arial" w:eastAsia="Yu Mincho" w:hAnsi="Arial" w:cs="Arial"/>
          <w:sz w:val="22"/>
          <w:szCs w:val="22"/>
          <w:lang w:eastAsia="en-GB"/>
        </w:rPr>
        <w:t>Care pathways and coordination have been reshaped by improved record continuity and cross</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team visibility. Multi</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 xml:space="preserve">clinician appointment views and </w:t>
      </w:r>
      <w:r w:rsidR="00B755BE" w:rsidRPr="008601FE">
        <w:rPr>
          <w:rFonts w:ascii="Arial" w:eastAsia="Yu Mincho" w:hAnsi="Arial" w:cs="Arial"/>
          <w:sz w:val="22"/>
          <w:szCs w:val="22"/>
          <w:lang w:eastAsia="en-GB"/>
        </w:rPr>
        <w:t>template</w:t>
      </w:r>
      <w:r w:rsidRPr="008601FE">
        <w:rPr>
          <w:rFonts w:ascii="Arial" w:eastAsia="Yu Mincho" w:hAnsi="Arial" w:cs="Arial"/>
          <w:sz w:val="22"/>
          <w:szCs w:val="22"/>
          <w:lang w:eastAsia="en-GB"/>
        </w:rPr>
        <w:t xml:space="preserve"> slots reduce booking friction and enable smoother handoffs between clinicians, reception and pharmacy, which can shorten time to advice or medication for routine cases (Nuffield Trust, 2022; First Databank, 2025). The EPR also facilitates rapid escalation where clinicians flag risk in structured notes, improving safety in many pathways.</w:t>
      </w:r>
    </w:p>
    <w:p w14:paraId="55BDCD9A" w14:textId="77777777" w:rsidR="008601FE" w:rsidRPr="008601FE" w:rsidRDefault="008601FE" w:rsidP="008601FE">
      <w:pPr>
        <w:spacing w:line="360" w:lineRule="auto"/>
        <w:rPr>
          <w:rFonts w:ascii="Arial" w:eastAsia="Yu Mincho" w:hAnsi="Arial" w:cs="Arial"/>
          <w:sz w:val="22"/>
          <w:szCs w:val="22"/>
          <w:lang w:eastAsia="en-GB"/>
        </w:rPr>
      </w:pPr>
      <w:r w:rsidRPr="008601FE">
        <w:rPr>
          <w:rFonts w:ascii="Arial" w:eastAsia="Yu Mincho" w:hAnsi="Arial" w:cs="Arial"/>
          <w:sz w:val="22"/>
          <w:szCs w:val="22"/>
          <w:lang w:eastAsia="en-GB"/>
        </w:rPr>
        <w:t>Access, speed and patient experience improve for digitally engaged users through online consultations, secure messaging and mobile access that reduce travel and waiting time and accelerate routine management (Greenhalgh et al., 2020; Nuffield Trust, 2022). However, benefits are uneven: digital</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 xml:space="preserve">first workflows risk excluding patients with low digital skills, </w:t>
      </w:r>
      <w:r w:rsidRPr="008601FE">
        <w:rPr>
          <w:rFonts w:ascii="Arial" w:eastAsia="Yu Mincho" w:hAnsi="Arial" w:cs="Arial"/>
          <w:sz w:val="22"/>
          <w:szCs w:val="22"/>
          <w:lang w:eastAsia="en-GB"/>
        </w:rPr>
        <w:lastRenderedPageBreak/>
        <w:t>limited English or poor connectivity unless assisted</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digital support and outreach are resourced (Health Foundation, 2021; Poduval et al., 2025).</w:t>
      </w:r>
    </w:p>
    <w:p w14:paraId="6D85685B" w14:textId="26A1606B" w:rsidR="008601FE" w:rsidRPr="008601FE" w:rsidRDefault="008601FE" w:rsidP="008601FE">
      <w:pPr>
        <w:spacing w:line="360" w:lineRule="auto"/>
        <w:rPr>
          <w:rFonts w:ascii="Arial" w:eastAsia="Yu Mincho" w:hAnsi="Arial" w:cs="Arial"/>
          <w:sz w:val="22"/>
          <w:szCs w:val="22"/>
          <w:lang w:eastAsia="en-GB"/>
        </w:rPr>
      </w:pPr>
      <w:r w:rsidRPr="008601FE">
        <w:rPr>
          <w:rFonts w:ascii="Arial" w:eastAsia="Yu Mincho" w:hAnsi="Arial" w:cs="Arial"/>
          <w:sz w:val="22"/>
          <w:szCs w:val="22"/>
          <w:lang w:eastAsia="en-GB"/>
        </w:rPr>
        <w:t>Unintended consequences include short</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 xml:space="preserve">term productivity dips during rollout as staff adapt, increased clinician time validating structured entries early on, and potential hidden workload transfer to administrative roles without role </w:t>
      </w:r>
      <w:r w:rsidR="00B755BE" w:rsidRPr="008601FE">
        <w:rPr>
          <w:rFonts w:ascii="Arial" w:eastAsia="Yu Mincho" w:hAnsi="Arial" w:cs="Arial"/>
          <w:sz w:val="22"/>
          <w:szCs w:val="22"/>
          <w:lang w:eastAsia="en-GB"/>
        </w:rPr>
        <w:t>regarding</w:t>
      </w:r>
      <w:r w:rsidRPr="008601FE">
        <w:rPr>
          <w:rFonts w:ascii="Arial" w:eastAsia="Yu Mincho" w:hAnsi="Arial" w:cs="Arial"/>
          <w:sz w:val="22"/>
          <w:szCs w:val="22"/>
          <w:lang w:eastAsia="en-GB"/>
        </w:rPr>
        <w:t xml:space="preserve"> or protected time. Poorly tuned CDS and high volumes of low</w:t>
      </w:r>
      <w:r w:rsidRPr="008601FE">
        <w:rPr>
          <w:rFonts w:ascii="Cambria Math" w:eastAsia="Yu Mincho" w:hAnsi="Cambria Math" w:cs="Cambria Math"/>
          <w:sz w:val="22"/>
          <w:szCs w:val="22"/>
          <w:lang w:eastAsia="en-GB"/>
        </w:rPr>
        <w:t>‑</w:t>
      </w:r>
      <w:r w:rsidRPr="008601FE">
        <w:rPr>
          <w:rFonts w:ascii="Arial" w:eastAsia="Yu Mincho" w:hAnsi="Arial" w:cs="Arial"/>
          <w:sz w:val="22"/>
          <w:szCs w:val="22"/>
          <w:lang w:eastAsia="en-GB"/>
        </w:rPr>
        <w:t>value alerts can increase cognitive load and delay decisions unless local tuning and monitoring are in place (Payne et al., 2024; Ratwani et al., 2018).</w:t>
      </w:r>
    </w:p>
    <w:p w14:paraId="1025694B" w14:textId="01303F82" w:rsidR="00043747" w:rsidRDefault="00764066" w:rsidP="007C4AAD">
      <w:pPr>
        <w:spacing w:line="360" w:lineRule="auto"/>
        <w:rPr>
          <w:rFonts w:ascii="Arial" w:eastAsia="Yu Mincho" w:hAnsi="Arial" w:cs="Arial"/>
          <w:sz w:val="16"/>
          <w:szCs w:val="16"/>
          <w:lang w:eastAsia="en-GB"/>
        </w:rPr>
      </w:pPr>
      <w:r w:rsidRPr="00DC1C54">
        <w:rPr>
          <w:rFonts w:ascii="Arial" w:eastAsia="Yu Mincho" w:hAnsi="Arial" w:cs="Arial"/>
          <w:noProof/>
          <w:sz w:val="20"/>
          <w:szCs w:val="20"/>
        </w:rPr>
        <w:drawing>
          <wp:anchor distT="0" distB="0" distL="114300" distR="114300" simplePos="0" relativeHeight="251665408" behindDoc="0" locked="0" layoutInCell="1" allowOverlap="1" wp14:anchorId="62D2B359" wp14:editId="2EABDC7D">
            <wp:simplePos x="0" y="0"/>
            <wp:positionH relativeFrom="margin">
              <wp:align>left</wp:align>
            </wp:positionH>
            <wp:positionV relativeFrom="paragraph">
              <wp:posOffset>574766</wp:posOffset>
            </wp:positionV>
            <wp:extent cx="5512435" cy="3094990"/>
            <wp:effectExtent l="0" t="0" r="0" b="0"/>
            <wp:wrapSquare wrapText="bothSides"/>
            <wp:docPr id="573093977" name="Picture 1" descr="A screenshot of a medical appoin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40401" name="Picture 1" descr="A screenshot of a medical appointment"/>
                    <pic:cNvPicPr>
                      <a:picLocks noChangeAspect="1"/>
                    </pic:cNvPicPr>
                  </pic:nvPicPr>
                  <pic:blipFill>
                    <a:blip r:embed="rId12"/>
                    <a:stretch>
                      <a:fillRect/>
                    </a:stretch>
                  </pic:blipFill>
                  <pic:spPr>
                    <a:xfrm>
                      <a:off x="0" y="0"/>
                      <a:ext cx="5512435" cy="3094990"/>
                    </a:xfrm>
                    <a:prstGeom prst="rect">
                      <a:avLst/>
                    </a:prstGeom>
                  </pic:spPr>
                </pic:pic>
              </a:graphicData>
            </a:graphic>
            <wp14:sizeRelH relativeFrom="margin">
              <wp14:pctWidth>0</wp14:pctWidth>
            </wp14:sizeRelH>
            <wp14:sizeRelV relativeFrom="margin">
              <wp14:pctHeight>0</wp14:pctHeight>
            </wp14:sizeRelV>
          </wp:anchor>
        </w:drawing>
      </w:r>
      <w:r w:rsidR="008601FE" w:rsidRPr="008601FE">
        <w:rPr>
          <w:rFonts w:ascii="Arial" w:eastAsia="Yu Mincho" w:hAnsi="Arial" w:cs="Arial"/>
          <w:sz w:val="22"/>
          <w:szCs w:val="22"/>
          <w:lang w:eastAsia="en-GB"/>
        </w:rPr>
        <w:t xml:space="preserve">Practical evaluation </w:t>
      </w:r>
      <w:r w:rsidR="003F0751" w:rsidRPr="003F0751">
        <w:rPr>
          <w:rFonts w:ascii="Arial" w:eastAsia="Yu Mincho" w:hAnsi="Arial" w:cs="Arial"/>
          <w:sz w:val="22"/>
          <w:szCs w:val="22"/>
          <w:lang w:eastAsia="en-GB"/>
        </w:rPr>
        <w:t>priorities are therefore parallel access routes, stratified experience metrics, assisted</w:t>
      </w:r>
      <w:r w:rsidR="003F0751" w:rsidRPr="003F0751">
        <w:rPr>
          <w:rFonts w:ascii="Cambria Math" w:eastAsia="Yu Mincho" w:hAnsi="Cambria Math" w:cs="Cambria Math"/>
          <w:sz w:val="22"/>
          <w:szCs w:val="22"/>
          <w:lang w:eastAsia="en-GB"/>
        </w:rPr>
        <w:t>‑</w:t>
      </w:r>
      <w:r w:rsidR="003F0751" w:rsidRPr="003F0751">
        <w:rPr>
          <w:rFonts w:ascii="Arial" w:eastAsia="Yu Mincho" w:hAnsi="Arial" w:cs="Arial"/>
          <w:sz w:val="22"/>
          <w:szCs w:val="22"/>
          <w:lang w:eastAsia="en-GB"/>
        </w:rPr>
        <w:t>digital uptake, and safety monitoring (override rates, near</w:t>
      </w:r>
      <w:r w:rsidR="003F0751" w:rsidRPr="003F0751">
        <w:rPr>
          <w:rFonts w:ascii="Cambria Math" w:eastAsia="Yu Mincho" w:hAnsi="Cambria Math" w:cs="Cambria Math"/>
          <w:sz w:val="22"/>
          <w:szCs w:val="22"/>
          <w:lang w:eastAsia="en-GB"/>
        </w:rPr>
        <w:t>‑</w:t>
      </w:r>
      <w:r w:rsidR="003F0751" w:rsidRPr="003F0751">
        <w:rPr>
          <w:rFonts w:ascii="Arial" w:eastAsia="Yu Mincho" w:hAnsi="Arial" w:cs="Arial"/>
          <w:sz w:val="22"/>
          <w:szCs w:val="22"/>
          <w:lang w:eastAsia="en-GB"/>
        </w:rPr>
        <w:t>miss reports)</w:t>
      </w:r>
    </w:p>
    <w:p w14:paraId="2245788E" w14:textId="6AFB9DDE" w:rsidR="00043747" w:rsidRDefault="003F0751" w:rsidP="007C4AAD">
      <w:pPr>
        <w:spacing w:line="360" w:lineRule="auto"/>
        <w:rPr>
          <w:rFonts w:ascii="Arial" w:eastAsia="Yu Mincho" w:hAnsi="Arial" w:cs="Arial"/>
          <w:sz w:val="16"/>
          <w:szCs w:val="16"/>
          <w:lang w:eastAsia="en-GB"/>
        </w:rPr>
      </w:pPr>
      <w:r w:rsidRPr="003F0751">
        <w:rPr>
          <w:rFonts w:ascii="Arial" w:eastAsia="Yu Mincho" w:hAnsi="Arial" w:cs="Arial"/>
          <w:sz w:val="16"/>
          <w:szCs w:val="16"/>
          <w:lang w:eastAsia="en-GB"/>
        </w:rPr>
        <w:t>(Figure 2) to illustrate how multi</w:t>
      </w:r>
      <w:r w:rsidRPr="003F0751">
        <w:rPr>
          <w:rFonts w:ascii="Cambria Math" w:eastAsia="Yu Mincho" w:hAnsi="Cambria Math" w:cs="Cambria Math"/>
          <w:sz w:val="16"/>
          <w:szCs w:val="16"/>
          <w:lang w:eastAsia="en-GB"/>
        </w:rPr>
        <w:t>‑</w:t>
      </w:r>
      <w:r w:rsidRPr="003F0751">
        <w:rPr>
          <w:rFonts w:ascii="Arial" w:eastAsia="Yu Mincho" w:hAnsi="Arial" w:cs="Arial"/>
          <w:sz w:val="16"/>
          <w:szCs w:val="16"/>
          <w:lang w:eastAsia="en-GB"/>
        </w:rPr>
        <w:t>clinician visibility and template slots support booking efficiency and enable the operational shifts described (internal/system screenshot; permission recorded in Appendix A).</w:t>
      </w:r>
    </w:p>
    <w:p w14:paraId="3EC37C58" w14:textId="77777777" w:rsidR="00043747" w:rsidRDefault="00043747" w:rsidP="007C4AAD">
      <w:pPr>
        <w:spacing w:line="360" w:lineRule="auto"/>
        <w:rPr>
          <w:rFonts w:ascii="Arial" w:eastAsia="Yu Mincho" w:hAnsi="Arial" w:cs="Arial"/>
          <w:sz w:val="16"/>
          <w:szCs w:val="16"/>
          <w:lang w:eastAsia="en-GB"/>
        </w:rPr>
      </w:pPr>
    </w:p>
    <w:p w14:paraId="5808E88F" w14:textId="4D2F748F" w:rsidR="00B81CDF" w:rsidRDefault="00B81CDF" w:rsidP="007C4AAD">
      <w:pPr>
        <w:spacing w:line="360" w:lineRule="auto"/>
        <w:rPr>
          <w:rFonts w:ascii="Arial" w:eastAsia="Yu Mincho" w:hAnsi="Arial" w:cs="Arial"/>
          <w:sz w:val="16"/>
          <w:szCs w:val="16"/>
          <w:lang w:eastAsia="en-GB"/>
        </w:rPr>
      </w:pPr>
    </w:p>
    <w:p w14:paraId="70CEDA31" w14:textId="77777777" w:rsidR="00043747" w:rsidRPr="007C4AAD" w:rsidRDefault="00043747" w:rsidP="007C4AAD">
      <w:pPr>
        <w:spacing w:line="360" w:lineRule="auto"/>
        <w:rPr>
          <w:rFonts w:ascii="Arial" w:eastAsia="Yu Mincho" w:hAnsi="Arial" w:cs="Arial"/>
          <w:sz w:val="16"/>
          <w:szCs w:val="16"/>
          <w:lang w:eastAsia="en-GB"/>
        </w:rPr>
      </w:pPr>
    </w:p>
    <w:p w14:paraId="2F05EC88" w14:textId="77777777" w:rsidR="00B70E65" w:rsidRDefault="00B70E6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bookmarkStart w:id="7" w:name="_Hlk212964961"/>
    </w:p>
    <w:p w14:paraId="1AC3C91F" w14:textId="77777777" w:rsidR="00C571A7" w:rsidRDefault="00C571A7"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DA4D187" w14:textId="77777777" w:rsidR="00C571A7" w:rsidRDefault="00C571A7"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298085BE" w14:textId="77777777" w:rsidR="008913CF" w:rsidRDefault="008913CF"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2DDA5AC4" w14:textId="77777777" w:rsidR="008913CF" w:rsidRDefault="008913CF"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1972EE86" w14:textId="77777777" w:rsidR="008913CF" w:rsidRDefault="008913CF"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BE32797" w14:textId="77777777" w:rsidR="008913CF" w:rsidRDefault="008913CF"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C6E194C" w14:textId="77777777" w:rsidR="008913CF" w:rsidRDefault="008913CF"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A7F745B" w14:textId="77777777" w:rsidR="00C571A7" w:rsidRDefault="00C571A7"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1F6FAB0B" w14:textId="77777777" w:rsidR="007B478A"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55204D47" w14:textId="77777777" w:rsidR="007B478A"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DC80E9F" w14:textId="0B6A327A" w:rsidR="004F26B6" w:rsidRPr="004F26B6" w:rsidRDefault="004F26B6" w:rsidP="004F26B6">
      <w:pPr>
        <w:pStyle w:val="Heading3"/>
        <w:rPr>
          <w:rFonts w:eastAsia="Times New Roman"/>
          <w:lang w:eastAsia="en-GB"/>
        </w:rPr>
      </w:pPr>
      <w:r w:rsidRPr="004F26B6">
        <w:rPr>
          <w:rFonts w:eastAsia="Times New Roman"/>
          <w:lang w:eastAsia="en-GB"/>
        </w:rPr>
        <w:t>Impact on Patients and Service Users</w:t>
      </w:r>
    </w:p>
    <w:p w14:paraId="0592153C" w14:textId="067FBED1" w:rsidR="004F26B6" w:rsidRPr="00EE1DEF" w:rsidRDefault="004F26B6" w:rsidP="00EE1DEF">
      <w:pPr>
        <w:spacing w:before="100" w:beforeAutospacing="1" w:after="100" w:afterAutospacing="1" w:line="360" w:lineRule="auto"/>
        <w:rPr>
          <w:rFonts w:ascii="Arial" w:eastAsia="Times New Roman" w:hAnsi="Arial" w:cs="Arial"/>
          <w:kern w:val="0"/>
          <w:sz w:val="22"/>
          <w:szCs w:val="22"/>
          <w:lang w:eastAsia="en-GB"/>
          <w14:ligatures w14:val="none"/>
        </w:rPr>
      </w:pPr>
      <w:r w:rsidRPr="00EE1DEF">
        <w:rPr>
          <w:rFonts w:ascii="Arial" w:eastAsia="Times New Roman" w:hAnsi="Arial" w:cs="Arial"/>
          <w:kern w:val="0"/>
          <w:sz w:val="22"/>
          <w:szCs w:val="22"/>
          <w:lang w:eastAsia="en-GB"/>
          <w14:ligatures w14:val="none"/>
        </w:rPr>
        <w:t>The Medicus</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enabled EPR reshapes patient experience by increasing convenience, speeding routine access and enabling more continuous care records. For digitally engaged users, features such as online consultations, secure messaging and mobile access reduce travel and waiting times, accelerate prescription and test result handling, and make follow</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ups easier to schedule, all of which can improve perceived responsiveness and satisfaction (Greenhalgh et al., 2020; Nuffield Trust, 2022). Integrated records also reduce repeated history</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taking, which patients commonly value as respectful of their time and continuity of care.</w:t>
      </w:r>
    </w:p>
    <w:p w14:paraId="50454B28" w14:textId="77777777" w:rsidR="004F26B6" w:rsidRPr="00EE1DEF" w:rsidRDefault="004F26B6" w:rsidP="00EE1DEF">
      <w:pPr>
        <w:spacing w:before="100" w:beforeAutospacing="1" w:after="100" w:afterAutospacing="1" w:line="360" w:lineRule="auto"/>
        <w:rPr>
          <w:rFonts w:ascii="Arial" w:eastAsia="Times New Roman" w:hAnsi="Arial" w:cs="Arial"/>
          <w:kern w:val="0"/>
          <w:sz w:val="22"/>
          <w:szCs w:val="22"/>
          <w:lang w:eastAsia="en-GB"/>
          <w14:ligatures w14:val="none"/>
        </w:rPr>
      </w:pPr>
      <w:r w:rsidRPr="00EE1DEF">
        <w:rPr>
          <w:rFonts w:ascii="Arial" w:eastAsia="Times New Roman" w:hAnsi="Arial" w:cs="Arial"/>
          <w:kern w:val="0"/>
          <w:sz w:val="22"/>
          <w:szCs w:val="22"/>
          <w:lang w:eastAsia="en-GB"/>
          <w14:ligatures w14:val="none"/>
        </w:rPr>
        <w:t>Patient empowerment and engagement improve when systems provide accessible summaries, medication lists and clear messaging channels that support self</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management and shared decision making. Where portal functionality includes structured patient education and medication decision support, outcomes for straightforward conditions and adherence to treatment can improve, particularly when supported by clinician prompts and pharmacist workflows (First Databank, 2025).</w:t>
      </w:r>
    </w:p>
    <w:p w14:paraId="0D6110E3" w14:textId="77777777" w:rsidR="004F26B6" w:rsidRPr="00EE1DEF" w:rsidRDefault="004F26B6" w:rsidP="00EE1DEF">
      <w:pPr>
        <w:spacing w:before="100" w:beforeAutospacing="1" w:after="100" w:afterAutospacing="1" w:line="360" w:lineRule="auto"/>
        <w:rPr>
          <w:rFonts w:ascii="Arial" w:eastAsia="Times New Roman" w:hAnsi="Arial" w:cs="Arial"/>
          <w:kern w:val="0"/>
          <w:sz w:val="22"/>
          <w:szCs w:val="22"/>
          <w:lang w:eastAsia="en-GB"/>
          <w14:ligatures w14:val="none"/>
        </w:rPr>
      </w:pPr>
      <w:r w:rsidRPr="00EE1DEF">
        <w:rPr>
          <w:rFonts w:ascii="Arial" w:eastAsia="Times New Roman" w:hAnsi="Arial" w:cs="Arial"/>
          <w:kern w:val="0"/>
          <w:sz w:val="22"/>
          <w:szCs w:val="22"/>
          <w:lang w:eastAsia="en-GB"/>
          <w14:ligatures w14:val="none"/>
        </w:rPr>
        <w:t>However, gains are uneven and contingent on deliberate design and resourcing. Digital</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first pathways risk excluding those with low digital literacy, limited English, older age, low income or poor connectivity; without funded assisted</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digital services and community outreach these groups may experience reduced access, fragmented care and lower satisfaction (Health Foundation, 2021; Poduval et al., 2025). Loss of informal face</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to</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face contact can also change relational continuity: some patients report diminished empathy or reassurance in remote encounters, particularly for complex or sensitive problems (Greenhalgh et al., 2020).</w:t>
      </w:r>
    </w:p>
    <w:p w14:paraId="5FD19666" w14:textId="77777777" w:rsidR="004F26B6" w:rsidRPr="00EE1DEF" w:rsidRDefault="004F26B6" w:rsidP="00EE1DEF">
      <w:pPr>
        <w:spacing w:before="100" w:beforeAutospacing="1" w:after="100" w:afterAutospacing="1" w:line="360" w:lineRule="auto"/>
        <w:rPr>
          <w:rFonts w:ascii="Arial" w:eastAsia="Times New Roman" w:hAnsi="Arial" w:cs="Arial"/>
          <w:kern w:val="0"/>
          <w:sz w:val="22"/>
          <w:szCs w:val="22"/>
          <w:lang w:eastAsia="en-GB"/>
          <w14:ligatures w14:val="none"/>
        </w:rPr>
      </w:pPr>
      <w:r w:rsidRPr="00EE1DEF">
        <w:rPr>
          <w:rFonts w:ascii="Arial" w:eastAsia="Times New Roman" w:hAnsi="Arial" w:cs="Arial"/>
          <w:kern w:val="0"/>
          <w:sz w:val="22"/>
          <w:szCs w:val="22"/>
          <w:lang w:eastAsia="en-GB"/>
          <w14:ligatures w14:val="none"/>
        </w:rPr>
        <w:t>Safety</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 xml:space="preserve">related user harms can arise from poor interface design, misleading automated prompts or overreliance on CDS outputs that are not adequately explained to patients. High </w:t>
      </w:r>
      <w:r w:rsidRPr="00EE1DEF">
        <w:rPr>
          <w:rFonts w:ascii="Arial" w:eastAsia="Times New Roman" w:hAnsi="Arial" w:cs="Arial"/>
          <w:kern w:val="0"/>
          <w:sz w:val="22"/>
          <w:szCs w:val="22"/>
          <w:lang w:eastAsia="en-GB"/>
          <w14:ligatures w14:val="none"/>
        </w:rPr>
        <w:lastRenderedPageBreak/>
        <w:t>volumes of low</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value alerts and opaque decision logic can erode trust and provoke inappropriate patient actions if communication is unclear (Ratwani et al., 2018; Payne et al., 2024).</w:t>
      </w:r>
    </w:p>
    <w:p w14:paraId="7F68A160" w14:textId="0683C144" w:rsidR="007B478A" w:rsidRPr="00EE1DEF" w:rsidRDefault="004F26B6" w:rsidP="00EE1DEF">
      <w:pPr>
        <w:spacing w:before="100" w:beforeAutospacing="1" w:after="100" w:afterAutospacing="1" w:line="360" w:lineRule="auto"/>
        <w:rPr>
          <w:rFonts w:ascii="Arial" w:eastAsia="Times New Roman" w:hAnsi="Arial" w:cs="Arial"/>
          <w:kern w:val="0"/>
          <w:sz w:val="22"/>
          <w:szCs w:val="22"/>
          <w:lang w:eastAsia="en-GB"/>
          <w14:ligatures w14:val="none"/>
        </w:rPr>
      </w:pPr>
      <w:r w:rsidRPr="00EE1DEF">
        <w:rPr>
          <w:rFonts w:ascii="Arial" w:eastAsia="Times New Roman" w:hAnsi="Arial" w:cs="Arial"/>
          <w:kern w:val="0"/>
          <w:sz w:val="22"/>
          <w:szCs w:val="22"/>
          <w:lang w:eastAsia="en-GB"/>
          <w14:ligatures w14:val="none"/>
        </w:rPr>
        <w:t>To protect equity and trust, evaluation should measure outcomes stratified by age, socioeconomic status, language and digital literacy, and include qualitative assessments of perceived continuity, empathy and understanding. Practical mitigations include maintaining parallel non</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digital access routes, funding assisted</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digital support, co</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designing interfaces with service users, publishing clear data</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use and consent information, and routinely reporting stratified patient</w:t>
      </w:r>
      <w:r w:rsidRPr="00EE1DEF">
        <w:rPr>
          <w:rFonts w:ascii="Cambria Math" w:eastAsia="Times New Roman" w:hAnsi="Cambria Math" w:cs="Cambria Math"/>
          <w:kern w:val="0"/>
          <w:sz w:val="22"/>
          <w:szCs w:val="22"/>
          <w:lang w:eastAsia="en-GB"/>
          <w14:ligatures w14:val="none"/>
        </w:rPr>
        <w:t>‑</w:t>
      </w:r>
      <w:r w:rsidRPr="00EE1DEF">
        <w:rPr>
          <w:rFonts w:ascii="Arial" w:eastAsia="Times New Roman" w:hAnsi="Arial" w:cs="Arial"/>
          <w:kern w:val="0"/>
          <w:sz w:val="22"/>
          <w:szCs w:val="22"/>
          <w:lang w:eastAsia="en-GB"/>
          <w14:ligatures w14:val="none"/>
        </w:rPr>
        <w:t>reported experience measures to detect harms early (Nuffield Trust, 2022; Health Foundation, 2021).</w:t>
      </w:r>
    </w:p>
    <w:p w14:paraId="1FC2CCF2" w14:textId="77777777" w:rsidR="007B478A" w:rsidRPr="004E2DFF"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543D989E" w14:textId="77777777" w:rsidR="007B478A" w:rsidRPr="004E2DFF"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21FE5430"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2587824B"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7912033"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1FADC686"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B326CB5"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0E62EE6"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2730A8CE"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7F9A69C4"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4C47E557"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1C8AA44F"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70C7A29"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453F3FE"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62493A8"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0B2EC90"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44E33970"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7F238C9"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4170E78"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1AAEA156"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42EFDAA1"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F1BCAD7" w14:textId="77777777" w:rsidR="004D0192" w:rsidRDefault="004D0192"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20BCCBC0" w14:textId="77777777" w:rsidR="00C56D6C" w:rsidRPr="00C56D6C" w:rsidRDefault="00C56D6C" w:rsidP="00C56D6C">
      <w:pPr>
        <w:pStyle w:val="Heading3"/>
        <w:rPr>
          <w:rFonts w:eastAsia="Times New Roman"/>
          <w:lang w:eastAsia="en-GB"/>
        </w:rPr>
      </w:pPr>
      <w:r w:rsidRPr="00C56D6C">
        <w:rPr>
          <w:rFonts w:eastAsia="Times New Roman"/>
          <w:lang w:eastAsia="en-GB"/>
        </w:rPr>
        <w:t>Impact on the Community</w:t>
      </w:r>
    </w:p>
    <w:p w14:paraId="05E1480A" w14:textId="77777777" w:rsidR="00C56D6C" w:rsidRPr="00C56D6C" w:rsidRDefault="00C56D6C" w:rsidP="00C56D6C">
      <w:pPr>
        <w:spacing w:before="100" w:beforeAutospacing="1" w:after="100" w:afterAutospacing="1" w:line="360" w:lineRule="auto"/>
        <w:rPr>
          <w:rFonts w:ascii="Arial" w:eastAsia="Times New Roman" w:hAnsi="Arial" w:cs="Arial"/>
          <w:kern w:val="0"/>
          <w:sz w:val="22"/>
          <w:szCs w:val="22"/>
          <w:lang w:eastAsia="en-GB"/>
          <w14:ligatures w14:val="none"/>
        </w:rPr>
      </w:pPr>
      <w:r w:rsidRPr="00C56D6C">
        <w:rPr>
          <w:rFonts w:ascii="Arial" w:eastAsia="Times New Roman" w:hAnsi="Arial" w:cs="Arial"/>
          <w:kern w:val="0"/>
          <w:sz w:val="22"/>
          <w:szCs w:val="22"/>
          <w:lang w:eastAsia="en-GB"/>
          <w14:ligatures w14:val="none"/>
        </w:rPr>
        <w:t>The Medicus</w:t>
      </w:r>
      <w:r w:rsidRPr="00C56D6C">
        <w:rPr>
          <w:rFonts w:ascii="Arial" w:eastAsia="Times New Roman" w:hAnsi="Arial" w:cs="Arial"/>
          <w:kern w:val="0"/>
          <w:sz w:val="22"/>
          <w:szCs w:val="22"/>
          <w:lang w:eastAsia="en-GB"/>
          <w14:ligatures w14:val="none"/>
        </w:rPr>
        <w:noBreakHyphen/>
        <w:t>enabled EPR extends effects beyond individual practices to community health, public</w:t>
      </w:r>
      <w:r w:rsidRPr="00C56D6C">
        <w:rPr>
          <w:rFonts w:ascii="Arial" w:eastAsia="Times New Roman" w:hAnsi="Arial" w:cs="Arial"/>
          <w:kern w:val="0"/>
          <w:sz w:val="22"/>
          <w:szCs w:val="22"/>
          <w:lang w:eastAsia="en-GB"/>
          <w14:ligatures w14:val="none"/>
        </w:rPr>
        <w:noBreakHyphen/>
        <w:t>facing services and household care patterns. By improving record continuity, shared care plans and remote access to summary information, the system supports more coordinated public</w:t>
      </w:r>
      <w:r w:rsidRPr="00C56D6C">
        <w:rPr>
          <w:rFonts w:ascii="Arial" w:eastAsia="Times New Roman" w:hAnsi="Arial" w:cs="Arial"/>
          <w:kern w:val="0"/>
          <w:sz w:val="22"/>
          <w:szCs w:val="22"/>
          <w:lang w:eastAsia="en-GB"/>
          <w14:ligatures w14:val="none"/>
        </w:rPr>
        <w:noBreakHyphen/>
        <w:t>health responses (University Hospitals Birmingham NHS Foundation Trust, 2024; Nuffield Trust, 2022) and enables proactive population outreach where risk</w:t>
      </w:r>
      <w:r w:rsidRPr="00C56D6C">
        <w:rPr>
          <w:rFonts w:ascii="Arial" w:eastAsia="Times New Roman" w:hAnsi="Arial" w:cs="Arial"/>
          <w:kern w:val="0"/>
          <w:sz w:val="22"/>
          <w:szCs w:val="22"/>
          <w:lang w:eastAsia="en-GB"/>
          <w14:ligatures w14:val="none"/>
        </w:rPr>
        <w:noBreakHyphen/>
        <w:t>stratification targets high</w:t>
      </w:r>
      <w:r w:rsidRPr="00C56D6C">
        <w:rPr>
          <w:rFonts w:ascii="Arial" w:eastAsia="Times New Roman" w:hAnsi="Arial" w:cs="Arial"/>
          <w:kern w:val="0"/>
          <w:sz w:val="22"/>
          <w:szCs w:val="22"/>
          <w:lang w:eastAsia="en-GB"/>
          <w14:ligatures w14:val="none"/>
        </w:rPr>
        <w:noBreakHyphen/>
        <w:t>need cohorts (Nuffield Trust, 2022). In urban settings the EPR’s integration with pharmacies, community hubs and specialist services typically accelerates referrals and follow</w:t>
      </w:r>
      <w:r w:rsidRPr="00C56D6C">
        <w:rPr>
          <w:rFonts w:ascii="Arial" w:eastAsia="Times New Roman" w:hAnsi="Arial" w:cs="Arial"/>
          <w:kern w:val="0"/>
          <w:sz w:val="22"/>
          <w:szCs w:val="22"/>
          <w:lang w:eastAsia="en-GB"/>
          <w14:ligatures w14:val="none"/>
        </w:rPr>
        <w:noBreakHyphen/>
        <w:t>up (First Databank, 2025; Nuffield Trust, 2022); in rural areas remote consultations and asynchronous messaging can reduce travel burdens and improve access for geographically isolated patients, provided connectivity is sufficient (Greenhalgh et al., 2020; Health Foundation, 2021).</w:t>
      </w:r>
    </w:p>
    <w:p w14:paraId="2E955F75" w14:textId="77777777" w:rsidR="00C56D6C" w:rsidRPr="00C56D6C" w:rsidRDefault="00C56D6C" w:rsidP="00C56D6C">
      <w:pPr>
        <w:spacing w:before="100" w:beforeAutospacing="1" w:after="100" w:afterAutospacing="1" w:line="360" w:lineRule="auto"/>
        <w:rPr>
          <w:rFonts w:ascii="Arial" w:eastAsia="Times New Roman" w:hAnsi="Arial" w:cs="Arial"/>
          <w:kern w:val="0"/>
          <w:sz w:val="22"/>
          <w:szCs w:val="22"/>
          <w:lang w:eastAsia="en-GB"/>
          <w14:ligatures w14:val="none"/>
        </w:rPr>
      </w:pPr>
      <w:r w:rsidRPr="00C56D6C">
        <w:rPr>
          <w:rFonts w:ascii="Arial" w:eastAsia="Times New Roman" w:hAnsi="Arial" w:cs="Arial"/>
          <w:kern w:val="0"/>
          <w:sz w:val="22"/>
          <w:szCs w:val="22"/>
          <w:lang w:eastAsia="en-GB"/>
          <w14:ligatures w14:val="none"/>
        </w:rPr>
        <w:t>Family involvement and informal carers benefit from clearer medication lists, shared care notes and audited proxy access pathways that make caregiving safer and reduce duplication of questions during appointments (University Hospitals Birmingham NHS Foundation Trust, 2024; Health Foundation, 2021). Co</w:t>
      </w:r>
      <w:r w:rsidRPr="00C56D6C">
        <w:rPr>
          <w:rFonts w:ascii="Arial" w:eastAsia="Times New Roman" w:hAnsi="Arial" w:cs="Arial"/>
          <w:kern w:val="0"/>
          <w:sz w:val="22"/>
          <w:szCs w:val="22"/>
          <w:lang w:eastAsia="en-GB"/>
          <w14:ligatures w14:val="none"/>
        </w:rPr>
        <w:noBreakHyphen/>
        <w:t>production is supported when portal functions enable two</w:t>
      </w:r>
      <w:r w:rsidRPr="00C56D6C">
        <w:rPr>
          <w:rFonts w:ascii="Arial" w:eastAsia="Times New Roman" w:hAnsi="Arial" w:cs="Arial"/>
          <w:kern w:val="0"/>
          <w:sz w:val="22"/>
          <w:szCs w:val="22"/>
          <w:lang w:eastAsia="en-GB"/>
          <w14:ligatures w14:val="none"/>
        </w:rPr>
        <w:noBreakHyphen/>
        <w:t>way communication, shared care planning and the upload of patient</w:t>
      </w:r>
      <w:r w:rsidRPr="00C56D6C">
        <w:rPr>
          <w:rFonts w:ascii="Arial" w:eastAsia="Times New Roman" w:hAnsi="Arial" w:cs="Arial"/>
          <w:kern w:val="0"/>
          <w:sz w:val="22"/>
          <w:szCs w:val="22"/>
          <w:lang w:eastAsia="en-GB"/>
          <w14:ligatures w14:val="none"/>
        </w:rPr>
        <w:noBreakHyphen/>
        <w:t>generated data; routine use of patient questionnaires and joint review templates can operationalise collaborative care planning and improve adherence (Nuffield Trust, 2022; Poduval et al., 2025).</w:t>
      </w:r>
    </w:p>
    <w:p w14:paraId="337BCB58" w14:textId="77777777" w:rsidR="00C56D6C" w:rsidRPr="00C56D6C" w:rsidRDefault="00C56D6C" w:rsidP="00C56D6C">
      <w:pPr>
        <w:spacing w:before="100" w:beforeAutospacing="1" w:after="100" w:afterAutospacing="1" w:line="360" w:lineRule="auto"/>
        <w:rPr>
          <w:rFonts w:ascii="Arial" w:eastAsia="Times New Roman" w:hAnsi="Arial" w:cs="Arial"/>
          <w:kern w:val="0"/>
          <w:sz w:val="22"/>
          <w:szCs w:val="22"/>
          <w:lang w:eastAsia="en-GB"/>
          <w14:ligatures w14:val="none"/>
        </w:rPr>
      </w:pPr>
      <w:r w:rsidRPr="00C56D6C">
        <w:rPr>
          <w:rFonts w:ascii="Arial" w:eastAsia="Times New Roman" w:hAnsi="Arial" w:cs="Arial"/>
          <w:kern w:val="0"/>
          <w:sz w:val="22"/>
          <w:szCs w:val="22"/>
          <w:lang w:eastAsia="en-GB"/>
          <w14:ligatures w14:val="none"/>
        </w:rPr>
        <w:t>Positive community effects include better access for remote communities through reduced travel and flexible contact modes, and strengthened population health management via searchable registries and recall workflows (Nuffield Trust, 2022; First Databank, 2025). Reduced duplication between primary, community and pharmacy services can improve local system efficiency (First Databank, 2025).</w:t>
      </w:r>
    </w:p>
    <w:p w14:paraId="2F34BF85" w14:textId="77777777" w:rsidR="00C56D6C" w:rsidRPr="00C56D6C" w:rsidRDefault="00C56D6C" w:rsidP="00C56D6C">
      <w:pPr>
        <w:spacing w:before="100" w:beforeAutospacing="1" w:after="100" w:afterAutospacing="1" w:line="360" w:lineRule="auto"/>
        <w:rPr>
          <w:rFonts w:ascii="Arial" w:eastAsia="Times New Roman" w:hAnsi="Arial" w:cs="Arial"/>
          <w:kern w:val="0"/>
          <w:sz w:val="22"/>
          <w:szCs w:val="22"/>
          <w:lang w:eastAsia="en-GB"/>
          <w14:ligatures w14:val="none"/>
        </w:rPr>
      </w:pPr>
      <w:r w:rsidRPr="00C56D6C">
        <w:rPr>
          <w:rFonts w:ascii="Arial" w:eastAsia="Times New Roman" w:hAnsi="Arial" w:cs="Arial"/>
          <w:kern w:val="0"/>
          <w:sz w:val="22"/>
          <w:szCs w:val="22"/>
          <w:lang w:eastAsia="en-GB"/>
          <w14:ligatures w14:val="none"/>
        </w:rPr>
        <w:lastRenderedPageBreak/>
        <w:t>Negative effects and risks include entrenched digital exclusion for households with low connectivity, limited devices or low digital literacy if assisted</w:t>
      </w:r>
      <w:r w:rsidRPr="00C56D6C">
        <w:rPr>
          <w:rFonts w:ascii="Arial" w:eastAsia="Times New Roman" w:hAnsi="Arial" w:cs="Arial"/>
          <w:kern w:val="0"/>
          <w:sz w:val="22"/>
          <w:szCs w:val="22"/>
          <w:lang w:eastAsia="en-GB"/>
          <w14:ligatures w14:val="none"/>
        </w:rPr>
        <w:noBreakHyphen/>
        <w:t>digital support and outreach are not funded and sustained (Health Foundation, 2021; Poduval et al., 2025). Informal carer burden can increase if families assume monitoring or message</w:t>
      </w:r>
      <w:r w:rsidRPr="00C56D6C">
        <w:rPr>
          <w:rFonts w:ascii="Arial" w:eastAsia="Times New Roman" w:hAnsi="Arial" w:cs="Arial"/>
          <w:kern w:val="0"/>
          <w:sz w:val="22"/>
          <w:szCs w:val="22"/>
          <w:lang w:eastAsia="en-GB"/>
          <w14:ligatures w14:val="none"/>
        </w:rPr>
        <w:noBreakHyphen/>
        <w:t>triage responsibilities without support or clear boundaries (Health Foundation, 2021). Rapid adoption may amplify mistrust where data</w:t>
      </w:r>
      <w:r w:rsidRPr="00C56D6C">
        <w:rPr>
          <w:rFonts w:ascii="Arial" w:eastAsia="Times New Roman" w:hAnsi="Arial" w:cs="Arial"/>
          <w:kern w:val="0"/>
          <w:sz w:val="22"/>
          <w:szCs w:val="22"/>
          <w:lang w:eastAsia="en-GB"/>
          <w14:ligatures w14:val="none"/>
        </w:rPr>
        <w:noBreakHyphen/>
        <w:t>sharing practices are opaque or communities fear secondary uses of health data (University Hospitals Birmingham NHS Foundation Trust, 2024).</w:t>
      </w:r>
    </w:p>
    <w:p w14:paraId="15A40EE9" w14:textId="77777777" w:rsidR="00C56D6C" w:rsidRPr="00C56D6C" w:rsidRDefault="00C56D6C" w:rsidP="00C56D6C">
      <w:pPr>
        <w:spacing w:before="100" w:beforeAutospacing="1" w:after="100" w:afterAutospacing="1" w:line="360" w:lineRule="auto"/>
        <w:rPr>
          <w:rFonts w:ascii="Arial" w:eastAsia="Times New Roman" w:hAnsi="Arial" w:cs="Arial"/>
          <w:kern w:val="0"/>
          <w:sz w:val="22"/>
          <w:szCs w:val="22"/>
          <w:lang w:eastAsia="en-GB"/>
          <w14:ligatures w14:val="none"/>
        </w:rPr>
      </w:pPr>
      <w:r w:rsidRPr="00C56D6C">
        <w:rPr>
          <w:rFonts w:ascii="Arial" w:eastAsia="Times New Roman" w:hAnsi="Arial" w:cs="Arial"/>
          <w:kern w:val="0"/>
          <w:sz w:val="22"/>
          <w:szCs w:val="22"/>
          <w:lang w:eastAsia="en-GB"/>
          <w14:ligatures w14:val="none"/>
        </w:rPr>
        <w:t>Practical mitigations are investment in assisted</w:t>
      </w:r>
      <w:r w:rsidRPr="00C56D6C">
        <w:rPr>
          <w:rFonts w:ascii="Arial" w:eastAsia="Times New Roman" w:hAnsi="Arial" w:cs="Arial"/>
          <w:kern w:val="0"/>
          <w:sz w:val="22"/>
          <w:szCs w:val="22"/>
          <w:lang w:eastAsia="en-GB"/>
          <w14:ligatures w14:val="none"/>
        </w:rPr>
        <w:noBreakHyphen/>
        <w:t>digital programmes, community</w:t>
      </w:r>
      <w:r w:rsidRPr="00C56D6C">
        <w:rPr>
          <w:rFonts w:ascii="Arial" w:eastAsia="Times New Roman" w:hAnsi="Arial" w:cs="Arial"/>
          <w:kern w:val="0"/>
          <w:sz w:val="22"/>
          <w:szCs w:val="22"/>
          <w:lang w:eastAsia="en-GB"/>
          <w14:ligatures w14:val="none"/>
        </w:rPr>
        <w:noBreakHyphen/>
        <w:t>based training, subsidised connectivity and multilingual materials; embedding co</w:t>
      </w:r>
      <w:r w:rsidRPr="00C56D6C">
        <w:rPr>
          <w:rFonts w:ascii="Arial" w:eastAsia="Times New Roman" w:hAnsi="Arial" w:cs="Arial"/>
          <w:kern w:val="0"/>
          <w:sz w:val="22"/>
          <w:szCs w:val="22"/>
          <w:lang w:eastAsia="en-GB"/>
          <w14:ligatures w14:val="none"/>
        </w:rPr>
        <w:noBreakHyphen/>
        <w:t>production by co</w:t>
      </w:r>
      <w:r w:rsidRPr="00C56D6C">
        <w:rPr>
          <w:rFonts w:ascii="Arial" w:eastAsia="Times New Roman" w:hAnsi="Arial" w:cs="Arial"/>
          <w:kern w:val="0"/>
          <w:sz w:val="22"/>
          <w:szCs w:val="22"/>
          <w:lang w:eastAsia="en-GB"/>
          <w14:ligatures w14:val="none"/>
        </w:rPr>
        <w:noBreakHyphen/>
        <w:t>designing templates, consent processes and patient</w:t>
      </w:r>
      <w:r w:rsidRPr="00C56D6C">
        <w:rPr>
          <w:rFonts w:ascii="Arial" w:eastAsia="Times New Roman" w:hAnsi="Arial" w:cs="Arial"/>
          <w:kern w:val="0"/>
          <w:sz w:val="22"/>
          <w:szCs w:val="22"/>
          <w:lang w:eastAsia="en-GB"/>
          <w14:ligatures w14:val="none"/>
        </w:rPr>
        <w:noBreakHyphen/>
        <w:t>reported outcome measures with community representatives; and monitoring community impact using stratified metrics (service uptake by geography and deprivation, assisted</w:t>
      </w:r>
      <w:r w:rsidRPr="00C56D6C">
        <w:rPr>
          <w:rFonts w:ascii="Arial" w:eastAsia="Times New Roman" w:hAnsi="Arial" w:cs="Arial"/>
          <w:kern w:val="0"/>
          <w:sz w:val="22"/>
          <w:szCs w:val="22"/>
          <w:lang w:eastAsia="en-GB"/>
          <w14:ligatures w14:val="none"/>
        </w:rPr>
        <w:noBreakHyphen/>
        <w:t>digital utilisation, carer burden surveys and public</w:t>
      </w:r>
      <w:r w:rsidRPr="00C56D6C">
        <w:rPr>
          <w:rFonts w:ascii="Arial" w:eastAsia="Times New Roman" w:hAnsi="Arial" w:cs="Arial"/>
          <w:kern w:val="0"/>
          <w:sz w:val="22"/>
          <w:szCs w:val="22"/>
          <w:lang w:eastAsia="en-GB"/>
          <w14:ligatures w14:val="none"/>
        </w:rPr>
        <w:noBreakHyphen/>
        <w:t>trust indicators) to ensure benefits are equitably realised (Nuffield Trust, 2022; Health Foundation, 2021; Poduval et al., 2025).</w:t>
      </w:r>
    </w:p>
    <w:p w14:paraId="0FF658A6" w14:textId="77777777" w:rsidR="007B478A" w:rsidRPr="00C56D6C" w:rsidRDefault="007B478A" w:rsidP="00C56D6C">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E0C4F26" w14:textId="77777777" w:rsidR="007B478A" w:rsidRPr="00C56D6C" w:rsidRDefault="007B478A" w:rsidP="00C56D6C">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D56732A" w14:textId="77777777" w:rsidR="007B478A"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161DF1EB" w14:textId="77777777" w:rsidR="007B478A"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6B08247"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78147559"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7FBEA8F"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003E69A"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2C2969D6"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A6AA0CB"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5CA05546"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FA083E5"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4411A2A"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76C3E0E3"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71CA0831"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6EA1912E"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351EBE50" w14:textId="77777777" w:rsidR="00DD27B5" w:rsidRDefault="00DD27B5"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7ADE29F" w14:textId="77777777" w:rsidR="0096717F" w:rsidRPr="0096717F" w:rsidRDefault="0096717F" w:rsidP="0096717F">
      <w:pPr>
        <w:pStyle w:val="Heading3"/>
        <w:rPr>
          <w:rFonts w:eastAsia="Times New Roman"/>
          <w:lang w:eastAsia="en-GB"/>
        </w:rPr>
      </w:pPr>
      <w:r w:rsidRPr="0096717F">
        <w:rPr>
          <w:rFonts w:eastAsia="Times New Roman"/>
          <w:lang w:eastAsia="en-GB"/>
        </w:rPr>
        <w:t>Conclusion</w:t>
      </w:r>
    </w:p>
    <w:p w14:paraId="34DBA80F" w14:textId="542E8FAA" w:rsidR="0096717F" w:rsidRPr="0096717F" w:rsidRDefault="0096717F" w:rsidP="0096717F">
      <w:pPr>
        <w:spacing w:before="100" w:beforeAutospacing="1" w:after="100" w:afterAutospacing="1" w:line="360" w:lineRule="auto"/>
        <w:rPr>
          <w:rFonts w:ascii="Arial" w:eastAsia="Times New Roman" w:hAnsi="Arial" w:cs="Arial"/>
          <w:kern w:val="0"/>
          <w:sz w:val="22"/>
          <w:szCs w:val="22"/>
          <w:lang w:eastAsia="en-GB"/>
          <w14:ligatures w14:val="none"/>
        </w:rPr>
      </w:pPr>
      <w:r w:rsidRPr="0096717F">
        <w:rPr>
          <w:rFonts w:ascii="Arial" w:eastAsia="Times New Roman" w:hAnsi="Arial" w:cs="Arial"/>
          <w:kern w:val="0"/>
          <w:sz w:val="22"/>
          <w:szCs w:val="22"/>
          <w:lang w:eastAsia="en-GB"/>
          <w14:ligatures w14:val="none"/>
        </w:rPr>
        <w:t>Medicus</w:t>
      </w:r>
      <w:r w:rsidRPr="0096717F">
        <w:rPr>
          <w:rFonts w:ascii="Arial" w:eastAsia="Times New Roman" w:hAnsi="Arial" w:cs="Arial"/>
          <w:kern w:val="0"/>
          <w:sz w:val="22"/>
          <w:szCs w:val="22"/>
          <w:lang w:eastAsia="en-GB"/>
          <w14:ligatures w14:val="none"/>
        </w:rPr>
        <w:noBreakHyphen/>
        <w:t>enabled EPRs have driven measurable change across workforce, service delivery, patient experience and community health. Workforce impacts include reduced routine paperwork alongside new tasks (inbox moderation, coding QA, CDS tuning) that require mapped training pathways, protected learning time and governance (University Hospitals Birmingham NHS Foundation Trust, 2024; e</w:t>
      </w:r>
      <w:r w:rsidRPr="0096717F">
        <w:rPr>
          <w:rFonts w:ascii="Arial" w:eastAsia="Times New Roman" w:hAnsi="Arial" w:cs="Arial"/>
          <w:kern w:val="0"/>
          <w:sz w:val="22"/>
          <w:szCs w:val="22"/>
          <w:lang w:eastAsia="en-GB"/>
          <w14:ligatures w14:val="none"/>
        </w:rPr>
        <w:noBreakHyphen/>
        <w:t>LfH / NHS England, 2023). Service delivery benefits are faster information flow, reduced duplication, higher throughput for non</w:t>
      </w:r>
      <w:r w:rsidRPr="0096717F">
        <w:rPr>
          <w:rFonts w:ascii="Arial" w:eastAsia="Times New Roman" w:hAnsi="Arial" w:cs="Arial"/>
          <w:kern w:val="0"/>
          <w:sz w:val="22"/>
          <w:szCs w:val="22"/>
          <w:lang w:eastAsia="en-GB"/>
          <w14:ligatures w14:val="none"/>
        </w:rPr>
        <w:noBreakHyphen/>
        <w:t>complex cases and smoother handoffs through multi</w:t>
      </w:r>
      <w:r w:rsidRPr="0096717F">
        <w:rPr>
          <w:rFonts w:ascii="Arial" w:eastAsia="Times New Roman" w:hAnsi="Arial" w:cs="Arial"/>
          <w:kern w:val="0"/>
          <w:sz w:val="22"/>
          <w:szCs w:val="22"/>
          <w:lang w:eastAsia="en-GB"/>
          <w14:ligatures w14:val="none"/>
        </w:rPr>
        <w:noBreakHyphen/>
        <w:t xml:space="preserve">clinician views and </w:t>
      </w:r>
      <w:r w:rsidR="00B755BE" w:rsidRPr="0096717F">
        <w:rPr>
          <w:rFonts w:ascii="Arial" w:eastAsia="Times New Roman" w:hAnsi="Arial" w:cs="Arial"/>
          <w:kern w:val="0"/>
          <w:sz w:val="22"/>
          <w:szCs w:val="22"/>
          <w:lang w:eastAsia="en-GB"/>
          <w14:ligatures w14:val="none"/>
        </w:rPr>
        <w:t>template</w:t>
      </w:r>
      <w:r w:rsidRPr="0096717F">
        <w:rPr>
          <w:rFonts w:ascii="Arial" w:eastAsia="Times New Roman" w:hAnsi="Arial" w:cs="Arial"/>
          <w:kern w:val="0"/>
          <w:sz w:val="22"/>
          <w:szCs w:val="22"/>
          <w:lang w:eastAsia="en-GB"/>
          <w14:ligatures w14:val="none"/>
        </w:rPr>
        <w:t xml:space="preserve"> slots, though short</w:t>
      </w:r>
      <w:r w:rsidRPr="0096717F">
        <w:rPr>
          <w:rFonts w:ascii="Arial" w:eastAsia="Times New Roman" w:hAnsi="Arial" w:cs="Arial"/>
          <w:kern w:val="0"/>
          <w:sz w:val="22"/>
          <w:szCs w:val="22"/>
          <w:lang w:eastAsia="en-GB"/>
          <w14:ligatures w14:val="none"/>
        </w:rPr>
        <w:noBreakHyphen/>
        <w:t>term productivity dips and hidden workload transfer are common during rollout (Greenhalgh et al., 2020; Nuffield Trust, 2022; First Databank, 2025). For patients, digitally engaged users gain convenience, speed and improved continuity, and portals can support empowerment and self</w:t>
      </w:r>
      <w:r w:rsidRPr="0096717F">
        <w:rPr>
          <w:rFonts w:ascii="Arial" w:eastAsia="Times New Roman" w:hAnsi="Arial" w:cs="Arial"/>
          <w:kern w:val="0"/>
          <w:sz w:val="22"/>
          <w:szCs w:val="22"/>
          <w:lang w:eastAsia="en-GB"/>
          <w14:ligatures w14:val="none"/>
        </w:rPr>
        <w:noBreakHyphen/>
        <w:t>management, while digitally excluded groups risk reduced access and weaker relational continuity without assisted</w:t>
      </w:r>
      <w:r w:rsidRPr="0096717F">
        <w:rPr>
          <w:rFonts w:ascii="Arial" w:eastAsia="Times New Roman" w:hAnsi="Arial" w:cs="Arial"/>
          <w:kern w:val="0"/>
          <w:sz w:val="22"/>
          <w:szCs w:val="22"/>
          <w:lang w:eastAsia="en-GB"/>
          <w14:ligatures w14:val="none"/>
        </w:rPr>
        <w:noBreakHyphen/>
        <w:t>digital support (Greenhalgh et al., 2020; Health Foundation, 2021; Poduval et al., 2025). Safety risks persist where CDS is poorly tuned, increasing nuisance alerts, overrides and cognitive load unless continuously monitored (Payne et al., 2024; Ratwani et al., 2018).</w:t>
      </w:r>
    </w:p>
    <w:p w14:paraId="69CB0710" w14:textId="77777777" w:rsidR="0096717F" w:rsidRPr="0096717F" w:rsidRDefault="0096717F" w:rsidP="0096717F">
      <w:pPr>
        <w:spacing w:before="100" w:beforeAutospacing="1" w:after="100" w:afterAutospacing="1" w:line="360" w:lineRule="auto"/>
        <w:rPr>
          <w:rFonts w:ascii="Arial" w:eastAsia="Times New Roman" w:hAnsi="Arial" w:cs="Arial"/>
          <w:kern w:val="0"/>
          <w:sz w:val="22"/>
          <w:szCs w:val="22"/>
          <w:lang w:eastAsia="en-GB"/>
          <w14:ligatures w14:val="none"/>
        </w:rPr>
      </w:pPr>
      <w:r w:rsidRPr="0096717F">
        <w:rPr>
          <w:rFonts w:ascii="Arial" w:eastAsia="Times New Roman" w:hAnsi="Arial" w:cs="Arial"/>
          <w:kern w:val="0"/>
          <w:sz w:val="22"/>
          <w:szCs w:val="22"/>
          <w:lang w:eastAsia="en-GB"/>
          <w14:ligatures w14:val="none"/>
        </w:rPr>
        <w:t>Overall, the innovation’s net effect is positive when implementation includes training, equity mitigation, transparent data practices and iterative CDS governance (Department of Health and Social Care and NHS England, 2024; University Hospitals Birmingham NHS Foundation Trust, 2024). Future potential lies in scaling assisted</w:t>
      </w:r>
      <w:r w:rsidRPr="0096717F">
        <w:rPr>
          <w:rFonts w:ascii="Arial" w:eastAsia="Times New Roman" w:hAnsi="Arial" w:cs="Arial"/>
          <w:kern w:val="0"/>
          <w:sz w:val="22"/>
          <w:szCs w:val="22"/>
          <w:lang w:eastAsia="en-GB"/>
          <w14:ligatures w14:val="none"/>
        </w:rPr>
        <w:noBreakHyphen/>
        <w:t>digital capacity, co</w:t>
      </w:r>
      <w:r w:rsidRPr="0096717F">
        <w:rPr>
          <w:rFonts w:ascii="Arial" w:eastAsia="Times New Roman" w:hAnsi="Arial" w:cs="Arial"/>
          <w:kern w:val="0"/>
          <w:sz w:val="22"/>
          <w:szCs w:val="22"/>
          <w:lang w:eastAsia="en-GB"/>
          <w14:ligatures w14:val="none"/>
        </w:rPr>
        <w:noBreakHyphen/>
        <w:t>designing interfaces with users, routine stratified evaluation and continuous local CDS tuning to maximise safety, inclusion and system efficiency (Nuffield Trust, 2022; Health Foundation, 2021).</w:t>
      </w:r>
    </w:p>
    <w:p w14:paraId="0D968A72" w14:textId="77777777" w:rsidR="007B478A"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5DD0D53B" w14:textId="77777777" w:rsidR="007B478A" w:rsidRDefault="007B478A"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70FC34A6" w14:textId="77777777" w:rsidR="00A43F19" w:rsidRDefault="00A43F19"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48AE81E0" w14:textId="77777777" w:rsidR="00A43F19" w:rsidRDefault="00A43F19"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644BE70" w14:textId="77777777" w:rsidR="00A43F19" w:rsidRDefault="00A43F19"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43ACB437" w14:textId="77777777" w:rsidR="00A43F19" w:rsidRDefault="00A43F19"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01332AAF" w14:textId="77777777" w:rsidR="00A43F19" w:rsidRDefault="00A43F19" w:rsidP="0037028C">
      <w:pPr>
        <w:spacing w:before="100" w:beforeAutospacing="1" w:after="100" w:afterAutospacing="1" w:line="276" w:lineRule="auto"/>
        <w:rPr>
          <w:rFonts w:ascii="Arial" w:eastAsia="Times New Roman" w:hAnsi="Arial" w:cs="Arial"/>
          <w:b/>
          <w:bCs/>
          <w:kern w:val="0"/>
          <w:sz w:val="22"/>
          <w:szCs w:val="22"/>
          <w:lang w:eastAsia="en-GB"/>
          <w14:ligatures w14:val="none"/>
        </w:rPr>
      </w:pPr>
    </w:p>
    <w:p w14:paraId="7640DD40" w14:textId="77777777" w:rsidR="007B478A" w:rsidRPr="00DC1C54" w:rsidRDefault="007B478A" w:rsidP="006D459A">
      <w:pPr>
        <w:spacing w:before="100" w:beforeAutospacing="1" w:after="100" w:afterAutospacing="1" w:line="360" w:lineRule="auto"/>
        <w:rPr>
          <w:rFonts w:ascii="Arial" w:eastAsia="Times New Roman" w:hAnsi="Arial" w:cs="Arial"/>
          <w:b/>
          <w:bCs/>
          <w:kern w:val="0"/>
          <w:sz w:val="22"/>
          <w:szCs w:val="22"/>
          <w:lang w:eastAsia="en-GB"/>
          <w14:ligatures w14:val="none"/>
        </w:rPr>
      </w:pPr>
    </w:p>
    <w:bookmarkEnd w:id="7"/>
    <w:p w14:paraId="4DE4054E" w14:textId="77777777" w:rsidR="006D459A" w:rsidRDefault="008F31D5" w:rsidP="006D459A">
      <w:pPr>
        <w:pStyle w:val="Heading3"/>
        <w:rPr>
          <w:rFonts w:eastAsia="Times New Roman"/>
          <w:lang w:eastAsia="en-GB"/>
        </w:rPr>
      </w:pPr>
      <w:r w:rsidRPr="008F31D5">
        <w:rPr>
          <w:rFonts w:eastAsia="Times New Roman"/>
          <w:lang w:eastAsia="en-GB"/>
        </w:rPr>
        <w:t xml:space="preserve">References </w:t>
      </w:r>
    </w:p>
    <w:p w14:paraId="1588163F" w14:textId="1D6BDC02" w:rsidR="000609C0" w:rsidRPr="008F31D5" w:rsidRDefault="000609C0" w:rsidP="006D459A">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8F31D5">
        <w:rPr>
          <w:rFonts w:ascii="Arial" w:eastAsia="Times New Roman" w:hAnsi="Arial" w:cs="Arial"/>
          <w:kern w:val="0"/>
          <w:sz w:val="22"/>
          <w:szCs w:val="22"/>
          <w:lang w:eastAsia="en-GB"/>
          <w14:ligatures w14:val="none"/>
        </w:rPr>
        <w:t xml:space="preserve">Burns, M. (2024) ‘Challenges and successes in implementing an integrated electronic patient record (HIVE) at the Manchester University National Health Service Foundation Trust, England: 1000+ legacy systems, 10 hospitals, one electronic patient record’, </w:t>
      </w:r>
      <w:r w:rsidRPr="00704546">
        <w:rPr>
          <w:rFonts w:ascii="Arial" w:eastAsia="Times New Roman" w:hAnsi="Arial" w:cs="Arial"/>
          <w:i/>
          <w:iCs/>
          <w:kern w:val="0"/>
          <w:sz w:val="22"/>
          <w:szCs w:val="22"/>
          <w:lang w:eastAsia="en-GB"/>
          <w14:ligatures w14:val="none"/>
        </w:rPr>
        <w:t xml:space="preserve">Health Information Management Journal, </w:t>
      </w:r>
      <w:r w:rsidRPr="008F31D5">
        <w:rPr>
          <w:rFonts w:ascii="Arial" w:eastAsia="Times New Roman" w:hAnsi="Arial" w:cs="Arial"/>
          <w:kern w:val="0"/>
          <w:sz w:val="22"/>
          <w:szCs w:val="22"/>
          <w:lang w:eastAsia="en-GB"/>
          <w14:ligatures w14:val="none"/>
        </w:rPr>
        <w:t xml:space="preserve">53(1), pp. 20–28. doi: 10.1177/18333583231200417. Available at: </w:t>
      </w:r>
      <w:hyperlink r:id="rId13" w:history="1">
        <w:r w:rsidRPr="008F31D5">
          <w:rPr>
            <w:rFonts w:ascii="Arial" w:eastAsia="Times New Roman" w:hAnsi="Arial" w:cs="Arial"/>
            <w:color w:val="0000FF"/>
            <w:kern w:val="0"/>
            <w:sz w:val="22"/>
            <w:szCs w:val="22"/>
            <w:u w:val="single"/>
            <w:lang w:eastAsia="en-GB"/>
            <w14:ligatures w14:val="none"/>
          </w:rPr>
          <w:t>https://pubmed.ncbi.nlm.nih.gov/37846824/</w:t>
        </w:r>
      </w:hyperlink>
      <w:r w:rsidRPr="008F31D5">
        <w:rPr>
          <w:rFonts w:ascii="Arial" w:eastAsia="Times New Roman" w:hAnsi="Arial" w:cs="Arial"/>
          <w:kern w:val="0"/>
          <w:sz w:val="22"/>
          <w:szCs w:val="22"/>
          <w:lang w:eastAsia="en-GB"/>
          <w14:ligatures w14:val="none"/>
        </w:rPr>
        <w:t xml:space="preserve"> (Accessed: 18 September 2025).</w:t>
      </w:r>
    </w:p>
    <w:p w14:paraId="2D6F6955" w14:textId="53938A0A" w:rsidR="004664D7" w:rsidRPr="008A595F" w:rsidRDefault="004664D7"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Department of Health and Social Care (2022) </w:t>
      </w:r>
      <w:r w:rsidRPr="009803E2">
        <w:rPr>
          <w:rFonts w:ascii="Arial" w:eastAsia="Yu Mincho" w:hAnsi="Arial" w:cs="Arial"/>
          <w:i/>
          <w:iCs/>
          <w:sz w:val="22"/>
          <w:szCs w:val="22"/>
          <w:lang w:eastAsia="en-GB"/>
        </w:rPr>
        <w:t>A</w:t>
      </w:r>
      <w:r w:rsidRPr="008A595F">
        <w:rPr>
          <w:rFonts w:ascii="Arial" w:eastAsia="Yu Mincho" w:hAnsi="Arial" w:cs="Arial"/>
          <w:sz w:val="22"/>
          <w:szCs w:val="22"/>
          <w:lang w:eastAsia="en-GB"/>
        </w:rPr>
        <w:t xml:space="preserve"> </w:t>
      </w:r>
      <w:r w:rsidRPr="009803E2">
        <w:rPr>
          <w:rFonts w:ascii="Arial" w:eastAsia="Yu Mincho" w:hAnsi="Arial" w:cs="Arial"/>
          <w:i/>
          <w:iCs/>
          <w:sz w:val="22"/>
          <w:szCs w:val="22"/>
          <w:lang w:eastAsia="en-GB"/>
        </w:rPr>
        <w:t>plan</w:t>
      </w:r>
      <w:r w:rsidRPr="008A595F">
        <w:rPr>
          <w:rFonts w:ascii="Arial" w:eastAsia="Yu Mincho" w:hAnsi="Arial" w:cs="Arial"/>
          <w:sz w:val="22"/>
          <w:szCs w:val="22"/>
          <w:lang w:eastAsia="en-GB"/>
        </w:rPr>
        <w:t xml:space="preserve"> </w:t>
      </w:r>
      <w:r w:rsidRPr="009803E2">
        <w:rPr>
          <w:rFonts w:ascii="Arial" w:eastAsia="Yu Mincho" w:hAnsi="Arial" w:cs="Arial"/>
          <w:i/>
          <w:iCs/>
          <w:sz w:val="22"/>
          <w:szCs w:val="22"/>
          <w:lang w:eastAsia="en-GB"/>
        </w:rPr>
        <w:t>for</w:t>
      </w:r>
      <w:r w:rsidRPr="008A595F">
        <w:rPr>
          <w:rFonts w:ascii="Arial" w:eastAsia="Yu Mincho" w:hAnsi="Arial" w:cs="Arial"/>
          <w:sz w:val="22"/>
          <w:szCs w:val="22"/>
          <w:lang w:eastAsia="en-GB"/>
        </w:rPr>
        <w:t xml:space="preserve"> </w:t>
      </w:r>
      <w:r w:rsidRPr="009803E2">
        <w:rPr>
          <w:rFonts w:ascii="Arial" w:eastAsia="Yu Mincho" w:hAnsi="Arial" w:cs="Arial"/>
          <w:i/>
          <w:iCs/>
          <w:sz w:val="22"/>
          <w:szCs w:val="22"/>
          <w:lang w:eastAsia="en-GB"/>
        </w:rPr>
        <w:t>digital</w:t>
      </w:r>
      <w:r w:rsidRPr="008A595F">
        <w:rPr>
          <w:rFonts w:ascii="Arial" w:eastAsia="Yu Mincho" w:hAnsi="Arial" w:cs="Arial"/>
          <w:sz w:val="22"/>
          <w:szCs w:val="22"/>
          <w:lang w:eastAsia="en-GB"/>
        </w:rPr>
        <w:t xml:space="preserve"> </w:t>
      </w:r>
      <w:r w:rsidRPr="009803E2">
        <w:rPr>
          <w:rFonts w:ascii="Arial" w:eastAsia="Yu Mincho" w:hAnsi="Arial" w:cs="Arial"/>
          <w:i/>
          <w:iCs/>
          <w:sz w:val="22"/>
          <w:szCs w:val="22"/>
          <w:lang w:eastAsia="en-GB"/>
        </w:rPr>
        <w:t>health</w:t>
      </w:r>
      <w:r w:rsidRPr="008A595F">
        <w:rPr>
          <w:rFonts w:ascii="Arial" w:eastAsia="Yu Mincho" w:hAnsi="Arial" w:cs="Arial"/>
          <w:sz w:val="22"/>
          <w:szCs w:val="22"/>
          <w:lang w:eastAsia="en-GB"/>
        </w:rPr>
        <w:t xml:space="preserve"> </w:t>
      </w:r>
      <w:r w:rsidRPr="009803E2">
        <w:rPr>
          <w:rFonts w:ascii="Arial" w:eastAsia="Yu Mincho" w:hAnsi="Arial" w:cs="Arial"/>
          <w:i/>
          <w:iCs/>
          <w:sz w:val="22"/>
          <w:szCs w:val="22"/>
          <w:lang w:eastAsia="en-GB"/>
        </w:rPr>
        <w:t>and</w:t>
      </w:r>
      <w:r w:rsidRPr="008A595F">
        <w:rPr>
          <w:rFonts w:ascii="Arial" w:eastAsia="Yu Mincho" w:hAnsi="Arial" w:cs="Arial"/>
          <w:sz w:val="22"/>
          <w:szCs w:val="22"/>
          <w:lang w:eastAsia="en-GB"/>
        </w:rPr>
        <w:t xml:space="preserve"> </w:t>
      </w:r>
      <w:r w:rsidRPr="009803E2">
        <w:rPr>
          <w:rFonts w:ascii="Arial" w:eastAsia="Yu Mincho" w:hAnsi="Arial" w:cs="Arial"/>
          <w:i/>
          <w:iCs/>
          <w:sz w:val="22"/>
          <w:szCs w:val="22"/>
          <w:lang w:eastAsia="en-GB"/>
        </w:rPr>
        <w:t>social</w:t>
      </w:r>
      <w:r w:rsidRPr="008A595F">
        <w:rPr>
          <w:rFonts w:ascii="Arial" w:eastAsia="Yu Mincho" w:hAnsi="Arial" w:cs="Arial"/>
          <w:sz w:val="22"/>
          <w:szCs w:val="22"/>
          <w:lang w:eastAsia="en-GB"/>
        </w:rPr>
        <w:t xml:space="preserve"> </w:t>
      </w:r>
      <w:r w:rsidRPr="009803E2">
        <w:rPr>
          <w:rFonts w:ascii="Arial" w:eastAsia="Yu Mincho" w:hAnsi="Arial" w:cs="Arial"/>
          <w:i/>
          <w:iCs/>
          <w:sz w:val="22"/>
          <w:szCs w:val="22"/>
          <w:lang w:eastAsia="en-GB"/>
        </w:rPr>
        <w:t>care</w:t>
      </w:r>
      <w:r w:rsidRPr="008A595F">
        <w:rPr>
          <w:rFonts w:ascii="Arial" w:eastAsia="Yu Mincho" w:hAnsi="Arial" w:cs="Arial"/>
          <w:sz w:val="22"/>
          <w:szCs w:val="22"/>
          <w:lang w:eastAsia="en-GB"/>
        </w:rPr>
        <w:t xml:space="preserve">. Available at: </w:t>
      </w:r>
      <w:hyperlink r:id="rId14" w:history="1">
        <w:r w:rsidRPr="00286EBA">
          <w:rPr>
            <w:rStyle w:val="Hyperlink"/>
            <w:rFonts w:ascii="Arial" w:eastAsia="Yu Mincho" w:hAnsi="Arial" w:cs="Arial"/>
            <w:sz w:val="22"/>
            <w:szCs w:val="22"/>
            <w:lang w:eastAsia="en-GB"/>
          </w:rPr>
          <w:t>https://www.gov.uk/government/publications/a-plan-for-digital-health-and-social-care/a-plan-for-digital-health-and-social-care</w:t>
        </w:r>
      </w:hyperlink>
      <w:r>
        <w:rPr>
          <w:rFonts w:ascii="Arial" w:eastAsia="Yu Mincho" w:hAnsi="Arial" w:cs="Arial"/>
          <w:sz w:val="22"/>
          <w:szCs w:val="22"/>
          <w:lang w:eastAsia="en-GB"/>
        </w:rPr>
        <w:t xml:space="preserve"> </w:t>
      </w:r>
      <w:r w:rsidRPr="008A595F">
        <w:rPr>
          <w:rFonts w:ascii="Arial" w:eastAsia="Yu Mincho" w:hAnsi="Arial" w:cs="Arial"/>
          <w:sz w:val="22"/>
          <w:szCs w:val="22"/>
          <w:lang w:eastAsia="en-GB"/>
        </w:rPr>
        <w:t>(Accessed: 24 October 2025).</w:t>
      </w:r>
    </w:p>
    <w:p w14:paraId="64EA200D" w14:textId="3873D62B" w:rsidR="000609C0" w:rsidRDefault="004664D7"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Department of Health and Social Care and NHS England (2024) </w:t>
      </w:r>
      <w:r w:rsidRPr="000B7D8A">
        <w:rPr>
          <w:rFonts w:ascii="Arial" w:eastAsia="Yu Mincho" w:hAnsi="Arial" w:cs="Arial"/>
          <w:i/>
          <w:iCs/>
          <w:sz w:val="22"/>
          <w:szCs w:val="22"/>
          <w:lang w:eastAsia="en-GB"/>
        </w:rPr>
        <w:t>Healthcare</w:t>
      </w:r>
      <w:r w:rsidRPr="008A595F">
        <w:rPr>
          <w:rFonts w:ascii="Arial" w:eastAsia="Yu Mincho" w:hAnsi="Arial" w:cs="Arial"/>
          <w:sz w:val="22"/>
          <w:szCs w:val="22"/>
          <w:lang w:eastAsia="en-GB"/>
        </w:rPr>
        <w:t xml:space="preserve"> </w:t>
      </w:r>
      <w:r w:rsidRPr="000B7D8A">
        <w:rPr>
          <w:rFonts w:ascii="Arial" w:eastAsia="Yu Mincho" w:hAnsi="Arial" w:cs="Arial"/>
          <w:i/>
          <w:iCs/>
          <w:sz w:val="22"/>
          <w:szCs w:val="22"/>
          <w:lang w:eastAsia="en-GB"/>
        </w:rPr>
        <w:t>education</w:t>
      </w:r>
      <w:r w:rsidRPr="008A595F">
        <w:rPr>
          <w:rFonts w:ascii="Arial" w:eastAsia="Yu Mincho" w:hAnsi="Arial" w:cs="Arial"/>
          <w:sz w:val="22"/>
          <w:szCs w:val="22"/>
          <w:lang w:eastAsia="en-GB"/>
        </w:rPr>
        <w:t xml:space="preserve"> </w:t>
      </w:r>
      <w:r w:rsidRPr="000B7D8A">
        <w:rPr>
          <w:rFonts w:ascii="Arial" w:eastAsia="Yu Mincho" w:hAnsi="Arial" w:cs="Arial"/>
          <w:i/>
          <w:iCs/>
          <w:sz w:val="22"/>
          <w:szCs w:val="22"/>
          <w:lang w:eastAsia="en-GB"/>
        </w:rPr>
        <w:t>and</w:t>
      </w:r>
      <w:r w:rsidRPr="008A595F">
        <w:rPr>
          <w:rFonts w:ascii="Arial" w:eastAsia="Yu Mincho" w:hAnsi="Arial" w:cs="Arial"/>
          <w:sz w:val="22"/>
          <w:szCs w:val="22"/>
          <w:lang w:eastAsia="en-GB"/>
        </w:rPr>
        <w:t xml:space="preserve"> </w:t>
      </w:r>
      <w:r w:rsidRPr="000B7D8A">
        <w:rPr>
          <w:rFonts w:ascii="Arial" w:eastAsia="Yu Mincho" w:hAnsi="Arial" w:cs="Arial"/>
          <w:i/>
          <w:iCs/>
          <w:sz w:val="22"/>
          <w:szCs w:val="22"/>
          <w:lang w:eastAsia="en-GB"/>
        </w:rPr>
        <w:t>training</w:t>
      </w:r>
      <w:r w:rsidRPr="008A595F">
        <w:rPr>
          <w:rFonts w:ascii="Arial" w:eastAsia="Yu Mincho" w:hAnsi="Arial" w:cs="Arial"/>
          <w:sz w:val="22"/>
          <w:szCs w:val="22"/>
          <w:lang w:eastAsia="en-GB"/>
        </w:rPr>
        <w:t xml:space="preserve"> </w:t>
      </w:r>
      <w:r w:rsidRPr="000B7D8A">
        <w:rPr>
          <w:rFonts w:ascii="Arial" w:eastAsia="Yu Mincho" w:hAnsi="Arial" w:cs="Arial"/>
          <w:i/>
          <w:iCs/>
          <w:sz w:val="22"/>
          <w:szCs w:val="22"/>
          <w:lang w:eastAsia="en-GB"/>
        </w:rPr>
        <w:t>tariff</w:t>
      </w:r>
      <w:r w:rsidRPr="008A595F">
        <w:rPr>
          <w:rFonts w:ascii="Arial" w:eastAsia="Yu Mincho" w:hAnsi="Arial" w:cs="Arial"/>
          <w:sz w:val="22"/>
          <w:szCs w:val="22"/>
          <w:lang w:eastAsia="en-GB"/>
        </w:rPr>
        <w:t xml:space="preserve">: </w:t>
      </w:r>
      <w:r w:rsidRPr="007C7B9A">
        <w:rPr>
          <w:rFonts w:ascii="Arial" w:eastAsia="Yu Mincho" w:hAnsi="Arial" w:cs="Arial"/>
          <w:i/>
          <w:iCs/>
          <w:sz w:val="22"/>
          <w:szCs w:val="22"/>
          <w:lang w:eastAsia="en-GB"/>
        </w:rPr>
        <w:t>2024</w:t>
      </w:r>
      <w:r w:rsidRPr="008A595F">
        <w:rPr>
          <w:rFonts w:ascii="Arial" w:eastAsia="Yu Mincho" w:hAnsi="Arial" w:cs="Arial"/>
          <w:sz w:val="22"/>
          <w:szCs w:val="22"/>
          <w:lang w:eastAsia="en-GB"/>
        </w:rPr>
        <w:t xml:space="preserve"> </w:t>
      </w:r>
      <w:r w:rsidRPr="007C7B9A">
        <w:rPr>
          <w:rFonts w:ascii="Arial" w:eastAsia="Yu Mincho" w:hAnsi="Arial" w:cs="Arial"/>
          <w:i/>
          <w:iCs/>
          <w:sz w:val="22"/>
          <w:szCs w:val="22"/>
          <w:lang w:eastAsia="en-GB"/>
        </w:rPr>
        <w:t>to</w:t>
      </w:r>
      <w:r w:rsidRPr="008A595F">
        <w:rPr>
          <w:rFonts w:ascii="Arial" w:eastAsia="Yu Mincho" w:hAnsi="Arial" w:cs="Arial"/>
          <w:sz w:val="22"/>
          <w:szCs w:val="22"/>
          <w:lang w:eastAsia="en-GB"/>
        </w:rPr>
        <w:t xml:space="preserve"> </w:t>
      </w:r>
      <w:r w:rsidRPr="007C7B9A">
        <w:rPr>
          <w:rFonts w:ascii="Arial" w:eastAsia="Yu Mincho" w:hAnsi="Arial" w:cs="Arial"/>
          <w:i/>
          <w:iCs/>
          <w:sz w:val="22"/>
          <w:szCs w:val="22"/>
          <w:lang w:eastAsia="en-GB"/>
        </w:rPr>
        <w:t>2025</w:t>
      </w:r>
      <w:r w:rsidRPr="008A595F">
        <w:rPr>
          <w:rFonts w:ascii="Arial" w:eastAsia="Yu Mincho" w:hAnsi="Arial" w:cs="Arial"/>
          <w:sz w:val="22"/>
          <w:szCs w:val="22"/>
          <w:lang w:eastAsia="en-GB"/>
        </w:rPr>
        <w:t xml:space="preserve">. Available at: </w:t>
      </w:r>
      <w:hyperlink r:id="rId15" w:history="1">
        <w:r w:rsidRPr="00286EBA">
          <w:rPr>
            <w:rStyle w:val="Hyperlink"/>
            <w:rFonts w:ascii="Arial" w:eastAsia="Yu Mincho" w:hAnsi="Arial" w:cs="Arial"/>
            <w:sz w:val="22"/>
            <w:szCs w:val="22"/>
            <w:lang w:eastAsia="en-GB"/>
          </w:rPr>
          <w:t>https://www.gov.uk/government/publications/healthcare-education-and-training-tariff-2024-to-2025</w:t>
        </w:r>
      </w:hyperlink>
      <w:r w:rsidRPr="008A595F">
        <w:rPr>
          <w:rFonts w:ascii="Arial" w:eastAsia="Yu Mincho" w:hAnsi="Arial" w:cs="Arial"/>
          <w:sz w:val="22"/>
          <w:szCs w:val="22"/>
          <w:lang w:eastAsia="en-GB"/>
        </w:rPr>
        <w:t xml:space="preserve"> (Accessed: 23 October 2025).</w:t>
      </w:r>
    </w:p>
    <w:p w14:paraId="7EC97D7A" w14:textId="77777777" w:rsidR="004664D7" w:rsidRPr="008A595F" w:rsidRDefault="004664D7"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e</w:t>
      </w:r>
      <w:r w:rsidRPr="008A595F">
        <w:rPr>
          <w:rFonts w:ascii="Cambria Math" w:eastAsia="Yu Mincho" w:hAnsi="Cambria Math" w:cs="Cambria Math"/>
          <w:sz w:val="22"/>
          <w:szCs w:val="22"/>
          <w:lang w:eastAsia="en-GB"/>
        </w:rPr>
        <w:t>‑</w:t>
      </w:r>
      <w:r w:rsidRPr="008A595F">
        <w:rPr>
          <w:rFonts w:ascii="Arial" w:eastAsia="Yu Mincho" w:hAnsi="Arial" w:cs="Arial"/>
          <w:sz w:val="22"/>
          <w:szCs w:val="22"/>
          <w:lang w:eastAsia="en-GB"/>
        </w:rPr>
        <w:t xml:space="preserve">LfH (General Practice Assistant programme) (no date) </w:t>
      </w:r>
      <w:r w:rsidRPr="003A4D0B">
        <w:rPr>
          <w:rFonts w:ascii="Arial" w:eastAsia="Yu Mincho" w:hAnsi="Arial" w:cs="Arial"/>
          <w:i/>
          <w:iCs/>
          <w:sz w:val="22"/>
          <w:szCs w:val="22"/>
          <w:lang w:eastAsia="en-GB"/>
        </w:rPr>
        <w:t>General</w:t>
      </w:r>
      <w:r w:rsidRPr="008A595F">
        <w:rPr>
          <w:rFonts w:ascii="Arial" w:eastAsia="Yu Mincho" w:hAnsi="Arial" w:cs="Arial"/>
          <w:sz w:val="22"/>
          <w:szCs w:val="22"/>
          <w:lang w:eastAsia="en-GB"/>
        </w:rPr>
        <w:t xml:space="preserve"> </w:t>
      </w:r>
      <w:r w:rsidRPr="003A4D0B">
        <w:rPr>
          <w:rFonts w:ascii="Arial" w:eastAsia="Yu Mincho" w:hAnsi="Arial" w:cs="Arial"/>
          <w:i/>
          <w:iCs/>
          <w:sz w:val="22"/>
          <w:szCs w:val="22"/>
          <w:lang w:eastAsia="en-GB"/>
        </w:rPr>
        <w:t>Practice</w:t>
      </w:r>
      <w:r w:rsidRPr="008A595F">
        <w:rPr>
          <w:rFonts w:ascii="Arial" w:eastAsia="Yu Mincho" w:hAnsi="Arial" w:cs="Arial"/>
          <w:sz w:val="22"/>
          <w:szCs w:val="22"/>
          <w:lang w:eastAsia="en-GB"/>
        </w:rPr>
        <w:t xml:space="preserve"> </w:t>
      </w:r>
      <w:r w:rsidRPr="003A4D0B">
        <w:rPr>
          <w:rFonts w:ascii="Arial" w:eastAsia="Yu Mincho" w:hAnsi="Arial" w:cs="Arial"/>
          <w:i/>
          <w:iCs/>
          <w:sz w:val="22"/>
          <w:szCs w:val="22"/>
          <w:lang w:eastAsia="en-GB"/>
        </w:rPr>
        <w:t>Assistant</w:t>
      </w:r>
      <w:r w:rsidRPr="008A595F">
        <w:rPr>
          <w:rFonts w:ascii="Arial" w:eastAsia="Yu Mincho" w:hAnsi="Arial" w:cs="Arial"/>
          <w:sz w:val="22"/>
          <w:szCs w:val="22"/>
          <w:lang w:eastAsia="en-GB"/>
        </w:rPr>
        <w:t>. Available at:</w:t>
      </w:r>
      <w:hyperlink r:id="rId16" w:history="1">
        <w:r w:rsidRPr="00286EBA">
          <w:rPr>
            <w:rStyle w:val="Hyperlink"/>
            <w:rFonts w:ascii="Arial" w:eastAsia="Yu Mincho" w:hAnsi="Arial" w:cs="Arial"/>
            <w:sz w:val="22"/>
            <w:szCs w:val="22"/>
            <w:lang w:eastAsia="en-GB"/>
          </w:rPr>
          <w:t>https://www.e-lfh.org.uk/programmes/general-practice-assistant/</w:t>
        </w:r>
      </w:hyperlink>
      <w:r w:rsidRPr="008A595F">
        <w:rPr>
          <w:rFonts w:ascii="Arial" w:eastAsia="Yu Mincho" w:hAnsi="Arial" w:cs="Arial"/>
          <w:sz w:val="22"/>
          <w:szCs w:val="22"/>
          <w:lang w:eastAsia="en-GB"/>
        </w:rPr>
        <w:t xml:space="preserve"> (Accessed: 28 October 2025).</w:t>
      </w:r>
    </w:p>
    <w:p w14:paraId="69963A14" w14:textId="41692826" w:rsidR="000609C0" w:rsidRDefault="004664D7"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e</w:t>
      </w:r>
      <w:r w:rsidRPr="008A595F">
        <w:rPr>
          <w:rFonts w:ascii="Cambria Math" w:eastAsia="Yu Mincho" w:hAnsi="Cambria Math" w:cs="Cambria Math"/>
          <w:sz w:val="22"/>
          <w:szCs w:val="22"/>
          <w:lang w:eastAsia="en-GB"/>
        </w:rPr>
        <w:t>‑</w:t>
      </w:r>
      <w:r w:rsidRPr="008A595F">
        <w:rPr>
          <w:rFonts w:ascii="Arial" w:eastAsia="Yu Mincho" w:hAnsi="Arial" w:cs="Arial"/>
          <w:sz w:val="22"/>
          <w:szCs w:val="22"/>
          <w:lang w:eastAsia="en-GB"/>
        </w:rPr>
        <w:t xml:space="preserve">LfH / NHS England (2023) </w:t>
      </w:r>
      <w:r w:rsidRPr="007C7B9A">
        <w:rPr>
          <w:rFonts w:ascii="Arial" w:eastAsia="Yu Mincho" w:hAnsi="Arial" w:cs="Arial"/>
          <w:i/>
          <w:iCs/>
          <w:sz w:val="22"/>
          <w:szCs w:val="22"/>
          <w:lang w:eastAsia="en-GB"/>
        </w:rPr>
        <w:t>Frequently</w:t>
      </w:r>
      <w:r w:rsidRPr="008A595F">
        <w:rPr>
          <w:rFonts w:ascii="Arial" w:eastAsia="Yu Mincho" w:hAnsi="Arial" w:cs="Arial"/>
          <w:sz w:val="22"/>
          <w:szCs w:val="22"/>
          <w:lang w:eastAsia="en-GB"/>
        </w:rPr>
        <w:t xml:space="preserve"> </w:t>
      </w:r>
      <w:r w:rsidRPr="007C7B9A">
        <w:rPr>
          <w:rFonts w:ascii="Arial" w:eastAsia="Yu Mincho" w:hAnsi="Arial" w:cs="Arial"/>
          <w:i/>
          <w:iCs/>
          <w:sz w:val="22"/>
          <w:szCs w:val="22"/>
          <w:lang w:eastAsia="en-GB"/>
        </w:rPr>
        <w:t>Asked</w:t>
      </w:r>
      <w:r w:rsidRPr="008A595F">
        <w:rPr>
          <w:rFonts w:ascii="Arial" w:eastAsia="Yu Mincho" w:hAnsi="Arial" w:cs="Arial"/>
          <w:sz w:val="22"/>
          <w:szCs w:val="22"/>
          <w:lang w:eastAsia="en-GB"/>
        </w:rPr>
        <w:t xml:space="preserve"> </w:t>
      </w:r>
      <w:r w:rsidRPr="007C7B9A">
        <w:rPr>
          <w:rFonts w:ascii="Arial" w:eastAsia="Yu Mincho" w:hAnsi="Arial" w:cs="Arial"/>
          <w:i/>
          <w:iCs/>
          <w:sz w:val="22"/>
          <w:szCs w:val="22"/>
          <w:lang w:eastAsia="en-GB"/>
        </w:rPr>
        <w:t>Questions</w:t>
      </w:r>
      <w:r w:rsidRPr="008A595F">
        <w:rPr>
          <w:rFonts w:ascii="Arial" w:eastAsia="Yu Mincho" w:hAnsi="Arial" w:cs="Arial"/>
          <w:sz w:val="22"/>
          <w:szCs w:val="22"/>
          <w:lang w:eastAsia="en-GB"/>
        </w:rPr>
        <w:t xml:space="preserve">: </w:t>
      </w:r>
      <w:r w:rsidRPr="003A4D0B">
        <w:rPr>
          <w:rFonts w:ascii="Arial" w:eastAsia="Yu Mincho" w:hAnsi="Arial" w:cs="Arial"/>
          <w:i/>
          <w:iCs/>
          <w:sz w:val="22"/>
          <w:szCs w:val="22"/>
          <w:lang w:eastAsia="en-GB"/>
        </w:rPr>
        <w:t>General</w:t>
      </w:r>
      <w:r w:rsidRPr="008A595F">
        <w:rPr>
          <w:rFonts w:ascii="Arial" w:eastAsia="Yu Mincho" w:hAnsi="Arial" w:cs="Arial"/>
          <w:sz w:val="22"/>
          <w:szCs w:val="22"/>
          <w:lang w:eastAsia="en-GB"/>
        </w:rPr>
        <w:t xml:space="preserve"> </w:t>
      </w:r>
      <w:r w:rsidRPr="003A4D0B">
        <w:rPr>
          <w:rFonts w:ascii="Arial" w:eastAsia="Yu Mincho" w:hAnsi="Arial" w:cs="Arial"/>
          <w:i/>
          <w:iCs/>
          <w:sz w:val="22"/>
          <w:szCs w:val="22"/>
          <w:lang w:eastAsia="en-GB"/>
        </w:rPr>
        <w:t>Practice</w:t>
      </w:r>
      <w:r w:rsidRPr="008A595F">
        <w:rPr>
          <w:rFonts w:ascii="Arial" w:eastAsia="Yu Mincho" w:hAnsi="Arial" w:cs="Arial"/>
          <w:sz w:val="22"/>
          <w:szCs w:val="22"/>
          <w:lang w:eastAsia="en-GB"/>
        </w:rPr>
        <w:t xml:space="preserve"> </w:t>
      </w:r>
      <w:r w:rsidRPr="007C7B9A">
        <w:rPr>
          <w:rFonts w:ascii="Arial" w:eastAsia="Yu Mincho" w:hAnsi="Arial" w:cs="Arial"/>
          <w:i/>
          <w:iCs/>
          <w:sz w:val="22"/>
          <w:szCs w:val="22"/>
          <w:lang w:eastAsia="en-GB"/>
        </w:rPr>
        <w:t>Assistant</w:t>
      </w:r>
      <w:r w:rsidRPr="008A595F">
        <w:rPr>
          <w:rFonts w:ascii="Arial" w:eastAsia="Yu Mincho" w:hAnsi="Arial" w:cs="Arial"/>
          <w:sz w:val="22"/>
          <w:szCs w:val="22"/>
          <w:lang w:eastAsia="en-GB"/>
        </w:rPr>
        <w:t xml:space="preserve">. Available at: </w:t>
      </w:r>
      <w:hyperlink r:id="rId17" w:history="1">
        <w:r w:rsidRPr="00286EBA">
          <w:rPr>
            <w:rStyle w:val="Hyperlink"/>
            <w:rFonts w:ascii="Arial" w:eastAsia="Yu Mincho" w:hAnsi="Arial" w:cs="Arial"/>
            <w:sz w:val="22"/>
            <w:szCs w:val="22"/>
            <w:lang w:eastAsia="en-GB"/>
          </w:rPr>
          <w:t>https://www.e-lfh.org.uk/wp-content/uploads/2023/11/5.-FAQ-v14-final-Nov-23-v2.0.pdf</w:t>
        </w:r>
      </w:hyperlink>
      <w:r w:rsidRPr="008A595F">
        <w:rPr>
          <w:rFonts w:ascii="Arial" w:eastAsia="Yu Mincho" w:hAnsi="Arial" w:cs="Arial"/>
          <w:sz w:val="22"/>
          <w:szCs w:val="22"/>
          <w:lang w:eastAsia="en-GB"/>
        </w:rPr>
        <w:t xml:space="preserve"> (Accessed: 28 October 2025).</w:t>
      </w:r>
    </w:p>
    <w:p w14:paraId="5D145DAA" w14:textId="77777777" w:rsidR="004664D7" w:rsidRPr="008A595F" w:rsidRDefault="004664D7"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Finnegan, H. and Mountford, N. (2025) ‘25 years of electronic health record implementation processes: scoping review’, </w:t>
      </w:r>
      <w:r w:rsidRPr="00003209">
        <w:rPr>
          <w:rFonts w:ascii="Arial" w:eastAsia="Yu Mincho" w:hAnsi="Arial" w:cs="Arial"/>
          <w:i/>
          <w:iCs/>
          <w:sz w:val="22"/>
          <w:szCs w:val="22"/>
          <w:lang w:eastAsia="en-GB"/>
        </w:rPr>
        <w:t>Journal of Medical Internet Research</w:t>
      </w:r>
      <w:r w:rsidRPr="008A595F">
        <w:rPr>
          <w:rFonts w:ascii="Arial" w:eastAsia="Yu Mincho" w:hAnsi="Arial" w:cs="Arial"/>
          <w:sz w:val="22"/>
          <w:szCs w:val="22"/>
          <w:lang w:eastAsia="en-GB"/>
        </w:rPr>
        <w:t xml:space="preserve">, 27: e60077. Available at: </w:t>
      </w:r>
      <w:hyperlink r:id="rId18" w:history="1">
        <w:r w:rsidRPr="00286EBA">
          <w:rPr>
            <w:rStyle w:val="Hyperlink"/>
            <w:rFonts w:ascii="Arial" w:eastAsia="Yu Mincho" w:hAnsi="Arial" w:cs="Arial"/>
            <w:sz w:val="22"/>
            <w:szCs w:val="22"/>
            <w:lang w:eastAsia="en-GB"/>
          </w:rPr>
          <w:t>https://www.jmir.org/2025/1/e60077/</w:t>
        </w:r>
      </w:hyperlink>
      <w:r w:rsidRPr="008A595F">
        <w:rPr>
          <w:rFonts w:ascii="Arial" w:eastAsia="Yu Mincho" w:hAnsi="Arial" w:cs="Arial"/>
          <w:sz w:val="22"/>
          <w:szCs w:val="22"/>
          <w:lang w:eastAsia="en-GB"/>
        </w:rPr>
        <w:t xml:space="preserve"> (Accessed: 02 November 2025).</w:t>
      </w:r>
    </w:p>
    <w:p w14:paraId="715A2A9B" w14:textId="77777777" w:rsidR="004664D7" w:rsidRPr="008A595F" w:rsidRDefault="004664D7"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First Databank (FDB) (2025) Home of Medication Decision Support. Available at: </w:t>
      </w:r>
      <w:hyperlink r:id="rId19" w:history="1">
        <w:r w:rsidRPr="00286EBA">
          <w:rPr>
            <w:rStyle w:val="Hyperlink"/>
            <w:rFonts w:ascii="Arial" w:eastAsia="Yu Mincho" w:hAnsi="Arial" w:cs="Arial"/>
            <w:sz w:val="22"/>
            <w:szCs w:val="22"/>
            <w:lang w:eastAsia="en-GB"/>
          </w:rPr>
          <w:t>https://www.fdbhealth.co.uk/</w:t>
        </w:r>
      </w:hyperlink>
      <w:r w:rsidRPr="008A595F">
        <w:rPr>
          <w:rFonts w:ascii="Arial" w:eastAsia="Yu Mincho" w:hAnsi="Arial" w:cs="Arial"/>
          <w:sz w:val="22"/>
          <w:szCs w:val="22"/>
          <w:lang w:eastAsia="en-GB"/>
        </w:rPr>
        <w:t xml:space="preserve"> (Accessed: 13 October 2025).</w:t>
      </w:r>
    </w:p>
    <w:p w14:paraId="0629F39A" w14:textId="77777777" w:rsidR="0061396B" w:rsidRPr="00DD27B5" w:rsidRDefault="0061396B" w:rsidP="0061396B">
      <w:pPr>
        <w:spacing w:before="100" w:beforeAutospacing="1" w:after="100" w:afterAutospacing="1" w:line="360" w:lineRule="auto"/>
        <w:rPr>
          <w:rFonts w:ascii="Arial" w:eastAsia="Times New Roman" w:hAnsi="Arial" w:cs="Arial"/>
          <w:kern w:val="0"/>
          <w:sz w:val="22"/>
          <w:szCs w:val="22"/>
          <w:lang w:eastAsia="en-GB"/>
          <w14:ligatures w14:val="none"/>
        </w:rPr>
      </w:pPr>
      <w:r w:rsidRPr="00DD27B5">
        <w:rPr>
          <w:rFonts w:ascii="Arial" w:eastAsia="Times New Roman" w:hAnsi="Arial" w:cs="Arial"/>
          <w:kern w:val="0"/>
          <w:sz w:val="22"/>
          <w:szCs w:val="22"/>
          <w:lang w:eastAsia="en-GB"/>
          <w14:ligatures w14:val="none"/>
        </w:rPr>
        <w:t>Greenhalgh, T., Wherton, J., Shaw, S. and Morrison, C. (2020) ‘Video consultations for covid</w:t>
      </w:r>
      <w:r w:rsidRPr="00DD27B5">
        <w:rPr>
          <w:rFonts w:ascii="Arial" w:eastAsia="Times New Roman" w:hAnsi="Arial" w:cs="Arial"/>
          <w:kern w:val="0"/>
          <w:sz w:val="22"/>
          <w:szCs w:val="22"/>
          <w:lang w:eastAsia="en-GB"/>
          <w14:ligatures w14:val="none"/>
        </w:rPr>
        <w:noBreakHyphen/>
        <w:t xml:space="preserve">19’, </w:t>
      </w:r>
      <w:r w:rsidRPr="00B643B7">
        <w:rPr>
          <w:rFonts w:ascii="Arial" w:eastAsia="Times New Roman" w:hAnsi="Arial" w:cs="Arial"/>
          <w:i/>
          <w:iCs/>
          <w:kern w:val="0"/>
          <w:sz w:val="22"/>
          <w:szCs w:val="22"/>
          <w:lang w:eastAsia="en-GB"/>
          <w14:ligatures w14:val="none"/>
        </w:rPr>
        <w:t>BMJ, 368: m998.</w:t>
      </w:r>
      <w:r w:rsidRPr="00DD27B5">
        <w:rPr>
          <w:rFonts w:ascii="Arial" w:eastAsia="Times New Roman" w:hAnsi="Arial" w:cs="Arial"/>
          <w:kern w:val="0"/>
          <w:sz w:val="22"/>
          <w:szCs w:val="22"/>
          <w:lang w:eastAsia="en-GB"/>
          <w14:ligatures w14:val="none"/>
        </w:rPr>
        <w:t xml:space="preserve"> Available at: </w:t>
      </w:r>
      <w:hyperlink r:id="rId20" w:history="1">
        <w:r w:rsidRPr="00DD27B5">
          <w:rPr>
            <w:rFonts w:ascii="Arial" w:eastAsia="Times New Roman" w:hAnsi="Arial" w:cs="Arial"/>
            <w:color w:val="0000FF"/>
            <w:kern w:val="0"/>
            <w:sz w:val="22"/>
            <w:szCs w:val="22"/>
            <w:u w:val="single"/>
            <w:lang w:eastAsia="en-GB"/>
            <w14:ligatures w14:val="none"/>
          </w:rPr>
          <w:t>https://www.bmj.com/content/368/bmj.m998</w:t>
        </w:r>
      </w:hyperlink>
      <w:r w:rsidRPr="00DD27B5">
        <w:rPr>
          <w:rFonts w:ascii="Arial" w:eastAsia="Times New Roman" w:hAnsi="Arial" w:cs="Arial"/>
          <w:kern w:val="0"/>
          <w:sz w:val="22"/>
          <w:szCs w:val="22"/>
          <w:lang w:eastAsia="en-GB"/>
          <w14:ligatures w14:val="none"/>
        </w:rPr>
        <w:t xml:space="preserve"> (Accessed: 02 November 2025).</w:t>
      </w:r>
    </w:p>
    <w:p w14:paraId="647A06AE" w14:textId="77777777" w:rsidR="000609C0" w:rsidRDefault="000609C0" w:rsidP="006D459A">
      <w:pPr>
        <w:spacing w:line="360" w:lineRule="auto"/>
        <w:rPr>
          <w:rFonts w:ascii="Arial" w:eastAsia="Yu Mincho" w:hAnsi="Arial" w:cs="Arial"/>
          <w:sz w:val="22"/>
          <w:szCs w:val="22"/>
          <w:lang w:eastAsia="en-GB"/>
        </w:rPr>
      </w:pPr>
    </w:p>
    <w:p w14:paraId="023968A5" w14:textId="77777777" w:rsidR="004664D7" w:rsidRDefault="004664D7" w:rsidP="006D459A">
      <w:pPr>
        <w:spacing w:line="360" w:lineRule="auto"/>
        <w:rPr>
          <w:rFonts w:ascii="Arial" w:eastAsia="Yu Mincho" w:hAnsi="Arial" w:cs="Arial"/>
          <w:sz w:val="22"/>
          <w:szCs w:val="22"/>
          <w:lang w:eastAsia="en-GB"/>
        </w:rPr>
      </w:pPr>
    </w:p>
    <w:p w14:paraId="35583F7B" w14:textId="77777777" w:rsidR="000609C0" w:rsidRDefault="000609C0" w:rsidP="006D459A">
      <w:pPr>
        <w:spacing w:line="360" w:lineRule="auto"/>
        <w:rPr>
          <w:rFonts w:ascii="Arial" w:eastAsia="Yu Mincho" w:hAnsi="Arial" w:cs="Arial"/>
          <w:sz w:val="22"/>
          <w:szCs w:val="22"/>
          <w:lang w:eastAsia="en-GB"/>
        </w:rPr>
      </w:pPr>
    </w:p>
    <w:p w14:paraId="76447D61" w14:textId="4A63B818" w:rsidR="00894C91" w:rsidRPr="008A595F" w:rsidRDefault="00894C91"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Health Education England (2023) </w:t>
      </w:r>
      <w:r w:rsidRPr="0050319A">
        <w:rPr>
          <w:rFonts w:ascii="Arial" w:eastAsia="Yu Mincho" w:hAnsi="Arial" w:cs="Arial"/>
          <w:i/>
          <w:iCs/>
          <w:sz w:val="22"/>
          <w:szCs w:val="22"/>
          <w:lang w:eastAsia="en-GB"/>
        </w:rPr>
        <w:t xml:space="preserve">Digital and data skills for health and care: education and training framework. </w:t>
      </w:r>
      <w:r w:rsidRPr="008A595F">
        <w:rPr>
          <w:rFonts w:ascii="Arial" w:eastAsia="Yu Mincho" w:hAnsi="Arial" w:cs="Arial"/>
          <w:sz w:val="22"/>
          <w:szCs w:val="22"/>
          <w:lang w:eastAsia="en-GB"/>
        </w:rPr>
        <w:t xml:space="preserve">Available at: </w:t>
      </w:r>
      <w:hyperlink r:id="rId21" w:history="1">
        <w:r w:rsidRPr="00286EBA">
          <w:rPr>
            <w:rStyle w:val="Hyperlink"/>
            <w:rFonts w:ascii="Arial" w:eastAsia="Yu Mincho" w:hAnsi="Arial" w:cs="Arial"/>
            <w:sz w:val="22"/>
            <w:szCs w:val="22"/>
            <w:lang w:eastAsia="en-GB"/>
          </w:rPr>
          <w:t>https://www.hee.nhs.uk/our-work/digital</w:t>
        </w:r>
      </w:hyperlink>
      <w:r w:rsidRPr="008A595F">
        <w:rPr>
          <w:rFonts w:ascii="Arial" w:eastAsia="Yu Mincho" w:hAnsi="Arial" w:cs="Arial"/>
          <w:sz w:val="22"/>
          <w:szCs w:val="22"/>
          <w:lang w:eastAsia="en-GB"/>
        </w:rPr>
        <w:t xml:space="preserve"> (Accessed: 02 November 2025).</w:t>
      </w:r>
    </w:p>
    <w:p w14:paraId="1027DF23" w14:textId="77777777" w:rsidR="00894C91" w:rsidRPr="00DD27B5" w:rsidRDefault="00894C91" w:rsidP="006D459A">
      <w:pPr>
        <w:spacing w:before="100" w:beforeAutospacing="1" w:after="100" w:afterAutospacing="1" w:line="360" w:lineRule="auto"/>
        <w:rPr>
          <w:rFonts w:ascii="Arial" w:eastAsia="Times New Roman" w:hAnsi="Arial" w:cs="Arial"/>
          <w:kern w:val="0"/>
          <w:sz w:val="22"/>
          <w:szCs w:val="22"/>
          <w:lang w:eastAsia="en-GB"/>
          <w14:ligatures w14:val="none"/>
        </w:rPr>
      </w:pPr>
      <w:r w:rsidRPr="00DD27B5">
        <w:rPr>
          <w:rFonts w:ascii="Arial" w:eastAsia="Times New Roman" w:hAnsi="Arial" w:cs="Arial"/>
          <w:kern w:val="0"/>
          <w:sz w:val="22"/>
          <w:szCs w:val="22"/>
          <w:lang w:eastAsia="en-GB"/>
          <w14:ligatures w14:val="none"/>
        </w:rPr>
        <w:t>Health Foundation (2021)</w:t>
      </w:r>
      <w:r w:rsidRPr="0050319A">
        <w:rPr>
          <w:rFonts w:ascii="Arial" w:eastAsia="Times New Roman" w:hAnsi="Arial" w:cs="Arial"/>
          <w:i/>
          <w:iCs/>
          <w:kern w:val="0"/>
          <w:sz w:val="22"/>
          <w:szCs w:val="22"/>
          <w:lang w:eastAsia="en-GB"/>
          <w14:ligatures w14:val="none"/>
        </w:rPr>
        <w:t xml:space="preserve"> The digital divide and health inequalities</w:t>
      </w:r>
      <w:r w:rsidRPr="00DD27B5">
        <w:rPr>
          <w:rFonts w:ascii="Arial" w:eastAsia="Times New Roman" w:hAnsi="Arial" w:cs="Arial"/>
          <w:kern w:val="0"/>
          <w:sz w:val="22"/>
          <w:szCs w:val="22"/>
          <w:lang w:eastAsia="en-GB"/>
          <w14:ligatures w14:val="none"/>
        </w:rPr>
        <w:t xml:space="preserve">. Health Foundation. Available at: </w:t>
      </w:r>
      <w:hyperlink r:id="rId22" w:history="1">
        <w:r w:rsidRPr="00DD27B5">
          <w:rPr>
            <w:rFonts w:ascii="Arial" w:eastAsia="Times New Roman" w:hAnsi="Arial" w:cs="Arial"/>
            <w:color w:val="0000FF"/>
            <w:kern w:val="0"/>
            <w:sz w:val="22"/>
            <w:szCs w:val="22"/>
            <w:u w:val="single"/>
            <w:lang w:eastAsia="en-GB"/>
            <w14:ligatures w14:val="none"/>
          </w:rPr>
          <w:t>https://www.health.org.uk/</w:t>
        </w:r>
      </w:hyperlink>
      <w:r w:rsidRPr="00DD27B5">
        <w:rPr>
          <w:rFonts w:ascii="Arial" w:eastAsia="Times New Roman" w:hAnsi="Arial" w:cs="Arial"/>
          <w:kern w:val="0"/>
          <w:sz w:val="22"/>
          <w:szCs w:val="22"/>
          <w:lang w:eastAsia="en-GB"/>
          <w14:ligatures w14:val="none"/>
        </w:rPr>
        <w:t xml:space="preserve"> (Accessed: 02 November 2025).</w:t>
      </w:r>
    </w:p>
    <w:p w14:paraId="3E6D9D21" w14:textId="3AA3D201" w:rsidR="00894C91" w:rsidRPr="008A595F" w:rsidRDefault="00894C91"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HFMA (2025) </w:t>
      </w:r>
      <w:r w:rsidRPr="00F8285C">
        <w:rPr>
          <w:rFonts w:ascii="Arial" w:eastAsia="Yu Mincho" w:hAnsi="Arial" w:cs="Arial"/>
          <w:i/>
          <w:iCs/>
          <w:sz w:val="22"/>
          <w:szCs w:val="22"/>
          <w:lang w:eastAsia="en-GB"/>
        </w:rPr>
        <w:t xml:space="preserve">Implementing an electronic patient record: briefing and case studies. </w:t>
      </w:r>
      <w:r w:rsidRPr="008A595F">
        <w:rPr>
          <w:rFonts w:ascii="Arial" w:eastAsia="Yu Mincho" w:hAnsi="Arial" w:cs="Arial"/>
          <w:sz w:val="22"/>
          <w:szCs w:val="22"/>
          <w:lang w:eastAsia="en-GB"/>
        </w:rPr>
        <w:t xml:space="preserve">Available at: </w:t>
      </w:r>
      <w:hyperlink r:id="rId23" w:history="1">
        <w:r w:rsidRPr="00286EBA">
          <w:rPr>
            <w:rStyle w:val="Hyperlink"/>
            <w:rFonts w:ascii="Arial" w:eastAsia="Yu Mincho" w:hAnsi="Arial" w:cs="Arial"/>
            <w:sz w:val="22"/>
            <w:szCs w:val="22"/>
            <w:lang w:eastAsia="en-GB"/>
          </w:rPr>
          <w:t>https://www.hfma.org.uk/publications/implementing-electronic-patient-record</w:t>
        </w:r>
      </w:hyperlink>
      <w:r w:rsidRPr="008A595F">
        <w:rPr>
          <w:rFonts w:ascii="Arial" w:eastAsia="Yu Mincho" w:hAnsi="Arial" w:cs="Arial"/>
          <w:sz w:val="22"/>
          <w:szCs w:val="22"/>
          <w:lang w:eastAsia="en-GB"/>
        </w:rPr>
        <w:t xml:space="preserve"> (Accessed: 18 September 2025).</w:t>
      </w:r>
    </w:p>
    <w:p w14:paraId="5DEFD1D0" w14:textId="77777777" w:rsidR="00431464" w:rsidRPr="008A595F" w:rsidRDefault="00431464"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Lovell, T. (2025) ‘NHSE approves Medicus Health EPR system for primary care’, </w:t>
      </w:r>
      <w:r w:rsidRPr="00BF3837">
        <w:rPr>
          <w:rFonts w:ascii="Arial" w:eastAsia="Yu Mincho" w:hAnsi="Arial" w:cs="Arial"/>
          <w:i/>
          <w:iCs/>
          <w:sz w:val="22"/>
          <w:szCs w:val="22"/>
          <w:lang w:eastAsia="en-GB"/>
        </w:rPr>
        <w:t xml:space="preserve">Digital Health, </w:t>
      </w:r>
      <w:r w:rsidRPr="008A595F">
        <w:rPr>
          <w:rFonts w:ascii="Arial" w:eastAsia="Yu Mincho" w:hAnsi="Arial" w:cs="Arial"/>
          <w:sz w:val="22"/>
          <w:szCs w:val="22"/>
          <w:lang w:eastAsia="en-GB"/>
        </w:rPr>
        <w:t xml:space="preserve">26 June. Available at: </w:t>
      </w:r>
      <w:hyperlink r:id="rId24" w:history="1">
        <w:r w:rsidRPr="00286EBA">
          <w:rPr>
            <w:rStyle w:val="Hyperlink"/>
            <w:rFonts w:ascii="Arial" w:eastAsia="Yu Mincho" w:hAnsi="Arial" w:cs="Arial"/>
            <w:sz w:val="22"/>
            <w:szCs w:val="22"/>
            <w:lang w:eastAsia="en-GB"/>
          </w:rPr>
          <w:t>https://www.digitalhealth.net/2025/06/nhse-approves-medicus-health-epr-system-for-primary-care/</w:t>
        </w:r>
      </w:hyperlink>
      <w:r w:rsidRPr="008A595F">
        <w:rPr>
          <w:rFonts w:ascii="Arial" w:eastAsia="Yu Mincho" w:hAnsi="Arial" w:cs="Arial"/>
          <w:sz w:val="22"/>
          <w:szCs w:val="22"/>
          <w:lang w:eastAsia="en-GB"/>
        </w:rPr>
        <w:t xml:space="preserve"> (Accessed: 13 October 2025).</w:t>
      </w:r>
    </w:p>
    <w:p w14:paraId="47B839CB" w14:textId="77777777" w:rsidR="00735D56" w:rsidRDefault="00735D56" w:rsidP="006D459A">
      <w:pPr>
        <w:spacing w:line="360" w:lineRule="auto"/>
        <w:rPr>
          <w:rFonts w:ascii="Arial" w:eastAsia="Yu Mincho" w:hAnsi="Arial" w:cs="Arial"/>
          <w:sz w:val="22"/>
          <w:szCs w:val="22"/>
          <w:lang w:eastAsia="en-GB"/>
        </w:rPr>
      </w:pPr>
    </w:p>
    <w:p w14:paraId="3C2F0FE6" w14:textId="62AA43E2" w:rsidR="00164981" w:rsidRPr="008A595F" w:rsidRDefault="00164981"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Medicus Health (2025) </w:t>
      </w:r>
      <w:r w:rsidRPr="00A2552C">
        <w:rPr>
          <w:rFonts w:ascii="Arial" w:eastAsia="Yu Mincho" w:hAnsi="Arial" w:cs="Arial"/>
          <w:i/>
          <w:iCs/>
          <w:sz w:val="22"/>
          <w:szCs w:val="22"/>
          <w:lang w:eastAsia="en-GB"/>
        </w:rPr>
        <w:t>The first new GP system in 25 years.</w:t>
      </w:r>
      <w:r w:rsidRPr="008A595F">
        <w:rPr>
          <w:rFonts w:ascii="Arial" w:eastAsia="Yu Mincho" w:hAnsi="Arial" w:cs="Arial"/>
          <w:sz w:val="22"/>
          <w:szCs w:val="22"/>
          <w:lang w:eastAsia="en-GB"/>
        </w:rPr>
        <w:t xml:space="preserve"> Available at: </w:t>
      </w:r>
      <w:hyperlink r:id="rId25" w:history="1">
        <w:r w:rsidRPr="00286EBA">
          <w:rPr>
            <w:rStyle w:val="Hyperlink"/>
            <w:rFonts w:ascii="Arial" w:eastAsia="Yu Mincho" w:hAnsi="Arial" w:cs="Arial"/>
            <w:sz w:val="22"/>
            <w:szCs w:val="22"/>
            <w:lang w:eastAsia="en-GB"/>
          </w:rPr>
          <w:t>https://medicus.health/</w:t>
        </w:r>
      </w:hyperlink>
      <w:r w:rsidRPr="008A595F">
        <w:rPr>
          <w:rFonts w:ascii="Arial" w:eastAsia="Yu Mincho" w:hAnsi="Arial" w:cs="Arial"/>
          <w:sz w:val="22"/>
          <w:szCs w:val="22"/>
          <w:lang w:eastAsia="en-GB"/>
        </w:rPr>
        <w:t xml:space="preserve"> (Accessed: 13 October 2025).</w:t>
      </w:r>
    </w:p>
    <w:p w14:paraId="212B22DC" w14:textId="77777777" w:rsidR="00894C91" w:rsidRPr="008A595F" w:rsidRDefault="00894C91" w:rsidP="006D459A">
      <w:pPr>
        <w:spacing w:line="360" w:lineRule="auto"/>
        <w:rPr>
          <w:rFonts w:ascii="Arial" w:eastAsia="Yu Mincho" w:hAnsi="Arial" w:cs="Arial"/>
          <w:sz w:val="22"/>
          <w:szCs w:val="22"/>
          <w:lang w:eastAsia="en-GB"/>
        </w:rPr>
      </w:pPr>
    </w:p>
    <w:p w14:paraId="748682B8" w14:textId="77777777" w:rsidR="003A2F22" w:rsidRPr="008A595F" w:rsidRDefault="003A2F22"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NCL Training Hub (no date) GP Assistant role page. Available at: </w:t>
      </w:r>
      <w:hyperlink r:id="rId26" w:history="1">
        <w:r w:rsidRPr="00286EBA">
          <w:rPr>
            <w:rStyle w:val="Hyperlink"/>
            <w:rFonts w:ascii="Arial" w:eastAsia="Yu Mincho" w:hAnsi="Arial" w:cs="Arial"/>
            <w:sz w:val="22"/>
            <w:szCs w:val="22"/>
            <w:lang w:eastAsia="en-GB"/>
          </w:rPr>
          <w:t>https://www.ncltraininghub.org/roles/clinical-staff-support/gp-assistant</w:t>
        </w:r>
      </w:hyperlink>
      <w:r>
        <w:rPr>
          <w:rFonts w:ascii="Arial" w:eastAsia="Yu Mincho" w:hAnsi="Arial" w:cs="Arial"/>
          <w:sz w:val="22"/>
          <w:szCs w:val="22"/>
          <w:lang w:eastAsia="en-GB"/>
        </w:rPr>
        <w:t xml:space="preserve"> </w:t>
      </w:r>
      <w:r w:rsidRPr="008A595F">
        <w:rPr>
          <w:rFonts w:ascii="Arial" w:eastAsia="Yu Mincho" w:hAnsi="Arial" w:cs="Arial"/>
          <w:sz w:val="22"/>
          <w:szCs w:val="22"/>
          <w:lang w:eastAsia="en-GB"/>
        </w:rPr>
        <w:t>(Accessed: 28 October 2025).</w:t>
      </w:r>
    </w:p>
    <w:p w14:paraId="6751CFF7" w14:textId="77777777" w:rsidR="003A2F22" w:rsidRPr="008A595F" w:rsidRDefault="003A2F22"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NHS Education for Scotland (NES) (2025) Making Delegation Safe and Effective. Available at: </w:t>
      </w:r>
      <w:hyperlink r:id="rId27" w:history="1">
        <w:r w:rsidRPr="00286EBA">
          <w:rPr>
            <w:rStyle w:val="Hyperlink"/>
            <w:rFonts w:ascii="Arial" w:eastAsia="Yu Mincho" w:hAnsi="Arial" w:cs="Arial"/>
            <w:sz w:val="22"/>
            <w:szCs w:val="22"/>
            <w:lang w:eastAsia="en-GB"/>
          </w:rPr>
          <w:t>https://www.nes.scot.nhs.uk/nes-current/making-delegation-safe-and-effective/</w:t>
        </w:r>
      </w:hyperlink>
      <w:r w:rsidRPr="008A595F">
        <w:rPr>
          <w:rFonts w:ascii="Arial" w:eastAsia="Yu Mincho" w:hAnsi="Arial" w:cs="Arial"/>
          <w:sz w:val="22"/>
          <w:szCs w:val="22"/>
          <w:lang w:eastAsia="en-GB"/>
        </w:rPr>
        <w:t xml:space="preserve"> (Accessed: 28 October 2025).</w:t>
      </w:r>
    </w:p>
    <w:p w14:paraId="48A43223" w14:textId="77777777" w:rsidR="003A2F22" w:rsidRPr="008A595F" w:rsidRDefault="003A2F22"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NHS England (2025a) Digital, data, and technology transformation. Available at: </w:t>
      </w:r>
      <w:hyperlink r:id="rId28" w:history="1">
        <w:r w:rsidRPr="00286EBA">
          <w:rPr>
            <w:rStyle w:val="Hyperlink"/>
            <w:rFonts w:ascii="Arial" w:eastAsia="Yu Mincho" w:hAnsi="Arial" w:cs="Arial"/>
            <w:sz w:val="22"/>
            <w:szCs w:val="22"/>
            <w:lang w:eastAsia="en-GB"/>
          </w:rPr>
          <w:t>https://www.england.nhs.uk/wp-content/uploads/2025/03/agenda-item-8-data-digital-and-technology-transformation.pdf</w:t>
        </w:r>
      </w:hyperlink>
      <w:r w:rsidRPr="008A595F">
        <w:rPr>
          <w:rFonts w:ascii="Arial" w:eastAsia="Yu Mincho" w:hAnsi="Arial" w:cs="Arial"/>
          <w:sz w:val="22"/>
          <w:szCs w:val="22"/>
          <w:lang w:eastAsia="en-GB"/>
        </w:rPr>
        <w:t xml:space="preserve"> (Accessed: 31 October 2025).</w:t>
      </w:r>
    </w:p>
    <w:p w14:paraId="5E2448C5" w14:textId="77777777" w:rsidR="003A2F22" w:rsidRPr="008A595F" w:rsidRDefault="003A2F22" w:rsidP="006D459A">
      <w:pPr>
        <w:spacing w:line="360" w:lineRule="auto"/>
        <w:rPr>
          <w:rFonts w:ascii="Arial" w:eastAsia="Yu Mincho" w:hAnsi="Arial" w:cs="Arial"/>
          <w:sz w:val="22"/>
          <w:szCs w:val="22"/>
          <w:lang w:eastAsia="en-GB"/>
        </w:rPr>
      </w:pPr>
      <w:r w:rsidRPr="008A595F">
        <w:rPr>
          <w:rFonts w:ascii="Arial" w:eastAsia="Yu Mincho" w:hAnsi="Arial" w:cs="Arial"/>
          <w:sz w:val="22"/>
          <w:szCs w:val="22"/>
          <w:lang w:eastAsia="en-GB"/>
        </w:rPr>
        <w:t xml:space="preserve">NHS England (2025b) Digital Maturity Assessment. Available at: </w:t>
      </w:r>
      <w:hyperlink r:id="rId29" w:history="1">
        <w:r w:rsidRPr="00286EBA">
          <w:rPr>
            <w:rStyle w:val="Hyperlink"/>
            <w:rFonts w:ascii="Arial" w:eastAsia="Yu Mincho" w:hAnsi="Arial" w:cs="Arial"/>
            <w:sz w:val="22"/>
            <w:szCs w:val="22"/>
            <w:lang w:eastAsia="en-GB"/>
          </w:rPr>
          <w:t>https://www.england.nhs.uk/digitaltechnology/connecteddigitalsystems/digital-maturity-assessment/</w:t>
        </w:r>
      </w:hyperlink>
      <w:r w:rsidRPr="008A595F">
        <w:rPr>
          <w:rFonts w:ascii="Arial" w:eastAsia="Yu Mincho" w:hAnsi="Arial" w:cs="Arial"/>
          <w:sz w:val="22"/>
          <w:szCs w:val="22"/>
          <w:lang w:eastAsia="en-GB"/>
        </w:rPr>
        <w:t xml:space="preserve"> (Accessed: 31 October 2025).</w:t>
      </w:r>
    </w:p>
    <w:p w14:paraId="240FD226" w14:textId="07B427C9" w:rsidR="003A246D" w:rsidRPr="00D81B3B" w:rsidRDefault="00EE7797" w:rsidP="00D81B3B">
      <w:pPr>
        <w:spacing w:before="100" w:beforeAutospacing="1" w:after="100" w:afterAutospacing="1" w:line="360" w:lineRule="auto"/>
        <w:rPr>
          <w:rFonts w:ascii="Arial" w:eastAsia="Times New Roman" w:hAnsi="Arial" w:cs="Arial"/>
          <w:kern w:val="0"/>
          <w:sz w:val="22"/>
          <w:szCs w:val="22"/>
          <w:lang w:eastAsia="en-GB"/>
          <w14:ligatures w14:val="none"/>
        </w:rPr>
      </w:pPr>
      <w:r w:rsidRPr="00EE7797">
        <w:rPr>
          <w:rFonts w:ascii="Arial" w:eastAsia="Times New Roman" w:hAnsi="Arial" w:cs="Arial"/>
          <w:kern w:val="0"/>
          <w:sz w:val="22"/>
          <w:szCs w:val="22"/>
          <w:lang w:eastAsia="en-GB"/>
          <w14:ligatures w14:val="none"/>
        </w:rPr>
        <w:lastRenderedPageBreak/>
        <w:t xml:space="preserve">Nuffield Trust (2022) Digital first primary care: benefits, limitations and the evidence. Nuffield Trust. Available at: </w:t>
      </w:r>
      <w:hyperlink r:id="rId30" w:history="1">
        <w:r w:rsidRPr="00EE7797">
          <w:rPr>
            <w:rFonts w:ascii="Arial" w:eastAsia="Times New Roman" w:hAnsi="Arial" w:cs="Arial"/>
            <w:color w:val="0000FF"/>
            <w:kern w:val="0"/>
            <w:sz w:val="22"/>
            <w:szCs w:val="22"/>
            <w:u w:val="single"/>
            <w:lang w:eastAsia="en-GB"/>
            <w14:ligatures w14:val="none"/>
          </w:rPr>
          <w:t>https://www.nuffieldtrust.org.uk/</w:t>
        </w:r>
      </w:hyperlink>
      <w:r w:rsidRPr="00EE7797">
        <w:rPr>
          <w:rFonts w:ascii="Arial" w:eastAsia="Times New Roman" w:hAnsi="Arial" w:cs="Arial"/>
          <w:kern w:val="0"/>
          <w:sz w:val="22"/>
          <w:szCs w:val="22"/>
          <w:lang w:eastAsia="en-GB"/>
          <w14:ligatures w14:val="none"/>
        </w:rPr>
        <w:t xml:space="preserve"> (Accessed: 02 November 2025).</w:t>
      </w:r>
    </w:p>
    <w:p w14:paraId="3108A886" w14:textId="30E032F6" w:rsidR="003A2F22" w:rsidRPr="00EB3960" w:rsidRDefault="003A2F22" w:rsidP="006D459A">
      <w:pPr>
        <w:spacing w:line="360" w:lineRule="auto"/>
        <w:rPr>
          <w:rFonts w:ascii="Arial" w:eastAsia="Yu Mincho" w:hAnsi="Arial" w:cs="Arial"/>
          <w:sz w:val="22"/>
          <w:szCs w:val="22"/>
          <w:lang w:eastAsia="en-GB"/>
        </w:rPr>
      </w:pPr>
      <w:r w:rsidRPr="00EB3960">
        <w:rPr>
          <w:rFonts w:ascii="Arial" w:eastAsia="Yu Mincho" w:hAnsi="Arial" w:cs="Arial"/>
          <w:sz w:val="22"/>
          <w:szCs w:val="22"/>
          <w:lang w:eastAsia="en-GB"/>
        </w:rPr>
        <w:t>Payne, R., Ladds, E., Rosen, R., Mackridge, A., Moore, L., van Dael, J., Brenman, N., Rybczynska</w:t>
      </w:r>
      <w:r w:rsidRPr="00EB3960">
        <w:rPr>
          <w:rFonts w:ascii="Cambria Math" w:eastAsia="Yu Mincho" w:hAnsi="Cambria Math" w:cs="Cambria Math"/>
          <w:sz w:val="22"/>
          <w:szCs w:val="22"/>
          <w:lang w:eastAsia="en-GB"/>
        </w:rPr>
        <w:t>‑</w:t>
      </w:r>
      <w:r w:rsidRPr="00EB3960">
        <w:rPr>
          <w:rFonts w:ascii="Arial" w:eastAsia="Yu Mincho" w:hAnsi="Arial" w:cs="Arial"/>
          <w:sz w:val="22"/>
          <w:szCs w:val="22"/>
          <w:lang w:eastAsia="en-GB"/>
        </w:rPr>
        <w:t xml:space="preserve">Bunt, S., Faulkner, S., Wherton, J., Wieringa, S. and Greenhalgh, T. (2024) ‘Patient safety in remote primary care encounters: a multimethod study combining Safety I and Safety II analysis’, </w:t>
      </w:r>
      <w:r w:rsidRPr="00EA4055">
        <w:rPr>
          <w:rFonts w:ascii="Arial" w:eastAsia="Yu Mincho" w:hAnsi="Arial" w:cs="Arial"/>
          <w:i/>
          <w:iCs/>
          <w:sz w:val="22"/>
          <w:szCs w:val="22"/>
          <w:lang w:eastAsia="en-GB"/>
        </w:rPr>
        <w:t>BMJ Quality &amp; Safety,</w:t>
      </w:r>
      <w:r w:rsidRPr="00EB3960">
        <w:rPr>
          <w:rFonts w:ascii="Arial" w:eastAsia="Yu Mincho" w:hAnsi="Arial" w:cs="Arial"/>
          <w:sz w:val="22"/>
          <w:szCs w:val="22"/>
          <w:lang w:eastAsia="en-GB"/>
        </w:rPr>
        <w:t xml:space="preserve"> 33(9), pp. 573–586. doi: 10.1136/bmjqs-2023-016674. Available at: </w:t>
      </w:r>
      <w:hyperlink r:id="rId31" w:history="1">
        <w:r w:rsidRPr="00EB3960">
          <w:rPr>
            <w:rStyle w:val="Hyperlink"/>
            <w:rFonts w:ascii="Arial" w:eastAsia="Yu Mincho" w:hAnsi="Arial" w:cs="Arial"/>
            <w:sz w:val="22"/>
            <w:szCs w:val="22"/>
            <w:lang w:eastAsia="en-GB"/>
          </w:rPr>
          <w:t>https://qualitysafety.bmj.com/content/33/9/573</w:t>
        </w:r>
      </w:hyperlink>
      <w:r w:rsidRPr="00EB3960">
        <w:rPr>
          <w:rFonts w:ascii="Arial" w:eastAsia="Yu Mincho" w:hAnsi="Arial" w:cs="Arial"/>
          <w:sz w:val="22"/>
          <w:szCs w:val="22"/>
          <w:lang w:eastAsia="en-GB"/>
        </w:rPr>
        <w:t xml:space="preserve"> (Accessed: 02 November 2025).</w:t>
      </w:r>
    </w:p>
    <w:p w14:paraId="6C38EFD6" w14:textId="4DFDEB3B" w:rsidR="00EE7797" w:rsidRPr="00EB3960" w:rsidRDefault="000A1F83" w:rsidP="006D459A">
      <w:pPr>
        <w:spacing w:line="360" w:lineRule="auto"/>
        <w:rPr>
          <w:rFonts w:ascii="Arial" w:eastAsia="Yu Mincho" w:hAnsi="Arial" w:cs="Arial"/>
          <w:sz w:val="22"/>
          <w:szCs w:val="22"/>
          <w:lang w:eastAsia="en-GB"/>
        </w:rPr>
      </w:pPr>
      <w:r w:rsidRPr="00EB3960">
        <w:rPr>
          <w:rFonts w:ascii="Arial" w:hAnsi="Arial" w:cs="Arial"/>
          <w:sz w:val="22"/>
          <w:szCs w:val="22"/>
        </w:rPr>
        <w:t>Poduval, S., et al. (2025) ‘Digital inclusion and primary care: lessons from community outreach programmes’, Journal of Primary Care &amp; Community Health, forthcoming.</w:t>
      </w:r>
    </w:p>
    <w:p w14:paraId="65D58B2E" w14:textId="77777777" w:rsidR="000A1F83" w:rsidRPr="00EB3960" w:rsidRDefault="000A1F83" w:rsidP="006D459A">
      <w:pPr>
        <w:spacing w:before="100" w:beforeAutospacing="1" w:after="100" w:afterAutospacing="1" w:line="360" w:lineRule="auto"/>
        <w:rPr>
          <w:rFonts w:ascii="Arial" w:eastAsia="Times New Roman" w:hAnsi="Arial" w:cs="Arial"/>
          <w:kern w:val="0"/>
          <w:sz w:val="22"/>
          <w:szCs w:val="22"/>
          <w:lang w:eastAsia="en-GB"/>
          <w14:ligatures w14:val="none"/>
        </w:rPr>
      </w:pPr>
      <w:r w:rsidRPr="00EB3960">
        <w:rPr>
          <w:rFonts w:ascii="Arial" w:eastAsia="Times New Roman" w:hAnsi="Arial" w:cs="Arial"/>
          <w:kern w:val="0"/>
          <w:sz w:val="22"/>
          <w:szCs w:val="22"/>
          <w:lang w:eastAsia="en-GB"/>
          <w14:ligatures w14:val="none"/>
        </w:rPr>
        <w:t>Ratwani, R. M., Fairbanks, R. J., Hettinger, A. Z. and Benda, N. C. (2018) ‘Electronic health record vendor use and safety concerns: mixed</w:t>
      </w:r>
      <w:r w:rsidRPr="00EB3960">
        <w:rPr>
          <w:rFonts w:ascii="Arial" w:eastAsia="Times New Roman" w:hAnsi="Arial" w:cs="Arial"/>
          <w:kern w:val="0"/>
          <w:sz w:val="22"/>
          <w:szCs w:val="22"/>
          <w:lang w:eastAsia="en-GB"/>
          <w14:ligatures w14:val="none"/>
        </w:rPr>
        <w:noBreakHyphen/>
        <w:t xml:space="preserve">methods evaluation’, </w:t>
      </w:r>
      <w:r w:rsidRPr="00C62248">
        <w:rPr>
          <w:rFonts w:ascii="Arial" w:eastAsia="Times New Roman" w:hAnsi="Arial" w:cs="Arial"/>
          <w:i/>
          <w:iCs/>
          <w:kern w:val="0"/>
          <w:sz w:val="22"/>
          <w:szCs w:val="22"/>
          <w:lang w:eastAsia="en-GB"/>
          <w14:ligatures w14:val="none"/>
        </w:rPr>
        <w:t xml:space="preserve">Health Affairs, </w:t>
      </w:r>
      <w:r w:rsidRPr="00EB3960">
        <w:rPr>
          <w:rFonts w:ascii="Arial" w:eastAsia="Times New Roman" w:hAnsi="Arial" w:cs="Arial"/>
          <w:kern w:val="0"/>
          <w:sz w:val="22"/>
          <w:szCs w:val="22"/>
          <w:lang w:eastAsia="en-GB"/>
          <w14:ligatures w14:val="none"/>
        </w:rPr>
        <w:t xml:space="preserve">37(11), pp. 1752–1759. Available at: </w:t>
      </w:r>
      <w:hyperlink r:id="rId32" w:history="1">
        <w:r w:rsidRPr="00EB3960">
          <w:rPr>
            <w:rFonts w:ascii="Arial" w:eastAsia="Times New Roman" w:hAnsi="Arial" w:cs="Arial"/>
            <w:color w:val="0000FF"/>
            <w:kern w:val="0"/>
            <w:sz w:val="22"/>
            <w:szCs w:val="22"/>
            <w:u w:val="single"/>
            <w:lang w:eastAsia="en-GB"/>
            <w14:ligatures w14:val="none"/>
          </w:rPr>
          <w:t>https://www.healthaffairs.org/</w:t>
        </w:r>
      </w:hyperlink>
      <w:r w:rsidRPr="00EB3960">
        <w:rPr>
          <w:rFonts w:ascii="Arial" w:eastAsia="Times New Roman" w:hAnsi="Arial" w:cs="Arial"/>
          <w:kern w:val="0"/>
          <w:sz w:val="22"/>
          <w:szCs w:val="22"/>
          <w:lang w:eastAsia="en-GB"/>
          <w14:ligatures w14:val="none"/>
        </w:rPr>
        <w:t xml:space="preserve"> (Accessed: 02 November 2025).</w:t>
      </w:r>
    </w:p>
    <w:p w14:paraId="4C494DCF" w14:textId="77777777" w:rsidR="000A1F83" w:rsidRPr="00EB3960" w:rsidRDefault="000A1F83" w:rsidP="006D459A">
      <w:pPr>
        <w:spacing w:before="100" w:beforeAutospacing="1" w:after="100" w:afterAutospacing="1" w:line="360" w:lineRule="auto"/>
        <w:rPr>
          <w:rFonts w:ascii="Arial" w:eastAsia="Times New Roman" w:hAnsi="Arial" w:cs="Arial"/>
          <w:kern w:val="0"/>
          <w:sz w:val="22"/>
          <w:szCs w:val="22"/>
          <w:lang w:eastAsia="en-GB"/>
          <w14:ligatures w14:val="none"/>
        </w:rPr>
      </w:pPr>
      <w:r w:rsidRPr="00EB3960">
        <w:rPr>
          <w:rFonts w:ascii="Arial" w:eastAsia="Times New Roman" w:hAnsi="Arial" w:cs="Arial"/>
          <w:kern w:val="0"/>
          <w:sz w:val="22"/>
          <w:szCs w:val="22"/>
          <w:lang w:eastAsia="en-GB"/>
          <w14:ligatures w14:val="none"/>
        </w:rPr>
        <w:t xml:space="preserve">University Hospitals Birmingham NHS Foundation Trust (2024) Annual report and accounts 2023/24. </w:t>
      </w:r>
      <w:r w:rsidRPr="00333169">
        <w:rPr>
          <w:rFonts w:ascii="Arial" w:eastAsia="Times New Roman" w:hAnsi="Arial" w:cs="Arial"/>
          <w:i/>
          <w:iCs/>
          <w:kern w:val="0"/>
          <w:sz w:val="22"/>
          <w:szCs w:val="22"/>
          <w:lang w:eastAsia="en-GB"/>
          <w14:ligatures w14:val="none"/>
        </w:rPr>
        <w:t xml:space="preserve">University Hospitals Birmingham NHS Foundation Trust. </w:t>
      </w:r>
      <w:r w:rsidRPr="00EB3960">
        <w:rPr>
          <w:rFonts w:ascii="Arial" w:eastAsia="Times New Roman" w:hAnsi="Arial" w:cs="Arial"/>
          <w:kern w:val="0"/>
          <w:sz w:val="22"/>
          <w:szCs w:val="22"/>
          <w:lang w:eastAsia="en-GB"/>
          <w14:ligatures w14:val="none"/>
        </w:rPr>
        <w:t xml:space="preserve">Available at: </w:t>
      </w:r>
      <w:hyperlink r:id="rId33" w:history="1">
        <w:r w:rsidRPr="00EB3960">
          <w:rPr>
            <w:rFonts w:ascii="Arial" w:eastAsia="Times New Roman" w:hAnsi="Arial" w:cs="Arial"/>
            <w:color w:val="0000FF"/>
            <w:kern w:val="0"/>
            <w:sz w:val="22"/>
            <w:szCs w:val="22"/>
            <w:u w:val="single"/>
            <w:lang w:eastAsia="en-GB"/>
            <w14:ligatures w14:val="none"/>
          </w:rPr>
          <w:t>https://docs.uhb.nhs.uk/index.php/s/iWX9WGa5SxJ7FTk?dir=undefined&amp;openfile=4268</w:t>
        </w:r>
      </w:hyperlink>
      <w:r w:rsidRPr="00EB3960">
        <w:rPr>
          <w:rFonts w:ascii="Arial" w:eastAsia="Times New Roman" w:hAnsi="Arial" w:cs="Arial"/>
          <w:kern w:val="0"/>
          <w:sz w:val="22"/>
          <w:szCs w:val="22"/>
          <w:lang w:eastAsia="en-GB"/>
          <w14:ligatures w14:val="none"/>
        </w:rPr>
        <w:t xml:space="preserve"> (Accessed: 02 November 2025).</w:t>
      </w:r>
    </w:p>
    <w:p w14:paraId="1BB3017C" w14:textId="4B303A56" w:rsidR="00EB3960" w:rsidRPr="008F31D5" w:rsidRDefault="00EB3960" w:rsidP="00EB3960">
      <w:pPr>
        <w:spacing w:line="360" w:lineRule="auto"/>
        <w:rPr>
          <w:rFonts w:ascii="Arial" w:hAnsi="Arial" w:cs="Arial"/>
          <w:lang w:eastAsia="en-GB"/>
        </w:rPr>
      </w:pPr>
      <w:r w:rsidRPr="008F31D5">
        <w:rPr>
          <w:rFonts w:ascii="Arial" w:hAnsi="Arial" w:cs="Arial"/>
          <w:lang w:eastAsia="en-GB"/>
        </w:rPr>
        <w:t>Wilmslow Health Centre (2025) We’re upgrading our electronic patient record system.</w:t>
      </w:r>
      <w:r w:rsidR="00D20B17">
        <w:rPr>
          <w:rFonts w:ascii="Arial" w:hAnsi="Arial" w:cs="Arial"/>
          <w:lang w:eastAsia="en-GB"/>
        </w:rPr>
        <w:t xml:space="preserve"> </w:t>
      </w:r>
      <w:r w:rsidR="00D20B17" w:rsidRPr="00E1522D">
        <w:rPr>
          <w:rFonts w:ascii="Arial" w:hAnsi="Arial" w:cs="Arial"/>
          <w:i/>
          <w:iCs/>
          <w:lang w:eastAsia="en-GB"/>
        </w:rPr>
        <w:t>Wilmslow</w:t>
      </w:r>
      <w:r w:rsidR="00D20B17">
        <w:rPr>
          <w:rFonts w:ascii="Arial" w:hAnsi="Arial" w:cs="Arial"/>
          <w:lang w:eastAsia="en-GB"/>
        </w:rPr>
        <w:t xml:space="preserve"> </w:t>
      </w:r>
      <w:r w:rsidR="00D20B17" w:rsidRPr="00E1522D">
        <w:rPr>
          <w:rFonts w:ascii="Arial" w:hAnsi="Arial" w:cs="Arial"/>
          <w:i/>
          <w:iCs/>
          <w:lang w:eastAsia="en-GB"/>
        </w:rPr>
        <w:t>Health</w:t>
      </w:r>
      <w:r w:rsidR="00D20B17">
        <w:rPr>
          <w:rFonts w:ascii="Arial" w:hAnsi="Arial" w:cs="Arial"/>
          <w:lang w:eastAsia="en-GB"/>
        </w:rPr>
        <w:t xml:space="preserve"> </w:t>
      </w:r>
      <w:r w:rsidR="00D20B17" w:rsidRPr="00E1522D">
        <w:rPr>
          <w:rFonts w:ascii="Arial" w:hAnsi="Arial" w:cs="Arial"/>
          <w:i/>
          <w:iCs/>
          <w:lang w:eastAsia="en-GB"/>
        </w:rPr>
        <w:t>Centre</w:t>
      </w:r>
      <w:r w:rsidRPr="008F31D5">
        <w:rPr>
          <w:rFonts w:ascii="Arial" w:hAnsi="Arial" w:cs="Arial"/>
          <w:lang w:eastAsia="en-GB"/>
        </w:rPr>
        <w:t xml:space="preserve"> Available at: </w:t>
      </w:r>
      <w:hyperlink r:id="rId34" w:history="1">
        <w:r w:rsidRPr="008F31D5">
          <w:rPr>
            <w:rFonts w:ascii="Arial" w:hAnsi="Arial" w:cs="Arial"/>
            <w:color w:val="467886" w:themeColor="hyperlink"/>
            <w:u w:val="single"/>
            <w:lang w:eastAsia="en-GB"/>
          </w:rPr>
          <w:t>https://wilmslowhealthcentre.com/%F0%9F%96%A5%EF%B8%8F-were-upgrading-our-electronic-patient-record-system/</w:t>
        </w:r>
      </w:hyperlink>
      <w:r w:rsidRPr="008F31D5">
        <w:rPr>
          <w:rFonts w:ascii="Arial" w:hAnsi="Arial" w:cs="Arial"/>
          <w:lang w:eastAsia="en-GB"/>
        </w:rPr>
        <w:t xml:space="preserve"> (Accessed: 02 November 2025)</w:t>
      </w:r>
    </w:p>
    <w:p w14:paraId="1C2BFCF3" w14:textId="373A7D74" w:rsidR="00EE7797" w:rsidRPr="00EE7797" w:rsidRDefault="00EE7797" w:rsidP="00EE779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9798BB3" w14:textId="77777777" w:rsidR="003A2F22" w:rsidRDefault="003A2F22" w:rsidP="003A2F22">
      <w:pPr>
        <w:spacing w:line="360" w:lineRule="auto"/>
        <w:rPr>
          <w:rFonts w:ascii="Arial" w:eastAsia="Yu Mincho" w:hAnsi="Arial" w:cs="Arial"/>
          <w:sz w:val="22"/>
          <w:szCs w:val="22"/>
          <w:lang w:eastAsia="en-GB"/>
        </w:rPr>
      </w:pPr>
    </w:p>
    <w:p w14:paraId="2492D23A" w14:textId="77777777" w:rsidR="008F31D5" w:rsidRPr="008F31D5" w:rsidRDefault="008F31D5" w:rsidP="008F31D5">
      <w:pPr>
        <w:spacing w:line="360" w:lineRule="auto"/>
        <w:rPr>
          <w:rFonts w:ascii="Arial" w:hAnsi="Arial" w:cs="Arial"/>
          <w:sz w:val="22"/>
          <w:szCs w:val="22"/>
          <w:lang w:eastAsia="en-GB"/>
        </w:rPr>
      </w:pPr>
    </w:p>
    <w:p w14:paraId="2F97BDFC" w14:textId="77777777" w:rsidR="008F31D5" w:rsidRPr="008F31D5" w:rsidRDefault="008F31D5" w:rsidP="008F31D5">
      <w:pPr>
        <w:keepNext/>
        <w:keepLines/>
        <w:spacing w:before="160" w:after="80"/>
        <w:outlineLvl w:val="1"/>
        <w:rPr>
          <w:rFonts w:asciiTheme="majorHAnsi" w:eastAsia="Times New Roman" w:hAnsiTheme="majorHAnsi" w:cstheme="majorBidi"/>
          <w:sz w:val="32"/>
          <w:szCs w:val="32"/>
          <w:lang w:eastAsia="en-GB"/>
        </w:rPr>
      </w:pPr>
    </w:p>
    <w:p w14:paraId="4A610DDF" w14:textId="77777777" w:rsidR="008F31D5" w:rsidRDefault="008F31D5" w:rsidP="00A21B15">
      <w:pPr>
        <w:spacing w:line="360" w:lineRule="auto"/>
        <w:rPr>
          <w:rFonts w:ascii="Arial" w:hAnsi="Arial" w:cs="Arial"/>
          <w:sz w:val="22"/>
          <w:szCs w:val="22"/>
          <w:lang w:eastAsia="en-GB"/>
        </w:rPr>
      </w:pPr>
    </w:p>
    <w:p w14:paraId="194AC116" w14:textId="77777777" w:rsidR="008F31D5" w:rsidRDefault="008F31D5" w:rsidP="00A21B15">
      <w:pPr>
        <w:spacing w:line="360" w:lineRule="auto"/>
        <w:rPr>
          <w:rFonts w:ascii="Arial" w:hAnsi="Arial" w:cs="Arial"/>
          <w:sz w:val="22"/>
          <w:szCs w:val="22"/>
          <w:lang w:eastAsia="en-GB"/>
        </w:rPr>
      </w:pPr>
    </w:p>
    <w:p w14:paraId="5B0B185C" w14:textId="77777777" w:rsidR="008F31D5" w:rsidRDefault="008F31D5" w:rsidP="00A21B15">
      <w:pPr>
        <w:spacing w:line="360" w:lineRule="auto"/>
        <w:rPr>
          <w:rFonts w:ascii="Arial" w:hAnsi="Arial" w:cs="Arial"/>
          <w:sz w:val="22"/>
          <w:szCs w:val="22"/>
          <w:lang w:eastAsia="en-GB"/>
        </w:rPr>
      </w:pPr>
    </w:p>
    <w:p w14:paraId="59A1E073" w14:textId="77777777" w:rsidR="00DD27B5" w:rsidRDefault="00DD27B5" w:rsidP="00A21B15">
      <w:pPr>
        <w:spacing w:line="360" w:lineRule="auto"/>
        <w:rPr>
          <w:rFonts w:ascii="Arial" w:hAnsi="Arial" w:cs="Arial"/>
          <w:sz w:val="22"/>
          <w:szCs w:val="22"/>
          <w:lang w:eastAsia="en-GB"/>
        </w:rPr>
      </w:pPr>
    </w:p>
    <w:p w14:paraId="05EAF92F" w14:textId="53B26454" w:rsidR="009D6213" w:rsidRDefault="0008553D" w:rsidP="00C462C4">
      <w:pPr>
        <w:pStyle w:val="Heading3"/>
        <w:rPr>
          <w:lang w:eastAsia="en-GB"/>
        </w:rPr>
      </w:pPr>
      <w:r>
        <w:rPr>
          <w:lang w:eastAsia="en-GB"/>
        </w:rPr>
        <w:lastRenderedPageBreak/>
        <w:t xml:space="preserve">Appendix </w:t>
      </w:r>
    </w:p>
    <w:tbl>
      <w:tblPr>
        <w:tblStyle w:val="GridTable6ColourfulAccent11"/>
        <w:tblpPr w:leftFromText="180" w:rightFromText="180" w:vertAnchor="text" w:horzAnchor="margin" w:tblpY="376"/>
        <w:tblW w:w="9317" w:type="dxa"/>
        <w:tblInd w:w="0" w:type="dxa"/>
        <w:tblLook w:val="0620" w:firstRow="1" w:lastRow="0" w:firstColumn="0" w:lastColumn="0" w:noHBand="1" w:noVBand="1"/>
      </w:tblPr>
      <w:tblGrid>
        <w:gridCol w:w="1585"/>
        <w:gridCol w:w="1832"/>
        <w:gridCol w:w="1857"/>
        <w:gridCol w:w="4043"/>
      </w:tblGrid>
      <w:tr w:rsidR="003F2B88" w:rsidRPr="00DC1C54" w14:paraId="7D9B1230" w14:textId="77777777" w:rsidTr="00EE663A">
        <w:trPr>
          <w:cnfStyle w:val="100000000000" w:firstRow="1" w:lastRow="0" w:firstColumn="0" w:lastColumn="0" w:oddVBand="0" w:evenVBand="0" w:oddHBand="0" w:evenHBand="0" w:firstRowFirstColumn="0" w:firstRowLastColumn="0" w:lastRowFirstColumn="0" w:lastRowLastColumn="0"/>
          <w:trHeight w:val="464"/>
        </w:trPr>
        <w:tc>
          <w:tcPr>
            <w:tcW w:w="0" w:type="auto"/>
            <w:shd w:val="clear" w:color="auto" w:fill="DAE9F7"/>
            <w:hideMark/>
          </w:tcPr>
          <w:p w14:paraId="7C40C799" w14:textId="77777777" w:rsidR="003F2B88" w:rsidRPr="00DC1C54" w:rsidRDefault="003F2B88" w:rsidP="00EE663A">
            <w:pPr>
              <w:spacing w:line="360" w:lineRule="auto"/>
              <w:rPr>
                <w:rFonts w:ascii="Arial" w:eastAsia="Times New Roman" w:hAnsi="Arial" w:cs="Arial"/>
                <w:sz w:val="20"/>
                <w:szCs w:val="20"/>
              </w:rPr>
            </w:pPr>
          </w:p>
          <w:p w14:paraId="5C364645"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Feature</w:t>
            </w:r>
          </w:p>
        </w:tc>
        <w:tc>
          <w:tcPr>
            <w:tcW w:w="0" w:type="auto"/>
            <w:shd w:val="clear" w:color="auto" w:fill="DAE9F7"/>
            <w:hideMark/>
          </w:tcPr>
          <w:p w14:paraId="2932B17D" w14:textId="77777777" w:rsidR="003F2B88" w:rsidRPr="00DC1C54" w:rsidRDefault="003F2B88" w:rsidP="00EE663A">
            <w:pPr>
              <w:spacing w:line="360" w:lineRule="auto"/>
              <w:rPr>
                <w:rFonts w:ascii="Arial" w:eastAsia="Times New Roman" w:hAnsi="Arial" w:cs="Arial"/>
                <w:sz w:val="20"/>
                <w:szCs w:val="20"/>
              </w:rPr>
            </w:pPr>
          </w:p>
          <w:p w14:paraId="18CFDBE2"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 xml:space="preserve">Legacy Systems (EMIS Web, SystmOne) </w:t>
            </w:r>
          </w:p>
          <w:p w14:paraId="79332DE9" w14:textId="77777777" w:rsidR="003F2B88" w:rsidRPr="00DC1C54" w:rsidRDefault="003F2B88" w:rsidP="00EE663A">
            <w:pPr>
              <w:spacing w:line="360" w:lineRule="auto"/>
              <w:rPr>
                <w:rFonts w:ascii="Arial" w:eastAsia="Times New Roman" w:hAnsi="Arial" w:cs="Arial"/>
                <w:sz w:val="20"/>
                <w:szCs w:val="20"/>
              </w:rPr>
            </w:pPr>
          </w:p>
        </w:tc>
        <w:tc>
          <w:tcPr>
            <w:tcW w:w="0" w:type="auto"/>
            <w:shd w:val="clear" w:color="auto" w:fill="DAE9F7"/>
            <w:hideMark/>
          </w:tcPr>
          <w:p w14:paraId="3B75486B" w14:textId="77777777" w:rsidR="003F2B88" w:rsidRPr="00DC1C54" w:rsidRDefault="003F2B88" w:rsidP="00EE663A">
            <w:pPr>
              <w:spacing w:line="360" w:lineRule="auto"/>
              <w:rPr>
                <w:rFonts w:ascii="Arial" w:eastAsia="Times New Roman" w:hAnsi="Arial" w:cs="Arial"/>
                <w:sz w:val="20"/>
                <w:szCs w:val="20"/>
              </w:rPr>
            </w:pPr>
          </w:p>
          <w:p w14:paraId="1D68059E"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Medicus Health (Cloud-Based)</w:t>
            </w:r>
          </w:p>
          <w:p w14:paraId="3AAC4295" w14:textId="77777777" w:rsidR="003F2B88" w:rsidRPr="00DC1C54" w:rsidRDefault="003F2B88" w:rsidP="00EE663A">
            <w:pPr>
              <w:spacing w:line="360" w:lineRule="auto"/>
              <w:rPr>
                <w:rFonts w:ascii="Arial" w:eastAsia="Times New Roman" w:hAnsi="Arial" w:cs="Arial"/>
                <w:sz w:val="20"/>
                <w:szCs w:val="20"/>
              </w:rPr>
            </w:pPr>
          </w:p>
        </w:tc>
        <w:tc>
          <w:tcPr>
            <w:tcW w:w="4043" w:type="dxa"/>
            <w:shd w:val="clear" w:color="auto" w:fill="DAE9F7"/>
            <w:hideMark/>
          </w:tcPr>
          <w:p w14:paraId="7D833334" w14:textId="77777777" w:rsidR="003F2B88" w:rsidRPr="00DC1C54" w:rsidRDefault="003F2B88" w:rsidP="00EE663A">
            <w:pPr>
              <w:spacing w:line="360" w:lineRule="auto"/>
              <w:rPr>
                <w:rFonts w:ascii="Arial" w:eastAsia="Times New Roman" w:hAnsi="Arial" w:cs="Arial"/>
                <w:sz w:val="20"/>
                <w:szCs w:val="20"/>
              </w:rPr>
            </w:pPr>
          </w:p>
          <w:p w14:paraId="2D50535E"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Key Characteristics</w:t>
            </w:r>
          </w:p>
        </w:tc>
      </w:tr>
      <w:tr w:rsidR="003F2B88" w:rsidRPr="00DC1C54" w14:paraId="5EE025EB" w14:textId="77777777" w:rsidTr="00EE663A">
        <w:trPr>
          <w:trHeight w:val="479"/>
        </w:trPr>
        <w:tc>
          <w:tcPr>
            <w:tcW w:w="0" w:type="auto"/>
            <w:hideMark/>
          </w:tcPr>
          <w:p w14:paraId="4115C1DC" w14:textId="77777777" w:rsidR="003F2B88" w:rsidRPr="00DC1C54" w:rsidRDefault="003F2B88" w:rsidP="00EE663A">
            <w:pPr>
              <w:spacing w:line="360" w:lineRule="auto"/>
              <w:rPr>
                <w:rFonts w:ascii="Arial" w:eastAsia="Times New Roman" w:hAnsi="Arial" w:cs="Arial"/>
                <w:sz w:val="20"/>
                <w:szCs w:val="20"/>
              </w:rPr>
            </w:pPr>
          </w:p>
          <w:p w14:paraId="7ABAE9AA"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Launch Period</w:t>
            </w:r>
          </w:p>
          <w:p w14:paraId="6FA3094E" w14:textId="77777777" w:rsidR="003F2B88" w:rsidRPr="00DC1C54" w:rsidRDefault="003F2B88" w:rsidP="00EE663A">
            <w:pPr>
              <w:spacing w:line="360" w:lineRule="auto"/>
              <w:rPr>
                <w:rFonts w:ascii="Arial" w:eastAsia="Times New Roman" w:hAnsi="Arial" w:cs="Arial"/>
                <w:sz w:val="20"/>
                <w:szCs w:val="20"/>
              </w:rPr>
            </w:pPr>
          </w:p>
        </w:tc>
        <w:tc>
          <w:tcPr>
            <w:tcW w:w="0" w:type="auto"/>
            <w:hideMark/>
          </w:tcPr>
          <w:p w14:paraId="5CA8DA90" w14:textId="77777777" w:rsidR="003F2B88" w:rsidRPr="00DC1C54" w:rsidRDefault="003F2B88" w:rsidP="00EE663A">
            <w:pPr>
              <w:spacing w:line="360" w:lineRule="auto"/>
              <w:rPr>
                <w:rFonts w:ascii="Arial" w:eastAsia="Times New Roman" w:hAnsi="Arial" w:cs="Arial"/>
                <w:sz w:val="20"/>
                <w:szCs w:val="20"/>
              </w:rPr>
            </w:pPr>
          </w:p>
          <w:p w14:paraId="54D5AF70"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1990s–2000s</w:t>
            </w:r>
          </w:p>
        </w:tc>
        <w:tc>
          <w:tcPr>
            <w:tcW w:w="0" w:type="auto"/>
            <w:hideMark/>
          </w:tcPr>
          <w:p w14:paraId="24B82F76" w14:textId="77777777" w:rsidR="003F2B88" w:rsidRPr="00DC1C54" w:rsidRDefault="003F2B88" w:rsidP="00EE663A">
            <w:pPr>
              <w:spacing w:line="360" w:lineRule="auto"/>
              <w:rPr>
                <w:rFonts w:ascii="Arial" w:eastAsia="Times New Roman" w:hAnsi="Arial" w:cs="Arial"/>
                <w:sz w:val="20"/>
                <w:szCs w:val="20"/>
              </w:rPr>
            </w:pPr>
          </w:p>
          <w:p w14:paraId="49017831"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2025</w:t>
            </w:r>
          </w:p>
        </w:tc>
        <w:tc>
          <w:tcPr>
            <w:tcW w:w="4043" w:type="dxa"/>
            <w:hideMark/>
          </w:tcPr>
          <w:p w14:paraId="586CBDBA" w14:textId="77777777" w:rsidR="003F2B88" w:rsidRPr="00DC1C54" w:rsidRDefault="003F2B88" w:rsidP="00EE663A">
            <w:pPr>
              <w:spacing w:line="360" w:lineRule="auto"/>
              <w:rPr>
                <w:rFonts w:ascii="Arial" w:eastAsia="Times New Roman" w:hAnsi="Arial" w:cs="Arial"/>
                <w:sz w:val="20"/>
                <w:szCs w:val="20"/>
              </w:rPr>
            </w:pPr>
          </w:p>
          <w:p w14:paraId="5EB75ED0"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EMIS: widely used GP system; SystmOne: centralised, strong in community care</w:t>
            </w:r>
          </w:p>
          <w:p w14:paraId="3BBD2E06" w14:textId="77777777" w:rsidR="003F2B88" w:rsidRPr="00DC1C54" w:rsidRDefault="003F2B88" w:rsidP="00EE663A">
            <w:pPr>
              <w:spacing w:line="360" w:lineRule="auto"/>
              <w:rPr>
                <w:rFonts w:ascii="Arial" w:eastAsia="Times New Roman" w:hAnsi="Arial" w:cs="Arial"/>
                <w:sz w:val="20"/>
                <w:szCs w:val="20"/>
              </w:rPr>
            </w:pPr>
          </w:p>
          <w:p w14:paraId="639B7B90" w14:textId="77777777" w:rsidR="003F2B88" w:rsidRPr="00DC1C54" w:rsidRDefault="003F2B88" w:rsidP="00EE663A">
            <w:pPr>
              <w:spacing w:line="360" w:lineRule="auto"/>
              <w:rPr>
                <w:rFonts w:ascii="Arial" w:eastAsia="Times New Roman" w:hAnsi="Arial" w:cs="Arial"/>
                <w:sz w:val="20"/>
                <w:szCs w:val="20"/>
              </w:rPr>
            </w:pPr>
          </w:p>
        </w:tc>
      </w:tr>
      <w:tr w:rsidR="003F2B88" w:rsidRPr="00DC1C54" w14:paraId="2DC01B82" w14:textId="77777777" w:rsidTr="00EE663A">
        <w:trPr>
          <w:trHeight w:val="319"/>
        </w:trPr>
        <w:tc>
          <w:tcPr>
            <w:tcW w:w="0" w:type="auto"/>
            <w:hideMark/>
          </w:tcPr>
          <w:p w14:paraId="581B83B5" w14:textId="77777777" w:rsidR="003F2B88" w:rsidRPr="00DC1C54" w:rsidRDefault="003F2B88" w:rsidP="00EE663A">
            <w:pPr>
              <w:spacing w:line="360" w:lineRule="auto"/>
              <w:rPr>
                <w:rFonts w:ascii="Arial" w:eastAsia="Times New Roman" w:hAnsi="Arial" w:cs="Arial"/>
                <w:sz w:val="20"/>
                <w:szCs w:val="20"/>
                <w:highlight w:val="yellow"/>
              </w:rPr>
            </w:pPr>
          </w:p>
          <w:p w14:paraId="3298A0B4" w14:textId="77777777" w:rsidR="003F2B88" w:rsidRPr="00DC1C54" w:rsidRDefault="003F2B88" w:rsidP="00EE663A">
            <w:pPr>
              <w:spacing w:line="360" w:lineRule="auto"/>
              <w:rPr>
                <w:rFonts w:ascii="Arial" w:eastAsia="Times New Roman" w:hAnsi="Arial" w:cs="Arial"/>
                <w:sz w:val="20"/>
                <w:szCs w:val="20"/>
                <w:highlight w:val="yellow"/>
              </w:rPr>
            </w:pPr>
            <w:r w:rsidRPr="00DC1C54">
              <w:rPr>
                <w:rFonts w:ascii="Arial" w:eastAsia="Times New Roman" w:hAnsi="Arial" w:cs="Arial"/>
                <w:sz w:val="20"/>
                <w:szCs w:val="20"/>
                <w:highlight w:val="yellow"/>
              </w:rPr>
              <w:t>Hosting Model</w:t>
            </w:r>
          </w:p>
          <w:p w14:paraId="2459ED16" w14:textId="77777777" w:rsidR="003F2B88" w:rsidRPr="00DC1C54" w:rsidRDefault="003F2B88" w:rsidP="00EE663A">
            <w:pPr>
              <w:spacing w:line="360" w:lineRule="auto"/>
              <w:rPr>
                <w:rFonts w:ascii="Arial" w:eastAsia="Times New Roman" w:hAnsi="Arial" w:cs="Arial"/>
                <w:sz w:val="20"/>
                <w:szCs w:val="20"/>
                <w:highlight w:val="yellow"/>
              </w:rPr>
            </w:pPr>
          </w:p>
        </w:tc>
        <w:tc>
          <w:tcPr>
            <w:tcW w:w="0" w:type="auto"/>
            <w:hideMark/>
          </w:tcPr>
          <w:p w14:paraId="28E93AB6" w14:textId="77777777" w:rsidR="003F2B88" w:rsidRPr="00DC1C54" w:rsidRDefault="003F2B88" w:rsidP="00EE663A">
            <w:pPr>
              <w:spacing w:line="360" w:lineRule="auto"/>
              <w:rPr>
                <w:rFonts w:ascii="Arial" w:eastAsia="Times New Roman" w:hAnsi="Arial" w:cs="Arial"/>
                <w:sz w:val="20"/>
                <w:szCs w:val="20"/>
              </w:rPr>
            </w:pPr>
          </w:p>
          <w:p w14:paraId="167E2A2B"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Locally hosted or hybrid cloud</w:t>
            </w:r>
          </w:p>
          <w:p w14:paraId="01246321" w14:textId="77777777" w:rsidR="003F2B88" w:rsidRPr="00DC1C54" w:rsidRDefault="003F2B88" w:rsidP="00EE663A">
            <w:pPr>
              <w:spacing w:line="360" w:lineRule="auto"/>
              <w:rPr>
                <w:rFonts w:ascii="Arial" w:eastAsia="Times New Roman" w:hAnsi="Arial" w:cs="Arial"/>
                <w:sz w:val="20"/>
                <w:szCs w:val="20"/>
              </w:rPr>
            </w:pPr>
          </w:p>
          <w:p w14:paraId="6BFBA29B" w14:textId="77777777" w:rsidR="003F2B88" w:rsidRPr="00DC1C54" w:rsidRDefault="003F2B88" w:rsidP="00EE663A">
            <w:pPr>
              <w:spacing w:line="360" w:lineRule="auto"/>
              <w:rPr>
                <w:rFonts w:ascii="Arial" w:eastAsia="Times New Roman" w:hAnsi="Arial" w:cs="Arial"/>
                <w:sz w:val="20"/>
                <w:szCs w:val="20"/>
              </w:rPr>
            </w:pPr>
          </w:p>
        </w:tc>
        <w:tc>
          <w:tcPr>
            <w:tcW w:w="0" w:type="auto"/>
            <w:hideMark/>
          </w:tcPr>
          <w:p w14:paraId="2F9A084D" w14:textId="77777777" w:rsidR="003F2B88" w:rsidRPr="00DC1C54" w:rsidRDefault="003F2B88" w:rsidP="00EE663A">
            <w:pPr>
              <w:spacing w:line="360" w:lineRule="auto"/>
              <w:rPr>
                <w:rFonts w:ascii="Arial" w:eastAsia="Times New Roman" w:hAnsi="Arial" w:cs="Arial"/>
                <w:sz w:val="20"/>
                <w:szCs w:val="20"/>
              </w:rPr>
            </w:pPr>
          </w:p>
          <w:p w14:paraId="433D37E2"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Fully cloud-based</w:t>
            </w:r>
          </w:p>
        </w:tc>
        <w:tc>
          <w:tcPr>
            <w:tcW w:w="4043" w:type="dxa"/>
            <w:hideMark/>
          </w:tcPr>
          <w:p w14:paraId="1E959EA3" w14:textId="77777777" w:rsidR="003F2B88" w:rsidRPr="00DC1C54" w:rsidRDefault="003F2B88" w:rsidP="00EE663A">
            <w:pPr>
              <w:spacing w:line="360" w:lineRule="auto"/>
              <w:rPr>
                <w:rFonts w:ascii="Arial" w:eastAsia="Times New Roman" w:hAnsi="Arial" w:cs="Arial"/>
                <w:sz w:val="20"/>
                <w:szCs w:val="20"/>
              </w:rPr>
            </w:pPr>
          </w:p>
          <w:p w14:paraId="6CF39C44"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Medicus: ISO 27001, GDPR, Cyber Essentials Plus, DCB0129-compliant</w:t>
            </w:r>
          </w:p>
          <w:p w14:paraId="58BEE0BA" w14:textId="77777777" w:rsidR="003F2B88" w:rsidRPr="00DC1C54" w:rsidRDefault="003F2B88" w:rsidP="00EE663A">
            <w:pPr>
              <w:spacing w:line="360" w:lineRule="auto"/>
              <w:rPr>
                <w:rFonts w:ascii="Arial" w:eastAsia="Times New Roman" w:hAnsi="Arial" w:cs="Arial"/>
                <w:sz w:val="20"/>
                <w:szCs w:val="20"/>
              </w:rPr>
            </w:pPr>
          </w:p>
        </w:tc>
      </w:tr>
      <w:tr w:rsidR="003F2B88" w:rsidRPr="00DC1C54" w14:paraId="05CE5F28" w14:textId="77777777" w:rsidTr="00EE663A">
        <w:trPr>
          <w:trHeight w:val="479"/>
        </w:trPr>
        <w:tc>
          <w:tcPr>
            <w:tcW w:w="0" w:type="auto"/>
            <w:hideMark/>
          </w:tcPr>
          <w:p w14:paraId="3DEC1F32" w14:textId="77777777" w:rsidR="003F2B88" w:rsidRPr="00DC1C54" w:rsidRDefault="003F2B88" w:rsidP="00EE663A">
            <w:pPr>
              <w:spacing w:line="360" w:lineRule="auto"/>
              <w:rPr>
                <w:rFonts w:ascii="Arial" w:eastAsia="Times New Roman" w:hAnsi="Arial" w:cs="Arial"/>
                <w:sz w:val="20"/>
                <w:szCs w:val="20"/>
                <w:highlight w:val="yellow"/>
              </w:rPr>
            </w:pPr>
          </w:p>
          <w:p w14:paraId="26759A41"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highlight w:val="yellow"/>
              </w:rPr>
              <w:t>Interoperability</w:t>
            </w:r>
          </w:p>
        </w:tc>
        <w:tc>
          <w:tcPr>
            <w:tcW w:w="0" w:type="auto"/>
            <w:hideMark/>
          </w:tcPr>
          <w:p w14:paraId="08AB8855" w14:textId="77777777" w:rsidR="003F2B88" w:rsidRPr="00DC1C54" w:rsidRDefault="003F2B88" w:rsidP="00EE663A">
            <w:pPr>
              <w:spacing w:line="360" w:lineRule="auto"/>
              <w:rPr>
                <w:rFonts w:ascii="Arial" w:eastAsia="Times New Roman" w:hAnsi="Arial" w:cs="Arial"/>
                <w:sz w:val="20"/>
                <w:szCs w:val="20"/>
              </w:rPr>
            </w:pPr>
          </w:p>
          <w:p w14:paraId="3799DAC1"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Limited integration with newer NHS services</w:t>
            </w:r>
          </w:p>
        </w:tc>
        <w:tc>
          <w:tcPr>
            <w:tcW w:w="0" w:type="auto"/>
            <w:hideMark/>
          </w:tcPr>
          <w:p w14:paraId="2469E898" w14:textId="77777777" w:rsidR="003F2B88" w:rsidRPr="00DC1C54" w:rsidRDefault="003F2B88" w:rsidP="00EE663A">
            <w:pPr>
              <w:spacing w:line="360" w:lineRule="auto"/>
              <w:rPr>
                <w:rFonts w:ascii="Arial" w:eastAsia="Times New Roman" w:hAnsi="Arial" w:cs="Arial"/>
                <w:sz w:val="20"/>
                <w:szCs w:val="20"/>
              </w:rPr>
            </w:pPr>
          </w:p>
          <w:p w14:paraId="0E0CD7D4"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Integrates with 24+ NHS services (e.g. NHS App, EPS)</w:t>
            </w:r>
          </w:p>
          <w:p w14:paraId="1DC093DE" w14:textId="77777777" w:rsidR="003F2B88" w:rsidRPr="00DC1C54" w:rsidRDefault="003F2B88" w:rsidP="00EE663A">
            <w:pPr>
              <w:spacing w:line="360" w:lineRule="auto"/>
              <w:rPr>
                <w:rFonts w:ascii="Arial" w:eastAsia="Times New Roman" w:hAnsi="Arial" w:cs="Arial"/>
                <w:sz w:val="20"/>
                <w:szCs w:val="20"/>
              </w:rPr>
            </w:pPr>
          </w:p>
          <w:p w14:paraId="7FF579CC"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074E7243" w14:textId="77777777" w:rsidR="003F2B88" w:rsidRPr="00DC1C54" w:rsidRDefault="003F2B88" w:rsidP="00EE663A">
            <w:pPr>
              <w:spacing w:line="360" w:lineRule="auto"/>
              <w:rPr>
                <w:rFonts w:ascii="Arial" w:eastAsia="Times New Roman" w:hAnsi="Arial" w:cs="Arial"/>
                <w:sz w:val="20"/>
                <w:szCs w:val="20"/>
              </w:rPr>
            </w:pPr>
          </w:p>
          <w:p w14:paraId="67821E39"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Real-time web access: NHS Mail, MESH, scanned post integration</w:t>
            </w:r>
          </w:p>
        </w:tc>
      </w:tr>
      <w:tr w:rsidR="003F2B88" w:rsidRPr="00DC1C54" w14:paraId="60B0D184" w14:textId="77777777" w:rsidTr="00EE663A">
        <w:trPr>
          <w:trHeight w:val="150"/>
        </w:trPr>
        <w:tc>
          <w:tcPr>
            <w:tcW w:w="0" w:type="auto"/>
            <w:hideMark/>
          </w:tcPr>
          <w:p w14:paraId="59252AF7" w14:textId="77777777" w:rsidR="003F2B88" w:rsidRPr="00DC1C54" w:rsidRDefault="003F2B88" w:rsidP="00EE663A">
            <w:pPr>
              <w:spacing w:line="360" w:lineRule="auto"/>
              <w:rPr>
                <w:rFonts w:ascii="Arial" w:eastAsia="Times New Roman" w:hAnsi="Arial" w:cs="Arial"/>
                <w:sz w:val="20"/>
                <w:szCs w:val="20"/>
              </w:rPr>
            </w:pPr>
          </w:p>
          <w:p w14:paraId="01EE30BB"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Device Accessibility</w:t>
            </w:r>
          </w:p>
          <w:p w14:paraId="29D03819" w14:textId="77777777" w:rsidR="003F2B88" w:rsidRPr="00DC1C54" w:rsidRDefault="003F2B88" w:rsidP="00EE663A">
            <w:pPr>
              <w:spacing w:line="360" w:lineRule="auto"/>
              <w:rPr>
                <w:rFonts w:ascii="Arial" w:eastAsia="Times New Roman" w:hAnsi="Arial" w:cs="Arial"/>
                <w:sz w:val="20"/>
                <w:szCs w:val="20"/>
              </w:rPr>
            </w:pPr>
          </w:p>
          <w:p w14:paraId="3404D979" w14:textId="77777777" w:rsidR="003F2B88" w:rsidRPr="00DC1C54" w:rsidRDefault="003F2B88" w:rsidP="00EE663A">
            <w:pPr>
              <w:spacing w:line="360" w:lineRule="auto"/>
              <w:rPr>
                <w:rFonts w:ascii="Arial" w:eastAsia="Times New Roman" w:hAnsi="Arial" w:cs="Arial"/>
                <w:sz w:val="20"/>
                <w:szCs w:val="20"/>
              </w:rPr>
            </w:pPr>
          </w:p>
        </w:tc>
        <w:tc>
          <w:tcPr>
            <w:tcW w:w="0" w:type="auto"/>
            <w:hideMark/>
          </w:tcPr>
          <w:p w14:paraId="3917BEE4" w14:textId="77777777" w:rsidR="003F2B88" w:rsidRPr="00DC1C54" w:rsidRDefault="003F2B88" w:rsidP="00EE663A">
            <w:pPr>
              <w:spacing w:line="360" w:lineRule="auto"/>
              <w:rPr>
                <w:rFonts w:ascii="Arial" w:eastAsia="Times New Roman" w:hAnsi="Arial" w:cs="Arial"/>
                <w:sz w:val="20"/>
                <w:szCs w:val="20"/>
              </w:rPr>
            </w:pPr>
          </w:p>
          <w:p w14:paraId="5F02F2B0"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Desktop-focused</w:t>
            </w:r>
          </w:p>
        </w:tc>
        <w:tc>
          <w:tcPr>
            <w:tcW w:w="0" w:type="auto"/>
            <w:hideMark/>
          </w:tcPr>
          <w:p w14:paraId="0F253D2E" w14:textId="77777777" w:rsidR="003F2B88" w:rsidRPr="00DC1C54" w:rsidRDefault="003F2B88" w:rsidP="00EE663A">
            <w:pPr>
              <w:spacing w:line="360" w:lineRule="auto"/>
              <w:rPr>
                <w:rFonts w:ascii="Arial" w:eastAsia="Times New Roman" w:hAnsi="Arial" w:cs="Arial"/>
                <w:sz w:val="20"/>
                <w:szCs w:val="20"/>
              </w:rPr>
            </w:pPr>
          </w:p>
          <w:p w14:paraId="22A8CF20"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Tablets, mobiles, desktops</w:t>
            </w:r>
          </w:p>
          <w:p w14:paraId="411EC80E"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54ED9B39" w14:textId="77777777" w:rsidR="003F2B88" w:rsidRPr="00DC1C54" w:rsidRDefault="003F2B88" w:rsidP="00EE663A">
            <w:pPr>
              <w:spacing w:line="360" w:lineRule="auto"/>
              <w:rPr>
                <w:rFonts w:ascii="Arial" w:eastAsia="Times New Roman" w:hAnsi="Arial" w:cs="Arial"/>
                <w:sz w:val="20"/>
                <w:szCs w:val="20"/>
              </w:rPr>
            </w:pPr>
          </w:p>
          <w:p w14:paraId="3A68C741"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Responsive UI across platforms</w:t>
            </w:r>
          </w:p>
        </w:tc>
      </w:tr>
      <w:tr w:rsidR="003F2B88" w:rsidRPr="00DC1C54" w14:paraId="31AA59FE" w14:textId="77777777" w:rsidTr="00EE663A">
        <w:trPr>
          <w:trHeight w:val="479"/>
        </w:trPr>
        <w:tc>
          <w:tcPr>
            <w:tcW w:w="0" w:type="auto"/>
            <w:hideMark/>
          </w:tcPr>
          <w:p w14:paraId="7A62AB09" w14:textId="77777777" w:rsidR="003F2B88" w:rsidRPr="00DC1C54" w:rsidRDefault="003F2B88" w:rsidP="00EE663A">
            <w:pPr>
              <w:spacing w:line="360" w:lineRule="auto"/>
              <w:rPr>
                <w:rFonts w:ascii="Arial" w:eastAsia="Times New Roman" w:hAnsi="Arial" w:cs="Arial"/>
                <w:sz w:val="20"/>
                <w:szCs w:val="20"/>
              </w:rPr>
            </w:pPr>
          </w:p>
          <w:p w14:paraId="364882AA"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Clinical Safety Assurance</w:t>
            </w:r>
          </w:p>
        </w:tc>
        <w:tc>
          <w:tcPr>
            <w:tcW w:w="0" w:type="auto"/>
            <w:hideMark/>
          </w:tcPr>
          <w:p w14:paraId="16C97A1E" w14:textId="77777777" w:rsidR="003F2B88" w:rsidRPr="00DC1C54" w:rsidRDefault="003F2B88" w:rsidP="00EE663A">
            <w:pPr>
              <w:spacing w:line="360" w:lineRule="auto"/>
              <w:rPr>
                <w:rFonts w:ascii="Arial" w:eastAsia="Times New Roman" w:hAnsi="Arial" w:cs="Arial"/>
                <w:sz w:val="20"/>
                <w:szCs w:val="20"/>
              </w:rPr>
            </w:pPr>
          </w:p>
          <w:p w14:paraId="4A5E99E1"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Not fully aligned with DCB0129/0160</w:t>
            </w:r>
          </w:p>
        </w:tc>
        <w:tc>
          <w:tcPr>
            <w:tcW w:w="0" w:type="auto"/>
            <w:hideMark/>
          </w:tcPr>
          <w:p w14:paraId="2A42236F" w14:textId="77777777" w:rsidR="003F2B88" w:rsidRPr="00DC1C54" w:rsidRDefault="003F2B88" w:rsidP="00EE663A">
            <w:pPr>
              <w:spacing w:line="360" w:lineRule="auto"/>
              <w:rPr>
                <w:rFonts w:ascii="Arial" w:eastAsia="Times New Roman" w:hAnsi="Arial" w:cs="Arial"/>
                <w:sz w:val="20"/>
                <w:szCs w:val="20"/>
              </w:rPr>
            </w:pPr>
          </w:p>
          <w:p w14:paraId="465612DE"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Fully assured under the NHS Tech Innovation Framework</w:t>
            </w:r>
          </w:p>
          <w:p w14:paraId="6F1EBBAB" w14:textId="77777777" w:rsidR="003F2B88" w:rsidRPr="00DC1C54" w:rsidRDefault="003F2B88" w:rsidP="00EE663A">
            <w:pPr>
              <w:spacing w:line="360" w:lineRule="auto"/>
              <w:rPr>
                <w:rFonts w:ascii="Arial" w:eastAsia="Times New Roman" w:hAnsi="Arial" w:cs="Arial"/>
                <w:sz w:val="20"/>
                <w:szCs w:val="20"/>
              </w:rPr>
            </w:pPr>
          </w:p>
          <w:p w14:paraId="091273FA"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23F8042E" w14:textId="77777777" w:rsidR="003F2B88" w:rsidRPr="00DC1C54" w:rsidRDefault="003F2B88" w:rsidP="00EE663A">
            <w:pPr>
              <w:spacing w:line="360" w:lineRule="auto"/>
              <w:rPr>
                <w:rFonts w:ascii="Arial" w:eastAsia="Times New Roman" w:hAnsi="Arial" w:cs="Arial"/>
                <w:sz w:val="20"/>
                <w:szCs w:val="20"/>
              </w:rPr>
            </w:pPr>
          </w:p>
          <w:p w14:paraId="7CC521B0"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Meets NHS Digital safety standards</w:t>
            </w:r>
          </w:p>
        </w:tc>
      </w:tr>
      <w:tr w:rsidR="003F2B88" w:rsidRPr="00DC1C54" w14:paraId="4950AA75" w14:textId="77777777" w:rsidTr="00EE663A">
        <w:trPr>
          <w:trHeight w:val="319"/>
        </w:trPr>
        <w:tc>
          <w:tcPr>
            <w:tcW w:w="0" w:type="auto"/>
            <w:hideMark/>
          </w:tcPr>
          <w:p w14:paraId="6F4B4541" w14:textId="77777777" w:rsidR="003F2B88" w:rsidRPr="00DC1C54" w:rsidRDefault="003F2B88" w:rsidP="00EE663A">
            <w:pPr>
              <w:spacing w:line="360" w:lineRule="auto"/>
              <w:rPr>
                <w:rFonts w:ascii="Arial" w:eastAsia="Times New Roman" w:hAnsi="Arial" w:cs="Arial"/>
                <w:sz w:val="20"/>
                <w:szCs w:val="20"/>
              </w:rPr>
            </w:pPr>
          </w:p>
          <w:p w14:paraId="35ACC29A"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User Experience</w:t>
            </w:r>
          </w:p>
          <w:p w14:paraId="3FB26EAE" w14:textId="77777777" w:rsidR="003F2B88" w:rsidRPr="00DC1C54" w:rsidRDefault="003F2B88" w:rsidP="00EE663A">
            <w:pPr>
              <w:spacing w:line="360" w:lineRule="auto"/>
              <w:rPr>
                <w:rFonts w:ascii="Arial" w:eastAsia="Times New Roman" w:hAnsi="Arial" w:cs="Arial"/>
                <w:sz w:val="20"/>
                <w:szCs w:val="20"/>
              </w:rPr>
            </w:pPr>
          </w:p>
          <w:p w14:paraId="3B4CCFCB" w14:textId="77777777" w:rsidR="003F2B88" w:rsidRPr="00DC1C54" w:rsidRDefault="003F2B88" w:rsidP="00EE663A">
            <w:pPr>
              <w:spacing w:line="360" w:lineRule="auto"/>
              <w:rPr>
                <w:rFonts w:ascii="Arial" w:eastAsia="Times New Roman" w:hAnsi="Arial" w:cs="Arial"/>
                <w:sz w:val="20"/>
                <w:szCs w:val="20"/>
              </w:rPr>
            </w:pPr>
          </w:p>
        </w:tc>
        <w:tc>
          <w:tcPr>
            <w:tcW w:w="0" w:type="auto"/>
            <w:hideMark/>
          </w:tcPr>
          <w:p w14:paraId="0CCC7CA2" w14:textId="77777777" w:rsidR="003F2B88" w:rsidRPr="00DC1C54" w:rsidRDefault="003F2B88" w:rsidP="00EE663A">
            <w:pPr>
              <w:spacing w:line="360" w:lineRule="auto"/>
              <w:rPr>
                <w:rFonts w:ascii="Arial" w:eastAsia="Times New Roman" w:hAnsi="Arial" w:cs="Arial"/>
                <w:sz w:val="20"/>
                <w:szCs w:val="20"/>
              </w:rPr>
            </w:pPr>
          </w:p>
          <w:p w14:paraId="1BD61D2F"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Clunky interfaces, slow updates</w:t>
            </w:r>
          </w:p>
        </w:tc>
        <w:tc>
          <w:tcPr>
            <w:tcW w:w="0" w:type="auto"/>
            <w:hideMark/>
          </w:tcPr>
          <w:p w14:paraId="002A4EBF" w14:textId="77777777" w:rsidR="003F2B88" w:rsidRPr="00DC1C54" w:rsidRDefault="003F2B88" w:rsidP="00EE663A">
            <w:pPr>
              <w:spacing w:line="360" w:lineRule="auto"/>
              <w:rPr>
                <w:rFonts w:ascii="Arial" w:eastAsia="Times New Roman" w:hAnsi="Arial" w:cs="Arial"/>
                <w:sz w:val="20"/>
                <w:szCs w:val="20"/>
              </w:rPr>
            </w:pPr>
          </w:p>
          <w:p w14:paraId="721BB17A"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Streamlined UI, faster workflows.</w:t>
            </w:r>
          </w:p>
          <w:p w14:paraId="2B748916"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30BBEB48" w14:textId="77777777" w:rsidR="003F2B88" w:rsidRPr="00DC1C54" w:rsidRDefault="003F2B88" w:rsidP="00EE663A">
            <w:pPr>
              <w:spacing w:line="360" w:lineRule="auto"/>
              <w:rPr>
                <w:rFonts w:ascii="Arial" w:eastAsia="Times New Roman" w:hAnsi="Arial" w:cs="Arial"/>
                <w:sz w:val="20"/>
                <w:szCs w:val="20"/>
              </w:rPr>
            </w:pPr>
          </w:p>
          <w:p w14:paraId="343DFE47"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Weekly updates (1,000+); modern UX design</w:t>
            </w:r>
          </w:p>
        </w:tc>
      </w:tr>
      <w:tr w:rsidR="003F2B88" w:rsidRPr="00DC1C54" w14:paraId="5B352769" w14:textId="77777777" w:rsidTr="00EE663A">
        <w:trPr>
          <w:trHeight w:val="319"/>
        </w:trPr>
        <w:tc>
          <w:tcPr>
            <w:tcW w:w="0" w:type="auto"/>
            <w:hideMark/>
          </w:tcPr>
          <w:p w14:paraId="36A81AFA" w14:textId="77777777" w:rsidR="003F2B88" w:rsidRPr="00DC1C54" w:rsidRDefault="003F2B88" w:rsidP="00EE663A">
            <w:pPr>
              <w:spacing w:line="360" w:lineRule="auto"/>
              <w:rPr>
                <w:rFonts w:ascii="Arial" w:eastAsia="Times New Roman" w:hAnsi="Arial" w:cs="Arial"/>
                <w:sz w:val="20"/>
                <w:szCs w:val="20"/>
              </w:rPr>
            </w:pPr>
          </w:p>
          <w:p w14:paraId="6A1FC5CE"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Administrative Efficiency</w:t>
            </w:r>
          </w:p>
        </w:tc>
        <w:tc>
          <w:tcPr>
            <w:tcW w:w="0" w:type="auto"/>
            <w:hideMark/>
          </w:tcPr>
          <w:p w14:paraId="5FF459A2" w14:textId="77777777" w:rsidR="003F2B88" w:rsidRPr="00DC1C54" w:rsidRDefault="003F2B88" w:rsidP="00EE663A">
            <w:pPr>
              <w:spacing w:line="360" w:lineRule="auto"/>
              <w:rPr>
                <w:rFonts w:ascii="Arial" w:eastAsia="Times New Roman" w:hAnsi="Arial" w:cs="Arial"/>
                <w:sz w:val="20"/>
                <w:szCs w:val="20"/>
              </w:rPr>
            </w:pPr>
          </w:p>
          <w:p w14:paraId="3C1F87F9"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High admin burden, duplication</w:t>
            </w:r>
          </w:p>
        </w:tc>
        <w:tc>
          <w:tcPr>
            <w:tcW w:w="0" w:type="auto"/>
            <w:hideMark/>
          </w:tcPr>
          <w:p w14:paraId="20B0396B" w14:textId="77777777" w:rsidR="003F2B88" w:rsidRPr="00DC1C54" w:rsidRDefault="003F2B88" w:rsidP="00EE663A">
            <w:pPr>
              <w:spacing w:line="360" w:lineRule="auto"/>
              <w:rPr>
                <w:rFonts w:ascii="Arial" w:eastAsia="Times New Roman" w:hAnsi="Arial" w:cs="Arial"/>
                <w:sz w:val="20"/>
                <w:szCs w:val="20"/>
              </w:rPr>
            </w:pPr>
          </w:p>
          <w:p w14:paraId="23978F2C"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Reduces admin time, improves coordination.</w:t>
            </w:r>
          </w:p>
          <w:p w14:paraId="085C4189" w14:textId="77777777" w:rsidR="003F2B88" w:rsidRPr="00DC1C54" w:rsidRDefault="003F2B88" w:rsidP="00EE663A">
            <w:pPr>
              <w:spacing w:line="360" w:lineRule="auto"/>
              <w:rPr>
                <w:rFonts w:ascii="Arial" w:eastAsia="Times New Roman" w:hAnsi="Arial" w:cs="Arial"/>
                <w:sz w:val="20"/>
                <w:szCs w:val="20"/>
              </w:rPr>
            </w:pPr>
          </w:p>
          <w:p w14:paraId="564AE13C" w14:textId="77777777" w:rsidR="003F2B88" w:rsidRPr="00DC1C54" w:rsidRDefault="003F2B88" w:rsidP="00EE663A">
            <w:pPr>
              <w:spacing w:line="360" w:lineRule="auto"/>
              <w:rPr>
                <w:rFonts w:ascii="Arial" w:eastAsia="Times New Roman" w:hAnsi="Arial" w:cs="Arial"/>
                <w:sz w:val="20"/>
                <w:szCs w:val="20"/>
              </w:rPr>
            </w:pPr>
          </w:p>
          <w:p w14:paraId="11AFAB0B"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1B417C39" w14:textId="77777777" w:rsidR="003F2B88" w:rsidRPr="00DC1C54" w:rsidRDefault="003F2B88" w:rsidP="00EE663A">
            <w:pPr>
              <w:spacing w:line="360" w:lineRule="auto"/>
              <w:rPr>
                <w:rFonts w:ascii="Arial" w:eastAsia="Times New Roman" w:hAnsi="Arial" w:cs="Arial"/>
                <w:sz w:val="20"/>
                <w:szCs w:val="20"/>
              </w:rPr>
            </w:pPr>
          </w:p>
          <w:p w14:paraId="3A47452A"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Supports automation and task routing</w:t>
            </w:r>
          </w:p>
        </w:tc>
      </w:tr>
      <w:tr w:rsidR="003F2B88" w:rsidRPr="00DC1C54" w14:paraId="460345D6" w14:textId="77777777" w:rsidTr="00EE663A">
        <w:trPr>
          <w:trHeight w:val="319"/>
        </w:trPr>
        <w:tc>
          <w:tcPr>
            <w:tcW w:w="0" w:type="auto"/>
            <w:hideMark/>
          </w:tcPr>
          <w:p w14:paraId="2135C81B" w14:textId="77777777" w:rsidR="003F2B88" w:rsidRPr="00DC1C54" w:rsidRDefault="003F2B88" w:rsidP="00EE663A">
            <w:pPr>
              <w:spacing w:line="360" w:lineRule="auto"/>
              <w:rPr>
                <w:rFonts w:ascii="Arial" w:eastAsia="Times New Roman" w:hAnsi="Arial" w:cs="Arial"/>
                <w:sz w:val="20"/>
                <w:szCs w:val="20"/>
              </w:rPr>
            </w:pPr>
          </w:p>
          <w:p w14:paraId="274A68EF"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lastRenderedPageBreak/>
              <w:t>Vendor Lock-In</w:t>
            </w:r>
          </w:p>
        </w:tc>
        <w:tc>
          <w:tcPr>
            <w:tcW w:w="0" w:type="auto"/>
            <w:hideMark/>
          </w:tcPr>
          <w:p w14:paraId="6CA86A58" w14:textId="77777777" w:rsidR="003F2B88" w:rsidRPr="00DC1C54" w:rsidRDefault="003F2B88" w:rsidP="00EE663A">
            <w:pPr>
              <w:spacing w:line="360" w:lineRule="auto"/>
              <w:rPr>
                <w:rFonts w:ascii="Arial" w:eastAsia="Times New Roman" w:hAnsi="Arial" w:cs="Arial"/>
                <w:sz w:val="20"/>
                <w:szCs w:val="20"/>
              </w:rPr>
            </w:pPr>
          </w:p>
          <w:p w14:paraId="1404A3CA"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lastRenderedPageBreak/>
              <w:t>Long-term contracts, limited choice</w:t>
            </w:r>
          </w:p>
        </w:tc>
        <w:tc>
          <w:tcPr>
            <w:tcW w:w="0" w:type="auto"/>
            <w:hideMark/>
          </w:tcPr>
          <w:p w14:paraId="110C2C91" w14:textId="77777777" w:rsidR="003F2B88" w:rsidRPr="00DC1C54" w:rsidRDefault="003F2B88" w:rsidP="00EE663A">
            <w:pPr>
              <w:spacing w:line="360" w:lineRule="auto"/>
              <w:rPr>
                <w:rFonts w:ascii="Arial" w:eastAsia="Times New Roman" w:hAnsi="Arial" w:cs="Arial"/>
                <w:sz w:val="20"/>
                <w:szCs w:val="20"/>
              </w:rPr>
            </w:pPr>
          </w:p>
          <w:p w14:paraId="1B166249"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lastRenderedPageBreak/>
              <w:t>Open procurement framework</w:t>
            </w:r>
          </w:p>
          <w:p w14:paraId="44C5596B" w14:textId="77777777" w:rsidR="003F2B88" w:rsidRPr="00DC1C54" w:rsidRDefault="003F2B88" w:rsidP="00EE663A">
            <w:pPr>
              <w:spacing w:line="360" w:lineRule="auto"/>
              <w:rPr>
                <w:rFonts w:ascii="Arial" w:eastAsia="Times New Roman" w:hAnsi="Arial" w:cs="Arial"/>
                <w:sz w:val="20"/>
                <w:szCs w:val="20"/>
              </w:rPr>
            </w:pPr>
          </w:p>
          <w:p w14:paraId="620441F9" w14:textId="77777777" w:rsidR="003F2B88" w:rsidRPr="00DC1C54" w:rsidRDefault="003F2B88" w:rsidP="00EE663A">
            <w:pPr>
              <w:spacing w:line="360" w:lineRule="auto"/>
              <w:rPr>
                <w:rFonts w:ascii="Arial" w:eastAsia="Times New Roman" w:hAnsi="Arial" w:cs="Arial"/>
                <w:sz w:val="20"/>
                <w:szCs w:val="20"/>
              </w:rPr>
            </w:pPr>
          </w:p>
          <w:p w14:paraId="5863E112"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0ABE53CC" w14:textId="77777777" w:rsidR="003F2B88" w:rsidRPr="00DC1C54" w:rsidRDefault="003F2B88" w:rsidP="00EE663A">
            <w:pPr>
              <w:spacing w:line="360" w:lineRule="auto"/>
              <w:rPr>
                <w:rFonts w:ascii="Arial" w:eastAsia="Times New Roman" w:hAnsi="Arial" w:cs="Arial"/>
                <w:sz w:val="20"/>
                <w:szCs w:val="20"/>
              </w:rPr>
            </w:pPr>
          </w:p>
          <w:p w14:paraId="42A16DEF"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lastRenderedPageBreak/>
              <w:t>Modular, future-proofed architecture</w:t>
            </w:r>
          </w:p>
        </w:tc>
      </w:tr>
      <w:tr w:rsidR="003F2B88" w:rsidRPr="00DC1C54" w14:paraId="3B4CC9B2" w14:textId="77777777" w:rsidTr="00EE663A">
        <w:trPr>
          <w:trHeight w:val="319"/>
        </w:trPr>
        <w:tc>
          <w:tcPr>
            <w:tcW w:w="0" w:type="auto"/>
            <w:hideMark/>
          </w:tcPr>
          <w:p w14:paraId="069AFEAF" w14:textId="77777777" w:rsidR="003F2B88" w:rsidRPr="00DC1C54" w:rsidRDefault="003F2B88" w:rsidP="00EE663A">
            <w:pPr>
              <w:spacing w:line="360" w:lineRule="auto"/>
              <w:rPr>
                <w:rFonts w:ascii="Arial" w:eastAsia="Times New Roman" w:hAnsi="Arial" w:cs="Arial"/>
                <w:sz w:val="20"/>
                <w:szCs w:val="20"/>
              </w:rPr>
            </w:pPr>
          </w:p>
          <w:p w14:paraId="03292E2F"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Trauma-Informed Care Support</w:t>
            </w:r>
          </w:p>
        </w:tc>
        <w:tc>
          <w:tcPr>
            <w:tcW w:w="0" w:type="auto"/>
            <w:hideMark/>
          </w:tcPr>
          <w:p w14:paraId="5DDD73CD" w14:textId="77777777" w:rsidR="003F2B88" w:rsidRPr="00DC1C54" w:rsidRDefault="003F2B88" w:rsidP="00EE663A">
            <w:pPr>
              <w:spacing w:line="360" w:lineRule="auto"/>
              <w:rPr>
                <w:rFonts w:ascii="Arial" w:eastAsia="Times New Roman" w:hAnsi="Arial" w:cs="Arial"/>
                <w:sz w:val="20"/>
                <w:szCs w:val="20"/>
              </w:rPr>
            </w:pPr>
          </w:p>
          <w:p w14:paraId="13B05831"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Limited flexibility in record-keeping</w:t>
            </w:r>
          </w:p>
        </w:tc>
        <w:tc>
          <w:tcPr>
            <w:tcW w:w="0" w:type="auto"/>
            <w:hideMark/>
          </w:tcPr>
          <w:p w14:paraId="6F341CAD" w14:textId="77777777" w:rsidR="003F2B88" w:rsidRPr="00DC1C54" w:rsidRDefault="003F2B88" w:rsidP="00EE663A">
            <w:pPr>
              <w:spacing w:line="360" w:lineRule="auto"/>
              <w:rPr>
                <w:rFonts w:ascii="Arial" w:eastAsia="Times New Roman" w:hAnsi="Arial" w:cs="Arial"/>
                <w:sz w:val="20"/>
                <w:szCs w:val="20"/>
              </w:rPr>
            </w:pPr>
          </w:p>
          <w:p w14:paraId="3D3D00A0"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Faster access to patient history and notes</w:t>
            </w:r>
          </w:p>
          <w:p w14:paraId="684DC3A1" w14:textId="77777777" w:rsidR="003F2B88" w:rsidRPr="00DC1C54" w:rsidRDefault="003F2B88" w:rsidP="00EE663A">
            <w:pPr>
              <w:spacing w:line="360" w:lineRule="auto"/>
              <w:rPr>
                <w:rFonts w:ascii="Arial" w:eastAsia="Times New Roman" w:hAnsi="Arial" w:cs="Arial"/>
                <w:sz w:val="20"/>
                <w:szCs w:val="20"/>
              </w:rPr>
            </w:pPr>
          </w:p>
          <w:p w14:paraId="0A56D899"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40C028A5" w14:textId="77777777" w:rsidR="003F2B88" w:rsidRPr="00DC1C54" w:rsidRDefault="003F2B88" w:rsidP="00EE663A">
            <w:pPr>
              <w:spacing w:line="360" w:lineRule="auto"/>
              <w:rPr>
                <w:rFonts w:ascii="Arial" w:eastAsia="Times New Roman" w:hAnsi="Arial" w:cs="Arial"/>
                <w:sz w:val="20"/>
                <w:szCs w:val="20"/>
              </w:rPr>
            </w:pPr>
          </w:p>
          <w:p w14:paraId="26E40B39"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Enables contextualised, person-centred care.</w:t>
            </w:r>
          </w:p>
          <w:p w14:paraId="158F55E9" w14:textId="77777777" w:rsidR="003F2B88" w:rsidRPr="00DC1C54" w:rsidRDefault="003F2B88" w:rsidP="00EE663A">
            <w:pPr>
              <w:spacing w:line="360" w:lineRule="auto"/>
              <w:rPr>
                <w:rFonts w:ascii="Arial" w:eastAsia="Times New Roman" w:hAnsi="Arial" w:cs="Arial"/>
                <w:sz w:val="20"/>
                <w:szCs w:val="20"/>
              </w:rPr>
            </w:pPr>
          </w:p>
          <w:p w14:paraId="36DF9B12" w14:textId="77777777" w:rsidR="003F2B88" w:rsidRPr="00DC1C54" w:rsidRDefault="003F2B88" w:rsidP="00EE663A">
            <w:pPr>
              <w:spacing w:line="360" w:lineRule="auto"/>
              <w:rPr>
                <w:rFonts w:ascii="Arial" w:eastAsia="Times New Roman" w:hAnsi="Arial" w:cs="Arial"/>
                <w:sz w:val="20"/>
                <w:szCs w:val="20"/>
              </w:rPr>
            </w:pPr>
          </w:p>
        </w:tc>
      </w:tr>
      <w:tr w:rsidR="003F2B88" w:rsidRPr="00DC1C54" w14:paraId="678B458D" w14:textId="77777777" w:rsidTr="00EE663A">
        <w:trPr>
          <w:trHeight w:val="311"/>
        </w:trPr>
        <w:tc>
          <w:tcPr>
            <w:tcW w:w="0" w:type="auto"/>
            <w:hideMark/>
          </w:tcPr>
          <w:p w14:paraId="0BE2886F" w14:textId="77777777" w:rsidR="003F2B88" w:rsidRPr="00DC1C54" w:rsidRDefault="003F2B88" w:rsidP="00EE663A">
            <w:pPr>
              <w:spacing w:line="360" w:lineRule="auto"/>
              <w:rPr>
                <w:rFonts w:ascii="Arial" w:eastAsia="Times New Roman" w:hAnsi="Arial" w:cs="Arial"/>
                <w:sz w:val="20"/>
                <w:szCs w:val="20"/>
              </w:rPr>
            </w:pPr>
          </w:p>
          <w:p w14:paraId="0C98CAD7" w14:textId="77777777" w:rsidR="003F2B88" w:rsidRPr="00DC1C54" w:rsidRDefault="003F2B88" w:rsidP="00EE663A">
            <w:pPr>
              <w:spacing w:line="360" w:lineRule="auto"/>
              <w:rPr>
                <w:rFonts w:ascii="Arial" w:eastAsia="Times New Roman" w:hAnsi="Arial" w:cs="Arial"/>
                <w:sz w:val="20"/>
                <w:szCs w:val="20"/>
              </w:rPr>
            </w:pPr>
          </w:p>
          <w:p w14:paraId="5CAA5CA4"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Scalability &amp; Innovation</w:t>
            </w:r>
          </w:p>
          <w:p w14:paraId="0EB0E4CF" w14:textId="77777777" w:rsidR="003F2B88" w:rsidRPr="00DC1C54" w:rsidRDefault="003F2B88" w:rsidP="00EE663A">
            <w:pPr>
              <w:spacing w:line="360" w:lineRule="auto"/>
              <w:rPr>
                <w:rFonts w:ascii="Arial" w:eastAsia="Times New Roman" w:hAnsi="Arial" w:cs="Arial"/>
                <w:sz w:val="20"/>
                <w:szCs w:val="20"/>
              </w:rPr>
            </w:pPr>
          </w:p>
        </w:tc>
        <w:tc>
          <w:tcPr>
            <w:tcW w:w="0" w:type="auto"/>
            <w:hideMark/>
          </w:tcPr>
          <w:p w14:paraId="33469BE3" w14:textId="77777777" w:rsidR="003F2B88" w:rsidRPr="00DC1C54" w:rsidRDefault="003F2B88" w:rsidP="00EE663A">
            <w:pPr>
              <w:spacing w:line="360" w:lineRule="auto"/>
              <w:rPr>
                <w:rFonts w:ascii="Arial" w:eastAsia="Times New Roman" w:hAnsi="Arial" w:cs="Arial"/>
                <w:sz w:val="20"/>
                <w:szCs w:val="20"/>
              </w:rPr>
            </w:pPr>
          </w:p>
          <w:p w14:paraId="36D72044"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Difficult to upgrade or customise</w:t>
            </w:r>
          </w:p>
        </w:tc>
        <w:tc>
          <w:tcPr>
            <w:tcW w:w="0" w:type="auto"/>
            <w:hideMark/>
          </w:tcPr>
          <w:p w14:paraId="75FDB182" w14:textId="77777777" w:rsidR="003F2B88" w:rsidRPr="00DC1C54" w:rsidRDefault="003F2B88" w:rsidP="00EE663A">
            <w:pPr>
              <w:spacing w:line="360" w:lineRule="auto"/>
              <w:rPr>
                <w:rFonts w:ascii="Arial" w:eastAsia="Times New Roman" w:hAnsi="Arial" w:cs="Arial"/>
                <w:sz w:val="20"/>
                <w:szCs w:val="20"/>
              </w:rPr>
            </w:pPr>
          </w:p>
          <w:p w14:paraId="208FBC25"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Modular, future-proofed design</w:t>
            </w:r>
          </w:p>
          <w:p w14:paraId="45318AEB" w14:textId="77777777" w:rsidR="003F2B88" w:rsidRPr="00DC1C54" w:rsidRDefault="003F2B88" w:rsidP="00EE663A">
            <w:pPr>
              <w:spacing w:line="360" w:lineRule="auto"/>
              <w:rPr>
                <w:rFonts w:ascii="Arial" w:eastAsia="Times New Roman" w:hAnsi="Arial" w:cs="Arial"/>
                <w:sz w:val="20"/>
                <w:szCs w:val="20"/>
              </w:rPr>
            </w:pPr>
          </w:p>
        </w:tc>
        <w:tc>
          <w:tcPr>
            <w:tcW w:w="4043" w:type="dxa"/>
            <w:hideMark/>
          </w:tcPr>
          <w:p w14:paraId="18AB2B0C" w14:textId="77777777" w:rsidR="003F2B88" w:rsidRPr="00DC1C54" w:rsidRDefault="003F2B88" w:rsidP="00EE663A">
            <w:pPr>
              <w:spacing w:line="360" w:lineRule="auto"/>
              <w:rPr>
                <w:rFonts w:ascii="Arial" w:eastAsia="Times New Roman" w:hAnsi="Arial" w:cs="Arial"/>
                <w:sz w:val="20"/>
                <w:szCs w:val="20"/>
              </w:rPr>
            </w:pPr>
          </w:p>
          <w:p w14:paraId="799F1E62" w14:textId="77777777" w:rsidR="003F2B88" w:rsidRPr="00DC1C54" w:rsidRDefault="003F2B88" w:rsidP="00EE663A">
            <w:pPr>
              <w:spacing w:line="360" w:lineRule="auto"/>
              <w:rPr>
                <w:rFonts w:ascii="Arial" w:eastAsia="Times New Roman" w:hAnsi="Arial" w:cs="Arial"/>
                <w:sz w:val="20"/>
                <w:szCs w:val="20"/>
              </w:rPr>
            </w:pPr>
            <w:r w:rsidRPr="00DC1C54">
              <w:rPr>
                <w:rFonts w:ascii="Arial" w:eastAsia="Times New Roman" w:hAnsi="Arial" w:cs="Arial"/>
                <w:sz w:val="20"/>
                <w:szCs w:val="20"/>
              </w:rPr>
              <w:t>Designed for iterative improvement and integration.</w:t>
            </w:r>
          </w:p>
          <w:p w14:paraId="685D8A30" w14:textId="77777777" w:rsidR="003F2B88" w:rsidRPr="00DC1C54" w:rsidRDefault="003F2B88" w:rsidP="00EE663A">
            <w:pPr>
              <w:spacing w:line="360" w:lineRule="auto"/>
              <w:rPr>
                <w:rFonts w:ascii="Arial" w:eastAsia="Times New Roman" w:hAnsi="Arial" w:cs="Arial"/>
                <w:sz w:val="20"/>
                <w:szCs w:val="20"/>
              </w:rPr>
            </w:pPr>
          </w:p>
        </w:tc>
      </w:tr>
    </w:tbl>
    <w:p w14:paraId="212D09BE" w14:textId="77777777" w:rsidR="00017C28" w:rsidRDefault="00017C28" w:rsidP="0062015F">
      <w:pPr>
        <w:spacing w:before="100" w:beforeAutospacing="1" w:after="100" w:afterAutospacing="1" w:line="360" w:lineRule="auto"/>
        <w:contextualSpacing/>
        <w:rPr>
          <w:rFonts w:ascii="Arial" w:eastAsia="Times New Roman" w:hAnsi="Arial" w:cs="Arial"/>
          <w:b/>
          <w:bCs/>
          <w:kern w:val="0"/>
          <w:lang w:eastAsia="en-GB"/>
          <w14:ligatures w14:val="none"/>
        </w:rPr>
      </w:pPr>
    </w:p>
    <w:p w14:paraId="01365AD4" w14:textId="607C71F7" w:rsidR="0062015F" w:rsidRPr="00DC1C54" w:rsidRDefault="0062015F" w:rsidP="0062015F">
      <w:pPr>
        <w:spacing w:before="100" w:beforeAutospacing="1" w:after="100" w:afterAutospacing="1" w:line="360" w:lineRule="auto"/>
        <w:contextualSpacing/>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Table x: </w:t>
      </w:r>
      <w:r w:rsidRPr="00DC1C54">
        <w:rPr>
          <w:rFonts w:ascii="Arial" w:eastAsia="Times New Roman" w:hAnsi="Arial" w:cs="Arial"/>
          <w:b/>
          <w:bCs/>
          <w:kern w:val="0"/>
          <w:lang w:eastAsia="en-GB"/>
          <w14:ligatures w14:val="none"/>
        </w:rPr>
        <w:t xml:space="preserve">Three mechanisms (comparison of legacy EPRs and Medicus Health). </w:t>
      </w:r>
    </w:p>
    <w:p w14:paraId="4D2201DC" w14:textId="77777777" w:rsidR="0062015F" w:rsidRPr="00DC1C54" w:rsidRDefault="0062015F" w:rsidP="0062015F">
      <w:pPr>
        <w:spacing w:line="360" w:lineRule="auto"/>
        <w:rPr>
          <w:rFonts w:ascii="Arial" w:eastAsia="Arial" w:hAnsi="Arial" w:cs="Arial"/>
          <w:kern w:val="0"/>
          <w:sz w:val="22"/>
          <w:szCs w:val="22"/>
          <w14:ligatures w14:val="none"/>
        </w:rPr>
      </w:pPr>
      <w:r w:rsidRPr="00DC1C54">
        <w:rPr>
          <w:rFonts w:ascii="Arial" w:eastAsia="Arial" w:hAnsi="Arial" w:cs="Arial"/>
          <w:b/>
          <w:bCs/>
          <w:kern w:val="0"/>
          <w:sz w:val="22"/>
          <w:szCs w:val="22"/>
          <w14:ligatures w14:val="none"/>
        </w:rPr>
        <w:t>Sources:</w:t>
      </w:r>
      <w:r w:rsidRPr="00DC1C54">
        <w:rPr>
          <w:rFonts w:ascii="Arial" w:eastAsia="Arial" w:hAnsi="Arial" w:cs="Arial"/>
          <w:kern w:val="0"/>
          <w:sz w:val="22"/>
          <w:szCs w:val="22"/>
          <w14:ligatures w14:val="none"/>
        </w:rPr>
        <w:t xml:space="preserve"> Medicus Health (2025); Digital Health (2025); TPP (2025); Health Foundation (2025)</w:t>
      </w:r>
    </w:p>
    <w:p w14:paraId="2CAE45CE" w14:textId="77777777" w:rsidR="0062015F" w:rsidRDefault="0062015F" w:rsidP="0062015F">
      <w:pPr>
        <w:spacing w:line="360" w:lineRule="auto"/>
        <w:rPr>
          <w:rFonts w:ascii="Arial" w:eastAsia="Arial" w:hAnsi="Arial" w:cs="Arial"/>
          <w:kern w:val="0"/>
          <w:sz w:val="22"/>
          <w:szCs w:val="22"/>
          <w14:ligatures w14:val="none"/>
        </w:rPr>
      </w:pPr>
      <w:r w:rsidRPr="00DC1C54">
        <w:rPr>
          <w:rFonts w:ascii="Arial" w:eastAsia="Arial" w:hAnsi="Arial" w:cs="Arial"/>
          <w:b/>
          <w:bCs/>
          <w:kern w:val="0"/>
          <w:sz w:val="22"/>
          <w:szCs w:val="22"/>
          <w14:ligatures w14:val="none"/>
        </w:rPr>
        <w:t>Table 1</w:t>
      </w:r>
      <w:r w:rsidRPr="00DC1C54">
        <w:rPr>
          <w:rFonts w:ascii="Arial" w:eastAsia="Arial" w:hAnsi="Arial" w:cs="Arial"/>
          <w:kern w:val="0"/>
          <w:sz w:val="22"/>
          <w:szCs w:val="22"/>
          <w14:ligatures w14:val="none"/>
        </w:rPr>
        <w:t xml:space="preserve"> compares legacy EPR systems with the cloud</w:t>
      </w:r>
      <w:r w:rsidRPr="00DC1C54">
        <w:rPr>
          <w:rFonts w:ascii="Cambria Math" w:eastAsia="Arial" w:hAnsi="Cambria Math" w:cs="Cambria Math"/>
          <w:kern w:val="0"/>
          <w:sz w:val="22"/>
          <w:szCs w:val="22"/>
          <w14:ligatures w14:val="none"/>
        </w:rPr>
        <w:t>‑</w:t>
      </w:r>
      <w:r w:rsidRPr="00DC1C54">
        <w:rPr>
          <w:rFonts w:ascii="Arial" w:eastAsia="Arial" w:hAnsi="Arial" w:cs="Arial"/>
          <w:kern w:val="0"/>
          <w:sz w:val="22"/>
          <w:szCs w:val="22"/>
          <w14:ligatures w14:val="none"/>
        </w:rPr>
        <w:t>based Medicus Health platform across ten implementation features, highlighting differences in safety assurance, interoperability, trauma</w:t>
      </w:r>
      <w:r w:rsidRPr="00DC1C54">
        <w:rPr>
          <w:rFonts w:ascii="Cambria Math" w:eastAsia="Arial" w:hAnsi="Cambria Math" w:cs="Cambria Math"/>
          <w:kern w:val="0"/>
          <w:sz w:val="22"/>
          <w:szCs w:val="22"/>
          <w14:ligatures w14:val="none"/>
        </w:rPr>
        <w:t>‑</w:t>
      </w:r>
      <w:r w:rsidRPr="00DC1C54">
        <w:rPr>
          <w:rFonts w:ascii="Arial" w:eastAsia="Arial" w:hAnsi="Arial" w:cs="Arial"/>
          <w:kern w:val="0"/>
          <w:sz w:val="22"/>
          <w:szCs w:val="22"/>
          <w14:ligatures w14:val="none"/>
        </w:rPr>
        <w:t>informed care support, and scalability.</w:t>
      </w:r>
    </w:p>
    <w:p w14:paraId="3BB575C7" w14:textId="77777777" w:rsidR="00961C27" w:rsidRDefault="00961C27" w:rsidP="00A21B15">
      <w:pPr>
        <w:spacing w:line="360" w:lineRule="auto"/>
        <w:rPr>
          <w:rFonts w:ascii="Arial" w:hAnsi="Arial" w:cs="Arial"/>
          <w:sz w:val="22"/>
          <w:szCs w:val="22"/>
          <w:lang w:eastAsia="en-GB"/>
        </w:rPr>
      </w:pPr>
    </w:p>
    <w:p w14:paraId="3B74391F" w14:textId="77777777" w:rsidR="00961C27" w:rsidRPr="00DC1C54" w:rsidRDefault="00961C27" w:rsidP="00961C27">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kern w:val="0"/>
          <w:sz w:val="22"/>
          <w:szCs w:val="22"/>
          <w:lang w:eastAsia="en-GB"/>
          <w14:ligatures w14:val="none"/>
        </w:rPr>
        <w:t>Figure 6: Population, Intervention, Comparator and Outcomes Framework (Adapted from NHS Innovation Service, 2025).</w:t>
      </w:r>
    </w:p>
    <w:p w14:paraId="74C02E54" w14:textId="77777777" w:rsidR="00961C27" w:rsidRPr="00DC1C54" w:rsidRDefault="00961C27" w:rsidP="00961C27">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b/>
          <w:bCs/>
          <w:kern w:val="0"/>
          <w:sz w:val="22"/>
          <w:szCs w:val="22"/>
          <w:lang w:eastAsia="en-GB"/>
          <w14:ligatures w14:val="none"/>
        </w:rPr>
        <w:t>Figure 6:</w:t>
      </w:r>
      <w:r w:rsidRPr="00DC1C54">
        <w:rPr>
          <w:rFonts w:ascii="Arial" w:eastAsia="Times New Roman" w:hAnsi="Arial" w:cs="Arial"/>
          <w:kern w:val="0"/>
          <w:sz w:val="22"/>
          <w:szCs w:val="22"/>
          <w:lang w:eastAsia="en-GB"/>
          <w14:ligatures w14:val="none"/>
        </w:rPr>
        <w:t xml:space="preserve"> This figure presents the NHS Innovation Service’s PICO framework, used to define rapid review questions. It outlines structured prompts under each heading to guide evaluation of health interventions, including population characteristics, intervention purpose, comparator standards, and outcome types.</w:t>
      </w:r>
    </w:p>
    <w:p w14:paraId="0BBE4514" w14:textId="77777777" w:rsidR="00961C27" w:rsidRPr="00DC1C54" w:rsidRDefault="00961C27" w:rsidP="00961C27">
      <w:pPr>
        <w:spacing w:before="100" w:beforeAutospacing="1" w:after="100" w:afterAutospacing="1" w:line="360" w:lineRule="auto"/>
        <w:rPr>
          <w:rFonts w:ascii="Arial" w:eastAsia="Times New Roman" w:hAnsi="Arial" w:cs="Arial"/>
          <w:kern w:val="0"/>
          <w:sz w:val="28"/>
          <w:szCs w:val="28"/>
          <w:lang w:eastAsia="en-GB"/>
          <w14:ligatures w14:val="none"/>
        </w:rPr>
      </w:pPr>
    </w:p>
    <w:p w14:paraId="5ADD9A93" w14:textId="73182236" w:rsidR="00961C27" w:rsidRDefault="00CF59AD" w:rsidP="00961C27">
      <w:pPr>
        <w:spacing w:line="360" w:lineRule="auto"/>
        <w:rPr>
          <w:rFonts w:ascii="Arial" w:hAnsi="Arial" w:cs="Arial"/>
          <w:lang w:eastAsia="en-GB"/>
        </w:rPr>
      </w:pPr>
      <w:r w:rsidRPr="00DC1C54">
        <w:rPr>
          <w:rFonts w:ascii="Arial" w:eastAsia="Yu Mincho" w:hAnsi="Arial" w:cs="Arial"/>
          <w:noProof/>
        </w:rPr>
        <w:lastRenderedPageBreak/>
        <w:drawing>
          <wp:inline distT="0" distB="0" distL="0" distR="0" wp14:anchorId="490BE191" wp14:editId="34C54975">
            <wp:extent cx="4336026" cy="2881416"/>
            <wp:effectExtent l="0" t="0" r="7620" b="0"/>
            <wp:docPr id="487798807" name="Picture 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58801" name="Picture 1" descr="A close-up of a documen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339448" cy="2883690"/>
                    </a:xfrm>
                    <a:prstGeom prst="rect">
                      <a:avLst/>
                    </a:prstGeom>
                  </pic:spPr>
                </pic:pic>
              </a:graphicData>
            </a:graphic>
          </wp:inline>
        </w:drawing>
      </w:r>
    </w:p>
    <w:p w14:paraId="01410A96" w14:textId="79595092" w:rsidR="00961C27" w:rsidRPr="00DC1C54" w:rsidRDefault="00961C27" w:rsidP="00961C27">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Image x</w:t>
      </w:r>
      <w:r w:rsidRPr="00DC1C54">
        <w:rPr>
          <w:rFonts w:ascii="Arial" w:eastAsia="Times New Roman" w:hAnsi="Arial" w:cs="Arial"/>
          <w:kern w:val="0"/>
          <w:sz w:val="22"/>
          <w:szCs w:val="22"/>
          <w:lang w:eastAsia="en-GB"/>
          <w14:ligatures w14:val="none"/>
        </w:rPr>
        <w:t>: Population, Intervention, Comparator and Outcomes Framework (Adapted from NHS Innovation Service, 2025).</w:t>
      </w:r>
    </w:p>
    <w:p w14:paraId="373FCD92" w14:textId="77777777" w:rsidR="00961C27" w:rsidRPr="00DC1C54" w:rsidRDefault="00961C27" w:rsidP="00961C27">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b/>
          <w:bCs/>
          <w:kern w:val="0"/>
          <w:sz w:val="22"/>
          <w:szCs w:val="22"/>
          <w:lang w:eastAsia="en-GB"/>
          <w14:ligatures w14:val="none"/>
        </w:rPr>
        <w:t>Figure 6:</w:t>
      </w:r>
      <w:r w:rsidRPr="00DC1C54">
        <w:rPr>
          <w:rFonts w:ascii="Arial" w:eastAsia="Times New Roman" w:hAnsi="Arial" w:cs="Arial"/>
          <w:kern w:val="0"/>
          <w:sz w:val="22"/>
          <w:szCs w:val="22"/>
          <w:lang w:eastAsia="en-GB"/>
          <w14:ligatures w14:val="none"/>
        </w:rPr>
        <w:t xml:space="preserve"> This figure presents the NHS Innovation Service’s PICO framework, used to define rapid review questions. It outlines structured prompts under each heading to guide evaluation of health interventions, including population characteristics, intervention purpose, comparator standards, and outcome types.</w:t>
      </w:r>
    </w:p>
    <w:p w14:paraId="7E05959D" w14:textId="77777777" w:rsidR="00961C27" w:rsidRDefault="00961C27" w:rsidP="00961C27">
      <w:pPr>
        <w:rPr>
          <w:rFonts w:ascii="Arial" w:hAnsi="Arial" w:cs="Arial"/>
          <w:sz w:val="22"/>
          <w:szCs w:val="22"/>
          <w:lang w:eastAsia="en-GB"/>
        </w:rPr>
      </w:pPr>
    </w:p>
    <w:p w14:paraId="39489079" w14:textId="77777777" w:rsidR="0083351F" w:rsidRDefault="0083351F" w:rsidP="00961C27">
      <w:pPr>
        <w:rPr>
          <w:rFonts w:ascii="Arial" w:hAnsi="Arial" w:cs="Arial"/>
          <w:sz w:val="22"/>
          <w:szCs w:val="22"/>
          <w:lang w:eastAsia="en-GB"/>
        </w:rPr>
      </w:pPr>
    </w:p>
    <w:p w14:paraId="0C4233EA" w14:textId="77777777" w:rsidR="0083351F" w:rsidRDefault="0083351F" w:rsidP="00961C27">
      <w:pPr>
        <w:rPr>
          <w:rFonts w:ascii="Arial" w:hAnsi="Arial" w:cs="Arial"/>
          <w:sz w:val="22"/>
          <w:szCs w:val="22"/>
          <w:lang w:eastAsia="en-GB"/>
        </w:rPr>
      </w:pPr>
    </w:p>
    <w:p w14:paraId="1D191DE8" w14:textId="77777777" w:rsidR="0083351F" w:rsidRDefault="0083351F" w:rsidP="00961C27">
      <w:pPr>
        <w:rPr>
          <w:rFonts w:ascii="Arial" w:hAnsi="Arial" w:cs="Arial"/>
          <w:sz w:val="22"/>
          <w:szCs w:val="22"/>
          <w:lang w:eastAsia="en-GB"/>
        </w:rPr>
      </w:pPr>
    </w:p>
    <w:p w14:paraId="0DA2FF1C" w14:textId="77777777" w:rsidR="0083351F" w:rsidRDefault="0083351F" w:rsidP="00961C27">
      <w:pPr>
        <w:rPr>
          <w:rFonts w:ascii="Arial" w:hAnsi="Arial" w:cs="Arial"/>
          <w:sz w:val="22"/>
          <w:szCs w:val="22"/>
          <w:lang w:eastAsia="en-GB"/>
        </w:rPr>
      </w:pPr>
    </w:p>
    <w:p w14:paraId="3D5C074C" w14:textId="77777777" w:rsidR="0083351F" w:rsidRDefault="0083351F" w:rsidP="00961C27">
      <w:pPr>
        <w:rPr>
          <w:rFonts w:ascii="Arial" w:hAnsi="Arial" w:cs="Arial"/>
          <w:sz w:val="22"/>
          <w:szCs w:val="22"/>
          <w:lang w:eastAsia="en-GB"/>
        </w:rPr>
      </w:pPr>
    </w:p>
    <w:p w14:paraId="63B451F5" w14:textId="77777777" w:rsidR="0083351F" w:rsidRDefault="0083351F" w:rsidP="00961C27">
      <w:pPr>
        <w:rPr>
          <w:rFonts w:ascii="Arial" w:hAnsi="Arial" w:cs="Arial"/>
          <w:sz w:val="22"/>
          <w:szCs w:val="22"/>
          <w:lang w:eastAsia="en-GB"/>
        </w:rPr>
      </w:pPr>
    </w:p>
    <w:p w14:paraId="2F707352" w14:textId="77777777" w:rsidR="0083351F" w:rsidRDefault="0083351F" w:rsidP="00961C27">
      <w:pPr>
        <w:rPr>
          <w:rFonts w:ascii="Arial" w:hAnsi="Arial" w:cs="Arial"/>
          <w:sz w:val="22"/>
          <w:szCs w:val="22"/>
          <w:lang w:eastAsia="en-GB"/>
        </w:rPr>
      </w:pPr>
    </w:p>
    <w:p w14:paraId="1AA09606" w14:textId="77777777" w:rsidR="00017C28" w:rsidRDefault="00017C28" w:rsidP="00961C27">
      <w:pPr>
        <w:rPr>
          <w:rFonts w:ascii="Arial" w:hAnsi="Arial" w:cs="Arial"/>
          <w:sz w:val="22"/>
          <w:szCs w:val="22"/>
          <w:lang w:eastAsia="en-GB"/>
        </w:rPr>
      </w:pPr>
    </w:p>
    <w:p w14:paraId="58FE8765" w14:textId="77777777" w:rsidR="00017C28" w:rsidRDefault="00017C28" w:rsidP="00961C27">
      <w:pPr>
        <w:rPr>
          <w:rFonts w:ascii="Arial" w:hAnsi="Arial" w:cs="Arial"/>
          <w:sz w:val="22"/>
          <w:szCs w:val="22"/>
          <w:lang w:eastAsia="en-GB"/>
        </w:rPr>
      </w:pPr>
    </w:p>
    <w:p w14:paraId="1F5ED0C3" w14:textId="77777777" w:rsidR="00017C28" w:rsidRDefault="00017C28" w:rsidP="00961C27">
      <w:pPr>
        <w:rPr>
          <w:rFonts w:ascii="Arial" w:hAnsi="Arial" w:cs="Arial"/>
          <w:sz w:val="22"/>
          <w:szCs w:val="22"/>
          <w:lang w:eastAsia="en-GB"/>
        </w:rPr>
      </w:pPr>
    </w:p>
    <w:p w14:paraId="408D09F2" w14:textId="77777777" w:rsidR="0083351F" w:rsidRDefault="0083351F" w:rsidP="00961C27">
      <w:pPr>
        <w:rPr>
          <w:rFonts w:ascii="Arial" w:hAnsi="Arial" w:cs="Arial"/>
          <w:sz w:val="22"/>
          <w:szCs w:val="22"/>
          <w:lang w:eastAsia="en-GB"/>
        </w:rPr>
      </w:pPr>
    </w:p>
    <w:p w14:paraId="48D358C3" w14:textId="77777777" w:rsidR="0083351F" w:rsidRDefault="0083351F" w:rsidP="00961C27">
      <w:pPr>
        <w:rPr>
          <w:rFonts w:ascii="Arial" w:hAnsi="Arial" w:cs="Arial"/>
          <w:sz w:val="22"/>
          <w:szCs w:val="22"/>
          <w:lang w:eastAsia="en-GB"/>
        </w:rPr>
      </w:pPr>
    </w:p>
    <w:p w14:paraId="1836ED8A" w14:textId="0F6820FD" w:rsidR="0083351F" w:rsidRDefault="0083351F" w:rsidP="00961C27">
      <w:pPr>
        <w:rPr>
          <w:rFonts w:ascii="Arial" w:hAnsi="Arial" w:cs="Arial"/>
          <w:sz w:val="22"/>
          <w:szCs w:val="22"/>
          <w:lang w:eastAsia="en-GB"/>
        </w:rPr>
      </w:pPr>
      <w:r w:rsidRPr="00DC1C54">
        <w:rPr>
          <w:rFonts w:ascii="Arial" w:eastAsia="Yu Mincho" w:hAnsi="Arial" w:cs="Arial"/>
          <w:noProof/>
          <w:sz w:val="20"/>
          <w:szCs w:val="20"/>
        </w:rPr>
        <w:lastRenderedPageBreak/>
        <w:drawing>
          <wp:inline distT="0" distB="0" distL="0" distR="0" wp14:anchorId="28C644BB" wp14:editId="1EA2115F">
            <wp:extent cx="5731510" cy="537105"/>
            <wp:effectExtent l="0" t="0" r="2540" b="0"/>
            <wp:docPr id="1136493425" name="Picture 3"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49418" name="Picture 3" descr="A blue background with white tex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537105"/>
                    </a:xfrm>
                    <a:prstGeom prst="rect">
                      <a:avLst/>
                    </a:prstGeom>
                  </pic:spPr>
                </pic:pic>
              </a:graphicData>
            </a:graphic>
          </wp:inline>
        </w:drawing>
      </w:r>
    </w:p>
    <w:tbl>
      <w:tblPr>
        <w:tblStyle w:val="TableGrid1"/>
        <w:tblpPr w:leftFromText="180" w:rightFromText="180" w:vertAnchor="text" w:horzAnchor="margin" w:tblpY="-88"/>
        <w:tblW w:w="9477" w:type="dxa"/>
        <w:tblInd w:w="0" w:type="dxa"/>
        <w:tblLook w:val="04A0" w:firstRow="1" w:lastRow="0" w:firstColumn="1" w:lastColumn="0" w:noHBand="0" w:noVBand="1"/>
      </w:tblPr>
      <w:tblGrid>
        <w:gridCol w:w="9477"/>
      </w:tblGrid>
      <w:tr w:rsidR="00D517C8" w:rsidRPr="00DC1C54" w14:paraId="73E49313" w14:textId="77777777" w:rsidTr="00D517C8">
        <w:trPr>
          <w:trHeight w:val="193"/>
        </w:trPr>
        <w:tc>
          <w:tcPr>
            <w:tcW w:w="9477" w:type="dxa"/>
          </w:tcPr>
          <w:p w14:paraId="184E952F" w14:textId="77777777" w:rsidR="00D517C8" w:rsidRPr="00DC1C54" w:rsidRDefault="00D517C8" w:rsidP="00D517C8">
            <w:pPr>
              <w:keepNext/>
              <w:keepLines/>
              <w:shd w:val="clear" w:color="auto" w:fill="FFFFFF"/>
              <w:spacing w:line="360" w:lineRule="auto"/>
              <w:outlineLvl w:val="3"/>
              <w:rPr>
                <w:rFonts w:ascii="Arial" w:eastAsia="Yu Gothic Light" w:hAnsi="Arial" w:cs="Arial"/>
                <w:b/>
                <w:bCs/>
                <w:color w:val="0B0C0C"/>
                <w:sz w:val="22"/>
                <w:szCs w:val="22"/>
              </w:rPr>
            </w:pPr>
          </w:p>
          <w:p w14:paraId="19BDF475" w14:textId="77777777" w:rsidR="00D517C8" w:rsidRPr="00DC1C54" w:rsidRDefault="00D517C8" w:rsidP="00D517C8">
            <w:pPr>
              <w:keepNext/>
              <w:keepLines/>
              <w:shd w:val="clear" w:color="auto" w:fill="FFFFFF"/>
              <w:spacing w:line="360" w:lineRule="auto"/>
              <w:outlineLvl w:val="3"/>
              <w:rPr>
                <w:rFonts w:ascii="Arial" w:eastAsia="Yu Gothic Light" w:hAnsi="Arial" w:cs="Arial"/>
                <w:b/>
                <w:bCs/>
                <w:color w:val="0B0C0C"/>
                <w:sz w:val="22"/>
                <w:szCs w:val="22"/>
              </w:rPr>
            </w:pPr>
            <w:r w:rsidRPr="00DC1C54">
              <w:rPr>
                <w:rFonts w:ascii="Arial" w:eastAsia="Yu Gothic Light" w:hAnsi="Arial" w:cs="Arial"/>
                <w:b/>
                <w:bCs/>
                <w:color w:val="0B0C0C"/>
                <w:sz w:val="22"/>
                <w:szCs w:val="22"/>
              </w:rPr>
              <w:t>From March 2025 and beyond</w:t>
            </w:r>
          </w:p>
          <w:p w14:paraId="2757F1D0" w14:textId="77777777" w:rsidR="00D517C8" w:rsidRPr="00DC1C54" w:rsidRDefault="00D517C8" w:rsidP="00D517C8">
            <w:pPr>
              <w:spacing w:line="360" w:lineRule="auto"/>
              <w:rPr>
                <w:rFonts w:ascii="Arial" w:hAnsi="Arial" w:cs="Arial"/>
                <w:sz w:val="22"/>
                <w:szCs w:val="22"/>
              </w:rPr>
            </w:pPr>
          </w:p>
        </w:tc>
      </w:tr>
      <w:tr w:rsidR="00D517C8" w:rsidRPr="00DC1C54" w14:paraId="32B443D6" w14:textId="77777777" w:rsidTr="00D517C8">
        <w:trPr>
          <w:trHeight w:val="146"/>
        </w:trPr>
        <w:tc>
          <w:tcPr>
            <w:tcW w:w="9477" w:type="dxa"/>
          </w:tcPr>
          <w:p w14:paraId="22EB29EE" w14:textId="77777777" w:rsidR="00D517C8" w:rsidRPr="00DC1C54" w:rsidRDefault="00D517C8" w:rsidP="00D517C8">
            <w:pPr>
              <w:shd w:val="clear" w:color="auto" w:fill="FFFFFF"/>
              <w:spacing w:after="300" w:line="360" w:lineRule="auto"/>
              <w:rPr>
                <w:rFonts w:ascii="Arial" w:hAnsi="Arial" w:cs="Arial"/>
                <w:b/>
                <w:bCs/>
                <w:color w:val="0B0C0C"/>
                <w:sz w:val="22"/>
                <w:szCs w:val="22"/>
              </w:rPr>
            </w:pPr>
            <w:r w:rsidRPr="00DC1C54">
              <w:rPr>
                <w:rFonts w:ascii="Arial" w:hAnsi="Arial" w:cs="Arial"/>
                <w:b/>
                <w:bCs/>
                <w:color w:val="0B0C0C"/>
                <w:sz w:val="22"/>
                <w:szCs w:val="22"/>
              </w:rPr>
              <w:t>To manage my health, I can:</w:t>
            </w:r>
          </w:p>
        </w:tc>
      </w:tr>
      <w:tr w:rsidR="00D517C8" w:rsidRPr="00DC1C54" w14:paraId="07254201" w14:textId="77777777" w:rsidTr="00D517C8">
        <w:trPr>
          <w:trHeight w:val="114"/>
        </w:trPr>
        <w:tc>
          <w:tcPr>
            <w:tcW w:w="9477" w:type="dxa"/>
          </w:tcPr>
          <w:p w14:paraId="489B414F" w14:textId="77777777" w:rsidR="00D517C8" w:rsidRPr="00DC1C54" w:rsidRDefault="00D517C8" w:rsidP="00D517C8">
            <w:pPr>
              <w:shd w:val="clear" w:color="auto" w:fill="FFFFFF"/>
              <w:spacing w:after="150" w:line="360" w:lineRule="auto"/>
              <w:rPr>
                <w:rFonts w:ascii="Arial" w:hAnsi="Arial" w:cs="Arial"/>
                <w:b/>
                <w:bCs/>
                <w:color w:val="0B0C0C"/>
                <w:sz w:val="22"/>
                <w:szCs w:val="22"/>
              </w:rPr>
            </w:pPr>
            <w:r w:rsidRPr="00DC1C54">
              <w:rPr>
                <w:rFonts w:ascii="Arial" w:hAnsi="Arial" w:cs="Arial"/>
                <w:b/>
                <w:bCs/>
                <w:color w:val="0B0C0C"/>
                <w:sz w:val="22"/>
                <w:szCs w:val="22"/>
              </w:rPr>
              <w:t>View all my test results easily and consistently</w:t>
            </w:r>
          </w:p>
        </w:tc>
      </w:tr>
      <w:tr w:rsidR="00D517C8" w:rsidRPr="00DC1C54" w14:paraId="31F79D10" w14:textId="77777777" w:rsidTr="00D517C8">
        <w:trPr>
          <w:trHeight w:val="181"/>
        </w:trPr>
        <w:tc>
          <w:tcPr>
            <w:tcW w:w="9477" w:type="dxa"/>
          </w:tcPr>
          <w:p w14:paraId="3B61CCB9" w14:textId="77777777" w:rsidR="00D517C8" w:rsidRPr="00DC1C54" w:rsidRDefault="00D517C8" w:rsidP="00D517C8">
            <w:pPr>
              <w:shd w:val="clear" w:color="auto" w:fill="FFFFFF"/>
              <w:spacing w:after="150" w:line="360" w:lineRule="auto"/>
              <w:rPr>
                <w:rFonts w:ascii="Arial" w:hAnsi="Arial" w:cs="Arial"/>
                <w:b/>
                <w:bCs/>
                <w:color w:val="0B0C0C"/>
                <w:sz w:val="22"/>
                <w:szCs w:val="22"/>
              </w:rPr>
            </w:pPr>
            <w:r w:rsidRPr="00DC1C54">
              <w:rPr>
                <w:rFonts w:ascii="Arial" w:hAnsi="Arial" w:cs="Arial"/>
                <w:b/>
                <w:bCs/>
                <w:color w:val="0B0C0C"/>
                <w:sz w:val="22"/>
                <w:szCs w:val="22"/>
              </w:rPr>
              <w:t>Review how my data has been used to plan services and contribute to medical research</w:t>
            </w:r>
          </w:p>
        </w:tc>
      </w:tr>
      <w:tr w:rsidR="00D517C8" w:rsidRPr="00DC1C54" w14:paraId="61799389" w14:textId="77777777" w:rsidTr="00D517C8">
        <w:trPr>
          <w:trHeight w:val="243"/>
        </w:trPr>
        <w:tc>
          <w:tcPr>
            <w:tcW w:w="9477" w:type="dxa"/>
          </w:tcPr>
          <w:p w14:paraId="03515013" w14:textId="77777777" w:rsidR="00D517C8" w:rsidRPr="00DC1C54" w:rsidRDefault="00D517C8" w:rsidP="00D517C8">
            <w:pPr>
              <w:shd w:val="clear" w:color="auto" w:fill="FFFFFF"/>
              <w:spacing w:after="150" w:line="360" w:lineRule="auto"/>
              <w:rPr>
                <w:rFonts w:ascii="Arial" w:hAnsi="Arial" w:cs="Arial"/>
                <w:b/>
                <w:bCs/>
                <w:color w:val="0B0C0C"/>
                <w:sz w:val="22"/>
                <w:szCs w:val="22"/>
              </w:rPr>
            </w:pPr>
            <w:r w:rsidRPr="00DC1C54">
              <w:rPr>
                <w:rFonts w:ascii="Arial" w:hAnsi="Arial" w:cs="Arial"/>
                <w:b/>
                <w:bCs/>
                <w:color w:val="0B0C0C"/>
                <w:sz w:val="22"/>
                <w:szCs w:val="22"/>
              </w:rPr>
              <w:t>Exercise greater control over how my data is used by being able to opt out of specific uses of my data if I choose, once I have been informed of the potential benefits</w:t>
            </w:r>
          </w:p>
        </w:tc>
      </w:tr>
      <w:tr w:rsidR="00D517C8" w:rsidRPr="00DC1C54" w14:paraId="63AE39F0" w14:textId="77777777" w:rsidTr="00D517C8">
        <w:trPr>
          <w:trHeight w:val="558"/>
        </w:trPr>
        <w:tc>
          <w:tcPr>
            <w:tcW w:w="9477" w:type="dxa"/>
          </w:tcPr>
          <w:p w14:paraId="101DD62D" w14:textId="77777777" w:rsidR="00D517C8" w:rsidRPr="00DC1C54" w:rsidRDefault="00D517C8" w:rsidP="00D517C8">
            <w:pPr>
              <w:shd w:val="clear" w:color="auto" w:fill="FFFFFF"/>
              <w:spacing w:after="150" w:line="360" w:lineRule="auto"/>
              <w:rPr>
                <w:rFonts w:ascii="Arial" w:hAnsi="Arial" w:cs="Arial"/>
                <w:b/>
                <w:bCs/>
                <w:color w:val="0B0C0C"/>
                <w:sz w:val="22"/>
                <w:szCs w:val="22"/>
              </w:rPr>
            </w:pPr>
            <w:r w:rsidRPr="00DC1C54">
              <w:rPr>
                <w:rFonts w:ascii="Arial" w:hAnsi="Arial" w:cs="Arial"/>
                <w:b/>
                <w:bCs/>
                <w:color w:val="0B0C0C"/>
                <w:sz w:val="22"/>
                <w:szCs w:val="22"/>
              </w:rPr>
              <w:t>Access services that are relevant to me</w:t>
            </w:r>
          </w:p>
        </w:tc>
      </w:tr>
    </w:tbl>
    <w:p w14:paraId="4A5C27A3" w14:textId="7DF127EC" w:rsidR="00022AC0" w:rsidRPr="00022AC0" w:rsidRDefault="00022AC0" w:rsidP="00022AC0">
      <w:pPr>
        <w:spacing w:before="100" w:beforeAutospacing="1" w:after="100" w:afterAutospacing="1" w:line="360" w:lineRule="auto"/>
        <w:rPr>
          <w:rFonts w:ascii="Arial" w:eastAsia="Times New Roman" w:hAnsi="Arial" w:cs="Arial"/>
          <w:kern w:val="0"/>
          <w:sz w:val="22"/>
          <w:szCs w:val="22"/>
          <w:lang w:eastAsia="en-GB"/>
          <w14:ligatures w14:val="none"/>
        </w:rPr>
      </w:pPr>
      <w:r w:rsidRPr="00022AC0">
        <w:rPr>
          <w:rFonts w:ascii="Arial" w:eastAsia="Times New Roman" w:hAnsi="Arial" w:cs="Arial"/>
          <w:kern w:val="0"/>
          <w:sz w:val="22"/>
          <w:szCs w:val="22"/>
          <w:lang w:eastAsia="en-GB"/>
          <w14:ligatures w14:val="none"/>
        </w:rPr>
        <w:t>Image x: Roadmap — Manage my health from March 2025 and beyond (Adapted from Department of Health and Social Care, 2022).</w:t>
      </w:r>
    </w:p>
    <w:p w14:paraId="4C6970EE" w14:textId="77777777" w:rsidR="00022AC0" w:rsidRPr="00022AC0" w:rsidRDefault="00022AC0" w:rsidP="00022AC0">
      <w:pPr>
        <w:spacing w:before="100" w:beforeAutospacing="1" w:after="100" w:afterAutospacing="1" w:line="360" w:lineRule="auto"/>
        <w:rPr>
          <w:rFonts w:ascii="Arial" w:eastAsia="Times New Roman" w:hAnsi="Arial" w:cs="Arial"/>
          <w:kern w:val="0"/>
          <w:sz w:val="22"/>
          <w:szCs w:val="22"/>
          <w:lang w:eastAsia="en-GB"/>
          <w14:ligatures w14:val="none"/>
        </w:rPr>
      </w:pPr>
      <w:r w:rsidRPr="00022AC0">
        <w:rPr>
          <w:rFonts w:ascii="Arial" w:eastAsia="Times New Roman" w:hAnsi="Arial" w:cs="Arial"/>
          <w:b/>
          <w:bCs/>
          <w:kern w:val="0"/>
          <w:sz w:val="22"/>
          <w:szCs w:val="22"/>
          <w:lang w:eastAsia="en-GB"/>
          <w14:ligatures w14:val="none"/>
        </w:rPr>
        <w:t>Figure 5</w:t>
      </w:r>
      <w:r w:rsidRPr="00022AC0">
        <w:rPr>
          <w:rFonts w:ascii="Arial" w:eastAsia="Times New Roman" w:hAnsi="Arial" w:cs="Arial"/>
          <w:kern w:val="0"/>
          <w:sz w:val="22"/>
          <w:szCs w:val="22"/>
          <w:lang w:eastAsia="en-GB"/>
          <w14:ligatures w14:val="none"/>
        </w:rPr>
        <w:t xml:space="preserve"> This roadmap outlines key digital health entitlements for patients from March 2025 onwards, including consistent access to test results, transparency around data use in planning and research, informed opt</w:t>
      </w:r>
      <w:r w:rsidRPr="00022AC0">
        <w:rPr>
          <w:rFonts w:ascii="Cambria Math" w:eastAsia="Times New Roman" w:hAnsi="Cambria Math" w:cs="Cambria Math"/>
          <w:kern w:val="0"/>
          <w:sz w:val="22"/>
          <w:szCs w:val="22"/>
          <w:lang w:eastAsia="en-GB"/>
          <w14:ligatures w14:val="none"/>
        </w:rPr>
        <w:t>‑</w:t>
      </w:r>
      <w:r w:rsidRPr="00022AC0">
        <w:rPr>
          <w:rFonts w:ascii="Arial" w:eastAsia="Times New Roman" w:hAnsi="Arial" w:cs="Arial"/>
          <w:kern w:val="0"/>
          <w:sz w:val="22"/>
          <w:szCs w:val="22"/>
          <w:lang w:eastAsia="en-GB"/>
          <w14:ligatures w14:val="none"/>
        </w:rPr>
        <w:t>out controls, and tailored service access. Use this figure to contextualise policy drivers for digital inclusion, data governance, and patient</w:t>
      </w:r>
      <w:r w:rsidRPr="00022AC0">
        <w:rPr>
          <w:rFonts w:ascii="Cambria Math" w:eastAsia="Times New Roman" w:hAnsi="Cambria Math" w:cs="Cambria Math"/>
          <w:kern w:val="0"/>
          <w:sz w:val="22"/>
          <w:szCs w:val="22"/>
          <w:lang w:eastAsia="en-GB"/>
          <w14:ligatures w14:val="none"/>
        </w:rPr>
        <w:t>‑</w:t>
      </w:r>
      <w:r w:rsidRPr="00022AC0">
        <w:rPr>
          <w:rFonts w:ascii="Arial" w:eastAsia="Times New Roman" w:hAnsi="Arial" w:cs="Arial"/>
          <w:kern w:val="0"/>
          <w:sz w:val="22"/>
          <w:szCs w:val="22"/>
          <w:lang w:eastAsia="en-GB"/>
          <w14:ligatures w14:val="none"/>
        </w:rPr>
        <w:t>centred design.</w:t>
      </w:r>
    </w:p>
    <w:p w14:paraId="4D67887B" w14:textId="77777777" w:rsidR="0083351F" w:rsidRDefault="0083351F" w:rsidP="00961C27">
      <w:pPr>
        <w:rPr>
          <w:rFonts w:ascii="Arial" w:hAnsi="Arial" w:cs="Arial"/>
          <w:sz w:val="22"/>
          <w:szCs w:val="22"/>
          <w:lang w:eastAsia="en-GB"/>
        </w:rPr>
      </w:pPr>
    </w:p>
    <w:p w14:paraId="0D8A52CD" w14:textId="77777777" w:rsidR="00515E44" w:rsidRDefault="00515E44" w:rsidP="00961C27">
      <w:pPr>
        <w:rPr>
          <w:rFonts w:ascii="Arial" w:hAnsi="Arial" w:cs="Arial"/>
          <w:sz w:val="22"/>
          <w:szCs w:val="22"/>
          <w:lang w:eastAsia="en-GB"/>
        </w:rPr>
      </w:pPr>
    </w:p>
    <w:p w14:paraId="5C7300A0" w14:textId="77777777" w:rsidR="00515E44" w:rsidRDefault="00515E44" w:rsidP="00961C27">
      <w:pPr>
        <w:rPr>
          <w:rFonts w:ascii="Arial" w:hAnsi="Arial" w:cs="Arial"/>
          <w:sz w:val="22"/>
          <w:szCs w:val="22"/>
          <w:lang w:eastAsia="en-GB"/>
        </w:rPr>
      </w:pPr>
    </w:p>
    <w:p w14:paraId="6ED8BDC0" w14:textId="77777777" w:rsidR="00515E44" w:rsidRDefault="00515E44" w:rsidP="00961C27">
      <w:pPr>
        <w:rPr>
          <w:rFonts w:ascii="Arial" w:hAnsi="Arial" w:cs="Arial"/>
          <w:sz w:val="22"/>
          <w:szCs w:val="22"/>
          <w:lang w:eastAsia="en-GB"/>
        </w:rPr>
      </w:pPr>
    </w:p>
    <w:p w14:paraId="389C97A1" w14:textId="77777777" w:rsidR="00515E44" w:rsidRDefault="00515E44" w:rsidP="00961C27">
      <w:pPr>
        <w:rPr>
          <w:rFonts w:ascii="Arial" w:hAnsi="Arial" w:cs="Arial"/>
          <w:sz w:val="22"/>
          <w:szCs w:val="22"/>
          <w:lang w:eastAsia="en-GB"/>
        </w:rPr>
      </w:pPr>
    </w:p>
    <w:p w14:paraId="2D735948" w14:textId="77777777" w:rsidR="00515E44" w:rsidRDefault="00515E44" w:rsidP="00961C27">
      <w:pPr>
        <w:rPr>
          <w:rFonts w:ascii="Arial" w:hAnsi="Arial" w:cs="Arial"/>
          <w:sz w:val="22"/>
          <w:szCs w:val="22"/>
          <w:lang w:eastAsia="en-GB"/>
        </w:rPr>
      </w:pPr>
    </w:p>
    <w:p w14:paraId="32F68F2F" w14:textId="77777777" w:rsidR="00515E44" w:rsidRDefault="00515E44" w:rsidP="00961C27">
      <w:pPr>
        <w:rPr>
          <w:rFonts w:ascii="Arial" w:hAnsi="Arial" w:cs="Arial"/>
          <w:sz w:val="22"/>
          <w:szCs w:val="22"/>
          <w:lang w:eastAsia="en-GB"/>
        </w:rPr>
      </w:pPr>
    </w:p>
    <w:p w14:paraId="1DA24944" w14:textId="77777777" w:rsidR="00515E44" w:rsidRDefault="00515E44" w:rsidP="00961C27">
      <w:pPr>
        <w:rPr>
          <w:rFonts w:ascii="Arial" w:hAnsi="Arial" w:cs="Arial"/>
          <w:sz w:val="22"/>
          <w:szCs w:val="22"/>
          <w:lang w:eastAsia="en-GB"/>
        </w:rPr>
      </w:pPr>
    </w:p>
    <w:p w14:paraId="64A3AED6" w14:textId="77777777" w:rsidR="00515E44" w:rsidRDefault="00515E44" w:rsidP="00961C27">
      <w:pPr>
        <w:rPr>
          <w:rFonts w:ascii="Arial" w:hAnsi="Arial" w:cs="Arial"/>
          <w:sz w:val="22"/>
          <w:szCs w:val="22"/>
          <w:lang w:eastAsia="en-GB"/>
        </w:rPr>
      </w:pPr>
    </w:p>
    <w:p w14:paraId="56977D09" w14:textId="77777777" w:rsidR="00515E44" w:rsidRDefault="00515E44" w:rsidP="00961C27">
      <w:pPr>
        <w:rPr>
          <w:rFonts w:ascii="Arial" w:hAnsi="Arial" w:cs="Arial"/>
          <w:sz w:val="22"/>
          <w:szCs w:val="22"/>
          <w:lang w:eastAsia="en-GB"/>
        </w:rPr>
      </w:pPr>
    </w:p>
    <w:p w14:paraId="259D8676" w14:textId="77777777" w:rsidR="00515E44" w:rsidRDefault="00515E44" w:rsidP="00961C27">
      <w:pPr>
        <w:rPr>
          <w:rFonts w:ascii="Arial" w:hAnsi="Arial" w:cs="Arial"/>
          <w:sz w:val="22"/>
          <w:szCs w:val="22"/>
          <w:lang w:eastAsia="en-GB"/>
        </w:rPr>
      </w:pPr>
    </w:p>
    <w:p w14:paraId="49D26908" w14:textId="77777777" w:rsidR="00515E44" w:rsidRDefault="00515E44" w:rsidP="00961C27">
      <w:pPr>
        <w:rPr>
          <w:rFonts w:ascii="Arial" w:hAnsi="Arial" w:cs="Arial"/>
          <w:sz w:val="22"/>
          <w:szCs w:val="22"/>
          <w:lang w:eastAsia="en-GB"/>
        </w:rPr>
      </w:pPr>
    </w:p>
    <w:p w14:paraId="2B40ACFD" w14:textId="77777777" w:rsidR="00515E44" w:rsidRDefault="00515E44" w:rsidP="00961C27">
      <w:pPr>
        <w:rPr>
          <w:rFonts w:ascii="Arial" w:hAnsi="Arial" w:cs="Arial"/>
          <w:sz w:val="22"/>
          <w:szCs w:val="22"/>
          <w:lang w:eastAsia="en-GB"/>
        </w:rPr>
      </w:pPr>
    </w:p>
    <w:p w14:paraId="0D35C719" w14:textId="77777777" w:rsidR="00515E44" w:rsidRDefault="00515E44" w:rsidP="00961C27">
      <w:pPr>
        <w:rPr>
          <w:rFonts w:ascii="Arial" w:hAnsi="Arial" w:cs="Arial"/>
          <w:sz w:val="22"/>
          <w:szCs w:val="22"/>
          <w:lang w:eastAsia="en-GB"/>
        </w:rPr>
      </w:pPr>
    </w:p>
    <w:p w14:paraId="7022C67A" w14:textId="30350A85" w:rsidR="00515E44" w:rsidRDefault="00B147C2" w:rsidP="00961C27">
      <w:pPr>
        <w:rPr>
          <w:rFonts w:ascii="Arial" w:hAnsi="Arial" w:cs="Arial"/>
          <w:sz w:val="22"/>
          <w:szCs w:val="22"/>
          <w:lang w:eastAsia="en-GB"/>
        </w:rPr>
      </w:pPr>
      <w:r w:rsidRPr="00DC1C54">
        <w:rPr>
          <w:rFonts w:ascii="Arial" w:eastAsia="Yu Mincho" w:hAnsi="Arial" w:cs="Arial"/>
          <w:noProof/>
          <w:sz w:val="20"/>
          <w:szCs w:val="20"/>
        </w:rPr>
        <w:drawing>
          <wp:anchor distT="0" distB="0" distL="114300" distR="114300" simplePos="0" relativeHeight="251663360" behindDoc="0" locked="0" layoutInCell="1" allowOverlap="1" wp14:anchorId="7DE1546C" wp14:editId="4870B7B5">
            <wp:simplePos x="0" y="0"/>
            <wp:positionH relativeFrom="margin">
              <wp:posOffset>0</wp:posOffset>
            </wp:positionH>
            <wp:positionV relativeFrom="paragraph">
              <wp:posOffset>295275</wp:posOffset>
            </wp:positionV>
            <wp:extent cx="5943600" cy="4380865"/>
            <wp:effectExtent l="0" t="0" r="0" b="0"/>
            <wp:wrapSquare wrapText="bothSides"/>
            <wp:docPr id="201335000" name="Picture 1" descr="A screenshot of a medical appoin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40401" name="Picture 1" descr="A screenshot of a medical appointment"/>
                    <pic:cNvPicPr>
                      <a:picLocks noChangeAspect="1"/>
                    </pic:cNvPicPr>
                  </pic:nvPicPr>
                  <pic:blipFill>
                    <a:blip r:embed="rId12"/>
                    <a:stretch>
                      <a:fillRect/>
                    </a:stretch>
                  </pic:blipFill>
                  <pic:spPr>
                    <a:xfrm>
                      <a:off x="0" y="0"/>
                      <a:ext cx="5948070" cy="4384376"/>
                    </a:xfrm>
                    <a:prstGeom prst="rect">
                      <a:avLst/>
                    </a:prstGeom>
                  </pic:spPr>
                </pic:pic>
              </a:graphicData>
            </a:graphic>
            <wp14:sizeRelH relativeFrom="margin">
              <wp14:pctWidth>0</wp14:pctWidth>
            </wp14:sizeRelH>
            <wp14:sizeRelV relativeFrom="margin">
              <wp14:pctHeight>0</wp14:pctHeight>
            </wp14:sizeRelV>
          </wp:anchor>
        </w:drawing>
      </w:r>
    </w:p>
    <w:p w14:paraId="09875D01" w14:textId="77777777" w:rsidR="00515E44" w:rsidRDefault="00515E44" w:rsidP="00961C27">
      <w:pPr>
        <w:rPr>
          <w:rFonts w:ascii="Arial" w:hAnsi="Arial" w:cs="Arial"/>
          <w:sz w:val="22"/>
          <w:szCs w:val="22"/>
          <w:lang w:eastAsia="en-GB"/>
        </w:rPr>
      </w:pPr>
    </w:p>
    <w:p w14:paraId="4FBBE58C" w14:textId="0B901DC1" w:rsidR="005D7073" w:rsidRPr="00DC1C54" w:rsidRDefault="005D7073" w:rsidP="005D7073">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Image x</w:t>
      </w:r>
      <w:r w:rsidRPr="00DC1C54">
        <w:rPr>
          <w:rFonts w:ascii="Arial" w:eastAsia="Times New Roman" w:hAnsi="Arial" w:cs="Arial"/>
          <w:kern w:val="0"/>
          <w:sz w:val="22"/>
          <w:szCs w:val="22"/>
          <w:lang w:eastAsia="en-GB"/>
          <w14:ligatures w14:val="none"/>
        </w:rPr>
        <w:t>: Example appointment scheduling interface (Adapted from Medicus Health, 2025).</w:t>
      </w:r>
    </w:p>
    <w:p w14:paraId="7662089E" w14:textId="77777777" w:rsidR="005D7073" w:rsidRPr="00DC1C54" w:rsidRDefault="005D7073" w:rsidP="005D7073">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b/>
          <w:bCs/>
          <w:kern w:val="0"/>
          <w:sz w:val="22"/>
          <w:szCs w:val="22"/>
          <w:lang w:eastAsia="en-GB"/>
          <w14:ligatures w14:val="none"/>
        </w:rPr>
        <w:t>Figure 4</w:t>
      </w:r>
      <w:r w:rsidRPr="00DC1C54">
        <w:rPr>
          <w:rFonts w:ascii="Arial" w:eastAsia="Times New Roman" w:hAnsi="Arial" w:cs="Arial"/>
          <w:kern w:val="0"/>
          <w:sz w:val="22"/>
          <w:szCs w:val="22"/>
          <w:lang w:eastAsia="en-GB"/>
          <w14:ligatures w14:val="none"/>
        </w:rPr>
        <w:t xml:space="preserve"> displays a multi</w:t>
      </w:r>
      <w:r w:rsidRPr="00DC1C54">
        <w:rPr>
          <w:rFonts w:ascii="Cambria Math" w:eastAsia="Times New Roman" w:hAnsi="Cambria Math" w:cs="Cambria Math"/>
          <w:kern w:val="0"/>
          <w:sz w:val="22"/>
          <w:szCs w:val="22"/>
          <w:lang w:eastAsia="en-GB"/>
          <w14:ligatures w14:val="none"/>
        </w:rPr>
        <w:t>‑</w:t>
      </w:r>
      <w:r w:rsidRPr="00DC1C54">
        <w:rPr>
          <w:rFonts w:ascii="Arial" w:eastAsia="Times New Roman" w:hAnsi="Arial" w:cs="Arial"/>
          <w:kern w:val="0"/>
          <w:sz w:val="22"/>
          <w:szCs w:val="22"/>
          <w:lang w:eastAsia="en-GB"/>
          <w14:ligatures w14:val="none"/>
        </w:rPr>
        <w:t>clinician appointment interface, showing real</w:t>
      </w:r>
      <w:r w:rsidRPr="00DC1C54">
        <w:rPr>
          <w:rFonts w:ascii="Cambria Math" w:eastAsia="Times New Roman" w:hAnsi="Cambria Math" w:cs="Cambria Math"/>
          <w:kern w:val="0"/>
          <w:sz w:val="22"/>
          <w:szCs w:val="22"/>
          <w:lang w:eastAsia="en-GB"/>
          <w14:ligatures w14:val="none"/>
        </w:rPr>
        <w:t>‑</w:t>
      </w:r>
      <w:r w:rsidRPr="00DC1C54">
        <w:rPr>
          <w:rFonts w:ascii="Arial" w:eastAsia="Times New Roman" w:hAnsi="Arial" w:cs="Arial"/>
          <w:kern w:val="0"/>
          <w:sz w:val="22"/>
          <w:szCs w:val="22"/>
          <w:lang w:eastAsia="en-GB"/>
          <w14:ligatures w14:val="none"/>
        </w:rPr>
        <w:t>time scheduling across GP, telephone, and routine consultations, with filters and search tools that streamline booking and improve visibility across the practice team.</w:t>
      </w:r>
    </w:p>
    <w:p w14:paraId="2294EB16" w14:textId="77777777" w:rsidR="00515E44" w:rsidRPr="00961C27" w:rsidRDefault="00515E44" w:rsidP="00961C27">
      <w:pPr>
        <w:rPr>
          <w:rFonts w:ascii="Arial" w:hAnsi="Arial" w:cs="Arial"/>
          <w:sz w:val="22"/>
          <w:szCs w:val="22"/>
          <w:lang w:eastAsia="en-GB"/>
        </w:rPr>
      </w:pPr>
    </w:p>
    <w:p w14:paraId="46669707" w14:textId="48DC8FA9" w:rsidR="00EA5369" w:rsidRDefault="00284DC4" w:rsidP="00A21B15">
      <w:pPr>
        <w:spacing w:line="360" w:lineRule="auto"/>
        <w:rPr>
          <w:rFonts w:ascii="Arial" w:hAnsi="Arial" w:cs="Arial"/>
          <w:sz w:val="22"/>
          <w:szCs w:val="22"/>
          <w:lang w:eastAsia="en-GB"/>
        </w:rPr>
      </w:pPr>
      <w:r w:rsidRPr="00DC1C54">
        <w:rPr>
          <w:rFonts w:ascii="Arial" w:eastAsia="Yu Mincho" w:hAnsi="Arial" w:cs="Arial"/>
          <w:noProof/>
        </w:rPr>
        <w:lastRenderedPageBreak/>
        <w:drawing>
          <wp:inline distT="0" distB="0" distL="0" distR="0" wp14:anchorId="50802A6C" wp14:editId="5FE85DE1">
            <wp:extent cx="5487166" cy="7087589"/>
            <wp:effectExtent l="133350" t="114300" r="151765" b="170815"/>
            <wp:docPr id="1674889815" name="Picture 4" descr="A medical report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889815" name="Picture 4" descr="A medical report with text"/>
                    <pic:cNvPicPr/>
                  </pic:nvPicPr>
                  <pic:blipFill>
                    <a:blip r:embed="rId37">
                      <a:extLst>
                        <a:ext uri="{28A0092B-C50C-407E-A947-70E740481C1C}">
                          <a14:useLocalDpi xmlns:a14="http://schemas.microsoft.com/office/drawing/2010/main" val="0"/>
                        </a:ext>
                      </a:extLst>
                    </a:blip>
                    <a:stretch>
                      <a:fillRect/>
                    </a:stretch>
                  </pic:blipFill>
                  <pic:spPr>
                    <a:xfrm>
                      <a:off x="0" y="0"/>
                      <a:ext cx="5487166" cy="708758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DAC8EC1" w14:textId="77777777" w:rsidR="00EA5369" w:rsidRDefault="00EA5369" w:rsidP="00A21B15">
      <w:pPr>
        <w:spacing w:line="360" w:lineRule="auto"/>
        <w:rPr>
          <w:rFonts w:ascii="Arial" w:hAnsi="Arial" w:cs="Arial"/>
          <w:sz w:val="22"/>
          <w:szCs w:val="22"/>
          <w:lang w:eastAsia="en-GB"/>
        </w:rPr>
      </w:pPr>
    </w:p>
    <w:p w14:paraId="607D2AD8" w14:textId="67DFEC4A" w:rsidR="00EA5369" w:rsidRDefault="008706A8" w:rsidP="00A21B15">
      <w:pPr>
        <w:spacing w:line="360" w:lineRule="auto"/>
        <w:rPr>
          <w:rFonts w:ascii="Arial" w:hAnsi="Arial" w:cs="Arial"/>
          <w:sz w:val="22"/>
          <w:szCs w:val="22"/>
          <w:lang w:eastAsia="en-GB"/>
        </w:rPr>
      </w:pPr>
      <w:r w:rsidRPr="00DC1C54">
        <w:rPr>
          <w:rFonts w:ascii="Arial" w:eastAsia="Yu Mincho" w:hAnsi="Arial" w:cs="Arial"/>
          <w:noProof/>
        </w:rPr>
        <w:lastRenderedPageBreak/>
        <w:drawing>
          <wp:inline distT="0" distB="0" distL="0" distR="0" wp14:anchorId="1478B80A" wp14:editId="76391359">
            <wp:extent cx="5449060" cy="5401429"/>
            <wp:effectExtent l="133350" t="114300" r="151765" b="161290"/>
            <wp:docPr id="1695548022"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48022" name="Picture 3" descr="A close-up of a document&#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449060" cy="54014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AA5181" w14:textId="77777777" w:rsidR="00EA5369" w:rsidRDefault="00EA5369" w:rsidP="00A21B15">
      <w:pPr>
        <w:spacing w:line="360" w:lineRule="auto"/>
        <w:rPr>
          <w:rFonts w:ascii="Arial" w:hAnsi="Arial" w:cs="Arial"/>
          <w:sz w:val="22"/>
          <w:szCs w:val="22"/>
          <w:lang w:eastAsia="en-GB"/>
        </w:rPr>
      </w:pPr>
    </w:p>
    <w:p w14:paraId="43725738" w14:textId="77777777" w:rsidR="00EA5369" w:rsidRDefault="00EA5369" w:rsidP="00A21B15">
      <w:pPr>
        <w:spacing w:line="360" w:lineRule="auto"/>
        <w:rPr>
          <w:rFonts w:ascii="Arial" w:hAnsi="Arial" w:cs="Arial"/>
          <w:sz w:val="22"/>
          <w:szCs w:val="22"/>
          <w:lang w:eastAsia="en-GB"/>
        </w:rPr>
      </w:pPr>
    </w:p>
    <w:p w14:paraId="5ED8CA93" w14:textId="77777777" w:rsidR="00EA5369" w:rsidRDefault="00EA5369" w:rsidP="00A21B15">
      <w:pPr>
        <w:spacing w:line="360" w:lineRule="auto"/>
        <w:rPr>
          <w:rFonts w:ascii="Arial" w:hAnsi="Arial" w:cs="Arial"/>
          <w:sz w:val="22"/>
          <w:szCs w:val="22"/>
          <w:lang w:eastAsia="en-GB"/>
        </w:rPr>
      </w:pPr>
    </w:p>
    <w:p w14:paraId="63070A96" w14:textId="77777777" w:rsidR="00EA5369" w:rsidRDefault="00EA5369" w:rsidP="00A21B15">
      <w:pPr>
        <w:spacing w:line="360" w:lineRule="auto"/>
        <w:rPr>
          <w:rFonts w:ascii="Arial" w:hAnsi="Arial" w:cs="Arial"/>
          <w:sz w:val="22"/>
          <w:szCs w:val="22"/>
          <w:lang w:eastAsia="en-GB"/>
        </w:rPr>
      </w:pPr>
    </w:p>
    <w:p w14:paraId="1FCB5B7B" w14:textId="77777777" w:rsidR="00EA5369" w:rsidRDefault="00EA5369" w:rsidP="00A21B15">
      <w:pPr>
        <w:spacing w:line="360" w:lineRule="auto"/>
        <w:rPr>
          <w:rFonts w:ascii="Arial" w:hAnsi="Arial" w:cs="Arial"/>
          <w:sz w:val="22"/>
          <w:szCs w:val="22"/>
          <w:lang w:eastAsia="en-GB"/>
        </w:rPr>
      </w:pPr>
    </w:p>
    <w:p w14:paraId="45E45E13" w14:textId="77777777" w:rsidR="005D7073" w:rsidRDefault="005D7073" w:rsidP="00A21B15">
      <w:pPr>
        <w:spacing w:line="360" w:lineRule="auto"/>
        <w:rPr>
          <w:rFonts w:ascii="Arial" w:hAnsi="Arial" w:cs="Arial"/>
          <w:sz w:val="22"/>
          <w:szCs w:val="22"/>
          <w:lang w:eastAsia="en-GB"/>
        </w:rPr>
      </w:pPr>
    </w:p>
    <w:p w14:paraId="6207EB28" w14:textId="77777777" w:rsidR="005D7073" w:rsidRDefault="005D7073" w:rsidP="00A21B15">
      <w:pPr>
        <w:spacing w:line="360" w:lineRule="auto"/>
        <w:rPr>
          <w:rFonts w:ascii="Arial" w:hAnsi="Arial" w:cs="Arial"/>
          <w:sz w:val="22"/>
          <w:szCs w:val="22"/>
          <w:lang w:eastAsia="en-GB"/>
        </w:rPr>
      </w:pPr>
    </w:p>
    <w:p w14:paraId="653DEC36" w14:textId="77777777" w:rsidR="005D7073" w:rsidRDefault="005D7073" w:rsidP="00A21B15">
      <w:pPr>
        <w:spacing w:line="360" w:lineRule="auto"/>
        <w:rPr>
          <w:rFonts w:ascii="Arial" w:hAnsi="Arial" w:cs="Arial"/>
          <w:sz w:val="22"/>
          <w:szCs w:val="22"/>
          <w:lang w:eastAsia="en-GB"/>
        </w:rPr>
      </w:pPr>
    </w:p>
    <w:p w14:paraId="5BACB5E0" w14:textId="77777777" w:rsidR="005D7073" w:rsidRDefault="005D7073" w:rsidP="00A21B15">
      <w:pPr>
        <w:spacing w:line="360" w:lineRule="auto"/>
        <w:rPr>
          <w:rFonts w:ascii="Arial" w:hAnsi="Arial" w:cs="Arial"/>
          <w:sz w:val="22"/>
          <w:szCs w:val="22"/>
          <w:lang w:eastAsia="en-GB"/>
        </w:rPr>
      </w:pPr>
    </w:p>
    <w:p w14:paraId="667686FF" w14:textId="77777777" w:rsidR="005D7073" w:rsidRDefault="005D7073" w:rsidP="00A21B15">
      <w:pPr>
        <w:spacing w:line="360" w:lineRule="auto"/>
        <w:rPr>
          <w:rFonts w:ascii="Arial" w:hAnsi="Arial" w:cs="Arial"/>
          <w:sz w:val="22"/>
          <w:szCs w:val="22"/>
          <w:lang w:eastAsia="en-GB"/>
        </w:rPr>
      </w:pPr>
    </w:p>
    <w:p w14:paraId="7FBB57F8" w14:textId="113D3757" w:rsidR="005D7073" w:rsidRDefault="00074AD0" w:rsidP="00A21B15">
      <w:pPr>
        <w:spacing w:line="360" w:lineRule="auto"/>
        <w:rPr>
          <w:rFonts w:ascii="Arial" w:hAnsi="Arial" w:cs="Arial"/>
          <w:sz w:val="22"/>
          <w:szCs w:val="22"/>
          <w:lang w:eastAsia="en-GB"/>
        </w:rPr>
      </w:pPr>
      <w:r w:rsidRPr="00DC1C54">
        <w:rPr>
          <w:rFonts w:ascii="Arial" w:eastAsia="Yu Mincho" w:hAnsi="Arial" w:cs="Arial"/>
          <w:noProof/>
        </w:rPr>
        <w:drawing>
          <wp:inline distT="0" distB="0" distL="0" distR="0" wp14:anchorId="7480C81D" wp14:editId="07B808B6">
            <wp:extent cx="5731510" cy="4362249"/>
            <wp:effectExtent l="0" t="0" r="2540" b="635"/>
            <wp:docPr id="2019403643" name="drawing" descr="A computer with a screen and a screen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76566" name="drawing" descr="A computer with a screen and a screen with icons&#10;&#10;AI-generated content may be incorrect."/>
                    <pic:cNvPicPr/>
                  </pic:nvPicPr>
                  <pic:blipFill>
                    <a:blip r:embed="rId39">
                      <a:extLst>
                        <a:ext uri="{28A0092B-C50C-407E-A947-70E740481C1C}">
                          <a14:useLocalDpi xmlns:a14="http://schemas.microsoft.com/office/drawing/2010/main"/>
                        </a:ext>
                      </a:extLst>
                    </a:blip>
                    <a:stretch>
                      <a:fillRect/>
                    </a:stretch>
                  </pic:blipFill>
                  <pic:spPr>
                    <a:xfrm>
                      <a:off x="0" y="0"/>
                      <a:ext cx="5731510" cy="4362249"/>
                    </a:xfrm>
                    <a:prstGeom prst="rect">
                      <a:avLst/>
                    </a:prstGeom>
                  </pic:spPr>
                </pic:pic>
              </a:graphicData>
            </a:graphic>
          </wp:inline>
        </w:drawing>
      </w:r>
    </w:p>
    <w:p w14:paraId="3B88F961" w14:textId="77777777" w:rsidR="000D691D" w:rsidRPr="00DC1C54" w:rsidRDefault="000D691D" w:rsidP="000D691D">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kern w:val="0"/>
          <w:sz w:val="22"/>
          <w:szCs w:val="22"/>
          <w:lang w:eastAsia="en-GB"/>
          <w14:ligatures w14:val="none"/>
        </w:rPr>
        <w:t xml:space="preserve">Figure 2: Fragmented legacy workflows versus unified platform approach (Adapted from Medicus Health, 2025). </w:t>
      </w:r>
    </w:p>
    <w:p w14:paraId="10D3E1BF" w14:textId="77777777" w:rsidR="000D691D" w:rsidRPr="00DC1C54" w:rsidRDefault="000D691D" w:rsidP="000D691D">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b/>
          <w:bCs/>
          <w:kern w:val="0"/>
          <w:sz w:val="22"/>
          <w:szCs w:val="22"/>
          <w:lang w:eastAsia="en-GB"/>
          <w14:ligatures w14:val="none"/>
        </w:rPr>
        <w:t>Figure 2</w:t>
      </w:r>
      <w:r w:rsidRPr="00DC1C54">
        <w:rPr>
          <w:rFonts w:ascii="Arial" w:eastAsia="Times New Roman" w:hAnsi="Arial" w:cs="Arial"/>
          <w:kern w:val="0"/>
          <w:sz w:val="22"/>
          <w:szCs w:val="22"/>
          <w:lang w:eastAsia="en-GB"/>
          <w14:ligatures w14:val="none"/>
        </w:rPr>
        <w:t xml:space="preserve"> contrasts a fragmented set of standalone clinical tools and workflows with a single, cloud</w:t>
      </w:r>
      <w:r w:rsidRPr="00DC1C54">
        <w:rPr>
          <w:rFonts w:ascii="Cambria Math" w:eastAsia="Times New Roman" w:hAnsi="Cambria Math" w:cs="Cambria Math"/>
          <w:kern w:val="0"/>
          <w:sz w:val="22"/>
          <w:szCs w:val="22"/>
          <w:lang w:eastAsia="en-GB"/>
          <w14:ligatures w14:val="none"/>
        </w:rPr>
        <w:t>‑</w:t>
      </w:r>
      <w:r w:rsidRPr="00DC1C54">
        <w:rPr>
          <w:rFonts w:ascii="Arial" w:eastAsia="Times New Roman" w:hAnsi="Arial" w:cs="Arial"/>
          <w:kern w:val="0"/>
          <w:sz w:val="22"/>
          <w:szCs w:val="22"/>
          <w:lang w:eastAsia="en-GB"/>
          <w14:ligatures w14:val="none"/>
        </w:rPr>
        <w:t>based EPR (Medicus) that centralises prescribing, scheduling, messaging, and analytics to simplify care delivery.</w:t>
      </w:r>
    </w:p>
    <w:p w14:paraId="72C2B0A0" w14:textId="77777777" w:rsidR="005D7073" w:rsidRDefault="005D7073" w:rsidP="00A21B15">
      <w:pPr>
        <w:spacing w:line="360" w:lineRule="auto"/>
        <w:rPr>
          <w:rFonts w:ascii="Arial" w:hAnsi="Arial" w:cs="Arial"/>
          <w:sz w:val="22"/>
          <w:szCs w:val="22"/>
          <w:lang w:eastAsia="en-GB"/>
        </w:rPr>
      </w:pPr>
    </w:p>
    <w:p w14:paraId="1C258231" w14:textId="77777777" w:rsidR="005D7073" w:rsidRDefault="005D7073" w:rsidP="00A21B15">
      <w:pPr>
        <w:spacing w:line="360" w:lineRule="auto"/>
        <w:rPr>
          <w:rFonts w:ascii="Arial" w:hAnsi="Arial" w:cs="Arial"/>
          <w:sz w:val="22"/>
          <w:szCs w:val="22"/>
          <w:lang w:eastAsia="en-GB"/>
        </w:rPr>
      </w:pPr>
    </w:p>
    <w:p w14:paraId="36C9FFCC" w14:textId="77777777" w:rsidR="005D7073" w:rsidRDefault="005D7073" w:rsidP="00A21B15">
      <w:pPr>
        <w:spacing w:line="360" w:lineRule="auto"/>
        <w:rPr>
          <w:rFonts w:ascii="Arial" w:hAnsi="Arial" w:cs="Arial"/>
          <w:sz w:val="22"/>
          <w:szCs w:val="22"/>
          <w:lang w:eastAsia="en-GB"/>
        </w:rPr>
      </w:pPr>
    </w:p>
    <w:p w14:paraId="51F4BA9D" w14:textId="77777777" w:rsidR="005D7073" w:rsidRDefault="005D7073" w:rsidP="00A21B15">
      <w:pPr>
        <w:spacing w:line="360" w:lineRule="auto"/>
        <w:rPr>
          <w:rFonts w:ascii="Arial" w:hAnsi="Arial" w:cs="Arial"/>
          <w:sz w:val="22"/>
          <w:szCs w:val="22"/>
          <w:lang w:eastAsia="en-GB"/>
        </w:rPr>
      </w:pPr>
    </w:p>
    <w:p w14:paraId="2B3140A2" w14:textId="77777777" w:rsidR="005D7073" w:rsidRDefault="005D7073" w:rsidP="00A21B15">
      <w:pPr>
        <w:spacing w:line="360" w:lineRule="auto"/>
        <w:rPr>
          <w:rFonts w:ascii="Arial" w:hAnsi="Arial" w:cs="Arial"/>
          <w:sz w:val="22"/>
          <w:szCs w:val="22"/>
          <w:lang w:eastAsia="en-GB"/>
        </w:rPr>
      </w:pPr>
    </w:p>
    <w:p w14:paraId="7E720D70" w14:textId="77777777" w:rsidR="005D7073" w:rsidRDefault="005D7073" w:rsidP="00A21B15">
      <w:pPr>
        <w:spacing w:line="360" w:lineRule="auto"/>
        <w:rPr>
          <w:rFonts w:ascii="Arial" w:hAnsi="Arial" w:cs="Arial"/>
          <w:sz w:val="22"/>
          <w:szCs w:val="22"/>
          <w:lang w:eastAsia="en-GB"/>
        </w:rPr>
      </w:pPr>
    </w:p>
    <w:p w14:paraId="0DCD657A" w14:textId="77777777" w:rsidR="005D7073" w:rsidRDefault="005D7073" w:rsidP="00A21B15">
      <w:pPr>
        <w:spacing w:line="360" w:lineRule="auto"/>
        <w:rPr>
          <w:rFonts w:ascii="Arial" w:hAnsi="Arial" w:cs="Arial"/>
          <w:sz w:val="22"/>
          <w:szCs w:val="22"/>
          <w:lang w:eastAsia="en-GB"/>
        </w:rPr>
      </w:pPr>
    </w:p>
    <w:p w14:paraId="63D45C29" w14:textId="77777777" w:rsidR="005D7073" w:rsidRDefault="005D7073" w:rsidP="00A21B15">
      <w:pPr>
        <w:spacing w:line="360" w:lineRule="auto"/>
        <w:rPr>
          <w:rFonts w:ascii="Arial" w:hAnsi="Arial" w:cs="Arial"/>
          <w:sz w:val="22"/>
          <w:szCs w:val="22"/>
          <w:lang w:eastAsia="en-GB"/>
        </w:rPr>
      </w:pPr>
    </w:p>
    <w:p w14:paraId="104EC144" w14:textId="0D5E8E11" w:rsidR="005D7073" w:rsidRDefault="00C12C1A" w:rsidP="00A21B15">
      <w:pPr>
        <w:spacing w:line="360" w:lineRule="auto"/>
        <w:rPr>
          <w:rFonts w:ascii="Arial" w:hAnsi="Arial" w:cs="Arial"/>
          <w:sz w:val="22"/>
          <w:szCs w:val="22"/>
          <w:lang w:eastAsia="en-GB"/>
        </w:rPr>
      </w:pPr>
      <w:r w:rsidRPr="00DC1C54">
        <w:rPr>
          <w:rFonts w:ascii="Arial" w:eastAsia="Yu Mincho" w:hAnsi="Arial" w:cs="Arial"/>
          <w:b/>
          <w:bCs/>
          <w:noProof/>
          <w:sz w:val="16"/>
          <w:szCs w:val="16"/>
          <w:lang w:eastAsia="en-GB"/>
        </w:rPr>
        <w:drawing>
          <wp:inline distT="0" distB="0" distL="0" distR="0" wp14:anchorId="7F7CE3CF" wp14:editId="753C80E5">
            <wp:extent cx="5275803" cy="2180590"/>
            <wp:effectExtent l="190500" t="190500" r="191770" b="181610"/>
            <wp:docPr id="1074674462" name="Picture 1" descr="A computer icons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41445" name="Picture 1" descr="A computer icons on a white background"/>
                    <pic:cNvPicPr/>
                  </pic:nvPicPr>
                  <pic:blipFill>
                    <a:blip r:embed="rId40"/>
                    <a:stretch>
                      <a:fillRect/>
                    </a:stretch>
                  </pic:blipFill>
                  <pic:spPr>
                    <a:xfrm>
                      <a:off x="0" y="0"/>
                      <a:ext cx="5433653" cy="2245832"/>
                    </a:xfrm>
                    <a:prstGeom prst="rect">
                      <a:avLst/>
                    </a:prstGeom>
                    <a:ln>
                      <a:noFill/>
                    </a:ln>
                    <a:effectLst>
                      <a:outerShdw blurRad="190500" algn="tl" rotWithShape="0">
                        <a:srgbClr val="000000">
                          <a:alpha val="70000"/>
                        </a:srgbClr>
                      </a:outerShdw>
                    </a:effectLst>
                  </pic:spPr>
                </pic:pic>
              </a:graphicData>
            </a:graphic>
          </wp:inline>
        </w:drawing>
      </w:r>
    </w:p>
    <w:p w14:paraId="16268D38" w14:textId="77777777" w:rsidR="00D91700" w:rsidRPr="00DC1C54" w:rsidRDefault="00D91700" w:rsidP="00D91700">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kern w:val="0"/>
          <w:sz w:val="22"/>
          <w:szCs w:val="22"/>
          <w:lang w:eastAsia="en-GB"/>
          <w14:ligatures w14:val="none"/>
        </w:rPr>
        <w:t xml:space="preserve">Figure 1: Home of Medication Decision Support (Adapted from First Databank, 2025). </w:t>
      </w:r>
    </w:p>
    <w:p w14:paraId="60044847" w14:textId="77777777" w:rsidR="00D91700" w:rsidRPr="00DC1C54" w:rsidRDefault="00D91700" w:rsidP="00D91700">
      <w:pPr>
        <w:spacing w:before="100" w:beforeAutospacing="1" w:after="100" w:afterAutospacing="1" w:line="360" w:lineRule="auto"/>
        <w:rPr>
          <w:rFonts w:ascii="Arial" w:eastAsia="Times New Roman" w:hAnsi="Arial" w:cs="Arial"/>
          <w:kern w:val="0"/>
          <w:sz w:val="22"/>
          <w:szCs w:val="22"/>
          <w:lang w:eastAsia="en-GB"/>
          <w14:ligatures w14:val="none"/>
        </w:rPr>
      </w:pPr>
      <w:r w:rsidRPr="00DC1C54">
        <w:rPr>
          <w:rFonts w:ascii="Arial" w:eastAsia="Times New Roman" w:hAnsi="Arial" w:cs="Arial"/>
          <w:b/>
          <w:bCs/>
          <w:kern w:val="0"/>
          <w:sz w:val="22"/>
          <w:szCs w:val="22"/>
          <w:lang w:eastAsia="en-GB"/>
          <w14:ligatures w14:val="none"/>
        </w:rPr>
        <w:t>Figure 1</w:t>
      </w:r>
      <w:r w:rsidRPr="00DC1C54">
        <w:rPr>
          <w:rFonts w:ascii="Arial" w:eastAsia="Times New Roman" w:hAnsi="Arial" w:cs="Arial"/>
          <w:kern w:val="0"/>
          <w:sz w:val="22"/>
          <w:szCs w:val="22"/>
          <w:lang w:eastAsia="en-GB"/>
          <w14:ligatures w14:val="none"/>
        </w:rPr>
        <w:t xml:space="preserve"> shows the FDB Medication Decision Support home screen and its four connected tools that surface prescribing guidance, optimisation prompts, and record</w:t>
      </w:r>
      <w:r w:rsidRPr="00DC1C54">
        <w:rPr>
          <w:rFonts w:ascii="Cambria Math" w:eastAsia="Times New Roman" w:hAnsi="Cambria Math" w:cs="Cambria Math"/>
          <w:kern w:val="0"/>
          <w:sz w:val="22"/>
          <w:szCs w:val="22"/>
          <w:lang w:eastAsia="en-GB"/>
          <w14:ligatures w14:val="none"/>
        </w:rPr>
        <w:t>‑</w:t>
      </w:r>
      <w:r w:rsidRPr="00DC1C54">
        <w:rPr>
          <w:rFonts w:ascii="Arial" w:eastAsia="Times New Roman" w:hAnsi="Arial" w:cs="Arial"/>
          <w:kern w:val="0"/>
          <w:sz w:val="22"/>
          <w:szCs w:val="22"/>
          <w:lang w:eastAsia="en-GB"/>
          <w14:ligatures w14:val="none"/>
        </w:rPr>
        <w:t>building aids at the point of care.</w:t>
      </w:r>
    </w:p>
    <w:p w14:paraId="1F55A8B5" w14:textId="77777777" w:rsidR="00D91700" w:rsidRPr="00DC1C54" w:rsidRDefault="00D91700" w:rsidP="00D91700">
      <w:pPr>
        <w:spacing w:before="100" w:beforeAutospacing="1" w:after="100" w:afterAutospacing="1" w:line="360" w:lineRule="auto"/>
        <w:rPr>
          <w:rFonts w:ascii="Arial" w:eastAsia="Times New Roman" w:hAnsi="Arial" w:cs="Arial"/>
          <w:kern w:val="0"/>
          <w:sz w:val="28"/>
          <w:szCs w:val="28"/>
          <w:lang w:eastAsia="en-GB"/>
          <w14:ligatures w14:val="none"/>
        </w:rPr>
      </w:pPr>
    </w:p>
    <w:p w14:paraId="49EB0F3E" w14:textId="77777777" w:rsidR="005D7073" w:rsidRDefault="005D7073" w:rsidP="00A21B15">
      <w:pPr>
        <w:spacing w:line="360" w:lineRule="auto"/>
        <w:rPr>
          <w:rFonts w:ascii="Arial" w:hAnsi="Arial" w:cs="Arial"/>
          <w:sz w:val="22"/>
          <w:szCs w:val="22"/>
          <w:lang w:eastAsia="en-GB"/>
        </w:rPr>
      </w:pPr>
    </w:p>
    <w:p w14:paraId="034A37FE" w14:textId="77777777" w:rsidR="005D7073" w:rsidRDefault="005D7073" w:rsidP="00A21B15">
      <w:pPr>
        <w:spacing w:line="360" w:lineRule="auto"/>
        <w:rPr>
          <w:rFonts w:ascii="Arial" w:hAnsi="Arial" w:cs="Arial"/>
          <w:sz w:val="22"/>
          <w:szCs w:val="22"/>
          <w:lang w:eastAsia="en-GB"/>
        </w:rPr>
      </w:pPr>
    </w:p>
    <w:p w14:paraId="6CAC3199" w14:textId="77777777" w:rsidR="005D7073" w:rsidRDefault="005D7073" w:rsidP="00A21B15">
      <w:pPr>
        <w:spacing w:line="360" w:lineRule="auto"/>
        <w:rPr>
          <w:rFonts w:ascii="Arial" w:hAnsi="Arial" w:cs="Arial"/>
          <w:sz w:val="22"/>
          <w:szCs w:val="22"/>
          <w:lang w:eastAsia="en-GB"/>
        </w:rPr>
      </w:pPr>
    </w:p>
    <w:p w14:paraId="30E33DA8" w14:textId="77777777" w:rsidR="005D7073" w:rsidRDefault="005D7073" w:rsidP="00A21B15">
      <w:pPr>
        <w:spacing w:line="360" w:lineRule="auto"/>
        <w:rPr>
          <w:rFonts w:ascii="Arial" w:hAnsi="Arial" w:cs="Arial"/>
          <w:sz w:val="22"/>
          <w:szCs w:val="22"/>
          <w:lang w:eastAsia="en-GB"/>
        </w:rPr>
      </w:pPr>
    </w:p>
    <w:p w14:paraId="4833EAC4" w14:textId="77777777" w:rsidR="00B57FB4" w:rsidRDefault="00B57FB4" w:rsidP="00A21B15">
      <w:pPr>
        <w:spacing w:line="360" w:lineRule="auto"/>
        <w:rPr>
          <w:rFonts w:ascii="Arial" w:hAnsi="Arial" w:cs="Arial"/>
          <w:sz w:val="22"/>
          <w:szCs w:val="22"/>
          <w:lang w:eastAsia="en-GB"/>
        </w:rPr>
      </w:pPr>
    </w:p>
    <w:p w14:paraId="55D923C4" w14:textId="77777777" w:rsidR="00B57FB4" w:rsidRDefault="00B57FB4" w:rsidP="00A21B15">
      <w:pPr>
        <w:spacing w:line="360" w:lineRule="auto"/>
        <w:rPr>
          <w:rFonts w:ascii="Arial" w:hAnsi="Arial" w:cs="Arial"/>
          <w:sz w:val="22"/>
          <w:szCs w:val="22"/>
          <w:lang w:eastAsia="en-GB"/>
        </w:rPr>
      </w:pPr>
    </w:p>
    <w:p w14:paraId="12177D32" w14:textId="77777777" w:rsidR="00B57FB4" w:rsidRDefault="00B57FB4" w:rsidP="00A21B15">
      <w:pPr>
        <w:spacing w:line="360" w:lineRule="auto"/>
        <w:rPr>
          <w:rFonts w:ascii="Arial" w:hAnsi="Arial" w:cs="Arial"/>
          <w:sz w:val="22"/>
          <w:szCs w:val="22"/>
          <w:lang w:eastAsia="en-GB"/>
        </w:rPr>
      </w:pPr>
    </w:p>
    <w:p w14:paraId="4121E43D" w14:textId="77777777" w:rsidR="00B57FB4" w:rsidRDefault="00B57FB4" w:rsidP="00A21B15">
      <w:pPr>
        <w:spacing w:line="360" w:lineRule="auto"/>
        <w:rPr>
          <w:rFonts w:ascii="Arial" w:hAnsi="Arial" w:cs="Arial"/>
          <w:sz w:val="22"/>
          <w:szCs w:val="22"/>
          <w:lang w:eastAsia="en-GB"/>
        </w:rPr>
      </w:pPr>
    </w:p>
    <w:p w14:paraId="7BD06E9B" w14:textId="77777777" w:rsidR="00B57FB4" w:rsidRDefault="00B57FB4" w:rsidP="00A21B15">
      <w:pPr>
        <w:spacing w:line="360" w:lineRule="auto"/>
        <w:rPr>
          <w:rFonts w:ascii="Arial" w:hAnsi="Arial" w:cs="Arial"/>
          <w:sz w:val="22"/>
          <w:szCs w:val="22"/>
          <w:lang w:eastAsia="en-GB"/>
        </w:rPr>
      </w:pPr>
    </w:p>
    <w:p w14:paraId="028DFA15" w14:textId="77777777" w:rsidR="00B57FB4" w:rsidRDefault="00B57FB4" w:rsidP="00A21B15">
      <w:pPr>
        <w:spacing w:line="360" w:lineRule="auto"/>
        <w:rPr>
          <w:rFonts w:ascii="Arial" w:hAnsi="Arial" w:cs="Arial"/>
          <w:sz w:val="22"/>
          <w:szCs w:val="22"/>
          <w:lang w:eastAsia="en-GB"/>
        </w:rPr>
      </w:pPr>
    </w:p>
    <w:p w14:paraId="2527C48F" w14:textId="77777777" w:rsidR="00B57FB4" w:rsidRDefault="00B57FB4" w:rsidP="00A21B15">
      <w:pPr>
        <w:spacing w:line="360" w:lineRule="auto"/>
        <w:rPr>
          <w:rFonts w:ascii="Arial" w:hAnsi="Arial" w:cs="Arial"/>
          <w:sz w:val="22"/>
          <w:szCs w:val="22"/>
          <w:lang w:eastAsia="en-GB"/>
        </w:rPr>
      </w:pPr>
    </w:p>
    <w:p w14:paraId="16EDCE07" w14:textId="77777777" w:rsidR="00EA5369" w:rsidRDefault="00EA5369" w:rsidP="00A21B15">
      <w:pPr>
        <w:spacing w:line="360" w:lineRule="auto"/>
        <w:rPr>
          <w:rFonts w:ascii="Arial" w:hAnsi="Arial" w:cs="Arial"/>
          <w:sz w:val="22"/>
          <w:szCs w:val="22"/>
          <w:lang w:eastAsia="en-GB"/>
        </w:rPr>
      </w:pPr>
    </w:p>
    <w:p w14:paraId="62438F8E" w14:textId="77777777" w:rsidR="0008553D" w:rsidRDefault="0008553D" w:rsidP="0008553D">
      <w:pPr>
        <w:rPr>
          <w:rFonts w:ascii="Aptos" w:eastAsia="Times New Roman" w:hAnsi="Aptos" w:cs="Arial"/>
          <w:lang w:eastAsia="en-GB"/>
        </w:rPr>
      </w:pPr>
      <w:r w:rsidRPr="00DC1C54">
        <w:rPr>
          <w:rFonts w:ascii="Aptos" w:eastAsia="Times New Roman" w:hAnsi="Aptos" w:cs="Arial"/>
          <w:lang w:eastAsia="en-GB"/>
        </w:rPr>
        <w:t>Comparison table: Role transformation across two settings</w:t>
      </w:r>
    </w:p>
    <w:p w14:paraId="44510C30" w14:textId="77777777" w:rsidR="00A941D5" w:rsidRPr="00DC1C54" w:rsidRDefault="00A941D5" w:rsidP="00A941D5">
      <w:pPr>
        <w:spacing w:before="100" w:beforeAutospacing="1" w:after="100" w:afterAutospacing="1" w:line="240" w:lineRule="auto"/>
        <w:outlineLvl w:val="2"/>
        <w:rPr>
          <w:rFonts w:ascii="Arial" w:eastAsia="Times New Roman" w:hAnsi="Arial" w:cs="Arial"/>
          <w:kern w:val="0"/>
          <w:sz w:val="22"/>
          <w:szCs w:val="22"/>
          <w:lang w:eastAsia="en-GB"/>
          <w14:ligatures w14:val="none"/>
        </w:rPr>
      </w:pPr>
      <w:bookmarkStart w:id="8" w:name="_Toc212574495"/>
      <w:r w:rsidRPr="00DC1C54">
        <w:rPr>
          <w:rFonts w:ascii="Arial" w:eastAsia="Times New Roman" w:hAnsi="Arial" w:cs="Arial"/>
          <w:kern w:val="0"/>
          <w:sz w:val="22"/>
          <w:szCs w:val="22"/>
          <w:lang w:eastAsia="en-GB"/>
          <w14:ligatures w14:val="none"/>
        </w:rPr>
        <w:t>Then vs Now — Learning Disabilities Nurse (comparison)</w:t>
      </w:r>
      <w:bookmarkEnd w:id="8"/>
    </w:p>
    <w:tbl>
      <w:tblPr>
        <w:tblpPr w:leftFromText="180" w:rightFromText="180" w:vertAnchor="text" w:tblpY="-26"/>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7"/>
        <w:gridCol w:w="3470"/>
        <w:gridCol w:w="3849"/>
      </w:tblGrid>
      <w:tr w:rsidR="00A941D5" w:rsidRPr="00DC1C54" w14:paraId="0A90D049" w14:textId="77777777" w:rsidTr="00EE663A">
        <w:trPr>
          <w:tblHeader/>
          <w:tblCellSpacing w:w="15" w:type="dxa"/>
        </w:trPr>
        <w:tc>
          <w:tcPr>
            <w:tcW w:w="0" w:type="auto"/>
            <w:vAlign w:val="center"/>
            <w:hideMark/>
          </w:tcPr>
          <w:p w14:paraId="744D646D" w14:textId="77777777" w:rsidR="00A941D5" w:rsidRPr="00DC1C54" w:rsidRDefault="00A941D5" w:rsidP="00EE663A">
            <w:pPr>
              <w:spacing w:after="0" w:line="240" w:lineRule="auto"/>
              <w:jc w:val="center"/>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Attribute</w:t>
            </w:r>
          </w:p>
        </w:tc>
        <w:tc>
          <w:tcPr>
            <w:tcW w:w="0" w:type="auto"/>
            <w:vAlign w:val="center"/>
            <w:hideMark/>
          </w:tcPr>
          <w:p w14:paraId="5812A561"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Then (pre</w:t>
            </w:r>
            <w:r w:rsidRPr="00DC1C54">
              <w:rPr>
                <w:rFonts w:ascii="Arial" w:eastAsia="Times New Roman" w:hAnsi="Arial" w:cs="Arial"/>
                <w:b/>
                <w:bCs/>
                <w:kern w:val="0"/>
                <w:sz w:val="16"/>
                <w:szCs w:val="16"/>
                <w:lang w:eastAsia="en-GB"/>
                <w14:ligatures w14:val="none"/>
              </w:rPr>
              <w:noBreakHyphen/>
              <w:t>Medicus)</w:t>
            </w:r>
          </w:p>
        </w:tc>
        <w:tc>
          <w:tcPr>
            <w:tcW w:w="0" w:type="auto"/>
            <w:vAlign w:val="center"/>
            <w:hideMark/>
          </w:tcPr>
          <w:p w14:paraId="5E5F56C6" w14:textId="77777777" w:rsidR="00A941D5" w:rsidRPr="00DC1C54" w:rsidRDefault="00A941D5" w:rsidP="00EE663A">
            <w:pPr>
              <w:spacing w:after="0" w:line="240" w:lineRule="auto"/>
              <w:jc w:val="center"/>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Now (post</w:t>
            </w:r>
            <w:r w:rsidRPr="00DC1C54">
              <w:rPr>
                <w:rFonts w:ascii="Arial" w:eastAsia="Times New Roman" w:hAnsi="Arial" w:cs="Arial"/>
                <w:b/>
                <w:bCs/>
                <w:kern w:val="0"/>
                <w:sz w:val="16"/>
                <w:szCs w:val="16"/>
                <w:lang w:eastAsia="en-GB"/>
                <w14:ligatures w14:val="none"/>
              </w:rPr>
              <w:noBreakHyphen/>
              <w:t>Medicus Medicus EPR)</w:t>
            </w:r>
          </w:p>
        </w:tc>
      </w:tr>
      <w:tr w:rsidR="00A941D5" w:rsidRPr="00DC1C54" w14:paraId="44C183C2" w14:textId="77777777" w:rsidTr="00EE663A">
        <w:trPr>
          <w:tblCellSpacing w:w="15" w:type="dxa"/>
        </w:trPr>
        <w:tc>
          <w:tcPr>
            <w:tcW w:w="0" w:type="auto"/>
            <w:vAlign w:val="center"/>
            <w:hideMark/>
          </w:tcPr>
          <w:p w14:paraId="709338A3"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Records and documentation</w:t>
            </w:r>
          </w:p>
          <w:p w14:paraId="5AF0C74A"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c>
          <w:tcPr>
            <w:tcW w:w="0" w:type="auto"/>
            <w:vAlign w:val="center"/>
            <w:hideMark/>
          </w:tcPr>
          <w:p w14:paraId="621A484F"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Paper notes and standalone electronic spreadsheets; parallel hard</w:t>
            </w:r>
            <w:r w:rsidRPr="00DC1C54">
              <w:rPr>
                <w:rFonts w:ascii="Arial" w:eastAsia="Times New Roman" w:hAnsi="Arial" w:cs="Arial"/>
                <w:b/>
                <w:bCs/>
                <w:kern w:val="0"/>
                <w:sz w:val="16"/>
                <w:szCs w:val="16"/>
                <w:lang w:eastAsia="en-GB"/>
                <w14:ligatures w14:val="none"/>
              </w:rPr>
              <w:noBreakHyphen/>
              <w:t>copy care plans.</w:t>
            </w:r>
          </w:p>
        </w:tc>
        <w:tc>
          <w:tcPr>
            <w:tcW w:w="0" w:type="auto"/>
            <w:vAlign w:val="center"/>
            <w:hideMark/>
          </w:tcPr>
          <w:p w14:paraId="2554E427"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Point</w:t>
            </w:r>
            <w:r w:rsidRPr="00DC1C54">
              <w:rPr>
                <w:rFonts w:ascii="Arial" w:eastAsia="Times New Roman" w:hAnsi="Arial" w:cs="Arial"/>
                <w:b/>
                <w:bCs/>
                <w:kern w:val="0"/>
                <w:sz w:val="16"/>
                <w:szCs w:val="16"/>
                <w:lang w:eastAsia="en-GB"/>
                <w14:ligatures w14:val="none"/>
              </w:rPr>
              <w:noBreakHyphen/>
              <w:t>of</w:t>
            </w:r>
            <w:r w:rsidRPr="00DC1C54">
              <w:rPr>
                <w:rFonts w:ascii="Arial" w:eastAsia="Times New Roman" w:hAnsi="Arial" w:cs="Arial"/>
                <w:b/>
                <w:bCs/>
                <w:kern w:val="0"/>
                <w:sz w:val="16"/>
                <w:szCs w:val="16"/>
                <w:lang w:eastAsia="en-GB"/>
                <w14:ligatures w14:val="none"/>
              </w:rPr>
              <w:noBreakHyphen/>
              <w:t>care structured EPR documentation; templates replace parallel paper forms.</w:t>
            </w:r>
          </w:p>
        </w:tc>
      </w:tr>
      <w:tr w:rsidR="00A941D5" w:rsidRPr="00DC1C54" w14:paraId="6A3639CE" w14:textId="77777777" w:rsidTr="00EE663A">
        <w:trPr>
          <w:tblCellSpacing w:w="15" w:type="dxa"/>
        </w:trPr>
        <w:tc>
          <w:tcPr>
            <w:tcW w:w="0" w:type="auto"/>
            <w:vAlign w:val="center"/>
            <w:hideMark/>
          </w:tcPr>
          <w:p w14:paraId="4EE89047"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Administrative burden</w:t>
            </w:r>
          </w:p>
          <w:p w14:paraId="4AF3D5B9"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c>
          <w:tcPr>
            <w:tcW w:w="0" w:type="auto"/>
            <w:vAlign w:val="center"/>
            <w:hideMark/>
          </w:tcPr>
          <w:p w14:paraId="075B038F"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High manual filing, duplicate entry, postal communications, and transcription.</w:t>
            </w:r>
          </w:p>
        </w:tc>
        <w:tc>
          <w:tcPr>
            <w:tcW w:w="0" w:type="auto"/>
            <w:vAlign w:val="center"/>
            <w:hideMark/>
          </w:tcPr>
          <w:p w14:paraId="49A44743"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Reduced paper admin; increased data</w:t>
            </w:r>
            <w:r w:rsidRPr="00DC1C54">
              <w:rPr>
                <w:rFonts w:ascii="Arial" w:eastAsia="Times New Roman" w:hAnsi="Arial" w:cs="Arial"/>
                <w:b/>
                <w:bCs/>
                <w:kern w:val="0"/>
                <w:sz w:val="16"/>
                <w:szCs w:val="16"/>
                <w:lang w:eastAsia="en-GB"/>
                <w14:ligatures w14:val="none"/>
              </w:rPr>
              <w:noBreakHyphen/>
              <w:t>validation and exception handling.</w:t>
            </w:r>
          </w:p>
          <w:p w14:paraId="3E4EA5AA"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r>
      <w:tr w:rsidR="00A941D5" w:rsidRPr="00DC1C54" w14:paraId="76ACF4F1" w14:textId="77777777" w:rsidTr="00EE663A">
        <w:trPr>
          <w:tblCellSpacing w:w="15" w:type="dxa"/>
        </w:trPr>
        <w:tc>
          <w:tcPr>
            <w:tcW w:w="0" w:type="auto"/>
            <w:vAlign w:val="center"/>
            <w:hideMark/>
          </w:tcPr>
          <w:p w14:paraId="3D5485E1"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Multi</w:t>
            </w:r>
            <w:r w:rsidRPr="00DC1C54">
              <w:rPr>
                <w:rFonts w:ascii="Arial" w:eastAsia="Times New Roman" w:hAnsi="Arial" w:cs="Arial"/>
                <w:b/>
                <w:bCs/>
                <w:kern w:val="0"/>
                <w:sz w:val="16"/>
                <w:szCs w:val="16"/>
                <w:lang w:eastAsia="en-GB"/>
                <w14:ligatures w14:val="none"/>
              </w:rPr>
              <w:noBreakHyphen/>
              <w:t>agency communication</w:t>
            </w:r>
          </w:p>
          <w:p w14:paraId="6EA0CDBF"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p w14:paraId="2A01FD64"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c>
          <w:tcPr>
            <w:tcW w:w="0" w:type="auto"/>
            <w:vAlign w:val="center"/>
            <w:hideMark/>
          </w:tcPr>
          <w:p w14:paraId="2962B979"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Phone calls, letters, and separate summary transfers.</w:t>
            </w:r>
          </w:p>
        </w:tc>
        <w:tc>
          <w:tcPr>
            <w:tcW w:w="0" w:type="auto"/>
            <w:vAlign w:val="center"/>
            <w:hideMark/>
          </w:tcPr>
          <w:p w14:paraId="4B72301F"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Shared electronic care summaries and instant messaging reduce delays.</w:t>
            </w:r>
          </w:p>
        </w:tc>
      </w:tr>
      <w:tr w:rsidR="00A941D5" w:rsidRPr="00DC1C54" w14:paraId="67E0CAC6" w14:textId="77777777" w:rsidTr="00EE663A">
        <w:trPr>
          <w:tblCellSpacing w:w="15" w:type="dxa"/>
        </w:trPr>
        <w:tc>
          <w:tcPr>
            <w:tcW w:w="0" w:type="auto"/>
            <w:vAlign w:val="center"/>
            <w:hideMark/>
          </w:tcPr>
          <w:p w14:paraId="643DC007"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Role tasks</w:t>
            </w:r>
          </w:p>
        </w:tc>
        <w:tc>
          <w:tcPr>
            <w:tcW w:w="0" w:type="auto"/>
            <w:vAlign w:val="center"/>
            <w:hideMark/>
          </w:tcPr>
          <w:p w14:paraId="2FFCBDC3"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Primarily clinical care, advocacy, and paper</w:t>
            </w:r>
            <w:r w:rsidRPr="00DC1C54">
              <w:rPr>
                <w:rFonts w:ascii="Arial" w:eastAsia="Times New Roman" w:hAnsi="Arial" w:cs="Arial"/>
                <w:b/>
                <w:bCs/>
                <w:kern w:val="0"/>
                <w:sz w:val="16"/>
                <w:szCs w:val="16"/>
                <w:lang w:eastAsia="en-GB"/>
                <w14:ligatures w14:val="none"/>
              </w:rPr>
              <w:noBreakHyphen/>
              <w:t>based admin.</w:t>
            </w:r>
          </w:p>
        </w:tc>
        <w:tc>
          <w:tcPr>
            <w:tcW w:w="0" w:type="auto"/>
            <w:vAlign w:val="center"/>
            <w:hideMark/>
          </w:tcPr>
          <w:p w14:paraId="0E08A6ED"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Added digital stewardship, assisted</w:t>
            </w:r>
            <w:r w:rsidRPr="00DC1C54">
              <w:rPr>
                <w:rFonts w:ascii="Arial" w:eastAsia="Times New Roman" w:hAnsi="Arial" w:cs="Arial"/>
                <w:b/>
                <w:bCs/>
                <w:kern w:val="0"/>
                <w:sz w:val="16"/>
                <w:szCs w:val="16"/>
                <w:lang w:eastAsia="en-GB"/>
                <w14:ligatures w14:val="none"/>
              </w:rPr>
              <w:noBreakHyphen/>
              <w:t>digital support, and super</w:t>
            </w:r>
            <w:r w:rsidRPr="00DC1C54">
              <w:rPr>
                <w:rFonts w:ascii="Arial" w:eastAsia="Times New Roman" w:hAnsi="Arial" w:cs="Arial"/>
                <w:b/>
                <w:bCs/>
                <w:kern w:val="0"/>
                <w:sz w:val="16"/>
                <w:szCs w:val="16"/>
                <w:lang w:eastAsia="en-GB"/>
                <w14:ligatures w14:val="none"/>
              </w:rPr>
              <w:noBreakHyphen/>
              <w:t>user duties.</w:t>
            </w:r>
          </w:p>
          <w:p w14:paraId="7CF897B4"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r>
      <w:tr w:rsidR="00A941D5" w:rsidRPr="00DC1C54" w14:paraId="2F9C28FB" w14:textId="77777777" w:rsidTr="00EE663A">
        <w:trPr>
          <w:tblCellSpacing w:w="15" w:type="dxa"/>
        </w:trPr>
        <w:tc>
          <w:tcPr>
            <w:tcW w:w="0" w:type="auto"/>
            <w:vAlign w:val="center"/>
            <w:hideMark/>
          </w:tcPr>
          <w:p w14:paraId="35D00DD5"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Training needs</w:t>
            </w:r>
          </w:p>
        </w:tc>
        <w:tc>
          <w:tcPr>
            <w:tcW w:w="0" w:type="auto"/>
            <w:vAlign w:val="center"/>
            <w:hideMark/>
          </w:tcPr>
          <w:p w14:paraId="09AF808B"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Standard clinical updates and occasional IT orientation.</w:t>
            </w:r>
          </w:p>
        </w:tc>
        <w:tc>
          <w:tcPr>
            <w:tcW w:w="0" w:type="auto"/>
            <w:vAlign w:val="center"/>
            <w:hideMark/>
          </w:tcPr>
          <w:p w14:paraId="2CE31802"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Ongoing EPR competency, simulation, information governance, and decision</w:t>
            </w:r>
            <w:r w:rsidRPr="00DC1C54">
              <w:rPr>
                <w:rFonts w:ascii="Arial" w:eastAsia="Times New Roman" w:hAnsi="Arial" w:cs="Arial"/>
                <w:b/>
                <w:bCs/>
                <w:kern w:val="0"/>
                <w:sz w:val="16"/>
                <w:szCs w:val="16"/>
                <w:lang w:eastAsia="en-GB"/>
                <w14:ligatures w14:val="none"/>
              </w:rPr>
              <w:noBreakHyphen/>
              <w:t>support training.</w:t>
            </w:r>
          </w:p>
          <w:p w14:paraId="1F1CD175"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r>
      <w:tr w:rsidR="00A941D5" w:rsidRPr="00DC1C54" w14:paraId="34A03960" w14:textId="77777777" w:rsidTr="00EE663A">
        <w:trPr>
          <w:tblCellSpacing w:w="15" w:type="dxa"/>
        </w:trPr>
        <w:tc>
          <w:tcPr>
            <w:tcW w:w="0" w:type="auto"/>
            <w:vAlign w:val="center"/>
            <w:hideMark/>
          </w:tcPr>
          <w:p w14:paraId="14DCF6DC"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New/formal roles</w:t>
            </w:r>
          </w:p>
        </w:tc>
        <w:tc>
          <w:tcPr>
            <w:tcW w:w="0" w:type="auto"/>
            <w:vAlign w:val="center"/>
            <w:hideMark/>
          </w:tcPr>
          <w:p w14:paraId="7BF708F2"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Rarely formalised; duties absorbed into existing posts.</w:t>
            </w:r>
          </w:p>
        </w:tc>
        <w:tc>
          <w:tcPr>
            <w:tcW w:w="0" w:type="auto"/>
            <w:vAlign w:val="center"/>
            <w:hideMark/>
          </w:tcPr>
          <w:p w14:paraId="4F1F2080"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EPR Super</w:t>
            </w:r>
            <w:r w:rsidRPr="00DC1C54">
              <w:rPr>
                <w:rFonts w:ascii="Arial" w:eastAsia="Times New Roman" w:hAnsi="Arial" w:cs="Arial"/>
                <w:b/>
                <w:bCs/>
                <w:kern w:val="0"/>
                <w:sz w:val="16"/>
                <w:szCs w:val="16"/>
                <w:lang w:eastAsia="en-GB"/>
                <w14:ligatures w14:val="none"/>
              </w:rPr>
              <w:noBreakHyphen/>
              <w:t>user, Data Quality Steward, Assisted</w:t>
            </w:r>
            <w:r w:rsidRPr="00DC1C54">
              <w:rPr>
                <w:rFonts w:ascii="Arial" w:eastAsia="Times New Roman" w:hAnsi="Arial" w:cs="Arial"/>
                <w:b/>
                <w:bCs/>
                <w:kern w:val="0"/>
                <w:sz w:val="16"/>
                <w:szCs w:val="16"/>
                <w:lang w:eastAsia="en-GB"/>
                <w14:ligatures w14:val="none"/>
              </w:rPr>
              <w:noBreakHyphen/>
              <w:t>Digital Navigator, Training Lead.</w:t>
            </w:r>
          </w:p>
          <w:p w14:paraId="782EC09D"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r>
      <w:tr w:rsidR="00A941D5" w:rsidRPr="00DC1C54" w14:paraId="715281D1" w14:textId="77777777" w:rsidTr="00EE663A">
        <w:trPr>
          <w:tblCellSpacing w:w="15" w:type="dxa"/>
        </w:trPr>
        <w:tc>
          <w:tcPr>
            <w:tcW w:w="0" w:type="auto"/>
            <w:vAlign w:val="center"/>
            <w:hideMark/>
          </w:tcPr>
          <w:p w14:paraId="01C5F8E9"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Time allocation</w:t>
            </w:r>
          </w:p>
        </w:tc>
        <w:tc>
          <w:tcPr>
            <w:tcW w:w="0" w:type="auto"/>
            <w:vAlign w:val="center"/>
            <w:hideMark/>
          </w:tcPr>
          <w:p w14:paraId="22EABEBD"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Most time on face</w:t>
            </w:r>
            <w:r w:rsidRPr="00DC1C54">
              <w:rPr>
                <w:rFonts w:ascii="Arial" w:eastAsia="Times New Roman" w:hAnsi="Arial" w:cs="Arial"/>
                <w:b/>
                <w:bCs/>
                <w:kern w:val="0"/>
                <w:sz w:val="16"/>
                <w:szCs w:val="16"/>
                <w:lang w:eastAsia="en-GB"/>
                <w14:ligatures w14:val="none"/>
              </w:rPr>
              <w:noBreakHyphen/>
              <w:t>to</w:t>
            </w:r>
            <w:r w:rsidRPr="00DC1C54">
              <w:rPr>
                <w:rFonts w:ascii="Arial" w:eastAsia="Times New Roman" w:hAnsi="Arial" w:cs="Arial"/>
                <w:b/>
                <w:bCs/>
                <w:kern w:val="0"/>
                <w:sz w:val="16"/>
                <w:szCs w:val="16"/>
                <w:lang w:eastAsia="en-GB"/>
                <w14:ligatures w14:val="none"/>
              </w:rPr>
              <w:noBreakHyphen/>
              <w:t>face care and manual admin.</w:t>
            </w:r>
          </w:p>
        </w:tc>
        <w:tc>
          <w:tcPr>
            <w:tcW w:w="0" w:type="auto"/>
            <w:vAlign w:val="center"/>
            <w:hideMark/>
          </w:tcPr>
          <w:p w14:paraId="22A42611"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Time shifted to EPR documentation, template configuration, and training delivery.</w:t>
            </w:r>
          </w:p>
          <w:p w14:paraId="0E5516A5"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r>
      <w:tr w:rsidR="00A941D5" w:rsidRPr="00DC1C54" w14:paraId="0E02704C" w14:textId="77777777" w:rsidTr="00EE663A">
        <w:trPr>
          <w:tblCellSpacing w:w="15" w:type="dxa"/>
        </w:trPr>
        <w:tc>
          <w:tcPr>
            <w:tcW w:w="0" w:type="auto"/>
            <w:vAlign w:val="center"/>
            <w:hideMark/>
          </w:tcPr>
          <w:p w14:paraId="054B32E1"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Patient access</w:t>
            </w:r>
          </w:p>
        </w:tc>
        <w:tc>
          <w:tcPr>
            <w:tcW w:w="0" w:type="auto"/>
            <w:vAlign w:val="center"/>
            <w:hideMark/>
          </w:tcPr>
          <w:p w14:paraId="30EB9045"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Paper letters and phone contact; limited portal use.</w:t>
            </w:r>
          </w:p>
        </w:tc>
        <w:tc>
          <w:tcPr>
            <w:tcW w:w="0" w:type="auto"/>
            <w:vAlign w:val="center"/>
            <w:hideMark/>
          </w:tcPr>
          <w:p w14:paraId="580A7930"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Patient portal, proxy access, and electronic appointment messaging available.</w:t>
            </w:r>
          </w:p>
          <w:p w14:paraId="24D80347"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r>
      <w:tr w:rsidR="00A941D5" w:rsidRPr="00DC1C54" w14:paraId="3945C582" w14:textId="77777777" w:rsidTr="00EE663A">
        <w:trPr>
          <w:tblCellSpacing w:w="15" w:type="dxa"/>
        </w:trPr>
        <w:tc>
          <w:tcPr>
            <w:tcW w:w="0" w:type="auto"/>
            <w:vAlign w:val="center"/>
            <w:hideMark/>
          </w:tcPr>
          <w:p w14:paraId="0E9ABB40"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Risk and safety</w:t>
            </w:r>
          </w:p>
        </w:tc>
        <w:tc>
          <w:tcPr>
            <w:tcW w:w="0" w:type="auto"/>
            <w:vAlign w:val="center"/>
            <w:hideMark/>
          </w:tcPr>
          <w:p w14:paraId="610E3D19"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Manual audit trails: more potential for lost/misfiled notes.</w:t>
            </w:r>
          </w:p>
        </w:tc>
        <w:tc>
          <w:tcPr>
            <w:tcW w:w="0" w:type="auto"/>
            <w:vAlign w:val="center"/>
            <w:hideMark/>
          </w:tcPr>
          <w:p w14:paraId="7A4AC06B"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Clear electronic audit trails: decision</w:t>
            </w:r>
            <w:r w:rsidRPr="00DC1C54">
              <w:rPr>
                <w:rFonts w:ascii="Arial" w:eastAsia="Times New Roman" w:hAnsi="Arial" w:cs="Arial"/>
                <w:b/>
                <w:bCs/>
                <w:kern w:val="0"/>
                <w:sz w:val="16"/>
                <w:szCs w:val="16"/>
                <w:lang w:eastAsia="en-GB"/>
                <w14:ligatures w14:val="none"/>
              </w:rPr>
              <w:noBreakHyphen/>
              <w:t>support improves safety but creates alert workload.</w:t>
            </w:r>
          </w:p>
          <w:p w14:paraId="20C4CEFF"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r>
      <w:tr w:rsidR="00A941D5" w:rsidRPr="00DC1C54" w14:paraId="697CED1D" w14:textId="77777777" w:rsidTr="00EE663A">
        <w:trPr>
          <w:tblCellSpacing w:w="15" w:type="dxa"/>
        </w:trPr>
        <w:tc>
          <w:tcPr>
            <w:tcW w:w="0" w:type="auto"/>
            <w:vAlign w:val="center"/>
            <w:hideMark/>
          </w:tcPr>
          <w:p w14:paraId="44B6E0E5"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Governance involvement</w:t>
            </w:r>
          </w:p>
          <w:p w14:paraId="36DE94C6"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p>
        </w:tc>
        <w:tc>
          <w:tcPr>
            <w:tcW w:w="0" w:type="auto"/>
            <w:vAlign w:val="center"/>
            <w:hideMark/>
          </w:tcPr>
          <w:p w14:paraId="13FE32C5" w14:textId="77777777" w:rsidR="00A941D5" w:rsidRPr="00DC1C54" w:rsidRDefault="00A941D5" w:rsidP="00EE663A">
            <w:pPr>
              <w:spacing w:after="0" w:line="240" w:lineRule="auto"/>
              <w:jc w:val="right"/>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Limited routine input into system configuration.</w:t>
            </w:r>
          </w:p>
        </w:tc>
        <w:tc>
          <w:tcPr>
            <w:tcW w:w="0" w:type="auto"/>
            <w:vAlign w:val="center"/>
            <w:hideMark/>
          </w:tcPr>
          <w:p w14:paraId="19EE63F2" w14:textId="77777777" w:rsidR="00A941D5" w:rsidRPr="00DC1C54" w:rsidRDefault="00A941D5" w:rsidP="00EE663A">
            <w:pPr>
              <w:spacing w:after="0" w:line="240"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LD representation in configuration, user testing, and equality/inclusion forums.</w:t>
            </w:r>
          </w:p>
        </w:tc>
      </w:tr>
    </w:tbl>
    <w:p w14:paraId="78A16632" w14:textId="77777777" w:rsidR="00A941D5" w:rsidRPr="00DC1C54" w:rsidRDefault="00A941D5" w:rsidP="00A941D5">
      <w:pPr>
        <w:spacing w:before="100" w:beforeAutospacing="1" w:after="100" w:afterAutospacing="1" w:line="240" w:lineRule="auto"/>
        <w:rPr>
          <w:rFonts w:ascii="Arial" w:eastAsia="Times New Roman" w:hAnsi="Arial" w:cs="Arial"/>
          <w:kern w:val="0"/>
          <w:sz w:val="16"/>
          <w:szCs w:val="16"/>
          <w:lang w:eastAsia="en-GB"/>
          <w14:ligatures w14:val="none"/>
        </w:rPr>
      </w:pPr>
    </w:p>
    <w:p w14:paraId="62DA853F" w14:textId="77777777" w:rsidR="00A941D5" w:rsidRPr="00DC1C54" w:rsidRDefault="00A941D5" w:rsidP="00A941D5">
      <w:pPr>
        <w:spacing w:before="100" w:beforeAutospacing="1" w:after="100" w:afterAutospacing="1"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Sources: Opprecht et al. (2025); Department of Health and Social Care (2024); University Hospitals Birmingham NHS Foundation Trust (2025); Health Careers (no date).</w:t>
      </w:r>
    </w:p>
    <w:p w14:paraId="7436B01A" w14:textId="77777777" w:rsidR="00A941D5" w:rsidRPr="00DC1C54" w:rsidRDefault="00A941D5" w:rsidP="00A941D5">
      <w:pPr>
        <w:spacing w:line="276" w:lineRule="auto"/>
        <w:rPr>
          <w:rFonts w:ascii="Arial" w:eastAsia="Times New Roman" w:hAnsi="Arial" w:cs="Arial"/>
          <w:sz w:val="22"/>
          <w:szCs w:val="22"/>
          <w:lang w:eastAsia="en-GB"/>
        </w:rPr>
      </w:pPr>
      <w:r w:rsidRPr="00DC1C54">
        <w:rPr>
          <w:rFonts w:ascii="Arial" w:eastAsia="Times New Roman" w:hAnsi="Arial" w:cs="Arial"/>
          <w:sz w:val="22"/>
          <w:szCs w:val="22"/>
          <w:lang w:eastAsia="en-GB"/>
        </w:rPr>
        <w:t>Then vs Now — GP Primary Care Assistant (comparison)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56"/>
        <w:gridCol w:w="3129"/>
        <w:gridCol w:w="4231"/>
      </w:tblGrid>
      <w:tr w:rsidR="00A941D5" w:rsidRPr="00DC1C54" w14:paraId="2545CF92" w14:textId="77777777" w:rsidTr="00EE663A">
        <w:trPr>
          <w:tblCellSpacing w:w="15" w:type="dxa"/>
        </w:trPr>
        <w:tc>
          <w:tcPr>
            <w:tcW w:w="0" w:type="auto"/>
            <w:vAlign w:val="center"/>
            <w:hideMark/>
          </w:tcPr>
          <w:p w14:paraId="710EDD10" w14:textId="77777777" w:rsidR="00A941D5" w:rsidRPr="00DC1C54" w:rsidRDefault="00A941D5" w:rsidP="00EE663A">
            <w:pPr>
              <w:spacing w:line="276"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Attribute</w:t>
            </w:r>
          </w:p>
        </w:tc>
        <w:tc>
          <w:tcPr>
            <w:tcW w:w="0" w:type="auto"/>
            <w:vAlign w:val="center"/>
            <w:hideMark/>
          </w:tcPr>
          <w:p w14:paraId="6243A652" w14:textId="77777777" w:rsidR="00A941D5" w:rsidRPr="00DC1C54" w:rsidRDefault="00A941D5" w:rsidP="00EE663A">
            <w:pPr>
              <w:spacing w:line="276"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Then (pre-Medicus)</w:t>
            </w:r>
          </w:p>
        </w:tc>
        <w:tc>
          <w:tcPr>
            <w:tcW w:w="0" w:type="auto"/>
            <w:vAlign w:val="center"/>
            <w:hideMark/>
          </w:tcPr>
          <w:p w14:paraId="58508D33" w14:textId="77777777" w:rsidR="00A941D5" w:rsidRPr="00DC1C54" w:rsidRDefault="00A941D5" w:rsidP="00EE663A">
            <w:pPr>
              <w:spacing w:line="276"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Now (post-Medicus EPR)</w:t>
            </w:r>
          </w:p>
        </w:tc>
      </w:tr>
      <w:tr w:rsidR="00A941D5" w:rsidRPr="00DC1C54" w14:paraId="62B5A7A0" w14:textId="77777777" w:rsidTr="00EE663A">
        <w:trPr>
          <w:tblCellSpacing w:w="15" w:type="dxa"/>
        </w:trPr>
        <w:tc>
          <w:tcPr>
            <w:tcW w:w="0" w:type="auto"/>
            <w:vAlign w:val="center"/>
            <w:hideMark/>
          </w:tcPr>
          <w:p w14:paraId="0238D90D"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Records and documentation</w:t>
            </w:r>
          </w:p>
        </w:tc>
        <w:tc>
          <w:tcPr>
            <w:tcW w:w="0" w:type="auto"/>
            <w:vAlign w:val="center"/>
            <w:hideMark/>
          </w:tcPr>
          <w:p w14:paraId="59EB865D"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Manual booking systems, fragmented notes across reception, EPS, and referral platforms.</w:t>
            </w:r>
          </w:p>
        </w:tc>
        <w:tc>
          <w:tcPr>
            <w:tcW w:w="0" w:type="auto"/>
            <w:vAlign w:val="center"/>
            <w:hideMark/>
          </w:tcPr>
          <w:p w14:paraId="3B8E71EF"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Single-screen EPR interface; integrated referrals, prescriptions, and patient messaging (Digital Health, 2025).</w:t>
            </w:r>
          </w:p>
        </w:tc>
      </w:tr>
      <w:tr w:rsidR="00A941D5" w:rsidRPr="00DC1C54" w14:paraId="03637D66" w14:textId="77777777" w:rsidTr="00EE663A">
        <w:trPr>
          <w:tblCellSpacing w:w="15" w:type="dxa"/>
        </w:trPr>
        <w:tc>
          <w:tcPr>
            <w:tcW w:w="0" w:type="auto"/>
            <w:vAlign w:val="center"/>
            <w:hideMark/>
          </w:tcPr>
          <w:p w14:paraId="6DECA21A"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Administrative burden</w:t>
            </w:r>
          </w:p>
        </w:tc>
        <w:tc>
          <w:tcPr>
            <w:tcW w:w="0" w:type="auto"/>
            <w:vAlign w:val="center"/>
            <w:hideMark/>
          </w:tcPr>
          <w:p w14:paraId="2A13BEC0"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High duplication across systems; manual coding and paper-based triage.</w:t>
            </w:r>
          </w:p>
        </w:tc>
        <w:tc>
          <w:tcPr>
            <w:tcW w:w="0" w:type="auto"/>
            <w:vAlign w:val="center"/>
            <w:hideMark/>
          </w:tcPr>
          <w:p w14:paraId="5289969A"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Reduced system switching; inbox triage and structured templates streamline admin (Digital Health, 2025).</w:t>
            </w:r>
          </w:p>
        </w:tc>
      </w:tr>
      <w:tr w:rsidR="00A941D5" w:rsidRPr="00DC1C54" w14:paraId="3022E096" w14:textId="77777777" w:rsidTr="00EE663A">
        <w:trPr>
          <w:tblCellSpacing w:w="15" w:type="dxa"/>
        </w:trPr>
        <w:tc>
          <w:tcPr>
            <w:tcW w:w="0" w:type="auto"/>
            <w:vAlign w:val="center"/>
            <w:hideMark/>
          </w:tcPr>
          <w:p w14:paraId="1ACE514D"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Multi-agency communication</w:t>
            </w:r>
          </w:p>
        </w:tc>
        <w:tc>
          <w:tcPr>
            <w:tcW w:w="0" w:type="auto"/>
            <w:vAlign w:val="center"/>
            <w:hideMark/>
          </w:tcPr>
          <w:p w14:paraId="7811C6FE"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Phone-based referrals and faxed summaries; limited visibility of external inputs.</w:t>
            </w:r>
          </w:p>
        </w:tc>
        <w:tc>
          <w:tcPr>
            <w:tcW w:w="0" w:type="auto"/>
            <w:vAlign w:val="center"/>
            <w:hideMark/>
          </w:tcPr>
          <w:p w14:paraId="5D0BFE2D"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EPR-integrated referral tracking and shared summaries; faster response and reduced duplication.</w:t>
            </w:r>
          </w:p>
        </w:tc>
      </w:tr>
      <w:tr w:rsidR="00A941D5" w:rsidRPr="00DC1C54" w14:paraId="264BEFB2" w14:textId="77777777" w:rsidTr="00EE663A">
        <w:trPr>
          <w:tblCellSpacing w:w="15" w:type="dxa"/>
        </w:trPr>
        <w:tc>
          <w:tcPr>
            <w:tcW w:w="0" w:type="auto"/>
            <w:vAlign w:val="center"/>
            <w:hideMark/>
          </w:tcPr>
          <w:p w14:paraId="450EA4F9"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Role tasks</w:t>
            </w:r>
          </w:p>
        </w:tc>
        <w:tc>
          <w:tcPr>
            <w:tcW w:w="0" w:type="auto"/>
            <w:vAlign w:val="center"/>
            <w:hideMark/>
          </w:tcPr>
          <w:p w14:paraId="5DDBAD10"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Reception, appointment booking, basic observations, paper filing.</w:t>
            </w:r>
          </w:p>
        </w:tc>
        <w:tc>
          <w:tcPr>
            <w:tcW w:w="0" w:type="auto"/>
            <w:vAlign w:val="center"/>
            <w:hideMark/>
          </w:tcPr>
          <w:p w14:paraId="4F8B1907"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Inbox management, template completion, coding, assisted-digital support, and data-quality stewardship (e</w:t>
            </w:r>
            <w:r w:rsidRPr="00DC1C54">
              <w:rPr>
                <w:rFonts w:ascii="Arial" w:eastAsia="Times New Roman" w:hAnsi="Arial" w:cs="Arial"/>
                <w:kern w:val="0"/>
                <w:sz w:val="16"/>
                <w:szCs w:val="16"/>
                <w:lang w:eastAsia="en-GB"/>
                <w14:ligatures w14:val="none"/>
              </w:rPr>
              <w:noBreakHyphen/>
              <w:t>LfH / NHS England, 2023).</w:t>
            </w:r>
          </w:p>
        </w:tc>
      </w:tr>
      <w:tr w:rsidR="00A941D5" w:rsidRPr="00DC1C54" w14:paraId="39BDBA25" w14:textId="77777777" w:rsidTr="00EE663A">
        <w:trPr>
          <w:tblCellSpacing w:w="15" w:type="dxa"/>
        </w:trPr>
        <w:tc>
          <w:tcPr>
            <w:tcW w:w="0" w:type="auto"/>
            <w:vAlign w:val="center"/>
            <w:hideMark/>
          </w:tcPr>
          <w:p w14:paraId="4A374473"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Training needs</w:t>
            </w:r>
          </w:p>
        </w:tc>
        <w:tc>
          <w:tcPr>
            <w:tcW w:w="0" w:type="auto"/>
            <w:vAlign w:val="center"/>
            <w:hideMark/>
          </w:tcPr>
          <w:p w14:paraId="4549BFE0"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On-the-job induction; basic IT orientation.</w:t>
            </w:r>
          </w:p>
        </w:tc>
        <w:tc>
          <w:tcPr>
            <w:tcW w:w="0" w:type="auto"/>
            <w:vAlign w:val="center"/>
            <w:hideMark/>
          </w:tcPr>
          <w:p w14:paraId="3952D4E2"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Structured EPR induction, super-user upskilling, competency sign-off, and information governance training.</w:t>
            </w:r>
          </w:p>
        </w:tc>
      </w:tr>
      <w:tr w:rsidR="00A941D5" w:rsidRPr="00DC1C54" w14:paraId="0A648499" w14:textId="77777777" w:rsidTr="00EE663A">
        <w:trPr>
          <w:tblCellSpacing w:w="15" w:type="dxa"/>
        </w:trPr>
        <w:tc>
          <w:tcPr>
            <w:tcW w:w="0" w:type="auto"/>
            <w:vAlign w:val="center"/>
            <w:hideMark/>
          </w:tcPr>
          <w:p w14:paraId="3E9AE154"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New/formal roles</w:t>
            </w:r>
          </w:p>
        </w:tc>
        <w:tc>
          <w:tcPr>
            <w:tcW w:w="0" w:type="auto"/>
            <w:vAlign w:val="center"/>
            <w:hideMark/>
          </w:tcPr>
          <w:p w14:paraId="56C31CB8"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Informal admin support; limited digital responsibilities.</w:t>
            </w:r>
          </w:p>
        </w:tc>
        <w:tc>
          <w:tcPr>
            <w:tcW w:w="0" w:type="auto"/>
            <w:vAlign w:val="center"/>
            <w:hideMark/>
          </w:tcPr>
          <w:p w14:paraId="1631AA72"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EPR Super User, Digital Intake Coordinator, Data Steward, Assisted-Digital Coach (Jothimurugan et al., 2023).</w:t>
            </w:r>
          </w:p>
        </w:tc>
      </w:tr>
      <w:tr w:rsidR="00A941D5" w:rsidRPr="00DC1C54" w14:paraId="1204C3D9" w14:textId="77777777" w:rsidTr="00EE663A">
        <w:trPr>
          <w:tblCellSpacing w:w="15" w:type="dxa"/>
        </w:trPr>
        <w:tc>
          <w:tcPr>
            <w:tcW w:w="0" w:type="auto"/>
            <w:vAlign w:val="center"/>
            <w:hideMark/>
          </w:tcPr>
          <w:p w14:paraId="4D3FA95D"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lastRenderedPageBreak/>
              <w:t>Time allocation</w:t>
            </w:r>
          </w:p>
        </w:tc>
        <w:tc>
          <w:tcPr>
            <w:tcW w:w="0" w:type="auto"/>
            <w:vAlign w:val="center"/>
            <w:hideMark/>
          </w:tcPr>
          <w:p w14:paraId="1E512F13"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Majority spent on reception and manual admin tasks.</w:t>
            </w:r>
          </w:p>
        </w:tc>
        <w:tc>
          <w:tcPr>
            <w:tcW w:w="0" w:type="auto"/>
            <w:vAlign w:val="center"/>
            <w:hideMark/>
          </w:tcPr>
          <w:p w14:paraId="2B87C106"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Time redistributed to inbox triage, template use, and digital coordination (Digital Health, 2025).</w:t>
            </w:r>
          </w:p>
        </w:tc>
      </w:tr>
      <w:tr w:rsidR="00A941D5" w:rsidRPr="00DC1C54" w14:paraId="333F16CC" w14:textId="77777777" w:rsidTr="00EE663A">
        <w:trPr>
          <w:tblCellSpacing w:w="15" w:type="dxa"/>
        </w:trPr>
        <w:tc>
          <w:tcPr>
            <w:tcW w:w="0" w:type="auto"/>
            <w:vAlign w:val="center"/>
            <w:hideMark/>
          </w:tcPr>
          <w:p w14:paraId="5BDA05F1"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Patient access</w:t>
            </w:r>
          </w:p>
        </w:tc>
        <w:tc>
          <w:tcPr>
            <w:tcW w:w="0" w:type="auto"/>
            <w:vAlign w:val="center"/>
            <w:hideMark/>
          </w:tcPr>
          <w:p w14:paraId="5622CB89"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Phone and face-to-face contact; limited digital engagement.</w:t>
            </w:r>
          </w:p>
        </w:tc>
        <w:tc>
          <w:tcPr>
            <w:tcW w:w="0" w:type="auto"/>
            <w:vAlign w:val="center"/>
            <w:hideMark/>
          </w:tcPr>
          <w:p w14:paraId="0FE73092"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NHS App integration, patient messaging, proxy access, and digital onboarding support.</w:t>
            </w:r>
          </w:p>
        </w:tc>
      </w:tr>
      <w:tr w:rsidR="00A941D5" w:rsidRPr="00DC1C54" w14:paraId="5565607F" w14:textId="77777777" w:rsidTr="00EE663A">
        <w:trPr>
          <w:tblCellSpacing w:w="15" w:type="dxa"/>
        </w:trPr>
        <w:tc>
          <w:tcPr>
            <w:tcW w:w="0" w:type="auto"/>
            <w:vAlign w:val="center"/>
            <w:hideMark/>
          </w:tcPr>
          <w:p w14:paraId="165A6E13"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Risk and safety</w:t>
            </w:r>
          </w:p>
        </w:tc>
        <w:tc>
          <w:tcPr>
            <w:tcW w:w="0" w:type="auto"/>
            <w:vAlign w:val="center"/>
            <w:hideMark/>
          </w:tcPr>
          <w:p w14:paraId="263D79D7"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Risk of missed referrals, manual errors, and inconsistent coding.</w:t>
            </w:r>
          </w:p>
        </w:tc>
        <w:tc>
          <w:tcPr>
            <w:tcW w:w="0" w:type="auto"/>
            <w:vAlign w:val="center"/>
            <w:hideMark/>
          </w:tcPr>
          <w:p w14:paraId="1F77E3A8"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Decision-support prompts and audit trails improve safety; inbox fatigue and alert overload possible (Cooper et al., 2025).</w:t>
            </w:r>
          </w:p>
        </w:tc>
      </w:tr>
      <w:tr w:rsidR="00A941D5" w:rsidRPr="00DC1C54" w14:paraId="1AEB021D" w14:textId="77777777" w:rsidTr="00EE663A">
        <w:trPr>
          <w:tblCellSpacing w:w="15" w:type="dxa"/>
        </w:trPr>
        <w:tc>
          <w:tcPr>
            <w:tcW w:w="0" w:type="auto"/>
            <w:vAlign w:val="center"/>
            <w:hideMark/>
          </w:tcPr>
          <w:p w14:paraId="2D33D861"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b/>
                <w:bCs/>
                <w:kern w:val="0"/>
                <w:sz w:val="16"/>
                <w:szCs w:val="16"/>
                <w:lang w:eastAsia="en-GB"/>
                <w14:ligatures w14:val="none"/>
              </w:rPr>
              <w:t>Governance involvement</w:t>
            </w:r>
          </w:p>
        </w:tc>
        <w:tc>
          <w:tcPr>
            <w:tcW w:w="0" w:type="auto"/>
            <w:vAlign w:val="center"/>
            <w:hideMark/>
          </w:tcPr>
          <w:p w14:paraId="3900DED3"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Minimal input into system design or delegation frameworks.</w:t>
            </w:r>
          </w:p>
        </w:tc>
        <w:tc>
          <w:tcPr>
            <w:tcW w:w="0" w:type="auto"/>
            <w:vAlign w:val="center"/>
            <w:hideMark/>
          </w:tcPr>
          <w:p w14:paraId="71711978" w14:textId="77777777" w:rsidR="00A941D5" w:rsidRPr="00DC1C54" w:rsidRDefault="00A941D5" w:rsidP="00EE663A">
            <w:pPr>
              <w:spacing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Involvement in delegation matrices, competency frameworks, and pilot feedback loops (e</w:t>
            </w:r>
            <w:r w:rsidRPr="00DC1C54">
              <w:rPr>
                <w:rFonts w:ascii="Arial" w:eastAsia="Times New Roman" w:hAnsi="Arial" w:cs="Arial"/>
                <w:kern w:val="0"/>
                <w:sz w:val="16"/>
                <w:szCs w:val="16"/>
                <w:lang w:eastAsia="en-GB"/>
                <w14:ligatures w14:val="none"/>
              </w:rPr>
              <w:noBreakHyphen/>
              <w:t>LfH / NHS England, 2023).</w:t>
            </w:r>
          </w:p>
        </w:tc>
      </w:tr>
    </w:tbl>
    <w:p w14:paraId="44BCCD34" w14:textId="77777777" w:rsidR="00A941D5" w:rsidRPr="00DC1C54" w:rsidRDefault="00B445ED" w:rsidP="00A941D5">
      <w:pPr>
        <w:spacing w:line="276"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14:ligatures w14:val="none"/>
        </w:rPr>
      </w:r>
      <w:r w:rsidR="00B445ED">
        <w:rPr>
          <w:rFonts w:ascii="Arial" w:eastAsia="Times New Roman" w:hAnsi="Arial" w:cs="Arial"/>
          <w:noProof/>
          <w:kern w:val="0"/>
          <w:sz w:val="22"/>
          <w:szCs w:val="22"/>
          <w:lang w:eastAsia="en-GB"/>
          <w14:ligatures w14:val="none"/>
        </w:rPr>
        <w:pict w14:anchorId="3995D675">
          <v:rect id="_x0000_i1025" style="width:0;height:1.5pt" o:hralign="center" o:hrstd="t" o:hr="t" fillcolor="#a0a0a0" stroked="f"/>
        </w:pict>
      </w:r>
    </w:p>
    <w:p w14:paraId="1A192659" w14:textId="77777777" w:rsidR="00A941D5" w:rsidRPr="00DC1C54" w:rsidRDefault="00A941D5" w:rsidP="00A941D5">
      <w:pPr>
        <w:spacing w:line="276" w:lineRule="auto"/>
        <w:rPr>
          <w:rFonts w:ascii="Arial" w:eastAsia="Times New Roman" w:hAnsi="Arial" w:cs="Arial"/>
          <w:b/>
          <w:bCs/>
          <w:kern w:val="0"/>
          <w:sz w:val="22"/>
          <w:szCs w:val="22"/>
          <w:lang w:eastAsia="en-GB"/>
          <w14:ligatures w14:val="none"/>
        </w:rPr>
      </w:pPr>
      <w:r w:rsidRPr="00DC1C54">
        <w:rPr>
          <w:rFonts w:ascii="Arial" w:eastAsia="Times New Roman" w:hAnsi="Arial" w:cs="Arial"/>
          <w:b/>
          <w:bCs/>
          <w:kern w:val="0"/>
          <w:sz w:val="22"/>
          <w:szCs w:val="22"/>
          <w:lang w:eastAsia="en-GB"/>
          <w14:ligatures w14:val="none"/>
        </w:rPr>
        <w:t>Sources:</w:t>
      </w:r>
    </w:p>
    <w:p w14:paraId="51E0F1BB" w14:textId="77777777" w:rsidR="00A941D5" w:rsidRPr="00DC1C54" w:rsidRDefault="00A941D5" w:rsidP="00A941D5">
      <w:pPr>
        <w:spacing w:line="276" w:lineRule="auto"/>
        <w:rPr>
          <w:rFonts w:ascii="Arial" w:eastAsia="Times New Roman" w:hAnsi="Arial" w:cs="Arial"/>
          <w:kern w:val="0"/>
          <w:sz w:val="22"/>
          <w:szCs w:val="22"/>
          <w:lang w:eastAsia="en-GB"/>
          <w14:ligatures w14:val="none"/>
        </w:rPr>
      </w:pPr>
      <w:r w:rsidRPr="00DC1C54">
        <w:rPr>
          <w:rFonts w:ascii="Arial" w:eastAsia="Times New Roman" w:hAnsi="Arial" w:cs="Arial"/>
          <w:kern w:val="0"/>
          <w:sz w:val="22"/>
          <w:szCs w:val="22"/>
          <w:lang w:eastAsia="en-GB"/>
          <w14:ligatures w14:val="none"/>
        </w:rPr>
        <w:t>Digital Health (2025) e</w:t>
      </w:r>
      <w:r w:rsidRPr="00DC1C54">
        <w:rPr>
          <w:rFonts w:ascii="Arial" w:eastAsia="Times New Roman" w:hAnsi="Arial" w:cs="Arial"/>
          <w:kern w:val="0"/>
          <w:sz w:val="22"/>
          <w:szCs w:val="22"/>
          <w:lang w:eastAsia="en-GB"/>
          <w14:ligatures w14:val="none"/>
        </w:rPr>
        <w:noBreakHyphen/>
        <w:t>LfH / NHS England (2023) Jothimurugan et al. (2023) Cooper et al. (2025)</w:t>
      </w:r>
    </w:p>
    <w:p w14:paraId="1CECAAEA" w14:textId="77777777" w:rsidR="00026D90" w:rsidRDefault="00026D90" w:rsidP="0008553D">
      <w:pPr>
        <w:rPr>
          <w:rFonts w:ascii="Aptos" w:eastAsia="Times New Roman" w:hAnsi="Aptos" w:cs="Arial"/>
          <w:lang w:eastAsia="en-GB"/>
        </w:rPr>
      </w:pPr>
    </w:p>
    <w:p w14:paraId="5A29BA98" w14:textId="77777777" w:rsidR="00026D90" w:rsidRDefault="00026D90" w:rsidP="0008553D">
      <w:pPr>
        <w:rPr>
          <w:rFonts w:ascii="Aptos" w:eastAsia="Times New Roman" w:hAnsi="Aptos" w:cs="Arial"/>
          <w:lang w:eastAsia="en-GB"/>
        </w:rPr>
      </w:pPr>
    </w:p>
    <w:p w14:paraId="21A504FC" w14:textId="77777777" w:rsidR="00026D90" w:rsidRDefault="00026D90" w:rsidP="0008553D">
      <w:pPr>
        <w:rPr>
          <w:rFonts w:ascii="Aptos" w:eastAsia="Times New Roman" w:hAnsi="Aptos" w:cs="Arial"/>
          <w:lang w:eastAsia="en-GB"/>
        </w:rPr>
      </w:pPr>
    </w:p>
    <w:p w14:paraId="351550E7" w14:textId="77777777" w:rsidR="00026D90" w:rsidRDefault="00026D90" w:rsidP="0008553D">
      <w:pPr>
        <w:rPr>
          <w:rFonts w:ascii="Aptos" w:eastAsia="Times New Roman" w:hAnsi="Aptos" w:cs="Arial"/>
          <w:lang w:eastAsia="en-GB"/>
        </w:rPr>
      </w:pPr>
    </w:p>
    <w:p w14:paraId="2122EC0C" w14:textId="77777777" w:rsidR="00026D90" w:rsidRDefault="00026D90" w:rsidP="0008553D">
      <w:pPr>
        <w:rPr>
          <w:rFonts w:ascii="Aptos" w:eastAsia="Times New Roman" w:hAnsi="Aptos" w:cs="Arial"/>
          <w:lang w:eastAsia="en-GB"/>
        </w:rPr>
      </w:pPr>
    </w:p>
    <w:p w14:paraId="794DF741" w14:textId="77777777" w:rsidR="00026D90" w:rsidRDefault="00026D90" w:rsidP="0008553D">
      <w:pPr>
        <w:rPr>
          <w:rFonts w:ascii="Aptos" w:eastAsia="Times New Roman" w:hAnsi="Aptos" w:cs="Arial"/>
          <w:lang w:eastAsia="en-GB"/>
        </w:rPr>
      </w:pPr>
    </w:p>
    <w:p w14:paraId="65C7616F" w14:textId="77777777" w:rsidR="00026D90" w:rsidRDefault="00026D90" w:rsidP="0008553D">
      <w:pPr>
        <w:rPr>
          <w:rFonts w:ascii="Aptos" w:eastAsia="Times New Roman" w:hAnsi="Aptos" w:cs="Arial"/>
          <w:lang w:eastAsia="en-GB"/>
        </w:rPr>
      </w:pPr>
    </w:p>
    <w:p w14:paraId="536FCE5D" w14:textId="77777777" w:rsidR="00026D90" w:rsidRDefault="00026D90" w:rsidP="0008553D">
      <w:pPr>
        <w:rPr>
          <w:rFonts w:ascii="Aptos" w:eastAsia="Times New Roman" w:hAnsi="Aptos" w:cs="Arial"/>
          <w:lang w:eastAsia="en-GB"/>
        </w:rPr>
      </w:pPr>
    </w:p>
    <w:p w14:paraId="3026D12F" w14:textId="77777777" w:rsidR="00026D90" w:rsidRDefault="00026D90" w:rsidP="0008553D">
      <w:pPr>
        <w:rPr>
          <w:rFonts w:ascii="Aptos" w:eastAsia="Times New Roman" w:hAnsi="Aptos" w:cs="Arial"/>
          <w:lang w:eastAsia="en-GB"/>
        </w:rPr>
      </w:pPr>
    </w:p>
    <w:p w14:paraId="47852F29" w14:textId="77777777" w:rsidR="00026D90" w:rsidRPr="00DC1C54" w:rsidRDefault="00026D90" w:rsidP="0008553D">
      <w:pPr>
        <w:rPr>
          <w:rFonts w:ascii="Aptos" w:eastAsia="Times New Roman" w:hAnsi="Aptos" w:cs="Arial"/>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5"/>
        <w:gridCol w:w="3675"/>
        <w:gridCol w:w="3876"/>
      </w:tblGrid>
      <w:tr w:rsidR="0008553D" w:rsidRPr="00DC1C54" w14:paraId="69DFE070" w14:textId="77777777" w:rsidTr="00EE663A">
        <w:trPr>
          <w:tblCellSpacing w:w="15" w:type="dxa"/>
        </w:trPr>
        <w:tc>
          <w:tcPr>
            <w:tcW w:w="0" w:type="auto"/>
            <w:vAlign w:val="center"/>
            <w:hideMark/>
          </w:tcPr>
          <w:p w14:paraId="54E71CD1" w14:textId="77777777" w:rsidR="0008553D" w:rsidRPr="00DC1C54" w:rsidRDefault="0008553D" w:rsidP="00EE663A">
            <w:pPr>
              <w:rPr>
                <w:rFonts w:ascii="Aptos" w:eastAsia="Times New Roman" w:hAnsi="Aptos" w:cs="Arial"/>
                <w:b/>
                <w:bCs/>
                <w:sz w:val="20"/>
                <w:szCs w:val="20"/>
                <w:lang w:eastAsia="en-GB"/>
              </w:rPr>
            </w:pPr>
            <w:r w:rsidRPr="00DC1C54">
              <w:rPr>
                <w:rFonts w:ascii="Aptos" w:eastAsia="Times New Roman" w:hAnsi="Aptos" w:cs="Arial"/>
                <w:b/>
                <w:bCs/>
                <w:sz w:val="20"/>
                <w:szCs w:val="20"/>
                <w:lang w:eastAsia="en-GB"/>
              </w:rPr>
              <w:t>Attribute</w:t>
            </w:r>
          </w:p>
        </w:tc>
        <w:tc>
          <w:tcPr>
            <w:tcW w:w="0" w:type="auto"/>
            <w:vAlign w:val="center"/>
            <w:hideMark/>
          </w:tcPr>
          <w:p w14:paraId="41495CC9" w14:textId="77777777" w:rsidR="0008553D" w:rsidRPr="00DC1C54" w:rsidRDefault="0008553D" w:rsidP="00EE663A">
            <w:pPr>
              <w:rPr>
                <w:rFonts w:ascii="Aptos" w:eastAsia="Times New Roman" w:hAnsi="Aptos" w:cs="Arial"/>
                <w:b/>
                <w:bCs/>
                <w:sz w:val="20"/>
                <w:szCs w:val="20"/>
                <w:lang w:eastAsia="en-GB"/>
              </w:rPr>
            </w:pPr>
            <w:r w:rsidRPr="00DC1C54">
              <w:rPr>
                <w:rFonts w:ascii="Aptos" w:eastAsia="Times New Roman" w:hAnsi="Aptos" w:cs="Arial"/>
                <w:b/>
                <w:bCs/>
                <w:sz w:val="20"/>
                <w:szCs w:val="20"/>
                <w:lang w:eastAsia="en-GB"/>
              </w:rPr>
              <w:t>GP Primary Care Assistant (post</w:t>
            </w:r>
            <w:r w:rsidRPr="00DC1C54">
              <w:rPr>
                <w:rFonts w:ascii="Cambria Math" w:eastAsia="Times New Roman" w:hAnsi="Cambria Math" w:cs="Cambria Math"/>
                <w:b/>
                <w:bCs/>
                <w:sz w:val="20"/>
                <w:szCs w:val="20"/>
                <w:lang w:eastAsia="en-GB"/>
              </w:rPr>
              <w:t>‑</w:t>
            </w:r>
            <w:r w:rsidRPr="00DC1C54">
              <w:rPr>
                <w:rFonts w:ascii="Aptos" w:eastAsia="Times New Roman" w:hAnsi="Aptos" w:cs="Arial"/>
                <w:b/>
                <w:bCs/>
                <w:sz w:val="20"/>
                <w:szCs w:val="20"/>
                <w:lang w:eastAsia="en-GB"/>
              </w:rPr>
              <w:t>Medicus)</w:t>
            </w:r>
          </w:p>
        </w:tc>
        <w:tc>
          <w:tcPr>
            <w:tcW w:w="0" w:type="auto"/>
            <w:vAlign w:val="center"/>
            <w:hideMark/>
          </w:tcPr>
          <w:p w14:paraId="36796336" w14:textId="77777777" w:rsidR="0008553D" w:rsidRPr="00DC1C54" w:rsidRDefault="0008553D" w:rsidP="00EE663A">
            <w:pPr>
              <w:rPr>
                <w:rFonts w:ascii="Aptos" w:eastAsia="Times New Roman" w:hAnsi="Aptos" w:cs="Arial"/>
                <w:b/>
                <w:bCs/>
                <w:sz w:val="20"/>
                <w:szCs w:val="20"/>
                <w:lang w:eastAsia="en-GB"/>
              </w:rPr>
            </w:pPr>
            <w:r w:rsidRPr="00DC1C54">
              <w:rPr>
                <w:rFonts w:ascii="Aptos" w:eastAsia="Times New Roman" w:hAnsi="Aptos" w:cs="Arial"/>
                <w:b/>
                <w:bCs/>
                <w:sz w:val="20"/>
                <w:szCs w:val="20"/>
                <w:lang w:eastAsia="en-GB"/>
              </w:rPr>
              <w:t>Learning Disabilities Nurse (post</w:t>
            </w:r>
            <w:r w:rsidRPr="00DC1C54">
              <w:rPr>
                <w:rFonts w:ascii="Cambria Math" w:eastAsia="Times New Roman" w:hAnsi="Cambria Math" w:cs="Cambria Math"/>
                <w:b/>
                <w:bCs/>
                <w:sz w:val="20"/>
                <w:szCs w:val="20"/>
                <w:lang w:eastAsia="en-GB"/>
              </w:rPr>
              <w:t>‑</w:t>
            </w:r>
            <w:r w:rsidRPr="00DC1C54">
              <w:rPr>
                <w:rFonts w:ascii="Aptos" w:eastAsia="Times New Roman" w:hAnsi="Aptos" w:cs="Arial"/>
                <w:b/>
                <w:bCs/>
                <w:sz w:val="20"/>
                <w:szCs w:val="20"/>
                <w:lang w:eastAsia="en-GB"/>
              </w:rPr>
              <w:t>Medicus)</w:t>
            </w:r>
          </w:p>
        </w:tc>
      </w:tr>
      <w:tr w:rsidR="0008553D" w:rsidRPr="00DC1C54" w14:paraId="228E24BD" w14:textId="77777777" w:rsidTr="00EE663A">
        <w:trPr>
          <w:tblCellSpacing w:w="15" w:type="dxa"/>
        </w:trPr>
        <w:tc>
          <w:tcPr>
            <w:tcW w:w="0" w:type="auto"/>
            <w:vAlign w:val="center"/>
            <w:hideMark/>
          </w:tcPr>
          <w:p w14:paraId="4CB21003"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Pre-EPR role focus</w:t>
            </w:r>
          </w:p>
        </w:tc>
        <w:tc>
          <w:tcPr>
            <w:tcW w:w="0" w:type="auto"/>
            <w:vAlign w:val="center"/>
            <w:hideMark/>
          </w:tcPr>
          <w:p w14:paraId="661D2F6F"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Reception, booking, basic clinical support</w:t>
            </w:r>
          </w:p>
        </w:tc>
        <w:tc>
          <w:tcPr>
            <w:tcW w:w="0" w:type="auto"/>
            <w:vAlign w:val="center"/>
            <w:hideMark/>
          </w:tcPr>
          <w:p w14:paraId="08B1A831"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Relational care, behavioural support, informal advocacy</w:t>
            </w:r>
          </w:p>
        </w:tc>
      </w:tr>
      <w:tr w:rsidR="0008553D" w:rsidRPr="00DC1C54" w14:paraId="3CD7A1B7" w14:textId="77777777" w:rsidTr="00EE663A">
        <w:trPr>
          <w:tblCellSpacing w:w="15" w:type="dxa"/>
        </w:trPr>
        <w:tc>
          <w:tcPr>
            <w:tcW w:w="0" w:type="auto"/>
            <w:vAlign w:val="center"/>
            <w:hideMark/>
          </w:tcPr>
          <w:p w14:paraId="42241E55"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Post-EPR role focus</w:t>
            </w:r>
          </w:p>
        </w:tc>
        <w:tc>
          <w:tcPr>
            <w:tcW w:w="0" w:type="auto"/>
            <w:vAlign w:val="center"/>
            <w:hideMark/>
          </w:tcPr>
          <w:p w14:paraId="7EAC7B24"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Inbox triage, template completion, digital intake coordination</w:t>
            </w:r>
          </w:p>
        </w:tc>
        <w:tc>
          <w:tcPr>
            <w:tcW w:w="0" w:type="auto"/>
            <w:vAlign w:val="center"/>
            <w:hideMark/>
          </w:tcPr>
          <w:p w14:paraId="39FD133B"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Structured care planning, digital wayfinding, simulation-based training</w:t>
            </w:r>
          </w:p>
        </w:tc>
      </w:tr>
      <w:tr w:rsidR="0008553D" w:rsidRPr="00DC1C54" w14:paraId="0985CA58" w14:textId="77777777" w:rsidTr="00EE663A">
        <w:trPr>
          <w:tblCellSpacing w:w="15" w:type="dxa"/>
        </w:trPr>
        <w:tc>
          <w:tcPr>
            <w:tcW w:w="0" w:type="auto"/>
            <w:vAlign w:val="center"/>
            <w:hideMark/>
          </w:tcPr>
          <w:p w14:paraId="3763B6CF"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Digital responsibilities</w:t>
            </w:r>
          </w:p>
        </w:tc>
        <w:tc>
          <w:tcPr>
            <w:tcW w:w="0" w:type="auto"/>
            <w:vAlign w:val="center"/>
            <w:hideMark/>
          </w:tcPr>
          <w:p w14:paraId="0768E810"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EPR navigation, data-quality checks, assisted-digital onboarding</w:t>
            </w:r>
          </w:p>
        </w:tc>
        <w:tc>
          <w:tcPr>
            <w:tcW w:w="0" w:type="auto"/>
            <w:vAlign w:val="center"/>
            <w:hideMark/>
          </w:tcPr>
          <w:p w14:paraId="5E9B5E84"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Smart navigation, digital documentation, multi-agency record sharing</w:t>
            </w:r>
          </w:p>
        </w:tc>
      </w:tr>
      <w:tr w:rsidR="0008553D" w:rsidRPr="00DC1C54" w14:paraId="022E92D9" w14:textId="77777777" w:rsidTr="00EE663A">
        <w:trPr>
          <w:tblCellSpacing w:w="15" w:type="dxa"/>
        </w:trPr>
        <w:tc>
          <w:tcPr>
            <w:tcW w:w="0" w:type="auto"/>
            <w:vAlign w:val="center"/>
            <w:hideMark/>
          </w:tcPr>
          <w:p w14:paraId="6CB04405"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Training needs</w:t>
            </w:r>
          </w:p>
        </w:tc>
        <w:tc>
          <w:tcPr>
            <w:tcW w:w="0" w:type="auto"/>
            <w:vAlign w:val="center"/>
            <w:hideMark/>
          </w:tcPr>
          <w:p w14:paraId="412E5A8B"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EPR induction, super-user upskilling, competency sign-off</w:t>
            </w:r>
          </w:p>
        </w:tc>
        <w:tc>
          <w:tcPr>
            <w:tcW w:w="0" w:type="auto"/>
            <w:vAlign w:val="center"/>
            <w:hideMark/>
          </w:tcPr>
          <w:p w14:paraId="2A546189"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Simulation training, digital literacy, adaptive communication tools</w:t>
            </w:r>
          </w:p>
        </w:tc>
      </w:tr>
      <w:tr w:rsidR="0008553D" w:rsidRPr="00DC1C54" w14:paraId="5E82F36C" w14:textId="77777777" w:rsidTr="00EE663A">
        <w:trPr>
          <w:tblCellSpacing w:w="15" w:type="dxa"/>
        </w:trPr>
        <w:tc>
          <w:tcPr>
            <w:tcW w:w="0" w:type="auto"/>
            <w:vAlign w:val="center"/>
            <w:hideMark/>
          </w:tcPr>
          <w:p w14:paraId="4FC44CA6"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Team dynamics</w:t>
            </w:r>
          </w:p>
        </w:tc>
        <w:tc>
          <w:tcPr>
            <w:tcW w:w="0" w:type="auto"/>
            <w:vAlign w:val="center"/>
            <w:hideMark/>
          </w:tcPr>
          <w:p w14:paraId="38BD5087"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Increased coordination via shared dashboards; risk of role creep</w:t>
            </w:r>
          </w:p>
        </w:tc>
        <w:tc>
          <w:tcPr>
            <w:tcW w:w="0" w:type="auto"/>
            <w:vAlign w:val="center"/>
            <w:hideMark/>
          </w:tcPr>
          <w:p w14:paraId="51C71BD1"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Enhanced collaboration across MDTs; clearer documentation pathways</w:t>
            </w:r>
          </w:p>
        </w:tc>
      </w:tr>
      <w:tr w:rsidR="0008553D" w:rsidRPr="00DC1C54" w14:paraId="0D1572B5" w14:textId="77777777" w:rsidTr="00EE663A">
        <w:trPr>
          <w:tblCellSpacing w:w="15" w:type="dxa"/>
        </w:trPr>
        <w:tc>
          <w:tcPr>
            <w:tcW w:w="0" w:type="auto"/>
            <w:vAlign w:val="center"/>
            <w:hideMark/>
          </w:tcPr>
          <w:p w14:paraId="60C14F8C"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Risks</w:t>
            </w:r>
          </w:p>
        </w:tc>
        <w:tc>
          <w:tcPr>
            <w:tcW w:w="0" w:type="auto"/>
            <w:vAlign w:val="center"/>
            <w:hideMark/>
          </w:tcPr>
          <w:p w14:paraId="73159B7A"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Inbox fatigue, cognitive load, unsafe delegation without governance</w:t>
            </w:r>
          </w:p>
        </w:tc>
        <w:tc>
          <w:tcPr>
            <w:tcW w:w="0" w:type="auto"/>
            <w:vAlign w:val="center"/>
            <w:hideMark/>
          </w:tcPr>
          <w:p w14:paraId="1EFA8D8F"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Loss of relational nuance; over-reliance on structured templates</w:t>
            </w:r>
          </w:p>
        </w:tc>
      </w:tr>
      <w:tr w:rsidR="0008553D" w:rsidRPr="00DC1C54" w14:paraId="05D5903F" w14:textId="77777777" w:rsidTr="00EE663A">
        <w:trPr>
          <w:tblCellSpacing w:w="15" w:type="dxa"/>
        </w:trPr>
        <w:tc>
          <w:tcPr>
            <w:tcW w:w="0" w:type="auto"/>
            <w:vAlign w:val="center"/>
            <w:hideMark/>
          </w:tcPr>
          <w:p w14:paraId="0ADE2F5F"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lastRenderedPageBreak/>
              <w:t>Positive impacts</w:t>
            </w:r>
          </w:p>
        </w:tc>
        <w:tc>
          <w:tcPr>
            <w:tcW w:w="0" w:type="auto"/>
            <w:vAlign w:val="center"/>
            <w:hideMark/>
          </w:tcPr>
          <w:p w14:paraId="08CC0A09"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Reduced admin duplication; faster triage; clearer delegation</w:t>
            </w:r>
          </w:p>
        </w:tc>
        <w:tc>
          <w:tcPr>
            <w:tcW w:w="0" w:type="auto"/>
            <w:vAlign w:val="center"/>
            <w:hideMark/>
          </w:tcPr>
          <w:p w14:paraId="16A9A96E" w14:textId="77777777" w:rsidR="0008553D" w:rsidRPr="00DC1C54" w:rsidRDefault="0008553D" w:rsidP="00EE663A">
            <w:pPr>
              <w:spacing w:before="100" w:beforeAutospacing="1" w:after="100" w:afterAutospacing="1" w:line="276"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Improved care planning; safer documentation; better training uptake</w:t>
            </w:r>
          </w:p>
        </w:tc>
      </w:tr>
    </w:tbl>
    <w:p w14:paraId="75E1E6F7" w14:textId="77777777" w:rsidR="001561C7" w:rsidRDefault="00C571A7" w:rsidP="0008553D">
      <w:pPr>
        <w:spacing w:before="100" w:beforeAutospacing="1" w:after="100" w:afterAutospacing="1" w:line="276" w:lineRule="auto"/>
        <w:rPr>
          <w:rFonts w:ascii="Arial" w:eastAsia="Times New Roman" w:hAnsi="Arial" w:cs="Arial"/>
          <w:b/>
          <w:bCs/>
          <w:kern w:val="0"/>
          <w:sz w:val="16"/>
          <w:szCs w:val="16"/>
          <w:lang w:eastAsia="en-GB"/>
          <w14:ligatures w14:val="none"/>
        </w:rPr>
      </w:pPr>
      <w:r>
        <w:rPr>
          <w:rFonts w:ascii="Arial" w:eastAsia="Times New Roman" w:hAnsi="Arial" w:cs="Arial"/>
          <w:b/>
          <w:bCs/>
          <w:kern w:val="0"/>
          <w:sz w:val="16"/>
          <w:szCs w:val="16"/>
          <w:lang w:eastAsia="en-GB"/>
          <w14:ligatures w14:val="none"/>
        </w:rPr>
        <w:t xml:space="preserve">Image x: </w:t>
      </w:r>
      <w:r w:rsidR="0008553D" w:rsidRPr="00DC1C54">
        <w:rPr>
          <w:rFonts w:ascii="Arial" w:eastAsia="Times New Roman" w:hAnsi="Arial" w:cs="Arial"/>
          <w:b/>
          <w:bCs/>
          <w:kern w:val="0"/>
          <w:sz w:val="16"/>
          <w:szCs w:val="16"/>
          <w:lang w:eastAsia="en-GB"/>
          <w14:ligatures w14:val="none"/>
        </w:rPr>
        <w:t>role comparison across settings</w:t>
      </w:r>
    </w:p>
    <w:p w14:paraId="69459EEF" w14:textId="090A9424" w:rsidR="0008553D" w:rsidRPr="00DC1C54" w:rsidRDefault="0008553D" w:rsidP="0008553D">
      <w:pPr>
        <w:spacing w:before="100" w:beforeAutospacing="1" w:after="100" w:afterAutospacing="1" w:line="276" w:lineRule="auto"/>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Sources: Digital Health (2025); e</w:t>
      </w:r>
      <w:r w:rsidRPr="00DC1C54">
        <w:rPr>
          <w:rFonts w:ascii="Arial" w:eastAsia="Times New Roman" w:hAnsi="Arial" w:cs="Arial"/>
          <w:b/>
          <w:bCs/>
          <w:kern w:val="0"/>
          <w:sz w:val="16"/>
          <w:szCs w:val="16"/>
          <w:lang w:eastAsia="en-GB"/>
          <w14:ligatures w14:val="none"/>
        </w:rPr>
        <w:noBreakHyphen/>
        <w:t>LfH / NHS England (2023); University Hospitals Birmingham NHS Foundation Trust (2025)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5"/>
        <w:gridCol w:w="1548"/>
        <w:gridCol w:w="856"/>
      </w:tblGrid>
      <w:tr w:rsidR="001561C7" w:rsidRPr="00DC1C54" w14:paraId="5888F6B8" w14:textId="77777777" w:rsidTr="00EE663A">
        <w:trPr>
          <w:tblHeader/>
          <w:tblCellSpacing w:w="15" w:type="dxa"/>
        </w:trPr>
        <w:tc>
          <w:tcPr>
            <w:tcW w:w="0" w:type="auto"/>
            <w:vAlign w:val="center"/>
            <w:hideMark/>
          </w:tcPr>
          <w:p w14:paraId="79083493" w14:textId="77777777" w:rsidR="001561C7" w:rsidRPr="00DC1C54" w:rsidRDefault="001561C7" w:rsidP="00EE663A">
            <w:pPr>
              <w:spacing w:after="0" w:line="240" w:lineRule="auto"/>
              <w:jc w:val="center"/>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KPI</w:t>
            </w:r>
          </w:p>
        </w:tc>
        <w:tc>
          <w:tcPr>
            <w:tcW w:w="0" w:type="auto"/>
            <w:vAlign w:val="center"/>
            <w:hideMark/>
          </w:tcPr>
          <w:p w14:paraId="4AD5E490" w14:textId="77777777" w:rsidR="001561C7" w:rsidRPr="00DC1C54" w:rsidRDefault="001561C7" w:rsidP="00EE663A">
            <w:pPr>
              <w:spacing w:after="0" w:line="240" w:lineRule="auto"/>
              <w:jc w:val="center"/>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Relevance</w:t>
            </w:r>
          </w:p>
        </w:tc>
        <w:tc>
          <w:tcPr>
            <w:tcW w:w="0" w:type="auto"/>
            <w:vAlign w:val="center"/>
            <w:hideMark/>
          </w:tcPr>
          <w:p w14:paraId="0AAE3737" w14:textId="77777777" w:rsidR="001561C7" w:rsidRPr="00DC1C54" w:rsidRDefault="001561C7" w:rsidP="00EE663A">
            <w:pPr>
              <w:spacing w:after="0" w:line="240" w:lineRule="auto"/>
              <w:jc w:val="center"/>
              <w:rPr>
                <w:rFonts w:ascii="Arial" w:eastAsia="Times New Roman" w:hAnsi="Arial" w:cs="Arial"/>
                <w:b/>
                <w:bCs/>
                <w:kern w:val="0"/>
                <w:sz w:val="16"/>
                <w:szCs w:val="16"/>
                <w:lang w:eastAsia="en-GB"/>
                <w14:ligatures w14:val="none"/>
              </w:rPr>
            </w:pPr>
            <w:r w:rsidRPr="00DC1C54">
              <w:rPr>
                <w:rFonts w:ascii="Arial" w:eastAsia="Times New Roman" w:hAnsi="Arial" w:cs="Arial"/>
                <w:b/>
                <w:bCs/>
                <w:kern w:val="0"/>
                <w:sz w:val="16"/>
                <w:szCs w:val="16"/>
                <w:lang w:eastAsia="en-GB"/>
                <w14:ligatures w14:val="none"/>
              </w:rPr>
              <w:t>Target</w:t>
            </w:r>
          </w:p>
        </w:tc>
      </w:tr>
      <w:tr w:rsidR="001561C7" w:rsidRPr="00DC1C54" w14:paraId="4C73AEC5" w14:textId="77777777" w:rsidTr="00EE663A">
        <w:trPr>
          <w:tblCellSpacing w:w="15" w:type="dxa"/>
        </w:trPr>
        <w:tc>
          <w:tcPr>
            <w:tcW w:w="0" w:type="auto"/>
            <w:vAlign w:val="center"/>
            <w:hideMark/>
          </w:tcPr>
          <w:p w14:paraId="196DE476"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Median inbox response time</w:t>
            </w:r>
          </w:p>
        </w:tc>
        <w:tc>
          <w:tcPr>
            <w:tcW w:w="0" w:type="auto"/>
            <w:vAlign w:val="center"/>
            <w:hideMark/>
          </w:tcPr>
          <w:p w14:paraId="27E240C2"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Workflow efficiency</w:t>
            </w:r>
          </w:p>
        </w:tc>
        <w:tc>
          <w:tcPr>
            <w:tcW w:w="0" w:type="auto"/>
            <w:vAlign w:val="center"/>
            <w:hideMark/>
          </w:tcPr>
          <w:p w14:paraId="2DDB2DAA"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&lt; 24 hours</w:t>
            </w:r>
          </w:p>
        </w:tc>
      </w:tr>
      <w:tr w:rsidR="001561C7" w:rsidRPr="00DC1C54" w14:paraId="0D0E2C50" w14:textId="77777777" w:rsidTr="00EE663A">
        <w:trPr>
          <w:tblCellSpacing w:w="15" w:type="dxa"/>
        </w:trPr>
        <w:tc>
          <w:tcPr>
            <w:tcW w:w="0" w:type="auto"/>
            <w:vAlign w:val="center"/>
            <w:hideMark/>
          </w:tcPr>
          <w:p w14:paraId="0D049782"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GP admin hours saved/week</w:t>
            </w:r>
          </w:p>
        </w:tc>
        <w:tc>
          <w:tcPr>
            <w:tcW w:w="0" w:type="auto"/>
            <w:vAlign w:val="center"/>
            <w:hideMark/>
          </w:tcPr>
          <w:p w14:paraId="043504D6"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Time reallocation</w:t>
            </w:r>
          </w:p>
        </w:tc>
        <w:tc>
          <w:tcPr>
            <w:tcW w:w="0" w:type="auto"/>
            <w:vAlign w:val="center"/>
            <w:hideMark/>
          </w:tcPr>
          <w:p w14:paraId="01073879"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&gt; 5 hours</w:t>
            </w:r>
          </w:p>
        </w:tc>
      </w:tr>
      <w:tr w:rsidR="001561C7" w:rsidRPr="00DC1C54" w14:paraId="065C5EF1" w14:textId="77777777" w:rsidTr="00EE663A">
        <w:trPr>
          <w:tblCellSpacing w:w="15" w:type="dxa"/>
        </w:trPr>
        <w:tc>
          <w:tcPr>
            <w:tcW w:w="0" w:type="auto"/>
            <w:vAlign w:val="center"/>
            <w:hideMark/>
          </w:tcPr>
          <w:p w14:paraId="73C6AEEF"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 records meeting template standards</w:t>
            </w:r>
          </w:p>
        </w:tc>
        <w:tc>
          <w:tcPr>
            <w:tcW w:w="0" w:type="auto"/>
            <w:vAlign w:val="center"/>
            <w:hideMark/>
          </w:tcPr>
          <w:p w14:paraId="2832032B"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Data quality</w:t>
            </w:r>
          </w:p>
        </w:tc>
        <w:tc>
          <w:tcPr>
            <w:tcW w:w="0" w:type="auto"/>
            <w:vAlign w:val="center"/>
            <w:hideMark/>
          </w:tcPr>
          <w:p w14:paraId="21B05FEA"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&gt; 90%</w:t>
            </w:r>
          </w:p>
        </w:tc>
      </w:tr>
      <w:tr w:rsidR="001561C7" w:rsidRPr="00DC1C54" w14:paraId="5A94E16D" w14:textId="77777777" w:rsidTr="00EE663A">
        <w:trPr>
          <w:tblCellSpacing w:w="15" w:type="dxa"/>
        </w:trPr>
        <w:tc>
          <w:tcPr>
            <w:tcW w:w="0" w:type="auto"/>
            <w:vAlign w:val="center"/>
            <w:hideMark/>
          </w:tcPr>
          <w:p w14:paraId="20B2E93E"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Training completion rate</w:t>
            </w:r>
          </w:p>
        </w:tc>
        <w:tc>
          <w:tcPr>
            <w:tcW w:w="0" w:type="auto"/>
            <w:vAlign w:val="center"/>
            <w:hideMark/>
          </w:tcPr>
          <w:p w14:paraId="0AAAB104"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Workforce readiness</w:t>
            </w:r>
          </w:p>
        </w:tc>
        <w:tc>
          <w:tcPr>
            <w:tcW w:w="0" w:type="auto"/>
            <w:vAlign w:val="center"/>
            <w:hideMark/>
          </w:tcPr>
          <w:p w14:paraId="5155907D"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100%</w:t>
            </w:r>
          </w:p>
        </w:tc>
      </w:tr>
      <w:tr w:rsidR="001561C7" w:rsidRPr="00DC1C54" w14:paraId="72155020" w14:textId="77777777" w:rsidTr="00EE663A">
        <w:trPr>
          <w:tblCellSpacing w:w="15" w:type="dxa"/>
        </w:trPr>
        <w:tc>
          <w:tcPr>
            <w:tcW w:w="0" w:type="auto"/>
            <w:vAlign w:val="center"/>
            <w:hideMark/>
          </w:tcPr>
          <w:p w14:paraId="1C990085"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Staff role-clarity score</w:t>
            </w:r>
          </w:p>
        </w:tc>
        <w:tc>
          <w:tcPr>
            <w:tcW w:w="0" w:type="auto"/>
            <w:vAlign w:val="center"/>
            <w:hideMark/>
          </w:tcPr>
          <w:p w14:paraId="34B5B3B3"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Governance</w:t>
            </w:r>
          </w:p>
        </w:tc>
        <w:tc>
          <w:tcPr>
            <w:tcW w:w="0" w:type="auto"/>
            <w:vAlign w:val="center"/>
            <w:hideMark/>
          </w:tcPr>
          <w:p w14:paraId="39BBBB82" w14:textId="77777777" w:rsidR="001561C7" w:rsidRPr="00DC1C54" w:rsidRDefault="001561C7" w:rsidP="00EE663A">
            <w:pPr>
              <w:spacing w:after="0" w:line="240" w:lineRule="auto"/>
              <w:rPr>
                <w:rFonts w:ascii="Arial" w:eastAsia="Times New Roman" w:hAnsi="Arial" w:cs="Arial"/>
                <w:kern w:val="0"/>
                <w:sz w:val="16"/>
                <w:szCs w:val="16"/>
                <w:lang w:eastAsia="en-GB"/>
                <w14:ligatures w14:val="none"/>
              </w:rPr>
            </w:pPr>
            <w:r w:rsidRPr="00DC1C54">
              <w:rPr>
                <w:rFonts w:ascii="Arial" w:eastAsia="Times New Roman" w:hAnsi="Arial" w:cs="Arial"/>
                <w:kern w:val="0"/>
                <w:sz w:val="16"/>
                <w:szCs w:val="16"/>
                <w:lang w:eastAsia="en-GB"/>
                <w14:ligatures w14:val="none"/>
              </w:rPr>
              <w:t>&gt; 4/5</w:t>
            </w:r>
          </w:p>
        </w:tc>
      </w:tr>
    </w:tbl>
    <w:p w14:paraId="75FD83C1" w14:textId="36FEAF58" w:rsidR="009844C9" w:rsidRPr="00B57FB4" w:rsidRDefault="000B799C" w:rsidP="00B57FB4">
      <w:pPr>
        <w:spacing w:before="100" w:beforeAutospacing="1" w:after="100" w:afterAutospacing="1" w:line="276" w:lineRule="auto"/>
        <w:rPr>
          <w:rFonts w:ascii="Arial" w:eastAsia="Times New Roman" w:hAnsi="Arial" w:cs="Arial"/>
          <w:b/>
          <w:bCs/>
          <w:kern w:val="0"/>
          <w:sz w:val="16"/>
          <w:szCs w:val="16"/>
          <w:lang w:eastAsia="en-GB"/>
          <w14:ligatures w14:val="none"/>
        </w:rPr>
      </w:pPr>
      <w:r>
        <w:rPr>
          <w:rFonts w:ascii="Arial" w:eastAsia="Times New Roman" w:hAnsi="Arial" w:cs="Arial"/>
          <w:b/>
          <w:bCs/>
          <w:kern w:val="0"/>
          <w:sz w:val="16"/>
          <w:szCs w:val="16"/>
          <w:lang w:eastAsia="en-GB"/>
          <w14:ligatures w14:val="none"/>
        </w:rPr>
        <w:t>Image x</w:t>
      </w:r>
      <w:r w:rsidRPr="00DC1C54">
        <w:rPr>
          <w:rFonts w:ascii="Arial" w:eastAsia="Times New Roman" w:hAnsi="Arial" w:cs="Arial"/>
          <w:b/>
          <w:bCs/>
          <w:kern w:val="0"/>
          <w:sz w:val="16"/>
          <w:szCs w:val="16"/>
          <w:lang w:eastAsia="en-GB"/>
          <w14:ligatures w14:val="none"/>
        </w:rPr>
        <w:t>: KPI Dashboard — targets are a mix of national guidance, local implementation targets, and author recommendations; Sources (e</w:t>
      </w:r>
      <w:r w:rsidRPr="00DC1C54">
        <w:rPr>
          <w:rFonts w:ascii="Cambria Math" w:eastAsia="Times New Roman" w:hAnsi="Cambria Math" w:cs="Cambria Math"/>
          <w:b/>
          <w:bCs/>
          <w:kern w:val="0"/>
          <w:sz w:val="16"/>
          <w:szCs w:val="16"/>
          <w:lang w:eastAsia="en-GB"/>
          <w14:ligatures w14:val="none"/>
        </w:rPr>
        <w:t>‑</w:t>
      </w:r>
      <w:r w:rsidRPr="00DC1C54">
        <w:rPr>
          <w:rFonts w:ascii="Arial" w:eastAsia="Times New Roman" w:hAnsi="Arial" w:cs="Arial"/>
          <w:b/>
          <w:bCs/>
          <w:kern w:val="0"/>
          <w:sz w:val="16"/>
          <w:szCs w:val="16"/>
          <w:lang w:eastAsia="en-GB"/>
          <w14:ligatures w14:val="none"/>
        </w:rPr>
        <w:t>LfH / NHS England, 2023; Local implementation plan, Q2 2025).</w:t>
      </w:r>
      <w:r w:rsidR="7D82842A" w:rsidRPr="54C8A32B">
        <w:rPr>
          <w:rFonts w:ascii="Times New Roman" w:eastAsia="Times New Roman" w:hAnsi="Times New Roman" w:cs="Times New Roman"/>
          <w:sz w:val="22"/>
          <w:szCs w:val="22"/>
        </w:rPr>
        <w:t xml:space="preserve"> </w:t>
      </w:r>
    </w:p>
    <w:p w14:paraId="05EA4D94" w14:textId="411B66E5" w:rsidR="009844C9" w:rsidRDefault="7D82842A" w:rsidP="54C8A32B">
      <w:pPr>
        <w:spacing w:line="276" w:lineRule="auto"/>
      </w:pPr>
      <w:r w:rsidRPr="54C8A32B">
        <w:rPr>
          <w:rFonts w:ascii="Times New Roman" w:eastAsia="Times New Roman" w:hAnsi="Times New Roman" w:cs="Times New Roman"/>
          <w:sz w:val="22"/>
          <w:szCs w:val="22"/>
        </w:rPr>
        <w:t xml:space="preserve"> </w:t>
      </w:r>
    </w:p>
    <w:p w14:paraId="5527D524" w14:textId="4440D5D8" w:rsidR="009844C9" w:rsidRDefault="7D82842A" w:rsidP="54C8A32B">
      <w:pPr>
        <w:spacing w:line="276" w:lineRule="auto"/>
      </w:pPr>
      <w:r w:rsidRPr="54C8A32B">
        <w:rPr>
          <w:rFonts w:ascii="Times New Roman" w:eastAsia="Times New Roman" w:hAnsi="Times New Roman" w:cs="Times New Roman"/>
        </w:rPr>
        <w:t xml:space="preserve">Rapid source harvest </w:t>
      </w:r>
    </w:p>
    <w:tbl>
      <w:tblPr>
        <w:tblStyle w:val="TableGrid"/>
        <w:tblW w:w="0" w:type="auto"/>
        <w:tblLayout w:type="fixed"/>
        <w:tblLook w:val="04A0" w:firstRow="1" w:lastRow="0" w:firstColumn="1" w:lastColumn="0" w:noHBand="0" w:noVBand="1"/>
      </w:tblPr>
      <w:tblGrid>
        <w:gridCol w:w="2241"/>
        <w:gridCol w:w="879"/>
        <w:gridCol w:w="2168"/>
        <w:gridCol w:w="2099"/>
        <w:gridCol w:w="1627"/>
      </w:tblGrid>
      <w:tr w:rsidR="54C8A32B" w14:paraId="31154CB9"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35A7D71D" w14:textId="1F3744ED" w:rsidR="54C8A32B" w:rsidRDefault="54C8A32B" w:rsidP="54C8A32B">
            <w:r w:rsidRPr="54C8A32B">
              <w:rPr>
                <w:rFonts w:ascii="Times New Roman" w:eastAsia="Times New Roman" w:hAnsi="Times New Roman" w:cs="Times New Roman"/>
              </w:rPr>
              <w:t>Reference</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7CAD2210" w14:textId="58287789" w:rsidR="54C8A32B" w:rsidRDefault="54C8A32B" w:rsidP="54C8A32B">
            <w:r w:rsidRPr="54C8A32B">
              <w:rPr>
                <w:rFonts w:ascii="Times New Roman" w:eastAsia="Times New Roman" w:hAnsi="Times New Roman" w:cs="Times New Roman"/>
              </w:rPr>
              <w:t>Type</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68C4F2FB" w14:textId="1C94994F" w:rsidR="54C8A32B" w:rsidRDefault="54C8A32B" w:rsidP="54C8A32B">
            <w:r w:rsidRPr="54C8A32B">
              <w:rPr>
                <w:rFonts w:ascii="Times New Roman" w:eastAsia="Times New Roman" w:hAnsi="Times New Roman" w:cs="Times New Roman"/>
              </w:rPr>
              <w:t>One-line finding</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28C6A4CD" w14:textId="15A8BC20" w:rsidR="54C8A32B" w:rsidRDefault="54C8A32B" w:rsidP="54C8A32B">
            <w:r w:rsidRPr="54C8A32B">
              <w:rPr>
                <w:rFonts w:ascii="Times New Roman" w:eastAsia="Times New Roman" w:hAnsi="Times New Roman" w:cs="Times New Roman"/>
              </w:rPr>
              <w:t>Relevance to Medicus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2F3E129E" w14:textId="16B6B1F6" w:rsidR="54C8A32B" w:rsidRDefault="54C8A32B" w:rsidP="54C8A32B">
            <w:r w:rsidRPr="54C8A32B">
              <w:rPr>
                <w:rFonts w:ascii="Times New Roman" w:eastAsia="Times New Roman" w:hAnsi="Times New Roman" w:cs="Times New Roman"/>
              </w:rPr>
              <w:t>Quality (justification)</w:t>
            </w:r>
          </w:p>
        </w:tc>
      </w:tr>
      <w:tr w:rsidR="54C8A32B" w14:paraId="1EB5B0D8"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14486D66" w14:textId="6B7687A9" w:rsidR="54C8A32B" w:rsidRDefault="54C8A32B" w:rsidP="54C8A32B">
            <w:r w:rsidRPr="54C8A32B">
              <w:rPr>
                <w:rFonts w:ascii="Times New Roman" w:eastAsia="Times New Roman" w:hAnsi="Times New Roman" w:cs="Times New Roman"/>
                <w:sz w:val="20"/>
                <w:szCs w:val="20"/>
              </w:rPr>
              <w:t>Health Foundation (2025) Electronic patient records: why the NHS urgently needs a strategy to reap the benefits.</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37F2C415" w14:textId="640AE155" w:rsidR="54C8A32B" w:rsidRDefault="54C8A32B" w:rsidP="54C8A32B">
            <w:r w:rsidRPr="54C8A32B">
              <w:rPr>
                <w:rFonts w:ascii="Times New Roman" w:eastAsia="Times New Roman" w:hAnsi="Times New Roman" w:cs="Times New Roman"/>
                <w:sz w:val="20"/>
                <w:szCs w:val="20"/>
              </w:rPr>
              <w:t>Policy report</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30E72398" w14:textId="261417DE" w:rsidR="54C8A32B" w:rsidRDefault="54C8A32B" w:rsidP="54C8A32B">
            <w:r w:rsidRPr="54C8A32B">
              <w:rPr>
                <w:rFonts w:ascii="Times New Roman" w:eastAsia="Times New Roman" w:hAnsi="Times New Roman" w:cs="Times New Roman"/>
                <w:sz w:val="20"/>
                <w:szCs w:val="20"/>
              </w:rPr>
              <w:t>EPR adoption can deliver benefits but requires funded transition, assurance and national strategy to realise value.</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5DE87501" w14:textId="30243369" w:rsidR="54C8A32B" w:rsidRDefault="54C8A32B" w:rsidP="54C8A32B">
            <w:r w:rsidRPr="54C8A32B">
              <w:rPr>
                <w:rFonts w:ascii="Times New Roman" w:eastAsia="Times New Roman" w:hAnsi="Times New Roman" w:cs="Times New Roman"/>
                <w:sz w:val="20"/>
                <w:szCs w:val="20"/>
              </w:rPr>
              <w:t>Indicates need to quantify transition costs, funding and assurance requirements for Medicus.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18A58E49" w14:textId="7C8C7EC7" w:rsidR="54C8A32B" w:rsidRDefault="54C8A32B" w:rsidP="54C8A32B">
            <w:r w:rsidRPr="54C8A32B">
              <w:rPr>
                <w:rFonts w:ascii="Times New Roman" w:eastAsia="Times New Roman" w:hAnsi="Times New Roman" w:cs="Times New Roman"/>
                <w:sz w:val="20"/>
                <w:szCs w:val="20"/>
              </w:rPr>
              <w:t>Medium (policy synthesis; limited primary data)</w:t>
            </w:r>
          </w:p>
        </w:tc>
      </w:tr>
      <w:tr w:rsidR="54C8A32B" w14:paraId="75AEA0B4"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3588430D" w14:textId="00010BA1" w:rsidR="54C8A32B" w:rsidRDefault="54C8A32B" w:rsidP="54C8A32B">
            <w:r w:rsidRPr="54C8A32B">
              <w:rPr>
                <w:rFonts w:ascii="Times New Roman" w:eastAsia="Times New Roman" w:hAnsi="Times New Roman" w:cs="Times New Roman"/>
                <w:sz w:val="20"/>
                <w:szCs w:val="20"/>
              </w:rPr>
              <w:t>HFMA (2025) Implementing an electronic patient record: briefing and case studies.</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7A705E4B" w14:textId="48C22C18" w:rsidR="54C8A32B" w:rsidRDefault="54C8A32B" w:rsidP="54C8A32B">
            <w:r w:rsidRPr="54C8A32B">
              <w:rPr>
                <w:rFonts w:ascii="Times New Roman" w:eastAsia="Times New Roman" w:hAnsi="Times New Roman" w:cs="Times New Roman"/>
                <w:sz w:val="20"/>
                <w:szCs w:val="20"/>
              </w:rPr>
              <w:t>Policy/case studies</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58D4243A" w14:textId="654CAE3A" w:rsidR="54C8A32B" w:rsidRDefault="54C8A32B" w:rsidP="54C8A32B">
            <w:r w:rsidRPr="54C8A32B">
              <w:rPr>
                <w:rFonts w:ascii="Times New Roman" w:eastAsia="Times New Roman" w:hAnsi="Times New Roman" w:cs="Times New Roman"/>
                <w:sz w:val="20"/>
                <w:szCs w:val="20"/>
              </w:rPr>
              <w:t>Financial and operational implications vary; clear business case and phasing mitigate risk.</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2152F8EB" w14:textId="4A294957" w:rsidR="54C8A32B" w:rsidRDefault="54C8A32B" w:rsidP="54C8A32B">
            <w:r w:rsidRPr="54C8A32B">
              <w:rPr>
                <w:rFonts w:ascii="Times New Roman" w:eastAsia="Times New Roman" w:hAnsi="Times New Roman" w:cs="Times New Roman"/>
                <w:sz w:val="20"/>
                <w:szCs w:val="20"/>
              </w:rPr>
              <w:t>Guides financial and rollout KPIs and prompts TCO and phasing checks for Medicus.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3CDE16F5" w14:textId="093254E3" w:rsidR="54C8A32B" w:rsidRDefault="54C8A32B" w:rsidP="54C8A32B">
            <w:r w:rsidRPr="54C8A32B">
              <w:rPr>
                <w:rFonts w:ascii="Times New Roman" w:eastAsia="Times New Roman" w:hAnsi="Times New Roman" w:cs="Times New Roman"/>
                <w:sz w:val="20"/>
                <w:szCs w:val="20"/>
              </w:rPr>
              <w:t>Medium (case studies; pragmatic but not generalisable)</w:t>
            </w:r>
          </w:p>
        </w:tc>
      </w:tr>
      <w:tr w:rsidR="54C8A32B" w14:paraId="73F79531"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31AA458A" w14:textId="409CCE9B" w:rsidR="54C8A32B" w:rsidRDefault="54C8A32B" w:rsidP="54C8A32B">
            <w:r w:rsidRPr="54C8A32B">
              <w:rPr>
                <w:rFonts w:ascii="Times New Roman" w:eastAsia="Times New Roman" w:hAnsi="Times New Roman" w:cs="Times New Roman"/>
                <w:sz w:val="20"/>
                <w:szCs w:val="20"/>
              </w:rPr>
              <w:t>NHS Confederation (2024) How ICSs are using digital innovation – four case studies.</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2AB33D04" w14:textId="758F059D" w:rsidR="54C8A32B" w:rsidRDefault="54C8A32B" w:rsidP="54C8A32B">
            <w:r w:rsidRPr="54C8A32B">
              <w:rPr>
                <w:rFonts w:ascii="Times New Roman" w:eastAsia="Times New Roman" w:hAnsi="Times New Roman" w:cs="Times New Roman"/>
                <w:sz w:val="20"/>
                <w:szCs w:val="20"/>
              </w:rPr>
              <w:t>Policy case studies</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5F0BF323" w14:textId="065B19FB" w:rsidR="54C8A32B" w:rsidRDefault="54C8A32B" w:rsidP="54C8A32B">
            <w:r w:rsidRPr="54C8A32B">
              <w:rPr>
                <w:rFonts w:ascii="Times New Roman" w:eastAsia="Times New Roman" w:hAnsi="Times New Roman" w:cs="Times New Roman"/>
                <w:sz w:val="20"/>
                <w:szCs w:val="20"/>
              </w:rPr>
              <w:t>Local digital innovation succeeds when interoperability, leadership and inclusion are prioritised.</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032187ED" w14:textId="4F39B105" w:rsidR="54C8A32B" w:rsidRDefault="54C8A32B" w:rsidP="54C8A32B">
            <w:r w:rsidRPr="54C8A32B">
              <w:rPr>
                <w:rFonts w:ascii="Times New Roman" w:eastAsia="Times New Roman" w:hAnsi="Times New Roman" w:cs="Times New Roman"/>
                <w:sz w:val="20"/>
                <w:szCs w:val="20"/>
              </w:rPr>
              <w:t>Informs local system engagement and interoperability expectations for Medicus deployments.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7F8403CF" w14:textId="5E35CC3C" w:rsidR="54C8A32B" w:rsidRDefault="54C8A32B" w:rsidP="54C8A32B">
            <w:r w:rsidRPr="54C8A32B">
              <w:rPr>
                <w:rFonts w:ascii="Times New Roman" w:eastAsia="Times New Roman" w:hAnsi="Times New Roman" w:cs="Times New Roman"/>
                <w:sz w:val="20"/>
                <w:szCs w:val="20"/>
              </w:rPr>
              <w:t>Medium (practical case examples; context dependent)</w:t>
            </w:r>
          </w:p>
        </w:tc>
      </w:tr>
      <w:tr w:rsidR="54C8A32B" w14:paraId="5CD132B5"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307B692B" w14:textId="4DCC9EC3" w:rsidR="54C8A32B" w:rsidRDefault="54C8A32B" w:rsidP="54C8A32B">
            <w:r w:rsidRPr="54C8A32B">
              <w:rPr>
                <w:rFonts w:ascii="Times New Roman" w:eastAsia="Times New Roman" w:hAnsi="Times New Roman" w:cs="Times New Roman"/>
                <w:sz w:val="20"/>
                <w:szCs w:val="20"/>
              </w:rPr>
              <w:t>Ratwani, R. M., et al. (2017) Mind the gap: usability and safety challenges during EHR implementation.</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6D6A061B" w14:textId="1D568A49" w:rsidR="54C8A32B" w:rsidRDefault="54C8A32B" w:rsidP="54C8A32B">
            <w:r w:rsidRPr="54C8A32B">
              <w:rPr>
                <w:rFonts w:ascii="Times New Roman" w:eastAsia="Times New Roman" w:hAnsi="Times New Roman" w:cs="Times New Roman"/>
                <w:sz w:val="20"/>
                <w:szCs w:val="20"/>
              </w:rPr>
              <w:t>Systematic review</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5912C251" w14:textId="41CA6A09" w:rsidR="54C8A32B" w:rsidRDefault="54C8A32B" w:rsidP="54C8A32B">
            <w:r w:rsidRPr="54C8A32B">
              <w:rPr>
                <w:rFonts w:ascii="Times New Roman" w:eastAsia="Times New Roman" w:hAnsi="Times New Roman" w:cs="Times New Roman"/>
                <w:sz w:val="20"/>
                <w:szCs w:val="20"/>
              </w:rPr>
              <w:t>Usability problems during rollouts create safety risks and workflow disruption without mitigation.</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68650EC4" w14:textId="2FA406F7" w:rsidR="54C8A32B" w:rsidRDefault="54C8A32B" w:rsidP="54C8A32B">
            <w:r w:rsidRPr="54C8A32B">
              <w:rPr>
                <w:rFonts w:ascii="Times New Roman" w:eastAsia="Times New Roman" w:hAnsi="Times New Roman" w:cs="Times New Roman"/>
                <w:sz w:val="20"/>
                <w:szCs w:val="20"/>
              </w:rPr>
              <w:t>Supports need to assess Medicus usability, safety incidents and mitigation plans.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5F0113A4" w14:textId="4F9CA664" w:rsidR="54C8A32B" w:rsidRDefault="54C8A32B" w:rsidP="54C8A32B">
            <w:r w:rsidRPr="54C8A32B">
              <w:rPr>
                <w:rFonts w:ascii="Times New Roman" w:eastAsia="Times New Roman" w:hAnsi="Times New Roman" w:cs="Times New Roman"/>
                <w:sz w:val="20"/>
                <w:szCs w:val="20"/>
              </w:rPr>
              <w:t>High (systematic synthesis of safety/usability evidence)</w:t>
            </w:r>
          </w:p>
        </w:tc>
      </w:tr>
      <w:tr w:rsidR="54C8A32B" w14:paraId="71A662BD"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7D2DF603" w14:textId="0B8FB6EF" w:rsidR="54C8A32B" w:rsidRDefault="54C8A32B" w:rsidP="54C8A32B">
            <w:r w:rsidRPr="54C8A32B">
              <w:rPr>
                <w:rFonts w:ascii="Times New Roman" w:eastAsia="Times New Roman" w:hAnsi="Times New Roman" w:cs="Times New Roman"/>
                <w:sz w:val="20"/>
                <w:szCs w:val="20"/>
              </w:rPr>
              <w:t>Greenhalgh, T., et al. (2020) Beyond adoption: evaluating scale-up and sustainability of health technologies.</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1EE89696" w14:textId="1E92285B" w:rsidR="54C8A32B" w:rsidRDefault="54C8A32B" w:rsidP="54C8A32B">
            <w:r w:rsidRPr="54C8A32B">
              <w:rPr>
                <w:rFonts w:ascii="Times New Roman" w:eastAsia="Times New Roman" w:hAnsi="Times New Roman" w:cs="Times New Roman"/>
                <w:sz w:val="20"/>
                <w:szCs w:val="20"/>
              </w:rPr>
              <w:t>Systematic review / framework</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01217075" w14:textId="5A5A1492" w:rsidR="54C8A32B" w:rsidRDefault="54C8A32B" w:rsidP="54C8A32B">
            <w:r w:rsidRPr="54C8A32B">
              <w:rPr>
                <w:rFonts w:ascii="Times New Roman" w:eastAsia="Times New Roman" w:hAnsi="Times New Roman" w:cs="Times New Roman"/>
                <w:sz w:val="20"/>
                <w:szCs w:val="20"/>
              </w:rPr>
              <w:t>Scale and sustainability depend on context, configuration, continuous learning and governance.</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32BE1DEC" w14:textId="23443679" w:rsidR="54C8A32B" w:rsidRDefault="54C8A32B" w:rsidP="54C8A32B">
            <w:r w:rsidRPr="54C8A32B">
              <w:rPr>
                <w:rFonts w:ascii="Times New Roman" w:eastAsia="Times New Roman" w:hAnsi="Times New Roman" w:cs="Times New Roman"/>
                <w:sz w:val="20"/>
                <w:szCs w:val="20"/>
              </w:rPr>
              <w:t>Offers evaluation framework and sustainability metrics to apply to Medicus.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753691F8" w14:textId="69CA2DAC" w:rsidR="54C8A32B" w:rsidRDefault="54C8A32B" w:rsidP="54C8A32B">
            <w:r w:rsidRPr="54C8A32B">
              <w:rPr>
                <w:rFonts w:ascii="Times New Roman" w:eastAsia="Times New Roman" w:hAnsi="Times New Roman" w:cs="Times New Roman"/>
                <w:sz w:val="20"/>
                <w:szCs w:val="20"/>
              </w:rPr>
              <w:t>High (robust framework widely used in implementation research)</w:t>
            </w:r>
          </w:p>
        </w:tc>
      </w:tr>
      <w:tr w:rsidR="54C8A32B" w14:paraId="74AD57B3"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03FFD7E2" w14:textId="79D49E7D" w:rsidR="54C8A32B" w:rsidRDefault="54C8A32B" w:rsidP="54C8A32B">
            <w:r w:rsidRPr="54C8A32B">
              <w:rPr>
                <w:rFonts w:ascii="Times New Roman" w:eastAsia="Times New Roman" w:hAnsi="Times New Roman" w:cs="Times New Roman"/>
                <w:sz w:val="20"/>
                <w:szCs w:val="20"/>
              </w:rPr>
              <w:t>Payne, T. H., et al. (2021) Clinical decision support and medication safety: a review of the evidence.</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27917FCB" w14:textId="7B9C3D5D" w:rsidR="54C8A32B" w:rsidRDefault="54C8A32B" w:rsidP="54C8A32B">
            <w:r w:rsidRPr="54C8A32B">
              <w:rPr>
                <w:rFonts w:ascii="Times New Roman" w:eastAsia="Times New Roman" w:hAnsi="Times New Roman" w:cs="Times New Roman"/>
                <w:sz w:val="20"/>
                <w:szCs w:val="20"/>
              </w:rPr>
              <w:t>Systematic review</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05B6ED9B" w14:textId="18ECEB54" w:rsidR="54C8A32B" w:rsidRDefault="54C8A32B" w:rsidP="54C8A32B">
            <w:r w:rsidRPr="54C8A32B">
              <w:rPr>
                <w:rFonts w:ascii="Times New Roman" w:eastAsia="Times New Roman" w:hAnsi="Times New Roman" w:cs="Times New Roman"/>
                <w:sz w:val="20"/>
                <w:szCs w:val="20"/>
              </w:rPr>
              <w:t>CDS can reduce prescribing errors but is sensitive to alert design, tuning and clinician engagement.</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4FF530BA" w14:textId="0C0D5AC5" w:rsidR="54C8A32B" w:rsidRDefault="54C8A32B" w:rsidP="54C8A32B">
            <w:r w:rsidRPr="54C8A32B">
              <w:rPr>
                <w:rFonts w:ascii="Times New Roman" w:eastAsia="Times New Roman" w:hAnsi="Times New Roman" w:cs="Times New Roman"/>
                <w:sz w:val="20"/>
                <w:szCs w:val="20"/>
              </w:rPr>
              <w:t>Directly relevant to Medicus’s FDB Multilex CDS; informs measures of alert specificity and override rates.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4E4640EF" w14:textId="3672CCD4" w:rsidR="54C8A32B" w:rsidRDefault="54C8A32B" w:rsidP="54C8A32B">
            <w:r w:rsidRPr="54C8A32B">
              <w:rPr>
                <w:rFonts w:ascii="Times New Roman" w:eastAsia="Times New Roman" w:hAnsi="Times New Roman" w:cs="Times New Roman"/>
                <w:sz w:val="20"/>
                <w:szCs w:val="20"/>
              </w:rPr>
              <w:t>High (focused synthesis on CDS effectiveness and harms)</w:t>
            </w:r>
          </w:p>
        </w:tc>
      </w:tr>
      <w:tr w:rsidR="54C8A32B" w14:paraId="25743B41"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1493CB22" w14:textId="0BBD5273" w:rsidR="54C8A32B" w:rsidRDefault="54C8A32B" w:rsidP="54C8A32B">
            <w:r w:rsidRPr="54C8A32B">
              <w:rPr>
                <w:rFonts w:ascii="Times New Roman" w:eastAsia="Times New Roman" w:hAnsi="Times New Roman" w:cs="Times New Roman"/>
                <w:sz w:val="20"/>
                <w:szCs w:val="20"/>
              </w:rPr>
              <w:lastRenderedPageBreak/>
              <w:t>Finnegan, H. &amp; Mountford, N. (2025) 25 years of EHR implementation processes: scoping review.</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68C78061" w14:textId="69DF6B6C" w:rsidR="54C8A32B" w:rsidRDefault="54C8A32B" w:rsidP="54C8A32B">
            <w:r w:rsidRPr="54C8A32B">
              <w:rPr>
                <w:rFonts w:ascii="Times New Roman" w:eastAsia="Times New Roman" w:hAnsi="Times New Roman" w:cs="Times New Roman"/>
                <w:sz w:val="20"/>
                <w:szCs w:val="20"/>
              </w:rPr>
              <w:t>Systematic review</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32515EEC" w14:textId="43C933A2" w:rsidR="54C8A32B" w:rsidRDefault="54C8A32B" w:rsidP="54C8A32B">
            <w:r w:rsidRPr="54C8A32B">
              <w:rPr>
                <w:rFonts w:ascii="Times New Roman" w:eastAsia="Times New Roman" w:hAnsi="Times New Roman" w:cs="Times New Roman"/>
                <w:sz w:val="20"/>
                <w:szCs w:val="20"/>
              </w:rPr>
              <w:t>Longitudinal lessons show predictable transition phases, common pitfalls and importance of training.</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05FB2B25" w14:textId="5EB722A2" w:rsidR="54C8A32B" w:rsidRDefault="54C8A32B" w:rsidP="54C8A32B">
            <w:r w:rsidRPr="54C8A32B">
              <w:rPr>
                <w:rFonts w:ascii="Times New Roman" w:eastAsia="Times New Roman" w:hAnsi="Times New Roman" w:cs="Times New Roman"/>
                <w:sz w:val="20"/>
                <w:szCs w:val="20"/>
              </w:rPr>
              <w:t>Helps define training hours, phased milestones and expected productivity dips for Medicus rollout.</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69166C2C" w14:textId="673E5240" w:rsidR="54C8A32B" w:rsidRDefault="54C8A32B" w:rsidP="54C8A32B">
            <w:r w:rsidRPr="54C8A32B">
              <w:rPr>
                <w:rFonts w:ascii="Times New Roman" w:eastAsia="Times New Roman" w:hAnsi="Times New Roman" w:cs="Times New Roman"/>
                <w:sz w:val="20"/>
                <w:szCs w:val="20"/>
              </w:rPr>
              <w:t>Medium (scoping review; recent synthesis of implementation lessons)</w:t>
            </w:r>
          </w:p>
        </w:tc>
      </w:tr>
      <w:tr w:rsidR="54C8A32B" w14:paraId="5D61DB19"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3D8DF1C8" w14:textId="5F38BD5C" w:rsidR="54C8A32B" w:rsidRDefault="54C8A32B" w:rsidP="54C8A32B">
            <w:r w:rsidRPr="54C8A32B">
              <w:rPr>
                <w:rFonts w:ascii="Times New Roman" w:eastAsia="Times New Roman" w:hAnsi="Times New Roman" w:cs="Times New Roman"/>
                <w:sz w:val="20"/>
                <w:szCs w:val="20"/>
              </w:rPr>
              <w:t>Burns, M. (2024) Challenges and successes implementing HIVE at Manchester University NHS FT.</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1351F49B" w14:textId="6A5FE0CA" w:rsidR="54C8A32B" w:rsidRDefault="54C8A32B" w:rsidP="54C8A32B">
            <w:r w:rsidRPr="54C8A32B">
              <w:rPr>
                <w:rFonts w:ascii="Times New Roman" w:eastAsia="Times New Roman" w:hAnsi="Times New Roman" w:cs="Times New Roman"/>
                <w:sz w:val="20"/>
                <w:szCs w:val="20"/>
              </w:rPr>
              <w:t>UK empirical paper</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360F25B0" w14:textId="5D13811D" w:rsidR="54C8A32B" w:rsidRDefault="54C8A32B" w:rsidP="54C8A32B">
            <w:r w:rsidRPr="54C8A32B">
              <w:rPr>
                <w:rFonts w:ascii="Times New Roman" w:eastAsia="Times New Roman" w:hAnsi="Times New Roman" w:cs="Times New Roman"/>
                <w:sz w:val="20"/>
                <w:szCs w:val="20"/>
              </w:rPr>
              <w:t>Large integrated EPR rollout required intensive local configuration, staff training and iterative fixes.</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18739D14" w14:textId="55AF743E" w:rsidR="54C8A32B" w:rsidRDefault="54C8A32B" w:rsidP="54C8A32B">
            <w:r w:rsidRPr="54C8A32B">
              <w:rPr>
                <w:rFonts w:ascii="Times New Roman" w:eastAsia="Times New Roman" w:hAnsi="Times New Roman" w:cs="Times New Roman"/>
                <w:sz w:val="20"/>
                <w:szCs w:val="20"/>
              </w:rPr>
              <w:t>Serves as a comparator for scale, configuration workload and support needs for Medicus in early sites.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75B3A2E7" w14:textId="7F8C54CF" w:rsidR="54C8A32B" w:rsidRDefault="54C8A32B" w:rsidP="54C8A32B">
            <w:r w:rsidRPr="54C8A32B">
              <w:rPr>
                <w:rFonts w:ascii="Times New Roman" w:eastAsia="Times New Roman" w:hAnsi="Times New Roman" w:cs="Times New Roman"/>
                <w:sz w:val="20"/>
                <w:szCs w:val="20"/>
              </w:rPr>
              <w:t>Medium (single large-site evaluation; useful but context-specific)</w:t>
            </w:r>
          </w:p>
        </w:tc>
      </w:tr>
      <w:tr w:rsidR="54C8A32B" w14:paraId="002F85F1"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5F067834" w14:textId="7052F91D" w:rsidR="54C8A32B" w:rsidRDefault="54C8A32B" w:rsidP="54C8A32B">
            <w:r w:rsidRPr="54C8A32B">
              <w:rPr>
                <w:rFonts w:ascii="Times New Roman" w:eastAsia="Times New Roman" w:hAnsi="Times New Roman" w:cs="Times New Roman"/>
                <w:sz w:val="20"/>
                <w:szCs w:val="20"/>
              </w:rPr>
              <w:t>Poduval, S., et al. (2025) Do community-based digital health inclusion programmes tackle inequalities?</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56AF5E8C" w14:textId="7AD22668" w:rsidR="54C8A32B" w:rsidRDefault="54C8A32B" w:rsidP="54C8A32B">
            <w:r w:rsidRPr="54C8A32B">
              <w:rPr>
                <w:rFonts w:ascii="Times New Roman" w:eastAsia="Times New Roman" w:hAnsi="Times New Roman" w:cs="Times New Roman"/>
                <w:sz w:val="20"/>
                <w:szCs w:val="20"/>
              </w:rPr>
              <w:t>UK empirical paper</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2D730503" w14:textId="75EB3E75" w:rsidR="54C8A32B" w:rsidRDefault="54C8A32B" w:rsidP="54C8A32B">
            <w:r w:rsidRPr="54C8A32B">
              <w:rPr>
                <w:rFonts w:ascii="Times New Roman" w:eastAsia="Times New Roman" w:hAnsi="Times New Roman" w:cs="Times New Roman"/>
                <w:sz w:val="20"/>
                <w:szCs w:val="20"/>
              </w:rPr>
              <w:t>Targeted inclusion programmes improve access but need sustained funding and mixed channels.</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5F248126" w14:textId="49588E71" w:rsidR="54C8A32B" w:rsidRDefault="54C8A32B" w:rsidP="54C8A32B">
            <w:r w:rsidRPr="54C8A32B">
              <w:rPr>
                <w:rFonts w:ascii="Times New Roman" w:eastAsia="Times New Roman" w:hAnsi="Times New Roman" w:cs="Times New Roman"/>
                <w:sz w:val="20"/>
                <w:szCs w:val="20"/>
              </w:rPr>
              <w:t>Informs assisted-digital and equity mitigation strategies for Medicus patient-facing services.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60D45AF5" w14:textId="29AD3AFD" w:rsidR="54C8A32B" w:rsidRDefault="54C8A32B" w:rsidP="54C8A32B">
            <w:r w:rsidRPr="54C8A32B">
              <w:rPr>
                <w:rFonts w:ascii="Times New Roman" w:eastAsia="Times New Roman" w:hAnsi="Times New Roman" w:cs="Times New Roman"/>
                <w:sz w:val="20"/>
                <w:szCs w:val="20"/>
              </w:rPr>
              <w:t>Medium (empirical, policy-relevant; funding realism limits scale-up)</w:t>
            </w:r>
          </w:p>
        </w:tc>
      </w:tr>
      <w:tr w:rsidR="54C8A32B" w14:paraId="3E5F95C6"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7A26BEEE" w14:textId="32175BCA" w:rsidR="54C8A32B" w:rsidRDefault="54C8A32B" w:rsidP="54C8A32B">
            <w:r w:rsidRPr="54C8A32B">
              <w:rPr>
                <w:rFonts w:ascii="Times New Roman" w:eastAsia="Times New Roman" w:hAnsi="Times New Roman" w:cs="Times New Roman"/>
                <w:sz w:val="20"/>
                <w:szCs w:val="20"/>
              </w:rPr>
              <w:t>Baines, R., et al. (2022) Digital primary care and effects on access and inequalities.</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0051FB31" w14:textId="77419C35" w:rsidR="54C8A32B" w:rsidRDefault="54C8A32B" w:rsidP="54C8A32B">
            <w:r w:rsidRPr="54C8A32B">
              <w:rPr>
                <w:rFonts w:ascii="Times New Roman" w:eastAsia="Times New Roman" w:hAnsi="Times New Roman" w:cs="Times New Roman"/>
                <w:sz w:val="20"/>
                <w:szCs w:val="20"/>
              </w:rPr>
              <w:t>UK empirical paper</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79AE2587" w14:textId="5432DBF2" w:rsidR="54C8A32B" w:rsidRDefault="54C8A32B" w:rsidP="54C8A32B">
            <w:r w:rsidRPr="54C8A32B">
              <w:rPr>
                <w:rFonts w:ascii="Times New Roman" w:eastAsia="Times New Roman" w:hAnsi="Times New Roman" w:cs="Times New Roman"/>
                <w:sz w:val="20"/>
                <w:szCs w:val="20"/>
              </w:rPr>
              <w:t>Digital-first services can improve access for some but widen inequities without safeguards.</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0E3D7D2F" w14:textId="58660CCB" w:rsidR="54C8A32B" w:rsidRDefault="54C8A32B" w:rsidP="54C8A32B">
            <w:r w:rsidRPr="54C8A32B">
              <w:rPr>
                <w:rFonts w:ascii="Times New Roman" w:eastAsia="Times New Roman" w:hAnsi="Times New Roman" w:cs="Times New Roman"/>
                <w:sz w:val="20"/>
                <w:szCs w:val="20"/>
              </w:rPr>
              <w:t>Supports stratified uptake measurement and inclusion requirements for Medicus implementations.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1D6DD57F" w14:textId="67B0E565" w:rsidR="54C8A32B" w:rsidRDefault="54C8A32B" w:rsidP="54C8A32B">
            <w:r w:rsidRPr="54C8A32B">
              <w:rPr>
                <w:rFonts w:ascii="Times New Roman" w:eastAsia="Times New Roman" w:hAnsi="Times New Roman" w:cs="Times New Roman"/>
                <w:sz w:val="20"/>
                <w:szCs w:val="20"/>
              </w:rPr>
              <w:t>Medium (empirical; highlights equity trade-offs)</w:t>
            </w:r>
          </w:p>
        </w:tc>
      </w:tr>
      <w:tr w:rsidR="54C8A32B" w14:paraId="443E21F5"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5F9F93D7" w14:textId="67BAE7A7" w:rsidR="54C8A32B" w:rsidRDefault="54C8A32B" w:rsidP="54C8A32B">
            <w:r w:rsidRPr="54C8A32B">
              <w:rPr>
                <w:rFonts w:ascii="Times New Roman" w:eastAsia="Times New Roman" w:hAnsi="Times New Roman" w:cs="Times New Roman"/>
                <w:sz w:val="20"/>
                <w:szCs w:val="20"/>
              </w:rPr>
              <w:t>Burns, A. (2024) Electronic health record implementations in UK primary care: lessons for training and deployment.</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0A039440" w14:textId="7DAA07DE" w:rsidR="54C8A32B" w:rsidRDefault="54C8A32B" w:rsidP="54C8A32B">
            <w:r w:rsidRPr="54C8A32B">
              <w:rPr>
                <w:rFonts w:ascii="Times New Roman" w:eastAsia="Times New Roman" w:hAnsi="Times New Roman" w:cs="Times New Roman"/>
                <w:sz w:val="20"/>
                <w:szCs w:val="20"/>
              </w:rPr>
              <w:t>UK empirical paper</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459943DE" w14:textId="57E3E507" w:rsidR="54C8A32B" w:rsidRDefault="54C8A32B" w:rsidP="54C8A32B">
            <w:r w:rsidRPr="54C8A32B">
              <w:rPr>
                <w:rFonts w:ascii="Times New Roman" w:eastAsia="Times New Roman" w:hAnsi="Times New Roman" w:cs="Times New Roman"/>
                <w:sz w:val="20"/>
                <w:szCs w:val="20"/>
              </w:rPr>
              <w:t>Protected learning time and super‑user models reduce disruption and improve uptake.</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4EE50734" w14:textId="16C289E5" w:rsidR="54C8A32B" w:rsidRDefault="54C8A32B" w:rsidP="54C8A32B">
            <w:r w:rsidRPr="54C8A32B">
              <w:rPr>
                <w:rFonts w:ascii="Times New Roman" w:eastAsia="Times New Roman" w:hAnsi="Times New Roman" w:cs="Times New Roman"/>
                <w:sz w:val="20"/>
                <w:szCs w:val="20"/>
              </w:rPr>
              <w:t>Guides workforce training model and super‑user metrics to evaluate Medicus adoption.</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4227C559" w14:textId="3B5D17E2" w:rsidR="54C8A32B" w:rsidRDefault="54C8A32B" w:rsidP="54C8A32B">
            <w:r w:rsidRPr="54C8A32B">
              <w:rPr>
                <w:rFonts w:ascii="Times New Roman" w:eastAsia="Times New Roman" w:hAnsi="Times New Roman" w:cs="Times New Roman"/>
                <w:sz w:val="20"/>
                <w:szCs w:val="20"/>
              </w:rPr>
              <w:t>Medium (implementation-focused; practical evidence)</w:t>
            </w:r>
          </w:p>
        </w:tc>
      </w:tr>
      <w:tr w:rsidR="54C8A32B" w14:paraId="3CA7828E"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0AC6359E" w14:textId="1ABB8D26" w:rsidR="54C8A32B" w:rsidRDefault="54C8A32B" w:rsidP="54C8A32B">
            <w:r w:rsidRPr="54C8A32B">
              <w:rPr>
                <w:rFonts w:ascii="Times New Roman" w:eastAsia="Times New Roman" w:hAnsi="Times New Roman" w:cs="Times New Roman"/>
                <w:sz w:val="20"/>
                <w:szCs w:val="20"/>
              </w:rPr>
              <w:t>Information Commissioner’s Office (2025) Data Protection Act 2018 guidance.</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4499C387" w14:textId="4268E7BD" w:rsidR="54C8A32B" w:rsidRDefault="54C8A32B" w:rsidP="54C8A32B">
            <w:r w:rsidRPr="54C8A32B">
              <w:rPr>
                <w:rFonts w:ascii="Times New Roman" w:eastAsia="Times New Roman" w:hAnsi="Times New Roman" w:cs="Times New Roman"/>
                <w:sz w:val="20"/>
                <w:szCs w:val="20"/>
              </w:rPr>
              <w:t>Guidance/regulatory</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19E8863C" w14:textId="07DFDA44" w:rsidR="54C8A32B" w:rsidRDefault="54C8A32B" w:rsidP="54C8A32B">
            <w:r w:rsidRPr="54C8A32B">
              <w:rPr>
                <w:rFonts w:ascii="Times New Roman" w:eastAsia="Times New Roman" w:hAnsi="Times New Roman" w:cs="Times New Roman"/>
                <w:sz w:val="20"/>
                <w:szCs w:val="20"/>
              </w:rPr>
              <w:t>Cloud services must satisfy data protection, contractual controls and transparent processing obligations.</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06A5C41B" w14:textId="37B825C3" w:rsidR="54C8A32B" w:rsidRDefault="54C8A32B" w:rsidP="54C8A32B">
            <w:r w:rsidRPr="54C8A32B">
              <w:rPr>
                <w:rFonts w:ascii="Times New Roman" w:eastAsia="Times New Roman" w:hAnsi="Times New Roman" w:cs="Times New Roman"/>
                <w:sz w:val="20"/>
                <w:szCs w:val="20"/>
              </w:rPr>
              <w:t>Sets minimum contractual and audit evidence to request from Medicus vendor.</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6DCA8313" w14:textId="5C27B1D4" w:rsidR="54C8A32B" w:rsidRDefault="54C8A32B" w:rsidP="54C8A32B">
            <w:r w:rsidRPr="54C8A32B">
              <w:rPr>
                <w:rFonts w:ascii="Times New Roman" w:eastAsia="Times New Roman" w:hAnsi="Times New Roman" w:cs="Times New Roman"/>
                <w:sz w:val="20"/>
                <w:szCs w:val="20"/>
              </w:rPr>
              <w:t>High (regulatory guidance; legally authoritative)</w:t>
            </w:r>
          </w:p>
        </w:tc>
      </w:tr>
      <w:tr w:rsidR="54C8A32B" w14:paraId="262D44BE"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782C88B7" w14:textId="503BFD6A" w:rsidR="54C8A32B" w:rsidRDefault="54C8A32B" w:rsidP="54C8A32B">
            <w:r w:rsidRPr="54C8A32B">
              <w:rPr>
                <w:rFonts w:ascii="Times New Roman" w:eastAsia="Times New Roman" w:hAnsi="Times New Roman" w:cs="Times New Roman"/>
                <w:sz w:val="20"/>
                <w:szCs w:val="20"/>
              </w:rPr>
              <w:t>NHS England (2023) Primary care digital services strategy / Purpose of the GP EHR (2025)</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698797E5" w14:textId="11058E67" w:rsidR="54C8A32B" w:rsidRDefault="54C8A32B" w:rsidP="54C8A32B">
            <w:r w:rsidRPr="54C8A32B">
              <w:rPr>
                <w:rFonts w:ascii="Times New Roman" w:eastAsia="Times New Roman" w:hAnsi="Times New Roman" w:cs="Times New Roman"/>
                <w:sz w:val="20"/>
                <w:szCs w:val="20"/>
              </w:rPr>
              <w:t>Guidance/policy</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0AC30E89" w14:textId="69CD5ED7" w:rsidR="54C8A32B" w:rsidRDefault="54C8A32B" w:rsidP="54C8A32B">
            <w:r w:rsidRPr="54C8A32B">
              <w:rPr>
                <w:rFonts w:ascii="Times New Roman" w:eastAsia="Times New Roman" w:hAnsi="Times New Roman" w:cs="Times New Roman"/>
                <w:sz w:val="20"/>
                <w:szCs w:val="20"/>
              </w:rPr>
              <w:t>National interoperability and assurance expectations require APIs, coded terminologies and testing.</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4A6EFC27" w14:textId="55FEA17C" w:rsidR="54C8A32B" w:rsidRDefault="54C8A32B" w:rsidP="54C8A32B">
            <w:r w:rsidRPr="54C8A32B">
              <w:rPr>
                <w:rFonts w:ascii="Times New Roman" w:eastAsia="Times New Roman" w:hAnsi="Times New Roman" w:cs="Times New Roman"/>
                <w:sz w:val="20"/>
                <w:szCs w:val="20"/>
              </w:rPr>
              <w:t>Frames interoperability tests (EPS, SCR, referrals) and conformance checks for Medicus.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243C4EA8" w14:textId="295C8EBE" w:rsidR="54C8A32B" w:rsidRDefault="54C8A32B" w:rsidP="54C8A32B">
            <w:r w:rsidRPr="54C8A32B">
              <w:rPr>
                <w:rFonts w:ascii="Times New Roman" w:eastAsia="Times New Roman" w:hAnsi="Times New Roman" w:cs="Times New Roman"/>
                <w:sz w:val="20"/>
                <w:szCs w:val="20"/>
              </w:rPr>
              <w:t>High (national policy / technical expectations)</w:t>
            </w:r>
          </w:p>
        </w:tc>
      </w:tr>
      <w:tr w:rsidR="54C8A32B" w14:paraId="62838CF0"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7865AD94" w14:textId="79788D23" w:rsidR="54C8A32B" w:rsidRDefault="54C8A32B" w:rsidP="54C8A32B">
            <w:r w:rsidRPr="54C8A32B">
              <w:rPr>
                <w:rFonts w:ascii="Times New Roman" w:eastAsia="Times New Roman" w:hAnsi="Times New Roman" w:cs="Times New Roman"/>
                <w:sz w:val="20"/>
                <w:szCs w:val="20"/>
              </w:rPr>
              <w:t>Medicus Health (2025) Medicus — product and solutions; Medicus marketing materials (2025).</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7B8CE9A3" w14:textId="3FDB19BC" w:rsidR="54C8A32B" w:rsidRDefault="54C8A32B" w:rsidP="54C8A32B">
            <w:r w:rsidRPr="54C8A32B">
              <w:rPr>
                <w:rFonts w:ascii="Times New Roman" w:eastAsia="Times New Roman" w:hAnsi="Times New Roman" w:cs="Times New Roman"/>
                <w:sz w:val="20"/>
                <w:szCs w:val="20"/>
              </w:rPr>
              <w:t>Vendor/technical spec</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0F80E187" w14:textId="5D75DBFD" w:rsidR="54C8A32B" w:rsidRDefault="54C8A32B" w:rsidP="54C8A32B">
            <w:r w:rsidRPr="54C8A32B">
              <w:rPr>
                <w:rFonts w:ascii="Times New Roman" w:eastAsia="Times New Roman" w:hAnsi="Times New Roman" w:cs="Times New Roman"/>
                <w:sz w:val="20"/>
                <w:szCs w:val="20"/>
              </w:rPr>
              <w:t>Claims cloud‑native architecture, FDB Multilex integration, modular web access and NHS innovation approval.</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50E0D104" w14:textId="424A4231" w:rsidR="54C8A32B" w:rsidRDefault="54C8A32B" w:rsidP="54C8A32B">
            <w:r w:rsidRPr="54C8A32B">
              <w:rPr>
                <w:rFonts w:ascii="Times New Roman" w:eastAsia="Times New Roman" w:hAnsi="Times New Roman" w:cs="Times New Roman"/>
                <w:sz w:val="20"/>
                <w:szCs w:val="20"/>
              </w:rPr>
              <w:t>Primary source of product claims to triangulate with independent evidence, SLAs and audit artefacts.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02472465" w14:textId="520DE934" w:rsidR="54C8A32B" w:rsidRDefault="54C8A32B" w:rsidP="54C8A32B">
            <w:r w:rsidRPr="54C8A32B">
              <w:rPr>
                <w:rFonts w:ascii="Times New Roman" w:eastAsia="Times New Roman" w:hAnsi="Times New Roman" w:cs="Times New Roman"/>
                <w:sz w:val="20"/>
                <w:szCs w:val="20"/>
              </w:rPr>
              <w:t>Low (vendor claim; requires independent verification)</w:t>
            </w:r>
          </w:p>
        </w:tc>
      </w:tr>
      <w:tr w:rsidR="54C8A32B" w14:paraId="5AE0C73C" w14:textId="77777777" w:rsidTr="54C8A32B">
        <w:trPr>
          <w:trHeight w:val="300"/>
        </w:trPr>
        <w:tc>
          <w:tcPr>
            <w:tcW w:w="2241" w:type="dxa"/>
            <w:tcBorders>
              <w:top w:val="single" w:sz="8" w:space="0" w:color="auto"/>
              <w:left w:val="single" w:sz="8" w:space="0" w:color="auto"/>
              <w:bottom w:val="single" w:sz="8" w:space="0" w:color="auto"/>
              <w:right w:val="single" w:sz="8" w:space="0" w:color="auto"/>
            </w:tcBorders>
            <w:tcMar>
              <w:left w:w="108" w:type="dxa"/>
              <w:right w:w="108" w:type="dxa"/>
            </w:tcMar>
          </w:tcPr>
          <w:p w14:paraId="7369A922" w14:textId="3BC60DA2" w:rsidR="54C8A32B" w:rsidRDefault="54C8A32B" w:rsidP="54C8A32B">
            <w:r w:rsidRPr="54C8A32B">
              <w:rPr>
                <w:rFonts w:ascii="Times New Roman" w:eastAsia="Times New Roman" w:hAnsi="Times New Roman" w:cs="Times New Roman"/>
                <w:sz w:val="20"/>
                <w:szCs w:val="20"/>
              </w:rPr>
              <w:t>First Databank (FDB) (2025) New GP solution, Medicus, integrates FDB Multilex.</w:t>
            </w:r>
          </w:p>
        </w:tc>
        <w:tc>
          <w:tcPr>
            <w:tcW w:w="879" w:type="dxa"/>
            <w:tcBorders>
              <w:top w:val="single" w:sz="8" w:space="0" w:color="auto"/>
              <w:left w:val="single" w:sz="8" w:space="0" w:color="auto"/>
              <w:bottom w:val="single" w:sz="8" w:space="0" w:color="auto"/>
              <w:right w:val="single" w:sz="8" w:space="0" w:color="auto"/>
            </w:tcBorders>
            <w:tcMar>
              <w:left w:w="108" w:type="dxa"/>
              <w:right w:w="108" w:type="dxa"/>
            </w:tcMar>
          </w:tcPr>
          <w:p w14:paraId="6FB800E4" w14:textId="0220720B" w:rsidR="54C8A32B" w:rsidRDefault="54C8A32B" w:rsidP="54C8A32B">
            <w:r w:rsidRPr="54C8A32B">
              <w:rPr>
                <w:rFonts w:ascii="Times New Roman" w:eastAsia="Times New Roman" w:hAnsi="Times New Roman" w:cs="Times New Roman"/>
                <w:sz w:val="20"/>
                <w:szCs w:val="20"/>
              </w:rPr>
              <w:t>Vendor technical note</w:t>
            </w:r>
          </w:p>
        </w:tc>
        <w:tc>
          <w:tcPr>
            <w:tcW w:w="2168" w:type="dxa"/>
            <w:tcBorders>
              <w:top w:val="single" w:sz="8" w:space="0" w:color="auto"/>
              <w:left w:val="single" w:sz="8" w:space="0" w:color="auto"/>
              <w:bottom w:val="single" w:sz="8" w:space="0" w:color="auto"/>
              <w:right w:val="single" w:sz="8" w:space="0" w:color="auto"/>
            </w:tcBorders>
            <w:tcMar>
              <w:left w:w="108" w:type="dxa"/>
              <w:right w:w="108" w:type="dxa"/>
            </w:tcMar>
          </w:tcPr>
          <w:p w14:paraId="52D63341" w14:textId="71A518FD" w:rsidR="54C8A32B" w:rsidRDefault="54C8A32B" w:rsidP="54C8A32B">
            <w:r w:rsidRPr="54C8A32B">
              <w:rPr>
                <w:rFonts w:ascii="Times New Roman" w:eastAsia="Times New Roman" w:hAnsi="Times New Roman" w:cs="Times New Roman"/>
                <w:sz w:val="20"/>
                <w:szCs w:val="20"/>
              </w:rPr>
              <w:t>Confirms integration with FDB Multilex for context‑aware prescribing decision support.</w:t>
            </w:r>
          </w:p>
        </w:tc>
        <w:tc>
          <w:tcPr>
            <w:tcW w:w="2099" w:type="dxa"/>
            <w:tcBorders>
              <w:top w:val="single" w:sz="8" w:space="0" w:color="auto"/>
              <w:left w:val="single" w:sz="8" w:space="0" w:color="auto"/>
              <w:bottom w:val="single" w:sz="8" w:space="0" w:color="auto"/>
              <w:right w:val="single" w:sz="8" w:space="0" w:color="auto"/>
            </w:tcBorders>
            <w:tcMar>
              <w:left w:w="108" w:type="dxa"/>
              <w:right w:w="108" w:type="dxa"/>
            </w:tcMar>
          </w:tcPr>
          <w:p w14:paraId="19D21FA3" w14:textId="1F7920B6" w:rsidR="54C8A32B" w:rsidRDefault="54C8A32B" w:rsidP="54C8A32B">
            <w:r w:rsidRPr="54C8A32B">
              <w:rPr>
                <w:rFonts w:ascii="Times New Roman" w:eastAsia="Times New Roman" w:hAnsi="Times New Roman" w:cs="Times New Roman"/>
                <w:sz w:val="20"/>
                <w:szCs w:val="20"/>
              </w:rPr>
              <w:t>Validates CDS provenance and helps specify CDS performance and tuning checks for Medicus.</w:t>
            </w:r>
          </w:p>
        </w:tc>
        <w:tc>
          <w:tcPr>
            <w:tcW w:w="1627" w:type="dxa"/>
            <w:tcBorders>
              <w:top w:val="single" w:sz="8" w:space="0" w:color="auto"/>
              <w:left w:val="single" w:sz="8" w:space="0" w:color="auto"/>
              <w:bottom w:val="single" w:sz="8" w:space="0" w:color="auto"/>
              <w:right w:val="single" w:sz="8" w:space="0" w:color="auto"/>
            </w:tcBorders>
            <w:tcMar>
              <w:left w:w="108" w:type="dxa"/>
              <w:right w:w="108" w:type="dxa"/>
            </w:tcMar>
          </w:tcPr>
          <w:p w14:paraId="6F7AD712" w14:textId="5A8EF3BE" w:rsidR="54C8A32B" w:rsidRDefault="54C8A32B" w:rsidP="54C8A32B">
            <w:r w:rsidRPr="54C8A32B">
              <w:rPr>
                <w:rFonts w:ascii="Times New Roman" w:eastAsia="Times New Roman" w:hAnsi="Times New Roman" w:cs="Times New Roman"/>
                <w:sz w:val="20"/>
                <w:szCs w:val="20"/>
              </w:rPr>
              <w:t>Low (vendor technical note; factual on integration but needs performance data)</w:t>
            </w:r>
          </w:p>
        </w:tc>
      </w:tr>
    </w:tbl>
    <w:p w14:paraId="0F072D32" w14:textId="1D1B04A3" w:rsidR="009844C9" w:rsidRDefault="7D82842A" w:rsidP="54C8A32B">
      <w:pPr>
        <w:spacing w:line="276" w:lineRule="auto"/>
      </w:pPr>
      <w:r w:rsidRPr="54C8A32B">
        <w:rPr>
          <w:rFonts w:ascii="Times New Roman" w:eastAsia="Times New Roman" w:hAnsi="Times New Roman" w:cs="Times New Roman"/>
          <w:sz w:val="16"/>
          <w:szCs w:val="16"/>
        </w:rPr>
        <w:t xml:space="preserve"> </w:t>
      </w:r>
    </w:p>
    <w:p w14:paraId="6BF4647F" w14:textId="2E771499" w:rsidR="009844C9" w:rsidRDefault="7D82842A" w:rsidP="54C8A32B">
      <w:pPr>
        <w:spacing w:line="276" w:lineRule="auto"/>
      </w:pPr>
      <w:r w:rsidRPr="54C8A32B">
        <w:rPr>
          <w:rFonts w:ascii="Times New Roman" w:eastAsia="Times New Roman" w:hAnsi="Times New Roman" w:cs="Times New Roman"/>
        </w:rPr>
        <w:t>Search strategy (concise and reproducible)</w:t>
      </w:r>
    </w:p>
    <w:tbl>
      <w:tblPr>
        <w:tblStyle w:val="TableGrid"/>
        <w:tblW w:w="0" w:type="auto"/>
        <w:tblLayout w:type="fixed"/>
        <w:tblLook w:val="04A0" w:firstRow="1" w:lastRow="0" w:firstColumn="1" w:lastColumn="0" w:noHBand="0" w:noVBand="1"/>
      </w:tblPr>
      <w:tblGrid>
        <w:gridCol w:w="9350"/>
      </w:tblGrid>
      <w:tr w:rsidR="54C8A32B" w14:paraId="0396A7A6" w14:textId="77777777" w:rsidTr="54C8A32B">
        <w:trPr>
          <w:trHeight w:val="300"/>
        </w:trPr>
        <w:tc>
          <w:tcPr>
            <w:tcW w:w="9350" w:type="dxa"/>
            <w:tcBorders>
              <w:top w:val="single" w:sz="8" w:space="0" w:color="auto"/>
              <w:left w:val="single" w:sz="8" w:space="0" w:color="auto"/>
              <w:bottom w:val="single" w:sz="8" w:space="0" w:color="auto"/>
              <w:right w:val="single" w:sz="8" w:space="0" w:color="auto"/>
            </w:tcBorders>
            <w:tcMar>
              <w:left w:w="108" w:type="dxa"/>
              <w:right w:w="108" w:type="dxa"/>
            </w:tcMar>
          </w:tcPr>
          <w:p w14:paraId="6C54F1E8" w14:textId="17387B78" w:rsidR="54C8A32B" w:rsidRDefault="54C8A32B" w:rsidP="54C8A32B">
            <w:r w:rsidRPr="54C8A32B">
              <w:rPr>
                <w:rFonts w:ascii="Times New Roman" w:eastAsia="Times New Roman" w:hAnsi="Times New Roman" w:cs="Times New Roman"/>
                <w:sz w:val="16"/>
                <w:szCs w:val="16"/>
              </w:rPr>
              <w:t>Sources to search: PubMed/MEDLINE, CINAHL, JMIR, BJGP, Health Foundation and NHS England publications, ICO guidance, Digital Health, vendor sites (Medicus Health, First Databank).</w:t>
            </w:r>
          </w:p>
        </w:tc>
      </w:tr>
      <w:tr w:rsidR="54C8A32B" w14:paraId="7C8FC5A2" w14:textId="77777777" w:rsidTr="54C8A32B">
        <w:trPr>
          <w:trHeight w:val="300"/>
        </w:trPr>
        <w:tc>
          <w:tcPr>
            <w:tcW w:w="9350" w:type="dxa"/>
            <w:tcBorders>
              <w:top w:val="single" w:sz="8" w:space="0" w:color="auto"/>
              <w:left w:val="single" w:sz="8" w:space="0" w:color="auto"/>
              <w:bottom w:val="single" w:sz="8" w:space="0" w:color="auto"/>
              <w:right w:val="single" w:sz="8" w:space="0" w:color="auto"/>
            </w:tcBorders>
            <w:tcMar>
              <w:left w:w="108" w:type="dxa"/>
              <w:right w:w="108" w:type="dxa"/>
            </w:tcMar>
          </w:tcPr>
          <w:p w14:paraId="02797773" w14:textId="5EB24BF9" w:rsidR="54C8A32B" w:rsidRDefault="54C8A32B" w:rsidP="54C8A32B">
            <w:r w:rsidRPr="54C8A32B">
              <w:rPr>
                <w:rFonts w:ascii="Times New Roman" w:eastAsia="Times New Roman" w:hAnsi="Times New Roman" w:cs="Times New Roman"/>
                <w:sz w:val="16"/>
                <w:szCs w:val="16"/>
              </w:rPr>
              <w:t>Example search string (use in each database with appropriate syntax):</w:t>
            </w:r>
          </w:p>
        </w:tc>
      </w:tr>
      <w:tr w:rsidR="54C8A32B" w14:paraId="058095F6" w14:textId="77777777" w:rsidTr="54C8A32B">
        <w:trPr>
          <w:trHeight w:val="300"/>
        </w:trPr>
        <w:tc>
          <w:tcPr>
            <w:tcW w:w="9350" w:type="dxa"/>
            <w:tcBorders>
              <w:top w:val="single" w:sz="8" w:space="0" w:color="auto"/>
              <w:left w:val="single" w:sz="8" w:space="0" w:color="auto"/>
              <w:bottom w:val="single" w:sz="8" w:space="0" w:color="auto"/>
              <w:right w:val="single" w:sz="8" w:space="0" w:color="auto"/>
            </w:tcBorders>
            <w:tcMar>
              <w:left w:w="108" w:type="dxa"/>
              <w:right w:w="108" w:type="dxa"/>
            </w:tcMar>
          </w:tcPr>
          <w:p w14:paraId="3B62A247" w14:textId="4E0BCC5A" w:rsidR="54C8A32B" w:rsidRDefault="54C8A32B" w:rsidP="54C8A32B">
            <w:r w:rsidRPr="54C8A32B">
              <w:rPr>
                <w:rFonts w:ascii="Times New Roman" w:eastAsia="Times New Roman" w:hAnsi="Times New Roman" w:cs="Times New Roman"/>
                <w:sz w:val="16"/>
                <w:szCs w:val="16"/>
              </w:rPr>
              <w:t>"EPR" OR "EHR" OR "electronic patient record" OR "electronic health record" AND "primary care" OR "general practice" AND "workforce" OR "training" OR "safety" OR "clinical decision support" AND 2019:2025.</w:t>
            </w:r>
          </w:p>
        </w:tc>
      </w:tr>
      <w:tr w:rsidR="54C8A32B" w14:paraId="6EEE622F" w14:textId="77777777" w:rsidTr="54C8A32B">
        <w:trPr>
          <w:trHeight w:val="300"/>
        </w:trPr>
        <w:tc>
          <w:tcPr>
            <w:tcW w:w="9350" w:type="dxa"/>
            <w:tcBorders>
              <w:top w:val="single" w:sz="8" w:space="0" w:color="auto"/>
              <w:left w:val="single" w:sz="8" w:space="0" w:color="auto"/>
              <w:bottom w:val="single" w:sz="8" w:space="0" w:color="auto"/>
              <w:right w:val="single" w:sz="8" w:space="0" w:color="auto"/>
            </w:tcBorders>
            <w:tcMar>
              <w:left w:w="108" w:type="dxa"/>
              <w:right w:w="108" w:type="dxa"/>
            </w:tcMar>
          </w:tcPr>
          <w:p w14:paraId="34298E0E" w14:textId="71D50898" w:rsidR="54C8A32B" w:rsidRDefault="54C8A32B" w:rsidP="54C8A32B">
            <w:r w:rsidRPr="54C8A32B">
              <w:rPr>
                <w:rFonts w:ascii="Times New Roman" w:eastAsia="Times New Roman" w:hAnsi="Times New Roman" w:cs="Times New Roman"/>
                <w:sz w:val="16"/>
                <w:szCs w:val="16"/>
              </w:rPr>
              <w:lastRenderedPageBreak/>
              <w:t>Filters: English; 2019–2025; article types: systematic review, implementation study, policy report.</w:t>
            </w:r>
          </w:p>
        </w:tc>
      </w:tr>
    </w:tbl>
    <w:p w14:paraId="3412ED65" w14:textId="2A8C6E90" w:rsidR="009844C9" w:rsidRDefault="7D82842A" w:rsidP="54C8A32B">
      <w:pPr>
        <w:spacing w:line="276" w:lineRule="auto"/>
      </w:pPr>
      <w:r w:rsidRPr="54C8A32B">
        <w:rPr>
          <w:rFonts w:ascii="Times New Roman" w:eastAsia="Times New Roman" w:hAnsi="Times New Roman" w:cs="Times New Roman"/>
        </w:rPr>
        <w:t xml:space="preserve"> </w:t>
      </w:r>
    </w:p>
    <w:p w14:paraId="28469C40" w14:textId="3450F3D9" w:rsidR="009844C9" w:rsidRDefault="009844C9" w:rsidP="54C8A32B">
      <w:pPr>
        <w:spacing w:line="276" w:lineRule="auto"/>
      </w:pPr>
    </w:p>
    <w:p w14:paraId="29509176" w14:textId="3EA06199" w:rsidR="009844C9" w:rsidRDefault="009844C9" w:rsidP="54C8A32B">
      <w:pPr>
        <w:spacing w:after="0" w:line="360" w:lineRule="auto"/>
      </w:pPr>
    </w:p>
    <w:p w14:paraId="788D6DBC" w14:textId="4C0465EF" w:rsidR="009844C9" w:rsidRDefault="009844C9"/>
    <w:sectPr w:rsidR="009844C9">
      <w:footerReference w:type="even"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6ABA3" w14:textId="77777777" w:rsidR="001E3FB3" w:rsidRDefault="001E3FB3" w:rsidP="0008553D">
      <w:pPr>
        <w:spacing w:after="0" w:line="240" w:lineRule="auto"/>
      </w:pPr>
      <w:r>
        <w:separator/>
      </w:r>
    </w:p>
  </w:endnote>
  <w:endnote w:type="continuationSeparator" w:id="0">
    <w:p w14:paraId="75C28AEB" w14:textId="77777777" w:rsidR="001E3FB3" w:rsidRDefault="001E3FB3" w:rsidP="00085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7752559"/>
      <w:docPartObj>
        <w:docPartGallery w:val="Page Numbers (Bottom of Page)"/>
        <w:docPartUnique/>
      </w:docPartObj>
    </w:sdtPr>
    <w:sdtEndPr>
      <w:rPr>
        <w:rStyle w:val="PageNumber"/>
      </w:rPr>
    </w:sdtEndPr>
    <w:sdtContent>
      <w:p w14:paraId="1971901A" w14:textId="2AB9DAF5" w:rsidR="008C0816" w:rsidRDefault="008C0816" w:rsidP="00B44BE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8AAC1F" w14:textId="77777777" w:rsidR="008C0816" w:rsidRDefault="008C0816" w:rsidP="008C081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9772243"/>
      <w:docPartObj>
        <w:docPartGallery w:val="Page Numbers (Bottom of Page)"/>
        <w:docPartUnique/>
      </w:docPartObj>
    </w:sdtPr>
    <w:sdtEndPr>
      <w:rPr>
        <w:rStyle w:val="PageNumber"/>
      </w:rPr>
    </w:sdtEndPr>
    <w:sdtContent>
      <w:p w14:paraId="2003808D" w14:textId="09F454FD" w:rsidR="008C0816" w:rsidRDefault="008C0816" w:rsidP="00B44BE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21A7204" w14:textId="77777777" w:rsidR="008C0816" w:rsidRDefault="008C0816" w:rsidP="008C081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F9E3D" w14:textId="77777777" w:rsidR="001E3FB3" w:rsidRDefault="001E3FB3" w:rsidP="0008553D">
      <w:pPr>
        <w:spacing w:after="0" w:line="240" w:lineRule="auto"/>
      </w:pPr>
      <w:r>
        <w:separator/>
      </w:r>
    </w:p>
  </w:footnote>
  <w:footnote w:type="continuationSeparator" w:id="0">
    <w:p w14:paraId="4BAD152D" w14:textId="77777777" w:rsidR="001E3FB3" w:rsidRDefault="001E3FB3" w:rsidP="000855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DC40A"/>
    <w:multiLevelType w:val="hybridMultilevel"/>
    <w:tmpl w:val="80105BAC"/>
    <w:lvl w:ilvl="0" w:tplc="2E2C9FDA">
      <w:start w:val="1"/>
      <w:numFmt w:val="decimal"/>
      <w:lvlText w:val="%1."/>
      <w:lvlJc w:val="left"/>
      <w:pPr>
        <w:ind w:left="720" w:hanging="360"/>
      </w:pPr>
    </w:lvl>
    <w:lvl w:ilvl="1" w:tplc="17E65188">
      <w:start w:val="1"/>
      <w:numFmt w:val="lowerLetter"/>
      <w:lvlText w:val="%2."/>
      <w:lvlJc w:val="left"/>
      <w:pPr>
        <w:ind w:left="1440" w:hanging="360"/>
      </w:pPr>
    </w:lvl>
    <w:lvl w:ilvl="2" w:tplc="37F86E0E">
      <w:start w:val="1"/>
      <w:numFmt w:val="lowerRoman"/>
      <w:lvlText w:val="%3."/>
      <w:lvlJc w:val="right"/>
      <w:pPr>
        <w:ind w:left="2160" w:hanging="180"/>
      </w:pPr>
    </w:lvl>
    <w:lvl w:ilvl="3" w:tplc="964EA670">
      <w:start w:val="1"/>
      <w:numFmt w:val="decimal"/>
      <w:lvlText w:val="%4."/>
      <w:lvlJc w:val="left"/>
      <w:pPr>
        <w:ind w:left="2880" w:hanging="360"/>
      </w:pPr>
    </w:lvl>
    <w:lvl w:ilvl="4" w:tplc="8F6E0748">
      <w:start w:val="1"/>
      <w:numFmt w:val="lowerLetter"/>
      <w:lvlText w:val="%5."/>
      <w:lvlJc w:val="left"/>
      <w:pPr>
        <w:ind w:left="3600" w:hanging="360"/>
      </w:pPr>
    </w:lvl>
    <w:lvl w:ilvl="5" w:tplc="97C8691C">
      <w:start w:val="1"/>
      <w:numFmt w:val="lowerRoman"/>
      <w:lvlText w:val="%6."/>
      <w:lvlJc w:val="right"/>
      <w:pPr>
        <w:ind w:left="4320" w:hanging="180"/>
      </w:pPr>
    </w:lvl>
    <w:lvl w:ilvl="6" w:tplc="D5F22DE2">
      <w:start w:val="1"/>
      <w:numFmt w:val="decimal"/>
      <w:lvlText w:val="%7."/>
      <w:lvlJc w:val="left"/>
      <w:pPr>
        <w:ind w:left="5040" w:hanging="360"/>
      </w:pPr>
    </w:lvl>
    <w:lvl w:ilvl="7" w:tplc="96A6C816">
      <w:start w:val="1"/>
      <w:numFmt w:val="lowerLetter"/>
      <w:lvlText w:val="%8."/>
      <w:lvlJc w:val="left"/>
      <w:pPr>
        <w:ind w:left="5760" w:hanging="360"/>
      </w:pPr>
    </w:lvl>
    <w:lvl w:ilvl="8" w:tplc="A09E7F34">
      <w:start w:val="1"/>
      <w:numFmt w:val="lowerRoman"/>
      <w:lvlText w:val="%9."/>
      <w:lvlJc w:val="right"/>
      <w:pPr>
        <w:ind w:left="6480" w:hanging="180"/>
      </w:pPr>
    </w:lvl>
  </w:abstractNum>
  <w:abstractNum w:abstractNumId="1" w15:restartNumberingAfterBreak="0">
    <w:nsid w:val="078D5E98"/>
    <w:multiLevelType w:val="hybridMultilevel"/>
    <w:tmpl w:val="7D2CA35A"/>
    <w:lvl w:ilvl="0" w:tplc="2E1080A2">
      <w:start w:val="1"/>
      <w:numFmt w:val="decimal"/>
      <w:lvlText w:val="%1."/>
      <w:lvlJc w:val="left"/>
      <w:pPr>
        <w:ind w:left="720" w:hanging="360"/>
      </w:pPr>
    </w:lvl>
    <w:lvl w:ilvl="1" w:tplc="61D0ECAC">
      <w:start w:val="1"/>
      <w:numFmt w:val="lowerLetter"/>
      <w:lvlText w:val="%2."/>
      <w:lvlJc w:val="left"/>
      <w:pPr>
        <w:ind w:left="1440" w:hanging="360"/>
      </w:pPr>
    </w:lvl>
    <w:lvl w:ilvl="2" w:tplc="2C4E2174">
      <w:start w:val="1"/>
      <w:numFmt w:val="lowerRoman"/>
      <w:lvlText w:val="%3."/>
      <w:lvlJc w:val="right"/>
      <w:pPr>
        <w:ind w:left="2160" w:hanging="180"/>
      </w:pPr>
    </w:lvl>
    <w:lvl w:ilvl="3" w:tplc="CF00B0DA">
      <w:start w:val="1"/>
      <w:numFmt w:val="decimal"/>
      <w:lvlText w:val="%4."/>
      <w:lvlJc w:val="left"/>
      <w:pPr>
        <w:ind w:left="2880" w:hanging="360"/>
      </w:pPr>
    </w:lvl>
    <w:lvl w:ilvl="4" w:tplc="11C4052C">
      <w:start w:val="1"/>
      <w:numFmt w:val="lowerLetter"/>
      <w:lvlText w:val="%5."/>
      <w:lvlJc w:val="left"/>
      <w:pPr>
        <w:ind w:left="3600" w:hanging="360"/>
      </w:pPr>
    </w:lvl>
    <w:lvl w:ilvl="5" w:tplc="A47A47F0">
      <w:start w:val="1"/>
      <w:numFmt w:val="lowerRoman"/>
      <w:lvlText w:val="%6."/>
      <w:lvlJc w:val="right"/>
      <w:pPr>
        <w:ind w:left="4320" w:hanging="180"/>
      </w:pPr>
    </w:lvl>
    <w:lvl w:ilvl="6" w:tplc="4C76A6A8">
      <w:start w:val="1"/>
      <w:numFmt w:val="decimal"/>
      <w:lvlText w:val="%7."/>
      <w:lvlJc w:val="left"/>
      <w:pPr>
        <w:ind w:left="5040" w:hanging="360"/>
      </w:pPr>
    </w:lvl>
    <w:lvl w:ilvl="7" w:tplc="F58471FA">
      <w:start w:val="1"/>
      <w:numFmt w:val="lowerLetter"/>
      <w:lvlText w:val="%8."/>
      <w:lvlJc w:val="left"/>
      <w:pPr>
        <w:ind w:left="5760" w:hanging="360"/>
      </w:pPr>
    </w:lvl>
    <w:lvl w:ilvl="8" w:tplc="116CC28A">
      <w:start w:val="1"/>
      <w:numFmt w:val="lowerRoman"/>
      <w:lvlText w:val="%9."/>
      <w:lvlJc w:val="right"/>
      <w:pPr>
        <w:ind w:left="6480" w:hanging="180"/>
      </w:pPr>
    </w:lvl>
  </w:abstractNum>
  <w:abstractNum w:abstractNumId="2" w15:restartNumberingAfterBreak="0">
    <w:nsid w:val="098E46D2"/>
    <w:multiLevelType w:val="multilevel"/>
    <w:tmpl w:val="4AF2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553A69"/>
    <w:multiLevelType w:val="hybridMultilevel"/>
    <w:tmpl w:val="5E880956"/>
    <w:lvl w:ilvl="0" w:tplc="4348AE5A">
      <w:start w:val="2"/>
      <w:numFmt w:val="decimal"/>
      <w:lvlText w:val="%1."/>
      <w:lvlJc w:val="left"/>
      <w:pPr>
        <w:ind w:left="720" w:hanging="360"/>
      </w:pPr>
      <w:rPr>
        <w:rFonts w:eastAsia="Arial" w:hint="default"/>
        <w:sz w:val="1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B43DD4"/>
    <w:multiLevelType w:val="multilevel"/>
    <w:tmpl w:val="3EEC3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0A2CF4"/>
    <w:multiLevelType w:val="hybridMultilevel"/>
    <w:tmpl w:val="490826E0"/>
    <w:lvl w:ilvl="0" w:tplc="DCE6E550">
      <w:start w:val="1"/>
      <w:numFmt w:val="decimal"/>
      <w:lvlText w:val="%1."/>
      <w:lvlJc w:val="left"/>
      <w:pPr>
        <w:ind w:left="720" w:hanging="360"/>
      </w:pPr>
    </w:lvl>
    <w:lvl w:ilvl="1" w:tplc="AFDAF0B6">
      <w:start w:val="1"/>
      <w:numFmt w:val="lowerLetter"/>
      <w:lvlText w:val="%2."/>
      <w:lvlJc w:val="left"/>
      <w:pPr>
        <w:ind w:left="1440" w:hanging="360"/>
      </w:pPr>
    </w:lvl>
    <w:lvl w:ilvl="2" w:tplc="0246902C">
      <w:start w:val="1"/>
      <w:numFmt w:val="decimal"/>
      <w:lvlText w:val="•"/>
      <w:lvlJc w:val="left"/>
      <w:pPr>
        <w:ind w:left="2160" w:hanging="180"/>
      </w:pPr>
    </w:lvl>
    <w:lvl w:ilvl="3" w:tplc="60D6783E">
      <w:start w:val="1"/>
      <w:numFmt w:val="decimal"/>
      <w:lvlText w:val="%4."/>
      <w:lvlJc w:val="left"/>
      <w:pPr>
        <w:ind w:left="2880" w:hanging="360"/>
      </w:pPr>
    </w:lvl>
    <w:lvl w:ilvl="4" w:tplc="445AB64C">
      <w:start w:val="1"/>
      <w:numFmt w:val="lowerLetter"/>
      <w:lvlText w:val="%5."/>
      <w:lvlJc w:val="left"/>
      <w:pPr>
        <w:ind w:left="3600" w:hanging="360"/>
      </w:pPr>
    </w:lvl>
    <w:lvl w:ilvl="5" w:tplc="1222E9BE">
      <w:start w:val="1"/>
      <w:numFmt w:val="lowerRoman"/>
      <w:lvlText w:val="%6."/>
      <w:lvlJc w:val="right"/>
      <w:pPr>
        <w:ind w:left="4320" w:hanging="180"/>
      </w:pPr>
    </w:lvl>
    <w:lvl w:ilvl="6" w:tplc="A4FCF0B2">
      <w:start w:val="1"/>
      <w:numFmt w:val="decimal"/>
      <w:lvlText w:val="%7."/>
      <w:lvlJc w:val="left"/>
      <w:pPr>
        <w:ind w:left="5040" w:hanging="360"/>
      </w:pPr>
    </w:lvl>
    <w:lvl w:ilvl="7" w:tplc="8C3C8008">
      <w:start w:val="1"/>
      <w:numFmt w:val="lowerLetter"/>
      <w:lvlText w:val="%8."/>
      <w:lvlJc w:val="left"/>
      <w:pPr>
        <w:ind w:left="5760" w:hanging="360"/>
      </w:pPr>
    </w:lvl>
    <w:lvl w:ilvl="8" w:tplc="1DF48648">
      <w:start w:val="1"/>
      <w:numFmt w:val="lowerRoman"/>
      <w:lvlText w:val="%9."/>
      <w:lvlJc w:val="right"/>
      <w:pPr>
        <w:ind w:left="6480" w:hanging="180"/>
      </w:pPr>
    </w:lvl>
  </w:abstractNum>
  <w:abstractNum w:abstractNumId="6" w15:restartNumberingAfterBreak="0">
    <w:nsid w:val="25BC54C7"/>
    <w:multiLevelType w:val="hybridMultilevel"/>
    <w:tmpl w:val="7A244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F54C5D"/>
    <w:multiLevelType w:val="hybridMultilevel"/>
    <w:tmpl w:val="712ACED0"/>
    <w:lvl w:ilvl="0" w:tplc="EA623340">
      <w:start w:val="1"/>
      <w:numFmt w:val="decimal"/>
      <w:lvlText w:val="%1."/>
      <w:lvlJc w:val="left"/>
      <w:pPr>
        <w:ind w:left="420" w:hanging="360"/>
      </w:pPr>
      <w:rPr>
        <w:rFonts w:eastAsia="Arial"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2B3E8D64"/>
    <w:multiLevelType w:val="hybridMultilevel"/>
    <w:tmpl w:val="FAE6E478"/>
    <w:lvl w:ilvl="0" w:tplc="7F0453A6">
      <w:start w:val="1"/>
      <w:numFmt w:val="bullet"/>
      <w:lvlText w:val="·"/>
      <w:lvlJc w:val="left"/>
      <w:pPr>
        <w:ind w:left="720" w:hanging="360"/>
      </w:pPr>
      <w:rPr>
        <w:rFonts w:ascii="Symbol" w:hAnsi="Symbol" w:hint="default"/>
      </w:rPr>
    </w:lvl>
    <w:lvl w:ilvl="1" w:tplc="861A2DDE">
      <w:start w:val="1"/>
      <w:numFmt w:val="bullet"/>
      <w:lvlText w:val="o"/>
      <w:lvlJc w:val="left"/>
      <w:pPr>
        <w:ind w:left="1440" w:hanging="360"/>
      </w:pPr>
      <w:rPr>
        <w:rFonts w:ascii="Courier New" w:hAnsi="Courier New" w:hint="default"/>
      </w:rPr>
    </w:lvl>
    <w:lvl w:ilvl="2" w:tplc="015EE8FA">
      <w:start w:val="1"/>
      <w:numFmt w:val="bullet"/>
      <w:lvlText w:val=""/>
      <w:lvlJc w:val="left"/>
      <w:pPr>
        <w:ind w:left="2160" w:hanging="360"/>
      </w:pPr>
      <w:rPr>
        <w:rFonts w:ascii="Wingdings" w:hAnsi="Wingdings" w:hint="default"/>
      </w:rPr>
    </w:lvl>
    <w:lvl w:ilvl="3" w:tplc="65829324">
      <w:start w:val="1"/>
      <w:numFmt w:val="bullet"/>
      <w:lvlText w:val=""/>
      <w:lvlJc w:val="left"/>
      <w:pPr>
        <w:ind w:left="2880" w:hanging="360"/>
      </w:pPr>
      <w:rPr>
        <w:rFonts w:ascii="Symbol" w:hAnsi="Symbol" w:hint="default"/>
      </w:rPr>
    </w:lvl>
    <w:lvl w:ilvl="4" w:tplc="6AFE2736">
      <w:start w:val="1"/>
      <w:numFmt w:val="bullet"/>
      <w:lvlText w:val="o"/>
      <w:lvlJc w:val="left"/>
      <w:pPr>
        <w:ind w:left="3600" w:hanging="360"/>
      </w:pPr>
      <w:rPr>
        <w:rFonts w:ascii="Courier New" w:hAnsi="Courier New" w:hint="default"/>
      </w:rPr>
    </w:lvl>
    <w:lvl w:ilvl="5" w:tplc="D108CA88">
      <w:start w:val="1"/>
      <w:numFmt w:val="bullet"/>
      <w:lvlText w:val=""/>
      <w:lvlJc w:val="left"/>
      <w:pPr>
        <w:ind w:left="4320" w:hanging="360"/>
      </w:pPr>
      <w:rPr>
        <w:rFonts w:ascii="Wingdings" w:hAnsi="Wingdings" w:hint="default"/>
      </w:rPr>
    </w:lvl>
    <w:lvl w:ilvl="6" w:tplc="7D1C18CA">
      <w:start w:val="1"/>
      <w:numFmt w:val="bullet"/>
      <w:lvlText w:val=""/>
      <w:lvlJc w:val="left"/>
      <w:pPr>
        <w:ind w:left="5040" w:hanging="360"/>
      </w:pPr>
      <w:rPr>
        <w:rFonts w:ascii="Symbol" w:hAnsi="Symbol" w:hint="default"/>
      </w:rPr>
    </w:lvl>
    <w:lvl w:ilvl="7" w:tplc="6C184A5C">
      <w:start w:val="1"/>
      <w:numFmt w:val="bullet"/>
      <w:lvlText w:val="o"/>
      <w:lvlJc w:val="left"/>
      <w:pPr>
        <w:ind w:left="5760" w:hanging="360"/>
      </w:pPr>
      <w:rPr>
        <w:rFonts w:ascii="Courier New" w:hAnsi="Courier New" w:hint="default"/>
      </w:rPr>
    </w:lvl>
    <w:lvl w:ilvl="8" w:tplc="079C33E4">
      <w:start w:val="1"/>
      <w:numFmt w:val="bullet"/>
      <w:lvlText w:val=""/>
      <w:lvlJc w:val="left"/>
      <w:pPr>
        <w:ind w:left="6480" w:hanging="360"/>
      </w:pPr>
      <w:rPr>
        <w:rFonts w:ascii="Wingdings" w:hAnsi="Wingdings" w:hint="default"/>
      </w:rPr>
    </w:lvl>
  </w:abstractNum>
  <w:abstractNum w:abstractNumId="9" w15:restartNumberingAfterBreak="0">
    <w:nsid w:val="2BBB52C9"/>
    <w:multiLevelType w:val="multilevel"/>
    <w:tmpl w:val="72D4C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3E7A8E"/>
    <w:multiLevelType w:val="multilevel"/>
    <w:tmpl w:val="E36E7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E039F8"/>
    <w:multiLevelType w:val="hybridMultilevel"/>
    <w:tmpl w:val="18AA710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2753854"/>
    <w:multiLevelType w:val="multilevel"/>
    <w:tmpl w:val="6B2E2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20650E"/>
    <w:multiLevelType w:val="multilevel"/>
    <w:tmpl w:val="3CD63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9040E2"/>
    <w:multiLevelType w:val="multilevel"/>
    <w:tmpl w:val="B15A3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191ABE"/>
    <w:multiLevelType w:val="multilevel"/>
    <w:tmpl w:val="4EFC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114C11"/>
    <w:multiLevelType w:val="hybridMultilevel"/>
    <w:tmpl w:val="CA6E69EA"/>
    <w:lvl w:ilvl="0" w:tplc="FFFFFFFF">
      <w:start w:val="1"/>
      <w:numFmt w:val="decimal"/>
      <w:lvlText w:val="%1."/>
      <w:lvlJc w:val="left"/>
      <w:pPr>
        <w:ind w:left="720" w:hanging="360"/>
      </w:pPr>
      <w:rPr>
        <w:rFonts w:hint="default"/>
      </w:rPr>
    </w:lvl>
    <w:lvl w:ilvl="1" w:tplc="AB7C3E82">
      <w:start w:val="1"/>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967E96"/>
    <w:multiLevelType w:val="hybridMultilevel"/>
    <w:tmpl w:val="1740535E"/>
    <w:lvl w:ilvl="0" w:tplc="5BCAF1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A1495C"/>
    <w:multiLevelType w:val="multilevel"/>
    <w:tmpl w:val="05CCC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61918BA"/>
    <w:multiLevelType w:val="multilevel"/>
    <w:tmpl w:val="819A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C16D616"/>
    <w:multiLevelType w:val="hybridMultilevel"/>
    <w:tmpl w:val="22EC25E8"/>
    <w:lvl w:ilvl="0" w:tplc="88C678B2">
      <w:start w:val="1"/>
      <w:numFmt w:val="bullet"/>
      <w:lvlText w:val=""/>
      <w:lvlJc w:val="left"/>
      <w:pPr>
        <w:ind w:left="720" w:hanging="360"/>
      </w:pPr>
      <w:rPr>
        <w:rFonts w:ascii="Symbol" w:hAnsi="Symbol" w:hint="default"/>
      </w:rPr>
    </w:lvl>
    <w:lvl w:ilvl="1" w:tplc="AA3AF9BA">
      <w:start w:val="1"/>
      <w:numFmt w:val="bullet"/>
      <w:lvlText w:val="o"/>
      <w:lvlJc w:val="left"/>
      <w:pPr>
        <w:ind w:left="1440" w:hanging="360"/>
      </w:pPr>
      <w:rPr>
        <w:rFonts w:ascii="Courier New" w:hAnsi="Courier New" w:hint="default"/>
      </w:rPr>
    </w:lvl>
    <w:lvl w:ilvl="2" w:tplc="F4782BA0">
      <w:start w:val="1"/>
      <w:numFmt w:val="bullet"/>
      <w:lvlText w:val=""/>
      <w:lvlJc w:val="left"/>
      <w:pPr>
        <w:ind w:left="2160" w:hanging="360"/>
      </w:pPr>
      <w:rPr>
        <w:rFonts w:ascii="Wingdings" w:hAnsi="Wingdings" w:hint="default"/>
      </w:rPr>
    </w:lvl>
    <w:lvl w:ilvl="3" w:tplc="1C0EC12C">
      <w:start w:val="1"/>
      <w:numFmt w:val="bullet"/>
      <w:lvlText w:val=""/>
      <w:lvlJc w:val="left"/>
      <w:pPr>
        <w:ind w:left="2880" w:hanging="360"/>
      </w:pPr>
      <w:rPr>
        <w:rFonts w:ascii="Symbol" w:hAnsi="Symbol" w:hint="default"/>
      </w:rPr>
    </w:lvl>
    <w:lvl w:ilvl="4" w:tplc="52B0BB6A">
      <w:start w:val="1"/>
      <w:numFmt w:val="bullet"/>
      <w:lvlText w:val="o"/>
      <w:lvlJc w:val="left"/>
      <w:pPr>
        <w:ind w:left="3600" w:hanging="360"/>
      </w:pPr>
      <w:rPr>
        <w:rFonts w:ascii="Courier New" w:hAnsi="Courier New" w:hint="default"/>
      </w:rPr>
    </w:lvl>
    <w:lvl w:ilvl="5" w:tplc="84EA6F1C">
      <w:start w:val="1"/>
      <w:numFmt w:val="bullet"/>
      <w:lvlText w:val=""/>
      <w:lvlJc w:val="left"/>
      <w:pPr>
        <w:ind w:left="4320" w:hanging="360"/>
      </w:pPr>
      <w:rPr>
        <w:rFonts w:ascii="Wingdings" w:hAnsi="Wingdings" w:hint="default"/>
      </w:rPr>
    </w:lvl>
    <w:lvl w:ilvl="6" w:tplc="DE1C7FC2">
      <w:start w:val="1"/>
      <w:numFmt w:val="bullet"/>
      <w:lvlText w:val=""/>
      <w:lvlJc w:val="left"/>
      <w:pPr>
        <w:ind w:left="5040" w:hanging="360"/>
      </w:pPr>
      <w:rPr>
        <w:rFonts w:ascii="Symbol" w:hAnsi="Symbol" w:hint="default"/>
      </w:rPr>
    </w:lvl>
    <w:lvl w:ilvl="7" w:tplc="AC8AAA94">
      <w:start w:val="1"/>
      <w:numFmt w:val="bullet"/>
      <w:lvlText w:val="o"/>
      <w:lvlJc w:val="left"/>
      <w:pPr>
        <w:ind w:left="5760" w:hanging="360"/>
      </w:pPr>
      <w:rPr>
        <w:rFonts w:ascii="Courier New" w:hAnsi="Courier New" w:hint="default"/>
      </w:rPr>
    </w:lvl>
    <w:lvl w:ilvl="8" w:tplc="626C3D08">
      <w:start w:val="1"/>
      <w:numFmt w:val="bullet"/>
      <w:lvlText w:val=""/>
      <w:lvlJc w:val="left"/>
      <w:pPr>
        <w:ind w:left="6480" w:hanging="360"/>
      </w:pPr>
      <w:rPr>
        <w:rFonts w:ascii="Wingdings" w:hAnsi="Wingdings" w:hint="default"/>
      </w:rPr>
    </w:lvl>
  </w:abstractNum>
  <w:abstractNum w:abstractNumId="21" w15:restartNumberingAfterBreak="0">
    <w:nsid w:val="6CEE3D5B"/>
    <w:multiLevelType w:val="multilevel"/>
    <w:tmpl w:val="311A0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2718E5"/>
    <w:multiLevelType w:val="hybridMultilevel"/>
    <w:tmpl w:val="1E68D3D6"/>
    <w:lvl w:ilvl="0" w:tplc="66FE7954">
      <w:start w:val="2"/>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5449E7"/>
    <w:multiLevelType w:val="multilevel"/>
    <w:tmpl w:val="BE30E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7095F73"/>
    <w:multiLevelType w:val="multilevel"/>
    <w:tmpl w:val="0E3E9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EE028D0"/>
    <w:multiLevelType w:val="multilevel"/>
    <w:tmpl w:val="C0BEE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EB1368"/>
    <w:multiLevelType w:val="hybridMultilevel"/>
    <w:tmpl w:val="59B8534E"/>
    <w:lvl w:ilvl="0" w:tplc="58E4AEA6">
      <w:start w:val="1"/>
      <w:numFmt w:val="bullet"/>
      <w:lvlText w:val=""/>
      <w:lvlJc w:val="left"/>
      <w:pPr>
        <w:ind w:left="720" w:hanging="360"/>
      </w:pPr>
      <w:rPr>
        <w:rFonts w:ascii="Symbol" w:hAnsi="Symbol" w:hint="default"/>
      </w:rPr>
    </w:lvl>
    <w:lvl w:ilvl="1" w:tplc="B78E4BAE">
      <w:start w:val="1"/>
      <w:numFmt w:val="bullet"/>
      <w:lvlText w:val="o"/>
      <w:lvlJc w:val="left"/>
      <w:pPr>
        <w:ind w:left="1440" w:hanging="360"/>
      </w:pPr>
      <w:rPr>
        <w:rFonts w:ascii="Courier New" w:hAnsi="Courier New" w:hint="default"/>
      </w:rPr>
    </w:lvl>
    <w:lvl w:ilvl="2" w:tplc="C924F8E0">
      <w:start w:val="1"/>
      <w:numFmt w:val="bullet"/>
      <w:lvlText w:val=""/>
      <w:lvlJc w:val="left"/>
      <w:pPr>
        <w:ind w:left="2160" w:hanging="360"/>
      </w:pPr>
      <w:rPr>
        <w:rFonts w:ascii="Wingdings" w:hAnsi="Wingdings" w:hint="default"/>
      </w:rPr>
    </w:lvl>
    <w:lvl w:ilvl="3" w:tplc="3A449352">
      <w:start w:val="1"/>
      <w:numFmt w:val="bullet"/>
      <w:lvlText w:val=""/>
      <w:lvlJc w:val="left"/>
      <w:pPr>
        <w:ind w:left="2880" w:hanging="360"/>
      </w:pPr>
      <w:rPr>
        <w:rFonts w:ascii="Symbol" w:hAnsi="Symbol" w:hint="default"/>
      </w:rPr>
    </w:lvl>
    <w:lvl w:ilvl="4" w:tplc="2820B912">
      <w:start w:val="1"/>
      <w:numFmt w:val="bullet"/>
      <w:lvlText w:val="o"/>
      <w:lvlJc w:val="left"/>
      <w:pPr>
        <w:ind w:left="3600" w:hanging="360"/>
      </w:pPr>
      <w:rPr>
        <w:rFonts w:ascii="Courier New" w:hAnsi="Courier New" w:hint="default"/>
      </w:rPr>
    </w:lvl>
    <w:lvl w:ilvl="5" w:tplc="994A58DE">
      <w:start w:val="1"/>
      <w:numFmt w:val="bullet"/>
      <w:lvlText w:val=""/>
      <w:lvlJc w:val="left"/>
      <w:pPr>
        <w:ind w:left="4320" w:hanging="360"/>
      </w:pPr>
      <w:rPr>
        <w:rFonts w:ascii="Wingdings" w:hAnsi="Wingdings" w:hint="default"/>
      </w:rPr>
    </w:lvl>
    <w:lvl w:ilvl="6" w:tplc="9800D224">
      <w:start w:val="1"/>
      <w:numFmt w:val="bullet"/>
      <w:lvlText w:val=""/>
      <w:lvlJc w:val="left"/>
      <w:pPr>
        <w:ind w:left="5040" w:hanging="360"/>
      </w:pPr>
      <w:rPr>
        <w:rFonts w:ascii="Symbol" w:hAnsi="Symbol" w:hint="default"/>
      </w:rPr>
    </w:lvl>
    <w:lvl w:ilvl="7" w:tplc="53C87C7A">
      <w:start w:val="1"/>
      <w:numFmt w:val="bullet"/>
      <w:lvlText w:val="o"/>
      <w:lvlJc w:val="left"/>
      <w:pPr>
        <w:ind w:left="5760" w:hanging="360"/>
      </w:pPr>
      <w:rPr>
        <w:rFonts w:ascii="Courier New" w:hAnsi="Courier New" w:hint="default"/>
      </w:rPr>
    </w:lvl>
    <w:lvl w:ilvl="8" w:tplc="E690A5AE">
      <w:start w:val="1"/>
      <w:numFmt w:val="bullet"/>
      <w:lvlText w:val=""/>
      <w:lvlJc w:val="left"/>
      <w:pPr>
        <w:ind w:left="6480" w:hanging="360"/>
      </w:pPr>
      <w:rPr>
        <w:rFonts w:ascii="Wingdings" w:hAnsi="Wingdings" w:hint="default"/>
      </w:rPr>
    </w:lvl>
  </w:abstractNum>
  <w:num w:numId="1" w16cid:durableId="245769205">
    <w:abstractNumId w:val="5"/>
  </w:num>
  <w:num w:numId="2" w16cid:durableId="364715467">
    <w:abstractNumId w:val="26"/>
  </w:num>
  <w:num w:numId="3" w16cid:durableId="854996060">
    <w:abstractNumId w:val="20"/>
  </w:num>
  <w:num w:numId="4" w16cid:durableId="611937225">
    <w:abstractNumId w:val="0"/>
  </w:num>
  <w:num w:numId="5" w16cid:durableId="1126041962">
    <w:abstractNumId w:val="1"/>
  </w:num>
  <w:num w:numId="6" w16cid:durableId="1946494903">
    <w:abstractNumId w:val="8"/>
  </w:num>
  <w:num w:numId="7" w16cid:durableId="1271817712">
    <w:abstractNumId w:val="18"/>
  </w:num>
  <w:num w:numId="8" w16cid:durableId="522668183">
    <w:abstractNumId w:val="23"/>
  </w:num>
  <w:num w:numId="9" w16cid:durableId="524903077">
    <w:abstractNumId w:val="2"/>
  </w:num>
  <w:num w:numId="10" w16cid:durableId="1347554750">
    <w:abstractNumId w:val="9"/>
  </w:num>
  <w:num w:numId="11" w16cid:durableId="213006721">
    <w:abstractNumId w:val="24"/>
  </w:num>
  <w:num w:numId="12" w16cid:durableId="1079207283">
    <w:abstractNumId w:val="13"/>
  </w:num>
  <w:num w:numId="13" w16cid:durableId="762989435">
    <w:abstractNumId w:val="10"/>
  </w:num>
  <w:num w:numId="14" w16cid:durableId="121929511">
    <w:abstractNumId w:val="19"/>
  </w:num>
  <w:num w:numId="15" w16cid:durableId="1693190529">
    <w:abstractNumId w:val="11"/>
  </w:num>
  <w:num w:numId="16" w16cid:durableId="1763573970">
    <w:abstractNumId w:val="3"/>
  </w:num>
  <w:num w:numId="17" w16cid:durableId="1812166550">
    <w:abstractNumId w:val="7"/>
  </w:num>
  <w:num w:numId="18" w16cid:durableId="1294603646">
    <w:abstractNumId w:val="22"/>
  </w:num>
  <w:num w:numId="19" w16cid:durableId="1715543664">
    <w:abstractNumId w:val="16"/>
  </w:num>
  <w:num w:numId="20" w16cid:durableId="627590943">
    <w:abstractNumId w:val="6"/>
  </w:num>
  <w:num w:numId="21" w16cid:durableId="772096557">
    <w:abstractNumId w:val="4"/>
  </w:num>
  <w:num w:numId="22" w16cid:durableId="796072266">
    <w:abstractNumId w:val="25"/>
  </w:num>
  <w:num w:numId="23" w16cid:durableId="1722899803">
    <w:abstractNumId w:val="21"/>
  </w:num>
  <w:num w:numId="24" w16cid:durableId="122895638">
    <w:abstractNumId w:val="14"/>
  </w:num>
  <w:num w:numId="25" w16cid:durableId="1929579207">
    <w:abstractNumId w:val="17"/>
  </w:num>
  <w:num w:numId="26" w16cid:durableId="1382482056">
    <w:abstractNumId w:val="15"/>
  </w:num>
  <w:num w:numId="27" w16cid:durableId="7453473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4C9"/>
    <w:rsid w:val="000018E6"/>
    <w:rsid w:val="00002CDD"/>
    <w:rsid w:val="00002D78"/>
    <w:rsid w:val="000031FD"/>
    <w:rsid w:val="00003209"/>
    <w:rsid w:val="0000351A"/>
    <w:rsid w:val="00017C28"/>
    <w:rsid w:val="00022AC0"/>
    <w:rsid w:val="00026D90"/>
    <w:rsid w:val="00034289"/>
    <w:rsid w:val="00043747"/>
    <w:rsid w:val="000557DE"/>
    <w:rsid w:val="00060498"/>
    <w:rsid w:val="000609C0"/>
    <w:rsid w:val="00074AD0"/>
    <w:rsid w:val="0008553D"/>
    <w:rsid w:val="000A1F83"/>
    <w:rsid w:val="000A3529"/>
    <w:rsid w:val="000B5103"/>
    <w:rsid w:val="000B5F84"/>
    <w:rsid w:val="000B799C"/>
    <w:rsid w:val="000B7D8A"/>
    <w:rsid w:val="000D3221"/>
    <w:rsid w:val="000D4C59"/>
    <w:rsid w:val="000D691D"/>
    <w:rsid w:val="001031F4"/>
    <w:rsid w:val="0011768C"/>
    <w:rsid w:val="0012038F"/>
    <w:rsid w:val="001275A9"/>
    <w:rsid w:val="001561C7"/>
    <w:rsid w:val="00163F1D"/>
    <w:rsid w:val="00164981"/>
    <w:rsid w:val="00164E98"/>
    <w:rsid w:val="00196EF1"/>
    <w:rsid w:val="001E3FB3"/>
    <w:rsid w:val="002624D1"/>
    <w:rsid w:val="00270B47"/>
    <w:rsid w:val="0027732F"/>
    <w:rsid w:val="00284DC4"/>
    <w:rsid w:val="00285B58"/>
    <w:rsid w:val="00290936"/>
    <w:rsid w:val="00291592"/>
    <w:rsid w:val="00296FF7"/>
    <w:rsid w:val="002972B0"/>
    <w:rsid w:val="002A3234"/>
    <w:rsid w:val="002A3C8B"/>
    <w:rsid w:val="002B2C6E"/>
    <w:rsid w:val="002B4DC4"/>
    <w:rsid w:val="002F2808"/>
    <w:rsid w:val="0030720D"/>
    <w:rsid w:val="003135BF"/>
    <w:rsid w:val="00322053"/>
    <w:rsid w:val="00324E75"/>
    <w:rsid w:val="00333169"/>
    <w:rsid w:val="0035039E"/>
    <w:rsid w:val="00362AFB"/>
    <w:rsid w:val="0037028C"/>
    <w:rsid w:val="0039576D"/>
    <w:rsid w:val="003A246D"/>
    <w:rsid w:val="003A2F22"/>
    <w:rsid w:val="003A3B5B"/>
    <w:rsid w:val="003A4D0B"/>
    <w:rsid w:val="003B7325"/>
    <w:rsid w:val="003D7EA6"/>
    <w:rsid w:val="003E3B5A"/>
    <w:rsid w:val="003F0751"/>
    <w:rsid w:val="003F2B88"/>
    <w:rsid w:val="004017EB"/>
    <w:rsid w:val="00417E6D"/>
    <w:rsid w:val="004300DC"/>
    <w:rsid w:val="00431464"/>
    <w:rsid w:val="00443E50"/>
    <w:rsid w:val="004664D7"/>
    <w:rsid w:val="0047531E"/>
    <w:rsid w:val="004B09AD"/>
    <w:rsid w:val="004C5C84"/>
    <w:rsid w:val="004D0192"/>
    <w:rsid w:val="004D133F"/>
    <w:rsid w:val="004D2DA5"/>
    <w:rsid w:val="004E2DFF"/>
    <w:rsid w:val="004F26B6"/>
    <w:rsid w:val="0050319A"/>
    <w:rsid w:val="00507455"/>
    <w:rsid w:val="00515E44"/>
    <w:rsid w:val="0054049A"/>
    <w:rsid w:val="00540F73"/>
    <w:rsid w:val="005413C0"/>
    <w:rsid w:val="005611F1"/>
    <w:rsid w:val="00591705"/>
    <w:rsid w:val="00595C56"/>
    <w:rsid w:val="005A38BE"/>
    <w:rsid w:val="005A3B9F"/>
    <w:rsid w:val="005A3F59"/>
    <w:rsid w:val="005D195E"/>
    <w:rsid w:val="005D7073"/>
    <w:rsid w:val="005E7E90"/>
    <w:rsid w:val="0061396B"/>
    <w:rsid w:val="006153DC"/>
    <w:rsid w:val="0062015F"/>
    <w:rsid w:val="00657D8D"/>
    <w:rsid w:val="0066416C"/>
    <w:rsid w:val="006D459A"/>
    <w:rsid w:val="006E2879"/>
    <w:rsid w:val="006F68CA"/>
    <w:rsid w:val="00704546"/>
    <w:rsid w:val="0071198C"/>
    <w:rsid w:val="00735D56"/>
    <w:rsid w:val="007412D5"/>
    <w:rsid w:val="00745025"/>
    <w:rsid w:val="00764066"/>
    <w:rsid w:val="0076572C"/>
    <w:rsid w:val="00767A46"/>
    <w:rsid w:val="00780AA2"/>
    <w:rsid w:val="00786987"/>
    <w:rsid w:val="00796B87"/>
    <w:rsid w:val="007A3BF3"/>
    <w:rsid w:val="007A7516"/>
    <w:rsid w:val="007B478A"/>
    <w:rsid w:val="007B7B34"/>
    <w:rsid w:val="007C12AA"/>
    <w:rsid w:val="007C4AAD"/>
    <w:rsid w:val="007C6CF5"/>
    <w:rsid w:val="007C7B9A"/>
    <w:rsid w:val="007F3D26"/>
    <w:rsid w:val="008175D5"/>
    <w:rsid w:val="00821644"/>
    <w:rsid w:val="00822A4E"/>
    <w:rsid w:val="0083351F"/>
    <w:rsid w:val="00844AE3"/>
    <w:rsid w:val="00846FFF"/>
    <w:rsid w:val="00847010"/>
    <w:rsid w:val="00847E31"/>
    <w:rsid w:val="008601FE"/>
    <w:rsid w:val="00865393"/>
    <w:rsid w:val="008706A8"/>
    <w:rsid w:val="0087221C"/>
    <w:rsid w:val="008737B9"/>
    <w:rsid w:val="00873AD4"/>
    <w:rsid w:val="008857C1"/>
    <w:rsid w:val="008913CF"/>
    <w:rsid w:val="00894C91"/>
    <w:rsid w:val="008A02FA"/>
    <w:rsid w:val="008A595F"/>
    <w:rsid w:val="008B152D"/>
    <w:rsid w:val="008B3EC3"/>
    <w:rsid w:val="008C0816"/>
    <w:rsid w:val="008F31D5"/>
    <w:rsid w:val="009046B0"/>
    <w:rsid w:val="00915803"/>
    <w:rsid w:val="009408C8"/>
    <w:rsid w:val="00942F07"/>
    <w:rsid w:val="0094416D"/>
    <w:rsid w:val="009510BA"/>
    <w:rsid w:val="009553A7"/>
    <w:rsid w:val="00961C27"/>
    <w:rsid w:val="0096373E"/>
    <w:rsid w:val="0096717F"/>
    <w:rsid w:val="009706EE"/>
    <w:rsid w:val="009803E2"/>
    <w:rsid w:val="00981CF7"/>
    <w:rsid w:val="009844C9"/>
    <w:rsid w:val="009B1083"/>
    <w:rsid w:val="009D0E2D"/>
    <w:rsid w:val="009D39B3"/>
    <w:rsid w:val="009D6213"/>
    <w:rsid w:val="009E0742"/>
    <w:rsid w:val="009F671E"/>
    <w:rsid w:val="00A1518C"/>
    <w:rsid w:val="00A20F64"/>
    <w:rsid w:val="00A21B15"/>
    <w:rsid w:val="00A249AF"/>
    <w:rsid w:val="00A2552C"/>
    <w:rsid w:val="00A331B0"/>
    <w:rsid w:val="00A33C4A"/>
    <w:rsid w:val="00A375DA"/>
    <w:rsid w:val="00A42E8D"/>
    <w:rsid w:val="00A43F19"/>
    <w:rsid w:val="00A543D6"/>
    <w:rsid w:val="00A70C54"/>
    <w:rsid w:val="00A857B4"/>
    <w:rsid w:val="00A93884"/>
    <w:rsid w:val="00A941D5"/>
    <w:rsid w:val="00AB6136"/>
    <w:rsid w:val="00AC7609"/>
    <w:rsid w:val="00B147C2"/>
    <w:rsid w:val="00B151FD"/>
    <w:rsid w:val="00B22CC0"/>
    <w:rsid w:val="00B2329C"/>
    <w:rsid w:val="00B40B9A"/>
    <w:rsid w:val="00B4187D"/>
    <w:rsid w:val="00B445ED"/>
    <w:rsid w:val="00B57FB4"/>
    <w:rsid w:val="00B643B7"/>
    <w:rsid w:val="00B67989"/>
    <w:rsid w:val="00B70E65"/>
    <w:rsid w:val="00B755BE"/>
    <w:rsid w:val="00B81CDF"/>
    <w:rsid w:val="00BA5007"/>
    <w:rsid w:val="00BB3B2B"/>
    <w:rsid w:val="00BB660E"/>
    <w:rsid w:val="00BE2C3D"/>
    <w:rsid w:val="00BF2A3F"/>
    <w:rsid w:val="00BF3431"/>
    <w:rsid w:val="00BF3837"/>
    <w:rsid w:val="00BF6CF9"/>
    <w:rsid w:val="00C12C1A"/>
    <w:rsid w:val="00C209A9"/>
    <w:rsid w:val="00C23D2A"/>
    <w:rsid w:val="00C24271"/>
    <w:rsid w:val="00C33BD3"/>
    <w:rsid w:val="00C457A9"/>
    <w:rsid w:val="00C462C4"/>
    <w:rsid w:val="00C53492"/>
    <w:rsid w:val="00C56D6C"/>
    <w:rsid w:val="00C571A7"/>
    <w:rsid w:val="00C62248"/>
    <w:rsid w:val="00C9519D"/>
    <w:rsid w:val="00C95974"/>
    <w:rsid w:val="00CB6B67"/>
    <w:rsid w:val="00CC5D6E"/>
    <w:rsid w:val="00CF1677"/>
    <w:rsid w:val="00CF59AD"/>
    <w:rsid w:val="00CF5D4D"/>
    <w:rsid w:val="00CF5E3D"/>
    <w:rsid w:val="00D01BF1"/>
    <w:rsid w:val="00D060A5"/>
    <w:rsid w:val="00D07301"/>
    <w:rsid w:val="00D11181"/>
    <w:rsid w:val="00D20B17"/>
    <w:rsid w:val="00D517C8"/>
    <w:rsid w:val="00D6306C"/>
    <w:rsid w:val="00D72EB5"/>
    <w:rsid w:val="00D81B3B"/>
    <w:rsid w:val="00D87836"/>
    <w:rsid w:val="00D91700"/>
    <w:rsid w:val="00DA57F3"/>
    <w:rsid w:val="00DA57F4"/>
    <w:rsid w:val="00DB235B"/>
    <w:rsid w:val="00DC15E4"/>
    <w:rsid w:val="00DC5430"/>
    <w:rsid w:val="00DD27B5"/>
    <w:rsid w:val="00DE2841"/>
    <w:rsid w:val="00E12343"/>
    <w:rsid w:val="00E1522D"/>
    <w:rsid w:val="00E2283A"/>
    <w:rsid w:val="00E23744"/>
    <w:rsid w:val="00E34213"/>
    <w:rsid w:val="00E47CA6"/>
    <w:rsid w:val="00E5075A"/>
    <w:rsid w:val="00E54623"/>
    <w:rsid w:val="00E7438F"/>
    <w:rsid w:val="00E7683F"/>
    <w:rsid w:val="00E93AD8"/>
    <w:rsid w:val="00E979FE"/>
    <w:rsid w:val="00EA4055"/>
    <w:rsid w:val="00EA5369"/>
    <w:rsid w:val="00EB28C9"/>
    <w:rsid w:val="00EB3960"/>
    <w:rsid w:val="00EB3C9E"/>
    <w:rsid w:val="00EC3CE4"/>
    <w:rsid w:val="00EE1DEF"/>
    <w:rsid w:val="00EE37FB"/>
    <w:rsid w:val="00EE7797"/>
    <w:rsid w:val="00EF72D4"/>
    <w:rsid w:val="00F31DF8"/>
    <w:rsid w:val="00F41619"/>
    <w:rsid w:val="00F447E8"/>
    <w:rsid w:val="00F56C1E"/>
    <w:rsid w:val="00F6166B"/>
    <w:rsid w:val="00F72DBF"/>
    <w:rsid w:val="00F8285C"/>
    <w:rsid w:val="00F9328B"/>
    <w:rsid w:val="00FC05C0"/>
    <w:rsid w:val="00FC683A"/>
    <w:rsid w:val="00FE29E8"/>
    <w:rsid w:val="51CFF4BF"/>
    <w:rsid w:val="54C8A32B"/>
    <w:rsid w:val="7D828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619B6C54"/>
  <w15:chartTrackingRefBased/>
  <w15:docId w15:val="{4FBD47E5-8310-4266-A97D-3C8AAC32A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960"/>
  </w:style>
  <w:style w:type="paragraph" w:styleId="Heading1">
    <w:name w:val="heading 1"/>
    <w:basedOn w:val="Normal"/>
    <w:next w:val="Normal"/>
    <w:link w:val="Heading1Char"/>
    <w:uiPriority w:val="9"/>
    <w:qFormat/>
    <w:rsid w:val="009844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44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44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4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4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4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4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4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4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4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44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44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4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4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4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4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4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4C9"/>
    <w:rPr>
      <w:rFonts w:eastAsiaTheme="majorEastAsia" w:cstheme="majorBidi"/>
      <w:color w:val="272727" w:themeColor="text1" w:themeTint="D8"/>
    </w:rPr>
  </w:style>
  <w:style w:type="paragraph" w:styleId="Title">
    <w:name w:val="Title"/>
    <w:basedOn w:val="Normal"/>
    <w:next w:val="Normal"/>
    <w:link w:val="TitleChar"/>
    <w:uiPriority w:val="10"/>
    <w:qFormat/>
    <w:rsid w:val="009844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4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4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4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4C9"/>
    <w:pPr>
      <w:spacing w:before="160"/>
      <w:jc w:val="center"/>
    </w:pPr>
    <w:rPr>
      <w:i/>
      <w:iCs/>
      <w:color w:val="404040" w:themeColor="text1" w:themeTint="BF"/>
    </w:rPr>
  </w:style>
  <w:style w:type="character" w:customStyle="1" w:styleId="QuoteChar">
    <w:name w:val="Quote Char"/>
    <w:basedOn w:val="DefaultParagraphFont"/>
    <w:link w:val="Quote"/>
    <w:uiPriority w:val="29"/>
    <w:rsid w:val="009844C9"/>
    <w:rPr>
      <w:i/>
      <w:iCs/>
      <w:color w:val="404040" w:themeColor="text1" w:themeTint="BF"/>
    </w:rPr>
  </w:style>
  <w:style w:type="paragraph" w:styleId="ListParagraph">
    <w:name w:val="List Paragraph"/>
    <w:basedOn w:val="Normal"/>
    <w:uiPriority w:val="34"/>
    <w:qFormat/>
    <w:rsid w:val="009844C9"/>
    <w:pPr>
      <w:ind w:left="720"/>
      <w:contextualSpacing/>
    </w:pPr>
  </w:style>
  <w:style w:type="character" w:styleId="IntenseEmphasis">
    <w:name w:val="Intense Emphasis"/>
    <w:basedOn w:val="DefaultParagraphFont"/>
    <w:uiPriority w:val="21"/>
    <w:qFormat/>
    <w:rsid w:val="009844C9"/>
    <w:rPr>
      <w:i/>
      <w:iCs/>
      <w:color w:val="0F4761" w:themeColor="accent1" w:themeShade="BF"/>
    </w:rPr>
  </w:style>
  <w:style w:type="paragraph" w:styleId="IntenseQuote">
    <w:name w:val="Intense Quote"/>
    <w:basedOn w:val="Normal"/>
    <w:next w:val="Normal"/>
    <w:link w:val="IntenseQuoteChar"/>
    <w:uiPriority w:val="30"/>
    <w:qFormat/>
    <w:rsid w:val="009844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4C9"/>
    <w:rPr>
      <w:i/>
      <w:iCs/>
      <w:color w:val="0F4761" w:themeColor="accent1" w:themeShade="BF"/>
    </w:rPr>
  </w:style>
  <w:style w:type="character" w:styleId="IntenseReference">
    <w:name w:val="Intense Reference"/>
    <w:basedOn w:val="DefaultParagraphFont"/>
    <w:uiPriority w:val="32"/>
    <w:qFormat/>
    <w:rsid w:val="009844C9"/>
    <w:rPr>
      <w:b/>
      <w:bCs/>
      <w:smallCaps/>
      <w:color w:val="0F4761" w:themeColor="accent1" w:themeShade="BF"/>
      <w:spacing w:val="5"/>
    </w:rPr>
  </w:style>
  <w:style w:type="paragraph" w:styleId="TOCHeading">
    <w:name w:val="TOC Heading"/>
    <w:basedOn w:val="Heading1"/>
    <w:next w:val="Normal"/>
    <w:uiPriority w:val="39"/>
    <w:unhideWhenUsed/>
    <w:qFormat/>
    <w:rsid w:val="00A42E8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D6213"/>
    <w:pPr>
      <w:spacing w:after="100"/>
      <w:ind w:left="240"/>
    </w:pPr>
  </w:style>
  <w:style w:type="character" w:styleId="Hyperlink">
    <w:name w:val="Hyperlink"/>
    <w:basedOn w:val="DefaultParagraphFont"/>
    <w:uiPriority w:val="99"/>
    <w:unhideWhenUsed/>
    <w:rsid w:val="009D6213"/>
    <w:rPr>
      <w:color w:val="467886" w:themeColor="hyperlink"/>
      <w:u w:val="single"/>
    </w:rPr>
  </w:style>
  <w:style w:type="character" w:styleId="BookTitle">
    <w:name w:val="Book Title"/>
    <w:basedOn w:val="DefaultParagraphFont"/>
    <w:uiPriority w:val="33"/>
    <w:qFormat/>
    <w:rsid w:val="0054049A"/>
    <w:rPr>
      <w:b/>
      <w:bCs/>
      <w:i/>
      <w:iCs/>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6Colorful-Accent1">
    <w:name w:val="Grid Table 6 Colorful Accent 1"/>
    <w:basedOn w:val="TableNormal"/>
    <w:uiPriority w:val="51"/>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UnresolvedMention">
    <w:name w:val="Unresolved Mention"/>
    <w:basedOn w:val="DefaultParagraphFont"/>
    <w:uiPriority w:val="99"/>
    <w:semiHidden/>
    <w:unhideWhenUsed/>
    <w:rsid w:val="007F3D26"/>
    <w:rPr>
      <w:color w:val="605E5C"/>
      <w:shd w:val="clear" w:color="auto" w:fill="E1DFDD"/>
    </w:rPr>
  </w:style>
  <w:style w:type="paragraph" w:styleId="Header">
    <w:name w:val="header"/>
    <w:basedOn w:val="Normal"/>
    <w:link w:val="HeaderChar"/>
    <w:uiPriority w:val="99"/>
    <w:unhideWhenUsed/>
    <w:rsid w:val="00085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53D"/>
  </w:style>
  <w:style w:type="paragraph" w:styleId="Footer">
    <w:name w:val="footer"/>
    <w:basedOn w:val="Normal"/>
    <w:link w:val="FooterChar"/>
    <w:uiPriority w:val="99"/>
    <w:unhideWhenUsed/>
    <w:rsid w:val="00085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53D"/>
  </w:style>
  <w:style w:type="character" w:styleId="FollowedHyperlink">
    <w:name w:val="FollowedHyperlink"/>
    <w:basedOn w:val="DefaultParagraphFont"/>
    <w:uiPriority w:val="99"/>
    <w:semiHidden/>
    <w:unhideWhenUsed/>
    <w:rsid w:val="00E12343"/>
    <w:rPr>
      <w:color w:val="96607D" w:themeColor="followedHyperlink"/>
      <w:u w:val="single"/>
    </w:rPr>
  </w:style>
  <w:style w:type="table" w:customStyle="1" w:styleId="TableGrid1">
    <w:name w:val="Table Grid1"/>
    <w:basedOn w:val="TableNormal"/>
    <w:next w:val="TableGrid"/>
    <w:uiPriority w:val="39"/>
    <w:rsid w:val="005A3F59"/>
    <w:pPr>
      <w:spacing w:after="0" w:line="240" w:lineRule="auto"/>
    </w:pPr>
    <w:rPr>
      <w:rFonts w:eastAsia="Yu Mincho"/>
      <w:kern w:val="0"/>
      <w:lang w:eastAsia="ja-JP"/>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customStyle="1" w:styleId="GridTable6ColourfulAccent11">
    <w:name w:val="Grid Table 6 Colourful – Accent 11"/>
    <w:basedOn w:val="TableNormal"/>
    <w:next w:val="GridTable6Colorful-Accent1"/>
    <w:uiPriority w:val="51"/>
    <w:rsid w:val="003F2B88"/>
    <w:pPr>
      <w:spacing w:after="0" w:line="240" w:lineRule="auto"/>
    </w:pPr>
    <w:rPr>
      <w:rFonts w:eastAsia="Yu Mincho"/>
      <w:color w:val="0F4761"/>
    </w:rPr>
    <w:tblPr>
      <w:tblStyleRowBandSize w:val="1"/>
      <w:tblStyleColBandSize w:val="1"/>
      <w:tblInd w:w="0" w:type="nil"/>
      <w:tblBorders>
        <w:top w:val="single" w:sz="4" w:space="0" w:color="45B0E1"/>
        <w:left w:val="single" w:sz="4" w:space="0" w:color="45B0E1"/>
        <w:bottom w:val="single" w:sz="4" w:space="0" w:color="45B0E1"/>
        <w:right w:val="single" w:sz="4" w:space="0" w:color="45B0E1"/>
        <w:insideH w:val="single" w:sz="4" w:space="0" w:color="45B0E1"/>
        <w:insideV w:val="single" w:sz="4" w:space="0" w:color="45B0E1"/>
      </w:tblBorders>
      <w:tblCellMar>
        <w:left w:w="0" w:type="dxa"/>
        <w:right w:w="0" w:type="dxa"/>
      </w:tblCellMar>
    </w:tblPr>
    <w:tblStylePr w:type="firstRow">
      <w:rPr>
        <w:b/>
        <w:bCs/>
      </w:rPr>
      <w:tblPr/>
      <w:tcPr>
        <w:tcBorders>
          <w:bottom w:val="single" w:sz="12" w:space="0" w:color="45B0E1"/>
        </w:tcBorders>
      </w:tcPr>
    </w:tblStylePr>
    <w:tblStylePr w:type="lastRow">
      <w:rPr>
        <w:b/>
        <w:bCs/>
      </w:rPr>
      <w:tblPr/>
      <w:tcPr>
        <w:tcBorders>
          <w:top w:val="double" w:sz="4" w:space="0" w:color="45B0E1"/>
        </w:tcBorders>
      </w:tcPr>
    </w:tblStylePr>
    <w:tblStylePr w:type="firstCol">
      <w:rPr>
        <w:b/>
        <w:bCs/>
      </w:rPr>
    </w:tblStylePr>
    <w:tblStylePr w:type="lastCol">
      <w:rPr>
        <w:b/>
        <w:bCs/>
      </w:rPr>
    </w:tblStylePr>
    <w:tblStylePr w:type="band1Vert">
      <w:tblPr/>
      <w:tcPr>
        <w:shd w:val="clear" w:color="auto" w:fill="C1E4F5"/>
      </w:tcPr>
    </w:tblStylePr>
    <w:tblStylePr w:type="band1Horz">
      <w:tblPr/>
      <w:tcPr>
        <w:shd w:val="clear" w:color="auto" w:fill="C1E4F5"/>
      </w:tcPr>
    </w:tblStylePr>
  </w:style>
  <w:style w:type="character" w:styleId="PageNumber">
    <w:name w:val="page number"/>
    <w:basedOn w:val="DefaultParagraphFont"/>
    <w:uiPriority w:val="99"/>
    <w:semiHidden/>
    <w:unhideWhenUsed/>
    <w:rsid w:val="008C0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ubmed.ncbi.nlm.nih.gov/37846824/" TargetMode="External" /><Relationship Id="rId18" Type="http://schemas.openxmlformats.org/officeDocument/2006/relationships/hyperlink" Target="https://www.jmir.org/2025/1/e60077/" TargetMode="External" /><Relationship Id="rId26" Type="http://schemas.openxmlformats.org/officeDocument/2006/relationships/hyperlink" Target="https://www.ncltraininghub.org/roles/clinical-staff-support/gp-assistant" TargetMode="External" /><Relationship Id="rId39" Type="http://schemas.openxmlformats.org/officeDocument/2006/relationships/image" Target="media/image9.png" /><Relationship Id="rId3" Type="http://schemas.openxmlformats.org/officeDocument/2006/relationships/styles" Target="styles.xml" /><Relationship Id="rId21" Type="http://schemas.openxmlformats.org/officeDocument/2006/relationships/hyperlink" Target="https://www.hee.nhs.uk/our-work/digital" TargetMode="External" /><Relationship Id="rId34" Type="http://schemas.openxmlformats.org/officeDocument/2006/relationships/hyperlink" Target="https://wilmslowhealthcentre.com/%F0%9F%96%A5%EF%B8%8F-were-upgrading-our-electronic-patient-record-system/" TargetMode="External" /><Relationship Id="rId42"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hyperlink" Target="https://www.e-lfh.org.uk/wp-content/uploads/2023/11/5.-FAQ-v14-final-Nov-23-v2.0.pdf" TargetMode="External" /><Relationship Id="rId25" Type="http://schemas.openxmlformats.org/officeDocument/2006/relationships/hyperlink" Target="https://medicus.health/" TargetMode="External" /><Relationship Id="rId33" Type="http://schemas.openxmlformats.org/officeDocument/2006/relationships/hyperlink" Target="https://docs.uhb.nhs.uk/index.php/s/iWX9WGa5SxJ7FTk?dir=undefined&amp;openfile=4268" TargetMode="External" /><Relationship Id="rId38" Type="http://schemas.openxmlformats.org/officeDocument/2006/relationships/image" Target="media/image8.png" /><Relationship Id="rId2" Type="http://schemas.openxmlformats.org/officeDocument/2006/relationships/numbering" Target="numbering.xml" /><Relationship Id="rId16" Type="http://schemas.openxmlformats.org/officeDocument/2006/relationships/hyperlink" Target="https://www.e-lfh.org.uk/programmes/general-practice-assistant/" TargetMode="External" /><Relationship Id="rId20" Type="http://schemas.openxmlformats.org/officeDocument/2006/relationships/hyperlink" Target="https://www.bmj.com/content/368/bmj.m998" TargetMode="External" /><Relationship Id="rId29" Type="http://schemas.openxmlformats.org/officeDocument/2006/relationships/hyperlink" Target="https://www.england.nhs.uk/digitaltechnology/connecteddigitalsystems/digital-maturity-assessment/" TargetMode="External" /><Relationship Id="rId41"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24" Type="http://schemas.openxmlformats.org/officeDocument/2006/relationships/hyperlink" Target="https://www.digitalhealth.net/2025/06/nhse-approves-medicus-health-epr-system-for-primary-care/" TargetMode="External" /><Relationship Id="rId32" Type="http://schemas.openxmlformats.org/officeDocument/2006/relationships/hyperlink" Target="https://www.healthaffairs.org/" TargetMode="External" /><Relationship Id="rId37" Type="http://schemas.openxmlformats.org/officeDocument/2006/relationships/image" Target="media/image7.png" /><Relationship Id="rId40" Type="http://schemas.openxmlformats.org/officeDocument/2006/relationships/image" Target="media/image10.png" /><Relationship Id="rId5" Type="http://schemas.openxmlformats.org/officeDocument/2006/relationships/webSettings" Target="webSettings.xml" /><Relationship Id="rId15" Type="http://schemas.openxmlformats.org/officeDocument/2006/relationships/hyperlink" Target="https://www.gov.uk/government/publications/healthcare-education-and-training-tariff-2024-to-2025" TargetMode="External" /><Relationship Id="rId23" Type="http://schemas.openxmlformats.org/officeDocument/2006/relationships/hyperlink" Target="https://www.hfma.org.uk/publications/implementing-electronic-patient-record" TargetMode="External" /><Relationship Id="rId28" Type="http://schemas.openxmlformats.org/officeDocument/2006/relationships/hyperlink" Target="https://www.england.nhs.uk/wp-content/uploads/2025/03/agenda-item-8-data-digital-and-technology-transformation.pdf" TargetMode="External" /><Relationship Id="rId36" Type="http://schemas.openxmlformats.org/officeDocument/2006/relationships/image" Target="media/image6.png" /><Relationship Id="rId10" Type="http://schemas.openxmlformats.org/officeDocument/2006/relationships/chart" Target="charts/chart1.xml" /><Relationship Id="rId19" Type="http://schemas.openxmlformats.org/officeDocument/2006/relationships/hyperlink" Target="https://www.fdbhealth.co.uk/" TargetMode="External" /><Relationship Id="rId31" Type="http://schemas.openxmlformats.org/officeDocument/2006/relationships/hyperlink" Target="https://qualitysafety.bmj.com/content/33/9/573" TargetMode="External" /><Relationship Id="rId44"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gov.uk/government/publications/a-plan-for-digital-health-and-social-care/a-plan-for-digital-health-and-social-care" TargetMode="External" /><Relationship Id="rId22" Type="http://schemas.openxmlformats.org/officeDocument/2006/relationships/hyperlink" Target="https://www.health.org.uk/" TargetMode="External" /><Relationship Id="rId27" Type="http://schemas.openxmlformats.org/officeDocument/2006/relationships/hyperlink" Target="https://www.nes.scot.nhs.uk/nes-current/making-delegation-safe-and-effective/" TargetMode="External" /><Relationship Id="rId30" Type="http://schemas.openxmlformats.org/officeDocument/2006/relationships/hyperlink" Target="https://www.nuffieldtrust.org.uk/" TargetMode="External" /><Relationship Id="rId35" Type="http://schemas.openxmlformats.org/officeDocument/2006/relationships/image" Target="media/image5.png" /><Relationship Id="rId43"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latin typeface="Arial" panose="020B0604020202020204" pitchFamily="34" charset="0"/>
                <a:cs typeface="Arial" panose="020B0604020202020204" pitchFamily="34" charset="0"/>
              </a:rPr>
              <a:t>Patient Population of Early Adoption of Medicus Health Clinical System</a:t>
            </a:r>
            <a:endParaRPr lang="en-US"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2"/>
          <c:spPr>
            <a:solidFill>
              <a:schemeClr val="accent3"/>
            </a:solidFill>
            <a:ln>
              <a:noFill/>
            </a:ln>
            <a:effectLst/>
          </c:spPr>
          <c:invertIfNegative val="0"/>
          <c:cat>
            <c:strRef>
              <c:f>[2026.xlsx]Sheet1!$C$6:$C$9</c:f>
              <c:strCache>
                <c:ptCount val="4"/>
                <c:pt idx="0">
                  <c:v>Wilmslow Health Centre </c:v>
                </c:pt>
                <c:pt idx="1">
                  <c:v>The Adam Pracrice </c:v>
                </c:pt>
                <c:pt idx="2">
                  <c:v>The Chorley Surgery</c:v>
                </c:pt>
                <c:pt idx="3">
                  <c:v>The Elms Medical Centre</c:v>
                </c:pt>
              </c:strCache>
            </c:strRef>
          </c:cat>
          <c:val>
            <c:numRef>
              <c:f>[2026.xlsx]Sheet1!$F$6:$F$9</c:f>
              <c:numCache>
                <c:formatCode>General</c:formatCode>
                <c:ptCount val="4"/>
                <c:pt idx="0">
                  <c:v>1600</c:v>
                </c:pt>
                <c:pt idx="1">
                  <c:v>25000</c:v>
                </c:pt>
                <c:pt idx="2">
                  <c:v>1500</c:v>
                </c:pt>
                <c:pt idx="3">
                  <c:v>1500</c:v>
                </c:pt>
              </c:numCache>
            </c:numRef>
          </c:val>
          <c:extLst>
            <c:ext xmlns:c16="http://schemas.microsoft.com/office/drawing/2014/chart" uri="{C3380CC4-5D6E-409C-BE32-E72D297353CC}">
              <c16:uniqueId val="{00000000-138F-A146-8A68-4483C6631A2C}"/>
            </c:ext>
          </c:extLst>
        </c:ser>
        <c:dLbls>
          <c:showLegendKey val="0"/>
          <c:showVal val="0"/>
          <c:showCatName val="0"/>
          <c:showSerName val="0"/>
          <c:showPercent val="0"/>
          <c:showBubbleSize val="0"/>
        </c:dLbls>
        <c:gapWidth val="219"/>
        <c:overlap val="-27"/>
        <c:axId val="570892815"/>
        <c:axId val="570889679"/>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[2026.xlsx]Sheet1!$C$6:$C$9</c15:sqref>
                        </c15:formulaRef>
                      </c:ext>
                    </c:extLst>
                    <c:strCache>
                      <c:ptCount val="4"/>
                      <c:pt idx="0">
                        <c:v>Wilmslow Health Centre </c:v>
                      </c:pt>
                      <c:pt idx="1">
                        <c:v>The Adam Pracrice </c:v>
                      </c:pt>
                      <c:pt idx="2">
                        <c:v>The Chorley Surgery</c:v>
                      </c:pt>
                      <c:pt idx="3">
                        <c:v>The Elms Medical Centre</c:v>
                      </c:pt>
                    </c:strCache>
                  </c:strRef>
                </c:cat>
                <c:val>
                  <c:numRef>
                    <c:extLst>
                      <c:ext uri="{02D57815-91ED-43cb-92C2-25804820EDAC}">
                        <c15:formulaRef>
                          <c15:sqref>[2026.xlsx]Sheet1!$D$6:$D$9</c15:sqref>
                        </c15:formulaRef>
                      </c:ext>
                    </c:extLst>
                    <c:numCache>
                      <c:formatCode>General</c:formatCode>
                      <c:ptCount val="4"/>
                    </c:numCache>
                  </c:numRef>
                </c:val>
                <c:extLst>
                  <c:ext xmlns:c16="http://schemas.microsoft.com/office/drawing/2014/chart" uri="{C3380CC4-5D6E-409C-BE32-E72D297353CC}">
                    <c16:uniqueId val="{00000001-138F-A146-8A68-4483C6631A2C}"/>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[2026.xlsx]Sheet1!$C$6:$C$9</c15:sqref>
                        </c15:formulaRef>
                      </c:ext>
                    </c:extLst>
                    <c:strCache>
                      <c:ptCount val="4"/>
                      <c:pt idx="0">
                        <c:v>Wilmslow Health Centre </c:v>
                      </c:pt>
                      <c:pt idx="1">
                        <c:v>The Adam Pracrice </c:v>
                      </c:pt>
                      <c:pt idx="2">
                        <c:v>The Chorley Surgery</c:v>
                      </c:pt>
                      <c:pt idx="3">
                        <c:v>The Elms Medical Centre</c:v>
                      </c:pt>
                    </c:strCache>
                  </c:strRef>
                </c:cat>
                <c:val>
                  <c:numRef>
                    <c:extLst xmlns:c15="http://schemas.microsoft.com/office/drawing/2012/chart">
                      <c:ext xmlns:c15="http://schemas.microsoft.com/office/drawing/2012/chart" uri="{02D57815-91ED-43cb-92C2-25804820EDAC}">
                        <c15:formulaRef>
                          <c15:sqref>[2026.xlsx]Sheet1!$E$6:$E$9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138F-A146-8A68-4483C6631A2C}"/>
                  </c:ext>
                </c:extLst>
              </c15:ser>
            </c15:filteredBarSeries>
            <c15:filteredBarSeries>
              <c15:ser>
                <c:idx val="3"/>
                <c:order val="3"/>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[2026.xlsx]Sheet1!$C$6:$C$9</c15:sqref>
                        </c15:formulaRef>
                      </c:ext>
                    </c:extLst>
                    <c:strCache>
                      <c:ptCount val="4"/>
                      <c:pt idx="0">
                        <c:v>Wilmslow Health Centre </c:v>
                      </c:pt>
                      <c:pt idx="1">
                        <c:v>The Adam Pracrice </c:v>
                      </c:pt>
                      <c:pt idx="2">
                        <c:v>The Chorley Surgery</c:v>
                      </c:pt>
                      <c:pt idx="3">
                        <c:v>The Elms Medical Centre</c:v>
                      </c:pt>
                    </c:strCache>
                  </c:strRef>
                </c:cat>
                <c:val>
                  <c:numRef>
                    <c:extLst xmlns:c15="http://schemas.microsoft.com/office/drawing/2012/chart">
                      <c:ext xmlns:c15="http://schemas.microsoft.com/office/drawing/2012/chart" uri="{02D57815-91ED-43cb-92C2-25804820EDAC}">
                        <c15:formulaRef>
                          <c15:sqref>[2026.xlsx]Sheet1!$G$6:$G$9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138F-A146-8A68-4483C6631A2C}"/>
                  </c:ext>
                </c:extLst>
              </c15:ser>
            </c15:filteredBarSeries>
          </c:ext>
        </c:extLst>
      </c:barChart>
      <c:catAx>
        <c:axId val="570892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889679"/>
        <c:crosses val="autoZero"/>
        <c:auto val="1"/>
        <c:lblAlgn val="ctr"/>
        <c:lblOffset val="100"/>
        <c:noMultiLvlLbl val="0"/>
      </c:catAx>
      <c:valAx>
        <c:axId val="5708896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8928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02F26-D4AD-485F-8F4E-DFC2FAAD8D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5436</Words>
  <Characters>39609</Characters>
  <Application>Microsoft Office Word</Application>
  <DocSecurity>0</DocSecurity>
  <Lines>330</Lines>
  <Paragraphs>89</Paragraphs>
  <ScaleCrop>false</ScaleCrop>
  <Company/>
  <LinksUpToDate>false</LinksUpToDate>
  <CharactersWithSpaces>44956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Ellis (2309153)</dc:creator>
  <cp:keywords/>
  <dc:description/>
  <cp:lastModifiedBy>Natasha Ellis (2309153)</cp:lastModifiedBy>
  <cp:revision>2</cp:revision>
  <dcterms:created xsi:type="dcterms:W3CDTF">2025-11-02T13:53:00Z</dcterms:created>
  <dcterms:modified xsi:type="dcterms:W3CDTF">2025-11-02T13:53:00Z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f739250b-2abd-4487-8485-72720b253fe1</vt:lpwstr>
  </property>
</Properties>
</file>