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73CDF" w14:textId="45C62A83" w:rsidR="001A7CA5" w:rsidRDefault="003736AE" w:rsidP="00165285">
      <w:pPr>
        <w:jc w:val="center"/>
        <w:rPr>
          <w:u w:val="single"/>
        </w:rPr>
      </w:pPr>
      <w:r>
        <w:rPr>
          <w:u w:val="single"/>
        </w:rPr>
        <w:t>Assignment 1: Video Critique</w:t>
      </w:r>
    </w:p>
    <w:p w14:paraId="165BD298" w14:textId="77777777" w:rsidR="00165285" w:rsidRPr="003736AE" w:rsidRDefault="00165285" w:rsidP="00165285">
      <w:pPr>
        <w:jc w:val="center"/>
      </w:pPr>
    </w:p>
    <w:p w14:paraId="045BF7F9" w14:textId="42FC7BA4" w:rsidR="003851C7" w:rsidRPr="003736AE" w:rsidRDefault="009C5E7D" w:rsidP="00165285">
      <w:r w:rsidRPr="003736AE">
        <w:t>This video criti</w:t>
      </w:r>
      <w:r w:rsidR="003736AE">
        <w:t>que</w:t>
      </w:r>
      <w:r w:rsidRPr="003736AE">
        <w:t xml:space="preserve"> is aimed to show the importance of empathy and understanding from the councillor to the client. As the councillor, one would explain the confidentiality procedure with a non-judgemental</w:t>
      </w:r>
      <w:r w:rsidR="00453505" w:rsidRPr="003736AE">
        <w:t xml:space="preserve"> approach. This would help make the client feel respected and </w:t>
      </w:r>
      <w:r w:rsidR="003736AE">
        <w:t xml:space="preserve">accepted </w:t>
      </w:r>
      <w:r w:rsidR="00453505" w:rsidRPr="003736AE">
        <w:t xml:space="preserve">as an individual. The initial disclosure could be traumatic for the </w:t>
      </w:r>
      <w:r w:rsidR="008D3DAA" w:rsidRPr="003736AE">
        <w:t>client;</w:t>
      </w:r>
      <w:r w:rsidR="00453505" w:rsidRPr="003736AE">
        <w:t xml:space="preserve"> therefore, the building of relationships is paramount </w:t>
      </w:r>
      <w:proofErr w:type="gramStart"/>
      <w:r w:rsidR="00453505" w:rsidRPr="003736AE">
        <w:t>in order to</w:t>
      </w:r>
      <w:proofErr w:type="gramEnd"/>
      <w:r w:rsidR="00453505" w:rsidRPr="003736AE">
        <w:t xml:space="preserve"> gain trust. Providing verbal or non-verbal awareness </w:t>
      </w:r>
      <w:r w:rsidR="003851C7" w:rsidRPr="003736AE">
        <w:t>would show the councillor to be actively listening. Eye contact is crucial when communicating (Elizabeth Perry</w:t>
      </w:r>
      <w:r w:rsidR="008D3DAA">
        <w:t xml:space="preserve"> </w:t>
      </w:r>
      <w:r w:rsidR="003851C7" w:rsidRPr="003736AE">
        <w:t>2021</w:t>
      </w:r>
      <w:r w:rsidR="008D3DAA">
        <w:t>).</w:t>
      </w:r>
      <w:r w:rsidR="003851C7" w:rsidRPr="003736AE">
        <w:t xml:space="preserve"> </w:t>
      </w:r>
      <w:r w:rsidR="00E91F2C" w:rsidRPr="00E91F2C">
        <w:rPr>
          <w:rFonts w:cstheme="minorHAnsi"/>
          <w:shd w:val="clear" w:color="auto" w:fill="FFFFFF"/>
        </w:rPr>
        <w:t>Collins. R</w:t>
      </w:r>
      <w:r w:rsidR="00E91F2C" w:rsidRPr="003736AE">
        <w:t xml:space="preserve"> </w:t>
      </w:r>
      <w:r w:rsidR="00E91F2C">
        <w:t xml:space="preserve">(2022) </w:t>
      </w:r>
      <w:r w:rsidR="0022350D">
        <w:t>demonstrated that effective eye contact</w:t>
      </w:r>
      <w:r w:rsidR="00452EDF">
        <w:t xml:space="preserve"> promotes</w:t>
      </w:r>
      <w:r w:rsidR="0022350D">
        <w:t xml:space="preserve"> communication</w:t>
      </w:r>
      <w:r w:rsidR="00452EDF">
        <w:t>. Therefore, this</w:t>
      </w:r>
      <w:r w:rsidR="0022350D">
        <w:t xml:space="preserve"> </w:t>
      </w:r>
      <w:r w:rsidR="003851C7" w:rsidRPr="003736AE">
        <w:t>allows both client and councillor to read facial expressions and keep focused on the conversation.</w:t>
      </w:r>
    </w:p>
    <w:p w14:paraId="03BC843B" w14:textId="5C746EFF" w:rsidR="003851C7" w:rsidRDefault="00DA7EC9" w:rsidP="00165285">
      <w:r w:rsidRPr="003736AE">
        <w:t xml:space="preserve">This is the clients first counselling </w:t>
      </w:r>
      <w:r w:rsidR="008D3DAA" w:rsidRPr="003736AE">
        <w:t>session,</w:t>
      </w:r>
      <w:r w:rsidRPr="003736AE">
        <w:t xml:space="preserve"> and it is evident from the </w:t>
      </w:r>
      <w:r w:rsidR="008D3DAA" w:rsidRPr="003736AE">
        <w:t>client’s</w:t>
      </w:r>
      <w:r w:rsidRPr="003736AE">
        <w:t xml:space="preserve"> body language how nervous she is. The councillor gave a warm greeting to the client and sat opposite the client with open body posture. Body language may account for between 60-65%</w:t>
      </w:r>
      <w:r w:rsidR="009E1B42" w:rsidRPr="003736AE">
        <w:t xml:space="preserve"> of all communication </w:t>
      </w:r>
      <w:r w:rsidR="0075070E">
        <w:t>(</w:t>
      </w:r>
      <w:proofErr w:type="spellStart"/>
      <w:r w:rsidR="005233A4">
        <w:t>Birdwhistell</w:t>
      </w:r>
      <w:proofErr w:type="spellEnd"/>
      <w:r w:rsidR="005233A4">
        <w:t>, R</w:t>
      </w:r>
      <w:r w:rsidR="00D92D4F">
        <w:t>.L 1974</w:t>
      </w:r>
      <w:r w:rsidR="009E1B42" w:rsidRPr="003736AE">
        <w:t>)</w:t>
      </w:r>
      <w:r w:rsidR="00D92D4F">
        <w:t>.</w:t>
      </w:r>
      <w:r w:rsidR="009E1B42" w:rsidRPr="003736AE">
        <w:t xml:space="preserve"> However, the client remains more closed and seems to find eye contact hard to maintain. The councillor smiled and spoke in a soft tone of voice, whilst showing empathy</w:t>
      </w:r>
      <w:r w:rsidR="000C0356" w:rsidRPr="003736AE">
        <w:t xml:space="preserve">. </w:t>
      </w:r>
      <w:proofErr w:type="spellStart"/>
      <w:r w:rsidR="000C0356" w:rsidRPr="003736AE">
        <w:t>Empathatic</w:t>
      </w:r>
      <w:proofErr w:type="spellEnd"/>
      <w:r w:rsidR="000C0356" w:rsidRPr="003736AE">
        <w:t xml:space="preserve"> understanding being an active process of wanting to know the full, present and changing awareness of another person </w:t>
      </w:r>
      <w:r w:rsidR="00D92D4F">
        <w:t>(</w:t>
      </w:r>
      <w:r w:rsidR="000C0356" w:rsidRPr="003736AE">
        <w:t>Barrett-Lennard</w:t>
      </w:r>
      <w:r w:rsidR="00B276EF">
        <w:t xml:space="preserve">, G.T </w:t>
      </w:r>
      <w:r w:rsidR="000C0356" w:rsidRPr="003736AE">
        <w:t>1962</w:t>
      </w:r>
      <w:r w:rsidR="00D92D4F">
        <w:t>).</w:t>
      </w:r>
      <w:r w:rsidR="000C0356" w:rsidRPr="003736AE">
        <w:t xml:space="preserve"> The client explained that she had secured a new job and was extremally apprehensive and nervous. This was due to it being a totally different change in career and a walk into the unknown. The client appeared agitated, rubbing her hands and sat with her legs crossed. </w:t>
      </w:r>
      <w:r w:rsidR="004A5471" w:rsidRPr="003736AE">
        <w:t xml:space="preserve">The emotional distress and anxiety </w:t>
      </w:r>
      <w:r w:rsidR="008D3DAA" w:rsidRPr="003736AE">
        <w:t>were</w:t>
      </w:r>
      <w:r w:rsidR="004A5471" w:rsidRPr="003736AE">
        <w:t xml:space="preserve"> evident due to the difficult decision she had just made</w:t>
      </w:r>
      <w:r w:rsidR="00CE7B95">
        <w:t xml:space="preserve"> </w:t>
      </w:r>
      <w:r w:rsidR="00CE7B95">
        <w:t>(Bishop, R. E., and High, A. C 2023)</w:t>
      </w:r>
      <w:r w:rsidR="00CE7B95">
        <w:t>.</w:t>
      </w:r>
      <w:r w:rsidR="004A5471" w:rsidRPr="003736AE">
        <w:t xml:space="preserve"> The client had been employed at a </w:t>
      </w:r>
      <w:r w:rsidR="008D3DAA" w:rsidRPr="003736AE">
        <w:t>high-end</w:t>
      </w:r>
      <w:r w:rsidR="004A5471" w:rsidRPr="003736AE">
        <w:t xml:space="preserve"> chain store since leaving </w:t>
      </w:r>
      <w:r w:rsidR="008D3DAA" w:rsidRPr="003736AE">
        <w:t>school and</w:t>
      </w:r>
      <w:r w:rsidR="004A5471" w:rsidRPr="003736AE">
        <w:t xml:space="preserve"> was due to start her new </w:t>
      </w:r>
      <w:r w:rsidR="003736AE" w:rsidRPr="003736AE">
        <w:t>role</w:t>
      </w:r>
      <w:r w:rsidR="004A5471" w:rsidRPr="003736AE">
        <w:t xml:space="preserve"> within the care sector. The councillor asked why she felt so nervous</w:t>
      </w:r>
      <w:r w:rsidR="003736AE">
        <w:t xml:space="preserve">, was it due to her new role or meeting new people. The client stated that she was anxious and was questioning her ability within her new role. </w:t>
      </w:r>
      <w:r w:rsidR="009765D9">
        <w:t>She had suffered depression and anxiety due to her previous employment</w:t>
      </w:r>
      <w:r w:rsidR="00004F69">
        <w:t xml:space="preserve"> and was seeking reassurance that this would not happen again</w:t>
      </w:r>
      <w:r w:rsidR="00476805">
        <w:t xml:space="preserve"> (Joseph, R.</w:t>
      </w:r>
      <w:r w:rsidR="00004F69">
        <w:t xml:space="preserve"> 2023</w:t>
      </w:r>
      <w:r w:rsidR="00476805">
        <w:t>)</w:t>
      </w:r>
      <w:r w:rsidR="00004F69">
        <w:t xml:space="preserve">. The councillor </w:t>
      </w:r>
      <w:r w:rsidR="00C51107">
        <w:t>was relaxed and smiled at the client, whilst acknowledging how anxious this situation was making the client. Recognising that the client had little belief in her capabilities, the councillor reassured the client that skills she had learnt from her previous employment and</w:t>
      </w:r>
      <w:r w:rsidR="00340818">
        <w:t xml:space="preserve"> life</w:t>
      </w:r>
      <w:r w:rsidR="00C51107">
        <w:t xml:space="preserve"> experience w</w:t>
      </w:r>
      <w:r w:rsidR="00340818">
        <w:t>ould</w:t>
      </w:r>
      <w:r w:rsidR="00C51107">
        <w:t xml:space="preserve"> </w:t>
      </w:r>
      <w:r w:rsidR="008D3DAA">
        <w:t>transfer to</w:t>
      </w:r>
      <w:r w:rsidR="00C51107">
        <w:t xml:space="preserve"> her new place of work.</w:t>
      </w:r>
      <w:r w:rsidR="00340818">
        <w:t xml:space="preserve"> By enforcing the importance of teamwork, excellent communication skills and team building, all skills of which the client possess, the councillor noticed the client starting to acknowledge and relax</w:t>
      </w:r>
      <w:r w:rsidR="003B4BF5">
        <w:t xml:space="preserve"> (</w:t>
      </w:r>
      <w:r w:rsidR="00367E54">
        <w:t xml:space="preserve">Coursera 2023) The client unfolded her arms and uncrossed her legs. Eye contact was </w:t>
      </w:r>
      <w:r w:rsidR="008D3DAA">
        <w:t>maintained,</w:t>
      </w:r>
      <w:r w:rsidR="00367E54">
        <w:t xml:space="preserve"> and the client seemed to respond to the </w:t>
      </w:r>
      <w:r w:rsidR="008D3DAA">
        <w:t>councillors’</w:t>
      </w:r>
      <w:r w:rsidR="00367E54">
        <w:t xml:space="preserve"> open questions.</w:t>
      </w:r>
      <w:r w:rsidR="00093B49">
        <w:t xml:space="preserve"> </w:t>
      </w:r>
      <w:proofErr w:type="spellStart"/>
      <w:r w:rsidR="00093B49">
        <w:t>Foley.G.N</w:t>
      </w:r>
      <w:proofErr w:type="spellEnd"/>
      <w:r w:rsidR="00093B49">
        <w:t>., and Gentille. J.P (2010) estimated around 65% of communication is completed via non-verbal behaviours, such as</w:t>
      </w:r>
      <w:r w:rsidR="00234D66">
        <w:t xml:space="preserve"> eye contact and body language. The effective </w:t>
      </w:r>
      <w:r w:rsidR="008D3DAA">
        <w:t>use of</w:t>
      </w:r>
      <w:r w:rsidR="00234D66">
        <w:t xml:space="preserve"> </w:t>
      </w:r>
      <w:r w:rsidR="008D3DAA">
        <w:t>non-verbal</w:t>
      </w:r>
      <w:r w:rsidR="00234D66">
        <w:t xml:space="preserve"> communication skills was demonstrated by the councillor which resulted in the client eventually reciprocating these skills. The client </w:t>
      </w:r>
      <w:r w:rsidR="00B123B0">
        <w:t xml:space="preserve">spoke more clearly regarding her new role and responsibilities. The councillor had gained her trust on highlighting her greatest qualities. This proved to of given the client a new sense of confidence and approach within her new role. The councillor reinforced that nerves due to starting a new job and the worry of what new </w:t>
      </w:r>
      <w:r w:rsidR="00984787">
        <w:t>colleagues</w:t>
      </w:r>
      <w:r w:rsidR="00B123B0">
        <w:t xml:space="preserve"> would think are tem</w:t>
      </w:r>
      <w:r w:rsidR="00984787">
        <w:t xml:space="preserve">porary. The client had previously shown lack of confidence regarding the </w:t>
      </w:r>
      <w:r w:rsidR="008D3DAA">
        <w:t>future,</w:t>
      </w:r>
      <w:r w:rsidR="00984787">
        <w:t xml:space="preserve"> and this had brought on anxiety. Due to anxiety, she was trying to avoid potential threats. When the councillor gave a positive outcome of maybe new colleagues making her feel welcome, the client began to act in a more positive manner.</w:t>
      </w:r>
      <w:r w:rsidR="00F9609D">
        <w:t xml:space="preserve"> The client stated that the transition into her new role would hopefully be a pathway into achieving her long-term goal of becoming a nurse. Furthermore, the skills already achieved by the client will prove essential when </w:t>
      </w:r>
      <w:r w:rsidR="00F9609D">
        <w:lastRenderedPageBreak/>
        <w:t>nursing. Communication skills are paramount, due to the need to effectively communicate with patients, their relatives and the wider multi</w:t>
      </w:r>
      <w:r w:rsidR="00442A1C">
        <w:t xml:space="preserve">disciplinary team. It is exceptionally important when providing key information. This is required in all elements of nursing, due to handing over any changes in each </w:t>
      </w:r>
      <w:r w:rsidR="00CA5199">
        <w:t>patient’s</w:t>
      </w:r>
      <w:r w:rsidR="00442A1C">
        <w:t xml:space="preserve"> healthcare needs and keeping information up to date. </w:t>
      </w:r>
      <w:r w:rsidR="00CA5199">
        <w:t xml:space="preserve">Effective communication between nurses and doctors involves understandable messages that can be easily understood by </w:t>
      </w:r>
      <w:r w:rsidR="005B4706">
        <w:t>others. The</w:t>
      </w:r>
      <w:r w:rsidR="00CA5199">
        <w:t xml:space="preserve"> Joint Commission stated that poor communication was accountable for two thirds of sentinel incidents within healthcare</w:t>
      </w:r>
      <w:r w:rsidR="005B4706">
        <w:t xml:space="preserve"> </w:t>
      </w:r>
      <w:r w:rsidR="00AA6412">
        <w:t>(</w:t>
      </w:r>
      <w:r w:rsidR="00751A44">
        <w:t xml:space="preserve">Weike </w:t>
      </w:r>
      <w:proofErr w:type="spellStart"/>
      <w:r w:rsidR="00CA5199">
        <w:t>Novivanti</w:t>
      </w:r>
      <w:proofErr w:type="spellEnd"/>
      <w:r w:rsidR="00514120">
        <w:t xml:space="preserve"> L.W., Ahsan A and </w:t>
      </w:r>
      <w:proofErr w:type="spellStart"/>
      <w:r w:rsidR="00514120">
        <w:t>Sudartya</w:t>
      </w:r>
      <w:proofErr w:type="spellEnd"/>
      <w:r w:rsidR="00514120">
        <w:t xml:space="preserve"> T.S 2021)</w:t>
      </w:r>
      <w:r w:rsidR="00AA6412">
        <w:t xml:space="preserve">. </w:t>
      </w:r>
      <w:r w:rsidR="00BF6850" w:rsidRPr="00411D94">
        <w:rPr>
          <w:rFonts w:cstheme="minorHAnsi"/>
          <w:color w:val="222222"/>
          <w:shd w:val="clear" w:color="auto" w:fill="FFFFFF"/>
        </w:rPr>
        <w:t>O’Daniel M</w:t>
      </w:r>
      <w:r w:rsidR="00BF6850">
        <w:rPr>
          <w:rFonts w:cstheme="minorHAnsi"/>
          <w:color w:val="222222"/>
          <w:shd w:val="clear" w:color="auto" w:fill="FFFFFF"/>
        </w:rPr>
        <w:t>.</w:t>
      </w:r>
      <w:r w:rsidR="00BF6850" w:rsidRPr="00411D94">
        <w:rPr>
          <w:rFonts w:cstheme="minorHAnsi"/>
          <w:color w:val="222222"/>
          <w:shd w:val="clear" w:color="auto" w:fill="FFFFFF"/>
        </w:rPr>
        <w:t>,</w:t>
      </w:r>
      <w:r w:rsidR="00BF6850">
        <w:rPr>
          <w:rFonts w:cstheme="minorHAnsi"/>
          <w:color w:val="222222"/>
          <w:shd w:val="clear" w:color="auto" w:fill="FFFFFF"/>
        </w:rPr>
        <w:t xml:space="preserve"> and</w:t>
      </w:r>
      <w:r w:rsidR="00BF6850" w:rsidRPr="00411D94">
        <w:rPr>
          <w:rFonts w:cstheme="minorHAnsi"/>
          <w:color w:val="222222"/>
          <w:shd w:val="clear" w:color="auto" w:fill="FFFFFF"/>
        </w:rPr>
        <w:t xml:space="preserve"> Rosenstein A</w:t>
      </w:r>
      <w:r w:rsidR="00BF6850">
        <w:rPr>
          <w:rFonts w:cstheme="minorHAnsi"/>
          <w:color w:val="222222"/>
          <w:shd w:val="clear" w:color="auto" w:fill="FFFFFF"/>
        </w:rPr>
        <w:t xml:space="preserve">. </w:t>
      </w:r>
      <w:r w:rsidR="00BF6850" w:rsidRPr="00411D94">
        <w:rPr>
          <w:rFonts w:cstheme="minorHAnsi"/>
          <w:color w:val="222222"/>
          <w:shd w:val="clear" w:color="auto" w:fill="FFFFFF"/>
        </w:rPr>
        <w:t xml:space="preserve">H. </w:t>
      </w:r>
      <w:r w:rsidR="00BF6850">
        <w:rPr>
          <w:rFonts w:cstheme="minorHAnsi"/>
          <w:color w:val="222222"/>
          <w:shd w:val="clear" w:color="auto" w:fill="FFFFFF"/>
        </w:rPr>
        <w:t>(2008)</w:t>
      </w:r>
      <w:r w:rsidR="00BF6850">
        <w:rPr>
          <w:rFonts w:cstheme="minorHAnsi"/>
          <w:color w:val="222222"/>
          <w:shd w:val="clear" w:color="auto" w:fill="FFFFFF"/>
        </w:rPr>
        <w:t xml:space="preserve"> provided evidence that </w:t>
      </w:r>
      <w:r w:rsidR="00BF6850">
        <w:t>c</w:t>
      </w:r>
      <w:r w:rsidR="00514120">
        <w:t>ommunication provides accuracy</w:t>
      </w:r>
      <w:r w:rsidR="00BF6850">
        <w:t>. Therefore, this</w:t>
      </w:r>
      <w:r w:rsidR="00514120">
        <w:t xml:space="preserve"> shows the importance of teamwork within a hospital setting and various areas of life.</w:t>
      </w:r>
    </w:p>
    <w:p w14:paraId="5413D141" w14:textId="3287C072" w:rsidR="002A5A49" w:rsidRDefault="002A5A49" w:rsidP="00165285">
      <w:r>
        <w:t xml:space="preserve">To summarise it is evident that excellent communication skills are vital in building therapeutic professional relationships between the councillor and the client. </w:t>
      </w:r>
      <w:r w:rsidR="008D3DAA">
        <w:t>Non-verbal</w:t>
      </w:r>
      <w:r>
        <w:t xml:space="preserve"> communication skills such as body language, eye contact and a relaxed atmosphere can help to make the client feel listened too</w:t>
      </w:r>
      <w:r w:rsidR="00A6717C">
        <w:t>,</w:t>
      </w:r>
      <w:r>
        <w:t xml:space="preserve"> and most of all, not judged. </w:t>
      </w:r>
      <w:r w:rsidR="00A6717C">
        <w:t xml:space="preserve">The building of trust is paramount to ensure the client has a positive experience and </w:t>
      </w:r>
      <w:proofErr w:type="gramStart"/>
      <w:r w:rsidR="00A6717C">
        <w:t>is able to</w:t>
      </w:r>
      <w:proofErr w:type="gramEnd"/>
      <w:r w:rsidR="00A6717C">
        <w:t xml:space="preserve"> benefit from the counselling session.  In addition, the building of trust is also an indication of how well the councillor is performing within their role. Active listening is a </w:t>
      </w:r>
      <w:proofErr w:type="gramStart"/>
      <w:r w:rsidR="00A6717C">
        <w:t>two way</w:t>
      </w:r>
      <w:proofErr w:type="gramEnd"/>
      <w:r w:rsidR="00A6717C">
        <w:t xml:space="preserve"> form of communication that requires both the councillor and the client to participate in. This ensures that the session is meaningful for the client and is also worthwhile for the councillor. Overall, the critiquing of the video has been able to demonstrate the </w:t>
      </w:r>
      <w:r w:rsidR="005B4706">
        <w:t>skills required to form a positive relationship between client and councillor.</w:t>
      </w:r>
    </w:p>
    <w:p w14:paraId="08DAC3EA" w14:textId="77777777" w:rsidR="008D3DAA" w:rsidRDefault="008D3DAA" w:rsidP="00165285"/>
    <w:p w14:paraId="45017191" w14:textId="77777777" w:rsidR="00452EDF" w:rsidRDefault="00452EDF" w:rsidP="00165285"/>
    <w:p w14:paraId="27A42634" w14:textId="77777777" w:rsidR="00452EDF" w:rsidRDefault="00452EDF" w:rsidP="00165285"/>
    <w:p w14:paraId="282D4CEE" w14:textId="77777777" w:rsidR="00452EDF" w:rsidRDefault="00452EDF" w:rsidP="00165285"/>
    <w:p w14:paraId="5FD79D53" w14:textId="77777777" w:rsidR="00452EDF" w:rsidRDefault="00452EDF" w:rsidP="00165285"/>
    <w:p w14:paraId="48A4D257" w14:textId="77777777" w:rsidR="00452EDF" w:rsidRDefault="00452EDF" w:rsidP="00165285"/>
    <w:p w14:paraId="300C52B6" w14:textId="77777777" w:rsidR="00452EDF" w:rsidRDefault="00452EDF" w:rsidP="00165285"/>
    <w:p w14:paraId="6A7BD15E" w14:textId="77777777" w:rsidR="00452EDF" w:rsidRDefault="00452EDF" w:rsidP="00165285"/>
    <w:p w14:paraId="6AA2BD6B" w14:textId="77777777" w:rsidR="00452EDF" w:rsidRDefault="00452EDF" w:rsidP="00165285"/>
    <w:p w14:paraId="261356A5" w14:textId="77777777" w:rsidR="00452EDF" w:rsidRDefault="00452EDF" w:rsidP="00165285"/>
    <w:p w14:paraId="5FA0991D" w14:textId="77777777" w:rsidR="00452EDF" w:rsidRDefault="00452EDF" w:rsidP="00165285"/>
    <w:p w14:paraId="4AB10119" w14:textId="77777777" w:rsidR="00452EDF" w:rsidRDefault="00452EDF" w:rsidP="00165285"/>
    <w:p w14:paraId="7A165E0A" w14:textId="77777777" w:rsidR="00452EDF" w:rsidRDefault="00452EDF" w:rsidP="00165285"/>
    <w:p w14:paraId="15B9E615" w14:textId="77777777" w:rsidR="00452EDF" w:rsidRDefault="00452EDF" w:rsidP="00165285"/>
    <w:p w14:paraId="30877718" w14:textId="77777777" w:rsidR="00452EDF" w:rsidRDefault="00452EDF" w:rsidP="00165285"/>
    <w:p w14:paraId="47F9F037" w14:textId="77777777" w:rsidR="00452EDF" w:rsidRDefault="00452EDF" w:rsidP="00165285"/>
    <w:p w14:paraId="2CB5B493" w14:textId="77777777" w:rsidR="00452EDF" w:rsidRDefault="00452EDF" w:rsidP="00165285"/>
    <w:p w14:paraId="0483F756" w14:textId="40E910BB" w:rsidR="008D3DAA" w:rsidRDefault="008D3DAA" w:rsidP="00165285">
      <w:pPr>
        <w:rPr>
          <w:u w:val="single"/>
        </w:rPr>
      </w:pPr>
      <w:r>
        <w:rPr>
          <w:u w:val="single"/>
        </w:rPr>
        <w:lastRenderedPageBreak/>
        <w:t>References</w:t>
      </w:r>
    </w:p>
    <w:p w14:paraId="7B9676F0" w14:textId="3A5C7782" w:rsidR="00B276EF" w:rsidRPr="00B276EF" w:rsidRDefault="00B276EF" w:rsidP="00165285">
      <w:pPr>
        <w:rPr>
          <w:rFonts w:cstheme="minorHAnsi"/>
        </w:rPr>
      </w:pPr>
      <w:r w:rsidRPr="00B276EF">
        <w:rPr>
          <w:rFonts w:cstheme="minorHAnsi"/>
          <w:color w:val="333333"/>
          <w:shd w:val="clear" w:color="auto" w:fill="FFFFFF"/>
        </w:rPr>
        <w:t xml:space="preserve">Barrett-Lennard, G. T. (1962). </w:t>
      </w:r>
      <w:r w:rsidR="0006377A">
        <w:rPr>
          <w:rFonts w:cstheme="minorHAnsi"/>
          <w:color w:val="333333"/>
          <w:shd w:val="clear" w:color="auto" w:fill="FFFFFF"/>
        </w:rPr>
        <w:t>‘</w:t>
      </w:r>
      <w:r w:rsidRPr="00B276EF">
        <w:rPr>
          <w:rFonts w:cstheme="minorHAnsi"/>
          <w:i/>
          <w:iCs/>
          <w:color w:val="333333"/>
          <w:shd w:val="clear" w:color="auto" w:fill="FFFFFF"/>
        </w:rPr>
        <w:t>Dimensions of therapist response as causal factors in therapeutic change</w:t>
      </w:r>
      <w:r w:rsidR="0006377A">
        <w:rPr>
          <w:rFonts w:cstheme="minorHAnsi"/>
          <w:i/>
          <w:iCs/>
          <w:color w:val="333333"/>
          <w:shd w:val="clear" w:color="auto" w:fill="FFFFFF"/>
        </w:rPr>
        <w:t>’</w:t>
      </w:r>
      <w:r w:rsidRPr="00B276EF">
        <w:rPr>
          <w:rFonts w:cstheme="minorHAnsi"/>
          <w:color w:val="333333"/>
          <w:shd w:val="clear" w:color="auto" w:fill="FFFFFF"/>
        </w:rPr>
        <w:t>. </w:t>
      </w:r>
      <w:r w:rsidRPr="0006377A">
        <w:rPr>
          <w:rStyle w:val="Emphasis"/>
          <w:rFonts w:cstheme="minorHAnsi"/>
          <w:i w:val="0"/>
          <w:iCs w:val="0"/>
          <w:color w:val="333333"/>
          <w:shd w:val="clear" w:color="auto" w:fill="FFFFFF"/>
        </w:rPr>
        <w:t xml:space="preserve">Psychological Monographs: General and </w:t>
      </w:r>
      <w:proofErr w:type="gramStart"/>
      <w:r w:rsidRPr="0006377A">
        <w:rPr>
          <w:rStyle w:val="Emphasis"/>
          <w:rFonts w:cstheme="minorHAnsi"/>
          <w:i w:val="0"/>
          <w:iCs w:val="0"/>
          <w:color w:val="333333"/>
          <w:shd w:val="clear" w:color="auto" w:fill="FFFFFF"/>
        </w:rPr>
        <w:t>Applied</w:t>
      </w:r>
      <w:proofErr w:type="gramEnd"/>
      <w:r w:rsidRPr="0006377A">
        <w:rPr>
          <w:rStyle w:val="Emphasis"/>
          <w:rFonts w:cstheme="minorHAnsi"/>
          <w:i w:val="0"/>
          <w:iCs w:val="0"/>
          <w:color w:val="333333"/>
          <w:shd w:val="clear" w:color="auto" w:fill="FFFFFF"/>
        </w:rPr>
        <w:t>,</w:t>
      </w:r>
      <w:r w:rsidRPr="00B276EF">
        <w:rPr>
          <w:rStyle w:val="Emphasis"/>
          <w:rFonts w:cstheme="minorHAnsi"/>
          <w:color w:val="333333"/>
          <w:shd w:val="clear" w:color="auto" w:fill="FFFFFF"/>
        </w:rPr>
        <w:t xml:space="preserve"> 76</w:t>
      </w:r>
      <w:r w:rsidRPr="00B276EF">
        <w:rPr>
          <w:rFonts w:cstheme="minorHAnsi"/>
          <w:color w:val="333333"/>
          <w:shd w:val="clear" w:color="auto" w:fill="FFFFFF"/>
        </w:rPr>
        <w:t>(43), 1</w:t>
      </w:r>
      <w:r w:rsidR="0006377A">
        <w:rPr>
          <w:rFonts w:cstheme="minorHAnsi"/>
          <w:color w:val="333333"/>
          <w:shd w:val="clear" w:color="auto" w:fill="FFFFFF"/>
        </w:rPr>
        <w:t>-</w:t>
      </w:r>
      <w:r w:rsidRPr="00B276EF">
        <w:rPr>
          <w:rFonts w:cstheme="minorHAnsi"/>
          <w:color w:val="333333"/>
          <w:shd w:val="clear" w:color="auto" w:fill="FFFFFF"/>
        </w:rPr>
        <w:t>36</w:t>
      </w:r>
      <w:r w:rsidR="0006377A">
        <w:rPr>
          <w:rFonts w:cstheme="minorHAnsi"/>
          <w:color w:val="333333"/>
          <w:shd w:val="clear" w:color="auto" w:fill="FFFFFF"/>
        </w:rPr>
        <w:t xml:space="preserve">. </w:t>
      </w:r>
      <w:hyperlink r:id="rId4" w:history="1">
        <w:r w:rsidR="0006377A" w:rsidRPr="00B3090B">
          <w:rPr>
            <w:rStyle w:val="Hyperlink"/>
            <w:rFonts w:cstheme="minorHAnsi"/>
            <w:shd w:val="clear" w:color="auto" w:fill="FFFFFF"/>
          </w:rPr>
          <w:t>https://doi.org/10.1037/h0093918</w:t>
        </w:r>
      </w:hyperlink>
      <w:r w:rsidR="009A2194">
        <w:rPr>
          <w:rFonts w:cstheme="minorHAnsi"/>
          <w:shd w:val="clear" w:color="auto" w:fill="FFFFFF"/>
        </w:rPr>
        <w:t>.</w:t>
      </w:r>
    </w:p>
    <w:p w14:paraId="6559124C" w14:textId="0243BC2B" w:rsidR="001A0280" w:rsidRDefault="00984A08" w:rsidP="00165285">
      <w:proofErr w:type="spellStart"/>
      <w:r>
        <w:t>Birdwhistell</w:t>
      </w:r>
      <w:proofErr w:type="spellEnd"/>
      <w:r>
        <w:t xml:space="preserve">, </w:t>
      </w:r>
      <w:r w:rsidR="00372B43">
        <w:t xml:space="preserve">R. L. (1974) </w:t>
      </w:r>
      <w:r w:rsidR="00CD431E">
        <w:rPr>
          <w:i/>
          <w:iCs/>
        </w:rPr>
        <w:t>Human Communication</w:t>
      </w:r>
      <w:r w:rsidR="001A0280">
        <w:rPr>
          <w:i/>
          <w:iCs/>
        </w:rPr>
        <w:t>: The language of the body: The Natural Environment of word</w:t>
      </w:r>
      <w:r w:rsidR="005233A4">
        <w:rPr>
          <w:i/>
          <w:iCs/>
        </w:rPr>
        <w:t xml:space="preserve">. </w:t>
      </w:r>
      <w:r w:rsidR="005233A4">
        <w:t>Routledge.</w:t>
      </w:r>
    </w:p>
    <w:p w14:paraId="638A3188" w14:textId="7897471A" w:rsidR="0080507A" w:rsidRPr="0080507A" w:rsidRDefault="001637F9" w:rsidP="00165285">
      <w:pPr>
        <w:rPr>
          <w:rFonts w:cstheme="minorHAnsi"/>
        </w:rPr>
      </w:pPr>
      <w:r w:rsidRPr="001637F9">
        <w:rPr>
          <w:rFonts w:cstheme="minorHAnsi"/>
          <w:color w:val="333333"/>
          <w:shd w:val="clear" w:color="auto" w:fill="FFFFFF"/>
        </w:rPr>
        <w:t>Bishop, R. E., &amp; High, A. C. (2023)</w:t>
      </w:r>
      <w:r>
        <w:rPr>
          <w:rFonts w:cstheme="minorHAnsi"/>
          <w:color w:val="333333"/>
          <w:shd w:val="clear" w:color="auto" w:fill="FFFFFF"/>
        </w:rPr>
        <w:t xml:space="preserve"> </w:t>
      </w:r>
      <w:r w:rsidRPr="001637F9">
        <w:rPr>
          <w:rFonts w:cstheme="minorHAnsi"/>
          <w:i/>
          <w:iCs/>
          <w:color w:val="333333"/>
          <w:shd w:val="clear" w:color="auto" w:fill="FFFFFF"/>
        </w:rPr>
        <w:t>Stigma and Supportive Communication in the Context of Mental or Emotional Distress: An Extension of the Paradox of Support Seeking in Close Relationships. </w:t>
      </w:r>
      <w:r w:rsidRPr="001637F9">
        <w:rPr>
          <w:rFonts w:cstheme="minorHAnsi"/>
          <w:color w:val="333333"/>
          <w:shd w:val="clear" w:color="auto" w:fill="FFFFFF"/>
        </w:rPr>
        <w:t>Communication Research, 0(0). </w:t>
      </w:r>
      <w:hyperlink r:id="rId5" w:history="1">
        <w:r w:rsidRPr="001637F9">
          <w:rPr>
            <w:rStyle w:val="Hyperlink"/>
            <w:rFonts w:cstheme="minorHAnsi"/>
            <w:color w:val="006ACC"/>
            <w:shd w:val="clear" w:color="auto" w:fill="FFFFFF"/>
          </w:rPr>
          <w:t>https://doi.org/10.1177/00936502231189811</w:t>
        </w:r>
      </w:hyperlink>
      <w:r w:rsidR="009A2194">
        <w:rPr>
          <w:rFonts w:cstheme="minorHAnsi"/>
        </w:rPr>
        <w:t>.</w:t>
      </w:r>
      <w:r w:rsidR="0080507A">
        <w:rPr>
          <w:rFonts w:cstheme="minorHAnsi"/>
        </w:rPr>
        <w:br/>
      </w:r>
      <w:r w:rsidR="0080507A">
        <w:br/>
      </w:r>
      <w:r w:rsidR="0080507A" w:rsidRPr="00E91F2C">
        <w:rPr>
          <w:rFonts w:cstheme="minorHAnsi"/>
          <w:shd w:val="clear" w:color="auto" w:fill="FFFFFF"/>
        </w:rPr>
        <w:t>Collins</w:t>
      </w:r>
      <w:r w:rsidR="0080507A" w:rsidRPr="00E91F2C">
        <w:rPr>
          <w:rFonts w:cstheme="minorHAnsi"/>
          <w:shd w:val="clear" w:color="auto" w:fill="FFFFFF"/>
        </w:rPr>
        <w:t xml:space="preserve">. R., </w:t>
      </w:r>
      <w:r w:rsidR="0080507A" w:rsidRPr="00E91F2C">
        <w:rPr>
          <w:rFonts w:cstheme="minorHAnsi"/>
          <w:shd w:val="clear" w:color="auto" w:fill="FFFFFF"/>
        </w:rPr>
        <w:t>Hunt</w:t>
      </w:r>
      <w:r w:rsidR="0080507A" w:rsidRPr="00E91F2C">
        <w:rPr>
          <w:rFonts w:cstheme="minorHAnsi"/>
          <w:shd w:val="clear" w:color="auto" w:fill="FFFFFF"/>
        </w:rPr>
        <w:t xml:space="preserve">. </w:t>
      </w:r>
      <w:r w:rsidR="0080507A" w:rsidRPr="00E91F2C">
        <w:rPr>
          <w:rFonts w:cstheme="minorHAnsi"/>
          <w:shd w:val="clear" w:color="auto" w:fill="FFFFFF"/>
        </w:rPr>
        <w:t>A</w:t>
      </w:r>
      <w:r w:rsidR="0080507A" w:rsidRPr="00E91F2C">
        <w:rPr>
          <w:rFonts w:cstheme="minorHAnsi"/>
          <w:shd w:val="clear" w:color="auto" w:fill="FFFFFF"/>
        </w:rPr>
        <w:t>.</w:t>
      </w:r>
      <w:r w:rsidR="0080507A" w:rsidRPr="00E91F2C">
        <w:rPr>
          <w:rFonts w:cstheme="minorHAnsi"/>
          <w:shd w:val="clear" w:color="auto" w:fill="FFFFFF"/>
        </w:rPr>
        <w:t>, Quinn</w:t>
      </w:r>
      <w:r w:rsidR="0080507A" w:rsidRPr="00E91F2C">
        <w:rPr>
          <w:rFonts w:cstheme="minorHAnsi"/>
          <w:shd w:val="clear" w:color="auto" w:fill="FFFFFF"/>
        </w:rPr>
        <w:t>.</w:t>
      </w:r>
      <w:r w:rsidR="0080507A" w:rsidRPr="00E91F2C">
        <w:rPr>
          <w:rFonts w:cstheme="minorHAnsi"/>
          <w:shd w:val="clear" w:color="auto" w:fill="FFFFFF"/>
        </w:rPr>
        <w:t xml:space="preserve"> C</w:t>
      </w:r>
      <w:r w:rsidR="0080507A" w:rsidRPr="00E91F2C">
        <w:rPr>
          <w:rFonts w:cstheme="minorHAnsi"/>
          <w:shd w:val="clear" w:color="auto" w:fill="FFFFFF"/>
        </w:rPr>
        <w:t>.</w:t>
      </w:r>
      <w:r w:rsidR="0080507A" w:rsidRPr="00E91F2C">
        <w:rPr>
          <w:rFonts w:cstheme="minorHAnsi"/>
          <w:shd w:val="clear" w:color="auto" w:fill="FFFFFF"/>
        </w:rPr>
        <w:t>, Martyr</w:t>
      </w:r>
      <w:r w:rsidR="0080507A" w:rsidRPr="00E91F2C">
        <w:rPr>
          <w:rFonts w:cstheme="minorHAnsi"/>
          <w:shd w:val="clear" w:color="auto" w:fill="FFFFFF"/>
        </w:rPr>
        <w:t>.</w:t>
      </w:r>
      <w:r w:rsidR="0080507A" w:rsidRPr="00E91F2C">
        <w:rPr>
          <w:rFonts w:cstheme="minorHAnsi"/>
          <w:shd w:val="clear" w:color="auto" w:fill="FFFFFF"/>
        </w:rPr>
        <w:t xml:space="preserve"> A</w:t>
      </w:r>
      <w:r w:rsidR="0080507A" w:rsidRPr="00E91F2C">
        <w:rPr>
          <w:rFonts w:cstheme="minorHAnsi"/>
          <w:shd w:val="clear" w:color="auto" w:fill="FFFFFF"/>
        </w:rPr>
        <w:t>.</w:t>
      </w:r>
      <w:r w:rsidR="0080507A" w:rsidRPr="00E91F2C">
        <w:rPr>
          <w:rFonts w:cstheme="minorHAnsi"/>
          <w:shd w:val="clear" w:color="auto" w:fill="FFFFFF"/>
        </w:rPr>
        <w:t>, Pentecost</w:t>
      </w:r>
      <w:r w:rsidR="0080507A" w:rsidRPr="00E91F2C">
        <w:rPr>
          <w:rFonts w:cstheme="minorHAnsi"/>
          <w:shd w:val="clear" w:color="auto" w:fill="FFFFFF"/>
        </w:rPr>
        <w:t>.</w:t>
      </w:r>
      <w:r w:rsidR="0080507A" w:rsidRPr="00E91F2C">
        <w:rPr>
          <w:rFonts w:cstheme="minorHAnsi"/>
          <w:shd w:val="clear" w:color="auto" w:fill="FFFFFF"/>
        </w:rPr>
        <w:t xml:space="preserve"> </w:t>
      </w:r>
      <w:r w:rsidR="0080507A" w:rsidRPr="00E91F2C">
        <w:rPr>
          <w:rFonts w:cstheme="minorHAnsi"/>
          <w:shd w:val="clear" w:color="auto" w:fill="FFFFFF"/>
        </w:rPr>
        <w:t>C.</w:t>
      </w:r>
      <w:r w:rsidR="0080507A" w:rsidRPr="00E91F2C">
        <w:rPr>
          <w:rFonts w:cstheme="minorHAnsi"/>
          <w:shd w:val="clear" w:color="auto" w:fill="FFFFFF"/>
        </w:rPr>
        <w:t xml:space="preserve">, </w:t>
      </w:r>
      <w:r w:rsidR="0080507A" w:rsidRPr="00E91F2C">
        <w:rPr>
          <w:rFonts w:cstheme="minorHAnsi"/>
          <w:shd w:val="clear" w:color="auto" w:fill="FFFFFF"/>
        </w:rPr>
        <w:t>a</w:t>
      </w:r>
      <w:r w:rsidR="00E91F2C" w:rsidRPr="00E91F2C">
        <w:rPr>
          <w:rFonts w:cstheme="minorHAnsi"/>
          <w:shd w:val="clear" w:color="auto" w:fill="FFFFFF"/>
        </w:rPr>
        <w:t xml:space="preserve">nd </w:t>
      </w:r>
      <w:r w:rsidR="0080507A" w:rsidRPr="00E91F2C">
        <w:rPr>
          <w:rFonts w:cstheme="minorHAnsi"/>
          <w:shd w:val="clear" w:color="auto" w:fill="FFFFFF"/>
        </w:rPr>
        <w:t>Clare</w:t>
      </w:r>
      <w:r w:rsidR="00E91F2C" w:rsidRPr="00E91F2C">
        <w:rPr>
          <w:rFonts w:cstheme="minorHAnsi"/>
          <w:shd w:val="clear" w:color="auto" w:fill="FFFFFF"/>
        </w:rPr>
        <w:t xml:space="preserve">. </w:t>
      </w:r>
      <w:r w:rsidR="0080507A" w:rsidRPr="00E91F2C">
        <w:rPr>
          <w:rFonts w:cstheme="minorHAnsi"/>
          <w:shd w:val="clear" w:color="auto" w:fill="FFFFFF"/>
        </w:rPr>
        <w:t>L.</w:t>
      </w:r>
      <w:r w:rsidR="00E91F2C" w:rsidRPr="00E91F2C">
        <w:rPr>
          <w:rFonts w:cstheme="minorHAnsi"/>
          <w:shd w:val="clear" w:color="auto" w:fill="FFFFFF"/>
        </w:rPr>
        <w:t xml:space="preserve"> (2022)</w:t>
      </w:r>
      <w:r w:rsidR="0080507A" w:rsidRPr="00E91F2C">
        <w:rPr>
          <w:rFonts w:cstheme="minorHAnsi"/>
          <w:shd w:val="clear" w:color="auto" w:fill="FFFFFF"/>
        </w:rPr>
        <w:t xml:space="preserve"> </w:t>
      </w:r>
      <w:r w:rsidR="0080507A" w:rsidRPr="00E91F2C">
        <w:rPr>
          <w:rFonts w:cstheme="minorHAnsi"/>
          <w:i/>
          <w:iCs/>
          <w:shd w:val="clear" w:color="auto" w:fill="FFFFFF"/>
        </w:rPr>
        <w:t>Methods and approaches for enhancing communication with people with moderate-to-severe dementia that can facilitate their inclusion in research and service evaluation: Findings from the IDEAL programme. Dementia.</w:t>
      </w:r>
      <w:r w:rsidR="0080507A" w:rsidRPr="00E91F2C">
        <w:rPr>
          <w:rFonts w:cstheme="minorHAnsi"/>
          <w:shd w:val="clear" w:color="auto" w:fill="FFFFFF"/>
        </w:rPr>
        <w:t xml:space="preserve"> 21(4):1135-1153. doi:</w:t>
      </w:r>
      <w:hyperlink r:id="rId6" w:history="1">
        <w:r w:rsidR="0080507A" w:rsidRPr="00E91F2C">
          <w:rPr>
            <w:rStyle w:val="Hyperlink"/>
            <w:rFonts w:cstheme="minorHAnsi"/>
            <w:color w:val="auto"/>
            <w:shd w:val="clear" w:color="auto" w:fill="FFFFFF"/>
          </w:rPr>
          <w:t>10.1177/14713012211069449</w:t>
        </w:r>
      </w:hyperlink>
    </w:p>
    <w:p w14:paraId="1964EC34" w14:textId="77CE2BF0" w:rsidR="003B4BF5" w:rsidRDefault="003B4BF5" w:rsidP="00165285">
      <w:r>
        <w:rPr>
          <w:rFonts w:cstheme="minorHAnsi"/>
        </w:rPr>
        <w:t>Cou</w:t>
      </w:r>
      <w:r w:rsidR="00585AC9">
        <w:rPr>
          <w:rFonts w:cstheme="minorHAnsi"/>
        </w:rPr>
        <w:t xml:space="preserve">rsera. (2023) </w:t>
      </w:r>
      <w:r w:rsidR="00585AC9">
        <w:rPr>
          <w:rFonts w:cstheme="minorHAnsi"/>
          <w:i/>
          <w:iCs/>
        </w:rPr>
        <w:t xml:space="preserve">Transferable skills: How to use them to land your next job. </w:t>
      </w:r>
      <w:r w:rsidR="00585AC9">
        <w:rPr>
          <w:rFonts w:cstheme="minorHAnsi"/>
        </w:rPr>
        <w:t xml:space="preserve">Available at: </w:t>
      </w:r>
      <w:hyperlink r:id="rId7" w:history="1">
        <w:r w:rsidR="001279CB">
          <w:rPr>
            <w:rStyle w:val="Hyperlink"/>
          </w:rPr>
          <w:t>Transferable Skills: How to Use Them to Land Your Next Job | Coursera</w:t>
        </w:r>
      </w:hyperlink>
      <w:r w:rsidR="001279CB">
        <w:t>. (Accessed 17 November).</w:t>
      </w:r>
    </w:p>
    <w:p w14:paraId="302A13DC" w14:textId="448A5B3C" w:rsidR="00063EEF" w:rsidRPr="00063EEF" w:rsidRDefault="00063EEF" w:rsidP="00165285">
      <w:pPr>
        <w:rPr>
          <w:rFonts w:cstheme="minorHAnsi"/>
        </w:rPr>
      </w:pPr>
      <w:r w:rsidRPr="00063EEF">
        <w:rPr>
          <w:rFonts w:cstheme="minorHAnsi"/>
          <w:color w:val="212121"/>
          <w:shd w:val="clear" w:color="auto" w:fill="FFFFFF"/>
        </w:rPr>
        <w:t xml:space="preserve">Foley, G. N., &amp; Gentile, J. P. (2010). </w:t>
      </w:r>
      <w:r w:rsidRPr="00063EEF">
        <w:rPr>
          <w:rFonts w:cstheme="minorHAnsi"/>
          <w:i/>
          <w:iCs/>
          <w:color w:val="212121"/>
          <w:shd w:val="clear" w:color="auto" w:fill="FFFFFF"/>
        </w:rPr>
        <w:t>Nonverbal communication in psychotherapy</w:t>
      </w:r>
      <w:r w:rsidRPr="00063EEF">
        <w:rPr>
          <w:rFonts w:cstheme="minorHAnsi"/>
          <w:color w:val="212121"/>
          <w:shd w:val="clear" w:color="auto" w:fill="FFFFFF"/>
        </w:rPr>
        <w:t>. </w:t>
      </w:r>
      <w:r w:rsidRPr="00063EEF">
        <w:rPr>
          <w:rFonts w:cstheme="minorHAnsi"/>
          <w:i/>
          <w:iCs/>
          <w:color w:val="212121"/>
          <w:shd w:val="clear" w:color="auto" w:fill="FFFFFF"/>
        </w:rPr>
        <w:t>Psychiatry (</w:t>
      </w:r>
      <w:proofErr w:type="spellStart"/>
      <w:r w:rsidRPr="00063EEF">
        <w:rPr>
          <w:rFonts w:cstheme="minorHAnsi"/>
          <w:i/>
          <w:iCs/>
          <w:color w:val="212121"/>
          <w:shd w:val="clear" w:color="auto" w:fill="FFFFFF"/>
        </w:rPr>
        <w:t>Edgmont</w:t>
      </w:r>
      <w:proofErr w:type="spellEnd"/>
      <w:r w:rsidRPr="00063EEF">
        <w:rPr>
          <w:rFonts w:cstheme="minorHAnsi"/>
          <w:i/>
          <w:iCs/>
          <w:color w:val="212121"/>
          <w:shd w:val="clear" w:color="auto" w:fill="FFFFFF"/>
        </w:rPr>
        <w:t xml:space="preserve"> </w:t>
      </w:r>
      <w:r w:rsidRPr="00063EEF">
        <w:rPr>
          <w:rFonts w:cstheme="minorHAnsi"/>
          <w:color w:val="212121"/>
          <w:shd w:val="clear" w:color="auto" w:fill="FFFFFF"/>
        </w:rPr>
        <w:t>(</w:t>
      </w:r>
      <w:proofErr w:type="gramStart"/>
      <w:r w:rsidRPr="00063EEF">
        <w:rPr>
          <w:rFonts w:cstheme="minorHAnsi"/>
          <w:color w:val="212121"/>
          <w:shd w:val="clear" w:color="auto" w:fill="FFFFFF"/>
        </w:rPr>
        <w:t>Pa. :</w:t>
      </w:r>
      <w:proofErr w:type="gramEnd"/>
      <w:r w:rsidRPr="00063EEF">
        <w:rPr>
          <w:rFonts w:cstheme="minorHAnsi"/>
          <w:color w:val="212121"/>
          <w:shd w:val="clear" w:color="auto" w:fill="FFFFFF"/>
        </w:rPr>
        <w:t xml:space="preserve"> Township)), 7(6), 38–44.</w:t>
      </w:r>
    </w:p>
    <w:p w14:paraId="7B828338" w14:textId="03B46392" w:rsidR="00476805" w:rsidRDefault="00A80776" w:rsidP="00165285">
      <w:r>
        <w:t xml:space="preserve">Joseph, R. (2023) </w:t>
      </w:r>
      <w:r>
        <w:rPr>
          <w:i/>
          <w:iCs/>
        </w:rPr>
        <w:t>Is Depression genetic/hereditary?</w:t>
      </w:r>
      <w:r w:rsidR="009A2194">
        <w:rPr>
          <w:i/>
          <w:iCs/>
        </w:rPr>
        <w:t xml:space="preserve"> </w:t>
      </w:r>
      <w:r w:rsidR="009A2194">
        <w:t xml:space="preserve">Available at: </w:t>
      </w:r>
      <w:hyperlink r:id="rId8" w:history="1">
        <w:r w:rsidR="00476805">
          <w:rPr>
            <w:rStyle w:val="Hyperlink"/>
          </w:rPr>
          <w:t>Is depression genetic/hereditary? – Priory (priorygroup.com)</w:t>
        </w:r>
      </w:hyperlink>
      <w:r w:rsidR="009A2194">
        <w:t xml:space="preserve"> (Accessed 15 November).</w:t>
      </w:r>
    </w:p>
    <w:p w14:paraId="73022BF3" w14:textId="65416884" w:rsidR="00411D94" w:rsidRPr="00411D94" w:rsidRDefault="00411D94" w:rsidP="00165285">
      <w:pPr>
        <w:rPr>
          <w:rFonts w:cstheme="minorHAnsi"/>
        </w:rPr>
      </w:pPr>
      <w:r w:rsidRPr="00411D94">
        <w:rPr>
          <w:rFonts w:cstheme="minorHAnsi"/>
          <w:color w:val="222222"/>
          <w:shd w:val="clear" w:color="auto" w:fill="FFFFFF"/>
        </w:rPr>
        <w:t>O’Daniel M</w:t>
      </w:r>
      <w:r>
        <w:rPr>
          <w:rFonts w:cstheme="minorHAnsi"/>
          <w:color w:val="222222"/>
          <w:shd w:val="clear" w:color="auto" w:fill="FFFFFF"/>
        </w:rPr>
        <w:t>.</w:t>
      </w:r>
      <w:r w:rsidRPr="00411D94">
        <w:rPr>
          <w:rFonts w:cstheme="minorHAnsi"/>
          <w:color w:val="222222"/>
          <w:shd w:val="clear" w:color="auto" w:fill="FFFFFF"/>
        </w:rPr>
        <w:t>,</w:t>
      </w:r>
      <w:r>
        <w:rPr>
          <w:rFonts w:cstheme="minorHAnsi"/>
          <w:color w:val="222222"/>
          <w:shd w:val="clear" w:color="auto" w:fill="FFFFFF"/>
        </w:rPr>
        <w:t xml:space="preserve"> and</w:t>
      </w:r>
      <w:r w:rsidRPr="00411D94">
        <w:rPr>
          <w:rFonts w:cstheme="minorHAnsi"/>
          <w:color w:val="222222"/>
          <w:shd w:val="clear" w:color="auto" w:fill="FFFFFF"/>
        </w:rPr>
        <w:t xml:space="preserve"> Rosenstein A</w:t>
      </w:r>
      <w:r>
        <w:rPr>
          <w:rFonts w:cstheme="minorHAnsi"/>
          <w:color w:val="222222"/>
          <w:shd w:val="clear" w:color="auto" w:fill="FFFFFF"/>
        </w:rPr>
        <w:t xml:space="preserve">. </w:t>
      </w:r>
      <w:r w:rsidRPr="00411D94">
        <w:rPr>
          <w:rFonts w:cstheme="minorHAnsi"/>
          <w:color w:val="222222"/>
          <w:shd w:val="clear" w:color="auto" w:fill="FFFFFF"/>
        </w:rPr>
        <w:t xml:space="preserve">H. </w:t>
      </w:r>
      <w:r>
        <w:rPr>
          <w:rFonts w:cstheme="minorHAnsi"/>
          <w:color w:val="222222"/>
          <w:shd w:val="clear" w:color="auto" w:fill="FFFFFF"/>
        </w:rPr>
        <w:t xml:space="preserve">(2008) </w:t>
      </w:r>
      <w:r w:rsidRPr="00411D94">
        <w:rPr>
          <w:rFonts w:cstheme="minorHAnsi"/>
          <w:i/>
          <w:iCs/>
          <w:color w:val="222222"/>
          <w:shd w:val="clear" w:color="auto" w:fill="FFFFFF"/>
        </w:rPr>
        <w:t>Professional Communication and Team Collaboration. In: Hughes RG, editor. Patient Safety and Quality: An Evidence-Based Handbook for Nurses. Rockville (MD): Agency for Healthcare Research and Quality (US)</w:t>
      </w:r>
      <w:r w:rsidRPr="00411D94">
        <w:rPr>
          <w:rFonts w:cstheme="minorHAnsi"/>
          <w:color w:val="222222"/>
          <w:shd w:val="clear" w:color="auto" w:fill="FFFFFF"/>
        </w:rPr>
        <w:t xml:space="preserve"> Ap</w:t>
      </w:r>
      <w:r>
        <w:rPr>
          <w:rFonts w:cstheme="minorHAnsi"/>
          <w:color w:val="222222"/>
          <w:shd w:val="clear" w:color="auto" w:fill="FFFFFF"/>
        </w:rPr>
        <w:t>il</w:t>
      </w:r>
      <w:r w:rsidRPr="00411D94">
        <w:rPr>
          <w:rFonts w:cstheme="minorHAnsi"/>
          <w:color w:val="222222"/>
          <w:shd w:val="clear" w:color="auto" w:fill="FFFFFF"/>
        </w:rPr>
        <w:t>. Chapter 33.</w:t>
      </w:r>
      <w:r w:rsidRPr="00411D94">
        <w:rPr>
          <w:rStyle w:val="bkciteavail"/>
          <w:rFonts w:cstheme="minorHAnsi"/>
          <w:color w:val="222222"/>
          <w:shd w:val="clear" w:color="auto" w:fill="FFFFFF"/>
        </w:rPr>
        <w:t xml:space="preserve"> Available from: </w:t>
      </w:r>
      <w:hyperlink r:id="rId9" w:history="1">
        <w:r w:rsidR="00BF6850" w:rsidRPr="007C2508">
          <w:rPr>
            <w:rStyle w:val="Hyperlink"/>
            <w:rFonts w:cstheme="minorHAnsi"/>
            <w:shd w:val="clear" w:color="auto" w:fill="FFFFFF"/>
          </w:rPr>
          <w:t>https://www.ncbi.nlm.nih.gov/books/NBK2637/</w:t>
        </w:r>
      </w:hyperlink>
      <w:r w:rsidR="00BF6850">
        <w:rPr>
          <w:rStyle w:val="bkciteavail"/>
          <w:rFonts w:cstheme="minorHAnsi"/>
          <w:color w:val="222222"/>
          <w:shd w:val="clear" w:color="auto" w:fill="FFFFFF"/>
        </w:rPr>
        <w:t xml:space="preserve"> (Accessed 17 November).</w:t>
      </w:r>
    </w:p>
    <w:p w14:paraId="0D38A2A4" w14:textId="77777777" w:rsidR="005233A4" w:rsidRDefault="005233A4" w:rsidP="005233A4">
      <w:r>
        <w:t xml:space="preserve">Perry, E. (2021) </w:t>
      </w:r>
      <w:r>
        <w:rPr>
          <w:i/>
          <w:iCs/>
        </w:rPr>
        <w:t xml:space="preserve">Eye Contact is important (crucial really) in communication. </w:t>
      </w:r>
      <w:r>
        <w:t xml:space="preserve">Available at: </w:t>
      </w:r>
      <w:hyperlink r:id="rId10" w:history="1">
        <w:r>
          <w:rPr>
            <w:rStyle w:val="Hyperlink"/>
          </w:rPr>
          <w:t>Eye Contact Is Important (Crucial Really) in Communication (betterup.com)</w:t>
        </w:r>
      </w:hyperlink>
      <w:r>
        <w:t xml:space="preserve"> (Accessed: 16 November 2023).</w:t>
      </w:r>
    </w:p>
    <w:p w14:paraId="5A89341D" w14:textId="77777777" w:rsidR="00B3379A" w:rsidRPr="00751A44" w:rsidRDefault="00B3379A" w:rsidP="00B3379A">
      <w:pPr>
        <w:rPr>
          <w:rFonts w:cstheme="minorHAnsi"/>
        </w:rPr>
      </w:pPr>
      <w:r w:rsidRPr="00751A44">
        <w:rPr>
          <w:rFonts w:cstheme="minorHAnsi"/>
          <w:color w:val="212121"/>
          <w:shd w:val="clear" w:color="auto" w:fill="FFFFFF"/>
        </w:rPr>
        <w:t xml:space="preserve">Wieke </w:t>
      </w:r>
      <w:proofErr w:type="spellStart"/>
      <w:r w:rsidRPr="00751A44">
        <w:rPr>
          <w:rFonts w:cstheme="minorHAnsi"/>
          <w:color w:val="212121"/>
          <w:shd w:val="clear" w:color="auto" w:fill="FFFFFF"/>
        </w:rPr>
        <w:t>Noviyanti</w:t>
      </w:r>
      <w:proofErr w:type="spellEnd"/>
      <w:r w:rsidRPr="00751A44">
        <w:rPr>
          <w:rFonts w:cstheme="minorHAnsi"/>
          <w:color w:val="212121"/>
          <w:shd w:val="clear" w:color="auto" w:fill="FFFFFF"/>
        </w:rPr>
        <w:t xml:space="preserve">, L., Ahsan, A., &amp; </w:t>
      </w:r>
      <w:proofErr w:type="spellStart"/>
      <w:r w:rsidRPr="00751A44">
        <w:rPr>
          <w:rFonts w:cstheme="minorHAnsi"/>
          <w:color w:val="212121"/>
          <w:shd w:val="clear" w:color="auto" w:fill="FFFFFF"/>
        </w:rPr>
        <w:t>Sudartya</w:t>
      </w:r>
      <w:proofErr w:type="spellEnd"/>
      <w:r w:rsidRPr="00751A44">
        <w:rPr>
          <w:rFonts w:cstheme="minorHAnsi"/>
          <w:color w:val="212121"/>
          <w:shd w:val="clear" w:color="auto" w:fill="FFFFFF"/>
        </w:rPr>
        <w:t xml:space="preserve">, T. S. (2021). </w:t>
      </w:r>
      <w:r w:rsidRPr="00751A44">
        <w:rPr>
          <w:rFonts w:cstheme="minorHAnsi"/>
          <w:i/>
          <w:iCs/>
          <w:color w:val="212121"/>
          <w:shd w:val="clear" w:color="auto" w:fill="FFFFFF"/>
        </w:rPr>
        <w:t>Exploring the relationship between nurses' communication satisfaction and patient safety culture</w:t>
      </w:r>
      <w:r w:rsidRPr="00751A44">
        <w:rPr>
          <w:rFonts w:cstheme="minorHAnsi"/>
          <w:color w:val="212121"/>
          <w:shd w:val="clear" w:color="auto" w:fill="FFFFFF"/>
        </w:rPr>
        <w:t>. </w:t>
      </w:r>
      <w:r w:rsidRPr="00751A44">
        <w:rPr>
          <w:rFonts w:cstheme="minorHAnsi"/>
          <w:i/>
          <w:iCs/>
          <w:color w:val="212121"/>
          <w:shd w:val="clear" w:color="auto" w:fill="FFFFFF"/>
        </w:rPr>
        <w:t>Journal of public health research</w:t>
      </w:r>
      <w:r w:rsidRPr="00751A44">
        <w:rPr>
          <w:rFonts w:cstheme="minorHAnsi"/>
          <w:color w:val="212121"/>
          <w:shd w:val="clear" w:color="auto" w:fill="FFFFFF"/>
        </w:rPr>
        <w:t>, </w:t>
      </w:r>
      <w:r w:rsidRPr="00751A44">
        <w:rPr>
          <w:rFonts w:cstheme="minorHAnsi"/>
          <w:i/>
          <w:iCs/>
          <w:color w:val="212121"/>
          <w:shd w:val="clear" w:color="auto" w:fill="FFFFFF"/>
        </w:rPr>
        <w:t>10</w:t>
      </w:r>
      <w:r w:rsidRPr="00751A44">
        <w:rPr>
          <w:rFonts w:cstheme="minorHAnsi"/>
          <w:color w:val="212121"/>
          <w:shd w:val="clear" w:color="auto" w:fill="FFFFFF"/>
        </w:rPr>
        <w:t>(2), 2225. https://doi.org/10.4081/jphr.2021.2225</w:t>
      </w:r>
    </w:p>
    <w:p w14:paraId="3E519335" w14:textId="77777777" w:rsidR="00B3379A" w:rsidRDefault="00B3379A" w:rsidP="005233A4"/>
    <w:p w14:paraId="671EB5E6" w14:textId="77777777" w:rsidR="005233A4" w:rsidRPr="005233A4" w:rsidRDefault="005233A4" w:rsidP="00165285">
      <w:pPr>
        <w:rPr>
          <w:b/>
          <w:bCs/>
        </w:rPr>
      </w:pPr>
    </w:p>
    <w:p w14:paraId="1FACC2EF" w14:textId="77777777" w:rsidR="00447A58" w:rsidRDefault="00447A58" w:rsidP="00165285"/>
    <w:p w14:paraId="5C5BC606" w14:textId="77777777" w:rsidR="00447A58" w:rsidRDefault="00447A58" w:rsidP="00165285"/>
    <w:p w14:paraId="7ECC64DD" w14:textId="77777777" w:rsidR="0075070E" w:rsidRPr="00F165B6" w:rsidRDefault="0075070E" w:rsidP="00165285"/>
    <w:sectPr w:rsidR="0075070E" w:rsidRPr="00F165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85"/>
    <w:rsid w:val="00004F69"/>
    <w:rsid w:val="0006377A"/>
    <w:rsid w:val="00063EEF"/>
    <w:rsid w:val="00093B49"/>
    <w:rsid w:val="000C0356"/>
    <w:rsid w:val="000E57DB"/>
    <w:rsid w:val="001279CB"/>
    <w:rsid w:val="001637F9"/>
    <w:rsid w:val="00165285"/>
    <w:rsid w:val="001A0280"/>
    <w:rsid w:val="001A7CA5"/>
    <w:rsid w:val="0022350D"/>
    <w:rsid w:val="00234D66"/>
    <w:rsid w:val="002A5A49"/>
    <w:rsid w:val="00340818"/>
    <w:rsid w:val="00367E54"/>
    <w:rsid w:val="00372B43"/>
    <w:rsid w:val="003736AE"/>
    <w:rsid w:val="003851C7"/>
    <w:rsid w:val="003B4BF5"/>
    <w:rsid w:val="00411D94"/>
    <w:rsid w:val="00442A1C"/>
    <w:rsid w:val="00447A58"/>
    <w:rsid w:val="00452EDF"/>
    <w:rsid w:val="00453505"/>
    <w:rsid w:val="00476805"/>
    <w:rsid w:val="004A5471"/>
    <w:rsid w:val="00514120"/>
    <w:rsid w:val="005233A4"/>
    <w:rsid w:val="00585AC9"/>
    <w:rsid w:val="005B4706"/>
    <w:rsid w:val="005B4DA1"/>
    <w:rsid w:val="00696C31"/>
    <w:rsid w:val="0075070E"/>
    <w:rsid w:val="00751A44"/>
    <w:rsid w:val="0080507A"/>
    <w:rsid w:val="008D3DAA"/>
    <w:rsid w:val="009765D9"/>
    <w:rsid w:val="00984787"/>
    <w:rsid w:val="00984A08"/>
    <w:rsid w:val="009A2194"/>
    <w:rsid w:val="009C5E7D"/>
    <w:rsid w:val="009E1B42"/>
    <w:rsid w:val="00A6717C"/>
    <w:rsid w:val="00A80776"/>
    <w:rsid w:val="00AA6412"/>
    <w:rsid w:val="00B123B0"/>
    <w:rsid w:val="00B276EF"/>
    <w:rsid w:val="00B3379A"/>
    <w:rsid w:val="00B82625"/>
    <w:rsid w:val="00BF6850"/>
    <w:rsid w:val="00C51107"/>
    <w:rsid w:val="00CA5199"/>
    <w:rsid w:val="00CD431E"/>
    <w:rsid w:val="00CE7B95"/>
    <w:rsid w:val="00D92D4F"/>
    <w:rsid w:val="00DA7EC9"/>
    <w:rsid w:val="00E262BD"/>
    <w:rsid w:val="00E840EE"/>
    <w:rsid w:val="00E91F2C"/>
    <w:rsid w:val="00F165B6"/>
    <w:rsid w:val="00F96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C1097"/>
  <w15:chartTrackingRefBased/>
  <w15:docId w15:val="{B6AD099B-70F4-4184-8BA3-C75FAA173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A02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070E"/>
    <w:rPr>
      <w:color w:val="0000FF"/>
      <w:u w:val="single"/>
    </w:rPr>
  </w:style>
  <w:style w:type="character" w:customStyle="1" w:styleId="Heading1Char">
    <w:name w:val="Heading 1 Char"/>
    <w:basedOn w:val="DefaultParagraphFont"/>
    <w:link w:val="Heading1"/>
    <w:uiPriority w:val="9"/>
    <w:rsid w:val="001A0280"/>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B276EF"/>
    <w:rPr>
      <w:i/>
      <w:iCs/>
    </w:rPr>
  </w:style>
  <w:style w:type="character" w:styleId="UnresolvedMention">
    <w:name w:val="Unresolved Mention"/>
    <w:basedOn w:val="DefaultParagraphFont"/>
    <w:uiPriority w:val="99"/>
    <w:semiHidden/>
    <w:unhideWhenUsed/>
    <w:rsid w:val="0006377A"/>
    <w:rPr>
      <w:color w:val="605E5C"/>
      <w:shd w:val="clear" w:color="auto" w:fill="E1DFDD"/>
    </w:rPr>
  </w:style>
  <w:style w:type="character" w:customStyle="1" w:styleId="bkciteavail">
    <w:name w:val="bk_cite_avail"/>
    <w:basedOn w:val="DefaultParagraphFont"/>
    <w:rsid w:val="00411D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683288">
      <w:bodyDiv w:val="1"/>
      <w:marLeft w:val="0"/>
      <w:marRight w:val="0"/>
      <w:marTop w:val="0"/>
      <w:marBottom w:val="0"/>
      <w:divBdr>
        <w:top w:val="none" w:sz="0" w:space="0" w:color="auto"/>
        <w:left w:val="none" w:sz="0" w:space="0" w:color="auto"/>
        <w:bottom w:val="none" w:sz="0" w:space="0" w:color="auto"/>
        <w:right w:val="none" w:sz="0" w:space="0" w:color="auto"/>
      </w:divBdr>
    </w:div>
    <w:div w:id="789473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iorygroup.com/blog/is-depression-genetic" TargetMode="External"/><Relationship Id="rId3" Type="http://schemas.openxmlformats.org/officeDocument/2006/relationships/webSettings" Target="webSettings.xml"/><Relationship Id="rId7" Type="http://schemas.openxmlformats.org/officeDocument/2006/relationships/hyperlink" Target="https://www.coursera.org/articles/transferable-skill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77/14713012211069449" TargetMode="External"/><Relationship Id="rId11" Type="http://schemas.openxmlformats.org/officeDocument/2006/relationships/fontTable" Target="fontTable.xml"/><Relationship Id="rId5" Type="http://schemas.openxmlformats.org/officeDocument/2006/relationships/hyperlink" Target="https://doi.org/10.1177/00936502231189811" TargetMode="External"/><Relationship Id="rId10" Type="http://schemas.openxmlformats.org/officeDocument/2006/relationships/hyperlink" Target="https://www.betterup.com/blog/why-is-eye-contact-important" TargetMode="External"/><Relationship Id="rId4" Type="http://schemas.openxmlformats.org/officeDocument/2006/relationships/hyperlink" Target="https://doi.org/10.1037/h0093918" TargetMode="External"/><Relationship Id="rId9" Type="http://schemas.openxmlformats.org/officeDocument/2006/relationships/hyperlink" Target="https://www.ncbi.nlm.nih.gov/books/NBK2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1301</Words>
  <Characters>7420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gamble</dc:creator>
  <cp:keywords/>
  <dc:description/>
  <cp:lastModifiedBy>melanie gamble</cp:lastModifiedBy>
  <cp:revision>2</cp:revision>
  <dcterms:created xsi:type="dcterms:W3CDTF">2023-11-17T22:19:00Z</dcterms:created>
  <dcterms:modified xsi:type="dcterms:W3CDTF">2023-11-17T22:19:00Z</dcterms:modified>
</cp:coreProperties>
</file>