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07818" w14:textId="5F6BB4EE" w:rsidR="00736E22" w:rsidRPr="00567E73" w:rsidRDefault="00736E22" w:rsidP="00736E22">
      <w:pPr>
        <w:spacing w:after="160" w:line="259" w:lineRule="auto"/>
        <w:jc w:val="center"/>
        <w:rPr>
          <w:rFonts w:ascii="Arial" w:hAnsi="Arial" w:cs="Arial"/>
        </w:rPr>
      </w:pPr>
      <w:r w:rsidRPr="00567E73">
        <w:rPr>
          <w:rFonts w:ascii="Arial" w:hAnsi="Arial" w:cs="Arial"/>
          <w:noProof/>
        </w:rPr>
        <w:drawing>
          <wp:inline distT="0" distB="0" distL="0" distR="0" wp14:anchorId="5EB12DD5" wp14:editId="777BB215">
            <wp:extent cx="2867025" cy="1590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7EEB4C99" w14:textId="512BFC2C" w:rsidR="00736E22" w:rsidRPr="00567E73" w:rsidRDefault="00736E22" w:rsidP="00736E22">
      <w:pPr>
        <w:spacing w:after="160" w:line="259" w:lineRule="auto"/>
        <w:jc w:val="center"/>
        <w:rPr>
          <w:rFonts w:ascii="Arial" w:hAnsi="Arial" w:cs="Arial"/>
        </w:rPr>
      </w:pPr>
      <w:r w:rsidRPr="00567E73">
        <w:rPr>
          <w:rFonts w:ascii="Arial" w:hAnsi="Arial" w:cs="Arial"/>
        </w:rPr>
        <w:t>Module code: LCMB7023</w:t>
      </w:r>
    </w:p>
    <w:p w14:paraId="1F75FA74" w14:textId="5AB0B72D" w:rsidR="00736E22" w:rsidRPr="00567E73" w:rsidRDefault="00736E22" w:rsidP="00736E22">
      <w:pPr>
        <w:spacing w:after="160" w:line="259" w:lineRule="auto"/>
        <w:jc w:val="center"/>
        <w:rPr>
          <w:rFonts w:ascii="Arial" w:hAnsi="Arial" w:cs="Arial"/>
        </w:rPr>
      </w:pPr>
      <w:r w:rsidRPr="00567E73">
        <w:rPr>
          <w:rFonts w:ascii="Arial" w:hAnsi="Arial" w:cs="Arial"/>
        </w:rPr>
        <w:t>Module: Human Capital Management</w:t>
      </w:r>
    </w:p>
    <w:p w14:paraId="4B50EAA9" w14:textId="667FBCE3" w:rsidR="00736E22" w:rsidRPr="005251AF" w:rsidRDefault="00567E73" w:rsidP="00567E73">
      <w:pPr>
        <w:jc w:val="center"/>
        <w:rPr>
          <w:rFonts w:ascii="Arial" w:hAnsi="Arial" w:cs="Arial"/>
          <w:sz w:val="36"/>
          <w:szCs w:val="36"/>
        </w:rPr>
      </w:pPr>
      <w:r w:rsidRPr="005251AF">
        <w:rPr>
          <w:rFonts w:ascii="Arial" w:hAnsi="Arial" w:cs="Arial"/>
          <w:sz w:val="36"/>
          <w:szCs w:val="36"/>
        </w:rPr>
        <w:t xml:space="preserve">The influence of national and international labour markets on IHRM and HRM strategies </w:t>
      </w:r>
    </w:p>
    <w:p w14:paraId="0ECD303F" w14:textId="77777777" w:rsidR="00736E22" w:rsidRPr="00567E73" w:rsidRDefault="00736E22" w:rsidP="00736E22">
      <w:pPr>
        <w:jc w:val="center"/>
        <w:rPr>
          <w:rFonts w:ascii="Arial" w:hAnsi="Arial" w:cs="Arial"/>
        </w:rPr>
      </w:pPr>
    </w:p>
    <w:p w14:paraId="6E177D5D" w14:textId="5AFBF404" w:rsidR="00736E22" w:rsidRPr="00567E73" w:rsidRDefault="00736E22" w:rsidP="00736E22">
      <w:pPr>
        <w:jc w:val="center"/>
        <w:rPr>
          <w:rFonts w:ascii="Arial" w:hAnsi="Arial" w:cs="Arial"/>
        </w:rPr>
      </w:pPr>
      <w:r w:rsidRPr="00567E73">
        <w:rPr>
          <w:rFonts w:ascii="Arial" w:hAnsi="Arial" w:cs="Arial"/>
        </w:rPr>
        <w:t>Assessment component 1: Individual report</w:t>
      </w:r>
    </w:p>
    <w:p w14:paraId="7989A932" w14:textId="312CD5A8" w:rsidR="00736E22" w:rsidRPr="00567E73" w:rsidRDefault="00736E22" w:rsidP="00736E22">
      <w:pPr>
        <w:jc w:val="center"/>
        <w:rPr>
          <w:rFonts w:ascii="Arial" w:hAnsi="Arial" w:cs="Arial"/>
        </w:rPr>
      </w:pPr>
    </w:p>
    <w:p w14:paraId="200D567D" w14:textId="3ABBC5B0" w:rsidR="00736E22" w:rsidRPr="00567E73" w:rsidRDefault="00736E22" w:rsidP="00736E22">
      <w:pPr>
        <w:jc w:val="center"/>
        <w:rPr>
          <w:rFonts w:ascii="Arial" w:hAnsi="Arial" w:cs="Arial"/>
        </w:rPr>
      </w:pPr>
    </w:p>
    <w:p w14:paraId="509BC754" w14:textId="70268847" w:rsidR="00736E22" w:rsidRPr="00567E73" w:rsidRDefault="00736E22" w:rsidP="00736E22">
      <w:pPr>
        <w:jc w:val="center"/>
        <w:rPr>
          <w:rFonts w:ascii="Arial" w:hAnsi="Arial" w:cs="Arial"/>
        </w:rPr>
      </w:pPr>
      <w:r w:rsidRPr="00567E73">
        <w:rPr>
          <w:rFonts w:ascii="Arial" w:hAnsi="Arial" w:cs="Arial"/>
        </w:rPr>
        <w:t>Student Name:</w:t>
      </w:r>
      <w:r w:rsidR="00CA2A4C" w:rsidRPr="00567E73">
        <w:rPr>
          <w:rFonts w:ascii="Arial" w:hAnsi="Arial" w:cs="Arial"/>
        </w:rPr>
        <w:t xml:space="preserve"> Md Moinul Hasan Bappy</w:t>
      </w:r>
    </w:p>
    <w:p w14:paraId="5F90E3E3" w14:textId="092D08A5" w:rsidR="00736E22" w:rsidRPr="00567E73" w:rsidRDefault="00736E22" w:rsidP="00736E22">
      <w:pPr>
        <w:jc w:val="center"/>
        <w:rPr>
          <w:rFonts w:ascii="Arial" w:hAnsi="Arial" w:cs="Arial"/>
        </w:rPr>
      </w:pPr>
      <w:r w:rsidRPr="00567E73">
        <w:rPr>
          <w:rFonts w:ascii="Arial" w:hAnsi="Arial" w:cs="Arial"/>
        </w:rPr>
        <w:t xml:space="preserve">Student ID: </w:t>
      </w:r>
      <w:r w:rsidR="00CA2A4C" w:rsidRPr="00567E73">
        <w:rPr>
          <w:rFonts w:ascii="Arial" w:hAnsi="Arial" w:cs="Arial"/>
        </w:rPr>
        <w:t>2503567</w:t>
      </w:r>
    </w:p>
    <w:p w14:paraId="289AF35A" w14:textId="5B769BBC" w:rsidR="00736E22" w:rsidRPr="00567E73" w:rsidRDefault="00736E22" w:rsidP="00736E22">
      <w:pPr>
        <w:jc w:val="center"/>
        <w:rPr>
          <w:rFonts w:ascii="Arial" w:hAnsi="Arial" w:cs="Arial"/>
        </w:rPr>
      </w:pPr>
    </w:p>
    <w:p w14:paraId="65C66EEC" w14:textId="77777777" w:rsidR="00CA2A4C" w:rsidRPr="00567E73" w:rsidRDefault="00CA2A4C" w:rsidP="00736E22">
      <w:pPr>
        <w:jc w:val="center"/>
        <w:rPr>
          <w:rFonts w:ascii="Arial" w:hAnsi="Arial" w:cs="Arial"/>
        </w:rPr>
      </w:pPr>
    </w:p>
    <w:p w14:paraId="7041658B" w14:textId="4CC4060E" w:rsidR="00736E22" w:rsidRPr="00567E73" w:rsidRDefault="00736E22" w:rsidP="00736E22">
      <w:pPr>
        <w:jc w:val="center"/>
        <w:rPr>
          <w:rFonts w:ascii="Arial" w:hAnsi="Arial" w:cs="Arial"/>
        </w:rPr>
      </w:pPr>
      <w:r w:rsidRPr="00567E73">
        <w:rPr>
          <w:rFonts w:ascii="Arial" w:hAnsi="Arial" w:cs="Arial"/>
        </w:rPr>
        <w:t xml:space="preserve">Lecturer: </w:t>
      </w:r>
      <w:r w:rsidR="00567E73" w:rsidRPr="00567E73">
        <w:rPr>
          <w:rFonts w:ascii="Arial" w:hAnsi="Arial" w:cs="Arial"/>
        </w:rPr>
        <w:t>Dr Hoang Dang Nguyen</w:t>
      </w:r>
    </w:p>
    <w:p w14:paraId="3D497EE3" w14:textId="47959671" w:rsidR="00736E22" w:rsidRPr="00567E73" w:rsidRDefault="00736E22" w:rsidP="00736E22">
      <w:pPr>
        <w:jc w:val="center"/>
        <w:rPr>
          <w:rFonts w:ascii="Arial" w:hAnsi="Arial" w:cs="Arial"/>
        </w:rPr>
      </w:pPr>
    </w:p>
    <w:p w14:paraId="50B94DEF" w14:textId="6FEF9E57" w:rsidR="00736E22" w:rsidRPr="00567E73" w:rsidRDefault="00736E22" w:rsidP="00736E22">
      <w:pPr>
        <w:jc w:val="center"/>
        <w:rPr>
          <w:rFonts w:ascii="Arial" w:hAnsi="Arial" w:cs="Arial"/>
        </w:rPr>
      </w:pPr>
    </w:p>
    <w:p w14:paraId="054969A4" w14:textId="2E648AD8" w:rsidR="00736E22" w:rsidRPr="00567E73" w:rsidRDefault="00736E22" w:rsidP="00736E22">
      <w:pPr>
        <w:jc w:val="center"/>
        <w:rPr>
          <w:rFonts w:ascii="Arial" w:hAnsi="Arial" w:cs="Arial"/>
        </w:rPr>
      </w:pPr>
      <w:r w:rsidRPr="00567E73">
        <w:rPr>
          <w:rFonts w:ascii="Arial" w:hAnsi="Arial" w:cs="Arial"/>
        </w:rPr>
        <w:t>Word Count:</w:t>
      </w:r>
      <w:r w:rsidR="00025301" w:rsidRPr="00567E73">
        <w:rPr>
          <w:rFonts w:ascii="Arial" w:hAnsi="Arial" w:cs="Arial"/>
        </w:rPr>
        <w:t xml:space="preserve"> </w:t>
      </w:r>
      <w:r w:rsidR="0009284B" w:rsidRPr="00567E73">
        <w:rPr>
          <w:rFonts w:ascii="Arial" w:hAnsi="Arial" w:cs="Arial"/>
        </w:rPr>
        <w:t>2</w:t>
      </w:r>
      <w:r w:rsidR="0014291F">
        <w:rPr>
          <w:rFonts w:ascii="Arial" w:hAnsi="Arial" w:cs="Arial"/>
        </w:rPr>
        <w:t>617</w:t>
      </w:r>
    </w:p>
    <w:p w14:paraId="6AFA2AEC" w14:textId="77777777" w:rsidR="00722ED3" w:rsidRPr="00567E73" w:rsidRDefault="00722ED3" w:rsidP="00736E22">
      <w:pPr>
        <w:jc w:val="center"/>
        <w:rPr>
          <w:rFonts w:ascii="Arial" w:hAnsi="Arial" w:cs="Arial"/>
        </w:rPr>
      </w:pPr>
    </w:p>
    <w:p w14:paraId="2E2BB574" w14:textId="77777777" w:rsidR="00722ED3" w:rsidRPr="00567E73" w:rsidRDefault="00722ED3" w:rsidP="00736E22">
      <w:pPr>
        <w:jc w:val="center"/>
        <w:rPr>
          <w:rFonts w:ascii="Arial" w:hAnsi="Arial" w:cs="Arial"/>
        </w:rPr>
      </w:pPr>
    </w:p>
    <w:p w14:paraId="2F047581" w14:textId="1B6CEA14" w:rsidR="00736E22" w:rsidRPr="00567E73" w:rsidRDefault="00736E22" w:rsidP="00736E22">
      <w:pPr>
        <w:jc w:val="center"/>
        <w:rPr>
          <w:rFonts w:ascii="Arial" w:hAnsi="Arial" w:cs="Arial"/>
        </w:rPr>
      </w:pPr>
      <w:r w:rsidRPr="00567E73">
        <w:rPr>
          <w:rFonts w:ascii="Arial" w:hAnsi="Arial" w:cs="Arial"/>
        </w:rPr>
        <w:t>Date of Submission:</w:t>
      </w:r>
      <w:r w:rsidR="005D5AED">
        <w:rPr>
          <w:rFonts w:ascii="Arial" w:hAnsi="Arial" w:cs="Arial"/>
        </w:rPr>
        <w:t xml:space="preserve"> 13/11/2025</w:t>
      </w:r>
    </w:p>
    <w:p w14:paraId="703D4C66" w14:textId="05859DCC" w:rsidR="00BA6124" w:rsidRPr="00567E73" w:rsidRDefault="005C4713" w:rsidP="00584A81">
      <w:pPr>
        <w:spacing w:after="160" w:line="259" w:lineRule="auto"/>
        <w:jc w:val="left"/>
        <w:rPr>
          <w:rFonts w:ascii="Arial" w:hAnsi="Arial" w:cs="Arial"/>
        </w:rPr>
      </w:pPr>
      <w:r w:rsidRPr="00567E73">
        <w:rPr>
          <w:rFonts w:ascii="Arial" w:hAnsi="Arial" w:cs="Arial"/>
        </w:rPr>
        <w:br w:type="page"/>
      </w:r>
      <w:r w:rsidR="005D5AED">
        <w:rPr>
          <w:rFonts w:ascii="Arial" w:hAnsi="Arial" w:cs="Arial"/>
        </w:rPr>
        <w:lastRenderedPageBreak/>
        <w:t>13/</w:t>
      </w:r>
    </w:p>
    <w:sdt>
      <w:sdtPr>
        <w:rPr>
          <w:rFonts w:ascii="Arial" w:hAnsi="Arial" w:cs="Arial"/>
          <w:b/>
          <w:bCs/>
          <w:sz w:val="32"/>
          <w:szCs w:val="36"/>
        </w:rPr>
        <w:id w:val="-1151899600"/>
        <w:docPartObj>
          <w:docPartGallery w:val="Table of Contents"/>
          <w:docPartUnique/>
        </w:docPartObj>
      </w:sdtPr>
      <w:sdtEndPr>
        <w:rPr>
          <w:sz w:val="24"/>
          <w:szCs w:val="28"/>
        </w:rPr>
      </w:sdtEndPr>
      <w:sdtContent>
        <w:p w14:paraId="5189BBA9" w14:textId="488627A8" w:rsidR="006856CF" w:rsidRPr="00DE6D3F" w:rsidRDefault="006856CF" w:rsidP="006856CF">
          <w:pPr>
            <w:jc w:val="center"/>
            <w:rPr>
              <w:rFonts w:ascii="Arial" w:hAnsi="Arial" w:cs="Arial"/>
              <w:b/>
              <w:bCs/>
              <w:szCs w:val="24"/>
            </w:rPr>
          </w:pPr>
          <w:r w:rsidRPr="00DE6D3F">
            <w:rPr>
              <w:rFonts w:ascii="Arial" w:hAnsi="Arial" w:cs="Arial"/>
              <w:b/>
              <w:bCs/>
              <w:szCs w:val="24"/>
            </w:rPr>
            <w:t>Table of Contents</w:t>
          </w:r>
        </w:p>
        <w:p w14:paraId="7FE97D84" w14:textId="6EFD3651" w:rsidR="00DE6D3F" w:rsidRPr="00DE6D3F" w:rsidRDefault="006856CF">
          <w:pPr>
            <w:pStyle w:val="TOC1"/>
            <w:tabs>
              <w:tab w:val="right" w:leader="dot" w:pos="9350"/>
            </w:tabs>
            <w:rPr>
              <w:rFonts w:ascii="Arial" w:eastAsiaTheme="minorEastAsia" w:hAnsi="Arial" w:cs="Arial"/>
              <w:noProof/>
              <w:kern w:val="0"/>
              <w:sz w:val="22"/>
              <w:szCs w:val="22"/>
              <w:lang w:val="en-US" w:bidi="ar-SA"/>
            </w:rPr>
          </w:pPr>
          <w:r w:rsidRPr="00DE6D3F">
            <w:rPr>
              <w:rFonts w:ascii="Arial" w:hAnsi="Arial" w:cs="Arial"/>
              <w:szCs w:val="24"/>
            </w:rPr>
            <w:fldChar w:fldCharType="begin"/>
          </w:r>
          <w:r w:rsidRPr="00DE6D3F">
            <w:rPr>
              <w:rFonts w:ascii="Arial" w:hAnsi="Arial" w:cs="Arial"/>
              <w:szCs w:val="24"/>
            </w:rPr>
            <w:instrText xml:space="preserve"> TOC \o "1-3" \h \z \u </w:instrText>
          </w:r>
          <w:r w:rsidRPr="00DE6D3F">
            <w:rPr>
              <w:rFonts w:ascii="Arial" w:hAnsi="Arial" w:cs="Arial"/>
              <w:szCs w:val="24"/>
            </w:rPr>
            <w:fldChar w:fldCharType="separate"/>
          </w:r>
          <w:hyperlink w:anchor="_Toc213978693" w:history="1">
            <w:r w:rsidR="00DE6D3F" w:rsidRPr="00DE6D3F">
              <w:rPr>
                <w:rStyle w:val="Hyperlink"/>
                <w:rFonts w:ascii="Arial" w:hAnsi="Arial" w:cs="Arial"/>
                <w:noProof/>
              </w:rPr>
              <w:t>1. Introduction</w:t>
            </w:r>
            <w:r w:rsidR="00DE6D3F" w:rsidRPr="00DE6D3F">
              <w:rPr>
                <w:rFonts w:ascii="Arial" w:hAnsi="Arial" w:cs="Arial"/>
                <w:noProof/>
                <w:webHidden/>
              </w:rPr>
              <w:tab/>
            </w:r>
            <w:r w:rsidR="00DE6D3F" w:rsidRPr="00DE6D3F">
              <w:rPr>
                <w:rFonts w:ascii="Arial" w:hAnsi="Arial" w:cs="Arial"/>
                <w:noProof/>
                <w:webHidden/>
              </w:rPr>
              <w:fldChar w:fldCharType="begin"/>
            </w:r>
            <w:r w:rsidR="00DE6D3F" w:rsidRPr="00DE6D3F">
              <w:rPr>
                <w:rFonts w:ascii="Arial" w:hAnsi="Arial" w:cs="Arial"/>
                <w:noProof/>
                <w:webHidden/>
              </w:rPr>
              <w:instrText xml:space="preserve"> PAGEREF _Toc213978693 \h </w:instrText>
            </w:r>
            <w:r w:rsidR="00DE6D3F" w:rsidRPr="00DE6D3F">
              <w:rPr>
                <w:rFonts w:ascii="Arial" w:hAnsi="Arial" w:cs="Arial"/>
                <w:noProof/>
                <w:webHidden/>
              </w:rPr>
            </w:r>
            <w:r w:rsidR="00DE6D3F" w:rsidRPr="00DE6D3F">
              <w:rPr>
                <w:rFonts w:ascii="Arial" w:hAnsi="Arial" w:cs="Arial"/>
                <w:noProof/>
                <w:webHidden/>
              </w:rPr>
              <w:fldChar w:fldCharType="separate"/>
            </w:r>
            <w:r w:rsidR="00DE6D3F" w:rsidRPr="00DE6D3F">
              <w:rPr>
                <w:rFonts w:ascii="Arial" w:hAnsi="Arial" w:cs="Arial"/>
                <w:noProof/>
                <w:webHidden/>
              </w:rPr>
              <w:t>4</w:t>
            </w:r>
            <w:r w:rsidR="00DE6D3F" w:rsidRPr="00DE6D3F">
              <w:rPr>
                <w:rFonts w:ascii="Arial" w:hAnsi="Arial" w:cs="Arial"/>
                <w:noProof/>
                <w:webHidden/>
              </w:rPr>
              <w:fldChar w:fldCharType="end"/>
            </w:r>
          </w:hyperlink>
        </w:p>
        <w:p w14:paraId="3B8122C5" w14:textId="1521FCE6" w:rsidR="00DE6D3F" w:rsidRPr="00DE6D3F" w:rsidRDefault="00DE6D3F">
          <w:pPr>
            <w:pStyle w:val="TOC1"/>
            <w:tabs>
              <w:tab w:val="right" w:leader="dot" w:pos="9350"/>
            </w:tabs>
            <w:rPr>
              <w:rFonts w:ascii="Arial" w:eastAsiaTheme="minorEastAsia" w:hAnsi="Arial" w:cs="Arial"/>
              <w:noProof/>
              <w:kern w:val="0"/>
              <w:sz w:val="22"/>
              <w:szCs w:val="22"/>
              <w:lang w:val="en-US" w:bidi="ar-SA"/>
            </w:rPr>
          </w:pPr>
          <w:hyperlink w:anchor="_Toc213978694" w:history="1">
            <w:r w:rsidRPr="00DE6D3F">
              <w:rPr>
                <w:rStyle w:val="Hyperlink"/>
                <w:rFonts w:ascii="Arial" w:hAnsi="Arial" w:cs="Arial"/>
                <w:noProof/>
              </w:rPr>
              <w:t>2. Discussion</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_Toc213978694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5</w:t>
            </w:r>
            <w:r w:rsidRPr="00DE6D3F">
              <w:rPr>
                <w:rFonts w:ascii="Arial" w:hAnsi="Arial" w:cs="Arial"/>
                <w:noProof/>
                <w:webHidden/>
              </w:rPr>
              <w:fldChar w:fldCharType="end"/>
            </w:r>
          </w:hyperlink>
        </w:p>
        <w:p w14:paraId="641FB61B" w14:textId="51ADE388" w:rsidR="00DE6D3F" w:rsidRPr="00DE6D3F" w:rsidRDefault="00DE6D3F">
          <w:pPr>
            <w:pStyle w:val="TOC2"/>
            <w:tabs>
              <w:tab w:val="right" w:leader="dot" w:pos="9350"/>
            </w:tabs>
            <w:rPr>
              <w:rFonts w:ascii="Arial" w:eastAsiaTheme="minorEastAsia" w:hAnsi="Arial" w:cs="Arial"/>
              <w:noProof/>
              <w:kern w:val="0"/>
              <w:sz w:val="22"/>
              <w:szCs w:val="22"/>
              <w:lang w:val="en-US" w:bidi="ar-SA"/>
            </w:rPr>
          </w:pPr>
          <w:hyperlink w:anchor="_Toc213978695" w:history="1">
            <w:r w:rsidRPr="00DE6D3F">
              <w:rPr>
                <w:rStyle w:val="Hyperlink"/>
                <w:rFonts w:ascii="Arial" w:hAnsi="Arial" w:cs="Arial"/>
                <w:noProof/>
              </w:rPr>
              <w:t>2.1 Technological Markets (AI and Automation)</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_Toc213978695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5</w:t>
            </w:r>
            <w:r w:rsidRPr="00DE6D3F">
              <w:rPr>
                <w:rFonts w:ascii="Arial" w:hAnsi="Arial" w:cs="Arial"/>
                <w:noProof/>
                <w:webHidden/>
              </w:rPr>
              <w:fldChar w:fldCharType="end"/>
            </w:r>
          </w:hyperlink>
        </w:p>
        <w:p w14:paraId="2F9A2225" w14:textId="162A31DD"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696" w:history="1">
            <w:r w:rsidRPr="00DE6D3F">
              <w:rPr>
                <w:rStyle w:val="Hyperlink"/>
                <w:rFonts w:ascii="Arial" w:hAnsi="Arial" w:cs="Arial"/>
                <w:noProof/>
              </w:rPr>
              <w:t>2.1.1 Introduction</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_Toc213978696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5</w:t>
            </w:r>
            <w:r w:rsidRPr="00DE6D3F">
              <w:rPr>
                <w:rFonts w:ascii="Arial" w:hAnsi="Arial" w:cs="Arial"/>
                <w:noProof/>
                <w:webHidden/>
              </w:rPr>
              <w:fldChar w:fldCharType="end"/>
            </w:r>
          </w:hyperlink>
        </w:p>
        <w:p w14:paraId="471CB457" w14:textId="3F81F826"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697" w:history="1">
            <w:r w:rsidRPr="00DE6D3F">
              <w:rPr>
                <w:rStyle w:val="Hyperlink"/>
                <w:rFonts w:ascii="Arial" w:hAnsi="Arial" w:cs="Arial"/>
                <w:noProof/>
              </w:rPr>
              <w:t>2.1.2 Technical Markets - Domestic and Multinational Effect</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_Toc213978697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5</w:t>
            </w:r>
            <w:r w:rsidRPr="00DE6D3F">
              <w:rPr>
                <w:rFonts w:ascii="Arial" w:hAnsi="Arial" w:cs="Arial"/>
                <w:noProof/>
                <w:webHidden/>
              </w:rPr>
              <w:fldChar w:fldCharType="end"/>
            </w:r>
          </w:hyperlink>
        </w:p>
        <w:p w14:paraId="333F51B6" w14:textId="09EBB50D"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698" w:history="1">
            <w:r w:rsidRPr="00DE6D3F">
              <w:rPr>
                <w:rStyle w:val="Hyperlink"/>
                <w:rFonts w:ascii="Arial" w:hAnsi="Arial" w:cs="Arial"/>
                <w:noProof/>
              </w:rPr>
              <w:t>2.1.3 Tech Markets – Implications for HRM and IHRM</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_Toc213978698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5</w:t>
            </w:r>
            <w:r w:rsidRPr="00DE6D3F">
              <w:rPr>
                <w:rFonts w:ascii="Arial" w:hAnsi="Arial" w:cs="Arial"/>
                <w:noProof/>
                <w:webHidden/>
              </w:rPr>
              <w:fldChar w:fldCharType="end"/>
            </w:r>
          </w:hyperlink>
        </w:p>
        <w:p w14:paraId="1F2E805F" w14:textId="04A24EF6"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699" w:history="1">
            <w:r w:rsidRPr="00DE6D3F">
              <w:rPr>
                <w:rStyle w:val="Hyperlink"/>
                <w:rFonts w:ascii="Arial" w:hAnsi="Arial" w:cs="Arial"/>
                <w:noProof/>
              </w:rPr>
              <w:t>2.1.4 Summary</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_Toc213978699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6</w:t>
            </w:r>
            <w:r w:rsidRPr="00DE6D3F">
              <w:rPr>
                <w:rFonts w:ascii="Arial" w:hAnsi="Arial" w:cs="Arial"/>
                <w:noProof/>
                <w:webHidden/>
              </w:rPr>
              <w:fldChar w:fldCharType="end"/>
            </w:r>
          </w:hyperlink>
        </w:p>
        <w:p w14:paraId="55FF7A67" w14:textId="6718F1DF" w:rsidR="00DE6D3F" w:rsidRPr="00DE6D3F" w:rsidRDefault="00DE6D3F">
          <w:pPr>
            <w:pStyle w:val="TOC2"/>
            <w:tabs>
              <w:tab w:val="right" w:leader="dot" w:pos="9350"/>
            </w:tabs>
            <w:rPr>
              <w:rFonts w:ascii="Arial" w:eastAsiaTheme="minorEastAsia" w:hAnsi="Arial" w:cs="Arial"/>
              <w:noProof/>
              <w:kern w:val="0"/>
              <w:sz w:val="22"/>
              <w:szCs w:val="22"/>
              <w:lang w:val="en-US" w:bidi="ar-SA"/>
            </w:rPr>
          </w:pPr>
          <w:hyperlink w:anchor="_Toc213978700" w:history="1">
            <w:r w:rsidRPr="00DE6D3F">
              <w:rPr>
                <w:rStyle w:val="Hyperlink"/>
                <w:rFonts w:ascii="Arial" w:hAnsi="Arial" w:cs="Arial"/>
                <w:noProof/>
              </w:rPr>
              <w:t>2.2 Employment Markets (Demographic and Geopolitical Factors)</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_Toc213978700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6</w:t>
            </w:r>
            <w:r w:rsidRPr="00DE6D3F">
              <w:rPr>
                <w:rFonts w:ascii="Arial" w:hAnsi="Arial" w:cs="Arial"/>
                <w:noProof/>
                <w:webHidden/>
              </w:rPr>
              <w:fldChar w:fldCharType="end"/>
            </w:r>
          </w:hyperlink>
        </w:p>
        <w:p w14:paraId="45079C9B" w14:textId="2EEB403C"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01" w:history="1">
            <w:r w:rsidRPr="00DE6D3F">
              <w:rPr>
                <w:rStyle w:val="Hyperlink"/>
                <w:rFonts w:ascii="Arial" w:hAnsi="Arial" w:cs="Arial"/>
                <w:noProof/>
              </w:rPr>
              <w:t>2.2.1 Introduction</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_Toc213978701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6</w:t>
            </w:r>
            <w:r w:rsidRPr="00DE6D3F">
              <w:rPr>
                <w:rFonts w:ascii="Arial" w:hAnsi="Arial" w:cs="Arial"/>
                <w:noProof/>
                <w:webHidden/>
              </w:rPr>
              <w:fldChar w:fldCharType="end"/>
            </w:r>
          </w:hyperlink>
        </w:p>
        <w:p w14:paraId="500FC252" w14:textId="3B82EE38"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02" w:history="1">
            <w:r w:rsidRPr="00DE6D3F">
              <w:rPr>
                <w:rStyle w:val="Hyperlink"/>
                <w:rFonts w:ascii="Arial" w:hAnsi="Arial" w:cs="Arial"/>
                <w:noProof/>
              </w:rPr>
              <w:t>2.2.2 Demographic Key Factors Influencing Employment Markets Today</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_Toc213978702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6</w:t>
            </w:r>
            <w:r w:rsidRPr="00DE6D3F">
              <w:rPr>
                <w:rFonts w:ascii="Arial" w:hAnsi="Arial" w:cs="Arial"/>
                <w:noProof/>
                <w:webHidden/>
              </w:rPr>
              <w:fldChar w:fldCharType="end"/>
            </w:r>
          </w:hyperlink>
        </w:p>
        <w:p w14:paraId="079E9FBB" w14:textId="11F0E8E0"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03" w:history="1">
            <w:r w:rsidRPr="00DE6D3F">
              <w:rPr>
                <w:rStyle w:val="Hyperlink"/>
                <w:rFonts w:ascii="Arial" w:hAnsi="Arial" w:cs="Arial"/>
                <w:noProof/>
              </w:rPr>
              <w:t>2.2.3 Geopolitical Key Factors Influencing Employment Markets Today</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_Toc213978703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7</w:t>
            </w:r>
            <w:r w:rsidRPr="00DE6D3F">
              <w:rPr>
                <w:rFonts w:ascii="Arial" w:hAnsi="Arial" w:cs="Arial"/>
                <w:noProof/>
                <w:webHidden/>
              </w:rPr>
              <w:fldChar w:fldCharType="end"/>
            </w:r>
          </w:hyperlink>
        </w:p>
        <w:p w14:paraId="6B627789" w14:textId="1185B625"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04" w:history="1">
            <w:r w:rsidRPr="00DE6D3F">
              <w:rPr>
                <w:rStyle w:val="Hyperlink"/>
                <w:rFonts w:ascii="Arial" w:hAnsi="Arial" w:cs="Arial"/>
                <w:noProof/>
              </w:rPr>
              <w:t>2.2.4 How These Factors Create Challenges for HR Professionals</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_Toc213978704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8</w:t>
            </w:r>
            <w:r w:rsidRPr="00DE6D3F">
              <w:rPr>
                <w:rFonts w:ascii="Arial" w:hAnsi="Arial" w:cs="Arial"/>
                <w:noProof/>
                <w:webHidden/>
              </w:rPr>
              <w:fldChar w:fldCharType="end"/>
            </w:r>
          </w:hyperlink>
        </w:p>
        <w:p w14:paraId="3B90C239" w14:textId="6F29ECE4"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05" w:history="1">
            <w:r w:rsidRPr="00DE6D3F">
              <w:rPr>
                <w:rStyle w:val="Hyperlink"/>
                <w:rFonts w:ascii="Arial" w:hAnsi="Arial" w:cs="Arial"/>
                <w:noProof/>
              </w:rPr>
              <w:t>2.2.6 Conclusion</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_Toc213978705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8</w:t>
            </w:r>
            <w:r w:rsidRPr="00DE6D3F">
              <w:rPr>
                <w:rFonts w:ascii="Arial" w:hAnsi="Arial" w:cs="Arial"/>
                <w:noProof/>
                <w:webHidden/>
              </w:rPr>
              <w:fldChar w:fldCharType="end"/>
            </w:r>
          </w:hyperlink>
        </w:p>
        <w:p w14:paraId="3B77DD7F" w14:textId="7B1B2DE6" w:rsidR="00DE6D3F" w:rsidRPr="00DE6D3F" w:rsidRDefault="00DE6D3F">
          <w:pPr>
            <w:pStyle w:val="TOC2"/>
            <w:tabs>
              <w:tab w:val="right" w:leader="dot" w:pos="9350"/>
            </w:tabs>
            <w:rPr>
              <w:rFonts w:ascii="Arial" w:eastAsiaTheme="minorEastAsia" w:hAnsi="Arial" w:cs="Arial"/>
              <w:noProof/>
              <w:kern w:val="0"/>
              <w:sz w:val="22"/>
              <w:szCs w:val="22"/>
              <w:lang w:val="en-US" w:bidi="ar-SA"/>
            </w:rPr>
          </w:pPr>
          <w:hyperlink w:anchor="_Toc213978706" w:history="1">
            <w:r w:rsidRPr="00DE6D3F">
              <w:rPr>
                <w:rStyle w:val="Hyperlink"/>
                <w:rFonts w:ascii="Arial" w:hAnsi="Arial" w:cs="Arial"/>
                <w:noProof/>
              </w:rPr>
              <w:t>2.3 Skills Shortage and Strategic HR Response</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_Toc213978706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8</w:t>
            </w:r>
            <w:r w:rsidRPr="00DE6D3F">
              <w:rPr>
                <w:rFonts w:ascii="Arial" w:hAnsi="Arial" w:cs="Arial"/>
                <w:noProof/>
                <w:webHidden/>
              </w:rPr>
              <w:fldChar w:fldCharType="end"/>
            </w:r>
          </w:hyperlink>
        </w:p>
        <w:p w14:paraId="00793459" w14:textId="283C91AF"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07" w:history="1">
            <w:r w:rsidRPr="00DE6D3F">
              <w:rPr>
                <w:rStyle w:val="Hyperlink"/>
                <w:rFonts w:ascii="Arial" w:hAnsi="Arial" w:cs="Arial"/>
                <w:noProof/>
              </w:rPr>
              <w:t>2.3.1 Introduction</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_Toc213978707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8</w:t>
            </w:r>
            <w:r w:rsidRPr="00DE6D3F">
              <w:rPr>
                <w:rFonts w:ascii="Arial" w:hAnsi="Arial" w:cs="Arial"/>
                <w:noProof/>
                <w:webHidden/>
              </w:rPr>
              <w:fldChar w:fldCharType="end"/>
            </w:r>
          </w:hyperlink>
        </w:p>
        <w:p w14:paraId="44D9DA54" w14:textId="4A61C4B5"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08" w:history="1">
            <w:r w:rsidRPr="00DE6D3F">
              <w:rPr>
                <w:rStyle w:val="Hyperlink"/>
                <w:rFonts w:ascii="Arial" w:hAnsi="Arial" w:cs="Arial"/>
                <w:noProof/>
              </w:rPr>
              <w:t>2.3.2 Analysis of the Problem</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_Toc213978708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9</w:t>
            </w:r>
            <w:r w:rsidRPr="00DE6D3F">
              <w:rPr>
                <w:rFonts w:ascii="Arial" w:hAnsi="Arial" w:cs="Arial"/>
                <w:noProof/>
                <w:webHidden/>
              </w:rPr>
              <w:fldChar w:fldCharType="end"/>
            </w:r>
          </w:hyperlink>
        </w:p>
        <w:p w14:paraId="7499917E" w14:textId="6C3587E6"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09" w:history="1">
            <w:r w:rsidRPr="00DE6D3F">
              <w:rPr>
                <w:rStyle w:val="Hyperlink"/>
                <w:rFonts w:ascii="Arial" w:eastAsia="Times New Roman" w:hAnsi="Arial" w:cs="Arial"/>
                <w:noProof/>
              </w:rPr>
              <w:t>2.3.3 Strategic HR Response</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_Toc213978709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9</w:t>
            </w:r>
            <w:r w:rsidRPr="00DE6D3F">
              <w:rPr>
                <w:rFonts w:ascii="Arial" w:hAnsi="Arial" w:cs="Arial"/>
                <w:noProof/>
                <w:webHidden/>
              </w:rPr>
              <w:fldChar w:fldCharType="end"/>
            </w:r>
          </w:hyperlink>
        </w:p>
        <w:p w14:paraId="426F974B" w14:textId="4691C1CB"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10" w:history="1">
            <w:r w:rsidRPr="00DE6D3F">
              <w:rPr>
                <w:rStyle w:val="Hyperlink"/>
                <w:rFonts w:ascii="Arial" w:eastAsia="Times New Roman" w:hAnsi="Arial" w:cs="Arial"/>
                <w:noProof/>
              </w:rPr>
              <w:t>2.3.5 Conclusion</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_Toc213978710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10</w:t>
            </w:r>
            <w:r w:rsidRPr="00DE6D3F">
              <w:rPr>
                <w:rFonts w:ascii="Arial" w:hAnsi="Arial" w:cs="Arial"/>
                <w:noProof/>
                <w:webHidden/>
              </w:rPr>
              <w:fldChar w:fldCharType="end"/>
            </w:r>
          </w:hyperlink>
        </w:p>
        <w:p w14:paraId="4E0BF049" w14:textId="5368673C" w:rsidR="00DE6D3F" w:rsidRPr="00DE6D3F" w:rsidRDefault="00DE6D3F">
          <w:pPr>
            <w:pStyle w:val="TOC2"/>
            <w:tabs>
              <w:tab w:val="right" w:leader="dot" w:pos="9350"/>
            </w:tabs>
            <w:rPr>
              <w:rFonts w:ascii="Arial" w:eastAsiaTheme="minorEastAsia" w:hAnsi="Arial" w:cs="Arial"/>
              <w:noProof/>
              <w:kern w:val="0"/>
              <w:sz w:val="22"/>
              <w:szCs w:val="22"/>
              <w:lang w:val="en-US" w:bidi="ar-SA"/>
            </w:rPr>
          </w:pPr>
          <w:hyperlink w:anchor="_Toc213978711" w:history="1">
            <w:r w:rsidRPr="00DE6D3F">
              <w:rPr>
                <w:rStyle w:val="Hyperlink"/>
                <w:rFonts w:ascii="Arial" w:hAnsi="Arial" w:cs="Arial"/>
                <w:noProof/>
              </w:rPr>
              <w:t>2.4 Reflective Analysis on Professional Capabilities and Learning</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_Toc213978711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11</w:t>
            </w:r>
            <w:r w:rsidRPr="00DE6D3F">
              <w:rPr>
                <w:rFonts w:ascii="Arial" w:hAnsi="Arial" w:cs="Arial"/>
                <w:noProof/>
                <w:webHidden/>
              </w:rPr>
              <w:fldChar w:fldCharType="end"/>
            </w:r>
          </w:hyperlink>
        </w:p>
        <w:p w14:paraId="3B0E0AC5" w14:textId="75F742CA"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12" w:history="1">
            <w:r w:rsidRPr="00DE6D3F">
              <w:rPr>
                <w:rStyle w:val="Hyperlink"/>
                <w:rFonts w:ascii="Arial" w:hAnsi="Arial" w:cs="Arial"/>
                <w:noProof/>
              </w:rPr>
              <w:t>2.4.1 Introduction</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_Toc213978712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11</w:t>
            </w:r>
            <w:r w:rsidRPr="00DE6D3F">
              <w:rPr>
                <w:rFonts w:ascii="Arial" w:hAnsi="Arial" w:cs="Arial"/>
                <w:noProof/>
                <w:webHidden/>
              </w:rPr>
              <w:fldChar w:fldCharType="end"/>
            </w:r>
          </w:hyperlink>
        </w:p>
        <w:p w14:paraId="24BFF0C6" w14:textId="734A0054"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13" w:history="1">
            <w:r w:rsidRPr="00DE6D3F">
              <w:rPr>
                <w:rStyle w:val="Hyperlink"/>
                <w:rFonts w:ascii="Arial" w:hAnsi="Arial" w:cs="Arial"/>
                <w:noProof/>
              </w:rPr>
              <w:t>2.4.2 Presentation of a Methodological Model</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_Toc213978713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11</w:t>
            </w:r>
            <w:r w:rsidRPr="00DE6D3F">
              <w:rPr>
                <w:rFonts w:ascii="Arial" w:hAnsi="Arial" w:cs="Arial"/>
                <w:noProof/>
                <w:webHidden/>
              </w:rPr>
              <w:fldChar w:fldCharType="end"/>
            </w:r>
          </w:hyperlink>
        </w:p>
        <w:p w14:paraId="7284A129" w14:textId="52999EA2"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14" w:history="1">
            <w:r w:rsidRPr="00DE6D3F">
              <w:rPr>
                <w:rStyle w:val="Hyperlink"/>
                <w:rFonts w:ascii="Arial" w:hAnsi="Arial" w:cs="Arial"/>
                <w:noProof/>
              </w:rPr>
              <w:t>2.4.3 Analysis of Current Capabilities</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_Toc213978714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12</w:t>
            </w:r>
            <w:r w:rsidRPr="00DE6D3F">
              <w:rPr>
                <w:rFonts w:ascii="Arial" w:hAnsi="Arial" w:cs="Arial"/>
                <w:noProof/>
                <w:webHidden/>
              </w:rPr>
              <w:fldChar w:fldCharType="end"/>
            </w:r>
          </w:hyperlink>
        </w:p>
        <w:p w14:paraId="65279BCD" w14:textId="707DADCC"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15" w:history="1">
            <w:r w:rsidRPr="00DE6D3F">
              <w:rPr>
                <w:rStyle w:val="Hyperlink"/>
                <w:rFonts w:ascii="Arial" w:hAnsi="Arial" w:cs="Arial"/>
                <w:noProof/>
              </w:rPr>
              <w:t>2.4.4 Discussion of Strengths and Weaknesses</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_Toc213978715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13</w:t>
            </w:r>
            <w:r w:rsidRPr="00DE6D3F">
              <w:rPr>
                <w:rFonts w:ascii="Arial" w:hAnsi="Arial" w:cs="Arial"/>
                <w:noProof/>
                <w:webHidden/>
              </w:rPr>
              <w:fldChar w:fldCharType="end"/>
            </w:r>
          </w:hyperlink>
        </w:p>
        <w:p w14:paraId="3B90F5B1" w14:textId="215B3921" w:rsidR="00DE6D3F" w:rsidRPr="00DE6D3F" w:rsidRDefault="00DE6D3F">
          <w:pPr>
            <w:pStyle w:val="TOC3"/>
            <w:tabs>
              <w:tab w:val="right" w:leader="dot" w:pos="9350"/>
            </w:tabs>
            <w:rPr>
              <w:rFonts w:ascii="Arial" w:eastAsiaTheme="minorEastAsia" w:hAnsi="Arial" w:cs="Arial"/>
              <w:noProof/>
              <w:kern w:val="0"/>
              <w:sz w:val="22"/>
              <w:szCs w:val="22"/>
              <w:lang w:val="en-US" w:bidi="ar-SA"/>
            </w:rPr>
          </w:pPr>
          <w:hyperlink w:anchor="_Toc213978716" w:history="1">
            <w:r w:rsidRPr="00DE6D3F">
              <w:rPr>
                <w:rStyle w:val="Hyperlink"/>
                <w:rFonts w:ascii="Arial" w:hAnsi="Arial" w:cs="Arial"/>
                <w:noProof/>
              </w:rPr>
              <w:t>2.4.5 Summary</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_Toc213978716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14</w:t>
            </w:r>
            <w:r w:rsidRPr="00DE6D3F">
              <w:rPr>
                <w:rFonts w:ascii="Arial" w:hAnsi="Arial" w:cs="Arial"/>
                <w:noProof/>
                <w:webHidden/>
              </w:rPr>
              <w:fldChar w:fldCharType="end"/>
            </w:r>
          </w:hyperlink>
        </w:p>
        <w:p w14:paraId="432E688F" w14:textId="5E9C64E7" w:rsidR="00DE6D3F" w:rsidRPr="00DE6D3F" w:rsidRDefault="00DE6D3F">
          <w:pPr>
            <w:pStyle w:val="TOC1"/>
            <w:tabs>
              <w:tab w:val="right" w:leader="dot" w:pos="9350"/>
            </w:tabs>
            <w:rPr>
              <w:rFonts w:ascii="Arial" w:eastAsiaTheme="minorEastAsia" w:hAnsi="Arial" w:cs="Arial"/>
              <w:noProof/>
              <w:kern w:val="0"/>
              <w:sz w:val="22"/>
              <w:szCs w:val="22"/>
              <w:lang w:val="en-US" w:bidi="ar-SA"/>
            </w:rPr>
          </w:pPr>
          <w:hyperlink w:anchor="_Toc213978717" w:history="1">
            <w:r w:rsidRPr="00DE6D3F">
              <w:rPr>
                <w:rStyle w:val="Hyperlink"/>
                <w:rFonts w:ascii="Arial" w:hAnsi="Arial" w:cs="Arial"/>
                <w:noProof/>
              </w:rPr>
              <w:t>3. Conclusion</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_Toc213978717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16</w:t>
            </w:r>
            <w:r w:rsidRPr="00DE6D3F">
              <w:rPr>
                <w:rFonts w:ascii="Arial" w:hAnsi="Arial" w:cs="Arial"/>
                <w:noProof/>
                <w:webHidden/>
              </w:rPr>
              <w:fldChar w:fldCharType="end"/>
            </w:r>
          </w:hyperlink>
        </w:p>
        <w:p w14:paraId="666E06F2" w14:textId="59316E86" w:rsidR="00DE6D3F" w:rsidRPr="00DE6D3F" w:rsidRDefault="00DE6D3F">
          <w:pPr>
            <w:pStyle w:val="TOC1"/>
            <w:tabs>
              <w:tab w:val="right" w:leader="dot" w:pos="9350"/>
            </w:tabs>
            <w:rPr>
              <w:rFonts w:ascii="Arial" w:eastAsiaTheme="minorEastAsia" w:hAnsi="Arial" w:cs="Arial"/>
              <w:noProof/>
              <w:kern w:val="0"/>
              <w:sz w:val="22"/>
              <w:szCs w:val="22"/>
              <w:lang w:val="en-US" w:bidi="ar-SA"/>
            </w:rPr>
          </w:pPr>
          <w:hyperlink w:anchor="_Toc213978718" w:history="1">
            <w:r w:rsidRPr="00DE6D3F">
              <w:rPr>
                <w:rStyle w:val="Hyperlink"/>
                <w:rFonts w:ascii="Arial" w:hAnsi="Arial" w:cs="Arial"/>
                <w:noProof/>
              </w:rPr>
              <w:t>4. Reference List</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_Toc213978718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17</w:t>
            </w:r>
            <w:r w:rsidRPr="00DE6D3F">
              <w:rPr>
                <w:rFonts w:ascii="Arial" w:hAnsi="Arial" w:cs="Arial"/>
                <w:noProof/>
                <w:webHidden/>
              </w:rPr>
              <w:fldChar w:fldCharType="end"/>
            </w:r>
          </w:hyperlink>
        </w:p>
        <w:p w14:paraId="260D5951" w14:textId="280B5ED1" w:rsidR="00DE6D3F" w:rsidRPr="00DE6D3F" w:rsidRDefault="00DE6D3F">
          <w:pPr>
            <w:pStyle w:val="TOC1"/>
            <w:tabs>
              <w:tab w:val="right" w:leader="dot" w:pos="9350"/>
            </w:tabs>
            <w:rPr>
              <w:rFonts w:ascii="Arial" w:eastAsiaTheme="minorEastAsia" w:hAnsi="Arial" w:cs="Arial"/>
              <w:noProof/>
              <w:kern w:val="0"/>
              <w:sz w:val="22"/>
              <w:szCs w:val="22"/>
              <w:lang w:val="en-US" w:bidi="ar-SA"/>
            </w:rPr>
          </w:pPr>
          <w:hyperlink w:anchor="_Toc213978719" w:history="1">
            <w:r w:rsidRPr="00DE6D3F">
              <w:rPr>
                <w:rStyle w:val="Hyperlink"/>
                <w:rFonts w:ascii="Arial" w:hAnsi="Arial" w:cs="Arial"/>
                <w:noProof/>
              </w:rPr>
              <w:t>5. Appendix</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_Toc213978719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19</w:t>
            </w:r>
            <w:r w:rsidRPr="00DE6D3F">
              <w:rPr>
                <w:rFonts w:ascii="Arial" w:hAnsi="Arial" w:cs="Arial"/>
                <w:noProof/>
                <w:webHidden/>
              </w:rPr>
              <w:fldChar w:fldCharType="end"/>
            </w:r>
          </w:hyperlink>
        </w:p>
        <w:p w14:paraId="69284560" w14:textId="5F253C44" w:rsidR="00DE6D3F" w:rsidRPr="00DE6D3F" w:rsidRDefault="00DE6D3F">
          <w:pPr>
            <w:pStyle w:val="TOC2"/>
            <w:tabs>
              <w:tab w:val="right" w:leader="dot" w:pos="9350"/>
            </w:tabs>
            <w:rPr>
              <w:rFonts w:ascii="Arial" w:eastAsiaTheme="minorEastAsia" w:hAnsi="Arial" w:cs="Arial"/>
              <w:noProof/>
              <w:kern w:val="0"/>
              <w:sz w:val="22"/>
              <w:szCs w:val="22"/>
              <w:lang w:val="en-US" w:bidi="ar-SA"/>
            </w:rPr>
          </w:pPr>
          <w:hyperlink w:anchor="_Toc213978720" w:history="1">
            <w:r w:rsidRPr="00DE6D3F">
              <w:rPr>
                <w:rStyle w:val="Hyperlink"/>
                <w:rFonts w:ascii="Arial" w:hAnsi="Arial" w:cs="Arial"/>
                <w:noProof/>
              </w:rPr>
              <w:t>5.1 Appendix 1: SWOT Analysis</w:t>
            </w:r>
            <w:r w:rsidRPr="00DE6D3F">
              <w:rPr>
                <w:rFonts w:ascii="Arial" w:hAnsi="Arial" w:cs="Arial"/>
                <w:noProof/>
                <w:webHidden/>
              </w:rPr>
              <w:tab/>
            </w:r>
            <w:r w:rsidRPr="00DE6D3F">
              <w:rPr>
                <w:rFonts w:ascii="Arial" w:hAnsi="Arial" w:cs="Arial"/>
                <w:noProof/>
                <w:webHidden/>
              </w:rPr>
              <w:fldChar w:fldCharType="begin"/>
            </w:r>
            <w:r w:rsidRPr="00DE6D3F">
              <w:rPr>
                <w:rFonts w:ascii="Arial" w:hAnsi="Arial" w:cs="Arial"/>
                <w:noProof/>
                <w:webHidden/>
              </w:rPr>
              <w:instrText xml:space="preserve"> PAGEREF _Toc213978720 \h </w:instrText>
            </w:r>
            <w:r w:rsidRPr="00DE6D3F">
              <w:rPr>
                <w:rFonts w:ascii="Arial" w:hAnsi="Arial" w:cs="Arial"/>
                <w:noProof/>
                <w:webHidden/>
              </w:rPr>
            </w:r>
            <w:r w:rsidRPr="00DE6D3F">
              <w:rPr>
                <w:rFonts w:ascii="Arial" w:hAnsi="Arial" w:cs="Arial"/>
                <w:noProof/>
                <w:webHidden/>
              </w:rPr>
              <w:fldChar w:fldCharType="separate"/>
            </w:r>
            <w:r w:rsidRPr="00DE6D3F">
              <w:rPr>
                <w:rFonts w:ascii="Arial" w:hAnsi="Arial" w:cs="Arial"/>
                <w:noProof/>
                <w:webHidden/>
              </w:rPr>
              <w:t>19</w:t>
            </w:r>
            <w:r w:rsidRPr="00DE6D3F">
              <w:rPr>
                <w:rFonts w:ascii="Arial" w:hAnsi="Arial" w:cs="Arial"/>
                <w:noProof/>
                <w:webHidden/>
              </w:rPr>
              <w:fldChar w:fldCharType="end"/>
            </w:r>
          </w:hyperlink>
        </w:p>
        <w:p w14:paraId="2BF130D7" w14:textId="48FA629E" w:rsidR="006856CF" w:rsidRPr="00567E73" w:rsidRDefault="006856CF">
          <w:pPr>
            <w:rPr>
              <w:rFonts w:ascii="Arial" w:hAnsi="Arial" w:cs="Arial"/>
            </w:rPr>
          </w:pPr>
          <w:r w:rsidRPr="00DE6D3F">
            <w:rPr>
              <w:rFonts w:ascii="Arial" w:hAnsi="Arial" w:cs="Arial"/>
              <w:b/>
              <w:bCs/>
              <w:szCs w:val="24"/>
            </w:rPr>
            <w:fldChar w:fldCharType="end"/>
          </w:r>
        </w:p>
      </w:sdtContent>
    </w:sdt>
    <w:p w14:paraId="11A7DE85" w14:textId="7010508E" w:rsidR="00D73F26" w:rsidRPr="00567E73" w:rsidRDefault="00584A81" w:rsidP="00D73F26">
      <w:pPr>
        <w:spacing w:after="160" w:line="259" w:lineRule="auto"/>
        <w:jc w:val="left"/>
        <w:rPr>
          <w:rFonts w:ascii="Arial" w:hAnsi="Arial" w:cs="Arial"/>
        </w:rPr>
      </w:pPr>
      <w:r w:rsidRPr="00567E73">
        <w:rPr>
          <w:rFonts w:ascii="Arial" w:hAnsi="Arial" w:cs="Arial"/>
        </w:rPr>
        <w:br w:type="page"/>
      </w:r>
    </w:p>
    <w:p w14:paraId="1C99E8F8" w14:textId="1FC77B4A" w:rsidR="00D73F26" w:rsidRPr="00567E73" w:rsidRDefault="00D73F26" w:rsidP="004B438F">
      <w:pPr>
        <w:pStyle w:val="Heading1"/>
        <w:rPr>
          <w:rFonts w:ascii="Arial" w:hAnsi="Arial" w:cs="Arial"/>
        </w:rPr>
      </w:pPr>
      <w:bookmarkStart w:id="0" w:name="_Toc213978693"/>
      <w:r w:rsidRPr="00567E73">
        <w:rPr>
          <w:rFonts w:ascii="Arial" w:hAnsi="Arial" w:cs="Arial"/>
        </w:rPr>
        <w:lastRenderedPageBreak/>
        <w:t>1. Introduction</w:t>
      </w:r>
      <w:bookmarkEnd w:id="0"/>
    </w:p>
    <w:p w14:paraId="51513A7E" w14:textId="061FCA02" w:rsidR="0057120E" w:rsidRPr="00567E73" w:rsidRDefault="00BD1CE7" w:rsidP="006856CF">
      <w:pPr>
        <w:rPr>
          <w:rFonts w:ascii="Arial" w:hAnsi="Arial" w:cs="Arial"/>
        </w:rPr>
      </w:pPr>
      <w:r w:rsidRPr="00567E73">
        <w:rPr>
          <w:rFonts w:ascii="Arial" w:hAnsi="Arial" w:cs="Arial"/>
        </w:rPr>
        <w:t xml:space="preserve">Globalisation, demographic change, and technological innovation are rapidly changing national and worldwide labour markets. </w:t>
      </w:r>
      <w:r w:rsidR="00AD2D08">
        <w:rPr>
          <w:rFonts w:ascii="Arial" w:hAnsi="Arial" w:cs="Arial"/>
        </w:rPr>
        <w:t xml:space="preserve">In this case, </w:t>
      </w:r>
      <w:r w:rsidRPr="00567E73">
        <w:rPr>
          <w:rFonts w:ascii="Arial" w:hAnsi="Arial" w:cs="Arial"/>
        </w:rPr>
        <w:t xml:space="preserve">HRM focusses on managing people to achieve corporate goals, while IHRM applies these concepts in different cultural, legal, and institutional contexts (Deloitte, 2024). </w:t>
      </w:r>
      <w:r w:rsidR="00AB71D4" w:rsidRPr="00567E73">
        <w:rPr>
          <w:rFonts w:ascii="Arial" w:hAnsi="Arial" w:cs="Arial"/>
        </w:rPr>
        <w:t>This research critically examines how global influences are transforming HRM and IHRM methods to manage sustainable workforces.</w:t>
      </w:r>
    </w:p>
    <w:p w14:paraId="53ED5106" w14:textId="77777777" w:rsidR="004B438F" w:rsidRPr="00567E73" w:rsidRDefault="004B438F">
      <w:pPr>
        <w:spacing w:after="160" w:line="259" w:lineRule="auto"/>
        <w:jc w:val="left"/>
        <w:rPr>
          <w:rFonts w:ascii="Arial" w:hAnsi="Arial" w:cs="Arial"/>
        </w:rPr>
      </w:pPr>
      <w:r w:rsidRPr="00567E73">
        <w:rPr>
          <w:rFonts w:ascii="Arial" w:hAnsi="Arial" w:cs="Arial"/>
        </w:rPr>
        <w:br w:type="page"/>
      </w:r>
    </w:p>
    <w:p w14:paraId="76BEEC4E" w14:textId="1C0AF139" w:rsidR="00D73F26" w:rsidRPr="00567E73" w:rsidRDefault="00D73F26" w:rsidP="00C30A03">
      <w:pPr>
        <w:pStyle w:val="Heading1"/>
        <w:rPr>
          <w:rFonts w:ascii="Arial" w:hAnsi="Arial" w:cs="Arial"/>
        </w:rPr>
      </w:pPr>
      <w:bookmarkStart w:id="1" w:name="_Toc213978694"/>
      <w:r w:rsidRPr="00567E73">
        <w:rPr>
          <w:rFonts w:ascii="Arial" w:hAnsi="Arial" w:cs="Arial"/>
        </w:rPr>
        <w:lastRenderedPageBreak/>
        <w:t xml:space="preserve">2. </w:t>
      </w:r>
      <w:r w:rsidR="00C30A03" w:rsidRPr="00567E73">
        <w:rPr>
          <w:rFonts w:ascii="Arial" w:hAnsi="Arial" w:cs="Arial"/>
        </w:rPr>
        <w:t>Discussion</w:t>
      </w:r>
      <w:bookmarkEnd w:id="1"/>
    </w:p>
    <w:p w14:paraId="1897098A" w14:textId="77777777" w:rsidR="00584A81" w:rsidRPr="00567E73" w:rsidRDefault="00584A81" w:rsidP="00584A81">
      <w:pPr>
        <w:pStyle w:val="Heading2"/>
        <w:rPr>
          <w:rFonts w:ascii="Arial" w:hAnsi="Arial" w:cs="Arial"/>
        </w:rPr>
      </w:pPr>
      <w:bookmarkStart w:id="2" w:name="_Toc213978695"/>
      <w:r w:rsidRPr="00567E73">
        <w:rPr>
          <w:rFonts w:ascii="Arial" w:hAnsi="Arial" w:cs="Arial"/>
        </w:rPr>
        <w:t>2.1 Technological Markets (AI and Automation)</w:t>
      </w:r>
      <w:bookmarkEnd w:id="2"/>
    </w:p>
    <w:p w14:paraId="56896005" w14:textId="77777777" w:rsidR="004863FA" w:rsidRPr="00A15A45" w:rsidRDefault="004863FA" w:rsidP="004863FA">
      <w:pPr>
        <w:pStyle w:val="Heading3"/>
      </w:pPr>
      <w:bookmarkStart w:id="3" w:name="_Toc213978696"/>
      <w:r w:rsidRPr="00A15A45">
        <w:rPr>
          <w:rStyle w:val="Strong"/>
          <w:rFonts w:cs="Arial"/>
          <w:b/>
          <w:bCs w:val="0"/>
        </w:rPr>
        <w:t>2.1.1 Introduction</w:t>
      </w:r>
      <w:bookmarkEnd w:id="3"/>
    </w:p>
    <w:p w14:paraId="6F35766E" w14:textId="77777777" w:rsidR="004863FA" w:rsidRPr="00A15A45" w:rsidRDefault="004863FA" w:rsidP="004863FA">
      <w:pPr>
        <w:pStyle w:val="NormalWeb"/>
        <w:spacing w:line="360" w:lineRule="auto"/>
        <w:jc w:val="both"/>
        <w:rPr>
          <w:rFonts w:ascii="Arial" w:hAnsi="Arial" w:cs="Arial"/>
        </w:rPr>
      </w:pPr>
      <w:r w:rsidRPr="00A15A45">
        <w:rPr>
          <w:rFonts w:ascii="Arial" w:hAnsi="Arial" w:cs="Arial"/>
        </w:rPr>
        <w:t xml:space="preserve">The strongest factor that is changing the domestic and global </w:t>
      </w:r>
      <w:proofErr w:type="spellStart"/>
      <w:r w:rsidRPr="00A15A45">
        <w:rPr>
          <w:rFonts w:ascii="Arial" w:hAnsi="Arial" w:cs="Arial"/>
        </w:rPr>
        <w:t>labour</w:t>
      </w:r>
      <w:proofErr w:type="spellEnd"/>
      <w:r w:rsidRPr="00A15A45">
        <w:rPr>
          <w:rFonts w:ascii="Arial" w:hAnsi="Arial" w:cs="Arial"/>
        </w:rPr>
        <w:t xml:space="preserve"> market is technological innovation, specifically AI and automation. It is transforming the job structures, necessary skills, and HR management systems. The World Economic Forum (2023) predicts that almost half of the skills that workers possess will evolve in the next three years, and </w:t>
      </w:r>
      <w:proofErr w:type="spellStart"/>
      <w:r w:rsidRPr="00A15A45">
        <w:rPr>
          <w:rFonts w:ascii="Arial" w:hAnsi="Arial" w:cs="Arial"/>
        </w:rPr>
        <w:t>organisations</w:t>
      </w:r>
      <w:proofErr w:type="spellEnd"/>
      <w:r w:rsidRPr="00A15A45">
        <w:rPr>
          <w:rFonts w:ascii="Arial" w:hAnsi="Arial" w:cs="Arial"/>
        </w:rPr>
        <w:t xml:space="preserve"> should adopt adaptive and data-driven HRM practices to become sustainable in the competitive market.</w:t>
      </w:r>
    </w:p>
    <w:p w14:paraId="710D5943" w14:textId="1D2AA761" w:rsidR="004863FA" w:rsidRPr="00A15A45" w:rsidRDefault="004863FA" w:rsidP="004863FA">
      <w:pPr>
        <w:pStyle w:val="Heading3"/>
      </w:pPr>
      <w:bookmarkStart w:id="4" w:name="_Toc213978697"/>
      <w:r w:rsidRPr="00A15A45">
        <w:t>2.1.2 Technical Markets - Domestic and Multinational Effect</w:t>
      </w:r>
      <w:bookmarkEnd w:id="4"/>
    </w:p>
    <w:p w14:paraId="2826508F" w14:textId="53645871" w:rsidR="004863FA" w:rsidRPr="00A15A45" w:rsidRDefault="004863FA" w:rsidP="004863FA">
      <w:pPr>
        <w:pStyle w:val="NormalWeb"/>
        <w:spacing w:line="360" w:lineRule="auto"/>
        <w:jc w:val="both"/>
        <w:rPr>
          <w:rFonts w:ascii="Arial" w:hAnsi="Arial" w:cs="Arial"/>
        </w:rPr>
      </w:pPr>
      <w:r w:rsidRPr="00A15A45">
        <w:rPr>
          <w:rFonts w:ascii="Arial" w:hAnsi="Arial" w:cs="Arial"/>
        </w:rPr>
        <w:t xml:space="preserve">The development of AI, IoT, and automation has transformed the </w:t>
      </w:r>
      <w:proofErr w:type="spellStart"/>
      <w:r w:rsidRPr="00A15A45">
        <w:rPr>
          <w:rFonts w:ascii="Arial" w:hAnsi="Arial" w:cs="Arial"/>
        </w:rPr>
        <w:t>labour</w:t>
      </w:r>
      <w:proofErr w:type="spellEnd"/>
      <w:r w:rsidRPr="00A15A45">
        <w:rPr>
          <w:rFonts w:ascii="Arial" w:hAnsi="Arial" w:cs="Arial"/>
        </w:rPr>
        <w:t xml:space="preserve"> productivity and the economy of the world. </w:t>
      </w:r>
      <w:r w:rsidRPr="004863FA">
        <w:rPr>
          <w:rFonts w:ascii="Arial" w:hAnsi="Arial" w:cs="Arial"/>
          <w:b/>
          <w:bCs/>
        </w:rPr>
        <w:t>On the national level</w:t>
      </w:r>
      <w:r w:rsidRPr="00A15A45">
        <w:rPr>
          <w:rFonts w:ascii="Arial" w:hAnsi="Arial" w:cs="Arial"/>
        </w:rPr>
        <w:t xml:space="preserve">, automation saves the administrative effort and increases accuracy with predictive HR analytics. The use of AI-based applicant-tracking systems in the UK is applied to enhance fairness and efficiency in the recruitment process by the public institutions (CIPD, 2024). </w:t>
      </w:r>
    </w:p>
    <w:p w14:paraId="60ED431B" w14:textId="56A3BDB3" w:rsidR="004863FA" w:rsidRPr="00A15A45" w:rsidRDefault="004863FA" w:rsidP="004863FA">
      <w:pPr>
        <w:pStyle w:val="NormalWeb"/>
        <w:spacing w:line="360" w:lineRule="auto"/>
        <w:jc w:val="both"/>
        <w:rPr>
          <w:rFonts w:ascii="Arial" w:hAnsi="Arial" w:cs="Arial"/>
        </w:rPr>
      </w:pPr>
      <w:r w:rsidRPr="004863FA">
        <w:rPr>
          <w:rFonts w:ascii="Arial" w:hAnsi="Arial" w:cs="Arial"/>
          <w:b/>
          <w:bCs/>
        </w:rPr>
        <w:t>On the global scale</w:t>
      </w:r>
      <w:r w:rsidRPr="00A15A45">
        <w:rPr>
          <w:rFonts w:ascii="Arial" w:hAnsi="Arial" w:cs="Arial"/>
        </w:rPr>
        <w:t>, the digital transformation encourages the borderless working. The emergence of digital nomads</w:t>
      </w:r>
      <w:r w:rsidR="00C43445">
        <w:rPr>
          <w:rFonts w:ascii="Arial" w:hAnsi="Arial" w:cs="Arial"/>
        </w:rPr>
        <w:t xml:space="preserve">, </w:t>
      </w:r>
      <w:r w:rsidRPr="00A15A45">
        <w:rPr>
          <w:rFonts w:ascii="Arial" w:hAnsi="Arial" w:cs="Arial"/>
        </w:rPr>
        <w:t>professionals who work across national borders remotely</w:t>
      </w:r>
      <w:r w:rsidR="00C43445">
        <w:rPr>
          <w:rFonts w:ascii="Arial" w:hAnsi="Arial" w:cs="Arial"/>
        </w:rPr>
        <w:t>,</w:t>
      </w:r>
      <w:r w:rsidRPr="00A15A45">
        <w:rPr>
          <w:rFonts w:ascii="Arial" w:hAnsi="Arial" w:cs="Arial"/>
        </w:rPr>
        <w:t xml:space="preserve"> demonstrates a paradigm shift in the </w:t>
      </w:r>
      <w:proofErr w:type="spellStart"/>
      <w:r w:rsidRPr="00A15A45">
        <w:rPr>
          <w:rFonts w:ascii="Arial" w:hAnsi="Arial" w:cs="Arial"/>
        </w:rPr>
        <w:t>labour</w:t>
      </w:r>
      <w:proofErr w:type="spellEnd"/>
      <w:r w:rsidRPr="00A15A45">
        <w:rPr>
          <w:rFonts w:ascii="Arial" w:hAnsi="Arial" w:cs="Arial"/>
        </w:rPr>
        <w:t xml:space="preserve"> market </w:t>
      </w:r>
      <w:proofErr w:type="spellStart"/>
      <w:r w:rsidRPr="00A15A45">
        <w:rPr>
          <w:rFonts w:ascii="Arial" w:hAnsi="Arial" w:cs="Arial"/>
        </w:rPr>
        <w:t>organisation</w:t>
      </w:r>
      <w:proofErr w:type="spellEnd"/>
      <w:r w:rsidRPr="00A15A45">
        <w:rPr>
          <w:rFonts w:ascii="Arial" w:hAnsi="Arial" w:cs="Arial"/>
        </w:rPr>
        <w:t xml:space="preserve">. Freelancing economies like Upwork and Fiverr have established new global economies, which are quite flexible, but also pose a challenge in taxations, social protection, and classification of employment (Deloitte, 2024). The </w:t>
      </w:r>
      <w:proofErr w:type="spellStart"/>
      <w:r w:rsidRPr="00A15A45">
        <w:rPr>
          <w:rFonts w:ascii="Arial" w:hAnsi="Arial" w:cs="Arial"/>
        </w:rPr>
        <w:t>Learn@Work</w:t>
      </w:r>
      <w:proofErr w:type="spellEnd"/>
      <w:r w:rsidRPr="00A15A45">
        <w:rPr>
          <w:rFonts w:ascii="Arial" w:hAnsi="Arial" w:cs="Arial"/>
        </w:rPr>
        <w:t xml:space="preserve"> program by Siemens proves this digital transformation; AI-powered analytics can facilitate the ongoing reskilling and internal mobility in the organization on an international level (Deloitte, 2024).</w:t>
      </w:r>
    </w:p>
    <w:p w14:paraId="37CA72A7" w14:textId="77777777" w:rsidR="004863FA" w:rsidRPr="00A15A45" w:rsidRDefault="004863FA" w:rsidP="004863FA">
      <w:pPr>
        <w:pStyle w:val="Heading3"/>
      </w:pPr>
      <w:bookmarkStart w:id="5" w:name="_Toc213978698"/>
      <w:r w:rsidRPr="00A15A45">
        <w:rPr>
          <w:rStyle w:val="Strong"/>
          <w:rFonts w:cs="Arial"/>
          <w:b/>
          <w:bCs w:val="0"/>
        </w:rPr>
        <w:t>2.1.3 Tech Markets – Implications for HRM and IHRM</w:t>
      </w:r>
      <w:bookmarkEnd w:id="5"/>
    </w:p>
    <w:p w14:paraId="6C9D4A94" w14:textId="0FB611F7" w:rsidR="004863FA" w:rsidRPr="00A15A45" w:rsidRDefault="004863FA" w:rsidP="004863FA">
      <w:pPr>
        <w:pStyle w:val="NormalWeb"/>
        <w:spacing w:line="360" w:lineRule="auto"/>
        <w:jc w:val="both"/>
        <w:rPr>
          <w:rFonts w:ascii="Arial" w:hAnsi="Arial" w:cs="Arial"/>
        </w:rPr>
      </w:pPr>
      <w:r w:rsidRPr="00A15A45">
        <w:rPr>
          <w:rFonts w:ascii="Arial" w:hAnsi="Arial" w:cs="Arial"/>
        </w:rPr>
        <w:t xml:space="preserve">HRM and IHRM have to develop into evidence-based, ethical, and inclusive practices to accommodate AI and automation. The solution to hiring and appraisal bias should be </w:t>
      </w:r>
      <w:r w:rsidRPr="00A15A45">
        <w:rPr>
          <w:rFonts w:ascii="Arial" w:hAnsi="Arial" w:cs="Arial"/>
        </w:rPr>
        <w:lastRenderedPageBreak/>
        <w:t>HRM strategies aimed to reskill and manage data transparently and ethically by using algorithms (CIPD, 2024). Thus, the HR managers should foster digital literacy and trust and guarantee algorithmic accountability.</w:t>
      </w:r>
    </w:p>
    <w:p w14:paraId="69430EC4" w14:textId="77777777" w:rsidR="004863FA" w:rsidRPr="00A15A45" w:rsidRDefault="004863FA" w:rsidP="004863FA">
      <w:pPr>
        <w:pStyle w:val="NormalWeb"/>
        <w:spacing w:line="360" w:lineRule="auto"/>
        <w:jc w:val="both"/>
        <w:rPr>
          <w:rFonts w:ascii="Arial" w:hAnsi="Arial" w:cs="Arial"/>
        </w:rPr>
      </w:pPr>
      <w:r w:rsidRPr="00A15A45">
        <w:rPr>
          <w:rFonts w:ascii="Arial" w:hAnsi="Arial" w:cs="Arial"/>
        </w:rPr>
        <w:t xml:space="preserve">Technologies used by IHRM should be adjusted to various cultures and regulatory environments. The AI systems should adhere to the local privacy regulations like GDPR and the regional </w:t>
      </w:r>
      <w:proofErr w:type="spellStart"/>
      <w:r w:rsidRPr="00A15A45">
        <w:rPr>
          <w:rFonts w:ascii="Arial" w:hAnsi="Arial" w:cs="Arial"/>
        </w:rPr>
        <w:t>labour</w:t>
      </w:r>
      <w:proofErr w:type="spellEnd"/>
      <w:r w:rsidRPr="00A15A45">
        <w:rPr>
          <w:rFonts w:ascii="Arial" w:hAnsi="Arial" w:cs="Arial"/>
        </w:rPr>
        <w:t xml:space="preserve"> expectations (Deloitte, 2024). The culturally sensitive implementation will lessen the resistance and improve the equity of opportunity (WEF, 2023). With the expansion of the global talent pools and outsourcing of services through freelance agreements, IHRM needs to focus on the fairness of outsourcing, fair pay, and diversity-driven leadership (Armstrong and Taylor, 2023).</w:t>
      </w:r>
    </w:p>
    <w:p w14:paraId="4C9A70E9" w14:textId="56DBFBBC" w:rsidR="004863FA" w:rsidRPr="00A15A45" w:rsidRDefault="004863FA" w:rsidP="004863FA">
      <w:pPr>
        <w:pStyle w:val="NormalWeb"/>
        <w:spacing w:line="360" w:lineRule="auto"/>
        <w:jc w:val="both"/>
        <w:rPr>
          <w:rFonts w:ascii="Arial" w:hAnsi="Arial" w:cs="Arial"/>
        </w:rPr>
      </w:pPr>
      <w:r w:rsidRPr="00A15A45">
        <w:rPr>
          <w:rFonts w:ascii="Arial" w:hAnsi="Arial" w:cs="Arial"/>
        </w:rPr>
        <w:t xml:space="preserve">Strategically, HRM </w:t>
      </w:r>
      <w:r>
        <w:rPr>
          <w:rFonts w:ascii="Arial" w:hAnsi="Arial" w:cs="Arial"/>
        </w:rPr>
        <w:t>and</w:t>
      </w:r>
      <w:r w:rsidRPr="00A15A45">
        <w:rPr>
          <w:rFonts w:ascii="Arial" w:hAnsi="Arial" w:cs="Arial"/>
        </w:rPr>
        <w:t xml:space="preserve"> IHRM are the partners of digital transformation- based on the balance between operational efficiency and human values. Diversity, equity, and inclusion (DEI) are inclusive AI systems that can be used to create ethical global workforces. </w:t>
      </w:r>
    </w:p>
    <w:p w14:paraId="5BEA7036" w14:textId="77777777" w:rsidR="004863FA" w:rsidRPr="00A15A45" w:rsidRDefault="004863FA" w:rsidP="004863FA">
      <w:pPr>
        <w:pStyle w:val="Heading3"/>
      </w:pPr>
      <w:bookmarkStart w:id="6" w:name="_Toc213978699"/>
      <w:r w:rsidRPr="00A15A45">
        <w:t>2.1.4 Summary</w:t>
      </w:r>
      <w:bookmarkEnd w:id="6"/>
    </w:p>
    <w:p w14:paraId="686DCC37" w14:textId="7B259EC2" w:rsidR="004863FA" w:rsidRPr="004863FA" w:rsidRDefault="004863FA" w:rsidP="004863FA">
      <w:pPr>
        <w:pStyle w:val="NormalWeb"/>
        <w:spacing w:line="360" w:lineRule="auto"/>
        <w:jc w:val="both"/>
        <w:rPr>
          <w:rFonts w:ascii="Arial" w:hAnsi="Arial" w:cs="Arial"/>
        </w:rPr>
      </w:pPr>
      <w:r w:rsidRPr="00A15A45">
        <w:rPr>
          <w:rFonts w:ascii="Arial" w:hAnsi="Arial" w:cs="Arial"/>
        </w:rPr>
        <w:t xml:space="preserve">Generally, AI and automation transforms the economic and </w:t>
      </w:r>
      <w:proofErr w:type="spellStart"/>
      <w:r w:rsidRPr="00A15A45">
        <w:rPr>
          <w:rFonts w:ascii="Arial" w:hAnsi="Arial" w:cs="Arial"/>
        </w:rPr>
        <w:t>labour</w:t>
      </w:r>
      <w:proofErr w:type="spellEnd"/>
      <w:r w:rsidRPr="00A15A45">
        <w:rPr>
          <w:rFonts w:ascii="Arial" w:hAnsi="Arial" w:cs="Arial"/>
        </w:rPr>
        <w:t xml:space="preserve"> structure by combining efficiency and global connectivity. In the case of HRM and IHRM, this change requires the use of strategies that are based on ethical innovation, digital literacy, and inclusion. </w:t>
      </w:r>
    </w:p>
    <w:p w14:paraId="7B3B6495" w14:textId="77777777" w:rsidR="008A0BC7" w:rsidRPr="00567E73" w:rsidRDefault="008A0BC7" w:rsidP="008A0BC7">
      <w:pPr>
        <w:pStyle w:val="Heading2"/>
        <w:rPr>
          <w:rFonts w:ascii="Arial" w:hAnsi="Arial" w:cs="Arial"/>
        </w:rPr>
      </w:pPr>
      <w:bookmarkStart w:id="7" w:name="_Toc213978700"/>
      <w:r w:rsidRPr="00567E73">
        <w:rPr>
          <w:rFonts w:ascii="Arial" w:hAnsi="Arial" w:cs="Arial"/>
        </w:rPr>
        <w:t>2.2 Employment Markets (Demographic and Geopolitical Factors)</w:t>
      </w:r>
      <w:bookmarkEnd w:id="7"/>
    </w:p>
    <w:p w14:paraId="1A8DF68A" w14:textId="77777777" w:rsidR="004374BA" w:rsidRPr="00607F6E" w:rsidRDefault="004374BA" w:rsidP="004374BA">
      <w:pPr>
        <w:pStyle w:val="Heading3"/>
      </w:pPr>
      <w:bookmarkStart w:id="8" w:name="_Toc213978701"/>
      <w:r w:rsidRPr="00607F6E">
        <w:rPr>
          <w:rStyle w:val="Strong"/>
          <w:rFonts w:cs="Arial"/>
          <w:b/>
          <w:bCs w:val="0"/>
        </w:rPr>
        <w:t>2.2.1 Introduction</w:t>
      </w:r>
      <w:bookmarkEnd w:id="8"/>
    </w:p>
    <w:p w14:paraId="5337CDFE" w14:textId="4E005F8E" w:rsidR="004374BA" w:rsidRPr="00607F6E" w:rsidRDefault="004374BA" w:rsidP="004374BA">
      <w:pPr>
        <w:pStyle w:val="NormalWeb"/>
        <w:spacing w:line="360" w:lineRule="auto"/>
        <w:jc w:val="both"/>
        <w:rPr>
          <w:rFonts w:ascii="Arial" w:hAnsi="Arial" w:cs="Arial"/>
        </w:rPr>
      </w:pPr>
      <w:r w:rsidRPr="00607F6E">
        <w:rPr>
          <w:rFonts w:ascii="Arial" w:hAnsi="Arial" w:cs="Arial"/>
        </w:rPr>
        <w:t xml:space="preserve">Employment markets are being reshaped by demographic transitions and geopolitical developments that have a major influence on Human Resource Management (HRM) and International Human Resource Management (IHRM). (Armstrong and Taylor, 2023). </w:t>
      </w:r>
    </w:p>
    <w:p w14:paraId="1EE67C84" w14:textId="77777777" w:rsidR="004374BA" w:rsidRPr="00607F6E" w:rsidRDefault="004374BA" w:rsidP="004374BA">
      <w:pPr>
        <w:pStyle w:val="Heading3"/>
        <w:rPr>
          <w:rStyle w:val="Strong"/>
          <w:rFonts w:cs="Arial"/>
          <w:b/>
          <w:bCs w:val="0"/>
        </w:rPr>
      </w:pPr>
      <w:bookmarkStart w:id="9" w:name="_Toc213978702"/>
      <w:r w:rsidRPr="00607F6E">
        <w:rPr>
          <w:rStyle w:val="Strong"/>
          <w:rFonts w:cs="Arial"/>
          <w:b/>
          <w:bCs w:val="0"/>
        </w:rPr>
        <w:t>2.2.2 Demographic Key Factors Influencing Employment Markets Today</w:t>
      </w:r>
      <w:bookmarkEnd w:id="9"/>
    </w:p>
    <w:p w14:paraId="0B43955E" w14:textId="77777777" w:rsidR="004374BA" w:rsidRPr="00607F6E" w:rsidRDefault="004374BA" w:rsidP="004374BA">
      <w:pPr>
        <w:rPr>
          <w:rFonts w:ascii="Arial" w:hAnsi="Arial" w:cs="Arial"/>
          <w:szCs w:val="24"/>
        </w:rPr>
      </w:pPr>
      <w:r w:rsidRPr="00607F6E">
        <w:rPr>
          <w:rFonts w:ascii="Arial" w:hAnsi="Arial" w:cs="Arial"/>
          <w:b/>
          <w:bCs/>
          <w:szCs w:val="24"/>
        </w:rPr>
        <w:t>Definition:</w:t>
      </w:r>
      <w:r w:rsidRPr="00607F6E">
        <w:rPr>
          <w:rFonts w:ascii="Arial" w:hAnsi="Arial" w:cs="Arial"/>
          <w:szCs w:val="24"/>
        </w:rPr>
        <w:t xml:space="preserve"> Demographic factors refer to the statistical specifics of a population age, sex, education, and mobility that define the participation in the labour market and human capital development (Reiche, </w:t>
      </w:r>
      <w:proofErr w:type="spellStart"/>
      <w:r w:rsidRPr="00607F6E">
        <w:rPr>
          <w:rFonts w:ascii="Arial" w:hAnsi="Arial" w:cs="Arial"/>
          <w:szCs w:val="24"/>
        </w:rPr>
        <w:t>Harzing</w:t>
      </w:r>
      <w:proofErr w:type="spellEnd"/>
      <w:r w:rsidRPr="00607F6E">
        <w:rPr>
          <w:rFonts w:ascii="Arial" w:hAnsi="Arial" w:cs="Arial"/>
          <w:szCs w:val="24"/>
        </w:rPr>
        <w:t xml:space="preserve"> and Tenzer, 2022).</w:t>
      </w:r>
    </w:p>
    <w:p w14:paraId="3AC60094" w14:textId="77777777" w:rsidR="004374BA" w:rsidRPr="00607F6E" w:rsidRDefault="004374BA" w:rsidP="004374BA">
      <w:pPr>
        <w:rPr>
          <w:rFonts w:ascii="Arial" w:hAnsi="Arial" w:cs="Arial"/>
          <w:szCs w:val="24"/>
        </w:rPr>
      </w:pPr>
      <w:r w:rsidRPr="00607F6E">
        <w:rPr>
          <w:rFonts w:ascii="Arial" w:hAnsi="Arial" w:cs="Arial"/>
          <w:b/>
          <w:bCs/>
          <w:szCs w:val="24"/>
        </w:rPr>
        <w:lastRenderedPageBreak/>
        <w:t>Aging Population:</w:t>
      </w:r>
      <w:r w:rsidRPr="00607F6E">
        <w:rPr>
          <w:rFonts w:ascii="Arial" w:hAnsi="Arial" w:cs="Arial"/>
          <w:szCs w:val="24"/>
        </w:rPr>
        <w:t xml:space="preserve"> OECD (2025) reports that in 2030, one out of every four workers would be above 55 years. The ageing </w:t>
      </w:r>
      <w:proofErr w:type="spellStart"/>
      <w:r w:rsidRPr="00607F6E">
        <w:rPr>
          <w:rFonts w:ascii="Arial" w:hAnsi="Arial" w:cs="Arial"/>
          <w:szCs w:val="24"/>
        </w:rPr>
        <w:t>labor</w:t>
      </w:r>
      <w:proofErr w:type="spellEnd"/>
      <w:r w:rsidRPr="00607F6E">
        <w:rPr>
          <w:rFonts w:ascii="Arial" w:hAnsi="Arial" w:cs="Arial"/>
          <w:szCs w:val="24"/>
        </w:rPr>
        <w:t xml:space="preserve"> force in Europe and East Asia decreases productivity and causes succession problems. To remain productive, organisations thus must have flexible retirement planning, the option of remote working, and targeted reskilling.</w:t>
      </w:r>
    </w:p>
    <w:p w14:paraId="591107E7" w14:textId="77777777" w:rsidR="004374BA" w:rsidRPr="00607F6E" w:rsidRDefault="004374BA" w:rsidP="004374BA">
      <w:pPr>
        <w:rPr>
          <w:rFonts w:ascii="Arial" w:hAnsi="Arial" w:cs="Arial"/>
          <w:szCs w:val="24"/>
        </w:rPr>
      </w:pPr>
      <w:r w:rsidRPr="00607F6E">
        <w:rPr>
          <w:rFonts w:ascii="Arial" w:hAnsi="Arial" w:cs="Arial"/>
          <w:b/>
          <w:bCs/>
          <w:szCs w:val="24"/>
        </w:rPr>
        <w:t>Youth Workforce Growth:</w:t>
      </w:r>
      <w:r w:rsidRPr="00607F6E">
        <w:rPr>
          <w:rFonts w:ascii="Arial" w:hAnsi="Arial" w:cs="Arial"/>
          <w:szCs w:val="24"/>
        </w:rPr>
        <w:t xml:space="preserve"> Conversely, most South Asian and African economies are witnessing an increase in the number of young workers, yet lack of employment. To reduce unemployment and maximise inclusion, HRM is advised to promote youth entrepreneurship, professional training, and digital literacy (Heyes et al., 2025).</w:t>
      </w:r>
    </w:p>
    <w:p w14:paraId="7D691676" w14:textId="77777777" w:rsidR="004374BA" w:rsidRPr="00607F6E" w:rsidRDefault="004374BA" w:rsidP="004374BA">
      <w:pPr>
        <w:rPr>
          <w:rFonts w:ascii="Arial" w:hAnsi="Arial" w:cs="Arial"/>
          <w:szCs w:val="24"/>
        </w:rPr>
      </w:pPr>
      <w:r w:rsidRPr="00607F6E">
        <w:rPr>
          <w:rFonts w:ascii="Arial" w:hAnsi="Arial" w:cs="Arial"/>
          <w:b/>
          <w:bCs/>
          <w:szCs w:val="24"/>
        </w:rPr>
        <w:t>Migration and Mobility:</w:t>
      </w:r>
      <w:r w:rsidRPr="00607F6E">
        <w:rPr>
          <w:rFonts w:ascii="Arial" w:hAnsi="Arial" w:cs="Arial"/>
          <w:szCs w:val="24"/>
        </w:rPr>
        <w:t xml:space="preserve"> The supply of labour is still influenced by cross-border migration. Canada and Australia are the examples of countries that promote skilled migration to solve the problem of talent deficit, but Brexit restricted EU </w:t>
      </w:r>
      <w:proofErr w:type="spellStart"/>
      <w:r w:rsidRPr="00607F6E">
        <w:rPr>
          <w:rFonts w:ascii="Arial" w:hAnsi="Arial" w:cs="Arial"/>
          <w:szCs w:val="24"/>
        </w:rPr>
        <w:t>labor</w:t>
      </w:r>
      <w:proofErr w:type="spellEnd"/>
      <w:r w:rsidRPr="00607F6E">
        <w:rPr>
          <w:rFonts w:ascii="Arial" w:hAnsi="Arial" w:cs="Arial"/>
          <w:szCs w:val="24"/>
        </w:rPr>
        <w:t xml:space="preserve"> migrations to the UK. The IHRM policies should thus comply with the changing national rules by matching expatriate management and compliance (Heyes et al., 2025).</w:t>
      </w:r>
    </w:p>
    <w:p w14:paraId="438F9C23" w14:textId="77777777" w:rsidR="004374BA" w:rsidRPr="00607F6E" w:rsidRDefault="004374BA" w:rsidP="004374BA">
      <w:pPr>
        <w:rPr>
          <w:rFonts w:ascii="Arial" w:hAnsi="Arial" w:cs="Arial"/>
          <w:szCs w:val="24"/>
        </w:rPr>
      </w:pPr>
      <w:r w:rsidRPr="00607F6E">
        <w:rPr>
          <w:rFonts w:ascii="Arial" w:hAnsi="Arial" w:cs="Arial"/>
          <w:b/>
          <w:bCs/>
          <w:szCs w:val="24"/>
        </w:rPr>
        <w:t>Gender Diversity:</w:t>
      </w:r>
      <w:r w:rsidRPr="00607F6E">
        <w:rPr>
          <w:rFonts w:ascii="Arial" w:hAnsi="Arial" w:cs="Arial"/>
          <w:szCs w:val="24"/>
        </w:rPr>
        <w:t xml:space="preserve"> Since the world GDP may increase by 26 percent should gender equality improve, the World Economic Forum (2023) faced no issue with this assumption. The Unilever company has integrated the goal of gender balance in 190 countries under their project </w:t>
      </w:r>
      <w:proofErr w:type="spellStart"/>
      <w:r w:rsidRPr="00607F6E">
        <w:rPr>
          <w:rFonts w:ascii="Arial" w:hAnsi="Arial" w:cs="Arial"/>
          <w:szCs w:val="24"/>
        </w:rPr>
        <w:t>Unstereotype</w:t>
      </w:r>
      <w:proofErr w:type="spellEnd"/>
      <w:r w:rsidRPr="00607F6E">
        <w:rPr>
          <w:rFonts w:ascii="Arial" w:hAnsi="Arial" w:cs="Arial"/>
          <w:szCs w:val="24"/>
        </w:rPr>
        <w:t xml:space="preserve"> where equality is associated with creativity and profitability. </w:t>
      </w:r>
    </w:p>
    <w:p w14:paraId="14B11E97" w14:textId="77777777" w:rsidR="004374BA" w:rsidRPr="00607F6E" w:rsidRDefault="004374BA" w:rsidP="004374BA">
      <w:pPr>
        <w:pStyle w:val="Heading3"/>
      </w:pPr>
      <w:bookmarkStart w:id="10" w:name="_Toc213978703"/>
      <w:r w:rsidRPr="00607F6E">
        <w:rPr>
          <w:rStyle w:val="Strong"/>
          <w:rFonts w:cs="Arial"/>
          <w:b/>
          <w:bCs w:val="0"/>
        </w:rPr>
        <w:t>2.2.3 Geopolitical Key Factors Influencing Employment Markets Today</w:t>
      </w:r>
      <w:bookmarkEnd w:id="10"/>
    </w:p>
    <w:p w14:paraId="69EF4904" w14:textId="77777777" w:rsidR="004374BA" w:rsidRPr="00607F6E" w:rsidRDefault="004374BA" w:rsidP="004374BA">
      <w:pPr>
        <w:rPr>
          <w:rStyle w:val="Strong"/>
          <w:rFonts w:ascii="Arial" w:hAnsi="Arial" w:cs="Arial"/>
          <w:b w:val="0"/>
          <w:bCs w:val="0"/>
          <w:szCs w:val="24"/>
        </w:rPr>
      </w:pPr>
      <w:r w:rsidRPr="00607F6E">
        <w:rPr>
          <w:rStyle w:val="Strong"/>
          <w:rFonts w:ascii="Arial" w:hAnsi="Arial" w:cs="Arial"/>
          <w:szCs w:val="24"/>
        </w:rPr>
        <w:t>Definition:</w:t>
      </w:r>
      <w:r w:rsidRPr="00607F6E">
        <w:rPr>
          <w:rStyle w:val="Strong"/>
          <w:rFonts w:ascii="Arial" w:hAnsi="Arial" w:cs="Arial"/>
          <w:b w:val="0"/>
          <w:bCs w:val="0"/>
          <w:szCs w:val="24"/>
        </w:rPr>
        <w:t xml:space="preserve"> Geopolitical factors entail economic relations, global political stability, and conflicts in a region that have effects on trade, investment and distribution of workers (Peels and Ponce Del Castillo, 2024).</w:t>
      </w:r>
    </w:p>
    <w:p w14:paraId="1BD10735" w14:textId="77777777" w:rsidR="004374BA" w:rsidRPr="00607F6E" w:rsidRDefault="004374BA" w:rsidP="004374BA">
      <w:pPr>
        <w:rPr>
          <w:rStyle w:val="Strong"/>
          <w:rFonts w:ascii="Arial" w:hAnsi="Arial" w:cs="Arial"/>
          <w:b w:val="0"/>
          <w:bCs w:val="0"/>
          <w:szCs w:val="24"/>
        </w:rPr>
      </w:pPr>
      <w:r w:rsidRPr="00607F6E">
        <w:rPr>
          <w:rStyle w:val="Strong"/>
          <w:rFonts w:ascii="Arial" w:hAnsi="Arial" w:cs="Arial"/>
          <w:szCs w:val="24"/>
        </w:rPr>
        <w:t>Political Stability and Conflict:</w:t>
      </w:r>
      <w:r w:rsidRPr="00607F6E">
        <w:rPr>
          <w:rStyle w:val="Strong"/>
          <w:rFonts w:ascii="Arial" w:hAnsi="Arial" w:cs="Arial"/>
          <w:b w:val="0"/>
          <w:bCs w:val="0"/>
          <w:szCs w:val="24"/>
        </w:rPr>
        <w:t xml:space="preserve"> The world is facing continued wars like in Ukraine and Gaza that have broken the supply chains and displaced millions of employees. As an example, Shell relocated some of its activities to the Southeast Asian region in order to reduce energy disruption (Peels and Ponce Del Castillo, 2024).</w:t>
      </w:r>
    </w:p>
    <w:p w14:paraId="3D0E2D2F" w14:textId="77777777" w:rsidR="004374BA" w:rsidRPr="00607F6E" w:rsidRDefault="004374BA" w:rsidP="004374BA">
      <w:pPr>
        <w:rPr>
          <w:rStyle w:val="Strong"/>
          <w:rFonts w:ascii="Arial" w:hAnsi="Arial" w:cs="Arial"/>
          <w:b w:val="0"/>
          <w:bCs w:val="0"/>
          <w:szCs w:val="24"/>
        </w:rPr>
      </w:pPr>
      <w:r w:rsidRPr="00607F6E">
        <w:rPr>
          <w:rStyle w:val="Strong"/>
          <w:rFonts w:ascii="Arial" w:hAnsi="Arial" w:cs="Arial"/>
          <w:szCs w:val="24"/>
        </w:rPr>
        <w:t>Immigration Policies:</w:t>
      </w:r>
      <w:r w:rsidRPr="00607F6E">
        <w:rPr>
          <w:rStyle w:val="Strong"/>
          <w:rFonts w:ascii="Arial" w:hAnsi="Arial" w:cs="Arial"/>
          <w:b w:val="0"/>
          <w:bCs w:val="0"/>
          <w:szCs w:val="24"/>
        </w:rPr>
        <w:t xml:space="preserve"> United Kingdom and Europe have strict policies that restrict the migration of skilled workers on visas whereas Canada and the Gulf countries offer the international talents by being more open to immigration. HRM needs to respond by making changes to global mobility and inclusion programmes (Heyes et al., 2025).</w:t>
      </w:r>
    </w:p>
    <w:p w14:paraId="29A0E8D2" w14:textId="5A4A0B83" w:rsidR="004374BA" w:rsidRPr="00607F6E" w:rsidRDefault="004374BA" w:rsidP="00D95FF2">
      <w:pPr>
        <w:rPr>
          <w:rStyle w:val="Strong"/>
          <w:rFonts w:ascii="Arial" w:hAnsi="Arial" w:cs="Arial"/>
          <w:b w:val="0"/>
          <w:bCs w:val="0"/>
          <w:szCs w:val="24"/>
        </w:rPr>
      </w:pPr>
      <w:r w:rsidRPr="00607F6E">
        <w:rPr>
          <w:rStyle w:val="Strong"/>
          <w:rFonts w:ascii="Arial" w:hAnsi="Arial" w:cs="Arial"/>
          <w:szCs w:val="24"/>
        </w:rPr>
        <w:lastRenderedPageBreak/>
        <w:t>Technological Competition:</w:t>
      </w:r>
      <w:r w:rsidRPr="00607F6E">
        <w:rPr>
          <w:rStyle w:val="Strong"/>
          <w:rFonts w:ascii="Arial" w:hAnsi="Arial" w:cs="Arial"/>
          <w:b w:val="0"/>
          <w:bCs w:val="0"/>
          <w:szCs w:val="24"/>
        </w:rPr>
        <w:t xml:space="preserve"> The rivalry between countries to be the leaders in the field of artificial intelligence and digital technology increases the supply of skilled employees in the field of science and engineering globally. To keep up with the competition, HR professionals should develop inclusive talent development and ethical reskilling programs (World Economic Forum, 2023).</w:t>
      </w:r>
    </w:p>
    <w:p w14:paraId="1D10964F" w14:textId="0AC9C702" w:rsidR="004374BA" w:rsidRPr="00607F6E" w:rsidRDefault="004374BA" w:rsidP="004374BA">
      <w:pPr>
        <w:pStyle w:val="Heading3"/>
      </w:pPr>
      <w:bookmarkStart w:id="11" w:name="_Toc213978704"/>
      <w:r w:rsidRPr="00607F6E">
        <w:rPr>
          <w:rStyle w:val="Strong"/>
          <w:rFonts w:cs="Arial"/>
          <w:b/>
          <w:bCs w:val="0"/>
        </w:rPr>
        <w:t>2.2.</w:t>
      </w:r>
      <w:r w:rsidR="00D95FF2">
        <w:rPr>
          <w:rStyle w:val="Strong"/>
          <w:rFonts w:cs="Arial"/>
          <w:b/>
          <w:bCs w:val="0"/>
        </w:rPr>
        <w:t>4</w:t>
      </w:r>
      <w:r w:rsidRPr="00607F6E">
        <w:rPr>
          <w:rStyle w:val="Strong"/>
          <w:rFonts w:cs="Arial"/>
          <w:b/>
          <w:bCs w:val="0"/>
        </w:rPr>
        <w:t xml:space="preserve"> How These Factors Create Challenges for HR Professionals</w:t>
      </w:r>
      <w:bookmarkEnd w:id="11"/>
    </w:p>
    <w:p w14:paraId="20631C42" w14:textId="77777777" w:rsidR="004374BA" w:rsidRPr="00607F6E" w:rsidRDefault="004374BA" w:rsidP="004374BA">
      <w:pPr>
        <w:pStyle w:val="NormalWeb"/>
        <w:spacing w:line="360" w:lineRule="auto"/>
        <w:jc w:val="both"/>
        <w:rPr>
          <w:rFonts w:ascii="Arial" w:hAnsi="Arial" w:cs="Arial"/>
        </w:rPr>
      </w:pPr>
      <w:r w:rsidRPr="00607F6E">
        <w:rPr>
          <w:rFonts w:ascii="Arial" w:hAnsi="Arial" w:cs="Arial"/>
        </w:rPr>
        <w:t>HR practitioners are increasingly challenged in dealing with diversity, compliance and cultural sensitivity. The Cultural Dimensions of Hofstede indicate that various cultures have different expectations of leaders. Employees in high power distance cultures want to be managed in a directive style and those in low power distance cultures want to be managed in participative style (Wilton, 2022). HR professionals should be able to operate in intercultural competence, open communication, and ethical leadership to effectively respond. Also, the reformulation of immigration policies, data protection policies, and equality regimes is a source of ongoing compliance issues (PwC, 2023).</w:t>
      </w:r>
    </w:p>
    <w:p w14:paraId="153FD55D" w14:textId="77777777" w:rsidR="004374BA" w:rsidRPr="00607F6E" w:rsidRDefault="004374BA" w:rsidP="004374BA">
      <w:pPr>
        <w:pStyle w:val="Heading3"/>
      </w:pPr>
      <w:bookmarkStart w:id="12" w:name="_Toc213978705"/>
      <w:r w:rsidRPr="00607F6E">
        <w:t>2.2.6 Conclusion</w:t>
      </w:r>
      <w:bookmarkEnd w:id="12"/>
    </w:p>
    <w:p w14:paraId="6DD5BBD3" w14:textId="5C87736F" w:rsidR="00E95BC5" w:rsidRPr="00567E73" w:rsidRDefault="004374BA" w:rsidP="004374BA">
      <w:pPr>
        <w:pStyle w:val="NormalWeb"/>
        <w:spacing w:line="360" w:lineRule="auto"/>
        <w:jc w:val="both"/>
        <w:rPr>
          <w:rFonts w:ascii="Arial" w:hAnsi="Arial" w:cs="Arial"/>
        </w:rPr>
      </w:pPr>
      <w:r w:rsidRPr="00607F6E">
        <w:rPr>
          <w:rFonts w:ascii="Arial" w:hAnsi="Arial" w:cs="Arial"/>
        </w:rPr>
        <w:t>A global economy that is becoming progressively less certain, demographic change, and geopolitical change is reshaping HRM and IHRM practice. In order to be effective, the HR professionals are advised to incorporate workforce diversity, global mobility, and sustainability into strategic planning to ensure they can be flexible and fair across the borders (Armstrong and Taylor, 2023).</w:t>
      </w:r>
    </w:p>
    <w:p w14:paraId="2EB137AA" w14:textId="190CDA75" w:rsidR="00A12D43" w:rsidRPr="00567E73" w:rsidRDefault="00584A81" w:rsidP="00C30A03">
      <w:pPr>
        <w:pStyle w:val="Heading2"/>
        <w:rPr>
          <w:rFonts w:ascii="Arial" w:hAnsi="Arial" w:cs="Arial"/>
        </w:rPr>
      </w:pPr>
      <w:bookmarkStart w:id="13" w:name="_Toc213978706"/>
      <w:r w:rsidRPr="00567E73">
        <w:rPr>
          <w:rFonts w:ascii="Arial" w:hAnsi="Arial" w:cs="Arial"/>
        </w:rPr>
        <w:t>2.3 Skills Shortage and Strategic HR Response</w:t>
      </w:r>
      <w:bookmarkEnd w:id="13"/>
    </w:p>
    <w:p w14:paraId="49CA201C" w14:textId="28B4FFA6" w:rsidR="00E95BC5" w:rsidRPr="00C43445" w:rsidRDefault="00584A81" w:rsidP="00C43445">
      <w:pPr>
        <w:pStyle w:val="Heading3"/>
        <w:rPr>
          <w:rFonts w:cs="Arial"/>
        </w:rPr>
      </w:pPr>
      <w:bookmarkStart w:id="14" w:name="_Toc213978707"/>
      <w:r w:rsidRPr="00C43445">
        <w:rPr>
          <w:rFonts w:cs="Arial"/>
        </w:rPr>
        <w:t>2.3.1 Introduction</w:t>
      </w:r>
      <w:bookmarkEnd w:id="14"/>
    </w:p>
    <w:p w14:paraId="7A8B780B" w14:textId="67A8290E" w:rsidR="00C43445" w:rsidRDefault="00C43445" w:rsidP="00C43445">
      <w:pPr>
        <w:spacing w:before="100" w:beforeAutospacing="1" w:after="100" w:afterAutospacing="1"/>
        <w:rPr>
          <w:rFonts w:ascii="Arial" w:eastAsia="Times New Roman" w:hAnsi="Arial" w:cs="Arial"/>
          <w:szCs w:val="24"/>
        </w:rPr>
      </w:pPr>
      <w:r w:rsidRPr="00C43445">
        <w:rPr>
          <w:rFonts w:ascii="Arial" w:eastAsia="Times New Roman" w:hAnsi="Arial" w:cs="Arial"/>
          <w:szCs w:val="24"/>
        </w:rPr>
        <w:t>Globally, there is a shortage of skills particularly in digital technology, health care and professional services which is a formidable obstacle to sustainable planning of workforce. This part explores the underlying causes and strategic HR reactions to skills deficit with references to the Harvard HRM Model and the 4B Talent Model developed by Cappelli with references made to the major sectors of the economy including IT and healthcare.</w:t>
      </w:r>
    </w:p>
    <w:p w14:paraId="080C3029" w14:textId="0FFE6FE3" w:rsidR="00C43445" w:rsidRPr="00C43445" w:rsidRDefault="00C43445" w:rsidP="00C43445">
      <w:pPr>
        <w:pStyle w:val="Heading3"/>
        <w:rPr>
          <w:rFonts w:eastAsia="Times New Roman" w:cs="Arial"/>
          <w:szCs w:val="24"/>
        </w:rPr>
      </w:pPr>
      <w:bookmarkStart w:id="15" w:name="_Toc213978708"/>
      <w:r>
        <w:lastRenderedPageBreak/>
        <w:t>2.3.2 Analysis of the Problem</w:t>
      </w:r>
      <w:bookmarkEnd w:id="15"/>
    </w:p>
    <w:p w14:paraId="53893774" w14:textId="669F8E75" w:rsidR="00C43445" w:rsidRPr="00C43445" w:rsidRDefault="00C43445" w:rsidP="00C43445">
      <w:pPr>
        <w:spacing w:before="100" w:beforeAutospacing="1" w:after="100" w:afterAutospacing="1"/>
        <w:rPr>
          <w:rFonts w:ascii="Arial" w:eastAsia="Times New Roman" w:hAnsi="Arial" w:cs="Arial"/>
          <w:szCs w:val="24"/>
        </w:rPr>
      </w:pPr>
      <w:r w:rsidRPr="00C43445">
        <w:rPr>
          <w:rFonts w:ascii="Arial" w:eastAsia="Times New Roman" w:hAnsi="Arial" w:cs="Arial"/>
          <w:szCs w:val="24"/>
        </w:rPr>
        <w:t>The lack of alignment between education and labour requirements on the market remains a persistent problem that exacerbates labour shortages in the world. According to OECD (2025), three-quarters of companies in advanced economies indicate the lack of digital literacy, analytics, and sustainability skills. The use of automation and AI has also decreased the number of people in need of repetitive jobs and increased the number of people in need of high level of thinking (ManpowerGroup, 2024). However, the preference of many organisations is focusing on short-term hiring as opposed to talent pipeline development, hence high turnover and decreased innovation</w:t>
      </w:r>
      <w:r w:rsidR="00A91009">
        <w:rPr>
          <w:rFonts w:ascii="Arial" w:eastAsia="Times New Roman" w:hAnsi="Arial" w:cs="Arial"/>
          <w:szCs w:val="24"/>
        </w:rPr>
        <w:t xml:space="preserve"> </w:t>
      </w:r>
      <w:r w:rsidRPr="00C43445">
        <w:rPr>
          <w:rFonts w:ascii="Arial" w:eastAsia="Times New Roman" w:hAnsi="Arial" w:cs="Arial"/>
          <w:szCs w:val="24"/>
        </w:rPr>
        <w:t xml:space="preserve">(Reiche, </w:t>
      </w:r>
      <w:proofErr w:type="spellStart"/>
      <w:r w:rsidRPr="00C43445">
        <w:rPr>
          <w:rFonts w:ascii="Arial" w:eastAsia="Times New Roman" w:hAnsi="Arial" w:cs="Arial"/>
          <w:szCs w:val="24"/>
        </w:rPr>
        <w:t>Harzing</w:t>
      </w:r>
      <w:proofErr w:type="spellEnd"/>
      <w:r w:rsidRPr="00C43445">
        <w:rPr>
          <w:rFonts w:ascii="Arial" w:eastAsia="Times New Roman" w:hAnsi="Arial" w:cs="Arial"/>
          <w:szCs w:val="24"/>
        </w:rPr>
        <w:t xml:space="preserve"> &amp; Tenzer, 2022).</w:t>
      </w:r>
    </w:p>
    <w:p w14:paraId="522147EA" w14:textId="77777777" w:rsidR="00C43445" w:rsidRPr="00C43445" w:rsidRDefault="00C43445" w:rsidP="00C43445">
      <w:pPr>
        <w:pStyle w:val="Heading3"/>
        <w:rPr>
          <w:rFonts w:eastAsia="Times New Roman"/>
        </w:rPr>
      </w:pPr>
      <w:bookmarkStart w:id="16" w:name="_Toc213978709"/>
      <w:r w:rsidRPr="00C43445">
        <w:rPr>
          <w:rFonts w:eastAsia="Times New Roman"/>
        </w:rPr>
        <w:t>2.3.3 Strategic HR Response</w:t>
      </w:r>
      <w:bookmarkEnd w:id="16"/>
    </w:p>
    <w:p w14:paraId="61D0AFA0" w14:textId="65913468" w:rsidR="00C43445" w:rsidRPr="00C43445" w:rsidRDefault="00C43445" w:rsidP="00C43445">
      <w:pPr>
        <w:spacing w:before="100" w:beforeAutospacing="1" w:after="100" w:afterAutospacing="1"/>
        <w:rPr>
          <w:rFonts w:ascii="Arial" w:eastAsia="Times New Roman" w:hAnsi="Arial" w:cs="Arial"/>
          <w:szCs w:val="24"/>
        </w:rPr>
      </w:pPr>
      <w:r w:rsidRPr="00C43445">
        <w:rPr>
          <w:rFonts w:ascii="Arial" w:eastAsia="Times New Roman" w:hAnsi="Arial" w:cs="Arial"/>
          <w:szCs w:val="24"/>
        </w:rPr>
        <w:t xml:space="preserve">With focus on the structural skills shortage, the 4B Model of workforce planning offered by Cappelli offers an ethical and sustainable approach to workforce planning (Al </w:t>
      </w:r>
      <w:proofErr w:type="spellStart"/>
      <w:r w:rsidRPr="00C43445">
        <w:rPr>
          <w:rFonts w:ascii="Arial" w:eastAsia="Times New Roman" w:hAnsi="Arial" w:cs="Arial"/>
          <w:szCs w:val="24"/>
        </w:rPr>
        <w:t>Jawali</w:t>
      </w:r>
      <w:proofErr w:type="spellEnd"/>
      <w:r w:rsidRPr="00C43445">
        <w:rPr>
          <w:rFonts w:ascii="Arial" w:eastAsia="Times New Roman" w:hAnsi="Arial" w:cs="Arial"/>
          <w:szCs w:val="24"/>
        </w:rPr>
        <w:t xml:space="preserve"> et al., 2022).</w:t>
      </w:r>
    </w:p>
    <w:p w14:paraId="6E94A72F" w14:textId="77777777" w:rsidR="00C43445" w:rsidRPr="00C43445" w:rsidRDefault="00C43445" w:rsidP="00C43445">
      <w:pPr>
        <w:keepNext/>
        <w:rPr>
          <w:rFonts w:ascii="Arial" w:hAnsi="Arial" w:cs="Arial"/>
        </w:rPr>
      </w:pPr>
      <w:r w:rsidRPr="00C43445">
        <w:rPr>
          <w:rFonts w:ascii="Arial" w:hAnsi="Arial" w:cs="Arial"/>
          <w:noProof/>
          <w14:ligatures w14:val="standardContextual"/>
        </w:rPr>
        <w:drawing>
          <wp:inline distT="0" distB="0" distL="0" distR="0" wp14:anchorId="5566B6A6" wp14:editId="745E6C74">
            <wp:extent cx="4648200" cy="1990725"/>
            <wp:effectExtent l="0" t="0" r="0" b="9525"/>
            <wp:docPr id="1057327340"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327340" name="Picture 1" descr="A diagram of a company&#10;&#10;AI-generated content may be incorrect."/>
                    <pic:cNvPicPr/>
                  </pic:nvPicPr>
                  <pic:blipFill>
                    <a:blip r:embed="rId9"/>
                    <a:stretch>
                      <a:fillRect/>
                    </a:stretch>
                  </pic:blipFill>
                  <pic:spPr>
                    <a:xfrm>
                      <a:off x="0" y="0"/>
                      <a:ext cx="4648200" cy="1990725"/>
                    </a:xfrm>
                    <a:prstGeom prst="rect">
                      <a:avLst/>
                    </a:prstGeom>
                  </pic:spPr>
                </pic:pic>
              </a:graphicData>
            </a:graphic>
          </wp:inline>
        </w:drawing>
      </w:r>
    </w:p>
    <w:p w14:paraId="57DEB839" w14:textId="41208874" w:rsidR="00C43445" w:rsidRPr="00C43445" w:rsidRDefault="00C43445" w:rsidP="00C43445">
      <w:pPr>
        <w:pStyle w:val="Caption"/>
        <w:spacing w:line="360" w:lineRule="auto"/>
        <w:jc w:val="center"/>
        <w:rPr>
          <w:rFonts w:ascii="Arial" w:hAnsi="Arial" w:cs="Arial"/>
          <w:i w:val="0"/>
          <w:iCs w:val="0"/>
        </w:rPr>
      </w:pPr>
      <w:r w:rsidRPr="00C43445">
        <w:rPr>
          <w:rFonts w:ascii="Arial" w:hAnsi="Arial" w:cs="Arial"/>
          <w:i w:val="0"/>
          <w:iCs w:val="0"/>
        </w:rPr>
        <w:t xml:space="preserve">Figure </w:t>
      </w:r>
      <w:r w:rsidR="00A273E2">
        <w:rPr>
          <w:rFonts w:ascii="Arial" w:hAnsi="Arial" w:cs="Arial"/>
          <w:i w:val="0"/>
          <w:iCs w:val="0"/>
        </w:rPr>
        <w:t>1</w:t>
      </w:r>
      <w:r w:rsidRPr="00C43445">
        <w:rPr>
          <w:rFonts w:ascii="Arial" w:hAnsi="Arial" w:cs="Arial"/>
          <w:i w:val="0"/>
          <w:iCs w:val="0"/>
        </w:rPr>
        <w:t>: 4B Model</w:t>
      </w:r>
    </w:p>
    <w:p w14:paraId="0E946934" w14:textId="7E0A95E7" w:rsidR="00C43445" w:rsidRPr="00C43445" w:rsidRDefault="00C43445" w:rsidP="00C43445">
      <w:pPr>
        <w:jc w:val="center"/>
        <w:rPr>
          <w:rFonts w:ascii="Arial" w:hAnsi="Arial" w:cs="Arial"/>
        </w:rPr>
      </w:pPr>
      <w:r w:rsidRPr="00C43445">
        <w:rPr>
          <w:rFonts w:ascii="Arial" w:hAnsi="Arial" w:cs="Arial"/>
        </w:rPr>
        <w:t xml:space="preserve">Source: (Al </w:t>
      </w:r>
      <w:proofErr w:type="spellStart"/>
      <w:r w:rsidRPr="00C43445">
        <w:rPr>
          <w:rFonts w:ascii="Arial" w:hAnsi="Arial" w:cs="Arial"/>
        </w:rPr>
        <w:t>Jawali</w:t>
      </w:r>
      <w:proofErr w:type="spellEnd"/>
      <w:r w:rsidRPr="00C43445">
        <w:rPr>
          <w:rFonts w:ascii="Arial" w:hAnsi="Arial" w:cs="Arial"/>
        </w:rPr>
        <w:t xml:space="preserve"> et al., 2022)</w:t>
      </w:r>
    </w:p>
    <w:p w14:paraId="1DEE823E" w14:textId="77777777" w:rsidR="00C43445" w:rsidRPr="00C43445" w:rsidRDefault="00C43445" w:rsidP="00C43445">
      <w:pPr>
        <w:spacing w:before="100" w:beforeAutospacing="1" w:after="100" w:afterAutospacing="1"/>
        <w:rPr>
          <w:rFonts w:ascii="Arial" w:eastAsia="Times New Roman" w:hAnsi="Arial" w:cs="Arial"/>
          <w:szCs w:val="24"/>
        </w:rPr>
      </w:pPr>
      <w:r w:rsidRPr="00C43445">
        <w:rPr>
          <w:rFonts w:ascii="Arial" w:eastAsia="Times New Roman" w:hAnsi="Arial" w:cs="Arial"/>
          <w:b/>
          <w:bCs/>
          <w:szCs w:val="24"/>
        </w:rPr>
        <w:t>Build:</w:t>
      </w:r>
      <w:r w:rsidRPr="00C43445">
        <w:rPr>
          <w:rFonts w:ascii="Arial" w:eastAsia="Times New Roman" w:hAnsi="Arial" w:cs="Arial"/>
          <w:szCs w:val="24"/>
        </w:rPr>
        <w:t xml:space="preserve"> Internal pipelines: Building digital academies, apprenticeships, and micro-credential learning. Siemens is another example of AI-based reskilling that facilitates internal mobility (</w:t>
      </w:r>
      <w:proofErr w:type="spellStart"/>
      <w:r w:rsidRPr="00C43445">
        <w:rPr>
          <w:rFonts w:ascii="Arial" w:eastAsia="Times New Roman" w:hAnsi="Arial" w:cs="Arial"/>
          <w:szCs w:val="24"/>
        </w:rPr>
        <w:t>Learn@Work</w:t>
      </w:r>
      <w:proofErr w:type="spellEnd"/>
      <w:r w:rsidRPr="00C43445">
        <w:rPr>
          <w:rFonts w:ascii="Arial" w:eastAsia="Times New Roman" w:hAnsi="Arial" w:cs="Arial"/>
          <w:szCs w:val="24"/>
        </w:rPr>
        <w:t>, 2021).</w:t>
      </w:r>
    </w:p>
    <w:p w14:paraId="62073453" w14:textId="77777777" w:rsidR="00C43445" w:rsidRPr="00C43445" w:rsidRDefault="00C43445" w:rsidP="00C43445">
      <w:pPr>
        <w:spacing w:before="100" w:beforeAutospacing="1" w:after="100" w:afterAutospacing="1"/>
        <w:rPr>
          <w:rFonts w:ascii="Arial" w:eastAsia="Times New Roman" w:hAnsi="Arial" w:cs="Arial"/>
          <w:szCs w:val="24"/>
        </w:rPr>
      </w:pPr>
      <w:r w:rsidRPr="00C43445">
        <w:rPr>
          <w:rFonts w:ascii="Arial" w:eastAsia="Times New Roman" w:hAnsi="Arial" w:cs="Arial"/>
          <w:b/>
          <w:bCs/>
          <w:szCs w:val="24"/>
        </w:rPr>
        <w:lastRenderedPageBreak/>
        <w:t>Buy:</w:t>
      </w:r>
      <w:r w:rsidRPr="00C43445">
        <w:rPr>
          <w:rFonts w:ascii="Arial" w:eastAsia="Times New Roman" w:hAnsi="Arial" w:cs="Arial"/>
          <w:szCs w:val="24"/>
        </w:rPr>
        <w:t xml:space="preserve"> Find a solution by recruiting externally to fill urgent capability requirements and maintain equitable pay and unbiased AI-based recruiting (CIPD, 2024).</w:t>
      </w:r>
    </w:p>
    <w:p w14:paraId="496F5002" w14:textId="77777777" w:rsidR="00C43445" w:rsidRPr="00C43445" w:rsidRDefault="00C43445" w:rsidP="00C43445">
      <w:pPr>
        <w:spacing w:before="100" w:beforeAutospacing="1" w:after="100" w:afterAutospacing="1"/>
        <w:rPr>
          <w:rFonts w:ascii="Arial" w:eastAsia="Times New Roman" w:hAnsi="Arial" w:cs="Arial"/>
          <w:szCs w:val="24"/>
        </w:rPr>
      </w:pPr>
      <w:r w:rsidRPr="00C43445">
        <w:rPr>
          <w:rFonts w:ascii="Arial" w:eastAsia="Times New Roman" w:hAnsi="Arial" w:cs="Arial"/>
          <w:b/>
          <w:bCs/>
          <w:szCs w:val="24"/>
        </w:rPr>
        <w:t>Borrow:</w:t>
      </w:r>
      <w:r w:rsidRPr="00C43445">
        <w:rPr>
          <w:rFonts w:ascii="Arial" w:eastAsia="Times New Roman" w:hAnsi="Arial" w:cs="Arial"/>
          <w:szCs w:val="24"/>
        </w:rPr>
        <w:t xml:space="preserve"> It is possible to hire contractors or freelancers in the field of IT and design, which makes it more agile, but requires ethical contracting and inclusion to secure reasonable conditions (ManpowerGroup, 2024).</w:t>
      </w:r>
    </w:p>
    <w:p w14:paraId="4E5D403B" w14:textId="77777777" w:rsidR="00C43445" w:rsidRPr="00C43445" w:rsidRDefault="00C43445" w:rsidP="00C43445">
      <w:pPr>
        <w:spacing w:before="100" w:beforeAutospacing="1" w:after="100" w:afterAutospacing="1"/>
        <w:rPr>
          <w:rFonts w:ascii="Arial" w:eastAsia="Times New Roman" w:hAnsi="Arial" w:cs="Arial"/>
          <w:szCs w:val="24"/>
        </w:rPr>
      </w:pPr>
      <w:r w:rsidRPr="00C43445">
        <w:rPr>
          <w:rFonts w:ascii="Arial" w:eastAsia="Times New Roman" w:hAnsi="Arial" w:cs="Arial"/>
          <w:b/>
          <w:bCs/>
          <w:szCs w:val="24"/>
        </w:rPr>
        <w:t>Bind:</w:t>
      </w:r>
      <w:r w:rsidRPr="00C43445">
        <w:rPr>
          <w:rFonts w:ascii="Arial" w:eastAsia="Times New Roman" w:hAnsi="Arial" w:cs="Arial"/>
          <w:szCs w:val="24"/>
        </w:rPr>
        <w:t xml:space="preserve"> Retention based on mentoring, flexibility, and career advancement; the culture of mentoring and learning at Google increases the level of commitment and innovation (CIPD, 2024).</w:t>
      </w:r>
    </w:p>
    <w:p w14:paraId="6A75F9AA" w14:textId="65739AF8" w:rsidR="00C43445" w:rsidRPr="00C43445" w:rsidRDefault="00C43445" w:rsidP="00C43445">
      <w:pPr>
        <w:spacing w:before="100" w:beforeAutospacing="1" w:after="100" w:afterAutospacing="1"/>
        <w:rPr>
          <w:rFonts w:ascii="Arial" w:eastAsia="Times New Roman" w:hAnsi="Arial" w:cs="Arial"/>
          <w:szCs w:val="24"/>
        </w:rPr>
      </w:pPr>
      <w:r w:rsidRPr="00C43445">
        <w:rPr>
          <w:rFonts w:ascii="Arial" w:eastAsia="Times New Roman" w:hAnsi="Arial" w:cs="Arial"/>
          <w:szCs w:val="24"/>
        </w:rPr>
        <w:t>These</w:t>
      </w:r>
      <w:r>
        <w:rPr>
          <w:rFonts w:ascii="Arial" w:eastAsia="Times New Roman" w:hAnsi="Arial" w:cs="Arial"/>
          <w:szCs w:val="24"/>
        </w:rPr>
        <w:t>,</w:t>
      </w:r>
      <w:r w:rsidRPr="00C43445">
        <w:rPr>
          <w:rFonts w:ascii="Arial" w:eastAsia="Times New Roman" w:hAnsi="Arial" w:cs="Arial"/>
          <w:szCs w:val="24"/>
        </w:rPr>
        <w:t xml:space="preserve"> four methods are a complement to the Harvard Model of aligning reward, development, and influence policies required to maintain competence and engagement in turbulent labour markets.</w:t>
      </w:r>
    </w:p>
    <w:p w14:paraId="4AF7CD9E" w14:textId="77777777" w:rsidR="00C43445" w:rsidRPr="00F21FAD" w:rsidRDefault="00C43445" w:rsidP="00C43445">
      <w:pPr>
        <w:spacing w:before="100" w:beforeAutospacing="1" w:after="100" w:afterAutospacing="1"/>
        <w:outlineLvl w:val="3"/>
        <w:rPr>
          <w:rFonts w:ascii="Arial" w:eastAsia="Times New Roman" w:hAnsi="Arial" w:cs="Arial"/>
          <w:b/>
          <w:bCs/>
          <w:szCs w:val="24"/>
        </w:rPr>
      </w:pPr>
      <w:r w:rsidRPr="00F21FAD">
        <w:rPr>
          <w:rFonts w:ascii="Arial" w:eastAsia="Times New Roman" w:hAnsi="Arial" w:cs="Arial"/>
          <w:b/>
          <w:bCs/>
          <w:szCs w:val="24"/>
        </w:rPr>
        <w:t>2.3.4 Sector Example and Application</w:t>
      </w:r>
    </w:p>
    <w:p w14:paraId="1F97FE97" w14:textId="77777777" w:rsidR="00C43445" w:rsidRPr="00C43445" w:rsidRDefault="00C43445" w:rsidP="00C43445">
      <w:pPr>
        <w:spacing w:before="100" w:beforeAutospacing="1" w:after="100" w:afterAutospacing="1"/>
        <w:rPr>
          <w:rFonts w:ascii="Arial" w:eastAsia="Times New Roman" w:hAnsi="Arial" w:cs="Arial"/>
          <w:szCs w:val="24"/>
        </w:rPr>
      </w:pPr>
      <w:r w:rsidRPr="00C43445">
        <w:rPr>
          <w:rFonts w:ascii="Arial" w:eastAsia="Times New Roman" w:hAnsi="Arial" w:cs="Arial"/>
          <w:szCs w:val="24"/>
        </w:rPr>
        <w:t>The NHS implements the Build and Bind strategies through investing in global recruitment and professional growth to reduce nursing shortages and improve retention (Heyes et al., 2025). Likewise, the IT department of Atlas Fashion implemented Build and Borrow approaches throughout the pandemic, which included digital learning and temporary specialists to continue innovating and providing service (Peels and Ponce Del Castillo, 2024).</w:t>
      </w:r>
    </w:p>
    <w:p w14:paraId="250EB8AE" w14:textId="77777777" w:rsidR="00C43445" w:rsidRPr="00C43445" w:rsidRDefault="00C43445" w:rsidP="00C43445">
      <w:pPr>
        <w:pStyle w:val="Heading3"/>
        <w:rPr>
          <w:rFonts w:eastAsia="Times New Roman" w:cs="Arial"/>
        </w:rPr>
      </w:pPr>
      <w:bookmarkStart w:id="17" w:name="_Toc213978710"/>
      <w:r w:rsidRPr="00C43445">
        <w:rPr>
          <w:rFonts w:eastAsia="Times New Roman" w:cs="Arial"/>
        </w:rPr>
        <w:t>2.3.5 Conclusion</w:t>
      </w:r>
      <w:bookmarkEnd w:id="17"/>
    </w:p>
    <w:p w14:paraId="4300A2D1" w14:textId="2292F74A" w:rsidR="00C43445" w:rsidRPr="00675B5C" w:rsidRDefault="00C43445" w:rsidP="00675B5C">
      <w:pPr>
        <w:spacing w:before="100" w:beforeAutospacing="1" w:after="100" w:afterAutospacing="1"/>
        <w:rPr>
          <w:rFonts w:ascii="Arial" w:eastAsia="Times New Roman" w:hAnsi="Arial" w:cs="Arial"/>
          <w:szCs w:val="24"/>
        </w:rPr>
      </w:pPr>
      <w:r w:rsidRPr="00C43445">
        <w:rPr>
          <w:rFonts w:ascii="Arial" w:eastAsia="Times New Roman" w:hAnsi="Arial" w:cs="Arial"/>
          <w:szCs w:val="24"/>
        </w:rPr>
        <w:t>A combination of the Harvard HRM Model and the 4B Model is the guarantee that the workforce policy is consistent with the corporate strategy. According to evidence, compiled by OECD (2025) and PwC (2023), the most efficient reactions to skills shortages globally are predictive analytics, continuous learning and inclusive leadership.</w:t>
      </w:r>
    </w:p>
    <w:p w14:paraId="1DB71664" w14:textId="3239CEC5" w:rsidR="00A12D43" w:rsidRPr="00567E73" w:rsidRDefault="00584A81" w:rsidP="00E95BC5">
      <w:pPr>
        <w:pStyle w:val="Heading2"/>
        <w:rPr>
          <w:rFonts w:ascii="Arial" w:hAnsi="Arial" w:cs="Arial"/>
        </w:rPr>
      </w:pPr>
      <w:bookmarkStart w:id="18" w:name="_Toc213978711"/>
      <w:r w:rsidRPr="00567E73">
        <w:rPr>
          <w:rFonts w:ascii="Arial" w:hAnsi="Arial" w:cs="Arial"/>
        </w:rPr>
        <w:lastRenderedPageBreak/>
        <w:t>2.4 Reflective Analysis on Professional Capabilities and Learning</w:t>
      </w:r>
      <w:bookmarkEnd w:id="18"/>
    </w:p>
    <w:p w14:paraId="13E2BD78" w14:textId="04739AF0" w:rsidR="00A12D43" w:rsidRPr="00567E73" w:rsidRDefault="00E95BC5" w:rsidP="003C3853">
      <w:pPr>
        <w:pStyle w:val="Heading3"/>
        <w:rPr>
          <w:rFonts w:cs="Arial"/>
        </w:rPr>
      </w:pPr>
      <w:bookmarkStart w:id="19" w:name="_Toc213978712"/>
      <w:r w:rsidRPr="00567E73">
        <w:rPr>
          <w:rFonts w:cs="Arial"/>
        </w:rPr>
        <w:t>2.4.1</w:t>
      </w:r>
      <w:r w:rsidR="00A12D43" w:rsidRPr="00567E73">
        <w:rPr>
          <w:rFonts w:cs="Arial"/>
        </w:rPr>
        <w:t xml:space="preserve"> Introduction</w:t>
      </w:r>
      <w:bookmarkEnd w:id="19"/>
    </w:p>
    <w:p w14:paraId="05D9AE78" w14:textId="34889131" w:rsidR="005A7DF1" w:rsidRPr="00567E73" w:rsidRDefault="003C610D" w:rsidP="003C610D">
      <w:pPr>
        <w:rPr>
          <w:rFonts w:ascii="Arial" w:hAnsi="Arial" w:cs="Arial"/>
        </w:rPr>
      </w:pPr>
      <w:r w:rsidRPr="00567E73">
        <w:rPr>
          <w:rFonts w:ascii="Arial" w:hAnsi="Arial" w:cs="Arial"/>
        </w:rPr>
        <w:t xml:space="preserve">Figure </w:t>
      </w:r>
      <w:r w:rsidR="00BF4D6E">
        <w:rPr>
          <w:rFonts w:ascii="Arial" w:hAnsi="Arial" w:cs="Arial"/>
        </w:rPr>
        <w:t>2</w:t>
      </w:r>
      <w:r w:rsidRPr="00567E73">
        <w:rPr>
          <w:rFonts w:ascii="Arial" w:hAnsi="Arial" w:cs="Arial"/>
        </w:rPr>
        <w:t xml:space="preserve"> shows that international HR professionals need digital literacy, ethical leadership, and cross-cultural communication.  Human resource management must adapt to a global, tech-driven workforce (CIPD, 2024). To blend academic and practical knowledge, HRM professionals must self-reflect.  Gibbs (1988) created the Reflective Cycle—description, feelings, appraisal, analysis, conclusion, action plan (CIPD, 2024).  This fosters critical thinking and lifelong learning, HR necessities. Vazquez (2021) says global HR professionals need digital literacy, cross-cultural communication, ethical decision-making, teamwork, and self-directed learning.  I will use the Gibbs model to assess my academic and professional experiences for strengths, shortcomings, and global HRM preparation.</w:t>
      </w:r>
    </w:p>
    <w:p w14:paraId="47D8E709" w14:textId="77777777" w:rsidR="003C610D" w:rsidRPr="00567E73" w:rsidRDefault="003C610D" w:rsidP="003C610D">
      <w:pPr>
        <w:jc w:val="center"/>
        <w:rPr>
          <w:rFonts w:ascii="Arial" w:hAnsi="Arial" w:cs="Arial"/>
        </w:rPr>
      </w:pPr>
      <w:r w:rsidRPr="00567E73">
        <w:rPr>
          <w:rFonts w:ascii="Arial" w:hAnsi="Arial" w:cs="Arial"/>
          <w:noProof/>
        </w:rPr>
        <w:drawing>
          <wp:inline distT="0" distB="0" distL="0" distR="0" wp14:anchorId="2DE6101A" wp14:editId="6E048E88">
            <wp:extent cx="4444365" cy="2603500"/>
            <wp:effectExtent l="0" t="0" r="0" b="0"/>
            <wp:docPr id="1455490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4365" cy="2603500"/>
                    </a:xfrm>
                    <a:prstGeom prst="rect">
                      <a:avLst/>
                    </a:prstGeom>
                    <a:noFill/>
                  </pic:spPr>
                </pic:pic>
              </a:graphicData>
            </a:graphic>
          </wp:inline>
        </w:drawing>
      </w:r>
    </w:p>
    <w:p w14:paraId="672410EB" w14:textId="1194DDD7" w:rsidR="003C610D" w:rsidRPr="00567E73" w:rsidRDefault="003C610D" w:rsidP="003C610D">
      <w:pPr>
        <w:pStyle w:val="Caption"/>
        <w:jc w:val="center"/>
        <w:rPr>
          <w:rFonts w:ascii="Arial" w:hAnsi="Arial" w:cs="Arial"/>
        </w:rPr>
      </w:pPr>
      <w:r w:rsidRPr="00567E73">
        <w:rPr>
          <w:rFonts w:ascii="Arial" w:hAnsi="Arial" w:cs="Arial"/>
        </w:rPr>
        <w:t xml:space="preserve">Figure </w:t>
      </w:r>
      <w:r w:rsidR="00A273E2">
        <w:rPr>
          <w:rFonts w:ascii="Arial" w:hAnsi="Arial" w:cs="Arial"/>
        </w:rPr>
        <w:t>2</w:t>
      </w:r>
      <w:r w:rsidRPr="00567E73">
        <w:rPr>
          <w:rFonts w:ascii="Arial" w:hAnsi="Arial" w:cs="Arial"/>
        </w:rPr>
        <w:t>: Core Competencies for International HR Professionals</w:t>
      </w:r>
    </w:p>
    <w:p w14:paraId="7E7ACB5F" w14:textId="3FDCF67C" w:rsidR="003C610D" w:rsidRPr="00567E73" w:rsidRDefault="003C610D" w:rsidP="003C610D">
      <w:pPr>
        <w:jc w:val="center"/>
        <w:rPr>
          <w:rFonts w:ascii="Arial" w:hAnsi="Arial" w:cs="Arial"/>
        </w:rPr>
      </w:pPr>
      <w:r w:rsidRPr="00567E73">
        <w:rPr>
          <w:rFonts w:ascii="Arial" w:hAnsi="Arial" w:cs="Arial"/>
        </w:rPr>
        <w:t>Source: (Vazquez, 2021)</w:t>
      </w:r>
    </w:p>
    <w:p w14:paraId="09C1BCA6" w14:textId="620B9CBD" w:rsidR="00A12D43" w:rsidRPr="00567E73" w:rsidRDefault="00BB6EDC" w:rsidP="003C3853">
      <w:pPr>
        <w:pStyle w:val="Heading3"/>
        <w:rPr>
          <w:rFonts w:cs="Arial"/>
        </w:rPr>
      </w:pPr>
      <w:bookmarkStart w:id="20" w:name="_Toc213978713"/>
      <w:r w:rsidRPr="00567E73">
        <w:rPr>
          <w:rFonts w:cs="Arial"/>
        </w:rPr>
        <w:t>2.4.2 Presentation of a Methodological Model</w:t>
      </w:r>
      <w:bookmarkEnd w:id="20"/>
    </w:p>
    <w:p w14:paraId="3D72ADD5" w14:textId="756B4D4A" w:rsidR="005A7DF1" w:rsidRPr="00567E73" w:rsidRDefault="00DB6FF8" w:rsidP="005A7DF1">
      <w:pPr>
        <w:rPr>
          <w:rFonts w:ascii="Arial" w:hAnsi="Arial" w:cs="Arial"/>
        </w:rPr>
      </w:pPr>
      <w:r w:rsidRPr="00567E73">
        <w:rPr>
          <w:rFonts w:ascii="Arial" w:hAnsi="Arial" w:cs="Arial"/>
        </w:rPr>
        <w:t>In the case, the Gibbs model</w:t>
      </w:r>
      <w:r w:rsidR="00BA1C55" w:rsidRPr="00567E73">
        <w:rPr>
          <w:rFonts w:ascii="Arial" w:hAnsi="Arial" w:cs="Arial"/>
        </w:rPr>
        <w:t xml:space="preserve"> in figure 8</w:t>
      </w:r>
      <w:r w:rsidRPr="00567E73">
        <w:rPr>
          <w:rFonts w:ascii="Arial" w:hAnsi="Arial" w:cs="Arial"/>
        </w:rPr>
        <w:t xml:space="preserve"> is used because it incorporates emotional awareness and critical evaluation, which are relevant to empathy and evidence-based practise which HRM focuses on (Heyes et al., 2025). It offers a systematic way of connecting experience and theory, which is the reason behind its high suitability in examining the role of learning events in competency development.</w:t>
      </w:r>
    </w:p>
    <w:p w14:paraId="4349A480" w14:textId="77777777" w:rsidR="005A7DF1" w:rsidRPr="00567E73" w:rsidRDefault="005A7DF1" w:rsidP="005A7DF1">
      <w:pPr>
        <w:keepNext/>
        <w:jc w:val="center"/>
        <w:rPr>
          <w:rFonts w:ascii="Arial" w:hAnsi="Arial" w:cs="Arial"/>
        </w:rPr>
      </w:pPr>
      <w:r w:rsidRPr="00567E73">
        <w:rPr>
          <w:rFonts w:ascii="Arial" w:hAnsi="Arial" w:cs="Arial"/>
          <w:noProof/>
        </w:rPr>
        <w:lastRenderedPageBreak/>
        <w:drawing>
          <wp:inline distT="0" distB="0" distL="0" distR="0" wp14:anchorId="0169C4D6" wp14:editId="0F7AB252">
            <wp:extent cx="3163011" cy="3125973"/>
            <wp:effectExtent l="0" t="0" r="0" b="0"/>
            <wp:docPr id="224364757" name="Picture 1" descr="A diagram of a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364757" name="Picture 1" descr="A diagram of a reflective cycle&#10;&#10;AI-generated content may be incorrect."/>
                    <pic:cNvPicPr/>
                  </pic:nvPicPr>
                  <pic:blipFill>
                    <a:blip r:embed="rId11"/>
                    <a:stretch>
                      <a:fillRect/>
                    </a:stretch>
                  </pic:blipFill>
                  <pic:spPr>
                    <a:xfrm>
                      <a:off x="0" y="0"/>
                      <a:ext cx="3163011" cy="3125973"/>
                    </a:xfrm>
                    <a:prstGeom prst="rect">
                      <a:avLst/>
                    </a:prstGeom>
                  </pic:spPr>
                </pic:pic>
              </a:graphicData>
            </a:graphic>
          </wp:inline>
        </w:drawing>
      </w:r>
    </w:p>
    <w:p w14:paraId="7B389EBC" w14:textId="4A6A93CB" w:rsidR="005A7DF1" w:rsidRPr="00567E73" w:rsidRDefault="005A7DF1" w:rsidP="005A7DF1">
      <w:pPr>
        <w:pStyle w:val="Caption"/>
        <w:jc w:val="center"/>
        <w:rPr>
          <w:rFonts w:ascii="Arial" w:hAnsi="Arial" w:cs="Arial"/>
          <w:i w:val="0"/>
          <w:iCs w:val="0"/>
        </w:rPr>
      </w:pPr>
      <w:r w:rsidRPr="00567E73">
        <w:rPr>
          <w:rFonts w:ascii="Arial" w:hAnsi="Arial" w:cs="Arial"/>
          <w:i w:val="0"/>
          <w:iCs w:val="0"/>
        </w:rPr>
        <w:t>Figure</w:t>
      </w:r>
      <w:r w:rsidR="00BF4D6E">
        <w:rPr>
          <w:rFonts w:ascii="Arial" w:hAnsi="Arial" w:cs="Arial"/>
          <w:i w:val="0"/>
          <w:iCs w:val="0"/>
        </w:rPr>
        <w:t xml:space="preserve"> 3</w:t>
      </w:r>
      <w:r w:rsidRPr="00567E73">
        <w:rPr>
          <w:rFonts w:ascii="Arial" w:hAnsi="Arial" w:cs="Arial"/>
          <w:i w:val="0"/>
          <w:iCs w:val="0"/>
        </w:rPr>
        <w:t>: Personal Development Cycle using Gibbs Model</w:t>
      </w:r>
    </w:p>
    <w:p w14:paraId="462E8324" w14:textId="77777777" w:rsidR="005A7DF1" w:rsidRPr="00567E73" w:rsidRDefault="005A7DF1" w:rsidP="005A7DF1">
      <w:pPr>
        <w:jc w:val="center"/>
        <w:rPr>
          <w:rFonts w:ascii="Arial" w:hAnsi="Arial" w:cs="Arial"/>
        </w:rPr>
      </w:pPr>
      <w:r w:rsidRPr="00567E73">
        <w:rPr>
          <w:rFonts w:ascii="Arial" w:hAnsi="Arial" w:cs="Arial"/>
        </w:rPr>
        <w:t>Source: (CIPD, 2024)</w:t>
      </w:r>
    </w:p>
    <w:p w14:paraId="18F314D3" w14:textId="14D8B53F" w:rsidR="005A7DF1" w:rsidRPr="00567E73" w:rsidRDefault="00DB6FF8" w:rsidP="005A7DF1">
      <w:pPr>
        <w:rPr>
          <w:rFonts w:ascii="Arial" w:hAnsi="Arial" w:cs="Arial"/>
        </w:rPr>
      </w:pPr>
      <w:r w:rsidRPr="00567E73">
        <w:rPr>
          <w:rFonts w:ascii="Arial" w:hAnsi="Arial" w:cs="Arial"/>
        </w:rPr>
        <w:t>The idea is implemented in the main HR skills that I have acquired, and these are digital adaptation, communication, collaboration, leadership, and self-directed learning. All the stages of the cycle are outlined and are associated with both theoretical and practical examples.</w:t>
      </w:r>
    </w:p>
    <w:p w14:paraId="2DAE25D8" w14:textId="7288D74C" w:rsidR="00F71210" w:rsidRPr="00567E73" w:rsidRDefault="00BB6EDC" w:rsidP="003C3853">
      <w:pPr>
        <w:pStyle w:val="Heading3"/>
        <w:rPr>
          <w:rFonts w:cs="Arial"/>
        </w:rPr>
      </w:pPr>
      <w:bookmarkStart w:id="21" w:name="_Toc213978714"/>
      <w:r w:rsidRPr="00567E73">
        <w:rPr>
          <w:rFonts w:cs="Arial"/>
        </w:rPr>
        <w:t>2.4.3 Analysis of Current Capabilities</w:t>
      </w:r>
      <w:bookmarkEnd w:id="21"/>
    </w:p>
    <w:p w14:paraId="3AAF0FBA" w14:textId="0863FD26" w:rsidR="00EB39A9" w:rsidRPr="00567E73" w:rsidRDefault="00EB39A9" w:rsidP="00EB39A9">
      <w:pPr>
        <w:rPr>
          <w:rFonts w:ascii="Arial" w:hAnsi="Arial" w:cs="Arial"/>
        </w:rPr>
      </w:pPr>
      <w:r w:rsidRPr="00567E73">
        <w:rPr>
          <w:rFonts w:ascii="Arial" w:hAnsi="Arial" w:cs="Arial"/>
          <w:b/>
          <w:bCs/>
        </w:rPr>
        <w:t>Description and Feelings:</w:t>
      </w:r>
      <w:r w:rsidRPr="00567E73">
        <w:rPr>
          <w:rFonts w:ascii="Arial" w:hAnsi="Arial" w:cs="Arial"/>
        </w:rPr>
        <w:t xml:space="preserve"> </w:t>
      </w:r>
      <w:r w:rsidR="00DB6FF8" w:rsidRPr="00567E73">
        <w:rPr>
          <w:rFonts w:ascii="Arial" w:hAnsi="Arial" w:cs="Arial"/>
        </w:rPr>
        <w:t>In one of the projects in the tourism industry under the group HRM, I arranged foreign team members to use digital tools like Microsoft Teams, Zoom and Trello. First, I was very confident in my level of technological expertise, however, I had some fears about the cultural navigation in communication and decision-making</w:t>
      </w:r>
      <w:r w:rsidR="004E39B8" w:rsidRPr="00567E73">
        <w:rPr>
          <w:rFonts w:ascii="Arial" w:hAnsi="Arial" w:cs="Arial"/>
        </w:rPr>
        <w:t xml:space="preserve"> (CIPD, 2024)</w:t>
      </w:r>
      <w:r w:rsidR="00DB6FF8" w:rsidRPr="00567E73">
        <w:rPr>
          <w:rFonts w:ascii="Arial" w:hAnsi="Arial" w:cs="Arial"/>
        </w:rPr>
        <w:t xml:space="preserve">. </w:t>
      </w:r>
      <w:r w:rsidR="00FB45FD" w:rsidRPr="00567E73">
        <w:rPr>
          <w:rFonts w:ascii="Arial" w:hAnsi="Arial" w:cs="Arial"/>
        </w:rPr>
        <w:t>Some of the team members enjoyed the top-down conversations and others promoted the open communication and this caused some coordination issues in executing the work.</w:t>
      </w:r>
    </w:p>
    <w:p w14:paraId="1C5B3F18" w14:textId="408EDF4E" w:rsidR="00F93745" w:rsidRPr="00567E73" w:rsidRDefault="00132073" w:rsidP="00F93745">
      <w:pPr>
        <w:rPr>
          <w:rFonts w:ascii="Arial" w:hAnsi="Arial" w:cs="Arial"/>
        </w:rPr>
      </w:pPr>
      <w:r w:rsidRPr="00567E73">
        <w:rPr>
          <w:rFonts w:ascii="Arial" w:hAnsi="Arial" w:cs="Arial"/>
          <w:b/>
          <w:bCs/>
        </w:rPr>
        <w:t>Evaluation:</w:t>
      </w:r>
      <w:r w:rsidRPr="00567E73">
        <w:rPr>
          <w:rFonts w:ascii="Arial" w:hAnsi="Arial" w:cs="Arial"/>
        </w:rPr>
        <w:t xml:space="preserve"> </w:t>
      </w:r>
      <w:r w:rsidR="00F93745" w:rsidRPr="00567E73">
        <w:rPr>
          <w:rFonts w:ascii="Arial" w:hAnsi="Arial" w:cs="Arial"/>
        </w:rPr>
        <w:t>Despite the dilemmas that unveiled areas that required development, the net effect was favourable. My core competencies are digital skills and empathy, and I still need to develop better assertiveness, time management in different zones, and task delegation</w:t>
      </w:r>
      <w:r w:rsidR="004E39B8" w:rsidRPr="00567E73">
        <w:rPr>
          <w:rFonts w:ascii="Arial" w:hAnsi="Arial" w:cs="Arial"/>
        </w:rPr>
        <w:t xml:space="preserve"> (ManpowerGroup, 2024)</w:t>
      </w:r>
      <w:r w:rsidR="00F93745" w:rsidRPr="00567E73">
        <w:rPr>
          <w:rFonts w:ascii="Arial" w:hAnsi="Arial" w:cs="Arial"/>
        </w:rPr>
        <w:t xml:space="preserve">. Peer feedback has pointed out that my </w:t>
      </w:r>
      <w:r w:rsidR="00F93745" w:rsidRPr="00567E73">
        <w:rPr>
          <w:rFonts w:ascii="Arial" w:hAnsi="Arial" w:cs="Arial"/>
        </w:rPr>
        <w:lastRenderedPageBreak/>
        <w:t>communication style is inclusive yet not decisive at times, and, therefore, I need to create a stronger sense of confidence in leadership contexts.</w:t>
      </w:r>
    </w:p>
    <w:p w14:paraId="176344C4" w14:textId="15CFC7BF" w:rsidR="00722ED3" w:rsidRPr="00567E73" w:rsidRDefault="00EB39A9" w:rsidP="00722ED3">
      <w:pPr>
        <w:rPr>
          <w:rFonts w:ascii="Arial" w:hAnsi="Arial" w:cs="Arial"/>
        </w:rPr>
      </w:pPr>
      <w:r w:rsidRPr="00567E73">
        <w:rPr>
          <w:rFonts w:ascii="Arial" w:hAnsi="Arial" w:cs="Arial"/>
          <w:b/>
          <w:bCs/>
        </w:rPr>
        <w:t xml:space="preserve">Analysis: </w:t>
      </w:r>
      <w:r w:rsidR="00C56786" w:rsidRPr="00567E73">
        <w:rPr>
          <w:rFonts w:ascii="Arial" w:hAnsi="Arial" w:cs="Arial"/>
        </w:rPr>
        <w:t xml:space="preserve">According to the Gibbs analytical cycle, I applied these insights to explain them through the Hofstede Cultural Dimensions framework, which explains the impact of cultural dimensions such as power distance and uncertainty avoidance on the pattern of team communication (Reiche, </w:t>
      </w:r>
      <w:proofErr w:type="spellStart"/>
      <w:r w:rsidR="00C56786" w:rsidRPr="00567E73">
        <w:rPr>
          <w:rFonts w:ascii="Arial" w:hAnsi="Arial" w:cs="Arial"/>
        </w:rPr>
        <w:t>Harzing</w:t>
      </w:r>
      <w:proofErr w:type="spellEnd"/>
      <w:r w:rsidR="00C56786" w:rsidRPr="00567E73">
        <w:rPr>
          <w:rFonts w:ascii="Arial" w:hAnsi="Arial" w:cs="Arial"/>
        </w:rPr>
        <w:t xml:space="preserve">, and Tenzer, 2022). The situation revealed the fact that successful international HR management involves both cultural awareness and emotional intelligence. Besides, the </w:t>
      </w:r>
      <w:proofErr w:type="spellStart"/>
      <w:r w:rsidR="00C56786" w:rsidRPr="00567E73">
        <w:rPr>
          <w:rFonts w:ascii="Arial" w:hAnsi="Arial" w:cs="Arial"/>
        </w:rPr>
        <w:t>Kolbs</w:t>
      </w:r>
      <w:proofErr w:type="spellEnd"/>
      <w:r w:rsidR="00C56786" w:rsidRPr="00567E73">
        <w:rPr>
          <w:rFonts w:ascii="Arial" w:hAnsi="Arial" w:cs="Arial"/>
        </w:rPr>
        <w:t xml:space="preserve"> Experiential Learning Theory supports the hypothesis that critical reflection encourages experimentation and lifelong learning (ManpowerGroup, 2024).</w:t>
      </w:r>
    </w:p>
    <w:p w14:paraId="132C9333" w14:textId="5651DE5B" w:rsidR="00EB39A9" w:rsidRPr="00567E73" w:rsidRDefault="00722ED3" w:rsidP="00722ED3">
      <w:pPr>
        <w:rPr>
          <w:rFonts w:ascii="Arial" w:hAnsi="Arial" w:cs="Arial"/>
        </w:rPr>
      </w:pPr>
      <w:r w:rsidRPr="00567E73">
        <w:rPr>
          <w:rFonts w:ascii="Arial" w:hAnsi="Arial" w:cs="Arial"/>
        </w:rPr>
        <w:t>The CIPD Professional Map (2024) delineates the following core competencies: digital proficiency, inclusion, and people management. The domains pertain to my engagement with HR analytics solutions and inclusion initiatives. However, I lack experience in data visualisation and analytics (e.g., Power BI), which constrains my capacity to convert HR numbers into insights.</w:t>
      </w:r>
    </w:p>
    <w:p w14:paraId="3017B9FC" w14:textId="5A78C9B0" w:rsidR="00EB39A9" w:rsidRPr="00567E73" w:rsidRDefault="00EB39A9" w:rsidP="00EB39A9">
      <w:pPr>
        <w:rPr>
          <w:rFonts w:ascii="Arial" w:hAnsi="Arial" w:cs="Arial"/>
        </w:rPr>
      </w:pPr>
      <w:r w:rsidRPr="00567E73">
        <w:rPr>
          <w:rFonts w:ascii="Arial" w:hAnsi="Arial" w:cs="Arial"/>
          <w:b/>
          <w:bCs/>
        </w:rPr>
        <w:t>Conclusion:</w:t>
      </w:r>
      <w:r w:rsidRPr="00567E73">
        <w:rPr>
          <w:rFonts w:ascii="Arial" w:hAnsi="Arial" w:cs="Arial"/>
        </w:rPr>
        <w:t xml:space="preserve"> </w:t>
      </w:r>
      <w:r w:rsidR="00722ED3" w:rsidRPr="00567E73">
        <w:rPr>
          <w:rFonts w:ascii="Arial" w:hAnsi="Arial" w:cs="Arial"/>
        </w:rPr>
        <w:t>The reflection revealed that I have good interpersonal and technological bases, but I should improve my analytical and leadership skills to be able to work in a global HR position.</w:t>
      </w:r>
    </w:p>
    <w:p w14:paraId="0F2839B9" w14:textId="464EFA13" w:rsidR="00132073" w:rsidRPr="00567E73" w:rsidRDefault="00EB39A9" w:rsidP="00EB39A9">
      <w:pPr>
        <w:rPr>
          <w:rFonts w:ascii="Arial" w:hAnsi="Arial" w:cs="Arial"/>
        </w:rPr>
      </w:pPr>
      <w:r w:rsidRPr="00567E73">
        <w:rPr>
          <w:rFonts w:ascii="Arial" w:hAnsi="Arial" w:cs="Arial"/>
          <w:b/>
          <w:bCs/>
        </w:rPr>
        <w:t xml:space="preserve">Action Plan: </w:t>
      </w:r>
      <w:r w:rsidR="00722ED3" w:rsidRPr="00567E73">
        <w:rPr>
          <w:rFonts w:ascii="Arial" w:hAnsi="Arial" w:cs="Arial"/>
        </w:rPr>
        <w:t>I will follow the SMART model (specific, measurable, achievable, relevant, time-bound) by:</w:t>
      </w:r>
    </w:p>
    <w:p w14:paraId="369B06AB" w14:textId="1BF99133" w:rsidR="00722ED3" w:rsidRPr="00567E73" w:rsidRDefault="00722ED3" w:rsidP="00722ED3">
      <w:pPr>
        <w:pStyle w:val="ListParagraph"/>
        <w:numPr>
          <w:ilvl w:val="0"/>
          <w:numId w:val="41"/>
        </w:numPr>
        <w:rPr>
          <w:rFonts w:ascii="Arial" w:hAnsi="Arial" w:cs="Arial"/>
        </w:rPr>
      </w:pPr>
      <w:r w:rsidRPr="00567E73">
        <w:rPr>
          <w:rFonts w:ascii="Arial" w:hAnsi="Arial" w:cs="Arial"/>
        </w:rPr>
        <w:t>Earning a degree online in HR Analytics (through either Coursera or LinkedIn Learning) by the next semester.</w:t>
      </w:r>
    </w:p>
    <w:p w14:paraId="745BB059" w14:textId="4AE2E268" w:rsidR="00722ED3" w:rsidRPr="00567E73" w:rsidRDefault="00722ED3" w:rsidP="00722ED3">
      <w:pPr>
        <w:pStyle w:val="ListParagraph"/>
        <w:numPr>
          <w:ilvl w:val="0"/>
          <w:numId w:val="41"/>
        </w:numPr>
        <w:rPr>
          <w:rFonts w:ascii="Arial" w:hAnsi="Arial" w:cs="Arial"/>
        </w:rPr>
      </w:pPr>
      <w:r w:rsidRPr="00567E73">
        <w:rPr>
          <w:rFonts w:ascii="Arial" w:hAnsi="Arial" w:cs="Arial"/>
        </w:rPr>
        <w:t>Take courses in cross-cultural leadership to strengthen the confidence in decision-making.</w:t>
      </w:r>
    </w:p>
    <w:p w14:paraId="7C894B8D" w14:textId="5EF96756" w:rsidR="00722ED3" w:rsidRPr="00567E73" w:rsidRDefault="00722ED3" w:rsidP="00722ED3">
      <w:pPr>
        <w:pStyle w:val="ListParagraph"/>
        <w:numPr>
          <w:ilvl w:val="0"/>
          <w:numId w:val="41"/>
        </w:numPr>
        <w:rPr>
          <w:rFonts w:ascii="Arial" w:hAnsi="Arial" w:cs="Arial"/>
        </w:rPr>
      </w:pPr>
      <w:r w:rsidRPr="00567E73">
        <w:rPr>
          <w:rFonts w:ascii="Arial" w:hAnsi="Arial" w:cs="Arial"/>
        </w:rPr>
        <w:t>Use time-management software like Asana and SMART goal tracking to improve the workload management.</w:t>
      </w:r>
    </w:p>
    <w:p w14:paraId="6D3DD028" w14:textId="30D77E92" w:rsidR="00B90D35" w:rsidRPr="00567E73" w:rsidRDefault="00722ED3" w:rsidP="00722ED3">
      <w:pPr>
        <w:pStyle w:val="ListParagraph"/>
        <w:numPr>
          <w:ilvl w:val="0"/>
          <w:numId w:val="41"/>
        </w:numPr>
        <w:rPr>
          <w:rFonts w:ascii="Arial" w:hAnsi="Arial" w:cs="Arial"/>
        </w:rPr>
      </w:pPr>
      <w:r w:rsidRPr="00567E73">
        <w:rPr>
          <w:rFonts w:ascii="Arial" w:hAnsi="Arial" w:cs="Arial"/>
        </w:rPr>
        <w:t>Keep a reflective journal after the project to record significant HR-related initiatives, which will allow monitoring of progress and improving self-understanding.</w:t>
      </w:r>
    </w:p>
    <w:p w14:paraId="1A83BB47" w14:textId="368CFA78" w:rsidR="00F71210" w:rsidRPr="00567E73" w:rsidRDefault="00BB6EDC" w:rsidP="003C3853">
      <w:pPr>
        <w:pStyle w:val="Heading3"/>
        <w:rPr>
          <w:rFonts w:cs="Arial"/>
        </w:rPr>
      </w:pPr>
      <w:bookmarkStart w:id="22" w:name="_Toc213978715"/>
      <w:r w:rsidRPr="00567E73">
        <w:rPr>
          <w:rFonts w:cs="Arial"/>
        </w:rPr>
        <w:t>2.4.4 Discussion of Strengths and Weaknesses</w:t>
      </w:r>
      <w:bookmarkEnd w:id="22"/>
    </w:p>
    <w:p w14:paraId="1B4EF9A8" w14:textId="644D3316" w:rsidR="00EB39A9" w:rsidRPr="00567E73" w:rsidRDefault="00722ED3" w:rsidP="00B90D35">
      <w:pPr>
        <w:rPr>
          <w:rFonts w:ascii="Arial" w:hAnsi="Arial" w:cs="Arial"/>
        </w:rPr>
      </w:pPr>
      <w:r w:rsidRPr="00567E73">
        <w:rPr>
          <w:rFonts w:ascii="Arial" w:hAnsi="Arial" w:cs="Arial"/>
        </w:rPr>
        <w:t>Application of the Gibbs model illustrated my strengths and areas of weaknesses in terms of competencies.</w:t>
      </w:r>
    </w:p>
    <w:p w14:paraId="6507D5D5" w14:textId="77777777" w:rsidR="00B90D35" w:rsidRPr="00567E73" w:rsidRDefault="00B90D35" w:rsidP="00B90D35">
      <w:pPr>
        <w:rPr>
          <w:rFonts w:ascii="Arial" w:hAnsi="Arial" w:cs="Arial"/>
          <w:b/>
          <w:bCs/>
        </w:rPr>
      </w:pPr>
      <w:r w:rsidRPr="00567E73">
        <w:rPr>
          <w:rFonts w:ascii="Arial" w:hAnsi="Arial" w:cs="Arial"/>
          <w:b/>
          <w:bCs/>
        </w:rPr>
        <w:lastRenderedPageBreak/>
        <w:t>Strengths:</w:t>
      </w:r>
    </w:p>
    <w:p w14:paraId="1EC7B20D" w14:textId="2CADCE09" w:rsidR="00722ED3" w:rsidRPr="00567E73" w:rsidRDefault="00722ED3" w:rsidP="00722ED3">
      <w:pPr>
        <w:pStyle w:val="ListParagraph"/>
        <w:numPr>
          <w:ilvl w:val="0"/>
          <w:numId w:val="34"/>
        </w:numPr>
        <w:rPr>
          <w:rFonts w:ascii="Arial" w:hAnsi="Arial" w:cs="Arial"/>
        </w:rPr>
      </w:pPr>
      <w:r w:rsidRPr="00567E73">
        <w:rPr>
          <w:rFonts w:ascii="Arial" w:hAnsi="Arial" w:cs="Arial"/>
        </w:rPr>
        <w:t>I have the high level of skills in using online HR applications, such as HRIS, ChatGPT, and application tracking systems, which will boost my performance in virtual HR activities</w:t>
      </w:r>
      <w:r w:rsidR="004E39B8" w:rsidRPr="00567E73">
        <w:rPr>
          <w:rFonts w:ascii="Arial" w:hAnsi="Arial" w:cs="Arial"/>
        </w:rPr>
        <w:t xml:space="preserve"> (CIPD, 2024)</w:t>
      </w:r>
      <w:r w:rsidRPr="00567E73">
        <w:rPr>
          <w:rFonts w:ascii="Arial" w:hAnsi="Arial" w:cs="Arial"/>
        </w:rPr>
        <w:t>.</w:t>
      </w:r>
    </w:p>
    <w:p w14:paraId="6E066ACC" w14:textId="302E81E8" w:rsidR="00722ED3" w:rsidRPr="00567E73" w:rsidRDefault="00722ED3" w:rsidP="00722ED3">
      <w:pPr>
        <w:pStyle w:val="ListParagraph"/>
        <w:numPr>
          <w:ilvl w:val="0"/>
          <w:numId w:val="34"/>
        </w:numPr>
        <w:rPr>
          <w:rFonts w:ascii="Arial" w:hAnsi="Arial" w:cs="Arial"/>
        </w:rPr>
      </w:pPr>
      <w:r w:rsidRPr="00567E73">
        <w:rPr>
          <w:rFonts w:ascii="Arial" w:hAnsi="Arial" w:cs="Arial"/>
        </w:rPr>
        <w:t>Working with colleagues of different nationalities helped me to develop my empathy, active listening, and negotiation skills, which are critical skills in international human resource management.</w:t>
      </w:r>
    </w:p>
    <w:p w14:paraId="073BF84B" w14:textId="77777777" w:rsidR="00722ED3" w:rsidRPr="00567E73" w:rsidRDefault="00722ED3" w:rsidP="00722ED3">
      <w:pPr>
        <w:pStyle w:val="ListParagraph"/>
        <w:numPr>
          <w:ilvl w:val="0"/>
          <w:numId w:val="43"/>
        </w:numPr>
        <w:rPr>
          <w:rFonts w:ascii="Arial" w:hAnsi="Arial" w:cs="Arial"/>
        </w:rPr>
      </w:pPr>
      <w:r w:rsidRPr="00567E73">
        <w:rPr>
          <w:rFonts w:ascii="Arial" w:hAnsi="Arial" w:cs="Arial"/>
        </w:rPr>
        <w:t>I will also be collaborative in decision-making, pursue inclusiveness, and resolve conflicts positively, which are competencies of SHRM (2023) in collaboration and ethical practises.</w:t>
      </w:r>
    </w:p>
    <w:p w14:paraId="22677212" w14:textId="5EBDE449" w:rsidR="00722ED3" w:rsidRPr="00567E73" w:rsidRDefault="00722ED3" w:rsidP="00722ED3">
      <w:pPr>
        <w:pStyle w:val="ListParagraph"/>
        <w:numPr>
          <w:ilvl w:val="0"/>
          <w:numId w:val="43"/>
        </w:numPr>
        <w:rPr>
          <w:rFonts w:ascii="Arial" w:hAnsi="Arial" w:cs="Arial"/>
        </w:rPr>
      </w:pPr>
      <w:r w:rsidRPr="00567E73">
        <w:rPr>
          <w:rFonts w:ascii="Arial" w:hAnsi="Arial" w:cs="Arial"/>
        </w:rPr>
        <w:t>I am self-driven and active in acquiring professional development by studying HR research and participating in reflective practises.</w:t>
      </w:r>
    </w:p>
    <w:p w14:paraId="0204234C" w14:textId="77777777" w:rsidR="00B90D35" w:rsidRPr="00567E73" w:rsidRDefault="00B90D35" w:rsidP="00B90D35">
      <w:pPr>
        <w:rPr>
          <w:rFonts w:ascii="Arial" w:hAnsi="Arial" w:cs="Arial"/>
          <w:b/>
          <w:bCs/>
        </w:rPr>
      </w:pPr>
      <w:r w:rsidRPr="00567E73">
        <w:rPr>
          <w:rFonts w:ascii="Arial" w:hAnsi="Arial" w:cs="Arial"/>
          <w:b/>
          <w:bCs/>
        </w:rPr>
        <w:t>Weaknesses:</w:t>
      </w:r>
    </w:p>
    <w:p w14:paraId="6821B3DC" w14:textId="6EE91F21" w:rsidR="00722ED3" w:rsidRPr="00567E73" w:rsidRDefault="00722ED3" w:rsidP="00722ED3">
      <w:pPr>
        <w:pStyle w:val="ListParagraph"/>
        <w:numPr>
          <w:ilvl w:val="0"/>
          <w:numId w:val="43"/>
        </w:numPr>
        <w:rPr>
          <w:rFonts w:ascii="Arial" w:hAnsi="Arial" w:cs="Arial"/>
        </w:rPr>
      </w:pPr>
      <w:r w:rsidRPr="00567E73">
        <w:rPr>
          <w:rFonts w:ascii="Arial" w:hAnsi="Arial" w:cs="Arial"/>
        </w:rPr>
        <w:t>I do not have high proficiency in converting HR data to visual representation, which restrains my capacity to promote evidence-based HR decision-making (CIPD, 2024).</w:t>
      </w:r>
    </w:p>
    <w:p w14:paraId="6FFE0005" w14:textId="76B599E5" w:rsidR="00722ED3" w:rsidRPr="00567E73" w:rsidRDefault="00722ED3" w:rsidP="00722ED3">
      <w:pPr>
        <w:pStyle w:val="ListParagraph"/>
        <w:numPr>
          <w:ilvl w:val="0"/>
          <w:numId w:val="43"/>
        </w:numPr>
        <w:rPr>
          <w:rFonts w:ascii="Arial" w:hAnsi="Arial" w:cs="Arial"/>
        </w:rPr>
      </w:pPr>
      <w:r w:rsidRPr="00567E73">
        <w:rPr>
          <w:rFonts w:ascii="Arial" w:hAnsi="Arial" w:cs="Arial"/>
        </w:rPr>
        <w:t>I sometimes tend to be hesitant in taking decisive actions in heterogeneous teams and the lack of confidence can be seen as a weakness in dealing with multicultural teams.</w:t>
      </w:r>
    </w:p>
    <w:p w14:paraId="30EC4F26" w14:textId="2AC275C7" w:rsidR="00722ED3" w:rsidRPr="00567E73" w:rsidRDefault="00722ED3" w:rsidP="00722ED3">
      <w:pPr>
        <w:pStyle w:val="ListParagraph"/>
        <w:numPr>
          <w:ilvl w:val="0"/>
          <w:numId w:val="40"/>
        </w:numPr>
        <w:rPr>
          <w:rFonts w:ascii="Arial" w:hAnsi="Arial" w:cs="Arial"/>
        </w:rPr>
      </w:pPr>
      <w:r w:rsidRPr="00567E73">
        <w:rPr>
          <w:rFonts w:ascii="Arial" w:hAnsi="Arial" w:cs="Arial"/>
        </w:rPr>
        <w:t>Academic tasks and employment lead to low productivity and efficiency due to multitasking.</w:t>
      </w:r>
    </w:p>
    <w:p w14:paraId="037ED9EA" w14:textId="3C580464" w:rsidR="00B90D35" w:rsidRPr="00567E73" w:rsidRDefault="00737A9C" w:rsidP="00132073">
      <w:pPr>
        <w:rPr>
          <w:rFonts w:ascii="Arial" w:hAnsi="Arial" w:cs="Arial"/>
        </w:rPr>
      </w:pPr>
      <w:r w:rsidRPr="00567E73">
        <w:rPr>
          <w:rFonts w:ascii="Arial" w:hAnsi="Arial" w:cs="Arial"/>
        </w:rPr>
        <w:t>Gibb’s</w:t>
      </w:r>
      <w:r w:rsidR="00722ED3" w:rsidRPr="00567E73">
        <w:rPr>
          <w:rFonts w:ascii="Arial" w:hAnsi="Arial" w:cs="Arial"/>
        </w:rPr>
        <w:t xml:space="preserve"> evaluation and action stages enable the learning objectives to be converted into the deficiencies. The skill gap will be resolved through taking a course in data analytics and the development of self-regulation and lifelong learning will be increased with the help of structured reflective journaling. This implies that reflective paradigm is useful in organised development of capabilities.</w:t>
      </w:r>
    </w:p>
    <w:p w14:paraId="20436094" w14:textId="78C3C3A1" w:rsidR="00E95BC5" w:rsidRPr="00567E73" w:rsidRDefault="00BB6EDC" w:rsidP="003C3853">
      <w:pPr>
        <w:pStyle w:val="Heading3"/>
        <w:rPr>
          <w:rFonts w:cs="Arial"/>
        </w:rPr>
      </w:pPr>
      <w:bookmarkStart w:id="23" w:name="_Toc213978716"/>
      <w:r w:rsidRPr="00567E73">
        <w:rPr>
          <w:rFonts w:cs="Arial"/>
        </w:rPr>
        <w:t xml:space="preserve">2.4.5 </w:t>
      </w:r>
      <w:r w:rsidR="008E6249" w:rsidRPr="00567E73">
        <w:rPr>
          <w:rFonts w:cs="Arial"/>
        </w:rPr>
        <w:t>Summary</w:t>
      </w:r>
      <w:bookmarkEnd w:id="23"/>
    </w:p>
    <w:p w14:paraId="58528319" w14:textId="0DC38E41" w:rsidR="00BE04AE" w:rsidRPr="00567E73" w:rsidRDefault="001E2F89" w:rsidP="00BE04AE">
      <w:pPr>
        <w:rPr>
          <w:rFonts w:ascii="Arial" w:hAnsi="Arial" w:cs="Arial"/>
        </w:rPr>
      </w:pPr>
      <w:r w:rsidRPr="00567E73">
        <w:rPr>
          <w:rFonts w:ascii="Arial" w:hAnsi="Arial" w:cs="Arial"/>
        </w:rPr>
        <w:t xml:space="preserve">The Gibbs Reflective Cycle has taught me how reflection improves employability, leadership, and lifelong learning.  I discovered the vital skills of digital adaptability, teamwork, and multicultural communication for global human resource management.  To </w:t>
      </w:r>
      <w:r w:rsidRPr="00567E73">
        <w:rPr>
          <w:rFonts w:ascii="Arial" w:hAnsi="Arial" w:cs="Arial"/>
        </w:rPr>
        <w:lastRenderedPageBreak/>
        <w:t>rise to global HR responsibilities, I need more fact-based decision-making, leadership, and time management.  Management of heterogeneous teams requires emotional intelligence and ethical awareness, according to the reflection.  In the fast-paced HR industry, CIPD and SHRM will make me versatile, open-minded, and progressive.</w:t>
      </w:r>
    </w:p>
    <w:p w14:paraId="6E507F66" w14:textId="77777777" w:rsidR="00A12D43" w:rsidRPr="00567E73" w:rsidRDefault="00A12D43" w:rsidP="00A12D43">
      <w:pPr>
        <w:spacing w:after="160" w:line="259" w:lineRule="auto"/>
        <w:jc w:val="left"/>
        <w:rPr>
          <w:rFonts w:ascii="Arial" w:hAnsi="Arial" w:cs="Arial"/>
        </w:rPr>
      </w:pPr>
      <w:r w:rsidRPr="00567E73">
        <w:rPr>
          <w:rFonts w:ascii="Arial" w:hAnsi="Arial" w:cs="Arial"/>
        </w:rPr>
        <w:br w:type="page"/>
      </w:r>
    </w:p>
    <w:p w14:paraId="213454F5" w14:textId="4E512FCF" w:rsidR="00A12D43" w:rsidRPr="00567E73" w:rsidRDefault="00E95BC5" w:rsidP="00F71210">
      <w:pPr>
        <w:pStyle w:val="Heading1"/>
        <w:rPr>
          <w:rFonts w:ascii="Arial" w:hAnsi="Arial" w:cs="Arial"/>
        </w:rPr>
      </w:pPr>
      <w:bookmarkStart w:id="24" w:name="_Toc213978717"/>
      <w:r w:rsidRPr="00567E73">
        <w:rPr>
          <w:rFonts w:ascii="Arial" w:hAnsi="Arial" w:cs="Arial"/>
        </w:rPr>
        <w:lastRenderedPageBreak/>
        <w:t>3</w:t>
      </w:r>
      <w:r w:rsidR="00A12D43" w:rsidRPr="00567E73">
        <w:rPr>
          <w:rFonts w:ascii="Arial" w:hAnsi="Arial" w:cs="Arial"/>
        </w:rPr>
        <w:t>. Conclusion</w:t>
      </w:r>
      <w:bookmarkEnd w:id="24"/>
    </w:p>
    <w:p w14:paraId="75CD3884" w14:textId="2B8B9692" w:rsidR="005A7DF1" w:rsidRPr="00567E73" w:rsidRDefault="00722ED3" w:rsidP="005A7DF1">
      <w:pPr>
        <w:rPr>
          <w:rFonts w:ascii="Arial" w:hAnsi="Arial" w:cs="Arial"/>
        </w:rPr>
      </w:pPr>
      <w:r w:rsidRPr="00567E73">
        <w:rPr>
          <w:rFonts w:ascii="Arial" w:hAnsi="Arial" w:cs="Arial"/>
        </w:rPr>
        <w:t xml:space="preserve">The </w:t>
      </w:r>
      <w:r w:rsidR="00885A8F">
        <w:rPr>
          <w:rFonts w:ascii="Arial" w:hAnsi="Arial" w:cs="Arial"/>
        </w:rPr>
        <w:t>report</w:t>
      </w:r>
      <w:r w:rsidRPr="00567E73">
        <w:rPr>
          <w:rFonts w:ascii="Arial" w:hAnsi="Arial" w:cs="Arial"/>
        </w:rPr>
        <w:t xml:space="preserve"> has shown that the national and global labour markets are changing through the advancement in technology, demographic changes and geopolitical unrest. In order to work well within this changing environment, HRM and IHRM needs to transform into data-driven, inclusive, and ethically oriented practises. </w:t>
      </w:r>
    </w:p>
    <w:p w14:paraId="417779FB" w14:textId="77777777" w:rsidR="00A12D43" w:rsidRPr="00567E73" w:rsidRDefault="00A12D43" w:rsidP="00A12D43">
      <w:pPr>
        <w:spacing w:after="160" w:line="259" w:lineRule="auto"/>
        <w:jc w:val="left"/>
        <w:rPr>
          <w:rFonts w:ascii="Arial" w:hAnsi="Arial" w:cs="Arial"/>
        </w:rPr>
      </w:pPr>
      <w:r w:rsidRPr="00567E73">
        <w:rPr>
          <w:rFonts w:ascii="Arial" w:hAnsi="Arial" w:cs="Arial"/>
        </w:rPr>
        <w:br w:type="page"/>
      </w:r>
    </w:p>
    <w:p w14:paraId="36659F91" w14:textId="7997F1AD" w:rsidR="007456CD" w:rsidRPr="00567E73" w:rsidRDefault="00E95BC5" w:rsidP="007456CD">
      <w:pPr>
        <w:pStyle w:val="Heading1"/>
        <w:rPr>
          <w:rFonts w:ascii="Arial" w:hAnsi="Arial" w:cs="Arial"/>
        </w:rPr>
      </w:pPr>
      <w:bookmarkStart w:id="25" w:name="_Toc213978718"/>
      <w:r w:rsidRPr="00567E73">
        <w:rPr>
          <w:rFonts w:ascii="Arial" w:hAnsi="Arial" w:cs="Arial"/>
        </w:rPr>
        <w:lastRenderedPageBreak/>
        <w:t>4</w:t>
      </w:r>
      <w:r w:rsidR="00A12D43" w:rsidRPr="00567E73">
        <w:rPr>
          <w:rFonts w:ascii="Arial" w:hAnsi="Arial" w:cs="Arial"/>
        </w:rPr>
        <w:t>. Reference List</w:t>
      </w:r>
      <w:bookmarkEnd w:id="25"/>
    </w:p>
    <w:p w14:paraId="42283DDB" w14:textId="77777777" w:rsidR="008506B3" w:rsidRPr="008506B3" w:rsidRDefault="008506B3" w:rsidP="008506B3">
      <w:pPr>
        <w:rPr>
          <w:rFonts w:ascii="Arial" w:hAnsi="Arial" w:cs="Arial"/>
        </w:rPr>
      </w:pPr>
      <w:r w:rsidRPr="008506B3">
        <w:rPr>
          <w:rFonts w:ascii="Arial" w:hAnsi="Arial" w:cs="Arial"/>
        </w:rPr>
        <w:t xml:space="preserve">Al Jawali, H., Darwish, T.K., Scullion, H. and Haak-Saheem, W. (2022) ‘Talent management in the public sector: empirical evidence from the emerging economy of Dubai’, </w:t>
      </w:r>
      <w:r w:rsidRPr="008506B3">
        <w:rPr>
          <w:rFonts w:ascii="Arial" w:hAnsi="Arial" w:cs="Arial"/>
          <w:i/>
          <w:iCs/>
        </w:rPr>
        <w:t>The International Journal of Human Resource Management</w:t>
      </w:r>
      <w:r w:rsidRPr="008506B3">
        <w:rPr>
          <w:rFonts w:ascii="Arial" w:hAnsi="Arial" w:cs="Arial"/>
        </w:rPr>
        <w:t>, 33(11), pp. 2256–2284.</w:t>
      </w:r>
    </w:p>
    <w:p w14:paraId="1CD9D274" w14:textId="77777777" w:rsidR="008506B3" w:rsidRPr="008506B3" w:rsidRDefault="008506B3" w:rsidP="008506B3">
      <w:pPr>
        <w:rPr>
          <w:rFonts w:ascii="Arial" w:hAnsi="Arial" w:cs="Arial"/>
        </w:rPr>
      </w:pPr>
      <w:r w:rsidRPr="008506B3">
        <w:rPr>
          <w:rFonts w:ascii="Arial" w:hAnsi="Arial" w:cs="Arial"/>
        </w:rPr>
        <w:t xml:space="preserve">Armstrong, M. and Taylor, S. (2023) </w:t>
      </w:r>
      <w:r w:rsidRPr="008506B3">
        <w:rPr>
          <w:rFonts w:ascii="Arial" w:hAnsi="Arial" w:cs="Arial"/>
          <w:i/>
          <w:iCs/>
        </w:rPr>
        <w:t>Armstrong’s handbook of human resource management practice: A guide to the theory and practice of people management</w:t>
      </w:r>
      <w:r w:rsidRPr="008506B3">
        <w:rPr>
          <w:rFonts w:ascii="Arial" w:hAnsi="Arial" w:cs="Arial"/>
        </w:rPr>
        <w:t>. London: Kogan Page.</w:t>
      </w:r>
    </w:p>
    <w:p w14:paraId="6B6B6216" w14:textId="77777777" w:rsidR="008506B3" w:rsidRPr="008506B3" w:rsidRDefault="008506B3" w:rsidP="008506B3">
      <w:pPr>
        <w:rPr>
          <w:rFonts w:ascii="Arial" w:hAnsi="Arial" w:cs="Arial"/>
        </w:rPr>
      </w:pPr>
      <w:r w:rsidRPr="008506B3">
        <w:rPr>
          <w:rFonts w:ascii="Arial" w:hAnsi="Arial" w:cs="Arial"/>
        </w:rPr>
        <w:t xml:space="preserve">CIPD (2024) </w:t>
      </w:r>
      <w:r w:rsidRPr="008506B3">
        <w:rPr>
          <w:rFonts w:ascii="Arial" w:hAnsi="Arial" w:cs="Arial"/>
          <w:i/>
          <w:iCs/>
        </w:rPr>
        <w:t>AI and automation in HR: Ethics and opportunities</w:t>
      </w:r>
      <w:r w:rsidRPr="008506B3">
        <w:rPr>
          <w:rFonts w:ascii="Arial" w:hAnsi="Arial" w:cs="Arial"/>
        </w:rPr>
        <w:t xml:space="preserve">. Available at: </w:t>
      </w:r>
      <w:hyperlink r:id="rId12" w:tgtFrame="_new" w:history="1">
        <w:r w:rsidRPr="008506B3">
          <w:rPr>
            <w:rStyle w:val="Hyperlink"/>
            <w:rFonts w:ascii="Arial" w:hAnsi="Arial" w:cs="Arial"/>
          </w:rPr>
          <w:t>https://www.cipd.org/en/</w:t>
        </w:r>
      </w:hyperlink>
      <w:r w:rsidRPr="008506B3">
        <w:rPr>
          <w:rFonts w:ascii="Arial" w:hAnsi="Arial" w:cs="Arial"/>
        </w:rPr>
        <w:t xml:space="preserve"> (Accessed: 31 October 2025).</w:t>
      </w:r>
    </w:p>
    <w:p w14:paraId="119EDDCE" w14:textId="77777777" w:rsidR="008506B3" w:rsidRPr="008506B3" w:rsidRDefault="008506B3" w:rsidP="008506B3">
      <w:pPr>
        <w:rPr>
          <w:rFonts w:ascii="Arial" w:hAnsi="Arial" w:cs="Arial"/>
        </w:rPr>
      </w:pPr>
      <w:r w:rsidRPr="008506B3">
        <w:rPr>
          <w:rFonts w:ascii="Arial" w:hAnsi="Arial" w:cs="Arial"/>
        </w:rPr>
        <w:t xml:space="preserve">Deloitte (2024) </w:t>
      </w:r>
      <w:r w:rsidRPr="008506B3">
        <w:rPr>
          <w:rFonts w:ascii="Arial" w:hAnsi="Arial" w:cs="Arial"/>
          <w:i/>
          <w:iCs/>
        </w:rPr>
        <w:t>Global Talent Trends Report 2024</w:t>
      </w:r>
      <w:r w:rsidRPr="008506B3">
        <w:rPr>
          <w:rFonts w:ascii="Arial" w:hAnsi="Arial" w:cs="Arial"/>
        </w:rPr>
        <w:t xml:space="preserve">. Available at: </w:t>
      </w:r>
      <w:hyperlink r:id="rId13" w:tgtFrame="_new" w:history="1">
        <w:r w:rsidRPr="008506B3">
          <w:rPr>
            <w:rStyle w:val="Hyperlink"/>
            <w:rFonts w:ascii="Arial" w:hAnsi="Arial" w:cs="Arial"/>
          </w:rPr>
          <w:t>https://www.deloitte.com/in/en.html</w:t>
        </w:r>
      </w:hyperlink>
      <w:r w:rsidRPr="008506B3">
        <w:rPr>
          <w:rFonts w:ascii="Arial" w:hAnsi="Arial" w:cs="Arial"/>
        </w:rPr>
        <w:t xml:space="preserve"> (Accessed: 31 October 2025).</w:t>
      </w:r>
    </w:p>
    <w:p w14:paraId="16AFEC66" w14:textId="77777777" w:rsidR="008506B3" w:rsidRPr="008506B3" w:rsidRDefault="008506B3" w:rsidP="008506B3">
      <w:pPr>
        <w:rPr>
          <w:rFonts w:ascii="Arial" w:hAnsi="Arial" w:cs="Arial"/>
        </w:rPr>
      </w:pPr>
      <w:r w:rsidRPr="008506B3">
        <w:rPr>
          <w:rFonts w:ascii="Arial" w:hAnsi="Arial" w:cs="Arial"/>
        </w:rPr>
        <w:t xml:space="preserve">Heyes, J., Leschke, J., Newsome, K., Reich, M. and Wilkinson, A. (2025) ‘Introduction: decent work in the post-COVID era’, in Heyes, J., Leschke, J., Newsome, K., Reich, M. and Wilkinson, A. (eds.) </w:t>
      </w:r>
      <w:r w:rsidRPr="008506B3">
        <w:rPr>
          <w:rFonts w:ascii="Arial" w:hAnsi="Arial" w:cs="Arial"/>
          <w:i/>
          <w:iCs/>
        </w:rPr>
        <w:t>Research handbook on decent work in a post-COVID-19 world</w:t>
      </w:r>
      <w:r w:rsidRPr="008506B3">
        <w:rPr>
          <w:rFonts w:ascii="Arial" w:hAnsi="Arial" w:cs="Arial"/>
        </w:rPr>
        <w:t>. Cheltenham: Edward Elgar Publishing, pp. 1–10.</w:t>
      </w:r>
    </w:p>
    <w:p w14:paraId="760CC03F" w14:textId="77777777" w:rsidR="008506B3" w:rsidRPr="008506B3" w:rsidRDefault="008506B3" w:rsidP="008506B3">
      <w:pPr>
        <w:rPr>
          <w:rFonts w:ascii="Arial" w:hAnsi="Arial" w:cs="Arial"/>
        </w:rPr>
      </w:pPr>
      <w:proofErr w:type="spellStart"/>
      <w:r w:rsidRPr="008506B3">
        <w:rPr>
          <w:rFonts w:ascii="Arial" w:hAnsi="Arial" w:cs="Arial"/>
        </w:rPr>
        <w:t>Isiaku</w:t>
      </w:r>
      <w:proofErr w:type="spellEnd"/>
      <w:r w:rsidRPr="008506B3">
        <w:rPr>
          <w:rFonts w:ascii="Arial" w:hAnsi="Arial" w:cs="Arial"/>
        </w:rPr>
        <w:t xml:space="preserve">, L. and </w:t>
      </w:r>
      <w:proofErr w:type="spellStart"/>
      <w:r w:rsidRPr="008506B3">
        <w:rPr>
          <w:rFonts w:ascii="Arial" w:hAnsi="Arial" w:cs="Arial"/>
        </w:rPr>
        <w:t>Adalier</w:t>
      </w:r>
      <w:proofErr w:type="spellEnd"/>
      <w:r w:rsidRPr="008506B3">
        <w:rPr>
          <w:rFonts w:ascii="Arial" w:hAnsi="Arial" w:cs="Arial"/>
        </w:rPr>
        <w:t xml:space="preserve">, A. (2024) ‘Determinants of business intelligence systems adoption in Nigerian banks: the role of perceived usefulness and ease of use’, </w:t>
      </w:r>
      <w:r w:rsidRPr="008506B3">
        <w:rPr>
          <w:rFonts w:ascii="Arial" w:hAnsi="Arial" w:cs="Arial"/>
          <w:i/>
          <w:iCs/>
        </w:rPr>
        <w:t>Information Development</w:t>
      </w:r>
      <w:r w:rsidRPr="008506B3">
        <w:rPr>
          <w:rFonts w:ascii="Arial" w:hAnsi="Arial" w:cs="Arial"/>
        </w:rPr>
        <w:t xml:space="preserve">. </w:t>
      </w:r>
      <w:proofErr w:type="spellStart"/>
      <w:r w:rsidRPr="008506B3">
        <w:rPr>
          <w:rFonts w:ascii="Arial" w:hAnsi="Arial" w:cs="Arial"/>
        </w:rPr>
        <w:t>doi</w:t>
      </w:r>
      <w:proofErr w:type="spellEnd"/>
      <w:r w:rsidRPr="008506B3">
        <w:rPr>
          <w:rFonts w:ascii="Arial" w:hAnsi="Arial" w:cs="Arial"/>
        </w:rPr>
        <w:t>: 10.1177/02666669241307024.</w:t>
      </w:r>
    </w:p>
    <w:p w14:paraId="62381DC1" w14:textId="77777777" w:rsidR="008506B3" w:rsidRPr="008506B3" w:rsidRDefault="008506B3" w:rsidP="008506B3">
      <w:pPr>
        <w:rPr>
          <w:rFonts w:ascii="Arial" w:hAnsi="Arial" w:cs="Arial"/>
        </w:rPr>
      </w:pPr>
      <w:r w:rsidRPr="008506B3">
        <w:rPr>
          <w:rFonts w:ascii="Arial" w:hAnsi="Arial" w:cs="Arial"/>
        </w:rPr>
        <w:t xml:space="preserve">ManpowerGroup (2024) </w:t>
      </w:r>
      <w:r w:rsidRPr="008506B3">
        <w:rPr>
          <w:rFonts w:ascii="Arial" w:hAnsi="Arial" w:cs="Arial"/>
          <w:i/>
          <w:iCs/>
        </w:rPr>
        <w:t>Global Talent Shortage Report 2024</w:t>
      </w:r>
      <w:r w:rsidRPr="008506B3">
        <w:rPr>
          <w:rFonts w:ascii="Arial" w:hAnsi="Arial" w:cs="Arial"/>
        </w:rPr>
        <w:t xml:space="preserve">. Available at: </w:t>
      </w:r>
      <w:hyperlink r:id="rId14" w:tgtFrame="_new" w:history="1">
        <w:r w:rsidRPr="008506B3">
          <w:rPr>
            <w:rStyle w:val="Hyperlink"/>
            <w:rFonts w:ascii="Arial" w:hAnsi="Arial" w:cs="Arial"/>
          </w:rPr>
          <w:t>https://go.manpowergroup.com/talent-shortage</w:t>
        </w:r>
      </w:hyperlink>
      <w:r w:rsidRPr="008506B3">
        <w:rPr>
          <w:rFonts w:ascii="Arial" w:hAnsi="Arial" w:cs="Arial"/>
        </w:rPr>
        <w:t xml:space="preserve"> (Accessed: 31 October 2025).</w:t>
      </w:r>
    </w:p>
    <w:p w14:paraId="1DDA7279" w14:textId="77777777" w:rsidR="008506B3" w:rsidRPr="008506B3" w:rsidRDefault="008506B3" w:rsidP="008506B3">
      <w:pPr>
        <w:rPr>
          <w:rFonts w:ascii="Arial" w:hAnsi="Arial" w:cs="Arial"/>
        </w:rPr>
      </w:pPr>
      <w:r w:rsidRPr="008506B3">
        <w:rPr>
          <w:rFonts w:ascii="Arial" w:hAnsi="Arial" w:cs="Arial"/>
        </w:rPr>
        <w:t xml:space="preserve">Organisation for Economic Co-operation and Development (OECD) (2025) </w:t>
      </w:r>
      <w:r w:rsidRPr="008506B3">
        <w:rPr>
          <w:rFonts w:ascii="Arial" w:hAnsi="Arial" w:cs="Arial"/>
          <w:i/>
          <w:iCs/>
        </w:rPr>
        <w:t>Employment outlook 2025: Navigating the golden years</w:t>
      </w:r>
      <w:r w:rsidRPr="008506B3">
        <w:rPr>
          <w:rFonts w:ascii="Arial" w:hAnsi="Arial" w:cs="Arial"/>
        </w:rPr>
        <w:t xml:space="preserve">. Paris: OECD Publishing. Available at: </w:t>
      </w:r>
      <w:hyperlink r:id="rId15" w:tgtFrame="_new" w:history="1">
        <w:r w:rsidRPr="008506B3">
          <w:rPr>
            <w:rStyle w:val="Hyperlink"/>
            <w:rFonts w:ascii="Arial" w:hAnsi="Arial" w:cs="Arial"/>
          </w:rPr>
          <w:t>https://www.oecd.org/</w:t>
        </w:r>
      </w:hyperlink>
      <w:r w:rsidRPr="008506B3">
        <w:rPr>
          <w:rFonts w:ascii="Arial" w:hAnsi="Arial" w:cs="Arial"/>
        </w:rPr>
        <w:t xml:space="preserve"> (Accessed: 31 October 2025).</w:t>
      </w:r>
    </w:p>
    <w:p w14:paraId="60663B03" w14:textId="77777777" w:rsidR="008506B3" w:rsidRPr="008506B3" w:rsidRDefault="008506B3" w:rsidP="008506B3">
      <w:pPr>
        <w:rPr>
          <w:rFonts w:ascii="Arial" w:hAnsi="Arial" w:cs="Arial"/>
        </w:rPr>
      </w:pPr>
      <w:r w:rsidRPr="008506B3">
        <w:rPr>
          <w:rFonts w:ascii="Arial" w:hAnsi="Arial" w:cs="Arial"/>
        </w:rPr>
        <w:t xml:space="preserve">Peels, R. and Ponce Del Castillo, A. (2024) </w:t>
      </w:r>
      <w:r w:rsidRPr="008506B3">
        <w:rPr>
          <w:rFonts w:ascii="Arial" w:hAnsi="Arial" w:cs="Arial"/>
          <w:i/>
          <w:iCs/>
        </w:rPr>
        <w:t>Using foresight to think and act upon an uncertain future world of work: Trade unions’ experiences</w:t>
      </w:r>
      <w:r w:rsidRPr="008506B3">
        <w:rPr>
          <w:rFonts w:ascii="Arial" w:hAnsi="Arial" w:cs="Arial"/>
        </w:rPr>
        <w:t>. ILO Working Paper No. 118. Geneva: International Labour Organization.</w:t>
      </w:r>
    </w:p>
    <w:p w14:paraId="4CF2BEA0" w14:textId="77777777" w:rsidR="008506B3" w:rsidRPr="008506B3" w:rsidRDefault="008506B3" w:rsidP="008506B3">
      <w:pPr>
        <w:rPr>
          <w:rFonts w:ascii="Arial" w:hAnsi="Arial" w:cs="Arial"/>
        </w:rPr>
      </w:pPr>
      <w:r w:rsidRPr="008506B3">
        <w:rPr>
          <w:rFonts w:ascii="Arial" w:hAnsi="Arial" w:cs="Arial"/>
        </w:rPr>
        <w:t xml:space="preserve">PwC (2023) </w:t>
      </w:r>
      <w:r w:rsidRPr="008506B3">
        <w:rPr>
          <w:rFonts w:ascii="Arial" w:hAnsi="Arial" w:cs="Arial"/>
          <w:i/>
          <w:iCs/>
        </w:rPr>
        <w:t>Global Workforce Hopes and Fears Survey 2023</w:t>
      </w:r>
      <w:r w:rsidRPr="008506B3">
        <w:rPr>
          <w:rFonts w:ascii="Arial" w:hAnsi="Arial" w:cs="Arial"/>
        </w:rPr>
        <w:t xml:space="preserve">. Available at: </w:t>
      </w:r>
      <w:hyperlink r:id="rId16" w:tgtFrame="_new" w:history="1">
        <w:r w:rsidRPr="008506B3">
          <w:rPr>
            <w:rStyle w:val="Hyperlink"/>
            <w:rFonts w:ascii="Arial" w:hAnsi="Arial" w:cs="Arial"/>
          </w:rPr>
          <w:t>https://www.pwc.com/ee/en</w:t>
        </w:r>
      </w:hyperlink>
      <w:r w:rsidRPr="008506B3">
        <w:rPr>
          <w:rFonts w:ascii="Arial" w:hAnsi="Arial" w:cs="Arial"/>
        </w:rPr>
        <w:t xml:space="preserve"> (Accessed: 31 October 2025).</w:t>
      </w:r>
    </w:p>
    <w:p w14:paraId="1787E67B" w14:textId="77777777" w:rsidR="008506B3" w:rsidRPr="008506B3" w:rsidRDefault="008506B3" w:rsidP="008506B3">
      <w:pPr>
        <w:rPr>
          <w:rFonts w:ascii="Arial" w:hAnsi="Arial" w:cs="Arial"/>
        </w:rPr>
      </w:pPr>
      <w:r w:rsidRPr="008506B3">
        <w:rPr>
          <w:rFonts w:ascii="Arial" w:hAnsi="Arial" w:cs="Arial"/>
        </w:rPr>
        <w:t xml:space="preserve">Reiche, B.S., </w:t>
      </w:r>
      <w:proofErr w:type="spellStart"/>
      <w:r w:rsidRPr="008506B3">
        <w:rPr>
          <w:rFonts w:ascii="Arial" w:hAnsi="Arial" w:cs="Arial"/>
        </w:rPr>
        <w:t>Harzing</w:t>
      </w:r>
      <w:proofErr w:type="spellEnd"/>
      <w:r w:rsidRPr="008506B3">
        <w:rPr>
          <w:rFonts w:ascii="Arial" w:hAnsi="Arial" w:cs="Arial"/>
        </w:rPr>
        <w:t xml:space="preserve">, A.W. and Tenzer, H. (2022) </w:t>
      </w:r>
      <w:r w:rsidRPr="008506B3">
        <w:rPr>
          <w:rFonts w:ascii="Arial" w:hAnsi="Arial" w:cs="Arial"/>
          <w:i/>
          <w:iCs/>
        </w:rPr>
        <w:t>International human resource management</w:t>
      </w:r>
      <w:r w:rsidRPr="008506B3">
        <w:rPr>
          <w:rFonts w:ascii="Arial" w:hAnsi="Arial" w:cs="Arial"/>
        </w:rPr>
        <w:t>. London: Sage.</w:t>
      </w:r>
    </w:p>
    <w:p w14:paraId="53A1B4CE" w14:textId="77777777" w:rsidR="008506B3" w:rsidRPr="008506B3" w:rsidRDefault="008506B3" w:rsidP="008506B3">
      <w:pPr>
        <w:rPr>
          <w:rFonts w:ascii="Arial" w:hAnsi="Arial" w:cs="Arial"/>
        </w:rPr>
      </w:pPr>
      <w:r w:rsidRPr="008506B3">
        <w:rPr>
          <w:rFonts w:ascii="Arial" w:hAnsi="Arial" w:cs="Arial"/>
        </w:rPr>
        <w:lastRenderedPageBreak/>
        <w:t xml:space="preserve">Vazquez, J.D.L. (2021) </w:t>
      </w:r>
      <w:r w:rsidRPr="008506B3">
        <w:rPr>
          <w:rFonts w:ascii="Arial" w:hAnsi="Arial" w:cs="Arial"/>
          <w:i/>
          <w:iCs/>
        </w:rPr>
        <w:t>The preparation of human resources professionals and its impact on students, higher education institutions and organizations</w:t>
      </w:r>
      <w:r w:rsidRPr="008506B3">
        <w:rPr>
          <w:rFonts w:ascii="Arial" w:hAnsi="Arial" w:cs="Arial"/>
        </w:rPr>
        <w:t>. Gwynedd Mercy University.</w:t>
      </w:r>
    </w:p>
    <w:p w14:paraId="7DA21E8B" w14:textId="77777777" w:rsidR="008506B3" w:rsidRPr="008506B3" w:rsidRDefault="008506B3" w:rsidP="008506B3">
      <w:pPr>
        <w:rPr>
          <w:rFonts w:ascii="Arial" w:hAnsi="Arial" w:cs="Arial"/>
        </w:rPr>
      </w:pPr>
      <w:r w:rsidRPr="008506B3">
        <w:rPr>
          <w:rFonts w:ascii="Arial" w:hAnsi="Arial" w:cs="Arial"/>
        </w:rPr>
        <w:t xml:space="preserve">Wilton, N. (2022) </w:t>
      </w:r>
      <w:r w:rsidRPr="008506B3">
        <w:rPr>
          <w:rFonts w:ascii="Arial" w:hAnsi="Arial" w:cs="Arial"/>
          <w:i/>
          <w:iCs/>
        </w:rPr>
        <w:t>An introduction to human resource management</w:t>
      </w:r>
      <w:r w:rsidRPr="008506B3">
        <w:rPr>
          <w:rFonts w:ascii="Arial" w:hAnsi="Arial" w:cs="Arial"/>
        </w:rPr>
        <w:t>. London: Sage.</w:t>
      </w:r>
    </w:p>
    <w:p w14:paraId="4F7AC749" w14:textId="77777777" w:rsidR="008506B3" w:rsidRPr="008506B3" w:rsidRDefault="008506B3" w:rsidP="008506B3">
      <w:pPr>
        <w:rPr>
          <w:rFonts w:ascii="Arial" w:hAnsi="Arial" w:cs="Arial"/>
        </w:rPr>
      </w:pPr>
      <w:r w:rsidRPr="008506B3">
        <w:rPr>
          <w:rFonts w:ascii="Arial" w:hAnsi="Arial" w:cs="Arial"/>
        </w:rPr>
        <w:t xml:space="preserve">World Economic Forum (2023) </w:t>
      </w:r>
      <w:r w:rsidRPr="008506B3">
        <w:rPr>
          <w:rFonts w:ascii="Arial" w:hAnsi="Arial" w:cs="Arial"/>
          <w:i/>
          <w:iCs/>
        </w:rPr>
        <w:t>The Future of Jobs Report 2023</w:t>
      </w:r>
      <w:r w:rsidRPr="008506B3">
        <w:rPr>
          <w:rFonts w:ascii="Arial" w:hAnsi="Arial" w:cs="Arial"/>
        </w:rPr>
        <w:t xml:space="preserve">. Available at: </w:t>
      </w:r>
      <w:hyperlink r:id="rId17" w:tgtFrame="_new" w:history="1">
        <w:r w:rsidRPr="008506B3">
          <w:rPr>
            <w:rStyle w:val="Hyperlink"/>
            <w:rFonts w:ascii="Arial" w:hAnsi="Arial" w:cs="Arial"/>
          </w:rPr>
          <w:t>https://www.weforum.org</w:t>
        </w:r>
      </w:hyperlink>
      <w:r w:rsidRPr="008506B3">
        <w:rPr>
          <w:rFonts w:ascii="Arial" w:hAnsi="Arial" w:cs="Arial"/>
        </w:rPr>
        <w:t xml:space="preserve"> (Accessed: 31 October 2025).</w:t>
      </w:r>
    </w:p>
    <w:p w14:paraId="08BCBA2F" w14:textId="77777777" w:rsidR="00C33145" w:rsidRDefault="00C33145" w:rsidP="00C33145">
      <w:pPr>
        <w:rPr>
          <w:rFonts w:ascii="Arial" w:hAnsi="Arial" w:cs="Arial"/>
          <w:highlight w:val="yellow"/>
        </w:rPr>
      </w:pPr>
    </w:p>
    <w:p w14:paraId="55419711" w14:textId="77777777" w:rsidR="00C33145" w:rsidRDefault="00C33145" w:rsidP="00C33145">
      <w:pPr>
        <w:rPr>
          <w:rFonts w:ascii="Arial" w:hAnsi="Arial" w:cs="Arial"/>
          <w:highlight w:val="yellow"/>
        </w:rPr>
      </w:pPr>
    </w:p>
    <w:p w14:paraId="430E16B9" w14:textId="77777777" w:rsidR="00C33145" w:rsidRDefault="00C33145" w:rsidP="00C33145">
      <w:pPr>
        <w:rPr>
          <w:rFonts w:ascii="Arial" w:hAnsi="Arial" w:cs="Arial"/>
          <w:highlight w:val="yellow"/>
        </w:rPr>
      </w:pPr>
    </w:p>
    <w:p w14:paraId="74A64E22" w14:textId="77777777" w:rsidR="00C33145" w:rsidRDefault="00C33145" w:rsidP="00C33145">
      <w:pPr>
        <w:rPr>
          <w:rFonts w:ascii="Arial" w:hAnsi="Arial" w:cs="Arial"/>
          <w:highlight w:val="yellow"/>
        </w:rPr>
      </w:pPr>
    </w:p>
    <w:p w14:paraId="2352CC81" w14:textId="41346EA4" w:rsidR="008730CE" w:rsidRPr="00567E73" w:rsidRDefault="008730CE">
      <w:pPr>
        <w:spacing w:after="160" w:line="259" w:lineRule="auto"/>
        <w:jc w:val="left"/>
        <w:rPr>
          <w:rFonts w:ascii="Arial" w:hAnsi="Arial" w:cs="Arial"/>
        </w:rPr>
      </w:pPr>
      <w:r w:rsidRPr="00567E73">
        <w:rPr>
          <w:rFonts w:ascii="Arial" w:hAnsi="Arial" w:cs="Arial"/>
        </w:rPr>
        <w:br w:type="page"/>
      </w:r>
    </w:p>
    <w:p w14:paraId="5A9E7360" w14:textId="631D6406" w:rsidR="00D95FFA" w:rsidRPr="00567E73" w:rsidRDefault="00E95BC5" w:rsidP="008730CE">
      <w:pPr>
        <w:pStyle w:val="Heading1"/>
        <w:rPr>
          <w:rFonts w:ascii="Arial" w:hAnsi="Arial" w:cs="Arial"/>
        </w:rPr>
      </w:pPr>
      <w:bookmarkStart w:id="26" w:name="_Toc213978719"/>
      <w:r w:rsidRPr="00567E73">
        <w:rPr>
          <w:rFonts w:ascii="Arial" w:hAnsi="Arial" w:cs="Arial"/>
        </w:rPr>
        <w:lastRenderedPageBreak/>
        <w:t xml:space="preserve">5. </w:t>
      </w:r>
      <w:r w:rsidR="008730CE" w:rsidRPr="00567E73">
        <w:rPr>
          <w:rFonts w:ascii="Arial" w:hAnsi="Arial" w:cs="Arial"/>
        </w:rPr>
        <w:t>Appendix</w:t>
      </w:r>
      <w:bookmarkEnd w:id="26"/>
    </w:p>
    <w:p w14:paraId="671C1C3C" w14:textId="091121B1" w:rsidR="008730CE" w:rsidRPr="00567E73" w:rsidRDefault="00E95BC5" w:rsidP="008730CE">
      <w:pPr>
        <w:pStyle w:val="Heading2"/>
        <w:rPr>
          <w:rFonts w:ascii="Arial" w:hAnsi="Arial" w:cs="Arial"/>
        </w:rPr>
      </w:pPr>
      <w:bookmarkStart w:id="27" w:name="_Toc213978720"/>
      <w:r w:rsidRPr="00567E73">
        <w:rPr>
          <w:rFonts w:ascii="Arial" w:hAnsi="Arial" w:cs="Arial"/>
        </w:rPr>
        <w:t xml:space="preserve">5.1 </w:t>
      </w:r>
      <w:r w:rsidR="008730CE" w:rsidRPr="00567E73">
        <w:rPr>
          <w:rFonts w:ascii="Arial" w:hAnsi="Arial" w:cs="Arial"/>
        </w:rPr>
        <w:t>Appendix 1: SWOT Analysis</w:t>
      </w:r>
      <w:bookmarkEnd w:id="27"/>
    </w:p>
    <w:tbl>
      <w:tblPr>
        <w:tblStyle w:val="TableGrid"/>
        <w:tblW w:w="0" w:type="auto"/>
        <w:tblLook w:val="04A0" w:firstRow="1" w:lastRow="0" w:firstColumn="1" w:lastColumn="0" w:noHBand="0" w:noVBand="1"/>
      </w:tblPr>
      <w:tblGrid>
        <w:gridCol w:w="1790"/>
        <w:gridCol w:w="7560"/>
      </w:tblGrid>
      <w:tr w:rsidR="008730CE" w:rsidRPr="00567E73" w14:paraId="5AA9DC2F" w14:textId="77777777" w:rsidTr="008730CE">
        <w:tc>
          <w:tcPr>
            <w:tcW w:w="0" w:type="auto"/>
            <w:hideMark/>
          </w:tcPr>
          <w:p w14:paraId="173BDB8F" w14:textId="77777777" w:rsidR="008730CE" w:rsidRPr="00567E73" w:rsidRDefault="008730CE" w:rsidP="008730CE">
            <w:pPr>
              <w:jc w:val="center"/>
              <w:rPr>
                <w:rFonts w:ascii="Arial" w:hAnsi="Arial" w:cs="Arial"/>
                <w:b/>
                <w:bCs/>
              </w:rPr>
            </w:pPr>
            <w:r w:rsidRPr="00567E73">
              <w:rPr>
                <w:rFonts w:ascii="Arial" w:hAnsi="Arial" w:cs="Arial"/>
                <w:b/>
                <w:bCs/>
              </w:rPr>
              <w:t>Category</w:t>
            </w:r>
          </w:p>
        </w:tc>
        <w:tc>
          <w:tcPr>
            <w:tcW w:w="0" w:type="auto"/>
            <w:hideMark/>
          </w:tcPr>
          <w:p w14:paraId="6E62AD93" w14:textId="77777777" w:rsidR="008730CE" w:rsidRPr="00567E73" w:rsidRDefault="008730CE" w:rsidP="008730CE">
            <w:pPr>
              <w:jc w:val="center"/>
              <w:rPr>
                <w:rFonts w:ascii="Arial" w:hAnsi="Arial" w:cs="Arial"/>
                <w:b/>
                <w:bCs/>
              </w:rPr>
            </w:pPr>
            <w:r w:rsidRPr="00567E73">
              <w:rPr>
                <w:rFonts w:ascii="Arial" w:hAnsi="Arial" w:cs="Arial"/>
                <w:b/>
                <w:bCs/>
              </w:rPr>
              <w:t>Details</w:t>
            </w:r>
          </w:p>
        </w:tc>
      </w:tr>
      <w:tr w:rsidR="008730CE" w:rsidRPr="00567E73" w14:paraId="74223AA9" w14:textId="77777777" w:rsidTr="008730CE">
        <w:tc>
          <w:tcPr>
            <w:tcW w:w="0" w:type="auto"/>
            <w:hideMark/>
          </w:tcPr>
          <w:p w14:paraId="4170D39C" w14:textId="77777777" w:rsidR="008730CE" w:rsidRPr="00567E73" w:rsidRDefault="008730CE" w:rsidP="008730CE">
            <w:pPr>
              <w:rPr>
                <w:rFonts w:ascii="Arial" w:hAnsi="Arial" w:cs="Arial"/>
              </w:rPr>
            </w:pPr>
            <w:r w:rsidRPr="00567E73">
              <w:rPr>
                <w:rFonts w:ascii="Arial" w:hAnsi="Arial" w:cs="Arial"/>
                <w:b/>
                <w:bCs/>
              </w:rPr>
              <w:t>Strengths</w:t>
            </w:r>
          </w:p>
        </w:tc>
        <w:tc>
          <w:tcPr>
            <w:tcW w:w="0" w:type="auto"/>
            <w:hideMark/>
          </w:tcPr>
          <w:p w14:paraId="04C3920B" w14:textId="77777777" w:rsidR="008730CE" w:rsidRPr="00567E73" w:rsidRDefault="008730CE" w:rsidP="008730CE">
            <w:pPr>
              <w:rPr>
                <w:rFonts w:ascii="Arial" w:hAnsi="Arial" w:cs="Arial"/>
              </w:rPr>
            </w:pPr>
            <w:r w:rsidRPr="00567E73">
              <w:rPr>
                <w:rFonts w:ascii="Arial" w:hAnsi="Arial" w:cs="Arial"/>
              </w:rPr>
              <w:t xml:space="preserve">• Strong digital adaptability and comfort with AI-driven HR tools (e.g., HRIS, ChatGPT, applicant tracking systems). </w:t>
            </w:r>
          </w:p>
          <w:p w14:paraId="20F99294" w14:textId="77777777" w:rsidR="008730CE" w:rsidRPr="00567E73" w:rsidRDefault="008730CE" w:rsidP="008730CE">
            <w:pPr>
              <w:rPr>
                <w:rFonts w:ascii="Arial" w:hAnsi="Arial" w:cs="Arial"/>
              </w:rPr>
            </w:pPr>
            <w:r w:rsidRPr="00567E73">
              <w:rPr>
                <w:rFonts w:ascii="Arial" w:hAnsi="Arial" w:cs="Arial"/>
              </w:rPr>
              <w:t xml:space="preserve">• High cross-cultural awareness and empathy developed through global group projects and tourism HR case studies. </w:t>
            </w:r>
          </w:p>
          <w:p w14:paraId="36F0FAAE" w14:textId="77777777" w:rsidR="008730CE" w:rsidRPr="00567E73" w:rsidRDefault="008730CE" w:rsidP="008730CE">
            <w:pPr>
              <w:rPr>
                <w:rFonts w:ascii="Arial" w:hAnsi="Arial" w:cs="Arial"/>
              </w:rPr>
            </w:pPr>
            <w:r w:rsidRPr="00567E73">
              <w:rPr>
                <w:rFonts w:ascii="Arial" w:hAnsi="Arial" w:cs="Arial"/>
              </w:rPr>
              <w:t xml:space="preserve">• Effective collaborator and team player, fostering inclusion and positive communication within diverse teams. </w:t>
            </w:r>
          </w:p>
          <w:p w14:paraId="2072EE07" w14:textId="2178EB8B" w:rsidR="008730CE" w:rsidRPr="00567E73" w:rsidRDefault="008730CE" w:rsidP="008730CE">
            <w:pPr>
              <w:rPr>
                <w:rFonts w:ascii="Arial" w:hAnsi="Arial" w:cs="Arial"/>
              </w:rPr>
            </w:pPr>
            <w:r w:rsidRPr="00567E73">
              <w:rPr>
                <w:rFonts w:ascii="Arial" w:hAnsi="Arial" w:cs="Arial"/>
              </w:rPr>
              <w:t>• Commitment to continuous professional learning through self-reflection and engagement with HR research literature.</w:t>
            </w:r>
          </w:p>
        </w:tc>
      </w:tr>
      <w:tr w:rsidR="008730CE" w:rsidRPr="00567E73" w14:paraId="63A69E44" w14:textId="77777777" w:rsidTr="008730CE">
        <w:tc>
          <w:tcPr>
            <w:tcW w:w="0" w:type="auto"/>
            <w:hideMark/>
          </w:tcPr>
          <w:p w14:paraId="60316778" w14:textId="77777777" w:rsidR="008730CE" w:rsidRPr="00567E73" w:rsidRDefault="008730CE" w:rsidP="008730CE">
            <w:pPr>
              <w:rPr>
                <w:rFonts w:ascii="Arial" w:hAnsi="Arial" w:cs="Arial"/>
              </w:rPr>
            </w:pPr>
            <w:r w:rsidRPr="00567E73">
              <w:rPr>
                <w:rFonts w:ascii="Arial" w:hAnsi="Arial" w:cs="Arial"/>
                <w:b/>
                <w:bCs/>
              </w:rPr>
              <w:t>Weaknesses</w:t>
            </w:r>
          </w:p>
        </w:tc>
        <w:tc>
          <w:tcPr>
            <w:tcW w:w="0" w:type="auto"/>
            <w:hideMark/>
          </w:tcPr>
          <w:p w14:paraId="4E9D849F" w14:textId="77777777" w:rsidR="008730CE" w:rsidRPr="00567E73" w:rsidRDefault="008730CE" w:rsidP="008730CE">
            <w:pPr>
              <w:rPr>
                <w:rFonts w:ascii="Arial" w:hAnsi="Arial" w:cs="Arial"/>
              </w:rPr>
            </w:pPr>
            <w:r w:rsidRPr="00567E73">
              <w:rPr>
                <w:rFonts w:ascii="Arial" w:hAnsi="Arial" w:cs="Arial"/>
              </w:rPr>
              <w:t xml:space="preserve">• Limited data visualisation and HR analytics expertise, restricting my ability to present insights through dashboards or metrics. </w:t>
            </w:r>
          </w:p>
          <w:p w14:paraId="6ACC5107" w14:textId="77777777" w:rsidR="008730CE" w:rsidRPr="00567E73" w:rsidRDefault="008730CE" w:rsidP="008730CE">
            <w:pPr>
              <w:rPr>
                <w:rFonts w:ascii="Arial" w:hAnsi="Arial" w:cs="Arial"/>
              </w:rPr>
            </w:pPr>
            <w:r w:rsidRPr="00567E73">
              <w:rPr>
                <w:rFonts w:ascii="Arial" w:hAnsi="Arial" w:cs="Arial"/>
              </w:rPr>
              <w:t xml:space="preserve">• Lack of confidence in assertive leadership and decision-making in multi-stakeholder settings. </w:t>
            </w:r>
          </w:p>
          <w:p w14:paraId="22B24F43" w14:textId="77777777" w:rsidR="008730CE" w:rsidRPr="00567E73" w:rsidRDefault="008730CE" w:rsidP="008730CE">
            <w:pPr>
              <w:rPr>
                <w:rFonts w:ascii="Arial" w:hAnsi="Arial" w:cs="Arial"/>
              </w:rPr>
            </w:pPr>
            <w:r w:rsidRPr="00567E73">
              <w:rPr>
                <w:rFonts w:ascii="Arial" w:hAnsi="Arial" w:cs="Arial"/>
              </w:rPr>
              <w:t xml:space="preserve">• Occasional difficulty managing competing deadlines due to overcommitment and perfectionism. </w:t>
            </w:r>
          </w:p>
          <w:p w14:paraId="625B4D05" w14:textId="3B4D61EB" w:rsidR="008730CE" w:rsidRPr="00567E73" w:rsidRDefault="008730CE" w:rsidP="008730CE">
            <w:pPr>
              <w:rPr>
                <w:rFonts w:ascii="Arial" w:hAnsi="Arial" w:cs="Arial"/>
              </w:rPr>
            </w:pPr>
            <w:r w:rsidRPr="00567E73">
              <w:rPr>
                <w:rFonts w:ascii="Arial" w:hAnsi="Arial" w:cs="Arial"/>
              </w:rPr>
              <w:t>• Need to improve written communication structure and conciseness in business reporting.</w:t>
            </w:r>
          </w:p>
        </w:tc>
      </w:tr>
      <w:tr w:rsidR="008730CE" w:rsidRPr="00567E73" w14:paraId="2AADE850" w14:textId="77777777" w:rsidTr="008730CE">
        <w:tc>
          <w:tcPr>
            <w:tcW w:w="0" w:type="auto"/>
            <w:hideMark/>
          </w:tcPr>
          <w:p w14:paraId="0A1294A9" w14:textId="77777777" w:rsidR="008730CE" w:rsidRPr="00567E73" w:rsidRDefault="008730CE" w:rsidP="008730CE">
            <w:pPr>
              <w:rPr>
                <w:rFonts w:ascii="Arial" w:hAnsi="Arial" w:cs="Arial"/>
              </w:rPr>
            </w:pPr>
            <w:r w:rsidRPr="00567E73">
              <w:rPr>
                <w:rFonts w:ascii="Arial" w:hAnsi="Arial" w:cs="Arial"/>
                <w:b/>
                <w:bCs/>
              </w:rPr>
              <w:t>Opportunities</w:t>
            </w:r>
          </w:p>
        </w:tc>
        <w:tc>
          <w:tcPr>
            <w:tcW w:w="0" w:type="auto"/>
            <w:hideMark/>
          </w:tcPr>
          <w:p w14:paraId="27B59DBE" w14:textId="77777777" w:rsidR="008730CE" w:rsidRPr="00567E73" w:rsidRDefault="008730CE" w:rsidP="008730CE">
            <w:pPr>
              <w:rPr>
                <w:rFonts w:ascii="Arial" w:hAnsi="Arial" w:cs="Arial"/>
              </w:rPr>
            </w:pPr>
            <w:r w:rsidRPr="00567E73">
              <w:rPr>
                <w:rFonts w:ascii="Arial" w:hAnsi="Arial" w:cs="Arial"/>
              </w:rPr>
              <w:t xml:space="preserve">• Rapid expansion of AI and data analytics in HRM provides opportunities to upskill and specialise in HR analytics. </w:t>
            </w:r>
          </w:p>
          <w:p w14:paraId="7FE9A9F2" w14:textId="77777777" w:rsidR="008730CE" w:rsidRPr="00567E73" w:rsidRDefault="008730CE" w:rsidP="008730CE">
            <w:pPr>
              <w:rPr>
                <w:rFonts w:ascii="Arial" w:hAnsi="Arial" w:cs="Arial"/>
              </w:rPr>
            </w:pPr>
            <w:r w:rsidRPr="00567E73">
              <w:rPr>
                <w:rFonts w:ascii="Arial" w:hAnsi="Arial" w:cs="Arial"/>
              </w:rPr>
              <w:t xml:space="preserve">• Availability of online courses (e.g., Coursera, LinkedIn Learning) for professional certifications such as CIPD or SHRM. </w:t>
            </w:r>
          </w:p>
          <w:p w14:paraId="53FBEDA0" w14:textId="77777777" w:rsidR="008730CE" w:rsidRPr="00567E73" w:rsidRDefault="008730CE" w:rsidP="008730CE">
            <w:pPr>
              <w:rPr>
                <w:rFonts w:ascii="Arial" w:hAnsi="Arial" w:cs="Arial"/>
              </w:rPr>
            </w:pPr>
            <w:r w:rsidRPr="00567E73">
              <w:rPr>
                <w:rFonts w:ascii="Arial" w:hAnsi="Arial" w:cs="Arial"/>
              </w:rPr>
              <w:t xml:space="preserve">• Mentorship and networking opportunities through professional associations and MBA alumni networks. </w:t>
            </w:r>
          </w:p>
          <w:p w14:paraId="05DDD7D6" w14:textId="4229ADC3" w:rsidR="008730CE" w:rsidRPr="00567E73" w:rsidRDefault="008730CE" w:rsidP="008730CE">
            <w:pPr>
              <w:rPr>
                <w:rFonts w:ascii="Arial" w:hAnsi="Arial" w:cs="Arial"/>
              </w:rPr>
            </w:pPr>
            <w:r w:rsidRPr="00567E73">
              <w:rPr>
                <w:rFonts w:ascii="Arial" w:hAnsi="Arial" w:cs="Arial"/>
              </w:rPr>
              <w:t>• Increased global demand for HR professionals with digital and cross-cultural competencies.</w:t>
            </w:r>
          </w:p>
        </w:tc>
      </w:tr>
      <w:tr w:rsidR="008730CE" w:rsidRPr="00567E73" w14:paraId="551832AB" w14:textId="77777777" w:rsidTr="008730CE">
        <w:tc>
          <w:tcPr>
            <w:tcW w:w="0" w:type="auto"/>
            <w:hideMark/>
          </w:tcPr>
          <w:p w14:paraId="6CB6080C" w14:textId="77777777" w:rsidR="008730CE" w:rsidRPr="00567E73" w:rsidRDefault="008730CE" w:rsidP="008730CE">
            <w:pPr>
              <w:rPr>
                <w:rFonts w:ascii="Arial" w:hAnsi="Arial" w:cs="Arial"/>
              </w:rPr>
            </w:pPr>
            <w:r w:rsidRPr="00567E73">
              <w:rPr>
                <w:rFonts w:ascii="Arial" w:hAnsi="Arial" w:cs="Arial"/>
                <w:b/>
                <w:bCs/>
              </w:rPr>
              <w:t>Threats</w:t>
            </w:r>
          </w:p>
        </w:tc>
        <w:tc>
          <w:tcPr>
            <w:tcW w:w="0" w:type="auto"/>
            <w:hideMark/>
          </w:tcPr>
          <w:p w14:paraId="3398CFA6" w14:textId="77777777" w:rsidR="008730CE" w:rsidRPr="00567E73" w:rsidRDefault="008730CE" w:rsidP="008730CE">
            <w:pPr>
              <w:rPr>
                <w:rFonts w:ascii="Arial" w:hAnsi="Arial" w:cs="Arial"/>
              </w:rPr>
            </w:pPr>
            <w:r w:rsidRPr="00567E73">
              <w:rPr>
                <w:rFonts w:ascii="Arial" w:hAnsi="Arial" w:cs="Arial"/>
              </w:rPr>
              <w:t xml:space="preserve">• Fast technological evolution may outpace personal upskilling if not consistently maintained. </w:t>
            </w:r>
          </w:p>
          <w:p w14:paraId="55E8B059" w14:textId="77777777" w:rsidR="008730CE" w:rsidRPr="00567E73" w:rsidRDefault="008730CE" w:rsidP="008730CE">
            <w:pPr>
              <w:rPr>
                <w:rFonts w:ascii="Arial" w:hAnsi="Arial" w:cs="Arial"/>
              </w:rPr>
            </w:pPr>
            <w:r w:rsidRPr="00567E73">
              <w:rPr>
                <w:rFonts w:ascii="Arial" w:hAnsi="Arial" w:cs="Arial"/>
              </w:rPr>
              <w:lastRenderedPageBreak/>
              <w:t xml:space="preserve">• Highly competitive international HR job market demanding strong data-driven decision-making. </w:t>
            </w:r>
          </w:p>
          <w:p w14:paraId="66DCECAF" w14:textId="77777777" w:rsidR="008730CE" w:rsidRPr="00567E73" w:rsidRDefault="008730CE" w:rsidP="008730CE">
            <w:pPr>
              <w:rPr>
                <w:rFonts w:ascii="Arial" w:hAnsi="Arial" w:cs="Arial"/>
              </w:rPr>
            </w:pPr>
            <w:r w:rsidRPr="00567E73">
              <w:rPr>
                <w:rFonts w:ascii="Arial" w:hAnsi="Arial" w:cs="Arial"/>
              </w:rPr>
              <w:t xml:space="preserve">• Risk of professional stagnation without active leadership experience. </w:t>
            </w:r>
          </w:p>
          <w:p w14:paraId="1E5F9D09" w14:textId="5AC230F4" w:rsidR="008730CE" w:rsidRPr="00567E73" w:rsidRDefault="008730CE" w:rsidP="008730CE">
            <w:pPr>
              <w:rPr>
                <w:rFonts w:ascii="Arial" w:hAnsi="Arial" w:cs="Arial"/>
              </w:rPr>
            </w:pPr>
            <w:r w:rsidRPr="00567E73">
              <w:rPr>
                <w:rFonts w:ascii="Arial" w:hAnsi="Arial" w:cs="Arial"/>
              </w:rPr>
              <w:t>• Potential burnout due to continuous learning pressures and high workload expectations.</w:t>
            </w:r>
          </w:p>
        </w:tc>
      </w:tr>
    </w:tbl>
    <w:p w14:paraId="01BCAB3A" w14:textId="77777777" w:rsidR="008730CE" w:rsidRPr="00567E73" w:rsidRDefault="008730CE" w:rsidP="008730CE">
      <w:pPr>
        <w:rPr>
          <w:rFonts w:ascii="Arial" w:hAnsi="Arial" w:cs="Arial"/>
        </w:rPr>
      </w:pPr>
    </w:p>
    <w:p w14:paraId="24C73B2D" w14:textId="1AC6F108" w:rsidR="006128E4" w:rsidRPr="00567E73" w:rsidRDefault="006128E4" w:rsidP="00750793">
      <w:pPr>
        <w:spacing w:after="160" w:line="259" w:lineRule="auto"/>
        <w:jc w:val="left"/>
        <w:rPr>
          <w:rFonts w:ascii="Arial" w:hAnsi="Arial" w:cs="Arial"/>
        </w:rPr>
      </w:pPr>
    </w:p>
    <w:sectPr w:rsidR="006128E4" w:rsidRPr="00567E73" w:rsidSect="000F4458">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1013D" w14:textId="77777777" w:rsidR="00D21B97" w:rsidRDefault="00D21B97" w:rsidP="00BA6124">
      <w:pPr>
        <w:spacing w:line="240" w:lineRule="auto"/>
      </w:pPr>
      <w:r>
        <w:separator/>
      </w:r>
    </w:p>
  </w:endnote>
  <w:endnote w:type="continuationSeparator" w:id="0">
    <w:p w14:paraId="5E88E923" w14:textId="77777777" w:rsidR="00D21B97" w:rsidRDefault="00D21B97" w:rsidP="00BA61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7468459"/>
      <w:docPartObj>
        <w:docPartGallery w:val="Page Numbers (Bottom of Page)"/>
        <w:docPartUnique/>
      </w:docPartObj>
    </w:sdtPr>
    <w:sdtEndPr/>
    <w:sdtContent>
      <w:p w14:paraId="36993EB4" w14:textId="549B07A8" w:rsidR="00BA6124" w:rsidRDefault="00BA6124">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26FB041A" w14:textId="77777777" w:rsidR="00BA6124" w:rsidRDefault="00BA6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15271" w14:textId="77777777" w:rsidR="00D21B97" w:rsidRDefault="00D21B97" w:rsidP="00BA6124">
      <w:pPr>
        <w:spacing w:line="240" w:lineRule="auto"/>
      </w:pPr>
      <w:r>
        <w:separator/>
      </w:r>
    </w:p>
  </w:footnote>
  <w:footnote w:type="continuationSeparator" w:id="0">
    <w:p w14:paraId="0DA8FF26" w14:textId="77777777" w:rsidR="00D21B97" w:rsidRDefault="00D21B97" w:rsidP="00BA61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5C9A"/>
    <w:multiLevelType w:val="multilevel"/>
    <w:tmpl w:val="7488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53620"/>
    <w:multiLevelType w:val="hybridMultilevel"/>
    <w:tmpl w:val="A5C4D38A"/>
    <w:lvl w:ilvl="0" w:tplc="AC769B2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006D9"/>
    <w:multiLevelType w:val="multilevel"/>
    <w:tmpl w:val="DF5E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8583E"/>
    <w:multiLevelType w:val="hybridMultilevel"/>
    <w:tmpl w:val="38D8345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C66F1"/>
    <w:multiLevelType w:val="multilevel"/>
    <w:tmpl w:val="0E4E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183E8B"/>
    <w:multiLevelType w:val="multilevel"/>
    <w:tmpl w:val="1912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552A70"/>
    <w:multiLevelType w:val="multilevel"/>
    <w:tmpl w:val="7A1C1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A262CD"/>
    <w:multiLevelType w:val="hybridMultilevel"/>
    <w:tmpl w:val="377AAD5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1006E8"/>
    <w:multiLevelType w:val="multilevel"/>
    <w:tmpl w:val="50FC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B24E3D"/>
    <w:multiLevelType w:val="multilevel"/>
    <w:tmpl w:val="65A00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DA0E7C"/>
    <w:multiLevelType w:val="hybridMultilevel"/>
    <w:tmpl w:val="B464D2B2"/>
    <w:lvl w:ilvl="0" w:tplc="04090001">
      <w:start w:val="1"/>
      <w:numFmt w:val="bullet"/>
      <w:lvlText w:val=""/>
      <w:lvlJc w:val="left"/>
      <w:pPr>
        <w:ind w:left="720" w:hanging="360"/>
      </w:pPr>
      <w:rPr>
        <w:rFonts w:ascii="Symbol" w:hAnsi="Symbol" w:hint="default"/>
      </w:rPr>
    </w:lvl>
    <w:lvl w:ilvl="1" w:tplc="84AA11C4">
      <w:start w:val="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A7328"/>
    <w:multiLevelType w:val="multilevel"/>
    <w:tmpl w:val="37C02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A849A9"/>
    <w:multiLevelType w:val="hybridMultilevel"/>
    <w:tmpl w:val="184E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C460B3"/>
    <w:multiLevelType w:val="hybridMultilevel"/>
    <w:tmpl w:val="C480E10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853FF0"/>
    <w:multiLevelType w:val="hybridMultilevel"/>
    <w:tmpl w:val="220EE8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DD72ED"/>
    <w:multiLevelType w:val="hybridMultilevel"/>
    <w:tmpl w:val="BBC4F73A"/>
    <w:lvl w:ilvl="0" w:tplc="04090001">
      <w:start w:val="1"/>
      <w:numFmt w:val="bullet"/>
      <w:lvlText w:val=""/>
      <w:lvlJc w:val="left"/>
      <w:pPr>
        <w:ind w:left="720" w:hanging="360"/>
      </w:pPr>
      <w:rPr>
        <w:rFonts w:ascii="Symbol" w:hAnsi="Symbol" w:hint="default"/>
      </w:rPr>
    </w:lvl>
    <w:lvl w:ilvl="1" w:tplc="F6C47ED4">
      <w:start w:val="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22296"/>
    <w:multiLevelType w:val="hybridMultilevel"/>
    <w:tmpl w:val="3DF8C4F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F129A1"/>
    <w:multiLevelType w:val="multilevel"/>
    <w:tmpl w:val="9CA0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CB274C"/>
    <w:multiLevelType w:val="hybridMultilevel"/>
    <w:tmpl w:val="72D611F0"/>
    <w:lvl w:ilvl="0" w:tplc="04090001">
      <w:start w:val="1"/>
      <w:numFmt w:val="bullet"/>
      <w:lvlText w:val=""/>
      <w:lvlJc w:val="left"/>
      <w:pPr>
        <w:ind w:left="720" w:hanging="360"/>
      </w:pPr>
      <w:rPr>
        <w:rFonts w:ascii="Symbol" w:hAnsi="Symbol" w:hint="default"/>
      </w:rPr>
    </w:lvl>
    <w:lvl w:ilvl="1" w:tplc="7D1E8E26">
      <w:start w:val="1"/>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0C6401"/>
    <w:multiLevelType w:val="multilevel"/>
    <w:tmpl w:val="865CD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4E56B9"/>
    <w:multiLevelType w:val="multilevel"/>
    <w:tmpl w:val="727C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E7338F"/>
    <w:multiLevelType w:val="hybridMultilevel"/>
    <w:tmpl w:val="8026BFA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677E19"/>
    <w:multiLevelType w:val="multilevel"/>
    <w:tmpl w:val="9EEE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104A90"/>
    <w:multiLevelType w:val="hybridMultilevel"/>
    <w:tmpl w:val="5A4A29FE"/>
    <w:lvl w:ilvl="0" w:tplc="0C1E4AF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0D0987"/>
    <w:multiLevelType w:val="hybridMultilevel"/>
    <w:tmpl w:val="7FF41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020655"/>
    <w:multiLevelType w:val="hybridMultilevel"/>
    <w:tmpl w:val="1D9A13A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8E27C0"/>
    <w:multiLevelType w:val="hybridMultilevel"/>
    <w:tmpl w:val="73948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322276"/>
    <w:multiLevelType w:val="hybridMultilevel"/>
    <w:tmpl w:val="B7F0EBB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F30F75"/>
    <w:multiLevelType w:val="hybridMultilevel"/>
    <w:tmpl w:val="9C0ACCBC"/>
    <w:lvl w:ilvl="0" w:tplc="B4887792">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9F7933"/>
    <w:multiLevelType w:val="multilevel"/>
    <w:tmpl w:val="B8C6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004F2E"/>
    <w:multiLevelType w:val="hybridMultilevel"/>
    <w:tmpl w:val="21E22F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C01B4F"/>
    <w:multiLevelType w:val="multilevel"/>
    <w:tmpl w:val="CB7C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131546"/>
    <w:multiLevelType w:val="hybridMultilevel"/>
    <w:tmpl w:val="AC76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F1502C"/>
    <w:multiLevelType w:val="hybridMultilevel"/>
    <w:tmpl w:val="01B82B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3898"/>
    <w:multiLevelType w:val="hybridMultilevel"/>
    <w:tmpl w:val="9DBE05CA"/>
    <w:lvl w:ilvl="0" w:tplc="F42242E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542C7D"/>
    <w:multiLevelType w:val="multilevel"/>
    <w:tmpl w:val="FF06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7B116D"/>
    <w:multiLevelType w:val="multilevel"/>
    <w:tmpl w:val="7106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954007"/>
    <w:multiLevelType w:val="hybridMultilevel"/>
    <w:tmpl w:val="0C6851F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472A26"/>
    <w:multiLevelType w:val="multilevel"/>
    <w:tmpl w:val="3EE6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871F0C"/>
    <w:multiLevelType w:val="hybridMultilevel"/>
    <w:tmpl w:val="7354E00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9249AA"/>
    <w:multiLevelType w:val="multilevel"/>
    <w:tmpl w:val="64EA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1376A1"/>
    <w:multiLevelType w:val="multilevel"/>
    <w:tmpl w:val="B78E4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543E87"/>
    <w:multiLevelType w:val="hybridMultilevel"/>
    <w:tmpl w:val="2524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E73D10"/>
    <w:multiLevelType w:val="hybridMultilevel"/>
    <w:tmpl w:val="BD3C254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864298">
    <w:abstractNumId w:val="41"/>
  </w:num>
  <w:num w:numId="2" w16cid:durableId="591738378">
    <w:abstractNumId w:val="35"/>
  </w:num>
  <w:num w:numId="3" w16cid:durableId="1651909615">
    <w:abstractNumId w:val="38"/>
  </w:num>
  <w:num w:numId="4" w16cid:durableId="1026443159">
    <w:abstractNumId w:val="6"/>
  </w:num>
  <w:num w:numId="5" w16cid:durableId="1922986094">
    <w:abstractNumId w:val="20"/>
  </w:num>
  <w:num w:numId="6" w16cid:durableId="658190183">
    <w:abstractNumId w:val="4"/>
  </w:num>
  <w:num w:numId="7" w16cid:durableId="1309624551">
    <w:abstractNumId w:val="8"/>
  </w:num>
  <w:num w:numId="8" w16cid:durableId="688142828">
    <w:abstractNumId w:val="31"/>
  </w:num>
  <w:num w:numId="9" w16cid:durableId="2059015129">
    <w:abstractNumId w:val="0"/>
  </w:num>
  <w:num w:numId="10" w16cid:durableId="1516264527">
    <w:abstractNumId w:val="40"/>
  </w:num>
  <w:num w:numId="11" w16cid:durableId="952326233">
    <w:abstractNumId w:val="11"/>
  </w:num>
  <w:num w:numId="12" w16cid:durableId="298540205">
    <w:abstractNumId w:val="36"/>
  </w:num>
  <w:num w:numId="13" w16cid:durableId="1580942198">
    <w:abstractNumId w:val="5"/>
  </w:num>
  <w:num w:numId="14" w16cid:durableId="2144811311">
    <w:abstractNumId w:val="30"/>
  </w:num>
  <w:num w:numId="15" w16cid:durableId="327440884">
    <w:abstractNumId w:val="2"/>
  </w:num>
  <w:num w:numId="16" w16cid:durableId="1048458741">
    <w:abstractNumId w:val="32"/>
  </w:num>
  <w:num w:numId="17" w16cid:durableId="1277634780">
    <w:abstractNumId w:val="25"/>
  </w:num>
  <w:num w:numId="18" w16cid:durableId="418257355">
    <w:abstractNumId w:val="34"/>
  </w:num>
  <w:num w:numId="19" w16cid:durableId="252400243">
    <w:abstractNumId w:val="19"/>
  </w:num>
  <w:num w:numId="20" w16cid:durableId="250285789">
    <w:abstractNumId w:val="12"/>
  </w:num>
  <w:num w:numId="21" w16cid:durableId="3364007">
    <w:abstractNumId w:val="42"/>
  </w:num>
  <w:num w:numId="22" w16cid:durableId="1787651994">
    <w:abstractNumId w:val="23"/>
  </w:num>
  <w:num w:numId="23" w16cid:durableId="466361177">
    <w:abstractNumId w:val="17"/>
  </w:num>
  <w:num w:numId="24" w16cid:durableId="1364089134">
    <w:abstractNumId w:val="9"/>
  </w:num>
  <w:num w:numId="25" w16cid:durableId="257176660">
    <w:abstractNumId w:val="22"/>
  </w:num>
  <w:num w:numId="26" w16cid:durableId="317660488">
    <w:abstractNumId w:val="29"/>
  </w:num>
  <w:num w:numId="27" w16cid:durableId="1103501215">
    <w:abstractNumId w:val="26"/>
  </w:num>
  <w:num w:numId="28" w16cid:durableId="880744947">
    <w:abstractNumId w:val="1"/>
  </w:num>
  <w:num w:numId="29" w16cid:durableId="346449965">
    <w:abstractNumId w:val="39"/>
  </w:num>
  <w:num w:numId="30" w16cid:durableId="797915817">
    <w:abstractNumId w:val="37"/>
  </w:num>
  <w:num w:numId="31" w16cid:durableId="707338399">
    <w:abstractNumId w:val="27"/>
  </w:num>
  <w:num w:numId="32" w16cid:durableId="1318150812">
    <w:abstractNumId w:val="15"/>
  </w:num>
  <w:num w:numId="33" w16cid:durableId="447240646">
    <w:abstractNumId w:val="10"/>
  </w:num>
  <w:num w:numId="34" w16cid:durableId="664361671">
    <w:abstractNumId w:val="43"/>
  </w:num>
  <w:num w:numId="35" w16cid:durableId="1425414022">
    <w:abstractNumId w:val="28"/>
  </w:num>
  <w:num w:numId="36" w16cid:durableId="1988319427">
    <w:abstractNumId w:val="3"/>
  </w:num>
  <w:num w:numId="37" w16cid:durableId="685984825">
    <w:abstractNumId w:val="33"/>
  </w:num>
  <w:num w:numId="38" w16cid:durableId="1127235055">
    <w:abstractNumId w:val="18"/>
  </w:num>
  <w:num w:numId="39" w16cid:durableId="1441682555">
    <w:abstractNumId w:val="24"/>
  </w:num>
  <w:num w:numId="40" w16cid:durableId="744844335">
    <w:abstractNumId w:val="16"/>
  </w:num>
  <w:num w:numId="41" w16cid:durableId="1821269239">
    <w:abstractNumId w:val="7"/>
  </w:num>
  <w:num w:numId="42" w16cid:durableId="1308777947">
    <w:abstractNumId w:val="13"/>
  </w:num>
  <w:num w:numId="43" w16cid:durableId="1929386010">
    <w:abstractNumId w:val="14"/>
  </w:num>
  <w:num w:numId="44" w16cid:durableId="17935553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F26"/>
    <w:rsid w:val="0001199B"/>
    <w:rsid w:val="00025301"/>
    <w:rsid w:val="0005472D"/>
    <w:rsid w:val="00062758"/>
    <w:rsid w:val="00077BEB"/>
    <w:rsid w:val="000830AB"/>
    <w:rsid w:val="0009284B"/>
    <w:rsid w:val="000C4BA3"/>
    <w:rsid w:val="000F1217"/>
    <w:rsid w:val="000F4458"/>
    <w:rsid w:val="001145A8"/>
    <w:rsid w:val="00132073"/>
    <w:rsid w:val="0014291F"/>
    <w:rsid w:val="00157926"/>
    <w:rsid w:val="00173F36"/>
    <w:rsid w:val="001908BE"/>
    <w:rsid w:val="001A51EE"/>
    <w:rsid w:val="001E2F89"/>
    <w:rsid w:val="002004F4"/>
    <w:rsid w:val="00207E73"/>
    <w:rsid w:val="002323E8"/>
    <w:rsid w:val="00257E42"/>
    <w:rsid w:val="00266625"/>
    <w:rsid w:val="002C335C"/>
    <w:rsid w:val="002E4766"/>
    <w:rsid w:val="002E52DA"/>
    <w:rsid w:val="00305A73"/>
    <w:rsid w:val="003322BA"/>
    <w:rsid w:val="00375639"/>
    <w:rsid w:val="003C3853"/>
    <w:rsid w:val="003C610D"/>
    <w:rsid w:val="003E1F33"/>
    <w:rsid w:val="003F136E"/>
    <w:rsid w:val="003F3750"/>
    <w:rsid w:val="00415288"/>
    <w:rsid w:val="004374BA"/>
    <w:rsid w:val="004379DB"/>
    <w:rsid w:val="00450815"/>
    <w:rsid w:val="004544E9"/>
    <w:rsid w:val="00480FFC"/>
    <w:rsid w:val="004863FA"/>
    <w:rsid w:val="004B438F"/>
    <w:rsid w:val="004C4908"/>
    <w:rsid w:val="004D4C9B"/>
    <w:rsid w:val="004E39B8"/>
    <w:rsid w:val="004E61A3"/>
    <w:rsid w:val="004E6B41"/>
    <w:rsid w:val="00521B22"/>
    <w:rsid w:val="005251AF"/>
    <w:rsid w:val="00567E73"/>
    <w:rsid w:val="0057120E"/>
    <w:rsid w:val="00574BD1"/>
    <w:rsid w:val="00576D82"/>
    <w:rsid w:val="005811D4"/>
    <w:rsid w:val="00584A81"/>
    <w:rsid w:val="005A3D3D"/>
    <w:rsid w:val="005A7DF1"/>
    <w:rsid w:val="005B4903"/>
    <w:rsid w:val="005C039A"/>
    <w:rsid w:val="005C1744"/>
    <w:rsid w:val="005C4713"/>
    <w:rsid w:val="005C7B97"/>
    <w:rsid w:val="005D5AED"/>
    <w:rsid w:val="005E2C48"/>
    <w:rsid w:val="006128E4"/>
    <w:rsid w:val="00622AB4"/>
    <w:rsid w:val="00643397"/>
    <w:rsid w:val="00672018"/>
    <w:rsid w:val="00675B5C"/>
    <w:rsid w:val="006856CF"/>
    <w:rsid w:val="0068733F"/>
    <w:rsid w:val="00692E66"/>
    <w:rsid w:val="0069756E"/>
    <w:rsid w:val="006C31D0"/>
    <w:rsid w:val="006E2603"/>
    <w:rsid w:val="00722ED3"/>
    <w:rsid w:val="00736E22"/>
    <w:rsid w:val="00737A9C"/>
    <w:rsid w:val="007456CD"/>
    <w:rsid w:val="00750793"/>
    <w:rsid w:val="00750D5B"/>
    <w:rsid w:val="00753D4C"/>
    <w:rsid w:val="007B2ED3"/>
    <w:rsid w:val="007D2700"/>
    <w:rsid w:val="007D673D"/>
    <w:rsid w:val="007E3DD3"/>
    <w:rsid w:val="008017B8"/>
    <w:rsid w:val="008229C4"/>
    <w:rsid w:val="00837BCA"/>
    <w:rsid w:val="008506B3"/>
    <w:rsid w:val="008730CE"/>
    <w:rsid w:val="00882F78"/>
    <w:rsid w:val="00884B9C"/>
    <w:rsid w:val="00885A8F"/>
    <w:rsid w:val="00894CE0"/>
    <w:rsid w:val="00897CC6"/>
    <w:rsid w:val="008A0BC7"/>
    <w:rsid w:val="008D5058"/>
    <w:rsid w:val="008E0D2F"/>
    <w:rsid w:val="008E6249"/>
    <w:rsid w:val="00906E87"/>
    <w:rsid w:val="00914913"/>
    <w:rsid w:val="00950640"/>
    <w:rsid w:val="00951BB0"/>
    <w:rsid w:val="009641B5"/>
    <w:rsid w:val="009B18D7"/>
    <w:rsid w:val="009D7B2C"/>
    <w:rsid w:val="009E2192"/>
    <w:rsid w:val="009F0F46"/>
    <w:rsid w:val="009F66CD"/>
    <w:rsid w:val="00A12D43"/>
    <w:rsid w:val="00A273E2"/>
    <w:rsid w:val="00A4715D"/>
    <w:rsid w:val="00A55C09"/>
    <w:rsid w:val="00A66B2A"/>
    <w:rsid w:val="00A677D3"/>
    <w:rsid w:val="00A91009"/>
    <w:rsid w:val="00AB71D4"/>
    <w:rsid w:val="00AC36E2"/>
    <w:rsid w:val="00AD2D08"/>
    <w:rsid w:val="00AE5057"/>
    <w:rsid w:val="00B0115D"/>
    <w:rsid w:val="00B11A11"/>
    <w:rsid w:val="00B17F6F"/>
    <w:rsid w:val="00B2486C"/>
    <w:rsid w:val="00B3260D"/>
    <w:rsid w:val="00B42B3C"/>
    <w:rsid w:val="00B45CC4"/>
    <w:rsid w:val="00B70536"/>
    <w:rsid w:val="00B90D35"/>
    <w:rsid w:val="00BA0FDF"/>
    <w:rsid w:val="00BA1C55"/>
    <w:rsid w:val="00BA4BB1"/>
    <w:rsid w:val="00BA6124"/>
    <w:rsid w:val="00BB6EDC"/>
    <w:rsid w:val="00BD1CE7"/>
    <w:rsid w:val="00BE04AE"/>
    <w:rsid w:val="00BF2DF2"/>
    <w:rsid w:val="00BF4D6E"/>
    <w:rsid w:val="00C30295"/>
    <w:rsid w:val="00C30A03"/>
    <w:rsid w:val="00C33145"/>
    <w:rsid w:val="00C43445"/>
    <w:rsid w:val="00C5030B"/>
    <w:rsid w:val="00C56786"/>
    <w:rsid w:val="00C6329F"/>
    <w:rsid w:val="00C639D5"/>
    <w:rsid w:val="00C72F75"/>
    <w:rsid w:val="00C74E9B"/>
    <w:rsid w:val="00C8771F"/>
    <w:rsid w:val="00C905A4"/>
    <w:rsid w:val="00C92390"/>
    <w:rsid w:val="00CA2A4C"/>
    <w:rsid w:val="00CA7217"/>
    <w:rsid w:val="00CC29A2"/>
    <w:rsid w:val="00CC46CD"/>
    <w:rsid w:val="00D21B97"/>
    <w:rsid w:val="00D45E6E"/>
    <w:rsid w:val="00D73F26"/>
    <w:rsid w:val="00D95FF2"/>
    <w:rsid w:val="00D95FFA"/>
    <w:rsid w:val="00DB5DF9"/>
    <w:rsid w:val="00DB62BC"/>
    <w:rsid w:val="00DB6FF8"/>
    <w:rsid w:val="00DD0975"/>
    <w:rsid w:val="00DD150D"/>
    <w:rsid w:val="00DE6D3F"/>
    <w:rsid w:val="00E0084C"/>
    <w:rsid w:val="00E13329"/>
    <w:rsid w:val="00E17B7D"/>
    <w:rsid w:val="00E76080"/>
    <w:rsid w:val="00E95BC5"/>
    <w:rsid w:val="00EB39A9"/>
    <w:rsid w:val="00EC255E"/>
    <w:rsid w:val="00EC656F"/>
    <w:rsid w:val="00EE5B0F"/>
    <w:rsid w:val="00F14827"/>
    <w:rsid w:val="00F278A7"/>
    <w:rsid w:val="00F3274D"/>
    <w:rsid w:val="00F37783"/>
    <w:rsid w:val="00F5197D"/>
    <w:rsid w:val="00F71210"/>
    <w:rsid w:val="00F93745"/>
    <w:rsid w:val="00FB11A6"/>
    <w:rsid w:val="00FB45FD"/>
    <w:rsid w:val="00FC1842"/>
    <w:rsid w:val="00FC387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0C3DC"/>
  <w15:chartTrackingRefBased/>
  <w15:docId w15:val="{AD3F5D09-DF4F-4C33-AD34-F4C7814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700"/>
    <w:pPr>
      <w:spacing w:after="0" w:line="360" w:lineRule="auto"/>
      <w:jc w:val="both"/>
    </w:pPr>
    <w:rPr>
      <w:rFonts w:ascii="Times New Roman" w:hAnsi="Times New Roman"/>
      <w:sz w:val="24"/>
      <w14:ligatures w14:val="none"/>
    </w:rPr>
  </w:style>
  <w:style w:type="paragraph" w:styleId="Heading1">
    <w:name w:val="heading 1"/>
    <w:basedOn w:val="Normal"/>
    <w:next w:val="Normal"/>
    <w:link w:val="Heading1Char"/>
    <w:autoRedefine/>
    <w:uiPriority w:val="9"/>
    <w:qFormat/>
    <w:rsid w:val="004B438F"/>
    <w:pPr>
      <w:keepNext/>
      <w:keepLines/>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71210"/>
    <w:pPr>
      <w:keepNext/>
      <w:keepLines/>
      <w:outlineLvl w:val="1"/>
    </w:pPr>
    <w:rPr>
      <w:rFonts w:eastAsiaTheme="majorEastAsia" w:cstheme="majorBidi"/>
      <w:b/>
      <w:sz w:val="28"/>
      <w:szCs w:val="26"/>
    </w:rPr>
  </w:style>
  <w:style w:type="paragraph" w:styleId="Heading3">
    <w:name w:val="heading 3"/>
    <w:basedOn w:val="Heading2"/>
    <w:next w:val="Normal"/>
    <w:link w:val="Heading3Char"/>
    <w:autoRedefine/>
    <w:uiPriority w:val="9"/>
    <w:unhideWhenUsed/>
    <w:qFormat/>
    <w:rsid w:val="004374BA"/>
    <w:pPr>
      <w:spacing w:before="120" w:after="120"/>
      <w:outlineLvl w:val="2"/>
    </w:pPr>
    <w:rPr>
      <w:rFonts w:ascii="Arial" w:hAnsi="Arial"/>
      <w:sz w:val="24"/>
    </w:rPr>
  </w:style>
  <w:style w:type="paragraph" w:styleId="Heading4">
    <w:name w:val="heading 4"/>
    <w:basedOn w:val="Normal"/>
    <w:next w:val="Normal"/>
    <w:link w:val="Heading4Char"/>
    <w:uiPriority w:val="9"/>
    <w:semiHidden/>
    <w:unhideWhenUsed/>
    <w:qFormat/>
    <w:rsid w:val="00D73F2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73F2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73F2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3F2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3F2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3F2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71210"/>
    <w:rPr>
      <w:rFonts w:ascii="Times New Roman" w:eastAsiaTheme="majorEastAsia" w:hAnsi="Times New Roman" w:cstheme="majorBidi"/>
      <w:b/>
      <w:sz w:val="28"/>
      <w:szCs w:val="26"/>
      <w14:ligatures w14:val="none"/>
    </w:rPr>
  </w:style>
  <w:style w:type="character" w:customStyle="1" w:styleId="Heading1Char">
    <w:name w:val="Heading 1 Char"/>
    <w:basedOn w:val="DefaultParagraphFont"/>
    <w:link w:val="Heading1"/>
    <w:uiPriority w:val="9"/>
    <w:rsid w:val="004B438F"/>
    <w:rPr>
      <w:rFonts w:ascii="Times New Roman" w:eastAsiaTheme="majorEastAsia" w:hAnsi="Times New Roman" w:cstheme="majorBidi"/>
      <w:b/>
      <w:sz w:val="32"/>
      <w:szCs w:val="32"/>
      <w14:ligatures w14:val="none"/>
    </w:rPr>
  </w:style>
  <w:style w:type="paragraph" w:styleId="Title">
    <w:name w:val="Title"/>
    <w:basedOn w:val="Normal"/>
    <w:next w:val="Normal"/>
    <w:link w:val="TitleChar"/>
    <w:autoRedefine/>
    <w:uiPriority w:val="10"/>
    <w:qFormat/>
    <w:rsid w:val="008229C4"/>
    <w:pPr>
      <w:contextualSpacing/>
    </w:pPr>
    <w:rPr>
      <w:rFonts w:eastAsiaTheme="majorEastAsia" w:cstheme="majorBidi"/>
      <w:b/>
      <w:spacing w:val="-10"/>
      <w:kern w:val="28"/>
      <w:sz w:val="26"/>
      <w:szCs w:val="56"/>
    </w:rPr>
  </w:style>
  <w:style w:type="character" w:customStyle="1" w:styleId="TitleChar">
    <w:name w:val="Title Char"/>
    <w:basedOn w:val="DefaultParagraphFont"/>
    <w:link w:val="Title"/>
    <w:uiPriority w:val="10"/>
    <w:rsid w:val="008229C4"/>
    <w:rPr>
      <w:rFonts w:ascii="Times New Roman" w:eastAsiaTheme="majorEastAsia" w:hAnsi="Times New Roman" w:cstheme="majorBidi"/>
      <w:b/>
      <w:spacing w:val="-10"/>
      <w:kern w:val="28"/>
      <w:sz w:val="26"/>
      <w:szCs w:val="56"/>
    </w:rPr>
  </w:style>
  <w:style w:type="character" w:customStyle="1" w:styleId="Heading3Char">
    <w:name w:val="Heading 3 Char"/>
    <w:basedOn w:val="DefaultParagraphFont"/>
    <w:link w:val="Heading3"/>
    <w:uiPriority w:val="9"/>
    <w:rsid w:val="004374BA"/>
    <w:rPr>
      <w:rFonts w:ascii="Arial" w:eastAsiaTheme="majorEastAsia" w:hAnsi="Arial" w:cstheme="majorBidi"/>
      <w:b/>
      <w:sz w:val="24"/>
      <w:szCs w:val="26"/>
      <w14:ligatures w14:val="none"/>
    </w:rPr>
  </w:style>
  <w:style w:type="character" w:customStyle="1" w:styleId="Heading4Char">
    <w:name w:val="Heading 4 Char"/>
    <w:basedOn w:val="DefaultParagraphFont"/>
    <w:link w:val="Heading4"/>
    <w:uiPriority w:val="9"/>
    <w:semiHidden/>
    <w:rsid w:val="00D73F26"/>
    <w:rPr>
      <w:rFonts w:eastAsiaTheme="majorEastAsia" w:cstheme="majorBidi"/>
      <w:i/>
      <w:iCs/>
      <w:color w:val="0F4761" w:themeColor="accent1" w:themeShade="BF"/>
      <w:sz w:val="24"/>
      <w14:ligatures w14:val="none"/>
    </w:rPr>
  </w:style>
  <w:style w:type="character" w:customStyle="1" w:styleId="Heading5Char">
    <w:name w:val="Heading 5 Char"/>
    <w:basedOn w:val="DefaultParagraphFont"/>
    <w:link w:val="Heading5"/>
    <w:uiPriority w:val="9"/>
    <w:semiHidden/>
    <w:rsid w:val="00D73F26"/>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D73F26"/>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D73F26"/>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D73F26"/>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D73F26"/>
    <w:rPr>
      <w:rFonts w:eastAsiaTheme="majorEastAsia" w:cstheme="majorBidi"/>
      <w:color w:val="272727" w:themeColor="text1" w:themeTint="D8"/>
      <w:sz w:val="24"/>
      <w14:ligatures w14:val="none"/>
    </w:rPr>
  </w:style>
  <w:style w:type="paragraph" w:styleId="Subtitle">
    <w:name w:val="Subtitle"/>
    <w:basedOn w:val="Normal"/>
    <w:next w:val="Normal"/>
    <w:link w:val="SubtitleChar"/>
    <w:uiPriority w:val="11"/>
    <w:qFormat/>
    <w:rsid w:val="00D73F26"/>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73F26"/>
    <w:rPr>
      <w:rFonts w:eastAsiaTheme="majorEastAsia" w:cstheme="majorBidi"/>
      <w:color w:val="595959" w:themeColor="text1" w:themeTint="A6"/>
      <w:spacing w:val="15"/>
      <w:sz w:val="28"/>
      <w:szCs w:val="35"/>
      <w14:ligatures w14:val="none"/>
    </w:rPr>
  </w:style>
  <w:style w:type="paragraph" w:styleId="Quote">
    <w:name w:val="Quote"/>
    <w:basedOn w:val="Normal"/>
    <w:next w:val="Normal"/>
    <w:link w:val="QuoteChar"/>
    <w:uiPriority w:val="29"/>
    <w:qFormat/>
    <w:rsid w:val="00D73F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3F26"/>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D73F26"/>
    <w:pPr>
      <w:ind w:left="720"/>
      <w:contextualSpacing/>
    </w:pPr>
  </w:style>
  <w:style w:type="character" w:styleId="IntenseEmphasis">
    <w:name w:val="Intense Emphasis"/>
    <w:basedOn w:val="DefaultParagraphFont"/>
    <w:uiPriority w:val="21"/>
    <w:qFormat/>
    <w:rsid w:val="00D73F26"/>
    <w:rPr>
      <w:i/>
      <w:iCs/>
      <w:color w:val="0F4761" w:themeColor="accent1" w:themeShade="BF"/>
    </w:rPr>
  </w:style>
  <w:style w:type="paragraph" w:styleId="IntenseQuote">
    <w:name w:val="Intense Quote"/>
    <w:basedOn w:val="Normal"/>
    <w:next w:val="Normal"/>
    <w:link w:val="IntenseQuoteChar"/>
    <w:uiPriority w:val="30"/>
    <w:qFormat/>
    <w:rsid w:val="00D73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F26"/>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D73F26"/>
    <w:rPr>
      <w:b/>
      <w:bCs/>
      <w:smallCaps/>
      <w:color w:val="0F4761" w:themeColor="accent1" w:themeShade="BF"/>
      <w:spacing w:val="5"/>
    </w:rPr>
  </w:style>
  <w:style w:type="paragraph" w:styleId="Caption">
    <w:name w:val="caption"/>
    <w:basedOn w:val="Normal"/>
    <w:next w:val="Normal"/>
    <w:uiPriority w:val="35"/>
    <w:unhideWhenUsed/>
    <w:qFormat/>
    <w:rsid w:val="00D73F26"/>
    <w:pPr>
      <w:spacing w:after="200" w:line="240" w:lineRule="auto"/>
    </w:pPr>
    <w:rPr>
      <w:i/>
      <w:iCs/>
      <w:color w:val="0E2841" w:themeColor="text2"/>
      <w:sz w:val="18"/>
      <w:szCs w:val="22"/>
    </w:rPr>
  </w:style>
  <w:style w:type="table" w:styleId="GridTable4-Accent2">
    <w:name w:val="Grid Table 4 Accent 2"/>
    <w:basedOn w:val="TableNormal"/>
    <w:uiPriority w:val="49"/>
    <w:rsid w:val="004B438F"/>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Header">
    <w:name w:val="header"/>
    <w:basedOn w:val="Normal"/>
    <w:link w:val="HeaderChar"/>
    <w:uiPriority w:val="99"/>
    <w:unhideWhenUsed/>
    <w:rsid w:val="00BA6124"/>
    <w:pPr>
      <w:tabs>
        <w:tab w:val="center" w:pos="4513"/>
        <w:tab w:val="right" w:pos="9026"/>
      </w:tabs>
      <w:spacing w:line="240" w:lineRule="auto"/>
    </w:pPr>
  </w:style>
  <w:style w:type="character" w:customStyle="1" w:styleId="HeaderChar">
    <w:name w:val="Header Char"/>
    <w:basedOn w:val="DefaultParagraphFont"/>
    <w:link w:val="Header"/>
    <w:uiPriority w:val="99"/>
    <w:rsid w:val="00BA6124"/>
    <w:rPr>
      <w:rFonts w:ascii="Times New Roman" w:hAnsi="Times New Roman"/>
      <w:sz w:val="24"/>
      <w14:ligatures w14:val="none"/>
    </w:rPr>
  </w:style>
  <w:style w:type="paragraph" w:styleId="Footer">
    <w:name w:val="footer"/>
    <w:basedOn w:val="Normal"/>
    <w:link w:val="FooterChar"/>
    <w:uiPriority w:val="99"/>
    <w:unhideWhenUsed/>
    <w:rsid w:val="00BA6124"/>
    <w:pPr>
      <w:tabs>
        <w:tab w:val="center" w:pos="4513"/>
        <w:tab w:val="right" w:pos="9026"/>
      </w:tabs>
      <w:spacing w:line="240" w:lineRule="auto"/>
    </w:pPr>
  </w:style>
  <w:style w:type="character" w:customStyle="1" w:styleId="FooterChar">
    <w:name w:val="Footer Char"/>
    <w:basedOn w:val="DefaultParagraphFont"/>
    <w:link w:val="Footer"/>
    <w:uiPriority w:val="99"/>
    <w:rsid w:val="00BA6124"/>
    <w:rPr>
      <w:rFonts w:ascii="Times New Roman" w:hAnsi="Times New Roman"/>
      <w:sz w:val="24"/>
      <w14:ligatures w14:val="none"/>
    </w:rPr>
  </w:style>
  <w:style w:type="paragraph" w:styleId="TOCHeading">
    <w:name w:val="TOC Heading"/>
    <w:basedOn w:val="Heading1"/>
    <w:next w:val="Normal"/>
    <w:uiPriority w:val="39"/>
    <w:unhideWhenUsed/>
    <w:qFormat/>
    <w:rsid w:val="006856CF"/>
    <w:pPr>
      <w:spacing w:before="240" w:line="259" w:lineRule="auto"/>
      <w:jc w:val="left"/>
      <w:outlineLvl w:val="9"/>
    </w:pPr>
    <w:rPr>
      <w:rFonts w:asciiTheme="majorHAnsi" w:hAnsiTheme="majorHAnsi"/>
      <w:b w:val="0"/>
      <w:color w:val="0F4761" w:themeColor="accent1" w:themeShade="BF"/>
      <w:kern w:val="0"/>
      <w:lang w:eastAsia="en-GB" w:bidi="ar-SA"/>
    </w:rPr>
  </w:style>
  <w:style w:type="paragraph" w:styleId="TOC1">
    <w:name w:val="toc 1"/>
    <w:basedOn w:val="Normal"/>
    <w:next w:val="Normal"/>
    <w:autoRedefine/>
    <w:uiPriority w:val="39"/>
    <w:unhideWhenUsed/>
    <w:rsid w:val="006856CF"/>
    <w:pPr>
      <w:spacing w:after="100"/>
    </w:pPr>
  </w:style>
  <w:style w:type="paragraph" w:styleId="TOC2">
    <w:name w:val="toc 2"/>
    <w:basedOn w:val="Normal"/>
    <w:next w:val="Normal"/>
    <w:autoRedefine/>
    <w:uiPriority w:val="39"/>
    <w:unhideWhenUsed/>
    <w:rsid w:val="006856CF"/>
    <w:pPr>
      <w:spacing w:after="100"/>
      <w:ind w:left="240"/>
    </w:pPr>
  </w:style>
  <w:style w:type="character" w:styleId="Hyperlink">
    <w:name w:val="Hyperlink"/>
    <w:basedOn w:val="DefaultParagraphFont"/>
    <w:uiPriority w:val="99"/>
    <w:unhideWhenUsed/>
    <w:rsid w:val="006856CF"/>
    <w:rPr>
      <w:color w:val="467886" w:themeColor="hyperlink"/>
      <w:u w:val="single"/>
    </w:rPr>
  </w:style>
  <w:style w:type="paragraph" w:styleId="TOC3">
    <w:name w:val="toc 3"/>
    <w:basedOn w:val="Normal"/>
    <w:next w:val="Normal"/>
    <w:autoRedefine/>
    <w:uiPriority w:val="39"/>
    <w:unhideWhenUsed/>
    <w:rsid w:val="00894CE0"/>
    <w:pPr>
      <w:spacing w:after="100"/>
      <w:ind w:left="480"/>
    </w:pPr>
  </w:style>
  <w:style w:type="character" w:styleId="Strong">
    <w:name w:val="Strong"/>
    <w:basedOn w:val="DefaultParagraphFont"/>
    <w:uiPriority w:val="22"/>
    <w:qFormat/>
    <w:rsid w:val="00D45E6E"/>
    <w:rPr>
      <w:b/>
      <w:bCs/>
    </w:rPr>
  </w:style>
  <w:style w:type="character" w:styleId="UnresolvedMention">
    <w:name w:val="Unresolved Mention"/>
    <w:basedOn w:val="DefaultParagraphFont"/>
    <w:uiPriority w:val="99"/>
    <w:semiHidden/>
    <w:unhideWhenUsed/>
    <w:rsid w:val="00F278A7"/>
    <w:rPr>
      <w:color w:val="605E5C"/>
      <w:shd w:val="clear" w:color="auto" w:fill="E1DFDD"/>
    </w:rPr>
  </w:style>
  <w:style w:type="table" w:styleId="TableGrid">
    <w:name w:val="Table Grid"/>
    <w:basedOn w:val="TableNormal"/>
    <w:uiPriority w:val="39"/>
    <w:rsid w:val="00873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E1F33"/>
    <w:pPr>
      <w:spacing w:before="100" w:beforeAutospacing="1" w:after="100" w:afterAutospacing="1" w:line="240" w:lineRule="auto"/>
      <w:jc w:val="left"/>
    </w:pPr>
    <w:rPr>
      <w:rFonts w:eastAsia="Times New Roman" w:cs="Times New Roman"/>
      <w:kern w:val="0"/>
      <w:szCs w:val="24"/>
      <w:lang w:val="en-US" w:bidi="ar-SA"/>
    </w:rPr>
  </w:style>
  <w:style w:type="character" w:styleId="FollowedHyperlink">
    <w:name w:val="FollowedHyperlink"/>
    <w:basedOn w:val="DefaultParagraphFont"/>
    <w:uiPriority w:val="99"/>
    <w:semiHidden/>
    <w:unhideWhenUsed/>
    <w:rsid w:val="005D5AE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994130">
      <w:bodyDiv w:val="1"/>
      <w:marLeft w:val="0"/>
      <w:marRight w:val="0"/>
      <w:marTop w:val="0"/>
      <w:marBottom w:val="0"/>
      <w:divBdr>
        <w:top w:val="none" w:sz="0" w:space="0" w:color="auto"/>
        <w:left w:val="none" w:sz="0" w:space="0" w:color="auto"/>
        <w:bottom w:val="none" w:sz="0" w:space="0" w:color="auto"/>
        <w:right w:val="none" w:sz="0" w:space="0" w:color="auto"/>
      </w:divBdr>
    </w:div>
    <w:div w:id="148134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eloitte.com/in/en.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org/en/" TargetMode="External"/><Relationship Id="rId17" Type="http://schemas.openxmlformats.org/officeDocument/2006/relationships/hyperlink" Target="https://www.weforum.org" TargetMode="External"/><Relationship Id="rId2" Type="http://schemas.openxmlformats.org/officeDocument/2006/relationships/numbering" Target="numbering.xml"/><Relationship Id="rId16" Type="http://schemas.openxmlformats.org/officeDocument/2006/relationships/hyperlink" Target="https://www.pwc.com/ee/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oecd.org/"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o.manpowergroup.com/talent-shor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57454-EE7B-4D64-8D6C-AD8A20DFC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20</Pages>
  <Words>3932</Words>
  <Characters>22418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MOINUL</dc:creator>
  <cp:keywords/>
  <dc:description/>
  <cp:lastModifiedBy>Md Moinul Hasan Bappy (2503567)</cp:lastModifiedBy>
  <cp:revision>88</cp:revision>
  <dcterms:created xsi:type="dcterms:W3CDTF">2025-10-31T05:04:00Z</dcterms:created>
  <dcterms:modified xsi:type="dcterms:W3CDTF">2025-11-13T23:11:00Z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2025-10-31T04:25:35Z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545b7eca-ec8e-4c6b-8551-38bac7675953</vt:lpwstr>
  </property>
  <property fmtid="{D5CDD505-2E9C-101B-9397-08002B2CF9AE}" pid="7" name="MSIP_Label_defa4170-0d19-0005-0004-bc88714345d2_ActionId">
    <vt:lpwstr>304ce923-9e2e-47f7-9a46-cc5526272aba</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