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01FD7" w14:textId="65595C1D" w:rsidR="005A63C5" w:rsidRDefault="005A63C5" w:rsidP="005A63C5">
      <w:r>
        <w:rPr>
          <w:noProof/>
        </w:rPr>
        <w:drawing>
          <wp:inline distT="0" distB="0" distL="0" distR="0" wp14:anchorId="74D9A1C6" wp14:editId="0029F99B">
            <wp:extent cx="2307590" cy="9251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7590" cy="925195"/>
                    </a:xfrm>
                    <a:prstGeom prst="rect">
                      <a:avLst/>
                    </a:prstGeom>
                    <a:noFill/>
                    <a:ln>
                      <a:noFill/>
                    </a:ln>
                  </pic:spPr>
                </pic:pic>
              </a:graphicData>
            </a:graphic>
          </wp:inline>
        </w:drawing>
      </w:r>
    </w:p>
    <w:p w14:paraId="57725F22" w14:textId="77777777" w:rsidR="005A63C5" w:rsidRDefault="005A63C5" w:rsidP="005A63C5"/>
    <w:p w14:paraId="59B887FF" w14:textId="77777777" w:rsidR="005A63C5" w:rsidRDefault="005A63C5" w:rsidP="005A63C5"/>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5A63C5" w14:paraId="518B7073" w14:textId="77777777" w:rsidTr="005A63C5">
        <w:trPr>
          <w:cantSplit/>
          <w:trHeight w:val="469"/>
        </w:trPr>
        <w:tc>
          <w:tcPr>
            <w:tcW w:w="4908" w:type="dxa"/>
            <w:hideMark/>
          </w:tcPr>
          <w:p w14:paraId="17462A04" w14:textId="77777777" w:rsidR="005A63C5" w:rsidRDefault="005A63C5">
            <w:pPr>
              <w:pStyle w:val="Year"/>
              <w:rPr>
                <w:color w:val="FF0000"/>
                <w:sz w:val="24"/>
                <w:szCs w:val="24"/>
              </w:rPr>
            </w:pPr>
            <w:r>
              <w:rPr>
                <w:sz w:val="24"/>
                <w:szCs w:val="24"/>
              </w:rPr>
              <w:t>LOCATION:</w:t>
            </w:r>
            <w:r>
              <w:rPr>
                <w:b w:val="0"/>
                <w:sz w:val="24"/>
                <w:szCs w:val="24"/>
              </w:rPr>
              <w:t xml:space="preserve"> SWANSEA</w:t>
            </w:r>
            <w:r>
              <w:rPr>
                <w:color w:val="FF0000"/>
                <w:sz w:val="24"/>
                <w:szCs w:val="24"/>
              </w:rPr>
              <w:t xml:space="preserve"> </w:t>
            </w:r>
          </w:p>
        </w:tc>
        <w:tc>
          <w:tcPr>
            <w:tcW w:w="4259" w:type="dxa"/>
            <w:hideMark/>
          </w:tcPr>
          <w:p w14:paraId="79C68FE6" w14:textId="77777777" w:rsidR="005A63C5" w:rsidRDefault="005A63C5">
            <w:pPr>
              <w:pStyle w:val="Year"/>
              <w:jc w:val="right"/>
              <w:rPr>
                <w:b w:val="0"/>
                <w:sz w:val="24"/>
                <w:szCs w:val="24"/>
              </w:rPr>
            </w:pPr>
            <w:r>
              <w:rPr>
                <w:sz w:val="24"/>
                <w:szCs w:val="24"/>
              </w:rPr>
              <w:t xml:space="preserve">LLEOLIAD: </w:t>
            </w:r>
            <w:r>
              <w:rPr>
                <w:b w:val="0"/>
                <w:sz w:val="24"/>
                <w:szCs w:val="24"/>
              </w:rPr>
              <w:t xml:space="preserve"> </w:t>
            </w:r>
            <w:r>
              <w:rPr>
                <w:color w:val="000000" w:themeColor="text1"/>
                <w:sz w:val="24"/>
                <w:szCs w:val="24"/>
              </w:rPr>
              <w:t>abertawe</w:t>
            </w:r>
          </w:p>
        </w:tc>
      </w:tr>
      <w:tr w:rsidR="005A63C5" w14:paraId="58221AD7" w14:textId="77777777" w:rsidTr="005A63C5">
        <w:trPr>
          <w:trHeight w:val="542"/>
        </w:trPr>
        <w:tc>
          <w:tcPr>
            <w:tcW w:w="4908" w:type="dxa"/>
            <w:hideMark/>
          </w:tcPr>
          <w:p w14:paraId="6D65DC64" w14:textId="77777777" w:rsidR="005A63C5" w:rsidRDefault="005A63C5">
            <w:pPr>
              <w:pStyle w:val="Trinity"/>
              <w:ind w:left="5760" w:hanging="5760"/>
            </w:pPr>
            <w:r>
              <w:t>LEVEL 6</w:t>
            </w:r>
          </w:p>
        </w:tc>
        <w:tc>
          <w:tcPr>
            <w:tcW w:w="4259" w:type="dxa"/>
            <w:hideMark/>
          </w:tcPr>
          <w:p w14:paraId="77C4E8C1" w14:textId="77777777" w:rsidR="005A63C5" w:rsidRDefault="005A63C5">
            <w:pPr>
              <w:pStyle w:val="Trinity"/>
              <w:ind w:left="5760" w:hanging="5760"/>
              <w:jc w:val="right"/>
            </w:pPr>
            <w:r>
              <w:t>LEFEL 6</w:t>
            </w:r>
          </w:p>
        </w:tc>
      </w:tr>
      <w:tr w:rsidR="005A63C5" w14:paraId="3F666E22" w14:textId="77777777" w:rsidTr="005A63C5">
        <w:trPr>
          <w:trHeight w:val="302"/>
        </w:trPr>
        <w:tc>
          <w:tcPr>
            <w:tcW w:w="4908" w:type="dxa"/>
            <w:hideMark/>
          </w:tcPr>
          <w:p w14:paraId="2F6C8525" w14:textId="77777777" w:rsidR="005A63C5" w:rsidRDefault="005A63C5">
            <w:pPr>
              <w:pStyle w:val="Exam"/>
            </w:pPr>
            <w:r>
              <w:t>EXAMINATION PERIOD</w:t>
            </w:r>
          </w:p>
        </w:tc>
        <w:tc>
          <w:tcPr>
            <w:tcW w:w="4259" w:type="dxa"/>
            <w:hideMark/>
          </w:tcPr>
          <w:p w14:paraId="713CAA84" w14:textId="77777777" w:rsidR="005A63C5" w:rsidRDefault="005A63C5">
            <w:pPr>
              <w:pStyle w:val="Exam"/>
              <w:jc w:val="right"/>
            </w:pPr>
            <w:r>
              <w:t>CYFNOD ARHOLIADAU</w:t>
            </w:r>
          </w:p>
        </w:tc>
      </w:tr>
      <w:tr w:rsidR="005A63C5" w14:paraId="0ADE6C71" w14:textId="77777777" w:rsidTr="005A63C5">
        <w:trPr>
          <w:trHeight w:val="863"/>
        </w:trPr>
        <w:tc>
          <w:tcPr>
            <w:tcW w:w="4908" w:type="dxa"/>
            <w:hideMark/>
          </w:tcPr>
          <w:p w14:paraId="579BE2A5" w14:textId="77777777" w:rsidR="005A63C5" w:rsidRDefault="005A63C5">
            <w:pPr>
              <w:pStyle w:val="Month"/>
              <w:jc w:val="both"/>
              <w:rPr>
                <w:color w:val="FF0000"/>
              </w:rPr>
            </w:pPr>
            <w:r>
              <w:rPr>
                <w:color w:val="000000" w:themeColor="text1"/>
              </w:rPr>
              <w:t>may 2021</w:t>
            </w:r>
          </w:p>
        </w:tc>
        <w:tc>
          <w:tcPr>
            <w:tcW w:w="4259" w:type="dxa"/>
            <w:hideMark/>
          </w:tcPr>
          <w:p w14:paraId="1252BB0C" w14:textId="77777777" w:rsidR="005A63C5" w:rsidRDefault="005A63C5">
            <w:pPr>
              <w:pStyle w:val="Month"/>
              <w:jc w:val="right"/>
              <w:rPr>
                <w:color w:val="FF0000"/>
              </w:rPr>
            </w:pPr>
            <w:r>
              <w:rPr>
                <w:color w:val="000000" w:themeColor="text1"/>
              </w:rPr>
              <w:t>mai 2021</w:t>
            </w:r>
          </w:p>
        </w:tc>
      </w:tr>
    </w:tbl>
    <w:p w14:paraId="72799C02" w14:textId="428400AC" w:rsidR="00083F66" w:rsidRPr="002A1212" w:rsidRDefault="005A63C5">
      <w:pPr>
        <w:rPr>
          <w:b/>
          <w:bCs/>
        </w:rPr>
      </w:pPr>
      <w:r w:rsidRPr="002A1212">
        <w:rPr>
          <w:b/>
          <w:bCs/>
        </w:rPr>
        <w:t>Mark Reed</w:t>
      </w:r>
    </w:p>
    <w:p w14:paraId="62044625" w14:textId="036B5BB8" w:rsidR="005A63C5" w:rsidRPr="002A1212" w:rsidRDefault="005A63C5">
      <w:pPr>
        <w:rPr>
          <w:b/>
          <w:bCs/>
        </w:rPr>
      </w:pPr>
      <w:r w:rsidRPr="002A1212">
        <w:rPr>
          <w:b/>
          <w:bCs/>
        </w:rPr>
        <w:t>1802209</w:t>
      </w:r>
    </w:p>
    <w:p w14:paraId="48AA5864" w14:textId="389D70F3" w:rsidR="005A63C5" w:rsidRDefault="002A1212">
      <w:pPr>
        <w:rPr>
          <w:b/>
          <w:bCs/>
        </w:rPr>
      </w:pPr>
      <w:r>
        <w:rPr>
          <w:b/>
          <w:bCs/>
        </w:rPr>
        <w:t>Motorsport Management BSc</w:t>
      </w:r>
    </w:p>
    <w:p w14:paraId="0B02F0AC" w14:textId="73F6B905" w:rsidR="002A1212" w:rsidRDefault="002A1212">
      <w:pPr>
        <w:rPr>
          <w:b/>
          <w:bCs/>
        </w:rPr>
      </w:pPr>
      <w:r>
        <w:rPr>
          <w:b/>
          <w:bCs/>
        </w:rPr>
        <w:t>17 May 2021</w:t>
      </w:r>
    </w:p>
    <w:p w14:paraId="5B24E3B5" w14:textId="3140905D" w:rsidR="002A1212" w:rsidRDefault="002A1212">
      <w:pPr>
        <w:rPr>
          <w:b/>
          <w:bCs/>
        </w:rPr>
      </w:pPr>
    </w:p>
    <w:p w14:paraId="14EF120F" w14:textId="3188F713" w:rsidR="002A1212" w:rsidRDefault="002A1212">
      <w:pPr>
        <w:rPr>
          <w:b/>
          <w:bCs/>
        </w:rPr>
      </w:pPr>
      <w:r>
        <w:rPr>
          <w:b/>
          <w:bCs/>
        </w:rPr>
        <w:t>Answers</w:t>
      </w:r>
    </w:p>
    <w:p w14:paraId="6E7B6AF7" w14:textId="77777777" w:rsidR="002A1212" w:rsidRPr="002A1212" w:rsidRDefault="002A1212">
      <w:pPr>
        <w:rPr>
          <w:b/>
          <w:bCs/>
        </w:rPr>
      </w:pPr>
    </w:p>
    <w:p w14:paraId="100409C7" w14:textId="254E2A8A" w:rsidR="005A63C5" w:rsidRDefault="005A63C5">
      <w:pPr>
        <w:rPr>
          <w:b/>
          <w:bCs/>
        </w:rPr>
      </w:pPr>
      <w:r w:rsidRPr="005A63C5">
        <w:rPr>
          <w:b/>
          <w:bCs/>
        </w:rPr>
        <w:t>Q1</w:t>
      </w:r>
    </w:p>
    <w:p w14:paraId="42C2B584" w14:textId="04920A3B" w:rsidR="00605623" w:rsidRDefault="00605623">
      <w:pPr>
        <w:rPr>
          <w:b/>
          <w:bCs/>
        </w:rPr>
      </w:pPr>
      <w:r>
        <w:rPr>
          <w:b/>
          <w:bCs/>
        </w:rPr>
        <w:t>a)</w:t>
      </w:r>
    </w:p>
    <w:p w14:paraId="578A6AB4" w14:textId="06101A59" w:rsidR="005A63C5" w:rsidRDefault="005A63C5">
      <w:r>
        <w:t>Procurement is the supply of raw materials, components and other supplies brought into an organisation in order for the organisation to supply a product or service. A successful procurement strategy</w:t>
      </w:r>
      <w:r w:rsidR="00F11793">
        <w:t xml:space="preserve"> can lead to reduced manufacturing cycle times, allow for more in depth and faster product development due to the increased availability of resources, and the relationships made through procurement strategies with external companies could lead to additional revenue sources. This differs to purchasing as whilst purchasing focusses on making sure the goods are bought for the least cost, procurement develops the relationships and partnerships the organisation has. This could lead to future collaborations, more in-depth discussions with suppliers about the development of component parts. Shared knowledge through these relationships can also be useful to the organisation.</w:t>
      </w:r>
      <w:r w:rsidR="00F578A5">
        <w:t xml:space="preserve"> One of the other aspects of procurement is the ‘make or buy’ decision. This is the strategic choice to obtain supply parts from in-house manufacturing methods or seek external third-party suppliers. The choice can be influenced by multiple factors, such as the cost of each option for the organisation, the time in which each method can </w:t>
      </w:r>
      <w:r w:rsidR="00F21044">
        <w:t>be implemented and supply can be obtained, and the quality of the supply. Approach can be advantageous because it allows a company to make the most efficient use of its resources. Another advantage to procurement strategy is that it considers the entire life cycle of production of the end product or service, offering a more consistently managed supply strategy and allowing more efficient manufacture due to the finer control of when components and supplies arrive. A successful procurement strategy can lead to better risk management, as demand uncertainty can be considered in the ‘make or buy’ decision. Using procurement cards</w:t>
      </w:r>
      <w:r w:rsidR="00322EBA">
        <w:t>(p-cards)</w:t>
      </w:r>
      <w:r w:rsidR="00F21044">
        <w:t xml:space="preserve"> can also lead to more dynamic supply management, faster purchases, and a more responsive organisation to demand changes. These factors all contribute towards supporting the organisational goals or the organisation. The end objective of procurement strategy </w:t>
      </w:r>
      <w:r w:rsidR="00322EBA">
        <w:t xml:space="preserve">is improving the efficiency of purchasing, through the implementation of p-cards, managing the supply flow through ‘make or buy’ decisions, </w:t>
      </w:r>
      <w:r w:rsidR="00322EBA">
        <w:lastRenderedPageBreak/>
        <w:t>developing partnerships and relationships with external suppliers and organisations, and ensuring consistent management of resources throughout the entire product cycle.</w:t>
      </w:r>
    </w:p>
    <w:p w14:paraId="36C3C0F3" w14:textId="0ECDF223" w:rsidR="00F21044" w:rsidRDefault="00F21044"/>
    <w:p w14:paraId="0E34E724" w14:textId="77777777" w:rsidR="00605623" w:rsidRDefault="00605623">
      <w:pPr>
        <w:spacing w:after="160" w:line="259" w:lineRule="auto"/>
        <w:rPr>
          <w:b/>
          <w:bCs/>
          <w:lang w:val="en-US"/>
        </w:rPr>
      </w:pPr>
      <w:r>
        <w:rPr>
          <w:b/>
          <w:bCs/>
          <w:lang w:val="en-US"/>
        </w:rPr>
        <w:t>b)</w:t>
      </w:r>
    </w:p>
    <w:p w14:paraId="5B85023F" w14:textId="6BDE055C" w:rsidR="00605623" w:rsidRPr="00365130" w:rsidRDefault="00605623">
      <w:pPr>
        <w:spacing w:after="160" w:line="259" w:lineRule="auto"/>
        <w:rPr>
          <w:lang w:val="en-US"/>
        </w:rPr>
      </w:pPr>
      <w:r>
        <w:rPr>
          <w:lang w:val="en-US"/>
        </w:rPr>
        <w:t xml:space="preserve">Category management is the </w:t>
      </w:r>
      <w:r w:rsidR="00920CA5">
        <w:rPr>
          <w:lang w:val="en-US"/>
        </w:rPr>
        <w:t xml:space="preserve">analysis of external suppliers’ ability to supply resources to allow </w:t>
      </w:r>
      <w:r>
        <w:rPr>
          <w:lang w:val="en-US"/>
        </w:rPr>
        <w:t>allocation of an organi</w:t>
      </w:r>
      <w:r w:rsidR="00920CA5">
        <w:rPr>
          <w:lang w:val="en-US"/>
        </w:rPr>
        <w:t>z</w:t>
      </w:r>
      <w:r>
        <w:rPr>
          <w:lang w:val="en-US"/>
        </w:rPr>
        <w:t xml:space="preserve">ation’s procurement resources into the most beneficial areas of </w:t>
      </w:r>
      <w:r w:rsidR="00920CA5">
        <w:rPr>
          <w:lang w:val="en-US"/>
        </w:rPr>
        <w:t xml:space="preserve">spending. This allows the organization to focus on the most important areas of production and allows the organization to effectively manage their procurement strategy. This is better than transactional purchasing as it allows the organization, through in-depth market research, to understand where best to utilize the procurement resources they have. Analyzing the risk of supply being cut, the demand of the goods, and the </w:t>
      </w:r>
      <w:r w:rsidR="00365130">
        <w:rPr>
          <w:lang w:val="en-US"/>
        </w:rPr>
        <w:t>number</w:t>
      </w:r>
      <w:r w:rsidR="00920CA5">
        <w:rPr>
          <w:lang w:val="en-US"/>
        </w:rPr>
        <w:t xml:space="preserve"> of sources of the goods. Dividing these into categories of </w:t>
      </w:r>
      <w:r w:rsidR="00365130">
        <w:rPr>
          <w:lang w:val="en-US"/>
        </w:rPr>
        <w:t>relative risk and demand such as</w:t>
      </w:r>
      <w:r w:rsidR="00920CA5">
        <w:rPr>
          <w:lang w:val="en-US"/>
        </w:rPr>
        <w:t xml:space="preserve"> bottleneck, leverage, strategic and non-critical items using a Kraljic matrix. </w:t>
      </w:r>
      <w:r w:rsidR="00365130">
        <w:rPr>
          <w:lang w:val="en-US"/>
        </w:rPr>
        <w:t>Using this approach means that the organization can know whether to sure up supply of bottleneck products or to put fewer resources into non-critical items. This approach allows more budget for development of other areas of the organization and more flexibility and foresight when mitigating risk from changing market supply and demand.</w:t>
      </w:r>
    </w:p>
    <w:p w14:paraId="413D7A87" w14:textId="77777777" w:rsidR="00365130" w:rsidRDefault="00365130">
      <w:pPr>
        <w:spacing w:after="160" w:line="259" w:lineRule="auto"/>
        <w:rPr>
          <w:b/>
          <w:bCs/>
          <w:lang w:val="en-US"/>
        </w:rPr>
      </w:pPr>
      <w:r>
        <w:rPr>
          <w:b/>
          <w:bCs/>
          <w:lang w:val="en-US"/>
        </w:rPr>
        <w:br w:type="page"/>
      </w:r>
    </w:p>
    <w:p w14:paraId="0208D7B3" w14:textId="3E39E123" w:rsidR="00365130" w:rsidRDefault="00322EBA" w:rsidP="00D4407B">
      <w:pPr>
        <w:rPr>
          <w:b/>
          <w:bCs/>
          <w:lang w:val="en-US"/>
        </w:rPr>
      </w:pPr>
      <w:r>
        <w:rPr>
          <w:b/>
          <w:bCs/>
          <w:lang w:val="en-US"/>
        </w:rPr>
        <w:lastRenderedPageBreak/>
        <w:t>Q2</w:t>
      </w:r>
    </w:p>
    <w:p w14:paraId="56F606D2" w14:textId="77777777" w:rsidR="00D4407B" w:rsidRDefault="00365130">
      <w:pPr>
        <w:spacing w:after="160" w:line="259" w:lineRule="auto"/>
        <w:rPr>
          <w:lang w:val="en-US"/>
        </w:rPr>
      </w:pPr>
      <w:r w:rsidRPr="00365130">
        <w:rPr>
          <w:lang w:val="en-US"/>
        </w:rPr>
        <w:t>When</w:t>
      </w:r>
      <w:r w:rsidR="00E15132">
        <w:rPr>
          <w:lang w:val="en-US"/>
        </w:rPr>
        <w:t xml:space="preserve"> considering this dispute, the first matter to resolve is the pricing of the product in the window of the shop. Because of the precedent set in the Fischer v Bell case in which a product was displayed with a price in a window but was not legally for sale, merely inviting customers into the store. Using this precedent, it is possible to conclude that whilst the product was advertised at a cheaper price in the window than the customer is being charged for, and this would seem to constitute selling the product for a cheaper price</w:t>
      </w:r>
      <w:r w:rsidR="00D4407B">
        <w:rPr>
          <w:lang w:val="en-US"/>
        </w:rPr>
        <w:t>. However, according to the case study, the window products are an invitation to treat, meaning that the products in the window display of a shop are merely to draw the customer in and the shop owner is not liable to enforce the price stated in the display. Therefore, Mike is entitled to charge the price he did for the product.</w:t>
      </w:r>
    </w:p>
    <w:p w14:paraId="5D42294D" w14:textId="5F24E920" w:rsidR="00322EBA" w:rsidRDefault="00D4407B">
      <w:pPr>
        <w:spacing w:after="160" w:line="259" w:lineRule="auto"/>
        <w:rPr>
          <w:lang w:val="en-US"/>
        </w:rPr>
      </w:pPr>
      <w:r>
        <w:rPr>
          <w:lang w:val="en-US"/>
        </w:rPr>
        <w:t xml:space="preserve">The second dispute is the offer of acceptance sent by Fred to George after George buys the product from the store instead. Whilst the offer sent by George, as shown by the Adams v Lindsell case study. In this study a mail offer was sent to the seller from a buyer but because of a delay in the post this did not reach the seller </w:t>
      </w:r>
      <w:r w:rsidR="00735114">
        <w:rPr>
          <w:lang w:val="en-US"/>
        </w:rPr>
        <w:t>when the seller had expected</w:t>
      </w:r>
      <w:r>
        <w:rPr>
          <w:lang w:val="en-US"/>
        </w:rPr>
        <w:t>, and the product had already been sold. Whilst it is acknowledged that the offer to buy the product was valid from the point at which it was posted, there was no mutual agreement</w:t>
      </w:r>
      <w:r w:rsidR="00735114">
        <w:rPr>
          <w:lang w:val="en-US"/>
        </w:rPr>
        <w:t xml:space="preserve"> between the two parties and therefore no legally enforceable contract. In the case of Fred and George, it is important to consider that the initial discussion was conducted face to face, and postal communication was not the means of discussion at that time. Therefore, George could be reasonable to assume that any offer would have been conducted through the same channel as it had been previously. No contract had been agreed on, as much like the case study there was no mutual agreement between the two parties at </w:t>
      </w:r>
      <w:r w:rsidR="00D01F5D">
        <w:rPr>
          <w:lang w:val="en-US"/>
        </w:rPr>
        <w:t>any point, as shown by the precedent set in the case study. Furthermore, according to this precedent, it is the responsibility of the sender of the letter to ensure it arrives on time, meaning that if the letter was late to arrive, George is not liable to buy the product. Because of both facts, a legally enforceable contract cannot be formed at any point and George is not legally or contractually obliged to buy the product from Fred.</w:t>
      </w:r>
      <w:r w:rsidR="00365130" w:rsidRPr="00365130">
        <w:rPr>
          <w:lang w:val="en-US"/>
        </w:rPr>
        <w:br w:type="page"/>
      </w:r>
    </w:p>
    <w:p w14:paraId="3CD10421" w14:textId="26105F4C" w:rsidR="00322EBA" w:rsidRDefault="00322EBA">
      <w:pPr>
        <w:rPr>
          <w:b/>
          <w:bCs/>
          <w:lang w:val="en-US"/>
        </w:rPr>
      </w:pPr>
      <w:r>
        <w:rPr>
          <w:b/>
          <w:bCs/>
          <w:lang w:val="en-US"/>
        </w:rPr>
        <w:lastRenderedPageBreak/>
        <w:t>Q3</w:t>
      </w:r>
    </w:p>
    <w:p w14:paraId="5D24A4F3" w14:textId="496B725A" w:rsidR="00D01F5D" w:rsidRDefault="00D01F5D">
      <w:pPr>
        <w:rPr>
          <w:b/>
          <w:bCs/>
          <w:lang w:val="en-US"/>
        </w:rPr>
      </w:pPr>
      <w:r>
        <w:rPr>
          <w:b/>
          <w:bCs/>
          <w:lang w:val="en-US"/>
        </w:rPr>
        <w:t>a)</w:t>
      </w:r>
    </w:p>
    <w:p w14:paraId="4604A7E4" w14:textId="2B73C6E1" w:rsidR="00722D83" w:rsidRDefault="00D01F5D">
      <w:pPr>
        <w:rPr>
          <w:lang w:val="en-US"/>
        </w:rPr>
      </w:pPr>
      <w:r>
        <w:rPr>
          <w:lang w:val="en-US"/>
        </w:rPr>
        <w:t xml:space="preserve">The case of Cutter v Powell </w:t>
      </w:r>
      <w:r w:rsidR="000016C5">
        <w:rPr>
          <w:lang w:val="en-US"/>
        </w:rPr>
        <w:t xml:space="preserve">disputes the existence of an enforceable contract between the two parties. Cutter had formed a contract with Powell to sail with him from Jamaica to Liverpool. This contract stated that upon the successful completion of the journey and the full completion of Cutter’s duties as second mate, Cutter would be paid in full. In the case of this shipping journey, sailors are usually paid a gross sum for the total work. However, Cutter died seven weeks into the ten-week voyage, meaning that he could not complete his service as second mate as stated in the contract. Because of this, Powell refused to pay the wife of Cutter any wage as he had not fulfilled his contractual obligation. When the wife of Cutter took Powell to court to be paid the seven weeks of pay that Cutter had earned, the court ruled in Powells favour because the contract between the two parties stated that Cutter would be paid </w:t>
      </w:r>
      <w:r w:rsidR="00722D83">
        <w:rPr>
          <w:lang w:val="en-US"/>
        </w:rPr>
        <w:t xml:space="preserve">in full </w:t>
      </w:r>
      <w:r w:rsidR="000016C5">
        <w:rPr>
          <w:lang w:val="en-US"/>
        </w:rPr>
        <w:t>upon the full completion of his service as second mate</w:t>
      </w:r>
      <w:r w:rsidR="00722D83">
        <w:rPr>
          <w:lang w:val="en-US"/>
        </w:rPr>
        <w:t xml:space="preserve"> and no sooner. Cutter did not complete this requirement and therefore the payment does not need to be paid to the wife of Cutter.</w:t>
      </w:r>
      <w:r w:rsidR="009C6FC9">
        <w:rPr>
          <w:lang w:val="en-US"/>
        </w:rPr>
        <w:t xml:space="preserve"> This case would stand today because Cutter did not fulfil his end of the contract. Because it was a written agreement It is enforceable in law, and both parties are obligated to fulfill their end of the contract. Therefore, Powell would not be liable to pay the money to the wife of Cutter </w:t>
      </w:r>
      <w:r w:rsidR="007B15F9">
        <w:rPr>
          <w:lang w:val="en-US"/>
        </w:rPr>
        <w:t>if the case was ruled again at present.</w:t>
      </w:r>
    </w:p>
    <w:p w14:paraId="401AB195" w14:textId="6B30D91C" w:rsidR="00722D83" w:rsidRPr="00D01F5D" w:rsidRDefault="00722D83" w:rsidP="00722D83">
      <w:pPr>
        <w:rPr>
          <w:lang w:val="en-US"/>
        </w:rPr>
      </w:pPr>
      <w:r>
        <w:rPr>
          <w:lang w:val="en-US"/>
        </w:rPr>
        <w:t xml:space="preserve">The case of </w:t>
      </w:r>
      <w:r w:rsidRPr="00722D83">
        <w:rPr>
          <w:lang w:val="en-US"/>
        </w:rPr>
        <w:t>Bolton v Mahadeva</w:t>
      </w:r>
      <w:r>
        <w:rPr>
          <w:lang w:val="en-US"/>
        </w:rPr>
        <w:t xml:space="preserve"> concerns the </w:t>
      </w:r>
      <w:r>
        <w:rPr>
          <w:lang w:val="en-US"/>
        </w:rPr>
        <w:t xml:space="preserve">substantial </w:t>
      </w:r>
      <w:r>
        <w:rPr>
          <w:lang w:val="en-US"/>
        </w:rPr>
        <w:t>performance of an obligation.</w:t>
      </w:r>
      <w:r>
        <w:rPr>
          <w:lang w:val="en-US"/>
        </w:rPr>
        <w:t xml:space="preserve"> Bolton had installed heating in the property Mahadeva, and under the contract the two parties had agreed on, Mahadeva was required to pay for this service. However, the heating did not perform as intended and fell below the standard Mahadeva expected. Bolton refused to repair it, so Mahadeva did not pay for the initial service. When Bolton sued, it was ruled that Mahadeva had to fulfil his part of the contract and pay for the initial service, minus the cost of correcting the issues. This shows that once a contract is signed, both parties are obligated to fulfill their end of the contract. In this case, Powell providing a service that is </w:t>
      </w:r>
      <w:r w:rsidR="00171CB3">
        <w:rPr>
          <w:lang w:val="en-US"/>
        </w:rPr>
        <w:t>the quality that was promised in the contract, and Mahadeva paying for this service.</w:t>
      </w:r>
    </w:p>
    <w:p w14:paraId="7A767019" w14:textId="3D55A259" w:rsidR="009C6FC9" w:rsidRDefault="00B16194" w:rsidP="009C6FC9">
      <w:pPr>
        <w:rPr>
          <w:lang w:val="en-US"/>
        </w:rPr>
      </w:pPr>
      <w:r>
        <w:rPr>
          <w:lang w:val="en-US"/>
        </w:rPr>
        <w:t xml:space="preserve">According to the general terms and conditions of a contract written by UK </w:t>
      </w:r>
      <w:r w:rsidR="009C6FC9">
        <w:rPr>
          <w:lang w:val="en-US"/>
        </w:rPr>
        <w:t>parliament,</w:t>
      </w:r>
      <w:r>
        <w:rPr>
          <w:lang w:val="en-US"/>
        </w:rPr>
        <w:t xml:space="preserve"> if there is a contract dispute then both parties will meet in good faith to resolve the issue. </w:t>
      </w:r>
      <w:r w:rsidR="009C6FC9">
        <w:rPr>
          <w:lang w:val="en-US"/>
        </w:rPr>
        <w:t>According to 11.5 of the general terms and conditions of contract (2018) the party providing the service must comply with all necessary technical standards, meaning this party is under obligation to provide a service. However, this does not mean that the other party is not obligated to pay should said service be below standard.</w:t>
      </w:r>
    </w:p>
    <w:p w14:paraId="3FF1C25E" w14:textId="0ADA63B3" w:rsidR="00722D83" w:rsidRDefault="00722D83">
      <w:pPr>
        <w:rPr>
          <w:b/>
          <w:bCs/>
          <w:lang w:val="en-US"/>
        </w:rPr>
      </w:pPr>
      <w:r>
        <w:rPr>
          <w:b/>
          <w:bCs/>
          <w:lang w:val="en-US"/>
        </w:rPr>
        <w:t>b)</w:t>
      </w:r>
    </w:p>
    <w:p w14:paraId="040EF12B" w14:textId="6386EC21" w:rsidR="00D01F5D" w:rsidRPr="009C6FC9" w:rsidRDefault="002D7594">
      <w:pPr>
        <w:rPr>
          <w:lang w:val="en-US"/>
        </w:rPr>
      </w:pPr>
      <w:r>
        <w:rPr>
          <w:lang w:val="en-US"/>
        </w:rPr>
        <w:t xml:space="preserve">A bilateral contract is a contract formed between two parties in which one party provides a service and the other provides payment for that service. A unilateral contract is a contract that is formed where one party promises a service in exchange for act of another party. This means that only the party promising the service is obligated to fulfil the contract as it is triggered by the act of the first </w:t>
      </w:r>
      <w:r w:rsidR="00B16194">
        <w:rPr>
          <w:lang w:val="en-US"/>
        </w:rPr>
        <w:t>party. In this case, the contract is a discharge contract. In a bilateral contract, both parties must surrender something of value and in a unilateral discharge contract only one party has to surrender something of value. In the latter case the other party is not required under the contract to surrender anything.</w:t>
      </w:r>
    </w:p>
    <w:p w14:paraId="051367C3" w14:textId="77777777" w:rsidR="00722D83" w:rsidRDefault="00722D83">
      <w:pPr>
        <w:rPr>
          <w:b/>
          <w:bCs/>
          <w:lang w:val="en-US"/>
        </w:rPr>
      </w:pPr>
    </w:p>
    <w:p w14:paraId="1B9E42C9" w14:textId="2174DB7C" w:rsidR="00322EBA" w:rsidRDefault="00322EBA">
      <w:pPr>
        <w:spacing w:after="160" w:line="259" w:lineRule="auto"/>
        <w:rPr>
          <w:b/>
          <w:bCs/>
          <w:lang w:val="en-US"/>
        </w:rPr>
      </w:pPr>
      <w:r>
        <w:rPr>
          <w:b/>
          <w:bCs/>
          <w:lang w:val="en-US"/>
        </w:rPr>
        <w:br w:type="page"/>
      </w:r>
    </w:p>
    <w:p w14:paraId="1B14DBF2" w14:textId="53FE9D2E" w:rsidR="00322EBA" w:rsidRDefault="00322EBA">
      <w:pPr>
        <w:rPr>
          <w:b/>
          <w:bCs/>
          <w:lang w:val="en-US"/>
        </w:rPr>
      </w:pPr>
      <w:r>
        <w:rPr>
          <w:b/>
          <w:bCs/>
          <w:lang w:val="en-US"/>
        </w:rPr>
        <w:lastRenderedPageBreak/>
        <w:t>Q4</w:t>
      </w:r>
    </w:p>
    <w:p w14:paraId="69E0CFDD" w14:textId="376ABD3A" w:rsidR="00322EBA" w:rsidRPr="00322EBA" w:rsidRDefault="00322EBA">
      <w:pPr>
        <w:rPr>
          <w:lang w:val="en-US"/>
        </w:rPr>
      </w:pPr>
      <w:r>
        <w:rPr>
          <w:lang w:val="en-US"/>
        </w:rPr>
        <w:t>There are three types of misrepresentation in a legally binding contract. These are negligent misrepresentation, fraudulent representation, and innocent misrepresentation. The application of each type of misrepresentation can depend on the circumstances of each case.</w:t>
      </w:r>
    </w:p>
    <w:p w14:paraId="272F45E5" w14:textId="77777777" w:rsidR="00F578A5" w:rsidRDefault="00F578A5"/>
    <w:p w14:paraId="79C8C3A1" w14:textId="4B05B3E4" w:rsidR="005A63C5" w:rsidRDefault="00322EBA">
      <w:pPr>
        <w:rPr>
          <w:b/>
          <w:bCs/>
        </w:rPr>
      </w:pPr>
      <w:r>
        <w:rPr>
          <w:b/>
          <w:bCs/>
        </w:rPr>
        <w:t>Negligent misrepresentation</w:t>
      </w:r>
    </w:p>
    <w:p w14:paraId="34D3152F" w14:textId="5C43B47D" w:rsidR="00322EBA" w:rsidRDefault="00322EBA">
      <w:r>
        <w:t xml:space="preserve">Negligent misrepresentation is where </w:t>
      </w:r>
      <w:r w:rsidR="00774451">
        <w:t xml:space="preserve">the person making the contract makes a statement in said contract carelessly or without believing it to be true, and the party signing the contract having relied on this statement suffering a loss as a result of this misrepresentation. An example of this is the Royscot Trust Ltd v Rogerson case, in which the dealership used inaccurate </w:t>
      </w:r>
      <w:r w:rsidR="00314B0F">
        <w:t>figures when liaising with a finance company on behalf of a customer wanting to obtain a car. The cost of the car was misrepresented to the financial company which lead to the approval of the purchase from the financial company. The customer relied on this statement from the dealership and so when this caused him to fall into financial trouble, he was able to claim damages from the dealership. No fraudulence was deemed to be involved. This case was chosen as there was no fraudulent intent found in the court proceedings, but the</w:t>
      </w:r>
      <w:r w:rsidR="004E4AA0">
        <w:t xml:space="preserve"> dealership was found to be in the wrong, so it is not innocent misrepresentation. Another case of this is the </w:t>
      </w:r>
      <w:r w:rsidR="004E4AA0" w:rsidRPr="004E4AA0">
        <w:t>Esso Petroleum Co Ltd v Mardon</w:t>
      </w:r>
      <w:r w:rsidR="004E4AA0">
        <w:t xml:space="preserve"> case, in which Esso misrepresented the throughput of the property Mardon was purchasing, but because they did not sell the property to Mardon due to this, it was not fraudulent. Because they were aware of the possible change in throughput, they were not innocently misrepresenting the throughput to Mard</w:t>
      </w:r>
      <w:r w:rsidR="00C07D58">
        <w:t>o</w:t>
      </w:r>
      <w:r w:rsidR="004E4AA0">
        <w:t>n.</w:t>
      </w:r>
      <w:r w:rsidR="009043A1">
        <w:t xml:space="preserve"> Where negligent misrepresentation is proved, the party that suffered financial loss as a result can claim damages and be compensated as a result of the court case, in place of recission of the contract.</w:t>
      </w:r>
    </w:p>
    <w:p w14:paraId="6F4B26D3" w14:textId="77777777" w:rsidR="004E4AA0" w:rsidRDefault="004E4AA0">
      <w:pPr>
        <w:rPr>
          <w:b/>
          <w:bCs/>
        </w:rPr>
      </w:pPr>
    </w:p>
    <w:p w14:paraId="0AD91B13" w14:textId="06C15C99" w:rsidR="004E4AA0" w:rsidRDefault="004E4AA0">
      <w:pPr>
        <w:rPr>
          <w:b/>
          <w:bCs/>
        </w:rPr>
      </w:pPr>
      <w:r>
        <w:rPr>
          <w:b/>
          <w:bCs/>
        </w:rPr>
        <w:t>Fraudulent misrepresentation</w:t>
      </w:r>
    </w:p>
    <w:p w14:paraId="175344EC" w14:textId="0FD19828" w:rsidR="004E4AA0" w:rsidRDefault="00C07D58">
      <w:r>
        <w:t xml:space="preserve">Fraudulent misrepresentation is where the party forming the contract knowingly and deceitfully misrepresents information that the party signing the contract relies on. This may be intentionally knowing it is not true or not caring as to the truth of the information. An example of this is the </w:t>
      </w:r>
      <w:r w:rsidRPr="00C07D58">
        <w:t>Doyle v Olby (Ironmongers) Ltd</w:t>
      </w:r>
      <w:r>
        <w:t xml:space="preserve"> case. Doyle bought a business from Olby, Olby ha</w:t>
      </w:r>
      <w:r w:rsidR="009043A1">
        <w:t>ving claimed that all the custom was in store, over the counter. This was deliberately deceitful, as Olby was aware that half of the custom came from an in-house travelling sales agent, and Doyle suffered significant financial loss from this misrepresentation. Because Olby knew this beforehand and deliberately misrepresented this information to Doyle, this case resulted in fraudulent misrepresentation. If fraudulent misrepresentation is proved in the court, both recission of the contract and compensation for the party suffering a loss due to the misrepresentation.</w:t>
      </w:r>
    </w:p>
    <w:p w14:paraId="1D00145F" w14:textId="77777777" w:rsidR="009043A1" w:rsidRPr="009043A1" w:rsidRDefault="009043A1"/>
    <w:p w14:paraId="6E6729F4" w14:textId="5B9E4DF4" w:rsidR="004E4AA0" w:rsidRPr="004E4AA0" w:rsidRDefault="004E4AA0">
      <w:pPr>
        <w:rPr>
          <w:b/>
          <w:bCs/>
        </w:rPr>
      </w:pPr>
      <w:r>
        <w:rPr>
          <w:b/>
          <w:bCs/>
        </w:rPr>
        <w:t>Innocent misrepresentation</w:t>
      </w:r>
    </w:p>
    <w:p w14:paraId="5B57AF2C" w14:textId="77777777" w:rsidR="002A1212" w:rsidRDefault="00C07D58">
      <w:r>
        <w:t>Innocent misrepresentation is when the party forming the contract believes information to be true that is not, and the party signing the contract loses out from this having relied on this information.</w:t>
      </w:r>
      <w:r w:rsidR="00150896">
        <w:t xml:space="preserve"> An example of this is the </w:t>
      </w:r>
      <w:r w:rsidR="00150896" w:rsidRPr="00150896">
        <w:t>Whittington v Seale-Hayne</w:t>
      </w:r>
      <w:r w:rsidR="00150896">
        <w:t xml:space="preserve"> case, in which Seal-Hayne leased a property to Whittington under the premise that it was sanitary and in good repair. However the water supply was poisoned after the contract had been signed, causing significant loss to Whittington due to his poultry dying and illness of his manager. He also had to carry out repair costs. The court ruled that he was entitled compensation for the repair costs</w:t>
      </w:r>
      <w:r w:rsidR="0095772C">
        <w:t xml:space="preserve"> regardless of the misrepresentation and this was treated as separate from the rest of the damage costs claimed by Whittington</w:t>
      </w:r>
      <w:r w:rsidR="00150896">
        <w:t>, but not entitled to be compensated for the death of his poultry, lost profit due to this and medical costs</w:t>
      </w:r>
      <w:r w:rsidR="0095772C">
        <w:t xml:space="preserve"> and was not entitled to the recission of his contract with Seale-Hayne.</w:t>
      </w:r>
      <w:r w:rsidR="00150896">
        <w:t xml:space="preserve"> This is because whilst Seale-</w:t>
      </w:r>
      <w:r w:rsidR="0095772C">
        <w:t>H</w:t>
      </w:r>
      <w:r w:rsidR="00150896">
        <w:t>ay</w:t>
      </w:r>
      <w:r w:rsidR="0095772C">
        <w:t>ne</w:t>
      </w:r>
      <w:r w:rsidR="00150896">
        <w:t xml:space="preserve"> was accountable for the </w:t>
      </w:r>
      <w:r w:rsidR="0095772C">
        <w:t xml:space="preserve">repair </w:t>
      </w:r>
      <w:r w:rsidR="0095772C">
        <w:lastRenderedPageBreak/>
        <w:t xml:space="preserve">costs but was not knowingly aware of the water being poisoned and therefore innocently misrepresented the state of the property and therefore the contract was legally enforceable. It is important to acknowledge that Seal-Hayne had at no point benefitted from the misrepresentation. In cases of innocent misrepresentation, where needed to resolve the dispute the contract recission can be authorised but no compensation will be given as it </w:t>
      </w:r>
    </w:p>
    <w:p w14:paraId="397A9FDB" w14:textId="2BE0BA92" w:rsidR="004E4AA0" w:rsidRDefault="0095772C">
      <w:r>
        <w:t>cann</w:t>
      </w:r>
      <w:r w:rsidR="00605623">
        <w:t>ot be reasonably concluded that the contract issuing party was at fault.</w:t>
      </w:r>
    </w:p>
    <w:p w14:paraId="67623174" w14:textId="3D1014BE" w:rsidR="002A1212" w:rsidRDefault="002A1212"/>
    <w:p w14:paraId="2CF8A28E" w14:textId="73DBC5DC" w:rsidR="002A1212" w:rsidRPr="002A1212" w:rsidRDefault="002A1212" w:rsidP="002A1212">
      <w:pPr>
        <w:jc w:val="center"/>
        <w:rPr>
          <w:b/>
          <w:bCs/>
        </w:rPr>
      </w:pPr>
      <w:r>
        <w:rPr>
          <w:b/>
          <w:bCs/>
        </w:rPr>
        <w:t>END OF EXAM</w:t>
      </w:r>
    </w:p>
    <w:sectPr w:rsidR="002A1212" w:rsidRPr="002A1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204D6"/>
    <w:multiLevelType w:val="multilevel"/>
    <w:tmpl w:val="5EC8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2367A0"/>
    <w:multiLevelType w:val="hybridMultilevel"/>
    <w:tmpl w:val="52D644D2"/>
    <w:lvl w:ilvl="0" w:tplc="94D41DC4">
      <w:start w:val="1"/>
      <w:numFmt w:val="bullet"/>
      <w:lvlText w:val="•"/>
      <w:lvlJc w:val="left"/>
      <w:pPr>
        <w:tabs>
          <w:tab w:val="num" w:pos="720"/>
        </w:tabs>
        <w:ind w:left="720" w:hanging="360"/>
      </w:pPr>
      <w:rPr>
        <w:rFonts w:ascii="Arial" w:hAnsi="Arial" w:hint="default"/>
      </w:rPr>
    </w:lvl>
    <w:lvl w:ilvl="1" w:tplc="416E9CE0" w:tentative="1">
      <w:start w:val="1"/>
      <w:numFmt w:val="bullet"/>
      <w:lvlText w:val="•"/>
      <w:lvlJc w:val="left"/>
      <w:pPr>
        <w:tabs>
          <w:tab w:val="num" w:pos="1440"/>
        </w:tabs>
        <w:ind w:left="1440" w:hanging="360"/>
      </w:pPr>
      <w:rPr>
        <w:rFonts w:ascii="Arial" w:hAnsi="Arial" w:hint="default"/>
      </w:rPr>
    </w:lvl>
    <w:lvl w:ilvl="2" w:tplc="E96A2AA6" w:tentative="1">
      <w:start w:val="1"/>
      <w:numFmt w:val="bullet"/>
      <w:lvlText w:val="•"/>
      <w:lvlJc w:val="left"/>
      <w:pPr>
        <w:tabs>
          <w:tab w:val="num" w:pos="2160"/>
        </w:tabs>
        <w:ind w:left="2160" w:hanging="360"/>
      </w:pPr>
      <w:rPr>
        <w:rFonts w:ascii="Arial" w:hAnsi="Arial" w:hint="default"/>
      </w:rPr>
    </w:lvl>
    <w:lvl w:ilvl="3" w:tplc="A7C6EBE0" w:tentative="1">
      <w:start w:val="1"/>
      <w:numFmt w:val="bullet"/>
      <w:lvlText w:val="•"/>
      <w:lvlJc w:val="left"/>
      <w:pPr>
        <w:tabs>
          <w:tab w:val="num" w:pos="2880"/>
        </w:tabs>
        <w:ind w:left="2880" w:hanging="360"/>
      </w:pPr>
      <w:rPr>
        <w:rFonts w:ascii="Arial" w:hAnsi="Arial" w:hint="default"/>
      </w:rPr>
    </w:lvl>
    <w:lvl w:ilvl="4" w:tplc="7A50C022" w:tentative="1">
      <w:start w:val="1"/>
      <w:numFmt w:val="bullet"/>
      <w:lvlText w:val="•"/>
      <w:lvlJc w:val="left"/>
      <w:pPr>
        <w:tabs>
          <w:tab w:val="num" w:pos="3600"/>
        </w:tabs>
        <w:ind w:left="3600" w:hanging="360"/>
      </w:pPr>
      <w:rPr>
        <w:rFonts w:ascii="Arial" w:hAnsi="Arial" w:hint="default"/>
      </w:rPr>
    </w:lvl>
    <w:lvl w:ilvl="5" w:tplc="7862B0E2" w:tentative="1">
      <w:start w:val="1"/>
      <w:numFmt w:val="bullet"/>
      <w:lvlText w:val="•"/>
      <w:lvlJc w:val="left"/>
      <w:pPr>
        <w:tabs>
          <w:tab w:val="num" w:pos="4320"/>
        </w:tabs>
        <w:ind w:left="4320" w:hanging="360"/>
      </w:pPr>
      <w:rPr>
        <w:rFonts w:ascii="Arial" w:hAnsi="Arial" w:hint="default"/>
      </w:rPr>
    </w:lvl>
    <w:lvl w:ilvl="6" w:tplc="7C566B8A" w:tentative="1">
      <w:start w:val="1"/>
      <w:numFmt w:val="bullet"/>
      <w:lvlText w:val="•"/>
      <w:lvlJc w:val="left"/>
      <w:pPr>
        <w:tabs>
          <w:tab w:val="num" w:pos="5040"/>
        </w:tabs>
        <w:ind w:left="5040" w:hanging="360"/>
      </w:pPr>
      <w:rPr>
        <w:rFonts w:ascii="Arial" w:hAnsi="Arial" w:hint="default"/>
      </w:rPr>
    </w:lvl>
    <w:lvl w:ilvl="7" w:tplc="1228E67C" w:tentative="1">
      <w:start w:val="1"/>
      <w:numFmt w:val="bullet"/>
      <w:lvlText w:val="•"/>
      <w:lvlJc w:val="left"/>
      <w:pPr>
        <w:tabs>
          <w:tab w:val="num" w:pos="5760"/>
        </w:tabs>
        <w:ind w:left="5760" w:hanging="360"/>
      </w:pPr>
      <w:rPr>
        <w:rFonts w:ascii="Arial" w:hAnsi="Arial" w:hint="default"/>
      </w:rPr>
    </w:lvl>
    <w:lvl w:ilvl="8" w:tplc="AC8275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84D54FB"/>
    <w:multiLevelType w:val="hybridMultilevel"/>
    <w:tmpl w:val="D5ACB484"/>
    <w:lvl w:ilvl="0" w:tplc="E140186C">
      <w:start w:val="1"/>
      <w:numFmt w:val="bullet"/>
      <w:lvlText w:val="–"/>
      <w:lvlJc w:val="left"/>
      <w:pPr>
        <w:tabs>
          <w:tab w:val="num" w:pos="720"/>
        </w:tabs>
        <w:ind w:left="720" w:hanging="360"/>
      </w:pPr>
      <w:rPr>
        <w:rFonts w:ascii="Arial" w:hAnsi="Arial" w:hint="default"/>
      </w:rPr>
    </w:lvl>
    <w:lvl w:ilvl="1" w:tplc="2F88C5A2">
      <w:start w:val="1"/>
      <w:numFmt w:val="bullet"/>
      <w:lvlText w:val="–"/>
      <w:lvlJc w:val="left"/>
      <w:pPr>
        <w:tabs>
          <w:tab w:val="num" w:pos="1440"/>
        </w:tabs>
        <w:ind w:left="1440" w:hanging="360"/>
      </w:pPr>
      <w:rPr>
        <w:rFonts w:ascii="Arial" w:hAnsi="Arial" w:hint="default"/>
      </w:rPr>
    </w:lvl>
    <w:lvl w:ilvl="2" w:tplc="8D42B088" w:tentative="1">
      <w:start w:val="1"/>
      <w:numFmt w:val="bullet"/>
      <w:lvlText w:val="–"/>
      <w:lvlJc w:val="left"/>
      <w:pPr>
        <w:tabs>
          <w:tab w:val="num" w:pos="2160"/>
        </w:tabs>
        <w:ind w:left="2160" w:hanging="360"/>
      </w:pPr>
      <w:rPr>
        <w:rFonts w:ascii="Arial" w:hAnsi="Arial" w:hint="default"/>
      </w:rPr>
    </w:lvl>
    <w:lvl w:ilvl="3" w:tplc="07628448" w:tentative="1">
      <w:start w:val="1"/>
      <w:numFmt w:val="bullet"/>
      <w:lvlText w:val="–"/>
      <w:lvlJc w:val="left"/>
      <w:pPr>
        <w:tabs>
          <w:tab w:val="num" w:pos="2880"/>
        </w:tabs>
        <w:ind w:left="2880" w:hanging="360"/>
      </w:pPr>
      <w:rPr>
        <w:rFonts w:ascii="Arial" w:hAnsi="Arial" w:hint="default"/>
      </w:rPr>
    </w:lvl>
    <w:lvl w:ilvl="4" w:tplc="47308166" w:tentative="1">
      <w:start w:val="1"/>
      <w:numFmt w:val="bullet"/>
      <w:lvlText w:val="–"/>
      <w:lvlJc w:val="left"/>
      <w:pPr>
        <w:tabs>
          <w:tab w:val="num" w:pos="3600"/>
        </w:tabs>
        <w:ind w:left="3600" w:hanging="360"/>
      </w:pPr>
      <w:rPr>
        <w:rFonts w:ascii="Arial" w:hAnsi="Arial" w:hint="default"/>
      </w:rPr>
    </w:lvl>
    <w:lvl w:ilvl="5" w:tplc="B44408DE" w:tentative="1">
      <w:start w:val="1"/>
      <w:numFmt w:val="bullet"/>
      <w:lvlText w:val="–"/>
      <w:lvlJc w:val="left"/>
      <w:pPr>
        <w:tabs>
          <w:tab w:val="num" w:pos="4320"/>
        </w:tabs>
        <w:ind w:left="4320" w:hanging="360"/>
      </w:pPr>
      <w:rPr>
        <w:rFonts w:ascii="Arial" w:hAnsi="Arial" w:hint="default"/>
      </w:rPr>
    </w:lvl>
    <w:lvl w:ilvl="6" w:tplc="AAFAACC4" w:tentative="1">
      <w:start w:val="1"/>
      <w:numFmt w:val="bullet"/>
      <w:lvlText w:val="–"/>
      <w:lvlJc w:val="left"/>
      <w:pPr>
        <w:tabs>
          <w:tab w:val="num" w:pos="5040"/>
        </w:tabs>
        <w:ind w:left="5040" w:hanging="360"/>
      </w:pPr>
      <w:rPr>
        <w:rFonts w:ascii="Arial" w:hAnsi="Arial" w:hint="default"/>
      </w:rPr>
    </w:lvl>
    <w:lvl w:ilvl="7" w:tplc="8F7E3E4A" w:tentative="1">
      <w:start w:val="1"/>
      <w:numFmt w:val="bullet"/>
      <w:lvlText w:val="–"/>
      <w:lvlJc w:val="left"/>
      <w:pPr>
        <w:tabs>
          <w:tab w:val="num" w:pos="5760"/>
        </w:tabs>
        <w:ind w:left="5760" w:hanging="360"/>
      </w:pPr>
      <w:rPr>
        <w:rFonts w:ascii="Arial" w:hAnsi="Arial" w:hint="default"/>
      </w:rPr>
    </w:lvl>
    <w:lvl w:ilvl="8" w:tplc="2D80DE5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C5"/>
    <w:rsid w:val="000016C5"/>
    <w:rsid w:val="00083F66"/>
    <w:rsid w:val="00150896"/>
    <w:rsid w:val="00171CB3"/>
    <w:rsid w:val="002A1212"/>
    <w:rsid w:val="002D7594"/>
    <w:rsid w:val="00314B0F"/>
    <w:rsid w:val="00322EBA"/>
    <w:rsid w:val="00365130"/>
    <w:rsid w:val="004E4AA0"/>
    <w:rsid w:val="005A63C5"/>
    <w:rsid w:val="00605623"/>
    <w:rsid w:val="00722D83"/>
    <w:rsid w:val="00735114"/>
    <w:rsid w:val="00774451"/>
    <w:rsid w:val="007B15F9"/>
    <w:rsid w:val="009043A1"/>
    <w:rsid w:val="00920CA5"/>
    <w:rsid w:val="0095772C"/>
    <w:rsid w:val="009C6FC9"/>
    <w:rsid w:val="00B16194"/>
    <w:rsid w:val="00C07D58"/>
    <w:rsid w:val="00D01F5D"/>
    <w:rsid w:val="00D4407B"/>
    <w:rsid w:val="00E15132"/>
    <w:rsid w:val="00F11793"/>
    <w:rsid w:val="00F21044"/>
    <w:rsid w:val="00F57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5B362"/>
  <w15:chartTrackingRefBased/>
  <w15:docId w15:val="{4347E532-98FA-4544-904C-C252CD472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3C5"/>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am">
    <w:name w:val="Exam"/>
    <w:basedOn w:val="Normal"/>
    <w:next w:val="Month"/>
    <w:rsid w:val="005A63C5"/>
    <w:rPr>
      <w:b/>
      <w:caps/>
    </w:rPr>
  </w:style>
  <w:style w:type="paragraph" w:customStyle="1" w:styleId="Year">
    <w:name w:val="Year"/>
    <w:basedOn w:val="Normal"/>
    <w:next w:val="Exam"/>
    <w:rsid w:val="005A63C5"/>
    <w:pPr>
      <w:spacing w:after="240"/>
    </w:pPr>
    <w:rPr>
      <w:b/>
      <w:caps/>
      <w:sz w:val="28"/>
    </w:rPr>
  </w:style>
  <w:style w:type="paragraph" w:customStyle="1" w:styleId="Month">
    <w:name w:val="Month"/>
    <w:basedOn w:val="Normal"/>
    <w:next w:val="Normal"/>
    <w:rsid w:val="005A63C5"/>
    <w:pPr>
      <w:spacing w:after="240"/>
    </w:pPr>
    <w:rPr>
      <w:b/>
      <w:caps/>
    </w:rPr>
  </w:style>
  <w:style w:type="paragraph" w:customStyle="1" w:styleId="Trinity">
    <w:name w:val="Trinity"/>
    <w:basedOn w:val="Normal"/>
    <w:next w:val="Year"/>
    <w:rsid w:val="005A63C5"/>
    <w:pPr>
      <w:spacing w:after="240"/>
    </w:pPr>
    <w:rPr>
      <w:b/>
    </w:rPr>
  </w:style>
  <w:style w:type="table" w:styleId="TableGrid">
    <w:name w:val="Table Grid"/>
    <w:basedOn w:val="TableNormal"/>
    <w:uiPriority w:val="59"/>
    <w:rsid w:val="005A63C5"/>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79846">
      <w:bodyDiv w:val="1"/>
      <w:marLeft w:val="0"/>
      <w:marRight w:val="0"/>
      <w:marTop w:val="0"/>
      <w:marBottom w:val="0"/>
      <w:divBdr>
        <w:top w:val="none" w:sz="0" w:space="0" w:color="auto"/>
        <w:left w:val="none" w:sz="0" w:space="0" w:color="auto"/>
        <w:bottom w:val="none" w:sz="0" w:space="0" w:color="auto"/>
        <w:right w:val="none" w:sz="0" w:space="0" w:color="auto"/>
      </w:divBdr>
      <w:divsChild>
        <w:div w:id="1337809111">
          <w:marLeft w:val="1166"/>
          <w:marRight w:val="0"/>
          <w:marTop w:val="125"/>
          <w:marBottom w:val="0"/>
          <w:divBdr>
            <w:top w:val="none" w:sz="0" w:space="0" w:color="auto"/>
            <w:left w:val="none" w:sz="0" w:space="0" w:color="auto"/>
            <w:bottom w:val="none" w:sz="0" w:space="0" w:color="auto"/>
            <w:right w:val="none" w:sz="0" w:space="0" w:color="auto"/>
          </w:divBdr>
        </w:div>
        <w:div w:id="1089888868">
          <w:marLeft w:val="1166"/>
          <w:marRight w:val="0"/>
          <w:marTop w:val="125"/>
          <w:marBottom w:val="0"/>
          <w:divBdr>
            <w:top w:val="none" w:sz="0" w:space="0" w:color="auto"/>
            <w:left w:val="none" w:sz="0" w:space="0" w:color="auto"/>
            <w:bottom w:val="none" w:sz="0" w:space="0" w:color="auto"/>
            <w:right w:val="none" w:sz="0" w:space="0" w:color="auto"/>
          </w:divBdr>
        </w:div>
        <w:div w:id="1797331383">
          <w:marLeft w:val="1166"/>
          <w:marRight w:val="0"/>
          <w:marTop w:val="125"/>
          <w:marBottom w:val="0"/>
          <w:divBdr>
            <w:top w:val="none" w:sz="0" w:space="0" w:color="auto"/>
            <w:left w:val="none" w:sz="0" w:space="0" w:color="auto"/>
            <w:bottom w:val="none" w:sz="0" w:space="0" w:color="auto"/>
            <w:right w:val="none" w:sz="0" w:space="0" w:color="auto"/>
          </w:divBdr>
        </w:div>
      </w:divsChild>
    </w:div>
    <w:div w:id="459958861">
      <w:bodyDiv w:val="1"/>
      <w:marLeft w:val="0"/>
      <w:marRight w:val="0"/>
      <w:marTop w:val="0"/>
      <w:marBottom w:val="0"/>
      <w:divBdr>
        <w:top w:val="none" w:sz="0" w:space="0" w:color="auto"/>
        <w:left w:val="none" w:sz="0" w:space="0" w:color="auto"/>
        <w:bottom w:val="none" w:sz="0" w:space="0" w:color="auto"/>
        <w:right w:val="none" w:sz="0" w:space="0" w:color="auto"/>
      </w:divBdr>
    </w:div>
    <w:div w:id="532577865">
      <w:bodyDiv w:val="1"/>
      <w:marLeft w:val="0"/>
      <w:marRight w:val="0"/>
      <w:marTop w:val="0"/>
      <w:marBottom w:val="0"/>
      <w:divBdr>
        <w:top w:val="none" w:sz="0" w:space="0" w:color="auto"/>
        <w:left w:val="none" w:sz="0" w:space="0" w:color="auto"/>
        <w:bottom w:val="none" w:sz="0" w:space="0" w:color="auto"/>
        <w:right w:val="none" w:sz="0" w:space="0" w:color="auto"/>
      </w:divBdr>
    </w:div>
    <w:div w:id="837383075">
      <w:bodyDiv w:val="1"/>
      <w:marLeft w:val="0"/>
      <w:marRight w:val="0"/>
      <w:marTop w:val="0"/>
      <w:marBottom w:val="0"/>
      <w:divBdr>
        <w:top w:val="none" w:sz="0" w:space="0" w:color="auto"/>
        <w:left w:val="none" w:sz="0" w:space="0" w:color="auto"/>
        <w:bottom w:val="none" w:sz="0" w:space="0" w:color="auto"/>
        <w:right w:val="none" w:sz="0" w:space="0" w:color="auto"/>
      </w:divBdr>
    </w:div>
    <w:div w:id="876742904">
      <w:bodyDiv w:val="1"/>
      <w:marLeft w:val="0"/>
      <w:marRight w:val="0"/>
      <w:marTop w:val="0"/>
      <w:marBottom w:val="0"/>
      <w:divBdr>
        <w:top w:val="none" w:sz="0" w:space="0" w:color="auto"/>
        <w:left w:val="none" w:sz="0" w:space="0" w:color="auto"/>
        <w:bottom w:val="none" w:sz="0" w:space="0" w:color="auto"/>
        <w:right w:val="none" w:sz="0" w:space="0" w:color="auto"/>
      </w:divBdr>
    </w:div>
    <w:div w:id="902105976">
      <w:bodyDiv w:val="1"/>
      <w:marLeft w:val="0"/>
      <w:marRight w:val="0"/>
      <w:marTop w:val="0"/>
      <w:marBottom w:val="0"/>
      <w:divBdr>
        <w:top w:val="none" w:sz="0" w:space="0" w:color="auto"/>
        <w:left w:val="none" w:sz="0" w:space="0" w:color="auto"/>
        <w:bottom w:val="none" w:sz="0" w:space="0" w:color="auto"/>
        <w:right w:val="none" w:sz="0" w:space="0" w:color="auto"/>
      </w:divBdr>
    </w:div>
    <w:div w:id="927689874">
      <w:bodyDiv w:val="1"/>
      <w:marLeft w:val="0"/>
      <w:marRight w:val="0"/>
      <w:marTop w:val="0"/>
      <w:marBottom w:val="0"/>
      <w:divBdr>
        <w:top w:val="none" w:sz="0" w:space="0" w:color="auto"/>
        <w:left w:val="none" w:sz="0" w:space="0" w:color="auto"/>
        <w:bottom w:val="none" w:sz="0" w:space="0" w:color="auto"/>
        <w:right w:val="none" w:sz="0" w:space="0" w:color="auto"/>
      </w:divBdr>
    </w:div>
    <w:div w:id="1465123219">
      <w:bodyDiv w:val="1"/>
      <w:marLeft w:val="0"/>
      <w:marRight w:val="0"/>
      <w:marTop w:val="0"/>
      <w:marBottom w:val="0"/>
      <w:divBdr>
        <w:top w:val="none" w:sz="0" w:space="0" w:color="auto"/>
        <w:left w:val="none" w:sz="0" w:space="0" w:color="auto"/>
        <w:bottom w:val="none" w:sz="0" w:space="0" w:color="auto"/>
        <w:right w:val="none" w:sz="0" w:space="0" w:color="auto"/>
      </w:divBdr>
    </w:div>
    <w:div w:id="1863585863">
      <w:bodyDiv w:val="1"/>
      <w:marLeft w:val="0"/>
      <w:marRight w:val="0"/>
      <w:marTop w:val="0"/>
      <w:marBottom w:val="0"/>
      <w:divBdr>
        <w:top w:val="none" w:sz="0" w:space="0" w:color="auto"/>
        <w:left w:val="none" w:sz="0" w:space="0" w:color="auto"/>
        <w:bottom w:val="none" w:sz="0" w:space="0" w:color="auto"/>
        <w:right w:val="none" w:sz="0" w:space="0" w:color="auto"/>
      </w:divBdr>
    </w:div>
    <w:div w:id="2062559374">
      <w:bodyDiv w:val="1"/>
      <w:marLeft w:val="0"/>
      <w:marRight w:val="0"/>
      <w:marTop w:val="0"/>
      <w:marBottom w:val="0"/>
      <w:divBdr>
        <w:top w:val="none" w:sz="0" w:space="0" w:color="auto"/>
        <w:left w:val="none" w:sz="0" w:space="0" w:color="auto"/>
        <w:bottom w:val="none" w:sz="0" w:space="0" w:color="auto"/>
        <w:right w:val="none" w:sz="0" w:space="0" w:color="auto"/>
      </w:divBdr>
      <w:divsChild>
        <w:div w:id="811748029">
          <w:marLeft w:val="547"/>
          <w:marRight w:val="0"/>
          <w:marTop w:val="115"/>
          <w:marBottom w:val="0"/>
          <w:divBdr>
            <w:top w:val="none" w:sz="0" w:space="0" w:color="auto"/>
            <w:left w:val="none" w:sz="0" w:space="0" w:color="auto"/>
            <w:bottom w:val="none" w:sz="0" w:space="0" w:color="auto"/>
            <w:right w:val="none" w:sz="0" w:space="0" w:color="auto"/>
          </w:divBdr>
        </w:div>
        <w:div w:id="24213735">
          <w:marLeft w:val="547"/>
          <w:marRight w:val="0"/>
          <w:marTop w:val="115"/>
          <w:marBottom w:val="0"/>
          <w:divBdr>
            <w:top w:val="none" w:sz="0" w:space="0" w:color="auto"/>
            <w:left w:val="none" w:sz="0" w:space="0" w:color="auto"/>
            <w:bottom w:val="none" w:sz="0" w:space="0" w:color="auto"/>
            <w:right w:val="none" w:sz="0" w:space="0" w:color="auto"/>
          </w:divBdr>
        </w:div>
        <w:div w:id="300380884">
          <w:marLeft w:val="547"/>
          <w:marRight w:val="0"/>
          <w:marTop w:val="115"/>
          <w:marBottom w:val="0"/>
          <w:divBdr>
            <w:top w:val="none" w:sz="0" w:space="0" w:color="auto"/>
            <w:left w:val="none" w:sz="0" w:space="0" w:color="auto"/>
            <w:bottom w:val="none" w:sz="0" w:space="0" w:color="auto"/>
            <w:right w:val="none" w:sz="0" w:space="0" w:color="auto"/>
          </w:divBdr>
        </w:div>
        <w:div w:id="1140616014">
          <w:marLeft w:val="547"/>
          <w:marRight w:val="0"/>
          <w:marTop w:val="115"/>
          <w:marBottom w:val="0"/>
          <w:divBdr>
            <w:top w:val="none" w:sz="0" w:space="0" w:color="auto"/>
            <w:left w:val="none" w:sz="0" w:space="0" w:color="auto"/>
            <w:bottom w:val="none" w:sz="0" w:space="0" w:color="auto"/>
            <w:right w:val="none" w:sz="0" w:space="0" w:color="auto"/>
          </w:divBdr>
        </w:div>
        <w:div w:id="144410917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6</Pages>
  <Words>2282</Words>
  <Characters>11735</Characters>
  <Application>Microsoft Office Word</Application>
  <DocSecurity>0</DocSecurity>
  <Lines>162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Darren Reed (1802209)</dc:creator>
  <cp:keywords/>
  <dc:description/>
  <cp:lastModifiedBy>Mark Darren Reed</cp:lastModifiedBy>
  <cp:revision>2</cp:revision>
  <dcterms:created xsi:type="dcterms:W3CDTF">2021-05-17T07:22:00Z</dcterms:created>
  <dcterms:modified xsi:type="dcterms:W3CDTF">2021-05-17T12:03:00Z</dcterms:modified>
</cp:coreProperties>
</file>