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80A24" w14:textId="1EAAEFB9" w:rsidR="007402A8" w:rsidRPr="008A0EF7" w:rsidRDefault="008A0EF7">
      <w:pPr>
        <w:rPr>
          <w:rFonts w:ascii="Bradley Hand ITC" w:hAnsi="Bradley Hand ITC"/>
          <w:b/>
          <w:bCs/>
          <w:sz w:val="40"/>
          <w:szCs w:val="40"/>
          <w:u w:val="single"/>
        </w:rPr>
      </w:pPr>
      <w:r w:rsidRPr="008A0EF7">
        <w:rPr>
          <w:rFonts w:ascii="Bradley Hand ITC" w:hAnsi="Bradley Hand ITC"/>
          <w:b/>
          <w:bCs/>
          <w:sz w:val="40"/>
          <w:szCs w:val="40"/>
          <w:u w:val="single"/>
        </w:rPr>
        <w:t>Compare and contrast different conceptions of the environment.</w:t>
      </w:r>
    </w:p>
    <w:p w14:paraId="1EBB3CD6" w14:textId="77777777" w:rsidR="008A0EF7" w:rsidRPr="008A0EF7" w:rsidRDefault="008A0EF7">
      <w:pPr>
        <w:rPr>
          <w:rFonts w:ascii="Bradley Hand ITC" w:hAnsi="Bradley Hand ITC"/>
          <w:b/>
          <w:bCs/>
          <w:sz w:val="36"/>
          <w:szCs w:val="36"/>
          <w:u w:val="single"/>
        </w:rPr>
      </w:pPr>
    </w:p>
    <w:p w14:paraId="44FB086E" w14:textId="3AAC38DA" w:rsidR="008A0EF7" w:rsidRDefault="008A0EF7">
      <w:pPr>
        <w:rPr>
          <w:rFonts w:ascii="Bradley Hand ITC" w:hAnsi="Bradley Hand ITC"/>
          <w:b/>
          <w:bCs/>
          <w:sz w:val="36"/>
          <w:szCs w:val="36"/>
        </w:rPr>
      </w:pPr>
      <w:r w:rsidRPr="008A0EF7">
        <w:rPr>
          <w:rFonts w:ascii="Bradley Hand ITC" w:hAnsi="Bradley Hand ITC"/>
          <w:b/>
          <w:bCs/>
          <w:sz w:val="36"/>
          <w:szCs w:val="36"/>
        </w:rPr>
        <w:t>Introduction.</w:t>
      </w:r>
    </w:p>
    <w:p w14:paraId="29C639A4" w14:textId="68F6F995" w:rsidR="00FF6432" w:rsidRDefault="008A0EF7">
      <w:pPr>
        <w:rPr>
          <w:rFonts w:ascii="Bradley Hand ITC" w:hAnsi="Bradley Hand ITC"/>
          <w:b/>
          <w:bCs/>
          <w:sz w:val="36"/>
          <w:szCs w:val="36"/>
        </w:rPr>
      </w:pPr>
      <w:r>
        <w:rPr>
          <w:rFonts w:ascii="Bradley Hand ITC" w:hAnsi="Bradley Hand ITC"/>
          <w:b/>
          <w:bCs/>
          <w:sz w:val="36"/>
          <w:szCs w:val="36"/>
        </w:rPr>
        <w:t xml:space="preserve">It is my intention within this essay to explore </w:t>
      </w:r>
      <w:r w:rsidR="00FF6432">
        <w:rPr>
          <w:rFonts w:ascii="Bradley Hand ITC" w:hAnsi="Bradley Hand ITC"/>
          <w:b/>
          <w:bCs/>
          <w:sz w:val="36"/>
          <w:szCs w:val="36"/>
        </w:rPr>
        <w:t>the Yanomamo tribe and the Nuer tribe’s conception of the environment. I will examine the similarities in their conceptions and investigate the differences in their conceptions of the environment.</w:t>
      </w:r>
    </w:p>
    <w:p w14:paraId="65D1ACC8" w14:textId="57ECE1D4" w:rsidR="00FF6432" w:rsidRDefault="00936163">
      <w:pPr>
        <w:rPr>
          <w:rFonts w:ascii="Bradley Hand ITC" w:hAnsi="Bradley Hand ITC"/>
          <w:b/>
          <w:bCs/>
          <w:sz w:val="36"/>
          <w:szCs w:val="36"/>
        </w:rPr>
      </w:pPr>
      <w:r>
        <w:rPr>
          <w:rFonts w:ascii="Bradley Hand ITC" w:hAnsi="Bradley Hand ITC"/>
          <w:b/>
          <w:bCs/>
          <w:sz w:val="36"/>
          <w:szCs w:val="36"/>
        </w:rPr>
        <w:t xml:space="preserve">Using </w:t>
      </w:r>
      <w:r w:rsidR="00C621FD">
        <w:rPr>
          <w:rFonts w:ascii="Bradley Hand ITC" w:hAnsi="Bradley Hand ITC"/>
          <w:b/>
          <w:bCs/>
          <w:sz w:val="36"/>
          <w:szCs w:val="36"/>
        </w:rPr>
        <w:t>detailed</w:t>
      </w:r>
      <w:r>
        <w:rPr>
          <w:rFonts w:ascii="Bradley Hand ITC" w:hAnsi="Bradley Hand ITC"/>
          <w:b/>
          <w:bCs/>
          <w:sz w:val="36"/>
          <w:szCs w:val="36"/>
        </w:rPr>
        <w:t xml:space="preserve"> ethnograph</w:t>
      </w:r>
      <w:r w:rsidR="00C621FD">
        <w:rPr>
          <w:rFonts w:ascii="Bradley Hand ITC" w:hAnsi="Bradley Hand ITC"/>
          <w:b/>
          <w:bCs/>
          <w:sz w:val="36"/>
          <w:szCs w:val="36"/>
        </w:rPr>
        <w:t>ies of the Nuer (Evans-Pritchard 1940) and the Yanomamo (Chagnon.N 1967)</w:t>
      </w:r>
      <w:r>
        <w:rPr>
          <w:rFonts w:ascii="Bradley Hand ITC" w:hAnsi="Bradley Hand ITC"/>
          <w:b/>
          <w:bCs/>
          <w:sz w:val="36"/>
          <w:szCs w:val="36"/>
        </w:rPr>
        <w:t xml:space="preserve"> </w:t>
      </w:r>
      <w:r w:rsidR="00FF6432">
        <w:rPr>
          <w:rFonts w:ascii="Bradley Hand ITC" w:hAnsi="Bradley Hand ITC"/>
          <w:b/>
          <w:bCs/>
          <w:sz w:val="36"/>
          <w:szCs w:val="36"/>
        </w:rPr>
        <w:t xml:space="preserve">I will look at how </w:t>
      </w:r>
      <w:r w:rsidR="00C621FD">
        <w:rPr>
          <w:rFonts w:ascii="Bradley Hand ITC" w:hAnsi="Bradley Hand ITC"/>
          <w:b/>
          <w:bCs/>
          <w:sz w:val="36"/>
          <w:szCs w:val="36"/>
        </w:rPr>
        <w:t>each tribe</w:t>
      </w:r>
      <w:r w:rsidR="00FF6432">
        <w:rPr>
          <w:rFonts w:ascii="Bradley Hand ITC" w:hAnsi="Bradley Hand ITC"/>
          <w:b/>
          <w:bCs/>
          <w:sz w:val="36"/>
          <w:szCs w:val="36"/>
        </w:rPr>
        <w:t xml:space="preserve"> use the resources available</w:t>
      </w:r>
      <w:r>
        <w:rPr>
          <w:rFonts w:ascii="Bradley Hand ITC" w:hAnsi="Bradley Hand ITC"/>
          <w:b/>
          <w:bCs/>
          <w:sz w:val="36"/>
          <w:szCs w:val="36"/>
        </w:rPr>
        <w:t xml:space="preserve"> within their environment</w:t>
      </w:r>
      <w:r w:rsidR="00FF6432">
        <w:rPr>
          <w:rFonts w:ascii="Bradley Hand ITC" w:hAnsi="Bradley Hand ITC"/>
          <w:b/>
          <w:bCs/>
          <w:sz w:val="36"/>
          <w:szCs w:val="36"/>
        </w:rPr>
        <w:t xml:space="preserve"> to construct shelter, what </w:t>
      </w:r>
      <w:r>
        <w:rPr>
          <w:rFonts w:ascii="Bradley Hand ITC" w:hAnsi="Bradley Hand ITC"/>
          <w:b/>
          <w:bCs/>
          <w:sz w:val="36"/>
          <w:szCs w:val="36"/>
        </w:rPr>
        <w:t>each tribe value in terms of possessions and physical attributes.</w:t>
      </w:r>
    </w:p>
    <w:p w14:paraId="15E094A6" w14:textId="5F449BCE" w:rsidR="00430583" w:rsidRDefault="00C621FD">
      <w:pPr>
        <w:rPr>
          <w:rFonts w:ascii="Bradley Hand ITC" w:hAnsi="Bradley Hand ITC"/>
          <w:b/>
          <w:bCs/>
          <w:sz w:val="36"/>
          <w:szCs w:val="36"/>
        </w:rPr>
      </w:pPr>
      <w:r>
        <w:rPr>
          <w:rFonts w:ascii="Bradley Hand ITC" w:hAnsi="Bradley Hand ITC"/>
          <w:b/>
          <w:bCs/>
          <w:sz w:val="36"/>
          <w:szCs w:val="36"/>
        </w:rPr>
        <w:t>I will conclude that although both tribes are existing in similar environments, they both have completely different approaches to their environments</w:t>
      </w:r>
    </w:p>
    <w:p w14:paraId="4D1C2135" w14:textId="31C04CFB" w:rsidR="00C621FD" w:rsidRDefault="00430583">
      <w:pPr>
        <w:rPr>
          <w:rFonts w:ascii="Bradley Hand ITC" w:hAnsi="Bradley Hand ITC"/>
          <w:b/>
          <w:bCs/>
          <w:sz w:val="36"/>
          <w:szCs w:val="36"/>
        </w:rPr>
      </w:pPr>
      <w:r>
        <w:rPr>
          <w:rFonts w:ascii="Bradley Hand ITC" w:hAnsi="Bradley Hand ITC"/>
          <w:b/>
          <w:bCs/>
          <w:noProof/>
          <w:sz w:val="36"/>
          <w:szCs w:val="36"/>
        </w:rPr>
        <mc:AlternateContent>
          <mc:Choice Requires="wps">
            <w:drawing>
              <wp:anchor distT="0" distB="0" distL="114300" distR="114300" simplePos="0" relativeHeight="251659264" behindDoc="0" locked="0" layoutInCell="1" allowOverlap="1" wp14:anchorId="2BDA57B6" wp14:editId="74C04FE5">
                <wp:simplePos x="0" y="0"/>
                <wp:positionH relativeFrom="column">
                  <wp:posOffset>4750904</wp:posOffset>
                </wp:positionH>
                <wp:positionV relativeFrom="paragraph">
                  <wp:posOffset>1519</wp:posOffset>
                </wp:positionV>
                <wp:extent cx="1550504" cy="2385363"/>
                <wp:effectExtent l="0" t="0" r="12065" b="15240"/>
                <wp:wrapNone/>
                <wp:docPr id="7" name="Text Box 7"/>
                <wp:cNvGraphicFramePr/>
                <a:graphic xmlns:a="http://schemas.openxmlformats.org/drawingml/2006/main">
                  <a:graphicData uri="http://schemas.microsoft.com/office/word/2010/wordprocessingShape">
                    <wps:wsp>
                      <wps:cNvSpPr txBox="1"/>
                      <wps:spPr>
                        <a:xfrm>
                          <a:off x="0" y="0"/>
                          <a:ext cx="1550504" cy="2385363"/>
                        </a:xfrm>
                        <a:prstGeom prst="rect">
                          <a:avLst/>
                        </a:prstGeom>
                        <a:solidFill>
                          <a:schemeClr val="lt1"/>
                        </a:solidFill>
                        <a:ln w="6350">
                          <a:solidFill>
                            <a:prstClr val="black"/>
                          </a:solidFill>
                        </a:ln>
                      </wps:spPr>
                      <wps:txbx>
                        <w:txbxContent>
                          <w:p w14:paraId="445A6C50" w14:textId="10A8D211" w:rsidR="002044F2" w:rsidRDefault="009019FB">
                            <w:pPr>
                              <w:rPr>
                                <w:rFonts w:ascii="Algerian" w:hAnsi="Algerian"/>
                              </w:rPr>
                            </w:pPr>
                            <w:r w:rsidRPr="002044F2">
                              <w:rPr>
                                <w:rFonts w:ascii="Algerian" w:hAnsi="Algerian"/>
                              </w:rPr>
                              <w:t xml:space="preserve">The </w:t>
                            </w:r>
                            <w:r w:rsidR="002044F2">
                              <w:rPr>
                                <w:rFonts w:ascii="Algerian" w:hAnsi="Algerian"/>
                              </w:rPr>
                              <w:t>image</w:t>
                            </w:r>
                            <w:r w:rsidRPr="002044F2">
                              <w:rPr>
                                <w:rFonts w:ascii="Algerian" w:hAnsi="Algerian"/>
                              </w:rPr>
                              <w:t xml:space="preserve"> on the left is</w:t>
                            </w:r>
                            <w:r w:rsidR="00430583">
                              <w:rPr>
                                <w:rFonts w:ascii="Algerian" w:hAnsi="Algerian"/>
                              </w:rPr>
                              <w:t xml:space="preserve"> of</w:t>
                            </w:r>
                            <w:r w:rsidRPr="002044F2">
                              <w:rPr>
                                <w:rFonts w:ascii="Algerian" w:hAnsi="Algerian"/>
                              </w:rPr>
                              <w:t xml:space="preserve"> a </w:t>
                            </w:r>
                            <w:r w:rsidR="00430583">
                              <w:rPr>
                                <w:rFonts w:ascii="Algerian" w:hAnsi="Algerian"/>
                              </w:rPr>
                              <w:t>woman and child from the nuer tribe</w:t>
                            </w:r>
                          </w:p>
                          <w:p w14:paraId="74A995F6" w14:textId="5E141AF1" w:rsidR="009019FB" w:rsidRPr="002044F2" w:rsidRDefault="009019FB">
                            <w:pPr>
                              <w:rPr>
                                <w:rFonts w:ascii="Algerian" w:hAnsi="Algerian"/>
                              </w:rPr>
                            </w:pPr>
                            <w:r w:rsidRPr="002044F2">
                              <w:rPr>
                                <w:rFonts w:ascii="Algerian" w:hAnsi="Algerian"/>
                              </w:rPr>
                              <w:t>The image on the right is of a woman and child from the Yanomamo tribe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DA57B6" id="_x0000_t202" coordsize="21600,21600" o:spt="202" path="m,l,21600r21600,l21600,xe">
                <v:stroke joinstyle="miter"/>
                <v:path gradientshapeok="t" o:connecttype="rect"/>
              </v:shapetype>
              <v:shape id="Text Box 7" o:spid="_x0000_s1026" type="#_x0000_t202" style="position:absolute;margin-left:374.1pt;margin-top:.1pt;width:122.1pt;height:18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" fillcolor="white [3201]" strokeweight=".5pt">
                <v:textbox>
                  <w:txbxContent>
                    <w:p w14:paraId="445A6C50" w14:textId="10A8D211" w:rsidR="002044F2" w:rsidRDefault="009019FB">
                      <w:pPr>
                        <w:rPr>
                          <w:rFonts w:ascii="Algerian" w:hAnsi="Algerian"/>
                        </w:rPr>
                      </w:pPr>
                      <w:r w:rsidRPr="002044F2">
                        <w:rPr>
                          <w:rFonts w:ascii="Algerian" w:hAnsi="Algerian"/>
                        </w:rPr>
                        <w:t xml:space="preserve">The </w:t>
                      </w:r>
                      <w:r w:rsidR="002044F2">
                        <w:rPr>
                          <w:rFonts w:ascii="Algerian" w:hAnsi="Algerian"/>
                        </w:rPr>
                        <w:t>image</w:t>
                      </w:r>
                      <w:r w:rsidRPr="002044F2">
                        <w:rPr>
                          <w:rFonts w:ascii="Algerian" w:hAnsi="Algerian"/>
                        </w:rPr>
                        <w:t xml:space="preserve"> on the left is</w:t>
                      </w:r>
                      <w:r w:rsidR="00430583">
                        <w:rPr>
                          <w:rFonts w:ascii="Algerian" w:hAnsi="Algerian"/>
                        </w:rPr>
                        <w:t xml:space="preserve"> of</w:t>
                      </w:r>
                      <w:r w:rsidRPr="002044F2">
                        <w:rPr>
                          <w:rFonts w:ascii="Algerian" w:hAnsi="Algerian"/>
                        </w:rPr>
                        <w:t xml:space="preserve"> a </w:t>
                      </w:r>
                      <w:r w:rsidR="00430583">
                        <w:rPr>
                          <w:rFonts w:ascii="Algerian" w:hAnsi="Algerian"/>
                        </w:rPr>
                        <w:t>woman and child from the nuer tribe</w:t>
                      </w:r>
                    </w:p>
                    <w:p w14:paraId="74A995F6" w14:textId="5E141AF1" w:rsidR="009019FB" w:rsidRPr="002044F2" w:rsidRDefault="009019FB">
                      <w:pPr>
                        <w:rPr>
                          <w:rFonts w:ascii="Algerian" w:hAnsi="Algerian"/>
                        </w:rPr>
                      </w:pPr>
                      <w:r w:rsidRPr="002044F2">
                        <w:rPr>
                          <w:rFonts w:ascii="Algerian" w:hAnsi="Algerian"/>
                        </w:rPr>
                        <w:t>The image on the right is of a woman and child from the Yanomamo tribe</w:t>
                      </w:r>
                    </w:p>
                  </w:txbxContent>
                </v:textbox>
              </v:shape>
            </w:pict>
          </mc:Fallback>
        </mc:AlternateContent>
      </w:r>
      <w:r w:rsidRPr="00430583">
        <w:rPr>
          <w:noProof/>
        </w:rPr>
        <w:t xml:space="preserve"> </w:t>
      </w:r>
      <w:r w:rsidRPr="00430583">
        <w:rPr>
          <w:noProof/>
        </w:rPr>
        <w:drawing>
          <wp:inline distT="0" distB="0" distL="0" distR="0" wp14:anchorId="5CB2726D" wp14:editId="4A7D8BFB">
            <wp:extent cx="2239010" cy="2912166"/>
            <wp:effectExtent l="0" t="0" r="889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404524" cy="3127441"/>
                    </a:xfrm>
                    <a:prstGeom prst="rect">
                      <a:avLst/>
                    </a:prstGeom>
                  </pic:spPr>
                </pic:pic>
              </a:graphicData>
            </a:graphic>
          </wp:inline>
        </w:drawing>
      </w:r>
      <w:r>
        <w:rPr>
          <w:rFonts w:ascii="Bradley Hand ITC" w:hAnsi="Bradley Hand ITC"/>
          <w:b/>
          <w:bCs/>
          <w:noProof/>
          <w:sz w:val="36"/>
          <w:szCs w:val="36"/>
        </w:rPr>
        <w:drawing>
          <wp:inline distT="0" distB="0" distL="0" distR="0" wp14:anchorId="51AE7E8D" wp14:editId="74AD270E">
            <wp:extent cx="2244725" cy="2911401"/>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290021" cy="2970149"/>
                    </a:xfrm>
                    <a:prstGeom prst="rect">
                      <a:avLst/>
                    </a:prstGeom>
                  </pic:spPr>
                </pic:pic>
              </a:graphicData>
            </a:graphic>
          </wp:inline>
        </w:drawing>
      </w:r>
    </w:p>
    <w:p w14:paraId="6D1E9B56" w14:textId="4FA8F355" w:rsidR="00C621FD" w:rsidRPr="00100CC9" w:rsidRDefault="002044F2">
      <w:pPr>
        <w:rPr>
          <w:rFonts w:ascii="Bradley Hand ITC" w:hAnsi="Bradley Hand ITC"/>
          <w:b/>
          <w:bCs/>
          <w:sz w:val="40"/>
          <w:szCs w:val="40"/>
          <w:u w:val="single"/>
        </w:rPr>
      </w:pPr>
      <w:r w:rsidRPr="00100CC9">
        <w:rPr>
          <w:rFonts w:ascii="Bradley Hand ITC" w:hAnsi="Bradley Hand ITC"/>
          <w:b/>
          <w:bCs/>
          <w:sz w:val="40"/>
          <w:szCs w:val="40"/>
          <w:u w:val="single"/>
        </w:rPr>
        <w:lastRenderedPageBreak/>
        <w:t>The Nuer tribe</w:t>
      </w:r>
      <w:r w:rsidR="00100CC9">
        <w:rPr>
          <w:rFonts w:ascii="Bradley Hand ITC" w:hAnsi="Bradley Hand ITC"/>
          <w:b/>
          <w:bCs/>
          <w:sz w:val="40"/>
          <w:szCs w:val="40"/>
          <w:u w:val="single"/>
        </w:rPr>
        <w:t>.</w:t>
      </w:r>
    </w:p>
    <w:p w14:paraId="53F4A3C3" w14:textId="71940E60" w:rsidR="00C621FD" w:rsidRDefault="00C621FD">
      <w:pPr>
        <w:rPr>
          <w:rFonts w:ascii="Bradley Hand ITC" w:hAnsi="Bradley Hand ITC"/>
          <w:b/>
          <w:bCs/>
          <w:sz w:val="36"/>
          <w:szCs w:val="36"/>
        </w:rPr>
      </w:pPr>
    </w:p>
    <w:p w14:paraId="29646582" w14:textId="29A1367E" w:rsidR="00936163" w:rsidRDefault="002044F2">
      <w:pPr>
        <w:rPr>
          <w:rFonts w:ascii="Bradley Hand ITC" w:hAnsi="Bradley Hand ITC"/>
          <w:b/>
          <w:bCs/>
          <w:sz w:val="36"/>
          <w:szCs w:val="36"/>
        </w:rPr>
      </w:pPr>
      <w:r w:rsidRPr="002044F2">
        <w:rPr>
          <w:noProof/>
        </w:rPr>
        <w:drawing>
          <wp:inline distT="0" distB="0" distL="0" distR="0" wp14:anchorId="03DDBBE3" wp14:editId="1069985C">
            <wp:extent cx="3027570" cy="4035865"/>
            <wp:effectExtent l="0" t="0" r="190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50488" cy="4066416"/>
                    </a:xfrm>
                    <a:prstGeom prst="rect">
                      <a:avLst/>
                    </a:prstGeom>
                  </pic:spPr>
                </pic:pic>
              </a:graphicData>
            </a:graphic>
          </wp:inline>
        </w:drawing>
      </w:r>
      <w:r w:rsidRPr="002044F2">
        <w:rPr>
          <w:noProof/>
        </w:rPr>
        <w:drawing>
          <wp:inline distT="0" distB="0" distL="0" distR="0" wp14:anchorId="64406A56" wp14:editId="6328ED42">
            <wp:extent cx="2466518" cy="39906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95196" cy="4037015"/>
                    </a:xfrm>
                    <a:prstGeom prst="rect">
                      <a:avLst/>
                    </a:prstGeom>
                  </pic:spPr>
                </pic:pic>
              </a:graphicData>
            </a:graphic>
          </wp:inline>
        </w:drawing>
      </w:r>
    </w:p>
    <w:p w14:paraId="7C0DDA09" w14:textId="3555A82A" w:rsidR="008A0EF7" w:rsidRPr="008A0EF7" w:rsidRDefault="00430583">
      <w:pPr>
        <w:rPr>
          <w:rFonts w:ascii="Bradley Hand ITC" w:hAnsi="Bradley Hand ITC"/>
          <w:b/>
          <w:bCs/>
          <w:sz w:val="36"/>
          <w:szCs w:val="36"/>
        </w:rPr>
      </w:pPr>
      <w:r>
        <w:rPr>
          <w:rFonts w:ascii="Bradley Hand ITC" w:hAnsi="Bradley Hand ITC"/>
          <w:b/>
          <w:bCs/>
          <w:noProof/>
          <w:sz w:val="36"/>
          <w:szCs w:val="36"/>
        </w:rPr>
        <mc:AlternateContent>
          <mc:Choice Requires="wps">
            <w:drawing>
              <wp:anchor distT="0" distB="0" distL="114300" distR="114300" simplePos="0" relativeHeight="251660288" behindDoc="0" locked="0" layoutInCell="1" allowOverlap="1" wp14:anchorId="32212275" wp14:editId="4F356025">
                <wp:simplePos x="0" y="0"/>
                <wp:positionH relativeFrom="margin">
                  <wp:align>center</wp:align>
                </wp:positionH>
                <wp:positionV relativeFrom="paragraph">
                  <wp:posOffset>7427</wp:posOffset>
                </wp:positionV>
                <wp:extent cx="5098774" cy="635524"/>
                <wp:effectExtent l="0" t="0" r="26035" b="12700"/>
                <wp:wrapNone/>
                <wp:docPr id="10" name="Text Box 10"/>
                <wp:cNvGraphicFramePr/>
                <a:graphic xmlns:a="http://schemas.openxmlformats.org/drawingml/2006/main">
                  <a:graphicData uri="http://schemas.microsoft.com/office/word/2010/wordprocessingShape">
                    <wps:wsp>
                      <wps:cNvSpPr txBox="1"/>
                      <wps:spPr>
                        <a:xfrm>
                          <a:off x="0" y="0"/>
                          <a:ext cx="5098774" cy="635524"/>
                        </a:xfrm>
                        <a:prstGeom prst="rect">
                          <a:avLst/>
                        </a:prstGeom>
                        <a:solidFill>
                          <a:schemeClr val="lt1"/>
                        </a:solidFill>
                        <a:ln w="6350">
                          <a:solidFill>
                            <a:prstClr val="black"/>
                          </a:solidFill>
                        </a:ln>
                      </wps:spPr>
                      <wps:txbx>
                        <w:txbxContent>
                          <w:p w14:paraId="27C4AE08" w14:textId="376DD860" w:rsidR="00430583" w:rsidRPr="00430583" w:rsidRDefault="00430583">
                            <w:pPr>
                              <w:rPr>
                                <w:rFonts w:ascii="Algerian" w:hAnsi="Algerian"/>
                              </w:rPr>
                            </w:pPr>
                            <w:r w:rsidRPr="00430583">
                              <w:rPr>
                                <w:rFonts w:ascii="Algerian" w:hAnsi="Algerian"/>
                              </w:rPr>
                              <w:t xml:space="preserve">Above </w:t>
                            </w:r>
                            <w:r>
                              <w:rPr>
                                <w:rFonts w:ascii="Algerian" w:hAnsi="Algerian"/>
                              </w:rPr>
                              <w:t xml:space="preserve">left </w:t>
                            </w:r>
                            <w:r w:rsidRPr="00430583">
                              <w:rPr>
                                <w:rFonts w:ascii="Algerian" w:hAnsi="Algerian"/>
                              </w:rPr>
                              <w:t xml:space="preserve">is an image of a Nuer woman and </w:t>
                            </w:r>
                            <w:r>
                              <w:rPr>
                                <w:rFonts w:ascii="Algerian" w:hAnsi="Algerian"/>
                              </w:rPr>
                              <w:t>above right is a nuer man.</w:t>
                            </w:r>
                            <w:r w:rsidRPr="00430583">
                              <w:rPr>
                                <w:rFonts w:ascii="Algerian" w:hAnsi="Algerian"/>
                              </w:rPr>
                              <w:t xml:space="preserve"> both have used scarification to beautify their features.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12275" id="Text Box 10" o:spid="_x0000_s1027" type="#_x0000_t202" style="position:absolute;margin-left:0;margin-top:.6pt;width:401.5pt;height:50.0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" fillcolor="white [3201]" strokeweight=".5pt">
                <v:textbox>
                  <w:txbxContent>
                    <w:p w14:paraId="27C4AE08" w14:textId="376DD860" w:rsidR="00430583" w:rsidRPr="00430583" w:rsidRDefault="00430583">
                      <w:pPr>
                        <w:rPr>
                          <w:rFonts w:ascii="Algerian" w:hAnsi="Algerian"/>
                        </w:rPr>
                      </w:pPr>
                      <w:r w:rsidRPr="00430583">
                        <w:rPr>
                          <w:rFonts w:ascii="Algerian" w:hAnsi="Algerian"/>
                        </w:rPr>
                        <w:t xml:space="preserve">Above </w:t>
                      </w:r>
                      <w:r>
                        <w:rPr>
                          <w:rFonts w:ascii="Algerian" w:hAnsi="Algerian"/>
                        </w:rPr>
                        <w:t xml:space="preserve">left </w:t>
                      </w:r>
                      <w:r w:rsidRPr="00430583">
                        <w:rPr>
                          <w:rFonts w:ascii="Algerian" w:hAnsi="Algerian"/>
                        </w:rPr>
                        <w:t xml:space="preserve">is an image of a Nuer woman and </w:t>
                      </w:r>
                      <w:r>
                        <w:rPr>
                          <w:rFonts w:ascii="Algerian" w:hAnsi="Algerian"/>
                        </w:rPr>
                        <w:t>above right is a nuer man.</w:t>
                      </w:r>
                      <w:r w:rsidRPr="00430583">
                        <w:rPr>
                          <w:rFonts w:ascii="Algerian" w:hAnsi="Algerian"/>
                        </w:rPr>
                        <w:t xml:space="preserve"> both have used scarification to beautify their features.</w:t>
                      </w:r>
                    </w:p>
                  </w:txbxContent>
                </v:textbox>
                <w10:wrap anchorx="margin"/>
              </v:shape>
            </w:pict>
          </mc:Fallback>
        </mc:AlternateContent>
      </w:r>
      <w:r w:rsidR="00FF6432">
        <w:rPr>
          <w:rFonts w:ascii="Bradley Hand ITC" w:hAnsi="Bradley Hand ITC"/>
          <w:b/>
          <w:bCs/>
          <w:sz w:val="36"/>
          <w:szCs w:val="36"/>
        </w:rPr>
        <w:t xml:space="preserve"> </w:t>
      </w:r>
    </w:p>
    <w:p w14:paraId="0A7EC977" w14:textId="77777777" w:rsidR="00484CE1" w:rsidRDefault="00484CE1">
      <w:pPr>
        <w:rPr>
          <w:rFonts w:ascii="Bradley Hand ITC" w:hAnsi="Bradley Hand ITC"/>
          <w:b/>
          <w:bCs/>
          <w:sz w:val="32"/>
          <w:szCs w:val="32"/>
        </w:rPr>
      </w:pPr>
    </w:p>
    <w:p w14:paraId="35B8421B" w14:textId="77777777" w:rsidR="00484CE1" w:rsidRDefault="00430583" w:rsidP="00484CE1">
      <w:pPr>
        <w:rPr>
          <w:rFonts w:ascii="Bradley Hand ITC" w:hAnsi="Bradley Hand ITC"/>
          <w:b/>
          <w:bCs/>
          <w:sz w:val="32"/>
          <w:szCs w:val="32"/>
        </w:rPr>
      </w:pPr>
      <w:r>
        <w:rPr>
          <w:rFonts w:ascii="Bradley Hand ITC" w:hAnsi="Bradley Hand ITC"/>
          <w:b/>
          <w:bCs/>
          <w:sz w:val="32"/>
          <w:szCs w:val="32"/>
        </w:rPr>
        <w:t xml:space="preserve">The Nuer tribe are situated in South Sudan </w:t>
      </w:r>
      <w:r w:rsidR="00BE6EE6">
        <w:rPr>
          <w:rFonts w:ascii="Bradley Hand ITC" w:hAnsi="Bradley Hand ITC"/>
          <w:b/>
          <w:bCs/>
          <w:sz w:val="32"/>
          <w:szCs w:val="32"/>
        </w:rPr>
        <w:t>and they live a pastoralist way of life.</w:t>
      </w:r>
      <w:r w:rsidR="0012161F">
        <w:rPr>
          <w:rFonts w:ascii="Bradley Hand ITC" w:hAnsi="Bradley Hand ITC"/>
          <w:b/>
          <w:bCs/>
          <w:sz w:val="32"/>
          <w:szCs w:val="32"/>
        </w:rPr>
        <w:t xml:space="preserve"> This can be both sedentary and nomadic.</w:t>
      </w:r>
      <w:r w:rsidR="00577F69">
        <w:rPr>
          <w:rFonts w:ascii="Bradley Hand ITC" w:hAnsi="Bradley Hand ITC"/>
          <w:b/>
          <w:bCs/>
          <w:sz w:val="32"/>
          <w:szCs w:val="32"/>
        </w:rPr>
        <w:t xml:space="preserve"> The nomads move with the seasons.</w:t>
      </w:r>
    </w:p>
    <w:p w14:paraId="43A8E8BB" w14:textId="6894F642" w:rsidR="00484CE1" w:rsidRDefault="00BE6EE6" w:rsidP="00484CE1">
      <w:pPr>
        <w:rPr>
          <w:rFonts w:ascii="Bradley Hand ITC" w:hAnsi="Bradley Hand ITC"/>
          <w:b/>
          <w:bCs/>
          <w:sz w:val="32"/>
          <w:szCs w:val="32"/>
        </w:rPr>
      </w:pPr>
      <w:r>
        <w:rPr>
          <w:rFonts w:ascii="Bradley Hand ITC" w:hAnsi="Bradley Hand ITC"/>
          <w:b/>
          <w:bCs/>
          <w:sz w:val="32"/>
          <w:szCs w:val="32"/>
        </w:rPr>
        <w:t>Owning cattle is highly prized and the more cattle a man owns the more prestigious his position within the tribe. Woman do</w:t>
      </w:r>
      <w:r w:rsidR="008C219A">
        <w:rPr>
          <w:rFonts w:ascii="Bradley Hand ITC" w:hAnsi="Bradley Hand ITC"/>
          <w:b/>
          <w:bCs/>
          <w:sz w:val="32"/>
          <w:szCs w:val="32"/>
        </w:rPr>
        <w:t>n’t</w:t>
      </w:r>
      <w:r>
        <w:rPr>
          <w:rFonts w:ascii="Bradley Hand ITC" w:hAnsi="Bradley Hand ITC"/>
          <w:b/>
          <w:bCs/>
          <w:sz w:val="32"/>
          <w:szCs w:val="32"/>
        </w:rPr>
        <w:t xml:space="preserve"> own cattle, but they have a right to use her husbands’ cattle</w:t>
      </w:r>
      <w:r w:rsidR="008C219A">
        <w:rPr>
          <w:rFonts w:ascii="Bradley Hand ITC" w:hAnsi="Bradley Hand ITC"/>
          <w:b/>
          <w:bCs/>
          <w:sz w:val="32"/>
          <w:szCs w:val="32"/>
        </w:rPr>
        <w:t xml:space="preserve"> and her prestige is judged by her husband’s possessions</w:t>
      </w:r>
      <w:r>
        <w:rPr>
          <w:rFonts w:ascii="Bradley Hand ITC" w:hAnsi="Bradley Hand ITC"/>
          <w:b/>
          <w:bCs/>
          <w:sz w:val="32"/>
          <w:szCs w:val="32"/>
        </w:rPr>
        <w:t xml:space="preserve">. The cattle </w:t>
      </w:r>
      <w:r w:rsidR="0012161F">
        <w:rPr>
          <w:rFonts w:ascii="Bradley Hand ITC" w:hAnsi="Bradley Hand ITC"/>
          <w:b/>
          <w:bCs/>
          <w:sz w:val="32"/>
          <w:szCs w:val="32"/>
        </w:rPr>
        <w:t>are</w:t>
      </w:r>
      <w:r>
        <w:rPr>
          <w:rFonts w:ascii="Bradley Hand ITC" w:hAnsi="Bradley Hand ITC"/>
          <w:b/>
          <w:bCs/>
          <w:sz w:val="32"/>
          <w:szCs w:val="32"/>
        </w:rPr>
        <w:t xml:space="preserve"> not only used for </w:t>
      </w:r>
      <w:r w:rsidR="0012161F">
        <w:rPr>
          <w:rFonts w:ascii="Bradley Hand ITC" w:hAnsi="Bradley Hand ITC"/>
          <w:b/>
          <w:bCs/>
          <w:sz w:val="32"/>
          <w:szCs w:val="32"/>
        </w:rPr>
        <w:t xml:space="preserve">meat </w:t>
      </w:r>
      <w:r w:rsidR="00577F69">
        <w:rPr>
          <w:rFonts w:ascii="Bradley Hand ITC" w:hAnsi="Bradley Hand ITC"/>
          <w:b/>
          <w:bCs/>
          <w:sz w:val="32"/>
          <w:szCs w:val="32"/>
        </w:rPr>
        <w:t>consumption,</w:t>
      </w:r>
      <w:r>
        <w:rPr>
          <w:rFonts w:ascii="Bradley Hand ITC" w:hAnsi="Bradley Hand ITC"/>
          <w:b/>
          <w:bCs/>
          <w:sz w:val="32"/>
          <w:szCs w:val="32"/>
        </w:rPr>
        <w:t xml:space="preserve"> but </w:t>
      </w:r>
      <w:r w:rsidR="0012161F">
        <w:rPr>
          <w:rFonts w:ascii="Bradley Hand ITC" w:hAnsi="Bradley Hand ITC"/>
          <w:b/>
          <w:bCs/>
          <w:sz w:val="32"/>
          <w:szCs w:val="32"/>
        </w:rPr>
        <w:t>the dung is also used for construction and fuel and the skins are used for beds and drums.</w:t>
      </w:r>
      <w:r>
        <w:rPr>
          <w:rFonts w:ascii="Bradley Hand ITC" w:hAnsi="Bradley Hand ITC"/>
          <w:b/>
          <w:bCs/>
          <w:sz w:val="32"/>
          <w:szCs w:val="32"/>
        </w:rPr>
        <w:t xml:space="preserve"> </w:t>
      </w:r>
      <w:r w:rsidR="00484CE1">
        <w:rPr>
          <w:rFonts w:ascii="Bradley Hand ITC" w:hAnsi="Bradley Hand ITC"/>
          <w:b/>
          <w:bCs/>
          <w:sz w:val="32"/>
          <w:szCs w:val="32"/>
        </w:rPr>
        <w:t xml:space="preserve">The political structure of the Nuer cannot be understood without </w:t>
      </w:r>
      <w:r w:rsidR="00484CE1">
        <w:rPr>
          <w:rFonts w:ascii="Bradley Hand ITC" w:hAnsi="Bradley Hand ITC"/>
          <w:b/>
          <w:bCs/>
          <w:sz w:val="32"/>
          <w:szCs w:val="32"/>
        </w:rPr>
        <w:lastRenderedPageBreak/>
        <w:t xml:space="preserve">considering their environment. Their simple cultural, material existence is highly </w:t>
      </w:r>
      <w:r w:rsidR="00484CE1">
        <w:rPr>
          <w:rFonts w:ascii="Bradley Hand ITC" w:hAnsi="Bradley Hand ITC"/>
          <w:b/>
          <w:bCs/>
          <w:sz w:val="32"/>
          <w:szCs w:val="32"/>
        </w:rPr>
        <w:t>dependent</w:t>
      </w:r>
      <w:r w:rsidR="00484CE1">
        <w:rPr>
          <w:rFonts w:ascii="Bradley Hand ITC" w:hAnsi="Bradley Hand ITC"/>
          <w:b/>
          <w:bCs/>
          <w:sz w:val="32"/>
          <w:szCs w:val="32"/>
        </w:rPr>
        <w:t xml:space="preserve"> on their environment</w:t>
      </w:r>
      <w:r w:rsidR="00484CE1">
        <w:rPr>
          <w:rFonts w:ascii="Bradley Hand ITC" w:hAnsi="Bradley Hand ITC"/>
          <w:b/>
          <w:bCs/>
          <w:sz w:val="32"/>
          <w:szCs w:val="32"/>
        </w:rPr>
        <w:t>.</w:t>
      </w:r>
    </w:p>
    <w:p w14:paraId="5D90FF9C" w14:textId="1E5AF043" w:rsidR="008A0EF7" w:rsidRDefault="00990C13">
      <w:pPr>
        <w:rPr>
          <w:rFonts w:ascii="Bradley Hand ITC" w:hAnsi="Bradley Hand ITC"/>
          <w:b/>
          <w:bCs/>
          <w:sz w:val="32"/>
          <w:szCs w:val="32"/>
        </w:rPr>
      </w:pPr>
      <w:r>
        <w:rPr>
          <w:rFonts w:ascii="Bradley Hand ITC" w:hAnsi="Bradley Hand ITC"/>
          <w:b/>
          <w:bCs/>
          <w:sz w:val="32"/>
          <w:szCs w:val="32"/>
        </w:rPr>
        <w:t>Their staple diet is mostly milk,</w:t>
      </w:r>
      <w:r w:rsidR="00487214">
        <w:rPr>
          <w:rFonts w:ascii="Bradley Hand ITC" w:hAnsi="Bradley Hand ITC"/>
          <w:b/>
          <w:bCs/>
          <w:sz w:val="32"/>
          <w:szCs w:val="32"/>
        </w:rPr>
        <w:t xml:space="preserve"> supplemented by</w:t>
      </w:r>
      <w:r>
        <w:rPr>
          <w:rFonts w:ascii="Bradley Hand ITC" w:hAnsi="Bradley Hand ITC"/>
          <w:b/>
          <w:bCs/>
          <w:sz w:val="32"/>
          <w:szCs w:val="32"/>
        </w:rPr>
        <w:t xml:space="preserve"> millet and maize</w:t>
      </w:r>
      <w:r w:rsidR="00487214">
        <w:rPr>
          <w:rFonts w:ascii="Bradley Hand ITC" w:hAnsi="Bradley Hand ITC"/>
          <w:b/>
          <w:bCs/>
          <w:sz w:val="32"/>
          <w:szCs w:val="32"/>
        </w:rPr>
        <w:t>. The need to grow this supplement and the environmental conditions are what prevents them from being entirely nomadic.</w:t>
      </w:r>
      <w:r w:rsidR="00E23783">
        <w:rPr>
          <w:rFonts w:ascii="Bradley Hand ITC" w:hAnsi="Bradley Hand ITC"/>
          <w:b/>
          <w:bCs/>
          <w:sz w:val="32"/>
          <w:szCs w:val="32"/>
        </w:rPr>
        <w:t xml:space="preserve"> However, the harsh conditions of their environment mean they </w:t>
      </w:r>
      <w:r w:rsidR="00B5163B">
        <w:rPr>
          <w:rFonts w:ascii="Bradley Hand ITC" w:hAnsi="Bradley Hand ITC"/>
          <w:b/>
          <w:bCs/>
          <w:sz w:val="32"/>
          <w:szCs w:val="32"/>
        </w:rPr>
        <w:t>must</w:t>
      </w:r>
      <w:r w:rsidR="00E23783">
        <w:rPr>
          <w:rFonts w:ascii="Bradley Hand ITC" w:hAnsi="Bradley Hand ITC"/>
          <w:b/>
          <w:bCs/>
          <w:sz w:val="32"/>
          <w:szCs w:val="32"/>
        </w:rPr>
        <w:t xml:space="preserve"> live a partially nomadic lifestyle </w:t>
      </w:r>
      <w:r w:rsidR="00B5163B">
        <w:rPr>
          <w:rFonts w:ascii="Bradley Hand ITC" w:hAnsi="Bradley Hand ITC"/>
          <w:b/>
          <w:bCs/>
          <w:sz w:val="32"/>
          <w:szCs w:val="32"/>
        </w:rPr>
        <w:t>for</w:t>
      </w:r>
      <w:r w:rsidR="00E23783">
        <w:rPr>
          <w:rFonts w:ascii="Bradley Hand ITC" w:hAnsi="Bradley Hand ITC"/>
          <w:b/>
          <w:bCs/>
          <w:sz w:val="32"/>
          <w:szCs w:val="32"/>
        </w:rPr>
        <w:t xml:space="preserve"> the cattle to survive. The cattle are as dependent on the Nuer as the</w:t>
      </w:r>
      <w:r w:rsidR="00B5163B">
        <w:rPr>
          <w:rFonts w:ascii="Bradley Hand ITC" w:hAnsi="Bradley Hand ITC"/>
          <w:b/>
          <w:bCs/>
          <w:sz w:val="32"/>
          <w:szCs w:val="32"/>
        </w:rPr>
        <w:t xml:space="preserve"> Nuer are on the cattle to survive. The Nuers devotion to their cattle enables the cows to live a comfortable sluggish life. The Nuer will battle with wild beasts to protect the cattle, build fires to keep the cows warm and make ornaments to decorate the cows. The cattle and the Nuer tribe sustain one another’s lives in this intimate symbiotic relationship.</w:t>
      </w:r>
      <w:r w:rsidR="00DD74A9">
        <w:rPr>
          <w:rFonts w:ascii="Bradley Hand ITC" w:hAnsi="Bradley Hand ITC"/>
          <w:b/>
          <w:bCs/>
          <w:sz w:val="32"/>
          <w:szCs w:val="32"/>
        </w:rPr>
        <w:t xml:space="preserve"> This cattle-husbandry can even influence political structure in certain environments.</w:t>
      </w:r>
      <w:r w:rsidR="00B5163B">
        <w:rPr>
          <w:rFonts w:ascii="Bradley Hand ITC" w:hAnsi="Bradley Hand ITC"/>
          <w:b/>
          <w:bCs/>
          <w:sz w:val="32"/>
          <w:szCs w:val="32"/>
        </w:rPr>
        <w:t xml:space="preserve"> </w:t>
      </w:r>
      <w:r w:rsidR="00E23783">
        <w:rPr>
          <w:rFonts w:ascii="Bradley Hand ITC" w:hAnsi="Bradley Hand ITC"/>
          <w:b/>
          <w:bCs/>
          <w:sz w:val="32"/>
          <w:szCs w:val="32"/>
        </w:rPr>
        <w:t xml:space="preserve"> </w:t>
      </w:r>
    </w:p>
    <w:p w14:paraId="21BFF430" w14:textId="33916169" w:rsidR="00DD74A9" w:rsidRDefault="00DD74A9">
      <w:pPr>
        <w:rPr>
          <w:rFonts w:ascii="Bradley Hand ITC" w:hAnsi="Bradley Hand ITC"/>
          <w:b/>
          <w:bCs/>
          <w:sz w:val="32"/>
          <w:szCs w:val="32"/>
        </w:rPr>
      </w:pPr>
      <w:r>
        <w:rPr>
          <w:rFonts w:ascii="Bradley Hand ITC" w:hAnsi="Bradley Hand ITC"/>
          <w:b/>
          <w:bCs/>
          <w:sz w:val="32"/>
          <w:szCs w:val="32"/>
        </w:rPr>
        <w:t xml:space="preserve">The Nuer environment is flat, and woodland is sporadic. During the wet seasons </w:t>
      </w:r>
      <w:r w:rsidR="003851D6">
        <w:rPr>
          <w:rFonts w:ascii="Bradley Hand ITC" w:hAnsi="Bradley Hand ITC"/>
          <w:b/>
          <w:bCs/>
          <w:sz w:val="32"/>
          <w:szCs w:val="32"/>
        </w:rPr>
        <w:t>the flat ground is covered in tall grass</w:t>
      </w:r>
      <w:r w:rsidR="00114CBA">
        <w:rPr>
          <w:rFonts w:ascii="Bradley Hand ITC" w:hAnsi="Bradley Hand ITC"/>
          <w:b/>
          <w:bCs/>
          <w:sz w:val="32"/>
          <w:szCs w:val="32"/>
        </w:rPr>
        <w:t xml:space="preserve"> and the surrounding rivers are flooded. However, during the dry seasons their environment is subject to severe droughts. These extreme conditions within their environment directly influences their social structure, the Nuer are controlled as herdsmen</w:t>
      </w:r>
      <w:r w:rsidR="0015275D">
        <w:rPr>
          <w:rFonts w:ascii="Bradley Hand ITC" w:hAnsi="Bradley Hand ITC"/>
          <w:b/>
          <w:bCs/>
          <w:sz w:val="32"/>
          <w:szCs w:val="32"/>
        </w:rPr>
        <w:t>, fishermen and gardeners. The herd and the physical conditions dictate a certain way of life.</w:t>
      </w:r>
    </w:p>
    <w:p w14:paraId="1E98DBB5" w14:textId="77777777" w:rsidR="00A63309" w:rsidRDefault="0015275D">
      <w:pPr>
        <w:rPr>
          <w:rFonts w:ascii="Bradley Hand ITC" w:hAnsi="Bradley Hand ITC"/>
          <w:b/>
          <w:bCs/>
          <w:sz w:val="32"/>
          <w:szCs w:val="32"/>
        </w:rPr>
      </w:pPr>
      <w:r>
        <w:rPr>
          <w:rFonts w:ascii="Bradley Hand ITC" w:hAnsi="Bradley Hand ITC"/>
          <w:b/>
          <w:bCs/>
          <w:sz w:val="32"/>
          <w:szCs w:val="32"/>
        </w:rPr>
        <w:t>Nowhere in th</w:t>
      </w:r>
      <w:r w:rsidR="00FA0AC9">
        <w:rPr>
          <w:rFonts w:ascii="Bradley Hand ITC" w:hAnsi="Bradley Hand ITC"/>
          <w:b/>
          <w:bCs/>
          <w:sz w:val="32"/>
          <w:szCs w:val="32"/>
        </w:rPr>
        <w:t xml:space="preserve">e Nuers environment allows for complete autonomy or small villages to survive exclusively. Their relationship with their environment forces them to </w:t>
      </w:r>
      <w:r w:rsidR="00100CC9">
        <w:rPr>
          <w:rFonts w:ascii="Bradley Hand ITC" w:hAnsi="Bradley Hand ITC"/>
          <w:b/>
          <w:bCs/>
          <w:sz w:val="32"/>
          <w:szCs w:val="32"/>
        </w:rPr>
        <w:t>avoid antagonism bringing political cohesion with neighbouring tribes.</w:t>
      </w:r>
    </w:p>
    <w:p w14:paraId="0856288D" w14:textId="120DDD76" w:rsidR="00100CC9" w:rsidRDefault="00E36841">
      <w:pPr>
        <w:rPr>
          <w:rFonts w:ascii="Bradley Hand ITC" w:hAnsi="Bradley Hand ITC"/>
          <w:b/>
          <w:bCs/>
          <w:sz w:val="32"/>
          <w:szCs w:val="32"/>
        </w:rPr>
      </w:pPr>
      <w:r>
        <w:rPr>
          <w:rFonts w:ascii="Bradley Hand ITC" w:hAnsi="Bradley Hand ITC"/>
          <w:b/>
          <w:bCs/>
          <w:sz w:val="32"/>
          <w:szCs w:val="32"/>
        </w:rPr>
        <w:t xml:space="preserve"> </w:t>
      </w:r>
      <w:r w:rsidR="00484CE1" w:rsidRPr="00484CE1">
        <w:drawing>
          <wp:inline distT="0" distB="0" distL="0" distR="0" wp14:anchorId="723A14E3" wp14:editId="044DCA1F">
            <wp:extent cx="692079" cy="9740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49219" cy="1195195"/>
                    </a:xfrm>
                    <a:prstGeom prst="rect">
                      <a:avLst/>
                    </a:prstGeom>
                  </pic:spPr>
                </pic:pic>
              </a:graphicData>
            </a:graphic>
          </wp:inline>
        </w:drawing>
      </w:r>
      <w:r w:rsidR="00E770DB" w:rsidRPr="00E770DB">
        <w:drawing>
          <wp:inline distT="0" distB="0" distL="0" distR="0" wp14:anchorId="38F5BF6D" wp14:editId="4D6039AB">
            <wp:extent cx="1576450" cy="1050909"/>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43090" cy="1095333"/>
                    </a:xfrm>
                    <a:prstGeom prst="rect">
                      <a:avLst/>
                    </a:prstGeom>
                  </pic:spPr>
                </pic:pic>
              </a:graphicData>
            </a:graphic>
          </wp:inline>
        </w:drawing>
      </w:r>
      <w:bookmarkStart w:id="0" w:name="_GoBack"/>
      <w:bookmarkEnd w:id="0"/>
    </w:p>
    <w:p w14:paraId="39D82410" w14:textId="77777777" w:rsidR="00E36841" w:rsidRDefault="00E36841">
      <w:pPr>
        <w:rPr>
          <w:rFonts w:ascii="Bradley Hand ITC" w:hAnsi="Bradley Hand ITC"/>
          <w:b/>
          <w:bCs/>
          <w:sz w:val="32"/>
          <w:szCs w:val="32"/>
        </w:rPr>
      </w:pPr>
    </w:p>
    <w:p w14:paraId="7A22BBB0" w14:textId="77777777" w:rsidR="00100CC9" w:rsidRDefault="00100CC9">
      <w:pPr>
        <w:rPr>
          <w:rFonts w:ascii="Bradley Hand ITC" w:hAnsi="Bradley Hand ITC"/>
          <w:b/>
          <w:bCs/>
          <w:sz w:val="32"/>
          <w:szCs w:val="32"/>
        </w:rPr>
      </w:pPr>
    </w:p>
    <w:p w14:paraId="64680F19" w14:textId="77777777" w:rsidR="00484CE1" w:rsidRDefault="00484CE1">
      <w:pPr>
        <w:rPr>
          <w:rFonts w:ascii="Bradley Hand ITC" w:hAnsi="Bradley Hand ITC"/>
          <w:b/>
          <w:bCs/>
          <w:sz w:val="40"/>
          <w:szCs w:val="40"/>
          <w:u w:val="single"/>
        </w:rPr>
      </w:pPr>
    </w:p>
    <w:p w14:paraId="492F3542" w14:textId="78CCD082" w:rsidR="00E36841" w:rsidRDefault="00100CC9">
      <w:pPr>
        <w:rPr>
          <w:rFonts w:ascii="Bradley Hand ITC" w:hAnsi="Bradley Hand ITC"/>
          <w:b/>
          <w:bCs/>
          <w:sz w:val="40"/>
          <w:szCs w:val="40"/>
          <w:u w:val="single"/>
        </w:rPr>
      </w:pPr>
      <w:r w:rsidRPr="00100CC9">
        <w:rPr>
          <w:rFonts w:ascii="Bradley Hand ITC" w:hAnsi="Bradley Hand ITC"/>
          <w:b/>
          <w:bCs/>
          <w:sz w:val="40"/>
          <w:szCs w:val="40"/>
          <w:u w:val="single"/>
        </w:rPr>
        <w:t>The Yanomamo tribe</w:t>
      </w:r>
    </w:p>
    <w:p w14:paraId="33EE2B2A" w14:textId="70F500C9" w:rsidR="00100CC9" w:rsidRDefault="00B17FA5">
      <w:pPr>
        <w:rPr>
          <w:rFonts w:ascii="Bradley Hand ITC" w:hAnsi="Bradley Hand ITC"/>
          <w:b/>
          <w:bCs/>
          <w:sz w:val="40"/>
          <w:szCs w:val="40"/>
          <w:u w:val="single"/>
        </w:rPr>
      </w:pPr>
      <w:r>
        <w:rPr>
          <w:rFonts w:ascii="Bradley Hand ITC" w:hAnsi="Bradley Hand ITC"/>
          <w:b/>
          <w:bCs/>
          <w:noProof/>
          <w:sz w:val="40"/>
          <w:szCs w:val="40"/>
          <w:u w:val="single"/>
        </w:rPr>
        <mc:AlternateContent>
          <mc:Choice Requires="wps">
            <w:drawing>
              <wp:anchor distT="0" distB="0" distL="114300" distR="114300" simplePos="0" relativeHeight="251661312" behindDoc="0" locked="0" layoutInCell="1" allowOverlap="1" wp14:anchorId="787FB900" wp14:editId="4CB2585F">
                <wp:simplePos x="0" y="0"/>
                <wp:positionH relativeFrom="column">
                  <wp:posOffset>3518121</wp:posOffset>
                </wp:positionH>
                <wp:positionV relativeFrom="paragraph">
                  <wp:posOffset>214906</wp:posOffset>
                </wp:positionV>
                <wp:extent cx="1808066" cy="1997738"/>
                <wp:effectExtent l="0" t="0" r="20955" b="21590"/>
                <wp:wrapNone/>
                <wp:docPr id="14" name="Text Box 14"/>
                <wp:cNvGraphicFramePr/>
                <a:graphic xmlns:a="http://schemas.openxmlformats.org/drawingml/2006/main">
                  <a:graphicData uri="http://schemas.microsoft.com/office/word/2010/wordprocessingShape">
                    <wps:wsp>
                      <wps:cNvSpPr txBox="1"/>
                      <wps:spPr>
                        <a:xfrm>
                          <a:off x="0" y="0"/>
                          <a:ext cx="1808066" cy="1997738"/>
                        </a:xfrm>
                        <a:prstGeom prst="rect">
                          <a:avLst/>
                        </a:prstGeom>
                        <a:solidFill>
                          <a:schemeClr val="lt1"/>
                        </a:solidFill>
                        <a:ln w="6350">
                          <a:solidFill>
                            <a:prstClr val="black"/>
                          </a:solidFill>
                        </a:ln>
                      </wps:spPr>
                      <wps:txbx>
                        <w:txbxContent>
                          <w:p w14:paraId="484F643B" w14:textId="72A562C9" w:rsidR="00B17FA5" w:rsidRDefault="00B17FA5">
                            <w:pPr>
                              <w:rPr>
                                <w:rFonts w:ascii="Algerian" w:hAnsi="Algerian"/>
                              </w:rPr>
                            </w:pPr>
                            <w:r>
                              <w:rPr>
                                <w:rFonts w:ascii="Algerian" w:hAnsi="Algerian"/>
                              </w:rPr>
                              <w:t>On the left is an image of a Yanomamo settlement. Camps are set up to coincide with seasonal fruits.</w:t>
                            </w:r>
                          </w:p>
                          <w:p w14:paraId="3269DEEC" w14:textId="43C9BBCC" w:rsidR="00B17FA5" w:rsidRPr="00B17FA5" w:rsidRDefault="00B17FA5">
                            <w:pPr>
                              <w:rPr>
                                <w:rFonts w:ascii="Algerian" w:hAnsi="Algerian"/>
                              </w:rPr>
                            </w:pPr>
                            <w:r>
                              <w:rPr>
                                <w:rFonts w:ascii="Algerian" w:hAnsi="Algerian"/>
                              </w:rPr>
                              <w:t>Below is an image of a Yanomamo father proudly playing with his 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FB900" id="Text Box 14" o:spid="_x0000_s1028" type="#_x0000_t202" style="position:absolute;margin-left:277pt;margin-top:16.9pt;width:142.35pt;height:15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" fillcolor="white [3201]" strokeweight=".5pt">
                <v:textbox>
                  <w:txbxContent>
                    <w:p w14:paraId="484F643B" w14:textId="72A562C9" w:rsidR="00B17FA5" w:rsidRDefault="00B17FA5">
                      <w:pPr>
                        <w:rPr>
                          <w:rFonts w:ascii="Algerian" w:hAnsi="Algerian"/>
                        </w:rPr>
                      </w:pPr>
                      <w:r>
                        <w:rPr>
                          <w:rFonts w:ascii="Algerian" w:hAnsi="Algerian"/>
                        </w:rPr>
                        <w:t>On the left is an image of a Yanomamo settlement. Camps are set up to coincide with seasonal fruits.</w:t>
                      </w:r>
                    </w:p>
                    <w:p w14:paraId="3269DEEC" w14:textId="43C9BBCC" w:rsidR="00B17FA5" w:rsidRPr="00B17FA5" w:rsidRDefault="00B17FA5">
                      <w:pPr>
                        <w:rPr>
                          <w:rFonts w:ascii="Algerian" w:hAnsi="Algerian"/>
                        </w:rPr>
                      </w:pPr>
                      <w:r>
                        <w:rPr>
                          <w:rFonts w:ascii="Algerian" w:hAnsi="Algerian"/>
                        </w:rPr>
                        <w:t>Below is an image of a Yanomamo father proudly playing with his son.</w:t>
                      </w:r>
                    </w:p>
                  </w:txbxContent>
                </v:textbox>
              </v:shape>
            </w:pict>
          </mc:Fallback>
        </mc:AlternateContent>
      </w:r>
      <w:r w:rsidR="00E36841">
        <w:rPr>
          <w:rFonts w:ascii="Bradley Hand ITC" w:hAnsi="Bradley Hand ITC"/>
          <w:b/>
          <w:bCs/>
          <w:noProof/>
          <w:sz w:val="40"/>
          <w:szCs w:val="40"/>
          <w:u w:val="single"/>
        </w:rPr>
        <w:drawing>
          <wp:inline distT="0" distB="0" distL="0" distR="0" wp14:anchorId="700C4FA4" wp14:editId="3531DBAC">
            <wp:extent cx="3279913" cy="2406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16703" cy="2433923"/>
                    </a:xfrm>
                    <a:prstGeom prst="rect">
                      <a:avLst/>
                    </a:prstGeom>
                  </pic:spPr>
                </pic:pic>
              </a:graphicData>
            </a:graphic>
          </wp:inline>
        </w:drawing>
      </w:r>
      <w:r>
        <w:rPr>
          <w:rFonts w:ascii="Bradley Hand ITC" w:hAnsi="Bradley Hand ITC"/>
          <w:b/>
          <w:bCs/>
          <w:sz w:val="40"/>
          <w:szCs w:val="40"/>
          <w:u w:val="single"/>
        </w:rPr>
        <w:t xml:space="preserve"> </w:t>
      </w:r>
      <w:r w:rsidR="00E36841" w:rsidRPr="00E36841">
        <w:drawing>
          <wp:inline distT="0" distB="0" distL="0" distR="0" wp14:anchorId="124DC9D5" wp14:editId="1C9F00FA">
            <wp:extent cx="5416826" cy="32238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34455" cy="3234387"/>
                    </a:xfrm>
                    <a:prstGeom prst="rect">
                      <a:avLst/>
                    </a:prstGeom>
                  </pic:spPr>
                </pic:pic>
              </a:graphicData>
            </a:graphic>
          </wp:inline>
        </w:drawing>
      </w:r>
    </w:p>
    <w:p w14:paraId="4A6F770E" w14:textId="77777777" w:rsidR="0025380A" w:rsidRDefault="00100CC9">
      <w:pPr>
        <w:rPr>
          <w:rFonts w:ascii="Bradley Hand ITC" w:hAnsi="Bradley Hand ITC"/>
          <w:b/>
          <w:bCs/>
          <w:sz w:val="32"/>
          <w:szCs w:val="32"/>
        </w:rPr>
      </w:pPr>
      <w:r w:rsidRPr="004B519B">
        <w:rPr>
          <w:rFonts w:ascii="Bradley Hand ITC" w:hAnsi="Bradley Hand ITC"/>
          <w:b/>
          <w:bCs/>
          <w:sz w:val="32"/>
          <w:szCs w:val="32"/>
        </w:rPr>
        <w:t xml:space="preserve">The Yanomamo </w:t>
      </w:r>
      <w:r w:rsidR="004B519B">
        <w:rPr>
          <w:rFonts w:ascii="Bradley Hand ITC" w:hAnsi="Bradley Hand ITC"/>
          <w:b/>
          <w:bCs/>
          <w:sz w:val="32"/>
          <w:szCs w:val="32"/>
        </w:rPr>
        <w:t xml:space="preserve">are situated on the borders of Venezuela and Brazil. Anthropologists have attempted to observe the Yanomamos conception of their environment but most of their conceptions remain in their minds and cannot be seen by the naked eye via </w:t>
      </w:r>
      <w:r w:rsidR="004B519B">
        <w:rPr>
          <w:rFonts w:ascii="Bradley Hand ITC" w:hAnsi="Bradley Hand ITC"/>
          <w:b/>
          <w:bCs/>
          <w:sz w:val="32"/>
          <w:szCs w:val="32"/>
        </w:rPr>
        <w:lastRenderedPageBreak/>
        <w:t xml:space="preserve">their physical relationship with their environment. Their conceptions are said to fuse with </w:t>
      </w:r>
      <w:r w:rsidR="0025380A">
        <w:rPr>
          <w:rFonts w:ascii="Bradley Hand ITC" w:hAnsi="Bradley Hand ITC"/>
          <w:b/>
          <w:bCs/>
          <w:sz w:val="32"/>
          <w:szCs w:val="32"/>
        </w:rPr>
        <w:t xml:space="preserve">the </w:t>
      </w:r>
      <w:r w:rsidR="004B519B">
        <w:rPr>
          <w:rFonts w:ascii="Bradley Hand ITC" w:hAnsi="Bradley Hand ITC"/>
          <w:b/>
          <w:bCs/>
          <w:sz w:val="32"/>
          <w:szCs w:val="32"/>
        </w:rPr>
        <w:t>spirits</w:t>
      </w:r>
      <w:r w:rsidR="0025380A">
        <w:rPr>
          <w:rFonts w:ascii="Bradley Hand ITC" w:hAnsi="Bradley Hand ITC"/>
          <w:b/>
          <w:bCs/>
          <w:sz w:val="32"/>
          <w:szCs w:val="32"/>
        </w:rPr>
        <w:t>.</w:t>
      </w:r>
    </w:p>
    <w:p w14:paraId="02999F12" w14:textId="073E3A4E" w:rsidR="00F95863" w:rsidRDefault="0025380A">
      <w:pPr>
        <w:rPr>
          <w:rFonts w:ascii="Bradley Hand ITC" w:hAnsi="Bradley Hand ITC"/>
          <w:b/>
          <w:bCs/>
          <w:sz w:val="32"/>
          <w:szCs w:val="32"/>
        </w:rPr>
      </w:pPr>
      <w:r>
        <w:rPr>
          <w:rFonts w:ascii="Bradley Hand ITC" w:hAnsi="Bradley Hand ITC"/>
          <w:b/>
          <w:bCs/>
          <w:sz w:val="32"/>
          <w:szCs w:val="32"/>
        </w:rPr>
        <w:t xml:space="preserve">By adapting to the natural dimensions of their environment they make their living from natural resources available within their environment. Although varieties of plant and animals are plentiful the heavy rainfall </w:t>
      </w:r>
      <w:r w:rsidR="00E36841">
        <w:rPr>
          <w:rFonts w:ascii="Bradley Hand ITC" w:hAnsi="Bradley Hand ITC"/>
          <w:b/>
          <w:bCs/>
          <w:sz w:val="32"/>
          <w:szCs w:val="32"/>
        </w:rPr>
        <w:t>dictates when the Yanomamo have access to them.</w:t>
      </w:r>
      <w:r>
        <w:rPr>
          <w:rFonts w:ascii="Bradley Hand ITC" w:hAnsi="Bradley Hand ITC"/>
          <w:b/>
          <w:bCs/>
          <w:sz w:val="32"/>
          <w:szCs w:val="32"/>
        </w:rPr>
        <w:t xml:space="preserve"> </w:t>
      </w:r>
      <w:r w:rsidR="00F95863">
        <w:rPr>
          <w:rFonts w:ascii="Bradley Hand ITC" w:hAnsi="Bradley Hand ITC"/>
          <w:b/>
          <w:bCs/>
          <w:sz w:val="32"/>
          <w:szCs w:val="32"/>
        </w:rPr>
        <w:t xml:space="preserve">Their environmental limitations </w:t>
      </w:r>
      <w:r w:rsidR="007276AC">
        <w:rPr>
          <w:rFonts w:ascii="Bradley Hand ITC" w:hAnsi="Bradley Hand ITC"/>
          <w:b/>
          <w:bCs/>
          <w:sz w:val="32"/>
          <w:szCs w:val="32"/>
        </w:rPr>
        <w:t>dictate</w:t>
      </w:r>
      <w:r w:rsidR="00F95863">
        <w:rPr>
          <w:rFonts w:ascii="Bradley Hand ITC" w:hAnsi="Bradley Hand ITC"/>
          <w:b/>
          <w:bCs/>
          <w:sz w:val="32"/>
          <w:szCs w:val="32"/>
        </w:rPr>
        <w:t xml:space="preserve"> how their culture evolves. </w:t>
      </w:r>
    </w:p>
    <w:p w14:paraId="794F7B47" w14:textId="51276176" w:rsidR="007276AC" w:rsidRDefault="007276AC">
      <w:pPr>
        <w:rPr>
          <w:rFonts w:ascii="Bradley Hand ITC" w:hAnsi="Bradley Hand ITC"/>
          <w:b/>
          <w:bCs/>
          <w:sz w:val="32"/>
          <w:szCs w:val="32"/>
        </w:rPr>
      </w:pPr>
      <w:r>
        <w:rPr>
          <w:rFonts w:ascii="Bradley Hand ITC" w:hAnsi="Bradley Hand ITC"/>
          <w:b/>
          <w:bCs/>
          <w:sz w:val="32"/>
          <w:szCs w:val="32"/>
        </w:rPr>
        <w:t xml:space="preserve">Their concept </w:t>
      </w:r>
      <w:r w:rsidR="005E28DD">
        <w:rPr>
          <w:rFonts w:ascii="Bradley Hand ITC" w:hAnsi="Bradley Hand ITC"/>
          <w:b/>
          <w:bCs/>
          <w:sz w:val="32"/>
          <w:szCs w:val="32"/>
        </w:rPr>
        <w:t>o</w:t>
      </w:r>
      <w:r>
        <w:rPr>
          <w:rFonts w:ascii="Bradley Hand ITC" w:hAnsi="Bradley Hand ITC"/>
          <w:b/>
          <w:bCs/>
          <w:sz w:val="32"/>
          <w:szCs w:val="32"/>
        </w:rPr>
        <w:t>f their environment is that there are four</w:t>
      </w:r>
      <w:r w:rsidR="00E67C12">
        <w:rPr>
          <w:rFonts w:ascii="Bradley Hand ITC" w:hAnsi="Bradley Hand ITC"/>
          <w:b/>
          <w:bCs/>
          <w:sz w:val="32"/>
          <w:szCs w:val="32"/>
        </w:rPr>
        <w:t xml:space="preserve"> parallel layers</w:t>
      </w:r>
      <w:r>
        <w:rPr>
          <w:rFonts w:ascii="Bradley Hand ITC" w:hAnsi="Bradley Hand ITC"/>
          <w:b/>
          <w:bCs/>
          <w:sz w:val="32"/>
          <w:szCs w:val="32"/>
        </w:rPr>
        <w:t>, Chag</w:t>
      </w:r>
      <w:r w:rsidR="005E28DD">
        <w:rPr>
          <w:rFonts w:ascii="Bradley Hand ITC" w:hAnsi="Bradley Hand ITC"/>
          <w:b/>
          <w:bCs/>
          <w:sz w:val="32"/>
          <w:szCs w:val="32"/>
        </w:rPr>
        <w:t xml:space="preserve">non stated that the Yanomamo would ask him if he had bumped into the </w:t>
      </w:r>
      <w:r w:rsidR="00D06DF3">
        <w:rPr>
          <w:rFonts w:ascii="Bradley Hand ITC" w:hAnsi="Bradley Hand ITC"/>
          <w:b/>
          <w:bCs/>
          <w:sz w:val="32"/>
          <w:szCs w:val="32"/>
        </w:rPr>
        <w:t>third</w:t>
      </w:r>
      <w:r w:rsidR="005E28DD">
        <w:rPr>
          <w:rFonts w:ascii="Bradley Hand ITC" w:hAnsi="Bradley Hand ITC"/>
          <w:b/>
          <w:bCs/>
          <w:sz w:val="32"/>
          <w:szCs w:val="32"/>
        </w:rPr>
        <w:t xml:space="preserve"> layer</w:t>
      </w:r>
      <w:r w:rsidR="00D06DF3">
        <w:rPr>
          <w:rFonts w:ascii="Bradley Hand ITC" w:hAnsi="Bradley Hand ITC"/>
          <w:b/>
          <w:bCs/>
          <w:sz w:val="32"/>
          <w:szCs w:val="32"/>
        </w:rPr>
        <w:t xml:space="preserve"> (Bedu)</w:t>
      </w:r>
      <w:r w:rsidR="005E28DD">
        <w:rPr>
          <w:rFonts w:ascii="Bradley Hand ITC" w:hAnsi="Bradley Hand ITC"/>
          <w:b/>
          <w:bCs/>
          <w:sz w:val="32"/>
          <w:szCs w:val="32"/>
        </w:rPr>
        <w:t xml:space="preserve"> when he flew in an aeroplane.</w:t>
      </w:r>
      <w:r w:rsidR="00E67C12">
        <w:rPr>
          <w:rFonts w:ascii="Bradley Hand ITC" w:hAnsi="Bradley Hand ITC"/>
          <w:b/>
          <w:bCs/>
          <w:sz w:val="32"/>
          <w:szCs w:val="32"/>
        </w:rPr>
        <w:t xml:space="preserve"> Some of the layers are considered weak around the edges like a roof with loose slates and they believe that these weak edges are the regions of greatest opportunity for magic.</w:t>
      </w:r>
    </w:p>
    <w:p w14:paraId="003891FA" w14:textId="393B4A16" w:rsidR="005E28DD" w:rsidRDefault="005E28DD">
      <w:pPr>
        <w:rPr>
          <w:rFonts w:ascii="Bradley Hand ITC" w:hAnsi="Bradley Hand ITC"/>
          <w:b/>
          <w:bCs/>
          <w:sz w:val="32"/>
          <w:szCs w:val="32"/>
        </w:rPr>
      </w:pPr>
      <w:r>
        <w:rPr>
          <w:rFonts w:ascii="Bradley Hand ITC" w:hAnsi="Bradley Hand ITC"/>
          <w:b/>
          <w:bCs/>
          <w:sz w:val="32"/>
          <w:szCs w:val="32"/>
        </w:rPr>
        <w:t xml:space="preserve">The four parallel layers are as follows: </w:t>
      </w:r>
    </w:p>
    <w:p w14:paraId="04311274" w14:textId="115B48B2" w:rsidR="005E28DD" w:rsidRDefault="00E67C12">
      <w:pPr>
        <w:rPr>
          <w:rFonts w:ascii="Bradley Hand ITC" w:hAnsi="Bradley Hand ITC"/>
          <w:b/>
          <w:bCs/>
          <w:sz w:val="32"/>
          <w:szCs w:val="32"/>
        </w:rPr>
      </w:pPr>
      <w:r>
        <w:rPr>
          <w:rFonts w:ascii="Bradley Hand ITC" w:hAnsi="Bradley Hand ITC"/>
          <w:b/>
          <w:bCs/>
          <w:sz w:val="32"/>
          <w:szCs w:val="32"/>
        </w:rPr>
        <w:t xml:space="preserve">1 Duku Ka Misi – </w:t>
      </w:r>
      <w:r w:rsidR="00523D0A">
        <w:rPr>
          <w:rFonts w:ascii="Bradley Hand ITC" w:hAnsi="Bradley Hand ITC"/>
          <w:b/>
          <w:bCs/>
          <w:sz w:val="32"/>
          <w:szCs w:val="32"/>
        </w:rPr>
        <w:t>T</w:t>
      </w:r>
      <w:r>
        <w:rPr>
          <w:rFonts w:ascii="Bradley Hand ITC" w:hAnsi="Bradley Hand ITC"/>
          <w:b/>
          <w:bCs/>
          <w:sz w:val="32"/>
          <w:szCs w:val="32"/>
        </w:rPr>
        <w:t>he tender layer</w:t>
      </w:r>
      <w:r w:rsidR="00523D0A">
        <w:rPr>
          <w:rFonts w:ascii="Bradley Hand ITC" w:hAnsi="Bradley Hand ITC"/>
          <w:b/>
          <w:bCs/>
          <w:sz w:val="32"/>
          <w:szCs w:val="32"/>
        </w:rPr>
        <w:t>. Things are said to be broken in this layer as things move downwards in the Yanomamo cosmos.</w:t>
      </w:r>
    </w:p>
    <w:p w14:paraId="158B5A91" w14:textId="1770A064" w:rsidR="00E67C12" w:rsidRDefault="00E67C12">
      <w:pPr>
        <w:rPr>
          <w:rFonts w:ascii="Bradley Hand ITC" w:hAnsi="Bradley Hand ITC"/>
          <w:b/>
          <w:bCs/>
          <w:sz w:val="32"/>
          <w:szCs w:val="32"/>
        </w:rPr>
      </w:pPr>
      <w:r>
        <w:rPr>
          <w:rFonts w:ascii="Bradley Hand ITC" w:hAnsi="Bradley Hand ITC"/>
          <w:b/>
          <w:bCs/>
          <w:sz w:val="32"/>
          <w:szCs w:val="32"/>
        </w:rPr>
        <w:t xml:space="preserve">2 </w:t>
      </w:r>
      <w:r w:rsidR="00523D0A">
        <w:rPr>
          <w:rFonts w:ascii="Bradley Hand ITC" w:hAnsi="Bradley Hand ITC"/>
          <w:b/>
          <w:bCs/>
          <w:sz w:val="32"/>
          <w:szCs w:val="32"/>
        </w:rPr>
        <w:t xml:space="preserve">Bedu Ka Misi – The spiritual layer. This is like a mirror image of the material world of the mortals but </w:t>
      </w:r>
      <w:r w:rsidR="00D06DF3">
        <w:rPr>
          <w:rFonts w:ascii="Bradley Hand ITC" w:hAnsi="Bradley Hand ITC"/>
          <w:b/>
          <w:bCs/>
          <w:sz w:val="32"/>
          <w:szCs w:val="32"/>
        </w:rPr>
        <w:t>is the home of the Yanomamo ancestors. It is also regarded as the upper layer of the Bedu and in the sky.</w:t>
      </w:r>
    </w:p>
    <w:p w14:paraId="53AEE98C" w14:textId="367BCAEA" w:rsidR="00D06DF3" w:rsidRDefault="00D06DF3">
      <w:pPr>
        <w:rPr>
          <w:rFonts w:ascii="Bradley Hand ITC" w:hAnsi="Bradley Hand ITC"/>
          <w:b/>
          <w:bCs/>
          <w:sz w:val="32"/>
          <w:szCs w:val="32"/>
        </w:rPr>
      </w:pPr>
      <w:r>
        <w:rPr>
          <w:rFonts w:ascii="Bradley Hand ITC" w:hAnsi="Bradley Hand ITC"/>
          <w:b/>
          <w:bCs/>
          <w:sz w:val="32"/>
          <w:szCs w:val="32"/>
        </w:rPr>
        <w:t>3 Bedu – This is the visible sky and some Yanomamo believe the stars are fish stuck in the sky. It is considered close to earth.</w:t>
      </w:r>
    </w:p>
    <w:p w14:paraId="2573D001" w14:textId="0A0AF88D" w:rsidR="004A1ED6" w:rsidRDefault="00D06DF3">
      <w:pPr>
        <w:rPr>
          <w:rFonts w:ascii="Bradley Hand ITC" w:hAnsi="Bradley Hand ITC"/>
          <w:b/>
          <w:bCs/>
          <w:sz w:val="32"/>
          <w:szCs w:val="32"/>
        </w:rPr>
      </w:pPr>
      <w:r>
        <w:rPr>
          <w:rFonts w:ascii="Bradley Hand ITC" w:hAnsi="Bradley Hand ITC"/>
          <w:b/>
          <w:bCs/>
          <w:sz w:val="32"/>
          <w:szCs w:val="32"/>
        </w:rPr>
        <w:t xml:space="preserve">4 Hei Ka Misi – The fourth layer is where man resides. The Yanomamo </w:t>
      </w:r>
      <w:r w:rsidR="004A1ED6">
        <w:rPr>
          <w:rFonts w:ascii="Bradley Hand ITC" w:hAnsi="Bradley Hand ITC"/>
          <w:b/>
          <w:bCs/>
          <w:sz w:val="32"/>
          <w:szCs w:val="32"/>
        </w:rPr>
        <w:t xml:space="preserve">believe the entire human race is Yanomamo and foreigners are degenerate versions of the Yanomamo. </w:t>
      </w:r>
    </w:p>
    <w:p w14:paraId="30D7882A" w14:textId="7A19BC1C" w:rsidR="007276AC" w:rsidRDefault="004A1ED6">
      <w:pPr>
        <w:rPr>
          <w:rFonts w:ascii="Bradley Hand ITC" w:hAnsi="Bradley Hand ITC"/>
          <w:b/>
          <w:bCs/>
          <w:sz w:val="32"/>
          <w:szCs w:val="32"/>
        </w:rPr>
      </w:pPr>
      <w:r>
        <w:rPr>
          <w:noProof/>
        </w:rPr>
        <w:lastRenderedPageBreak/>
        <mc:AlternateContent>
          <mc:Choice Requires="wps">
            <w:drawing>
              <wp:anchor distT="0" distB="0" distL="114300" distR="114300" simplePos="0" relativeHeight="251662336" behindDoc="0" locked="0" layoutInCell="1" allowOverlap="1" wp14:anchorId="72A4D21E" wp14:editId="08031A6F">
                <wp:simplePos x="0" y="0"/>
                <wp:positionH relativeFrom="column">
                  <wp:posOffset>4949687</wp:posOffset>
                </wp:positionH>
                <wp:positionV relativeFrom="paragraph">
                  <wp:posOffset>328875</wp:posOffset>
                </wp:positionV>
                <wp:extent cx="1282148" cy="1211994"/>
                <wp:effectExtent l="0" t="0" r="13335" b="26670"/>
                <wp:wrapNone/>
                <wp:docPr id="18" name="Text Box 18"/>
                <wp:cNvGraphicFramePr/>
                <a:graphic xmlns:a="http://schemas.openxmlformats.org/drawingml/2006/main">
                  <a:graphicData uri="http://schemas.microsoft.com/office/word/2010/wordprocessingShape">
                    <wps:wsp>
                      <wps:cNvSpPr txBox="1"/>
                      <wps:spPr>
                        <a:xfrm>
                          <a:off x="0" y="0"/>
                          <a:ext cx="1282148" cy="1211994"/>
                        </a:xfrm>
                        <a:prstGeom prst="rect">
                          <a:avLst/>
                        </a:prstGeom>
                        <a:solidFill>
                          <a:schemeClr val="lt1"/>
                        </a:solidFill>
                        <a:ln w="6350">
                          <a:solidFill>
                            <a:prstClr val="black"/>
                          </a:solidFill>
                        </a:ln>
                      </wps:spPr>
                      <wps:txbx>
                        <w:txbxContent>
                          <w:p w14:paraId="4A1EAB11" w14:textId="06FB799A" w:rsidR="004A1ED6" w:rsidRPr="004A1ED6" w:rsidRDefault="004A1ED6">
                            <w:pPr>
                              <w:rPr>
                                <w:rFonts w:ascii="Algerian" w:hAnsi="Algerian"/>
                              </w:rPr>
                            </w:pPr>
                            <w:r>
                              <w:rPr>
                                <w:rFonts w:ascii="Algerian" w:hAnsi="Algerian"/>
                              </w:rPr>
                              <w:t>Left are images of men children and women of the Yanomamo.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4D21E" id="Text Box 18" o:spid="_x0000_s1029" type="#_x0000_t202" style="position:absolute;margin-left:389.75pt;margin-top:25.9pt;width:100.95pt;height:95.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" fillcolor="white [3201]" strokeweight=".5pt">
                <v:textbox>
                  <w:txbxContent>
                    <w:p w14:paraId="4A1EAB11" w14:textId="06FB799A" w:rsidR="004A1ED6" w:rsidRPr="004A1ED6" w:rsidRDefault="004A1ED6">
                      <w:pPr>
                        <w:rPr>
                          <w:rFonts w:ascii="Algerian" w:hAnsi="Algerian"/>
                        </w:rPr>
                      </w:pPr>
                      <w:r>
                        <w:rPr>
                          <w:rFonts w:ascii="Algerian" w:hAnsi="Algerian"/>
                        </w:rPr>
                        <w:t>Left are images of men children and women of the Yanomamo.</w:t>
                      </w:r>
                    </w:p>
                  </w:txbxContent>
                </v:textbox>
              </v:shape>
            </w:pict>
          </mc:Fallback>
        </mc:AlternateContent>
      </w:r>
      <w:r w:rsidRPr="004A1ED6">
        <w:drawing>
          <wp:inline distT="0" distB="0" distL="0" distR="0" wp14:anchorId="433F73B0" wp14:editId="4161E8A4">
            <wp:extent cx="1772355" cy="1192696"/>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94785" cy="1275084"/>
                    </a:xfrm>
                    <a:prstGeom prst="rect">
                      <a:avLst/>
                    </a:prstGeom>
                  </pic:spPr>
                </pic:pic>
              </a:graphicData>
            </a:graphic>
          </wp:inline>
        </w:drawing>
      </w:r>
      <w:r w:rsidRPr="004A1ED6">
        <w:drawing>
          <wp:inline distT="0" distB="0" distL="0" distR="0" wp14:anchorId="37713C9F" wp14:editId="4B8959E7">
            <wp:extent cx="1311965" cy="15601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460532" cy="1736872"/>
                    </a:xfrm>
                    <a:prstGeom prst="rect">
                      <a:avLst/>
                    </a:prstGeom>
                  </pic:spPr>
                </pic:pic>
              </a:graphicData>
            </a:graphic>
          </wp:inline>
        </w:drawing>
      </w:r>
      <w:r w:rsidRPr="004A1ED6">
        <w:drawing>
          <wp:inline distT="0" distB="0" distL="0" distR="0" wp14:anchorId="5657BC8A" wp14:editId="1B3F8AC9">
            <wp:extent cx="1739347" cy="13045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12999" cy="1359749"/>
                    </a:xfrm>
                    <a:prstGeom prst="rect">
                      <a:avLst/>
                    </a:prstGeom>
                  </pic:spPr>
                </pic:pic>
              </a:graphicData>
            </a:graphic>
          </wp:inline>
        </w:drawing>
      </w:r>
    </w:p>
    <w:p w14:paraId="48526952" w14:textId="6122E336" w:rsidR="004A1ED6" w:rsidRDefault="004A1ED6">
      <w:pPr>
        <w:rPr>
          <w:rFonts w:ascii="Bradley Hand ITC" w:hAnsi="Bradley Hand ITC"/>
          <w:b/>
          <w:bCs/>
          <w:sz w:val="40"/>
          <w:szCs w:val="40"/>
          <w:u w:val="single"/>
        </w:rPr>
      </w:pPr>
      <w:r w:rsidRPr="004A1ED6">
        <w:rPr>
          <w:rFonts w:ascii="Bradley Hand ITC" w:hAnsi="Bradley Hand ITC"/>
          <w:b/>
          <w:bCs/>
          <w:sz w:val="40"/>
          <w:szCs w:val="40"/>
          <w:u w:val="single"/>
        </w:rPr>
        <w:t>Conclusion</w:t>
      </w:r>
      <w:r>
        <w:rPr>
          <w:rFonts w:ascii="Bradley Hand ITC" w:hAnsi="Bradley Hand ITC"/>
          <w:b/>
          <w:bCs/>
          <w:sz w:val="40"/>
          <w:szCs w:val="40"/>
          <w:u w:val="single"/>
        </w:rPr>
        <w:t>.</w:t>
      </w:r>
    </w:p>
    <w:p w14:paraId="3F03AFD5" w14:textId="2D3815DD" w:rsidR="002673B6" w:rsidRDefault="002673B6">
      <w:pPr>
        <w:rPr>
          <w:rFonts w:ascii="Bradley Hand ITC" w:hAnsi="Bradley Hand ITC"/>
          <w:b/>
          <w:bCs/>
          <w:sz w:val="32"/>
          <w:szCs w:val="32"/>
        </w:rPr>
      </w:pPr>
      <w:r w:rsidRPr="002673B6">
        <w:rPr>
          <w:rFonts w:ascii="Bradley Hand ITC" w:hAnsi="Bradley Hand ITC"/>
          <w:b/>
          <w:bCs/>
          <w:sz w:val="32"/>
          <w:szCs w:val="32"/>
        </w:rPr>
        <w:t xml:space="preserve">The Nuer </w:t>
      </w:r>
      <w:r>
        <w:rPr>
          <w:rFonts w:ascii="Bradley Hand ITC" w:hAnsi="Bradley Hand ITC"/>
          <w:b/>
          <w:bCs/>
          <w:sz w:val="32"/>
          <w:szCs w:val="32"/>
        </w:rPr>
        <w:t xml:space="preserve">relate only to the environment they can see. The material world contains everything. The Yanomamo may not have a sophisticated dictionary, but their conceptions are far more sophisticated and extend beyond the material world and into the spiritual world. </w:t>
      </w:r>
    </w:p>
    <w:p w14:paraId="127367C9" w14:textId="449CD07A" w:rsidR="002673B6" w:rsidRPr="002673B6" w:rsidRDefault="002673B6">
      <w:pPr>
        <w:rPr>
          <w:rFonts w:ascii="Bradley Hand ITC" w:hAnsi="Bradley Hand ITC"/>
          <w:b/>
          <w:bCs/>
          <w:sz w:val="32"/>
          <w:szCs w:val="32"/>
        </w:rPr>
      </w:pPr>
      <w:r>
        <w:rPr>
          <w:rFonts w:ascii="Bradley Hand ITC" w:hAnsi="Bradley Hand ITC"/>
          <w:b/>
          <w:bCs/>
          <w:sz w:val="32"/>
          <w:szCs w:val="32"/>
        </w:rPr>
        <w:t xml:space="preserve">. </w:t>
      </w:r>
      <w:r w:rsidR="00F23A78">
        <w:rPr>
          <w:rFonts w:ascii="Bradley Hand ITC" w:hAnsi="Bradley Hand ITC"/>
          <w:b/>
          <w:bCs/>
          <w:sz w:val="32"/>
          <w:szCs w:val="32"/>
        </w:rPr>
        <w:t>The Yanomamo</w:t>
      </w:r>
      <w:r>
        <w:rPr>
          <w:rFonts w:ascii="Bradley Hand ITC" w:hAnsi="Bradley Hand ITC"/>
          <w:b/>
          <w:bCs/>
          <w:sz w:val="32"/>
          <w:szCs w:val="32"/>
        </w:rPr>
        <w:t xml:space="preserve"> way of life are dictated by culture or ‘truths</w:t>
      </w:r>
      <w:r w:rsidR="00F23A78">
        <w:rPr>
          <w:rFonts w:ascii="Bradley Hand ITC" w:hAnsi="Bradley Hand ITC"/>
          <w:b/>
          <w:bCs/>
          <w:sz w:val="32"/>
          <w:szCs w:val="32"/>
        </w:rPr>
        <w:t>’</w:t>
      </w:r>
      <w:r>
        <w:rPr>
          <w:rFonts w:ascii="Bradley Hand ITC" w:hAnsi="Bradley Hand ITC"/>
          <w:b/>
          <w:bCs/>
          <w:sz w:val="32"/>
          <w:szCs w:val="32"/>
        </w:rPr>
        <w:t xml:space="preserve"> passed </w:t>
      </w:r>
      <w:r w:rsidR="00F23A78">
        <w:rPr>
          <w:rFonts w:ascii="Bradley Hand ITC" w:hAnsi="Bradley Hand ITC"/>
          <w:b/>
          <w:bCs/>
          <w:sz w:val="32"/>
          <w:szCs w:val="32"/>
        </w:rPr>
        <w:t xml:space="preserve">down from generation to generation. Even when the upper layers become empty, they are retained within the fabric of their cultural history and used as ‘weak layers’ ripe for magic. The Nuers conception of the </w:t>
      </w:r>
      <w:r w:rsidR="00A306EA">
        <w:rPr>
          <w:rFonts w:ascii="Bradley Hand ITC" w:hAnsi="Bradley Hand ITC"/>
          <w:b/>
          <w:bCs/>
          <w:sz w:val="32"/>
          <w:szCs w:val="32"/>
        </w:rPr>
        <w:t>environment,</w:t>
      </w:r>
      <w:r w:rsidR="00F23A78">
        <w:rPr>
          <w:rFonts w:ascii="Bradley Hand ITC" w:hAnsi="Bradley Hand ITC"/>
          <w:b/>
          <w:bCs/>
          <w:sz w:val="32"/>
          <w:szCs w:val="32"/>
        </w:rPr>
        <w:t xml:space="preserve"> however, directly relate </w:t>
      </w:r>
      <w:r w:rsidR="00A306EA">
        <w:rPr>
          <w:rFonts w:ascii="Bradley Hand ITC" w:hAnsi="Bradley Hand ITC"/>
          <w:b/>
          <w:bCs/>
          <w:sz w:val="32"/>
          <w:szCs w:val="32"/>
        </w:rPr>
        <w:t>to all they can see, there are no hidden layers.</w:t>
      </w:r>
    </w:p>
    <w:p w14:paraId="655559C0" w14:textId="67B370DC" w:rsidR="004A1ED6" w:rsidRDefault="00A306EA">
      <w:pPr>
        <w:rPr>
          <w:rFonts w:ascii="Bradley Hand ITC" w:hAnsi="Bradley Hand ITC"/>
          <w:b/>
          <w:bCs/>
          <w:sz w:val="32"/>
          <w:szCs w:val="32"/>
        </w:rPr>
      </w:pPr>
      <w:r>
        <w:rPr>
          <w:rFonts w:ascii="Bradley Hand ITC" w:hAnsi="Bradley Hand ITC"/>
          <w:b/>
          <w:bCs/>
          <w:sz w:val="32"/>
          <w:szCs w:val="32"/>
        </w:rPr>
        <w:t>Therefore, I conclude that the ways in which each tribe conceives the environment to be entirely contrasting despite living similar lives according to the seasons</w:t>
      </w:r>
      <w:r>
        <w:rPr>
          <w:rFonts w:ascii="Bradley Hand ITC" w:hAnsi="Bradley Hand ITC"/>
          <w:b/>
          <w:bCs/>
          <w:sz w:val="32"/>
          <w:szCs w:val="32"/>
        </w:rPr>
        <w:t>.</w:t>
      </w:r>
    </w:p>
    <w:p w14:paraId="69FD95D7" w14:textId="406A44DA" w:rsidR="00A306EA" w:rsidRDefault="00A306EA">
      <w:pPr>
        <w:rPr>
          <w:rFonts w:ascii="Bradley Hand ITC" w:hAnsi="Bradley Hand ITC"/>
          <w:b/>
          <w:bCs/>
          <w:sz w:val="32"/>
          <w:szCs w:val="32"/>
        </w:rPr>
      </w:pPr>
    </w:p>
    <w:p w14:paraId="47E040AD" w14:textId="0F2D2889" w:rsidR="00A306EA" w:rsidRDefault="00A306EA">
      <w:pPr>
        <w:rPr>
          <w:rFonts w:ascii="Bradley Hand ITC" w:hAnsi="Bradley Hand ITC"/>
          <w:b/>
          <w:bCs/>
          <w:sz w:val="32"/>
          <w:szCs w:val="32"/>
        </w:rPr>
      </w:pPr>
      <w:r>
        <w:rPr>
          <w:rFonts w:ascii="Bradley Hand ITC" w:hAnsi="Bradley Hand ITC"/>
          <w:b/>
          <w:bCs/>
          <w:sz w:val="32"/>
          <w:szCs w:val="32"/>
        </w:rPr>
        <w:t>REFERENCES:</w:t>
      </w:r>
    </w:p>
    <w:p w14:paraId="5278C1E5" w14:textId="69B2E173" w:rsidR="00A306EA" w:rsidRPr="008D27BA" w:rsidRDefault="008D7171">
      <w:pPr>
        <w:rPr>
          <w:rFonts w:ascii="Bradley Hand ITC" w:hAnsi="Bradley Hand ITC"/>
          <w:sz w:val="40"/>
          <w:szCs w:val="40"/>
          <w:u w:val="single"/>
        </w:rPr>
      </w:pPr>
      <w:r w:rsidRPr="008D27BA">
        <w:rPr>
          <w:rFonts w:ascii="Bradley Hand ITC" w:hAnsi="Bradley Hand ITC"/>
          <w:b/>
          <w:bCs/>
          <w:sz w:val="40"/>
          <w:szCs w:val="40"/>
        </w:rPr>
        <w:t>Chagnon, N.</w:t>
      </w:r>
      <w:r w:rsidRPr="008D7171">
        <w:rPr>
          <w:rFonts w:ascii="Bradley Hand ITC" w:hAnsi="Bradley Hand ITC"/>
          <w:b/>
          <w:bCs/>
          <w:sz w:val="40"/>
          <w:szCs w:val="40"/>
        </w:rPr>
        <w:t xml:space="preserve"> (1968). </w:t>
      </w:r>
      <w:r w:rsidRPr="008D27BA">
        <w:rPr>
          <w:rFonts w:ascii="Bradley Hand ITC" w:hAnsi="Bradley Hand ITC"/>
          <w:b/>
          <w:bCs/>
          <w:i/>
          <w:iCs/>
          <w:sz w:val="40"/>
          <w:szCs w:val="40"/>
        </w:rPr>
        <w:t>Ya</w:t>
      </w:r>
      <w:r w:rsidRPr="008D27BA">
        <w:rPr>
          <w:rFonts w:ascii="Bradley Hand ITC" w:hAnsi="Bradley Hand ITC"/>
          <w:b/>
          <w:bCs/>
          <w:i/>
          <w:iCs/>
          <w:sz w:val="40"/>
          <w:szCs w:val="40"/>
        </w:rPr>
        <w:t>n</w:t>
      </w:r>
      <w:r w:rsidRPr="008D27BA">
        <w:rPr>
          <w:rFonts w:ascii="Bradley Hand ITC" w:hAnsi="Bradley Hand ITC"/>
          <w:b/>
          <w:bCs/>
          <w:i/>
          <w:iCs/>
          <w:sz w:val="40"/>
          <w:szCs w:val="40"/>
        </w:rPr>
        <w:t>omamo</w:t>
      </w:r>
      <w:r w:rsidRPr="008D27BA">
        <w:rPr>
          <w:rFonts w:ascii="Times New Roman" w:hAnsi="Times New Roman" w:cs="Times New Roman"/>
          <w:b/>
          <w:bCs/>
          <w:i/>
          <w:iCs/>
          <w:sz w:val="40"/>
          <w:szCs w:val="40"/>
        </w:rPr>
        <w:t>̈</w:t>
      </w:r>
      <w:r w:rsidRPr="008D27BA">
        <w:rPr>
          <w:rFonts w:ascii="Bradley Hand ITC" w:hAnsi="Bradley Hand ITC"/>
          <w:b/>
          <w:bCs/>
          <w:i/>
          <w:iCs/>
          <w:sz w:val="40"/>
          <w:szCs w:val="40"/>
        </w:rPr>
        <w:t>, the fierce people.</w:t>
      </w:r>
      <w:r w:rsidRPr="008D7171">
        <w:rPr>
          <w:rFonts w:ascii="Bradley Hand ITC" w:hAnsi="Bradley Hand ITC"/>
          <w:b/>
          <w:bCs/>
          <w:sz w:val="40"/>
          <w:szCs w:val="40"/>
        </w:rPr>
        <w:t xml:space="preserve"> </w:t>
      </w:r>
      <w:r w:rsidRPr="008D27BA">
        <w:rPr>
          <w:rFonts w:ascii="Bradley Hand ITC" w:hAnsi="Bradley Hand ITC"/>
          <w:sz w:val="40"/>
          <w:szCs w:val="40"/>
        </w:rPr>
        <w:t>New York: Holt, Rinehart and Winston</w:t>
      </w:r>
      <w:r w:rsidRPr="008D27BA">
        <w:rPr>
          <w:rFonts w:ascii="Bradley Hand ITC" w:hAnsi="Bradley Hand ITC"/>
          <w:sz w:val="40"/>
          <w:szCs w:val="40"/>
          <w:u w:val="single"/>
        </w:rPr>
        <w:t>.</w:t>
      </w:r>
    </w:p>
    <w:p w14:paraId="23068C4D" w14:textId="77777777" w:rsidR="008D27BA" w:rsidRDefault="008D7171">
      <w:pPr>
        <w:rPr>
          <w:rFonts w:ascii="Bradley Hand ITC" w:hAnsi="Bradley Hand ITC"/>
          <w:b/>
          <w:bCs/>
          <w:i/>
          <w:iCs/>
          <w:sz w:val="40"/>
          <w:szCs w:val="40"/>
        </w:rPr>
      </w:pPr>
      <w:r w:rsidRPr="008D7171">
        <w:rPr>
          <w:rFonts w:ascii="Bradley Hand ITC" w:hAnsi="Bradley Hand ITC"/>
          <w:b/>
          <w:bCs/>
          <w:sz w:val="40"/>
          <w:szCs w:val="40"/>
        </w:rPr>
        <w:t>Evans – Pritchard, E</w:t>
      </w:r>
      <w:r>
        <w:rPr>
          <w:rFonts w:ascii="Bradley Hand ITC" w:hAnsi="Bradley Hand ITC"/>
          <w:b/>
          <w:bCs/>
          <w:sz w:val="40"/>
          <w:szCs w:val="40"/>
        </w:rPr>
        <w:t>.</w:t>
      </w:r>
      <w:r w:rsidRPr="008D7171">
        <w:rPr>
          <w:rFonts w:ascii="Bradley Hand ITC" w:hAnsi="Bradley Hand ITC"/>
          <w:b/>
          <w:bCs/>
          <w:sz w:val="40"/>
          <w:szCs w:val="40"/>
        </w:rPr>
        <w:t>E</w:t>
      </w:r>
      <w:r>
        <w:rPr>
          <w:rFonts w:ascii="Bradley Hand ITC" w:hAnsi="Bradley Hand ITC"/>
          <w:b/>
          <w:bCs/>
          <w:sz w:val="40"/>
          <w:szCs w:val="40"/>
        </w:rPr>
        <w:t xml:space="preserve">. (1940). </w:t>
      </w:r>
      <w:r w:rsidR="008D27BA">
        <w:rPr>
          <w:rFonts w:ascii="Bradley Hand ITC" w:hAnsi="Bradley Hand ITC"/>
          <w:b/>
          <w:bCs/>
          <w:i/>
          <w:iCs/>
          <w:sz w:val="40"/>
          <w:szCs w:val="40"/>
        </w:rPr>
        <w:t>The Nuer</w:t>
      </w:r>
    </w:p>
    <w:p w14:paraId="0E7FDF48" w14:textId="446CF52D" w:rsidR="008D7171" w:rsidRPr="008D27BA" w:rsidRDefault="008D27BA">
      <w:pPr>
        <w:rPr>
          <w:rFonts w:ascii="Bradley Hand ITC" w:hAnsi="Bradley Hand ITC"/>
          <w:b/>
          <w:bCs/>
          <w:i/>
          <w:iCs/>
          <w:sz w:val="40"/>
          <w:szCs w:val="40"/>
        </w:rPr>
      </w:pPr>
      <w:r w:rsidRPr="008D27BA">
        <w:rPr>
          <w:rFonts w:ascii="Bradley Hand ITC" w:hAnsi="Bradley Hand ITC"/>
          <w:i/>
          <w:iCs/>
          <w:sz w:val="40"/>
          <w:szCs w:val="40"/>
        </w:rPr>
        <w:t xml:space="preserve"> </w:t>
      </w:r>
      <w:r w:rsidRPr="008D27BA">
        <w:rPr>
          <w:rFonts w:ascii="Bradley Hand ITC" w:hAnsi="Bradley Hand ITC"/>
          <w:sz w:val="40"/>
          <w:szCs w:val="40"/>
        </w:rPr>
        <w:t>Clarendon press, Oxford.</w:t>
      </w:r>
    </w:p>
    <w:sectPr w:rsidR="008D7171" w:rsidRPr="008D2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EF7"/>
    <w:rsid w:val="00100CC9"/>
    <w:rsid w:val="00114CBA"/>
    <w:rsid w:val="0012161F"/>
    <w:rsid w:val="0015275D"/>
    <w:rsid w:val="002044F2"/>
    <w:rsid w:val="0025380A"/>
    <w:rsid w:val="002673B6"/>
    <w:rsid w:val="003851D6"/>
    <w:rsid w:val="00430583"/>
    <w:rsid w:val="00484CE1"/>
    <w:rsid w:val="00487214"/>
    <w:rsid w:val="004A1ED6"/>
    <w:rsid w:val="004B519B"/>
    <w:rsid w:val="00523D0A"/>
    <w:rsid w:val="00577F69"/>
    <w:rsid w:val="005E28DD"/>
    <w:rsid w:val="007276AC"/>
    <w:rsid w:val="007F00C6"/>
    <w:rsid w:val="008A0EF7"/>
    <w:rsid w:val="008C219A"/>
    <w:rsid w:val="008D27BA"/>
    <w:rsid w:val="008D7171"/>
    <w:rsid w:val="009019FB"/>
    <w:rsid w:val="00936163"/>
    <w:rsid w:val="00990C13"/>
    <w:rsid w:val="00A306EA"/>
    <w:rsid w:val="00A63309"/>
    <w:rsid w:val="00B17FA5"/>
    <w:rsid w:val="00B5163B"/>
    <w:rsid w:val="00B80D1D"/>
    <w:rsid w:val="00BE6EE6"/>
    <w:rsid w:val="00C621FD"/>
    <w:rsid w:val="00D06DF3"/>
    <w:rsid w:val="00DD74A9"/>
    <w:rsid w:val="00E23783"/>
    <w:rsid w:val="00E36841"/>
    <w:rsid w:val="00E67C12"/>
    <w:rsid w:val="00E770DB"/>
    <w:rsid w:val="00F02DD2"/>
    <w:rsid w:val="00F23A78"/>
    <w:rsid w:val="00F61E64"/>
    <w:rsid w:val="00F95863"/>
    <w:rsid w:val="00FA0AC9"/>
    <w:rsid w:val="00FF6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ED8E5"/>
  <w15:chartTrackingRefBased/>
  <w15:docId w15:val="{C2809DD7-9DF3-4668-AEDC-B74BDD8FB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21FD"/>
    <w:rPr>
      <w:color w:val="0563C1" w:themeColor="hyperlink"/>
      <w:u w:val="single"/>
    </w:rPr>
  </w:style>
  <w:style w:type="character" w:styleId="UnresolvedMention">
    <w:name w:val="Unresolved Mention"/>
    <w:basedOn w:val="DefaultParagraphFont"/>
    <w:uiPriority w:val="99"/>
    <w:semiHidden/>
    <w:unhideWhenUsed/>
    <w:rsid w:val="00C62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ocks-studio.com/2016/11/16/communal-living-around-a-void-the-shabonos-dwellings-of-the-yanomami-tribe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hyperlink" Target="http://commons.wikimedia.org/wiki/File:Yanomami_Woman_%26_Child.jpg" TargetMode="External"/><Relationship Id="rId11" Type="http://schemas.openxmlformats.org/officeDocument/2006/relationships/image" Target="media/image7.jpg"/><Relationship Id="rId5" Type="http://schemas.openxmlformats.org/officeDocument/2006/relationships/image" Target="media/image2.jpeg"/><Relationship Id="rId15" Type="http://schemas.openxmlformats.org/officeDocument/2006/relationships/image" Target="media/image10.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6</Pages>
  <Words>858</Words>
  <Characters>4894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5</cp:revision>
  <dcterms:created xsi:type="dcterms:W3CDTF">2019-11-10T08:26:00Z</dcterms:created>
  <dcterms:modified xsi:type="dcterms:W3CDTF">2019-11-11T01:50:00Z</dcterms:modified>
</cp:coreProperties>
</file>