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5EE164" w14:textId="77777777" w:rsidR="00997CDB" w:rsidRDefault="00997CDB" w:rsidP="00362785">
      <w:pPr>
        <w:jc w:val="center"/>
        <w:rPr>
          <w:rStyle w:val="Strong"/>
          <w:rFonts w:ascii="Segoe UI" w:hAnsi="Segoe UI" w:cs="Segoe UI"/>
          <w:color w:val="404040"/>
          <w:shd w:val="clear" w:color="auto" w:fill="FFFFFF"/>
        </w:rPr>
      </w:pPr>
    </w:p>
    <w:p w14:paraId="1270258B" w14:textId="0D81F388" w:rsidR="00997CDB" w:rsidRPr="00997CDB" w:rsidRDefault="00997CDB" w:rsidP="00362785">
      <w:pPr>
        <w:jc w:val="center"/>
        <w:rPr>
          <w:rStyle w:val="Strong"/>
          <w:rFonts w:ascii="Times New Roman" w:hAnsi="Times New Roman" w:cs="Times New Roman"/>
          <w:color w:val="404040"/>
          <w:sz w:val="40"/>
          <w:szCs w:val="40"/>
          <w:shd w:val="clear" w:color="auto" w:fill="FFFFFF"/>
        </w:rPr>
      </w:pPr>
      <w:r w:rsidRPr="00997CDB">
        <w:rPr>
          <w:rStyle w:val="Strong"/>
          <w:rFonts w:ascii="Times New Roman" w:hAnsi="Times New Roman" w:cs="Times New Roman"/>
          <w:color w:val="404040"/>
          <w:sz w:val="40"/>
          <w:szCs w:val="40"/>
          <w:shd w:val="clear" w:color="auto" w:fill="FFFFFF"/>
        </w:rPr>
        <w:t xml:space="preserve">Marian Raducanu </w:t>
      </w:r>
    </w:p>
    <w:p w14:paraId="39518AFD" w14:textId="60748FFD" w:rsidR="00997CDB" w:rsidRPr="00997CDB" w:rsidRDefault="00997CDB" w:rsidP="00362785">
      <w:pPr>
        <w:jc w:val="center"/>
        <w:rPr>
          <w:rStyle w:val="Strong"/>
          <w:rFonts w:ascii="Times New Roman" w:hAnsi="Times New Roman" w:cs="Times New Roman"/>
          <w:color w:val="404040"/>
          <w:sz w:val="40"/>
          <w:szCs w:val="40"/>
          <w:shd w:val="clear" w:color="auto" w:fill="FFFFFF"/>
        </w:rPr>
      </w:pPr>
      <w:r w:rsidRPr="00997CDB">
        <w:rPr>
          <w:rStyle w:val="Strong"/>
          <w:rFonts w:ascii="Times New Roman" w:hAnsi="Times New Roman" w:cs="Times New Roman"/>
          <w:color w:val="404040"/>
          <w:sz w:val="40"/>
          <w:szCs w:val="40"/>
          <w:shd w:val="clear" w:color="auto" w:fill="FFFFFF"/>
        </w:rPr>
        <w:t>Writing for University</w:t>
      </w:r>
    </w:p>
    <w:p w14:paraId="01C5DCDB" w14:textId="77777777" w:rsidR="00997CDB" w:rsidRDefault="00997CDB" w:rsidP="00362785">
      <w:pPr>
        <w:jc w:val="center"/>
        <w:rPr>
          <w:rStyle w:val="Strong"/>
          <w:rFonts w:ascii="Segoe UI" w:hAnsi="Segoe UI" w:cs="Segoe UI"/>
          <w:color w:val="404040"/>
          <w:shd w:val="clear" w:color="auto" w:fill="FFFFFF"/>
        </w:rPr>
      </w:pPr>
    </w:p>
    <w:p w14:paraId="64F90099" w14:textId="77777777" w:rsidR="00997CDB" w:rsidRDefault="00997CDB" w:rsidP="00362785">
      <w:pPr>
        <w:jc w:val="center"/>
        <w:rPr>
          <w:rStyle w:val="Strong"/>
          <w:rFonts w:ascii="Segoe UI" w:hAnsi="Segoe UI" w:cs="Segoe UI"/>
          <w:color w:val="404040"/>
          <w:shd w:val="clear" w:color="auto" w:fill="FFFFFF"/>
        </w:rPr>
      </w:pPr>
    </w:p>
    <w:p w14:paraId="633B8201" w14:textId="77777777" w:rsidR="00997CDB" w:rsidRDefault="00997CDB" w:rsidP="00362785">
      <w:pPr>
        <w:jc w:val="center"/>
        <w:rPr>
          <w:rStyle w:val="Strong"/>
          <w:rFonts w:ascii="Segoe UI" w:hAnsi="Segoe UI" w:cs="Segoe UI"/>
          <w:color w:val="404040"/>
          <w:shd w:val="clear" w:color="auto" w:fill="FFFFFF"/>
        </w:rPr>
      </w:pPr>
    </w:p>
    <w:p w14:paraId="3380AE90" w14:textId="77777777" w:rsidR="00997CDB" w:rsidRDefault="00997CDB" w:rsidP="00362785">
      <w:pPr>
        <w:jc w:val="center"/>
        <w:rPr>
          <w:rStyle w:val="Strong"/>
          <w:rFonts w:ascii="Segoe UI" w:hAnsi="Segoe UI" w:cs="Segoe UI"/>
          <w:color w:val="404040"/>
          <w:shd w:val="clear" w:color="auto" w:fill="FFFFFF"/>
        </w:rPr>
      </w:pPr>
    </w:p>
    <w:p w14:paraId="078F913A" w14:textId="7CF73A33" w:rsidR="007642BB" w:rsidRPr="00997CDB" w:rsidRDefault="00362785" w:rsidP="00362785">
      <w:pPr>
        <w:jc w:val="center"/>
        <w:rPr>
          <w:rStyle w:val="Strong"/>
          <w:rFonts w:ascii="Times New Roman" w:hAnsi="Times New Roman" w:cs="Times New Roman"/>
          <w:color w:val="404040"/>
          <w:sz w:val="32"/>
          <w:szCs w:val="32"/>
          <w:shd w:val="clear" w:color="auto" w:fill="FFFFFF"/>
        </w:rPr>
      </w:pPr>
      <w:r w:rsidRPr="00997CDB">
        <w:rPr>
          <w:rStyle w:val="Strong"/>
          <w:rFonts w:ascii="Times New Roman" w:hAnsi="Times New Roman" w:cs="Times New Roman"/>
          <w:color w:val="404040"/>
          <w:sz w:val="32"/>
          <w:szCs w:val="32"/>
          <w:shd w:val="clear" w:color="auto" w:fill="FFFFFF"/>
        </w:rPr>
        <w:t>Exploring Types of Writing: A Narrative Journey Through Words</w:t>
      </w:r>
    </w:p>
    <w:p w14:paraId="3BA292EF" w14:textId="77777777" w:rsidR="00997CDB" w:rsidRDefault="00997CDB" w:rsidP="00362785">
      <w:r>
        <w:t xml:space="preserve"> </w:t>
      </w:r>
    </w:p>
    <w:p w14:paraId="7987A60F" w14:textId="77777777" w:rsidR="00997CDB" w:rsidRDefault="00997CDB" w:rsidP="00362785"/>
    <w:p w14:paraId="1CDFBF97" w14:textId="77777777" w:rsidR="00997CDB" w:rsidRPr="00997CDB" w:rsidRDefault="00997CDB" w:rsidP="00362785">
      <w:pPr>
        <w:rPr>
          <w:rFonts w:ascii="Times New Roman" w:hAnsi="Times New Roman" w:cs="Times New Roman"/>
          <w:sz w:val="28"/>
          <w:szCs w:val="28"/>
        </w:rPr>
      </w:pPr>
    </w:p>
    <w:p w14:paraId="22876A12" w14:textId="02F9E1DF" w:rsidR="00362785" w:rsidRPr="00997CDB" w:rsidRDefault="00362785" w:rsidP="00362785">
      <w:pPr>
        <w:rPr>
          <w:rFonts w:ascii="Times New Roman" w:hAnsi="Times New Roman" w:cs="Times New Roman"/>
          <w:sz w:val="28"/>
          <w:szCs w:val="28"/>
        </w:rPr>
      </w:pPr>
      <w:r w:rsidRPr="00997CDB">
        <w:rPr>
          <w:rFonts w:ascii="Times New Roman" w:hAnsi="Times New Roman" w:cs="Times New Roman"/>
          <w:sz w:val="28"/>
          <w:szCs w:val="28"/>
        </w:rPr>
        <w:t xml:space="preserve">Imagine a world without </w:t>
      </w:r>
      <w:r w:rsidRPr="00997CDB">
        <w:rPr>
          <w:rFonts w:ascii="Times New Roman" w:hAnsi="Times New Roman" w:cs="Times New Roman"/>
          <w:sz w:val="28"/>
          <w:szCs w:val="28"/>
        </w:rPr>
        <w:t>writing, no</w:t>
      </w:r>
      <w:r w:rsidRPr="00997CDB">
        <w:rPr>
          <w:rFonts w:ascii="Times New Roman" w:hAnsi="Times New Roman" w:cs="Times New Roman"/>
          <w:sz w:val="28"/>
          <w:szCs w:val="28"/>
        </w:rPr>
        <w:t xml:space="preserve"> </w:t>
      </w:r>
      <w:r w:rsidR="00997CDB" w:rsidRPr="00997CDB">
        <w:rPr>
          <w:rFonts w:ascii="Times New Roman" w:hAnsi="Times New Roman" w:cs="Times New Roman"/>
          <w:sz w:val="28"/>
          <w:szCs w:val="28"/>
        </w:rPr>
        <w:t>textbooks</w:t>
      </w:r>
      <w:r w:rsidRPr="00997CDB">
        <w:rPr>
          <w:rFonts w:ascii="Times New Roman" w:hAnsi="Times New Roman" w:cs="Times New Roman"/>
          <w:sz w:val="28"/>
          <w:szCs w:val="28"/>
        </w:rPr>
        <w:t xml:space="preserve"> for learning, no books for reading to take us to far-off places, no newspapers for news, no manuals</w:t>
      </w:r>
      <w:r w:rsidRPr="00997CDB">
        <w:rPr>
          <w:rFonts w:ascii="Times New Roman" w:hAnsi="Times New Roman" w:cs="Times New Roman"/>
          <w:sz w:val="28"/>
          <w:szCs w:val="28"/>
        </w:rPr>
        <w:t> </w:t>
      </w:r>
      <w:r w:rsidRPr="00997CDB">
        <w:rPr>
          <w:rFonts w:ascii="Times New Roman" w:hAnsi="Times New Roman" w:cs="Times New Roman"/>
          <w:sz w:val="28"/>
          <w:szCs w:val="28"/>
        </w:rPr>
        <w:t>for walking us through the complicated things in life. Writing: the hidden thread through the tapestry</w:t>
      </w:r>
      <w:r w:rsidRPr="00997CDB">
        <w:rPr>
          <w:rFonts w:ascii="Times New Roman" w:hAnsi="Times New Roman" w:cs="Times New Roman"/>
          <w:sz w:val="28"/>
          <w:szCs w:val="28"/>
        </w:rPr>
        <w:t> </w:t>
      </w:r>
      <w:r w:rsidRPr="00997CDB">
        <w:rPr>
          <w:rFonts w:ascii="Times New Roman" w:hAnsi="Times New Roman" w:cs="Times New Roman"/>
          <w:sz w:val="28"/>
          <w:szCs w:val="28"/>
        </w:rPr>
        <w:t>of human aspiration in all its variety and splendour. Both forms of writing have their own distinctive</w:t>
      </w:r>
      <w:r w:rsidRPr="00997CDB">
        <w:rPr>
          <w:rFonts w:ascii="Times New Roman" w:hAnsi="Times New Roman" w:cs="Times New Roman"/>
          <w:sz w:val="28"/>
          <w:szCs w:val="28"/>
        </w:rPr>
        <w:t> </w:t>
      </w:r>
      <w:r w:rsidRPr="00997CDB">
        <w:rPr>
          <w:rFonts w:ascii="Times New Roman" w:hAnsi="Times New Roman" w:cs="Times New Roman"/>
          <w:sz w:val="28"/>
          <w:szCs w:val="28"/>
        </w:rPr>
        <w:t xml:space="preserve">purpose, audience, context and aims. This essay is a map to navigate this terrain, a ride on a century’s accumulation of </w:t>
      </w:r>
      <w:r w:rsidRPr="00997CDB">
        <w:rPr>
          <w:rFonts w:ascii="Times New Roman" w:hAnsi="Times New Roman" w:cs="Times New Roman"/>
          <w:sz w:val="28"/>
          <w:szCs w:val="28"/>
        </w:rPr>
        <w:t>style, a</w:t>
      </w:r>
      <w:r w:rsidRPr="00997CDB">
        <w:rPr>
          <w:rFonts w:ascii="Times New Roman" w:hAnsi="Times New Roman" w:cs="Times New Roman"/>
          <w:sz w:val="28"/>
          <w:szCs w:val="28"/>
        </w:rPr>
        <w:t xml:space="preserve"> century of men signing with a feather quill, women with a </w:t>
      </w:r>
      <w:r w:rsidRPr="00997CDB">
        <w:rPr>
          <w:rFonts w:ascii="Times New Roman" w:hAnsi="Times New Roman" w:cs="Times New Roman"/>
          <w:sz w:val="28"/>
          <w:szCs w:val="28"/>
        </w:rPr>
        <w:t>ballpoint, shedding</w:t>
      </w:r>
      <w:r w:rsidRPr="00997CDB">
        <w:rPr>
          <w:rFonts w:ascii="Times New Roman" w:hAnsi="Times New Roman" w:cs="Times New Roman"/>
          <w:sz w:val="28"/>
          <w:szCs w:val="28"/>
        </w:rPr>
        <w:t xml:space="preserve"> light on how style has defined</w:t>
      </w:r>
      <w:r w:rsidRPr="00997CDB">
        <w:rPr>
          <w:rFonts w:ascii="Times New Roman" w:hAnsi="Times New Roman" w:cs="Times New Roman"/>
          <w:sz w:val="28"/>
          <w:szCs w:val="28"/>
        </w:rPr>
        <w:t> </w:t>
      </w:r>
      <w:r w:rsidRPr="00997CDB">
        <w:rPr>
          <w:rFonts w:ascii="Times New Roman" w:hAnsi="Times New Roman" w:cs="Times New Roman"/>
          <w:sz w:val="28"/>
          <w:szCs w:val="28"/>
        </w:rPr>
        <w:t>the way we see the world, a word at a time.</w:t>
      </w:r>
    </w:p>
    <w:p w14:paraId="7E3D3321" w14:textId="77777777" w:rsidR="00362785" w:rsidRPr="00997CDB" w:rsidRDefault="00362785" w:rsidP="00362785">
      <w:pPr>
        <w:rPr>
          <w:rFonts w:ascii="Times New Roman" w:hAnsi="Times New Roman" w:cs="Times New Roman"/>
          <w:sz w:val="28"/>
          <w:szCs w:val="28"/>
        </w:rPr>
      </w:pPr>
    </w:p>
    <w:p w14:paraId="71B81B4F" w14:textId="04595903" w:rsidR="00362785" w:rsidRPr="00997CDB" w:rsidRDefault="00362785" w:rsidP="00362785">
      <w:pPr>
        <w:rPr>
          <w:rStyle w:val="Strong"/>
          <w:rFonts w:ascii="Times New Roman" w:hAnsi="Times New Roman" w:cs="Times New Roman"/>
          <w:color w:val="404040"/>
          <w:sz w:val="28"/>
          <w:szCs w:val="28"/>
          <w:shd w:val="clear" w:color="auto" w:fill="FFFFFF"/>
        </w:rPr>
      </w:pPr>
      <w:r w:rsidRPr="00997CDB">
        <w:rPr>
          <w:rStyle w:val="Strong"/>
          <w:rFonts w:ascii="Times New Roman" w:hAnsi="Times New Roman" w:cs="Times New Roman"/>
          <w:color w:val="404040"/>
          <w:sz w:val="28"/>
          <w:szCs w:val="28"/>
          <w:shd w:val="clear" w:color="auto" w:fill="FFFFFF"/>
        </w:rPr>
        <w:t>Academic Writing: The Architecture of Knowledge</w:t>
      </w:r>
    </w:p>
    <w:p w14:paraId="0DD3743A" w14:textId="77777777" w:rsidR="00362785" w:rsidRPr="00997CDB" w:rsidRDefault="00362785" w:rsidP="00362785">
      <w:pPr>
        <w:pStyle w:val="NormalWeb"/>
        <w:rPr>
          <w:sz w:val="28"/>
          <w:szCs w:val="28"/>
        </w:rPr>
      </w:pPr>
      <w:r w:rsidRPr="00997CDB">
        <w:rPr>
          <w:sz w:val="28"/>
          <w:szCs w:val="28"/>
        </w:rPr>
        <w:t>It all starts in the</w:t>
      </w:r>
      <w:r w:rsidRPr="00997CDB">
        <w:rPr>
          <w:sz w:val="28"/>
          <w:szCs w:val="28"/>
        </w:rPr>
        <w:t> </w:t>
      </w:r>
      <w:r w:rsidRPr="00997CDB">
        <w:rPr>
          <w:sz w:val="28"/>
          <w:szCs w:val="28"/>
        </w:rPr>
        <w:t>ivory tower, where writing becomes an academic art of assembling information. Imagine a researcher sitting at a desk,</w:t>
      </w:r>
      <w:r w:rsidRPr="00997CDB">
        <w:rPr>
          <w:sz w:val="28"/>
          <w:szCs w:val="28"/>
        </w:rPr>
        <w:t> </w:t>
      </w:r>
      <w:r w:rsidRPr="00997CDB">
        <w:rPr>
          <w:sz w:val="28"/>
          <w:szCs w:val="28"/>
        </w:rPr>
        <w:t>condensing years of study and research into a peer-reviewed article. Academic writing is the core of scholarly communication,</w:t>
      </w:r>
      <w:r w:rsidRPr="00997CDB">
        <w:rPr>
          <w:sz w:val="28"/>
          <w:szCs w:val="28"/>
        </w:rPr>
        <w:t> </w:t>
      </w:r>
      <w:r w:rsidRPr="00997CDB">
        <w:rPr>
          <w:sz w:val="28"/>
          <w:szCs w:val="28"/>
        </w:rPr>
        <w:t>intended to convey ideas with precision and clarity. It feeds on evidence, insisting that every contention be grounded in reputable sources, from historical archives to laboratory</w:t>
      </w:r>
      <w:r w:rsidRPr="00997CDB">
        <w:rPr>
          <w:sz w:val="28"/>
          <w:szCs w:val="28"/>
        </w:rPr>
        <w:t> </w:t>
      </w:r>
      <w:r w:rsidRPr="00997CDB">
        <w:rPr>
          <w:sz w:val="28"/>
          <w:szCs w:val="28"/>
        </w:rPr>
        <w:t>findings. Formality,</w:t>
      </w:r>
      <w:r w:rsidRPr="00997CDB">
        <w:rPr>
          <w:sz w:val="28"/>
          <w:szCs w:val="28"/>
        </w:rPr>
        <w:t> </w:t>
      </w:r>
      <w:r w:rsidRPr="00997CDB">
        <w:rPr>
          <w:sz w:val="28"/>
          <w:szCs w:val="28"/>
        </w:rPr>
        <w:t>it has been found, is what it is all about; informalities and personal reminiscences recede, being replaced by a voice resolutely committed to balance and objectivity.</w:t>
      </w:r>
    </w:p>
    <w:p w14:paraId="041E9B22" w14:textId="12C4F8A0" w:rsidR="00362785" w:rsidRPr="00997CDB" w:rsidRDefault="00362785" w:rsidP="00362785">
      <w:pPr>
        <w:pStyle w:val="NormalWeb"/>
        <w:rPr>
          <w:sz w:val="28"/>
          <w:szCs w:val="28"/>
        </w:rPr>
      </w:pPr>
      <w:r w:rsidRPr="00997CDB">
        <w:rPr>
          <w:sz w:val="28"/>
          <w:szCs w:val="28"/>
        </w:rPr>
        <w:lastRenderedPageBreak/>
        <w:t>Imagine a graduate student</w:t>
      </w:r>
      <w:r w:rsidRPr="00997CDB">
        <w:rPr>
          <w:sz w:val="28"/>
          <w:szCs w:val="28"/>
        </w:rPr>
        <w:t> </w:t>
      </w:r>
      <w:r w:rsidRPr="00997CDB">
        <w:rPr>
          <w:sz w:val="28"/>
          <w:szCs w:val="28"/>
        </w:rPr>
        <w:t xml:space="preserve">writing a dissertation. In form, their work follows the </w:t>
      </w:r>
      <w:proofErr w:type="spellStart"/>
      <w:r w:rsidRPr="00997CDB">
        <w:rPr>
          <w:sz w:val="28"/>
          <w:szCs w:val="28"/>
        </w:rPr>
        <w:t>IMRaD</w:t>
      </w:r>
      <w:proofErr w:type="spellEnd"/>
      <w:r w:rsidRPr="00997CDB">
        <w:rPr>
          <w:sz w:val="28"/>
          <w:szCs w:val="28"/>
        </w:rPr>
        <w:t xml:space="preserve"> format — Introduction, Method, Results, and finally, Discussion — a structure that</w:t>
      </w:r>
      <w:r w:rsidRPr="00997CDB">
        <w:rPr>
          <w:sz w:val="28"/>
          <w:szCs w:val="28"/>
        </w:rPr>
        <w:t> </w:t>
      </w:r>
      <w:r w:rsidRPr="00997CDB">
        <w:rPr>
          <w:sz w:val="28"/>
          <w:szCs w:val="28"/>
        </w:rPr>
        <w:t>mirrors the scientific method. Such a structure is not arbitrary; it is established</w:t>
      </w:r>
      <w:r w:rsidRPr="00997CDB">
        <w:rPr>
          <w:sz w:val="28"/>
          <w:szCs w:val="28"/>
        </w:rPr>
        <w:t> </w:t>
      </w:r>
      <w:r w:rsidRPr="00997CDB">
        <w:rPr>
          <w:sz w:val="28"/>
          <w:szCs w:val="28"/>
        </w:rPr>
        <w:t>to provide clarity and reproducibility so that peers can examine and extend the results. Citation practices, like Harvard or APA style, serve as</w:t>
      </w:r>
      <w:r w:rsidRPr="00997CDB">
        <w:rPr>
          <w:sz w:val="28"/>
          <w:szCs w:val="28"/>
        </w:rPr>
        <w:t> </w:t>
      </w:r>
      <w:r w:rsidRPr="00997CDB">
        <w:rPr>
          <w:sz w:val="28"/>
          <w:szCs w:val="28"/>
        </w:rPr>
        <w:t>the glue that links new ideas to prior scholarship. Returning to the work of Graff and Birkenstein (2014), we understand that academic writing is a conversation—joining a conversation with “they say” in</w:t>
      </w:r>
      <w:r w:rsidRPr="00997CDB">
        <w:rPr>
          <w:sz w:val="28"/>
          <w:szCs w:val="28"/>
        </w:rPr>
        <w:t> </w:t>
      </w:r>
      <w:r w:rsidRPr="00997CDB">
        <w:rPr>
          <w:sz w:val="28"/>
          <w:szCs w:val="28"/>
        </w:rPr>
        <w:t xml:space="preserve">order to find the “I say.” It is a form of writing whether Leonardo taught it to </w:t>
      </w:r>
      <w:r w:rsidRPr="00997CDB">
        <w:rPr>
          <w:sz w:val="28"/>
          <w:szCs w:val="28"/>
        </w:rPr>
        <w:t>Shakespeare,</w:t>
      </w:r>
      <w:r w:rsidRPr="00997CDB">
        <w:rPr>
          <w:sz w:val="28"/>
          <w:szCs w:val="28"/>
        </w:rPr>
        <w:t xml:space="preserve"> or they latched on to it independently and that it increases human</w:t>
      </w:r>
      <w:r w:rsidRPr="00997CDB">
        <w:rPr>
          <w:sz w:val="28"/>
          <w:szCs w:val="28"/>
        </w:rPr>
        <w:t> </w:t>
      </w:r>
      <w:r w:rsidRPr="00997CDB">
        <w:rPr>
          <w:sz w:val="28"/>
          <w:szCs w:val="28"/>
        </w:rPr>
        <w:t>knowledge, brick by brick.</w:t>
      </w:r>
    </w:p>
    <w:p w14:paraId="4DDDC5A4" w14:textId="020C36F1" w:rsidR="00362785" w:rsidRPr="00997CDB" w:rsidRDefault="00362785" w:rsidP="00362785">
      <w:pPr>
        <w:rPr>
          <w:rStyle w:val="Strong"/>
          <w:rFonts w:ascii="Times New Roman" w:hAnsi="Times New Roman" w:cs="Times New Roman"/>
          <w:color w:val="404040"/>
          <w:sz w:val="28"/>
          <w:szCs w:val="28"/>
          <w:shd w:val="clear" w:color="auto" w:fill="FFFFFF"/>
        </w:rPr>
      </w:pPr>
      <w:r w:rsidRPr="00997CDB">
        <w:rPr>
          <w:rStyle w:val="Strong"/>
          <w:rFonts w:ascii="Times New Roman" w:hAnsi="Times New Roman" w:cs="Times New Roman"/>
          <w:color w:val="404040"/>
          <w:sz w:val="28"/>
          <w:szCs w:val="28"/>
          <w:shd w:val="clear" w:color="auto" w:fill="FFFFFF"/>
        </w:rPr>
        <w:t>Creative Writing: The Canvas of Imagination</w:t>
      </w:r>
    </w:p>
    <w:p w14:paraId="74942934" w14:textId="77777777" w:rsidR="00362785" w:rsidRPr="00997CDB" w:rsidRDefault="00362785" w:rsidP="00362785">
      <w:pPr>
        <w:pStyle w:val="NormalWeb"/>
        <w:rPr>
          <w:sz w:val="28"/>
          <w:szCs w:val="28"/>
        </w:rPr>
      </w:pPr>
      <w:r w:rsidRPr="00997CDB">
        <w:rPr>
          <w:sz w:val="28"/>
          <w:szCs w:val="28"/>
        </w:rPr>
        <w:t>From the straight</w:t>
      </w:r>
      <w:r w:rsidRPr="00997CDB">
        <w:rPr>
          <w:sz w:val="28"/>
          <w:szCs w:val="28"/>
        </w:rPr>
        <w:t> </w:t>
      </w:r>
      <w:r w:rsidRPr="00997CDB">
        <w:rPr>
          <w:sz w:val="28"/>
          <w:szCs w:val="28"/>
        </w:rPr>
        <w:t>corridors of academe, we enter the wilds of creative writing. Here is where rules dissolve and</w:t>
      </w:r>
      <w:r w:rsidRPr="00997CDB">
        <w:rPr>
          <w:sz w:val="28"/>
          <w:szCs w:val="28"/>
        </w:rPr>
        <w:t> </w:t>
      </w:r>
      <w:r w:rsidRPr="00997CDB">
        <w:rPr>
          <w:sz w:val="28"/>
          <w:szCs w:val="28"/>
        </w:rPr>
        <w:t>imagination rules. A novelist imagining the journey of a protagonist, a poet concocting the metaphors</w:t>
      </w:r>
      <w:r w:rsidRPr="00997CDB">
        <w:rPr>
          <w:sz w:val="28"/>
          <w:szCs w:val="28"/>
        </w:rPr>
        <w:t> </w:t>
      </w:r>
      <w:r w:rsidRPr="00997CDB">
        <w:rPr>
          <w:sz w:val="28"/>
          <w:szCs w:val="28"/>
        </w:rPr>
        <w:t>of love and loss, a playwright dreaming up dialogue that crackles with tension — all are architects of worlds that live solely in the mind. Creative, in this instance, is not tethered to evidence as academic writing is, but is</w:t>
      </w:r>
      <w:r w:rsidRPr="00997CDB">
        <w:rPr>
          <w:sz w:val="28"/>
          <w:szCs w:val="28"/>
        </w:rPr>
        <w:t> </w:t>
      </w:r>
      <w:r w:rsidRPr="00997CDB">
        <w:rPr>
          <w:sz w:val="28"/>
          <w:szCs w:val="28"/>
        </w:rPr>
        <w:t>liberated instead by emotion and metaphor.</w:t>
      </w:r>
    </w:p>
    <w:p w14:paraId="72FDB735" w14:textId="77777777" w:rsidR="00362785" w:rsidRPr="00997CDB" w:rsidRDefault="00362785" w:rsidP="00362785">
      <w:pPr>
        <w:pStyle w:val="NormalWeb"/>
        <w:rPr>
          <w:sz w:val="28"/>
          <w:szCs w:val="28"/>
        </w:rPr>
      </w:pPr>
      <w:r w:rsidRPr="00997CDB">
        <w:rPr>
          <w:sz w:val="28"/>
          <w:szCs w:val="28"/>
        </w:rPr>
        <w:t>Consider Stephen King’s memoir On Writing (2000),</w:t>
      </w:r>
      <w:r w:rsidRPr="00997CDB">
        <w:rPr>
          <w:sz w:val="28"/>
          <w:szCs w:val="28"/>
        </w:rPr>
        <w:t> </w:t>
      </w:r>
      <w:r w:rsidRPr="00997CDB">
        <w:rPr>
          <w:sz w:val="28"/>
          <w:szCs w:val="28"/>
        </w:rPr>
        <w:t xml:space="preserve">in which he understands writing as “telepathy,” transporting images directly from the author’s mind into the </w:t>
      </w:r>
      <w:proofErr w:type="gramStart"/>
      <w:r w:rsidRPr="00997CDB">
        <w:rPr>
          <w:sz w:val="28"/>
          <w:szCs w:val="28"/>
        </w:rPr>
        <w:t>reader’s</w:t>
      </w:r>
      <w:proofErr w:type="gramEnd"/>
      <w:r w:rsidRPr="00997CDB">
        <w:rPr>
          <w:sz w:val="28"/>
          <w:szCs w:val="28"/>
        </w:rPr>
        <w:t>. The work of creative writing is the struggle to write the</w:t>
      </w:r>
      <w:r w:rsidRPr="00997CDB">
        <w:rPr>
          <w:sz w:val="28"/>
          <w:szCs w:val="28"/>
        </w:rPr>
        <w:t> </w:t>
      </w:r>
      <w:r w:rsidRPr="00997CDB">
        <w:rPr>
          <w:sz w:val="28"/>
          <w:szCs w:val="28"/>
        </w:rPr>
        <w:t>truest sentence. A short story could grapple with grief</w:t>
      </w:r>
      <w:r w:rsidRPr="00997CDB">
        <w:rPr>
          <w:sz w:val="28"/>
          <w:szCs w:val="28"/>
        </w:rPr>
        <w:t> </w:t>
      </w:r>
      <w:r w:rsidRPr="00997CDB">
        <w:rPr>
          <w:sz w:val="28"/>
          <w:szCs w:val="28"/>
        </w:rPr>
        <w:t>using the metaphor of a storm; a memoir, as in the case of Tara Westover’s “Educated,” might combine unmediated personal history with narrative flair. Even modes like magical realism, which is evidenced in Gabriel</w:t>
      </w:r>
      <w:r w:rsidRPr="00997CDB">
        <w:rPr>
          <w:sz w:val="28"/>
          <w:szCs w:val="28"/>
        </w:rPr>
        <w:t> </w:t>
      </w:r>
      <w:r w:rsidRPr="00997CDB">
        <w:rPr>
          <w:sz w:val="28"/>
          <w:szCs w:val="28"/>
        </w:rPr>
        <w:t>García Márquez’s “One Hundred Years of Solitude,” use the fantastic to shed light on the truths of human life. This kind of writing does more than entertain; it encourages empathy, allowing readers</w:t>
      </w:r>
      <w:r w:rsidRPr="00997CDB">
        <w:rPr>
          <w:sz w:val="28"/>
          <w:szCs w:val="28"/>
        </w:rPr>
        <w:t> </w:t>
      </w:r>
      <w:r w:rsidRPr="00997CDB">
        <w:rPr>
          <w:sz w:val="28"/>
          <w:szCs w:val="28"/>
        </w:rPr>
        <w:t>to step into someone else’s shoes, if only for a few pages.</w:t>
      </w:r>
    </w:p>
    <w:p w14:paraId="237AFA46" w14:textId="66456671" w:rsidR="00362785" w:rsidRPr="00997CDB" w:rsidRDefault="00362785" w:rsidP="00362785">
      <w:pPr>
        <w:rPr>
          <w:rStyle w:val="Strong"/>
          <w:rFonts w:ascii="Times New Roman" w:hAnsi="Times New Roman" w:cs="Times New Roman"/>
          <w:color w:val="404040"/>
          <w:sz w:val="28"/>
          <w:szCs w:val="28"/>
          <w:shd w:val="clear" w:color="auto" w:fill="FFFFFF"/>
        </w:rPr>
      </w:pPr>
      <w:r w:rsidRPr="00997CDB">
        <w:rPr>
          <w:rStyle w:val="Strong"/>
          <w:rFonts w:ascii="Times New Roman" w:hAnsi="Times New Roman" w:cs="Times New Roman"/>
          <w:color w:val="404040"/>
          <w:sz w:val="28"/>
          <w:szCs w:val="28"/>
          <w:shd w:val="clear" w:color="auto" w:fill="FFFFFF"/>
        </w:rPr>
        <w:t>Journalistic Writing: The Pulse of Society</w:t>
      </w:r>
    </w:p>
    <w:p w14:paraId="00D666F3" w14:textId="77777777" w:rsidR="00362785" w:rsidRPr="00997CDB" w:rsidRDefault="00362785" w:rsidP="00362785">
      <w:pPr>
        <w:pStyle w:val="NormalWeb"/>
        <w:rPr>
          <w:sz w:val="28"/>
          <w:szCs w:val="28"/>
        </w:rPr>
      </w:pPr>
      <w:r w:rsidRPr="00997CDB">
        <w:rPr>
          <w:sz w:val="28"/>
          <w:szCs w:val="28"/>
        </w:rPr>
        <w:t>In our voyages, we</w:t>
      </w:r>
      <w:r w:rsidRPr="00997CDB">
        <w:rPr>
          <w:sz w:val="28"/>
          <w:szCs w:val="28"/>
        </w:rPr>
        <w:t> </w:t>
      </w:r>
      <w:r w:rsidRPr="00997CDB">
        <w:rPr>
          <w:sz w:val="28"/>
          <w:szCs w:val="28"/>
        </w:rPr>
        <w:t>have now reached the crowded intersection of reporting writing. Consider the reporter on deadline, the article bound for the front</w:t>
      </w:r>
      <w:r w:rsidRPr="00997CDB">
        <w:rPr>
          <w:sz w:val="28"/>
          <w:szCs w:val="28"/>
        </w:rPr>
        <w:t> </w:t>
      </w:r>
      <w:r w:rsidRPr="00997CDB">
        <w:rPr>
          <w:sz w:val="28"/>
          <w:szCs w:val="28"/>
        </w:rPr>
        <w:t>page. Journalism is society’s watchdog,</w:t>
      </w:r>
      <w:r w:rsidRPr="00997CDB">
        <w:rPr>
          <w:sz w:val="28"/>
          <w:szCs w:val="28"/>
        </w:rPr>
        <w:t> </w:t>
      </w:r>
      <w:r w:rsidRPr="00997CDB">
        <w:rPr>
          <w:sz w:val="28"/>
          <w:szCs w:val="28"/>
        </w:rPr>
        <w:t>which tries to turn chaos into clarity. Its beating heart is the “inverted pyramid”— an inverted pyramid structure that places the most important facts (who, what, when, where, why) at</w:t>
      </w:r>
      <w:r w:rsidRPr="00997CDB">
        <w:rPr>
          <w:sz w:val="28"/>
          <w:szCs w:val="28"/>
        </w:rPr>
        <w:t> </w:t>
      </w:r>
      <w:r w:rsidRPr="00997CDB">
        <w:rPr>
          <w:sz w:val="28"/>
          <w:szCs w:val="28"/>
        </w:rPr>
        <w:t>the top. With all the shortcuts, even a skimmer will</w:t>
      </w:r>
      <w:r w:rsidRPr="00997CDB">
        <w:rPr>
          <w:sz w:val="28"/>
          <w:szCs w:val="28"/>
        </w:rPr>
        <w:t> </w:t>
      </w:r>
      <w:r w:rsidRPr="00997CDB">
        <w:rPr>
          <w:sz w:val="28"/>
          <w:szCs w:val="28"/>
        </w:rPr>
        <w:t>have the gist of a tale.</w:t>
      </w:r>
    </w:p>
    <w:p w14:paraId="3C3834BF" w14:textId="77777777" w:rsidR="00362785" w:rsidRPr="00997CDB" w:rsidRDefault="00362785" w:rsidP="00362785">
      <w:pPr>
        <w:pStyle w:val="NormalWeb"/>
        <w:rPr>
          <w:sz w:val="28"/>
          <w:szCs w:val="28"/>
        </w:rPr>
      </w:pPr>
      <w:r w:rsidRPr="00997CDB">
        <w:rPr>
          <w:sz w:val="28"/>
          <w:szCs w:val="28"/>
        </w:rPr>
        <w:lastRenderedPageBreak/>
        <w:t>But journalism</w:t>
      </w:r>
      <w:r w:rsidRPr="00997CDB">
        <w:rPr>
          <w:sz w:val="28"/>
          <w:szCs w:val="28"/>
        </w:rPr>
        <w:t> </w:t>
      </w:r>
      <w:r w:rsidRPr="00997CDB">
        <w:rPr>
          <w:sz w:val="28"/>
          <w:szCs w:val="28"/>
        </w:rPr>
        <w:t>is not monolithic. A campaign results hard news</w:t>
      </w:r>
      <w:r w:rsidRPr="00997CDB">
        <w:rPr>
          <w:sz w:val="28"/>
          <w:szCs w:val="28"/>
        </w:rPr>
        <w:t> </w:t>
      </w:r>
      <w:r w:rsidRPr="00997CDB">
        <w:rPr>
          <w:sz w:val="28"/>
          <w:szCs w:val="28"/>
        </w:rPr>
        <w:t>story is a different beast to an investigatory tell-all about corporate wrongdoings. The second,</w:t>
      </w:r>
      <w:r w:rsidRPr="00997CDB">
        <w:rPr>
          <w:sz w:val="28"/>
          <w:szCs w:val="28"/>
        </w:rPr>
        <w:t> </w:t>
      </w:r>
      <w:r w:rsidRPr="00997CDB">
        <w:rPr>
          <w:sz w:val="28"/>
          <w:szCs w:val="28"/>
        </w:rPr>
        <w:t>as demonstrated in the example of the Watergate reporting by Woodward and Bernstein, emphasises journalism’s mission of supporting democracy. In the meantime, feature writing has hit the brakes</w:t>
      </w:r>
      <w:r w:rsidRPr="00997CDB">
        <w:rPr>
          <w:sz w:val="28"/>
          <w:szCs w:val="28"/>
        </w:rPr>
        <w:t> </w:t>
      </w:r>
      <w:r w:rsidRPr="00997CDB">
        <w:rPr>
          <w:sz w:val="28"/>
          <w:szCs w:val="28"/>
        </w:rPr>
        <w:t>as it provides deep dives into human interest stories — one refugee’s resettlement, a community’s battle for clean water. The three ethical standards, as Kovach and Rosenstiel (2007) insist,</w:t>
      </w:r>
      <w:r w:rsidRPr="00997CDB">
        <w:rPr>
          <w:sz w:val="28"/>
          <w:szCs w:val="28"/>
        </w:rPr>
        <w:t> </w:t>
      </w:r>
      <w:r w:rsidRPr="00997CDB">
        <w:rPr>
          <w:sz w:val="28"/>
          <w:szCs w:val="28"/>
        </w:rPr>
        <w:t>provide its north star: accuracy, fairness, and independence. In the digital</w:t>
      </w:r>
      <w:r w:rsidRPr="00997CDB">
        <w:rPr>
          <w:sz w:val="28"/>
          <w:szCs w:val="28"/>
        </w:rPr>
        <w:t> </w:t>
      </w:r>
      <w:r w:rsidRPr="00997CDB">
        <w:rPr>
          <w:sz w:val="28"/>
          <w:szCs w:val="28"/>
        </w:rPr>
        <w:t>age, journalists face novel quandaries: vitality versus verification, clickbait versus integrity — even still, the mission remains the same: to inform, to educate, to empower.</w:t>
      </w:r>
    </w:p>
    <w:p w14:paraId="08302451" w14:textId="5FFBE815" w:rsidR="00362785" w:rsidRPr="00997CDB" w:rsidRDefault="00362785" w:rsidP="00362785">
      <w:pPr>
        <w:rPr>
          <w:rStyle w:val="Strong"/>
          <w:rFonts w:ascii="Times New Roman" w:hAnsi="Times New Roman" w:cs="Times New Roman"/>
          <w:color w:val="404040"/>
          <w:sz w:val="28"/>
          <w:szCs w:val="28"/>
          <w:shd w:val="clear" w:color="auto" w:fill="FFFFFF"/>
        </w:rPr>
      </w:pPr>
      <w:r w:rsidRPr="00997CDB">
        <w:rPr>
          <w:rStyle w:val="Strong"/>
          <w:rFonts w:ascii="Times New Roman" w:hAnsi="Times New Roman" w:cs="Times New Roman"/>
          <w:color w:val="404040"/>
          <w:sz w:val="28"/>
          <w:szCs w:val="28"/>
          <w:shd w:val="clear" w:color="auto" w:fill="FFFFFF"/>
        </w:rPr>
        <w:t>Technical Writing: The Blueprint for Action</w:t>
      </w:r>
    </w:p>
    <w:p w14:paraId="15FB1100" w14:textId="77777777" w:rsidR="00362785" w:rsidRPr="00997CDB" w:rsidRDefault="00362785" w:rsidP="00362785">
      <w:pPr>
        <w:pStyle w:val="NormalWeb"/>
        <w:rPr>
          <w:sz w:val="28"/>
          <w:szCs w:val="28"/>
        </w:rPr>
      </w:pPr>
      <w:r w:rsidRPr="00997CDB">
        <w:rPr>
          <w:sz w:val="28"/>
          <w:szCs w:val="28"/>
        </w:rPr>
        <w:t>However, then we have technical</w:t>
      </w:r>
      <w:r w:rsidRPr="00997CDB">
        <w:rPr>
          <w:sz w:val="28"/>
          <w:szCs w:val="28"/>
        </w:rPr>
        <w:t> </w:t>
      </w:r>
      <w:r w:rsidRPr="00997CDB">
        <w:rPr>
          <w:sz w:val="28"/>
          <w:szCs w:val="28"/>
        </w:rPr>
        <w:t>writing: the writing nobody ever thanks you for. Imagine an engineer writing a user manual for a medical device or a</w:t>
      </w:r>
      <w:r w:rsidRPr="00997CDB">
        <w:rPr>
          <w:sz w:val="28"/>
          <w:szCs w:val="28"/>
        </w:rPr>
        <w:t> </w:t>
      </w:r>
      <w:r w:rsidRPr="00997CDB">
        <w:rPr>
          <w:sz w:val="28"/>
          <w:szCs w:val="28"/>
        </w:rPr>
        <w:t>programmer documenting the lines of code. Technical writing is thus the art of</w:t>
      </w:r>
      <w:r w:rsidRPr="00997CDB">
        <w:rPr>
          <w:sz w:val="28"/>
          <w:szCs w:val="28"/>
        </w:rPr>
        <w:t> </w:t>
      </w:r>
      <w:r w:rsidRPr="00997CDB">
        <w:rPr>
          <w:sz w:val="28"/>
          <w:szCs w:val="28"/>
        </w:rPr>
        <w:t>simplifying the complex to a set of steps anyone can follow. Clearness</w:t>
      </w:r>
      <w:r w:rsidRPr="00997CDB">
        <w:rPr>
          <w:sz w:val="28"/>
          <w:szCs w:val="28"/>
        </w:rPr>
        <w:t> </w:t>
      </w:r>
      <w:r w:rsidRPr="00997CDB">
        <w:rPr>
          <w:sz w:val="28"/>
          <w:szCs w:val="28"/>
        </w:rPr>
        <w:t>is critical; one misplaced comma in a precaution could kill someone.</w:t>
      </w:r>
    </w:p>
    <w:p w14:paraId="5BC7F694" w14:textId="2683499E" w:rsidR="00362785" w:rsidRPr="00997CDB" w:rsidRDefault="00362785" w:rsidP="00362785">
      <w:pPr>
        <w:pStyle w:val="NormalWeb"/>
        <w:rPr>
          <w:sz w:val="28"/>
          <w:szCs w:val="28"/>
        </w:rPr>
      </w:pPr>
      <w:r w:rsidRPr="00997CDB">
        <w:rPr>
          <w:sz w:val="28"/>
          <w:szCs w:val="28"/>
        </w:rPr>
        <w:t>This way</w:t>
      </w:r>
      <w:r w:rsidRPr="00997CDB">
        <w:rPr>
          <w:sz w:val="28"/>
          <w:szCs w:val="28"/>
        </w:rPr>
        <w:t> </w:t>
      </w:r>
      <w:r w:rsidRPr="00997CDB">
        <w:rPr>
          <w:sz w:val="28"/>
          <w:szCs w:val="28"/>
        </w:rPr>
        <w:t xml:space="preserve">of writing is so </w:t>
      </w:r>
      <w:r w:rsidR="00997CDB" w:rsidRPr="00997CDB">
        <w:rPr>
          <w:sz w:val="28"/>
          <w:szCs w:val="28"/>
        </w:rPr>
        <w:t>audience centred</w:t>
      </w:r>
      <w:r w:rsidRPr="00997CDB">
        <w:rPr>
          <w:sz w:val="28"/>
          <w:szCs w:val="28"/>
        </w:rPr>
        <w:t>. A technical report written for engineers</w:t>
      </w:r>
      <w:r w:rsidRPr="00997CDB">
        <w:rPr>
          <w:sz w:val="28"/>
          <w:szCs w:val="28"/>
        </w:rPr>
        <w:t> </w:t>
      </w:r>
      <w:r w:rsidRPr="00997CDB">
        <w:rPr>
          <w:sz w:val="28"/>
          <w:szCs w:val="28"/>
        </w:rPr>
        <w:t>could get into the nitty-gritty, while a consumer manual often resorts to a layman’s language. Visual aids — flowcharts, diagrams,</w:t>
      </w:r>
      <w:r w:rsidRPr="00997CDB">
        <w:rPr>
          <w:sz w:val="28"/>
          <w:szCs w:val="28"/>
        </w:rPr>
        <w:t> </w:t>
      </w:r>
      <w:r w:rsidRPr="00997CDB">
        <w:rPr>
          <w:sz w:val="28"/>
          <w:szCs w:val="28"/>
        </w:rPr>
        <w:t>screenshots — go along with the text, filling in the understanding gaps. For example, the Microsoft Manual of Style (2012) applies</w:t>
      </w:r>
      <w:r w:rsidRPr="00997CDB">
        <w:rPr>
          <w:sz w:val="28"/>
          <w:szCs w:val="28"/>
        </w:rPr>
        <w:t> </w:t>
      </w:r>
      <w:r w:rsidRPr="00997CDB">
        <w:rPr>
          <w:sz w:val="28"/>
          <w:szCs w:val="28"/>
        </w:rPr>
        <w:t>this precision to language to promote consistency among international contributors. Technical writing can be a matter of life and death</w:t>
      </w:r>
      <w:r w:rsidRPr="00997CDB">
        <w:rPr>
          <w:sz w:val="28"/>
          <w:szCs w:val="28"/>
        </w:rPr>
        <w:t> </w:t>
      </w:r>
      <w:r w:rsidRPr="00997CDB">
        <w:rPr>
          <w:sz w:val="28"/>
          <w:szCs w:val="28"/>
        </w:rPr>
        <w:t>in fields such as healthcare and aviation. A good instruction manual for a defibrillator, for example, allows first</w:t>
      </w:r>
      <w:r w:rsidRPr="00997CDB">
        <w:rPr>
          <w:sz w:val="28"/>
          <w:szCs w:val="28"/>
        </w:rPr>
        <w:t> </w:t>
      </w:r>
      <w:r w:rsidRPr="00997CDB">
        <w:rPr>
          <w:sz w:val="28"/>
          <w:szCs w:val="28"/>
        </w:rPr>
        <w:t>responders to proceed with confidence and speed.</w:t>
      </w:r>
    </w:p>
    <w:p w14:paraId="4254B02D" w14:textId="350681BA" w:rsidR="00362785" w:rsidRPr="00997CDB" w:rsidRDefault="00362785" w:rsidP="00362785">
      <w:pPr>
        <w:rPr>
          <w:rStyle w:val="Strong"/>
          <w:rFonts w:ascii="Times New Roman" w:hAnsi="Times New Roman" w:cs="Times New Roman"/>
          <w:color w:val="404040"/>
          <w:sz w:val="28"/>
          <w:szCs w:val="28"/>
          <w:shd w:val="clear" w:color="auto" w:fill="FFFFFF"/>
        </w:rPr>
      </w:pPr>
      <w:r w:rsidRPr="00997CDB">
        <w:rPr>
          <w:rStyle w:val="Strong"/>
          <w:rFonts w:ascii="Times New Roman" w:hAnsi="Times New Roman" w:cs="Times New Roman"/>
          <w:color w:val="404040"/>
          <w:sz w:val="28"/>
          <w:szCs w:val="28"/>
          <w:shd w:val="clear" w:color="auto" w:fill="FFFFFF"/>
        </w:rPr>
        <w:t>Interconnected Worlds</w:t>
      </w:r>
    </w:p>
    <w:p w14:paraId="29B4237F" w14:textId="1FD069E7" w:rsidR="00362785" w:rsidRPr="00997CDB" w:rsidRDefault="00362785" w:rsidP="00362785">
      <w:pPr>
        <w:rPr>
          <w:rFonts w:ascii="Times New Roman" w:hAnsi="Times New Roman" w:cs="Times New Roman"/>
          <w:sz w:val="28"/>
          <w:szCs w:val="28"/>
        </w:rPr>
      </w:pPr>
      <w:r w:rsidRPr="00997CDB">
        <w:rPr>
          <w:rFonts w:ascii="Times New Roman" w:hAnsi="Times New Roman" w:cs="Times New Roman"/>
          <w:sz w:val="28"/>
          <w:szCs w:val="28"/>
        </w:rPr>
        <w:t>All writing,</w:t>
      </w:r>
      <w:r w:rsidRPr="00997CDB">
        <w:rPr>
          <w:rFonts w:ascii="Times New Roman" w:hAnsi="Times New Roman" w:cs="Times New Roman"/>
          <w:sz w:val="28"/>
          <w:szCs w:val="28"/>
        </w:rPr>
        <w:t> </w:t>
      </w:r>
      <w:r w:rsidRPr="00997CDB">
        <w:rPr>
          <w:rFonts w:ascii="Times New Roman" w:hAnsi="Times New Roman" w:cs="Times New Roman"/>
          <w:sz w:val="28"/>
          <w:szCs w:val="28"/>
        </w:rPr>
        <w:t>in all its variety, is a demonstration of human innovation and flexibility. Academic writing builds the scaffolding of knowledge that</w:t>
      </w:r>
      <w:r w:rsidRPr="00997CDB">
        <w:rPr>
          <w:rFonts w:ascii="Times New Roman" w:hAnsi="Times New Roman" w:cs="Times New Roman"/>
          <w:sz w:val="28"/>
          <w:szCs w:val="28"/>
        </w:rPr>
        <w:t> </w:t>
      </w:r>
      <w:r w:rsidRPr="00997CDB">
        <w:rPr>
          <w:rFonts w:ascii="Times New Roman" w:hAnsi="Times New Roman" w:cs="Times New Roman"/>
          <w:sz w:val="28"/>
          <w:szCs w:val="28"/>
        </w:rPr>
        <w:t>allows us to dissect, discuss and explore. Creative writing activates the imagination by allowing the writer to</w:t>
      </w:r>
      <w:r w:rsidRPr="00997CDB">
        <w:rPr>
          <w:rFonts w:ascii="Times New Roman" w:hAnsi="Times New Roman" w:cs="Times New Roman"/>
          <w:sz w:val="28"/>
          <w:szCs w:val="28"/>
        </w:rPr>
        <w:t> </w:t>
      </w:r>
      <w:r w:rsidRPr="00997CDB">
        <w:rPr>
          <w:rFonts w:ascii="Times New Roman" w:hAnsi="Times New Roman" w:cs="Times New Roman"/>
          <w:sz w:val="28"/>
          <w:szCs w:val="28"/>
        </w:rPr>
        <w:t>reflect on abstract ideas like love—turning them into stories that transcend time and place. Journalistic writing serves as society’s compass, helping to navigate us through the cacophony of information to clarity and</w:t>
      </w:r>
      <w:r w:rsidRPr="00997CDB">
        <w:rPr>
          <w:rFonts w:ascii="Times New Roman" w:hAnsi="Times New Roman" w:cs="Times New Roman"/>
          <w:sz w:val="28"/>
          <w:szCs w:val="28"/>
        </w:rPr>
        <w:t> </w:t>
      </w:r>
      <w:r w:rsidRPr="00997CDB">
        <w:rPr>
          <w:rFonts w:ascii="Times New Roman" w:hAnsi="Times New Roman" w:cs="Times New Roman"/>
          <w:sz w:val="28"/>
          <w:szCs w:val="28"/>
        </w:rPr>
        <w:t>accountability. But technical writing is like the quiet engineer of progress, making complexity understandable and actionable, and</w:t>
      </w:r>
      <w:r w:rsidRPr="00997CDB">
        <w:rPr>
          <w:rFonts w:ascii="Times New Roman" w:hAnsi="Times New Roman" w:cs="Times New Roman"/>
          <w:sz w:val="28"/>
          <w:szCs w:val="28"/>
        </w:rPr>
        <w:t> </w:t>
      </w:r>
      <w:r w:rsidRPr="00997CDB">
        <w:rPr>
          <w:rFonts w:ascii="Times New Roman" w:hAnsi="Times New Roman" w:cs="Times New Roman"/>
          <w:sz w:val="28"/>
          <w:szCs w:val="28"/>
        </w:rPr>
        <w:t>it powers our daily life. While</w:t>
      </w:r>
      <w:r w:rsidRPr="00997CDB">
        <w:rPr>
          <w:rFonts w:ascii="Times New Roman" w:hAnsi="Times New Roman" w:cs="Times New Roman"/>
          <w:sz w:val="28"/>
          <w:szCs w:val="28"/>
        </w:rPr>
        <w:t> </w:t>
      </w:r>
      <w:r w:rsidRPr="00997CDB">
        <w:rPr>
          <w:rFonts w:ascii="Times New Roman" w:hAnsi="Times New Roman" w:cs="Times New Roman"/>
          <w:sz w:val="28"/>
          <w:szCs w:val="28"/>
        </w:rPr>
        <w:t xml:space="preserve">disparate in intent and execution, they are pieces of the same cloth, each indispensable to how we learn, feel, communicate and innovate. To learn to </w:t>
      </w:r>
      <w:r w:rsidRPr="00997CDB">
        <w:rPr>
          <w:rFonts w:ascii="Times New Roman" w:hAnsi="Times New Roman" w:cs="Times New Roman"/>
          <w:sz w:val="28"/>
          <w:szCs w:val="28"/>
        </w:rPr>
        <w:lastRenderedPageBreak/>
        <w:t>wield them is to have a toolkit for</w:t>
      </w:r>
      <w:r w:rsidRPr="00997CDB">
        <w:rPr>
          <w:rFonts w:ascii="Times New Roman" w:hAnsi="Times New Roman" w:cs="Times New Roman"/>
          <w:sz w:val="28"/>
          <w:szCs w:val="28"/>
        </w:rPr>
        <w:t> </w:t>
      </w:r>
      <w:r w:rsidRPr="00997CDB">
        <w:rPr>
          <w:rFonts w:ascii="Times New Roman" w:hAnsi="Times New Roman" w:cs="Times New Roman"/>
          <w:sz w:val="28"/>
          <w:szCs w:val="28"/>
        </w:rPr>
        <w:t>navigating an increasingly globalised world: one where words, in all their multiplicities, remain our most lasting bridge between minds.</w:t>
      </w:r>
    </w:p>
    <w:p w14:paraId="3DD1E1FA" w14:textId="77777777" w:rsidR="00362785" w:rsidRPr="00997CDB" w:rsidRDefault="00362785" w:rsidP="00362785">
      <w:pPr>
        <w:pStyle w:val="ds-markdown-paragraph"/>
        <w:shd w:val="clear" w:color="auto" w:fill="FFFFFF"/>
        <w:spacing w:before="206" w:beforeAutospacing="0" w:after="206" w:afterAutospacing="0" w:line="429" w:lineRule="atLeast"/>
        <w:rPr>
          <w:color w:val="404040"/>
          <w:sz w:val="28"/>
          <w:szCs w:val="28"/>
        </w:rPr>
      </w:pPr>
      <w:r w:rsidRPr="00997CDB">
        <w:rPr>
          <w:rStyle w:val="Strong"/>
          <w:rFonts w:eastAsiaTheme="majorEastAsia"/>
          <w:color w:val="404040"/>
          <w:sz w:val="28"/>
          <w:szCs w:val="28"/>
        </w:rPr>
        <w:t>References</w:t>
      </w:r>
    </w:p>
    <w:p w14:paraId="37D70664" w14:textId="77777777" w:rsidR="00362785" w:rsidRPr="00997CDB" w:rsidRDefault="00362785" w:rsidP="00362785">
      <w:pPr>
        <w:pStyle w:val="ds-markdown-paragraph"/>
        <w:shd w:val="clear" w:color="auto" w:fill="FFFFFF"/>
        <w:spacing w:before="206" w:beforeAutospacing="0" w:after="206" w:afterAutospacing="0" w:line="429" w:lineRule="atLeast"/>
        <w:rPr>
          <w:color w:val="404040"/>
          <w:sz w:val="28"/>
          <w:szCs w:val="28"/>
        </w:rPr>
      </w:pPr>
      <w:r w:rsidRPr="00997CDB">
        <w:rPr>
          <w:color w:val="404040"/>
          <w:sz w:val="28"/>
          <w:szCs w:val="28"/>
        </w:rPr>
        <w:t>Graff, G. and Birkenstein, C., 2014. </w:t>
      </w:r>
      <w:r w:rsidRPr="00997CDB">
        <w:rPr>
          <w:rStyle w:val="Emphasis"/>
          <w:rFonts w:eastAsiaTheme="majorEastAsia"/>
          <w:color w:val="404040"/>
          <w:sz w:val="28"/>
          <w:szCs w:val="28"/>
        </w:rPr>
        <w:t>They Say / I Say: The Moves That Matter in Academic Writing</w:t>
      </w:r>
      <w:r w:rsidRPr="00997CDB">
        <w:rPr>
          <w:color w:val="404040"/>
          <w:sz w:val="28"/>
          <w:szCs w:val="28"/>
        </w:rPr>
        <w:t>. 3rd ed. New York: W.W. Norton &amp; Company.</w:t>
      </w:r>
      <w:r w:rsidRPr="00997CDB">
        <w:rPr>
          <w:color w:val="404040"/>
          <w:sz w:val="28"/>
          <w:szCs w:val="28"/>
        </w:rPr>
        <w:br/>
        <w:t>King, S., 2000. </w:t>
      </w:r>
      <w:r w:rsidRPr="00997CDB">
        <w:rPr>
          <w:rStyle w:val="Emphasis"/>
          <w:rFonts w:eastAsiaTheme="majorEastAsia"/>
          <w:color w:val="404040"/>
          <w:sz w:val="28"/>
          <w:szCs w:val="28"/>
        </w:rPr>
        <w:t>On Writing: A Memoir of the Craft</w:t>
      </w:r>
      <w:r w:rsidRPr="00997CDB">
        <w:rPr>
          <w:color w:val="404040"/>
          <w:sz w:val="28"/>
          <w:szCs w:val="28"/>
        </w:rPr>
        <w:t>. New York: Scribner.</w:t>
      </w:r>
      <w:r w:rsidRPr="00997CDB">
        <w:rPr>
          <w:color w:val="404040"/>
          <w:sz w:val="28"/>
          <w:szCs w:val="28"/>
        </w:rPr>
        <w:br/>
        <w:t>Kovach, B. and Rosenstiel, T., 2007. </w:t>
      </w:r>
      <w:r w:rsidRPr="00997CDB">
        <w:rPr>
          <w:rStyle w:val="Emphasis"/>
          <w:rFonts w:eastAsiaTheme="majorEastAsia"/>
          <w:color w:val="404040"/>
          <w:sz w:val="28"/>
          <w:szCs w:val="28"/>
        </w:rPr>
        <w:t xml:space="preserve">The Elements of Journalism: What Newspeople Should </w:t>
      </w:r>
      <w:proofErr w:type="gramStart"/>
      <w:r w:rsidRPr="00997CDB">
        <w:rPr>
          <w:rStyle w:val="Emphasis"/>
          <w:rFonts w:eastAsiaTheme="majorEastAsia"/>
          <w:color w:val="404040"/>
          <w:sz w:val="28"/>
          <w:szCs w:val="28"/>
        </w:rPr>
        <w:t>Know</w:t>
      </w:r>
      <w:proofErr w:type="gramEnd"/>
      <w:r w:rsidRPr="00997CDB">
        <w:rPr>
          <w:rStyle w:val="Emphasis"/>
          <w:rFonts w:eastAsiaTheme="majorEastAsia"/>
          <w:color w:val="404040"/>
          <w:sz w:val="28"/>
          <w:szCs w:val="28"/>
        </w:rPr>
        <w:t xml:space="preserve"> and the Public Should Expect</w:t>
      </w:r>
      <w:r w:rsidRPr="00997CDB">
        <w:rPr>
          <w:color w:val="404040"/>
          <w:sz w:val="28"/>
          <w:szCs w:val="28"/>
        </w:rPr>
        <w:t>. New York: Three Rivers Press.</w:t>
      </w:r>
      <w:r w:rsidRPr="00997CDB">
        <w:rPr>
          <w:color w:val="404040"/>
          <w:sz w:val="28"/>
          <w:szCs w:val="28"/>
        </w:rPr>
        <w:br/>
        <w:t>Microsoft, 2012. </w:t>
      </w:r>
      <w:r w:rsidRPr="00997CDB">
        <w:rPr>
          <w:rStyle w:val="Emphasis"/>
          <w:rFonts w:eastAsiaTheme="majorEastAsia"/>
          <w:color w:val="404040"/>
          <w:sz w:val="28"/>
          <w:szCs w:val="28"/>
        </w:rPr>
        <w:t>Microsoft Manual of Style</w:t>
      </w:r>
      <w:r w:rsidRPr="00997CDB">
        <w:rPr>
          <w:color w:val="404040"/>
          <w:sz w:val="28"/>
          <w:szCs w:val="28"/>
        </w:rPr>
        <w:t>. 4th ed. Redmond: Microsoft Press.</w:t>
      </w:r>
    </w:p>
    <w:p w14:paraId="30B62FA6" w14:textId="77777777" w:rsidR="00362785" w:rsidRPr="00997CDB" w:rsidRDefault="00362785" w:rsidP="00362785">
      <w:pPr>
        <w:rPr>
          <w:rFonts w:ascii="Times New Roman" w:hAnsi="Times New Roman" w:cs="Times New Roman"/>
          <w:sz w:val="28"/>
          <w:szCs w:val="28"/>
        </w:rPr>
      </w:pPr>
    </w:p>
    <w:sectPr w:rsidR="00362785" w:rsidRPr="00997CD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3DBD64" w14:textId="77777777" w:rsidR="00AE0A48" w:rsidRDefault="00AE0A48" w:rsidP="00A63540">
      <w:pPr>
        <w:spacing w:after="0" w:line="240" w:lineRule="auto"/>
      </w:pPr>
      <w:r>
        <w:separator/>
      </w:r>
    </w:p>
  </w:endnote>
  <w:endnote w:type="continuationSeparator" w:id="0">
    <w:p w14:paraId="69E83273" w14:textId="77777777" w:rsidR="00AE0A48" w:rsidRDefault="00AE0A48" w:rsidP="00A635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122E0C" w14:textId="77777777" w:rsidR="00AE0A48" w:rsidRDefault="00AE0A48" w:rsidP="00A63540">
      <w:pPr>
        <w:spacing w:after="0" w:line="240" w:lineRule="auto"/>
      </w:pPr>
      <w:r>
        <w:separator/>
      </w:r>
    </w:p>
  </w:footnote>
  <w:footnote w:type="continuationSeparator" w:id="0">
    <w:p w14:paraId="02CC2150" w14:textId="77777777" w:rsidR="00AE0A48" w:rsidRDefault="00AE0A48" w:rsidP="00A6354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oNotDisplayPageBoundarie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2785"/>
    <w:rsid w:val="00362785"/>
    <w:rsid w:val="007642BB"/>
    <w:rsid w:val="00997CDB"/>
    <w:rsid w:val="00A63540"/>
    <w:rsid w:val="00AE0A48"/>
    <w:rsid w:val="00C152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1817C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278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6278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6278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6278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6278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6278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6278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6278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6278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278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6278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6278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6278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6278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627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627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627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62785"/>
    <w:rPr>
      <w:rFonts w:eastAsiaTheme="majorEastAsia" w:cstheme="majorBidi"/>
      <w:color w:val="272727" w:themeColor="text1" w:themeTint="D8"/>
    </w:rPr>
  </w:style>
  <w:style w:type="paragraph" w:styleId="Title">
    <w:name w:val="Title"/>
    <w:basedOn w:val="Normal"/>
    <w:next w:val="Normal"/>
    <w:link w:val="TitleChar"/>
    <w:uiPriority w:val="10"/>
    <w:qFormat/>
    <w:rsid w:val="0036278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27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6278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627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62785"/>
    <w:pPr>
      <w:spacing w:before="160"/>
      <w:jc w:val="center"/>
    </w:pPr>
    <w:rPr>
      <w:i/>
      <w:iCs/>
      <w:color w:val="404040" w:themeColor="text1" w:themeTint="BF"/>
    </w:rPr>
  </w:style>
  <w:style w:type="character" w:customStyle="1" w:styleId="QuoteChar">
    <w:name w:val="Quote Char"/>
    <w:basedOn w:val="DefaultParagraphFont"/>
    <w:link w:val="Quote"/>
    <w:uiPriority w:val="29"/>
    <w:rsid w:val="00362785"/>
    <w:rPr>
      <w:i/>
      <w:iCs/>
      <w:color w:val="404040" w:themeColor="text1" w:themeTint="BF"/>
    </w:rPr>
  </w:style>
  <w:style w:type="paragraph" w:styleId="ListParagraph">
    <w:name w:val="List Paragraph"/>
    <w:basedOn w:val="Normal"/>
    <w:uiPriority w:val="34"/>
    <w:qFormat/>
    <w:rsid w:val="00362785"/>
    <w:pPr>
      <w:ind w:left="720"/>
      <w:contextualSpacing/>
    </w:pPr>
  </w:style>
  <w:style w:type="character" w:styleId="IntenseEmphasis">
    <w:name w:val="Intense Emphasis"/>
    <w:basedOn w:val="DefaultParagraphFont"/>
    <w:uiPriority w:val="21"/>
    <w:qFormat/>
    <w:rsid w:val="00362785"/>
    <w:rPr>
      <w:i/>
      <w:iCs/>
      <w:color w:val="0F4761" w:themeColor="accent1" w:themeShade="BF"/>
    </w:rPr>
  </w:style>
  <w:style w:type="paragraph" w:styleId="IntenseQuote">
    <w:name w:val="Intense Quote"/>
    <w:basedOn w:val="Normal"/>
    <w:next w:val="Normal"/>
    <w:link w:val="IntenseQuoteChar"/>
    <w:uiPriority w:val="30"/>
    <w:qFormat/>
    <w:rsid w:val="0036278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62785"/>
    <w:rPr>
      <w:i/>
      <w:iCs/>
      <w:color w:val="0F4761" w:themeColor="accent1" w:themeShade="BF"/>
    </w:rPr>
  </w:style>
  <w:style w:type="character" w:styleId="IntenseReference">
    <w:name w:val="Intense Reference"/>
    <w:basedOn w:val="DefaultParagraphFont"/>
    <w:uiPriority w:val="32"/>
    <w:qFormat/>
    <w:rsid w:val="00362785"/>
    <w:rPr>
      <w:b/>
      <w:bCs/>
      <w:smallCaps/>
      <w:color w:val="0F4761" w:themeColor="accent1" w:themeShade="BF"/>
      <w:spacing w:val="5"/>
    </w:rPr>
  </w:style>
  <w:style w:type="character" w:styleId="Strong">
    <w:name w:val="Strong"/>
    <w:basedOn w:val="DefaultParagraphFont"/>
    <w:uiPriority w:val="22"/>
    <w:qFormat/>
    <w:rsid w:val="00362785"/>
    <w:rPr>
      <w:b/>
      <w:bCs/>
    </w:rPr>
  </w:style>
  <w:style w:type="paragraph" w:styleId="NormalWeb">
    <w:name w:val="Normal (Web)"/>
    <w:basedOn w:val="Normal"/>
    <w:uiPriority w:val="99"/>
    <w:semiHidden/>
    <w:unhideWhenUsed/>
    <w:rsid w:val="0036278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ds-markdown-paragraph">
    <w:name w:val="ds-markdown-paragraph"/>
    <w:basedOn w:val="Normal"/>
    <w:rsid w:val="0036278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362785"/>
    <w:rPr>
      <w:i/>
      <w:iCs/>
    </w:rPr>
  </w:style>
  <w:style w:type="paragraph" w:styleId="Header">
    <w:name w:val="header"/>
    <w:basedOn w:val="Normal"/>
    <w:link w:val="HeaderChar"/>
    <w:uiPriority w:val="99"/>
    <w:unhideWhenUsed/>
    <w:rsid w:val="00A635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3540"/>
  </w:style>
  <w:style w:type="paragraph" w:styleId="Footer">
    <w:name w:val="footer"/>
    <w:basedOn w:val="Normal"/>
    <w:link w:val="FooterChar"/>
    <w:uiPriority w:val="99"/>
    <w:unhideWhenUsed/>
    <w:rsid w:val="00A635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35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300533">
      <w:bodyDiv w:val="1"/>
      <w:marLeft w:val="0"/>
      <w:marRight w:val="0"/>
      <w:marTop w:val="0"/>
      <w:marBottom w:val="0"/>
      <w:divBdr>
        <w:top w:val="none" w:sz="0" w:space="0" w:color="auto"/>
        <w:left w:val="none" w:sz="0" w:space="0" w:color="auto"/>
        <w:bottom w:val="none" w:sz="0" w:space="0" w:color="auto"/>
        <w:right w:val="none" w:sz="0" w:space="0" w:color="auto"/>
      </w:divBdr>
    </w:div>
    <w:div w:id="487861668">
      <w:bodyDiv w:val="1"/>
      <w:marLeft w:val="0"/>
      <w:marRight w:val="0"/>
      <w:marTop w:val="0"/>
      <w:marBottom w:val="0"/>
      <w:divBdr>
        <w:top w:val="none" w:sz="0" w:space="0" w:color="auto"/>
        <w:left w:val="none" w:sz="0" w:space="0" w:color="auto"/>
        <w:bottom w:val="none" w:sz="0" w:space="0" w:color="auto"/>
        <w:right w:val="none" w:sz="0" w:space="0" w:color="auto"/>
      </w:divBdr>
    </w:div>
    <w:div w:id="740446564">
      <w:bodyDiv w:val="1"/>
      <w:marLeft w:val="0"/>
      <w:marRight w:val="0"/>
      <w:marTop w:val="0"/>
      <w:marBottom w:val="0"/>
      <w:divBdr>
        <w:top w:val="none" w:sz="0" w:space="0" w:color="auto"/>
        <w:left w:val="none" w:sz="0" w:space="0" w:color="auto"/>
        <w:bottom w:val="none" w:sz="0" w:space="0" w:color="auto"/>
        <w:right w:val="none" w:sz="0" w:space="0" w:color="auto"/>
      </w:divBdr>
    </w:div>
    <w:div w:id="1125388912">
      <w:bodyDiv w:val="1"/>
      <w:marLeft w:val="0"/>
      <w:marRight w:val="0"/>
      <w:marTop w:val="0"/>
      <w:marBottom w:val="0"/>
      <w:divBdr>
        <w:top w:val="none" w:sz="0" w:space="0" w:color="auto"/>
        <w:left w:val="none" w:sz="0" w:space="0" w:color="auto"/>
        <w:bottom w:val="none" w:sz="0" w:space="0" w:color="auto"/>
        <w:right w:val="none" w:sz="0" w:space="0" w:color="auto"/>
      </w:divBdr>
    </w:div>
    <w:div w:id="1327826378">
      <w:bodyDiv w:val="1"/>
      <w:marLeft w:val="0"/>
      <w:marRight w:val="0"/>
      <w:marTop w:val="0"/>
      <w:marBottom w:val="0"/>
      <w:divBdr>
        <w:top w:val="none" w:sz="0" w:space="0" w:color="auto"/>
        <w:left w:val="none" w:sz="0" w:space="0" w:color="auto"/>
        <w:bottom w:val="none" w:sz="0" w:space="0" w:color="auto"/>
        <w:right w:val="none" w:sz="0" w:space="0" w:color="auto"/>
      </w:divBdr>
    </w:div>
    <w:div w:id="13484076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1089</Words>
  <Characters>6208</Characters>
  <Application>Microsoft Office Word</Application>
  <DocSecurity>0</DocSecurity>
  <Lines>51</Lines>
  <Paragraphs>14</Paragraphs>
  <ScaleCrop>false</ScaleCrop>
  <Company/>
  <LinksUpToDate>false</LinksUpToDate>
  <CharactersWithSpaces>7283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2025-04-29T20:44:00Z</dcterms:created>
  <dcterms:modified xsi:type="dcterms:W3CDTF">2025-04-29T20:44:00Z</dcterms:modified>
</cp:coreProperties>
</file>