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A93" w:rsidRPr="007E109E" w:rsidRDefault="00E70A93" w:rsidP="007E109E">
      <w:pPr>
        <w:spacing w:after="0" w:line="276" w:lineRule="auto"/>
        <w:jc w:val="center"/>
        <w:rPr>
          <w:sz w:val="24"/>
          <w:szCs w:val="24"/>
          <w:u w:val="single"/>
        </w:rPr>
      </w:pPr>
      <w:r w:rsidRPr="007E109E">
        <w:rPr>
          <w:sz w:val="24"/>
          <w:szCs w:val="24"/>
          <w:u w:val="single"/>
        </w:rPr>
        <w:t>Zoe Pugh, 1801043.</w:t>
      </w:r>
    </w:p>
    <w:p w:rsidR="00E70A93" w:rsidRPr="007E109E" w:rsidRDefault="00E70A93" w:rsidP="007E109E">
      <w:pPr>
        <w:spacing w:after="0" w:line="276" w:lineRule="auto"/>
        <w:rPr>
          <w:sz w:val="24"/>
          <w:szCs w:val="24"/>
        </w:rPr>
      </w:pPr>
      <w:r w:rsidRPr="007E109E">
        <w:rPr>
          <w:b/>
          <w:sz w:val="24"/>
          <w:szCs w:val="24"/>
        </w:rPr>
        <w:t>Aspect 1 of Portfolio: Paraphrase a section from a selected book chapter (500 words)</w:t>
      </w:r>
    </w:p>
    <w:p w:rsidR="00E70A93" w:rsidRPr="007E109E" w:rsidRDefault="00E70A93" w:rsidP="007E109E">
      <w:pPr>
        <w:spacing w:after="0" w:line="276" w:lineRule="auto"/>
        <w:rPr>
          <w:sz w:val="24"/>
          <w:szCs w:val="24"/>
        </w:rPr>
      </w:pPr>
    </w:p>
    <w:p w:rsidR="00E70A93" w:rsidRPr="007E109E" w:rsidRDefault="00E70A93" w:rsidP="007E109E">
      <w:pPr>
        <w:spacing w:after="0" w:line="276" w:lineRule="auto"/>
        <w:rPr>
          <w:sz w:val="24"/>
          <w:szCs w:val="24"/>
        </w:rPr>
      </w:pPr>
      <w:r w:rsidRPr="007E109E">
        <w:rPr>
          <w:sz w:val="24"/>
          <w:szCs w:val="24"/>
        </w:rPr>
        <w:t xml:space="preserve">I will be summarising pages 577 to 578 from Chapter 37 of Gross’ book, “The Science of Mind and Behaviour”.  </w:t>
      </w:r>
    </w:p>
    <w:p w:rsidR="00E70A93" w:rsidRPr="007E109E" w:rsidRDefault="00E70A93" w:rsidP="007E109E">
      <w:pPr>
        <w:spacing w:after="0" w:line="276" w:lineRule="auto"/>
        <w:rPr>
          <w:sz w:val="24"/>
          <w:szCs w:val="24"/>
        </w:rPr>
      </w:pPr>
    </w:p>
    <w:p w:rsidR="00E70A93" w:rsidRPr="007E109E" w:rsidRDefault="00E70A93" w:rsidP="007E109E">
      <w:pPr>
        <w:spacing w:after="0" w:line="276" w:lineRule="auto"/>
        <w:rPr>
          <w:sz w:val="24"/>
          <w:szCs w:val="24"/>
        </w:rPr>
      </w:pPr>
      <w:r w:rsidRPr="007E109E">
        <w:rPr>
          <w:sz w:val="24"/>
          <w:szCs w:val="24"/>
        </w:rPr>
        <w:t xml:space="preserve">As stated by Gross (2010), the term adolescence derives from Latin and refers to how a person matures as they reach, and grow during, this stage. This milestone deals with a large portion of psychological alterations as it marks a person developing from a child into a young adult; this is accompanied by evident changes in physical, emotional and social development. </w:t>
      </w:r>
    </w:p>
    <w:p w:rsidR="00E70A93" w:rsidRPr="007E109E" w:rsidRDefault="00E70A93" w:rsidP="007E109E">
      <w:pPr>
        <w:spacing w:after="0" w:line="276" w:lineRule="auto"/>
        <w:rPr>
          <w:sz w:val="24"/>
          <w:szCs w:val="24"/>
        </w:rPr>
      </w:pPr>
    </w:p>
    <w:p w:rsidR="00E70A93" w:rsidRPr="007E109E" w:rsidRDefault="00E70A93" w:rsidP="007E109E">
      <w:pPr>
        <w:spacing w:after="0" w:line="276" w:lineRule="auto"/>
        <w:rPr>
          <w:sz w:val="24"/>
          <w:szCs w:val="24"/>
        </w:rPr>
      </w:pPr>
      <w:r w:rsidRPr="007E109E">
        <w:rPr>
          <w:sz w:val="24"/>
          <w:szCs w:val="24"/>
        </w:rPr>
        <w:t xml:space="preserve">Although traditionally adolescence was viewed as a single, set transition from childhood into adulthood, a more modernised approach has highlighted how it replicates a series of transitions in multiple aspects of life including education, employment, and living circumstances (Coleman and Roker, 1998, cited in Gross, 2010). This perspective change reflects how attitudes towards this development have also converted from generation to generation and have emphasised how traditional views are no longer influential (Coleman and Hendry, 1990, cited in Gross, 2010). </w:t>
      </w:r>
    </w:p>
    <w:p w:rsidR="00E70A93" w:rsidRPr="007E109E" w:rsidRDefault="00E70A93" w:rsidP="007E109E">
      <w:pPr>
        <w:spacing w:after="0" w:line="276" w:lineRule="auto"/>
        <w:ind w:firstLine="720"/>
        <w:rPr>
          <w:sz w:val="24"/>
          <w:szCs w:val="24"/>
        </w:rPr>
      </w:pPr>
      <w:r w:rsidRPr="007E109E">
        <w:rPr>
          <w:sz w:val="24"/>
          <w:szCs w:val="24"/>
        </w:rPr>
        <w:t>Adult</w:t>
      </w:r>
      <w:r w:rsidR="005E5A5B">
        <w:rPr>
          <w:sz w:val="24"/>
          <w:szCs w:val="24"/>
        </w:rPr>
        <w:t>hood</w:t>
      </w:r>
      <w:r w:rsidRPr="007E109E">
        <w:rPr>
          <w:sz w:val="24"/>
          <w:szCs w:val="24"/>
        </w:rPr>
        <w:t xml:space="preserve">-postponing is a term that has been coined to mark this shift in development, and it describes how the youth are attempting to prolong their younger years as, during this period of time, they are free from the constraints of adulthood, but are no longer generalised as being children. </w:t>
      </w:r>
    </w:p>
    <w:p w:rsidR="00E70A93" w:rsidRPr="007E109E" w:rsidRDefault="00E70A93" w:rsidP="007E109E">
      <w:pPr>
        <w:spacing w:after="0" w:line="276" w:lineRule="auto"/>
        <w:rPr>
          <w:sz w:val="24"/>
          <w:szCs w:val="24"/>
        </w:rPr>
      </w:pPr>
    </w:p>
    <w:p w:rsidR="00E70A93" w:rsidRPr="007E109E" w:rsidRDefault="00E70A93" w:rsidP="007E109E">
      <w:pPr>
        <w:spacing w:after="0" w:line="276" w:lineRule="auto"/>
        <w:rPr>
          <w:sz w:val="24"/>
          <w:szCs w:val="24"/>
        </w:rPr>
      </w:pPr>
      <w:r w:rsidRPr="007E109E">
        <w:rPr>
          <w:sz w:val="24"/>
          <w:szCs w:val="24"/>
        </w:rPr>
        <w:t>Presented in this chapter are two categorical terms that are effective in describing broad transitions that adolescent’s experience; normative and non-normative shifts</w:t>
      </w:r>
      <w:r w:rsidR="00175A40">
        <w:rPr>
          <w:sz w:val="24"/>
          <w:szCs w:val="24"/>
        </w:rPr>
        <w:t xml:space="preserve"> </w:t>
      </w:r>
      <w:r w:rsidRPr="007E109E">
        <w:rPr>
          <w:sz w:val="24"/>
          <w:szCs w:val="24"/>
        </w:rPr>
        <w:t xml:space="preserve">(Hendry and </w:t>
      </w:r>
      <w:proofErr w:type="spellStart"/>
      <w:r w:rsidRPr="007E109E">
        <w:rPr>
          <w:sz w:val="24"/>
          <w:szCs w:val="24"/>
        </w:rPr>
        <w:t>Kloep</w:t>
      </w:r>
      <w:proofErr w:type="spellEnd"/>
      <w:r w:rsidRPr="007E109E">
        <w:rPr>
          <w:sz w:val="24"/>
          <w:szCs w:val="24"/>
        </w:rPr>
        <w:t xml:space="preserve">, 1999, cited in Gross, 2010), with two variations of normative shifts identified alongside one non-normative shift. </w:t>
      </w:r>
    </w:p>
    <w:p w:rsidR="00E70A93" w:rsidRPr="007E109E" w:rsidRDefault="00E70A93" w:rsidP="007E109E">
      <w:pPr>
        <w:spacing w:after="0" w:line="276" w:lineRule="auto"/>
        <w:rPr>
          <w:sz w:val="24"/>
          <w:szCs w:val="24"/>
        </w:rPr>
      </w:pPr>
      <w:r w:rsidRPr="007E109E">
        <w:rPr>
          <w:sz w:val="24"/>
          <w:szCs w:val="24"/>
        </w:rPr>
        <w:tab/>
        <w:t xml:space="preserve">A normative, maturational shift refers to a variety of physical changes that are prominent during this stage, as well as the increase of relationships, development of a gender-identity and greater independence.  Menarche, nocturnal emissions and the development of sexual organs are classic examples of this. A normative, society-dependent shift relates to changes that alter the way that a person is perceived and treated depending on societies treatment and expectations. An example of this may include gaining additional legal rights, changing occupation or cohabiting. Lastly, a non-normative shift links to experiences or events that take place which have a negative effect and/or connotation attached, and impact the life of the individual poorly; societal disadvantage/deprivation, natural disasters, and death all cause a similar disruption and alteration. </w:t>
      </w:r>
    </w:p>
    <w:p w:rsidR="00E70A93" w:rsidRPr="007E109E" w:rsidRDefault="00E70A93" w:rsidP="007E109E">
      <w:pPr>
        <w:spacing w:after="0" w:line="276" w:lineRule="auto"/>
        <w:rPr>
          <w:sz w:val="24"/>
          <w:szCs w:val="24"/>
        </w:rPr>
      </w:pPr>
      <w:r w:rsidRPr="007E109E">
        <w:rPr>
          <w:sz w:val="24"/>
          <w:szCs w:val="24"/>
        </w:rPr>
        <w:lastRenderedPageBreak/>
        <w:tab/>
        <w:t>It is possible for an event categorised as a non-normative shift to originate from a normative shift (</w:t>
      </w:r>
      <w:proofErr w:type="spellStart"/>
      <w:r w:rsidRPr="007E109E">
        <w:rPr>
          <w:sz w:val="24"/>
          <w:szCs w:val="24"/>
        </w:rPr>
        <w:t>Kloep</w:t>
      </w:r>
      <w:proofErr w:type="spellEnd"/>
      <w:r w:rsidRPr="007E109E">
        <w:rPr>
          <w:sz w:val="24"/>
          <w:szCs w:val="24"/>
        </w:rPr>
        <w:t xml:space="preserve"> and Hendry, 1999, cited in Gross, 2010); one of the main examples of this is a period either beginning incredibly early or incredibly late, compared to the general scope of understanding relating to menstrual cycles. This may possibly occur due to circumstances that can make a usual developmental task more difficult to achieve. </w:t>
      </w:r>
    </w:p>
    <w:p w:rsidR="00E70A93" w:rsidRPr="007E109E" w:rsidRDefault="00E70A93" w:rsidP="007E109E">
      <w:pPr>
        <w:spacing w:after="0" w:line="276" w:lineRule="auto"/>
        <w:rPr>
          <w:sz w:val="24"/>
          <w:szCs w:val="24"/>
        </w:rPr>
      </w:pPr>
    </w:p>
    <w:p w:rsidR="00E70A93" w:rsidRPr="007E109E" w:rsidRDefault="00E70A93" w:rsidP="007E109E">
      <w:pPr>
        <w:spacing w:after="0" w:line="276" w:lineRule="auto"/>
        <w:rPr>
          <w:sz w:val="24"/>
          <w:szCs w:val="24"/>
        </w:rPr>
      </w:pPr>
      <w:r w:rsidRPr="007E109E">
        <w:rPr>
          <w:sz w:val="24"/>
          <w:szCs w:val="24"/>
        </w:rPr>
        <w:t>Generally, puberty is viewed as one of the most, if not the most, important adjustments. It is complex in all aspects, including the biological and psychological changes it evokes during its process. Even though all people experience puberty, it is simultaneously unique for each individual as the development stages, order of development or development speed can vary.</w:t>
      </w:r>
    </w:p>
    <w:p w:rsidR="00E70A93" w:rsidRPr="007E109E" w:rsidRDefault="00E70A93" w:rsidP="007E109E">
      <w:pPr>
        <w:spacing w:after="0" w:line="276" w:lineRule="auto"/>
        <w:rPr>
          <w:sz w:val="24"/>
          <w:szCs w:val="24"/>
        </w:rPr>
      </w:pPr>
    </w:p>
    <w:p w:rsidR="00E70A93" w:rsidRPr="007E109E" w:rsidRDefault="00E70A93" w:rsidP="007E109E">
      <w:pPr>
        <w:spacing w:after="0" w:line="276" w:lineRule="auto"/>
        <w:rPr>
          <w:sz w:val="24"/>
          <w:szCs w:val="24"/>
        </w:rPr>
      </w:pPr>
      <w:r w:rsidRPr="007E109E">
        <w:rPr>
          <w:sz w:val="24"/>
          <w:szCs w:val="24"/>
        </w:rPr>
        <w:t xml:space="preserve">Gross, R.D. (2010). </w:t>
      </w:r>
      <w:r w:rsidRPr="007E109E">
        <w:rPr>
          <w:i/>
          <w:sz w:val="24"/>
          <w:szCs w:val="24"/>
        </w:rPr>
        <w:t>Psychology: The Science of Mind and Behaviour.</w:t>
      </w:r>
      <w:r w:rsidRPr="007E109E">
        <w:rPr>
          <w:sz w:val="24"/>
          <w:szCs w:val="24"/>
        </w:rPr>
        <w:t xml:space="preserve"> 6th edition. London: Hodder </w:t>
      </w:r>
    </w:p>
    <w:p w:rsidR="00E70A93" w:rsidRPr="007E109E" w:rsidRDefault="00E70A93" w:rsidP="007E109E">
      <w:pPr>
        <w:spacing w:after="0" w:line="276" w:lineRule="auto"/>
        <w:ind w:firstLine="720"/>
        <w:rPr>
          <w:sz w:val="24"/>
          <w:szCs w:val="24"/>
        </w:rPr>
      </w:pPr>
      <w:r w:rsidRPr="007E109E">
        <w:rPr>
          <w:sz w:val="24"/>
          <w:szCs w:val="24"/>
        </w:rPr>
        <w:t xml:space="preserve">and Stoughton. </w:t>
      </w: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E70A93" w:rsidRPr="007E109E" w:rsidRDefault="00E70A93" w:rsidP="007E109E">
      <w:pPr>
        <w:spacing w:line="276" w:lineRule="auto"/>
      </w:pPr>
    </w:p>
    <w:p w:rsidR="007E109E" w:rsidRDefault="007E109E" w:rsidP="007E109E">
      <w:pPr>
        <w:spacing w:after="0" w:line="276" w:lineRule="auto"/>
      </w:pPr>
    </w:p>
    <w:p w:rsidR="007E109E" w:rsidRDefault="007E109E" w:rsidP="007E109E">
      <w:pPr>
        <w:spacing w:after="0" w:line="276" w:lineRule="auto"/>
        <w:rPr>
          <w:b/>
          <w:sz w:val="24"/>
          <w:szCs w:val="24"/>
        </w:rPr>
      </w:pPr>
    </w:p>
    <w:p w:rsidR="007E109E" w:rsidRDefault="007E109E" w:rsidP="007E109E">
      <w:pPr>
        <w:spacing w:after="0" w:line="276" w:lineRule="auto"/>
        <w:rPr>
          <w:b/>
          <w:sz w:val="24"/>
          <w:szCs w:val="24"/>
        </w:rPr>
      </w:pPr>
    </w:p>
    <w:p w:rsidR="006A0AD6" w:rsidRPr="007E109E" w:rsidRDefault="006A0AD6" w:rsidP="007E109E">
      <w:pPr>
        <w:spacing w:after="0" w:line="276" w:lineRule="auto"/>
        <w:rPr>
          <w:b/>
          <w:sz w:val="24"/>
          <w:szCs w:val="24"/>
        </w:rPr>
      </w:pPr>
      <w:r w:rsidRPr="007E109E">
        <w:rPr>
          <w:b/>
          <w:sz w:val="24"/>
          <w:szCs w:val="24"/>
        </w:rPr>
        <w:lastRenderedPageBreak/>
        <w:t>Aspect 2 of Portfolio: Summarise three selected journal paper into appropriate 120-150 word abstracts (450-500 words).</w:t>
      </w:r>
    </w:p>
    <w:p w:rsidR="006A0AD6" w:rsidRPr="007E109E" w:rsidRDefault="006A0AD6" w:rsidP="007E109E">
      <w:pPr>
        <w:spacing w:after="0" w:line="276" w:lineRule="auto"/>
        <w:rPr>
          <w:b/>
          <w:sz w:val="24"/>
          <w:szCs w:val="24"/>
        </w:rPr>
      </w:pPr>
    </w:p>
    <w:p w:rsidR="006A0AD6" w:rsidRPr="007E109E" w:rsidRDefault="006A0AD6" w:rsidP="007E109E">
      <w:pPr>
        <w:spacing w:after="0" w:line="276" w:lineRule="auto"/>
        <w:rPr>
          <w:sz w:val="24"/>
          <w:szCs w:val="24"/>
        </w:rPr>
      </w:pPr>
      <w:r w:rsidRPr="007E109E">
        <w:rPr>
          <w:sz w:val="24"/>
          <w:szCs w:val="24"/>
        </w:rPr>
        <w:t>An abstract sets the tone of a paper, with the aim of it being a condensed, yet detailed representation of the text within 200-250 words. It is the singular section of information a referee is able to view when they are invited to review a manuscript and the aspect that readers see when they are searching through electronic databases. A majority of readers only acknowledge the abstract originally, with only a select amount of readers pursuing the content of the paper itself. An abstract typically consists of particular qualities, including background information, the methods used, the results obtained, and an overall conclusion; all of these components are crucial to how effective and inviting the abstract is. An abstract should never claim to be more than what the text displays, while simultaneously attempting to convey the precise message of the paper in an concise manner.</w:t>
      </w:r>
    </w:p>
    <w:p w:rsidR="006A0AD6" w:rsidRPr="007E109E" w:rsidRDefault="006A0AD6" w:rsidP="007E109E">
      <w:pPr>
        <w:spacing w:after="0" w:line="276" w:lineRule="auto"/>
        <w:rPr>
          <w:sz w:val="24"/>
          <w:szCs w:val="24"/>
        </w:rPr>
      </w:pPr>
    </w:p>
    <w:p w:rsidR="006A0AD6" w:rsidRPr="007E109E" w:rsidRDefault="006A0AD6" w:rsidP="007E109E">
      <w:pPr>
        <w:spacing w:after="0" w:line="276" w:lineRule="auto"/>
        <w:rPr>
          <w:sz w:val="24"/>
          <w:szCs w:val="24"/>
        </w:rPr>
      </w:pPr>
      <w:r w:rsidRPr="007E109E">
        <w:rPr>
          <w:sz w:val="24"/>
          <w:szCs w:val="24"/>
        </w:rPr>
        <w:t xml:space="preserve">Andrade, C. (2011, April). How to write a good abstract for a scientific paper or conference </w:t>
      </w:r>
    </w:p>
    <w:p w:rsidR="006A0AD6" w:rsidRPr="007E109E" w:rsidRDefault="006A0AD6" w:rsidP="007E109E">
      <w:pPr>
        <w:spacing w:after="0" w:line="276" w:lineRule="auto"/>
        <w:ind w:firstLine="720"/>
        <w:rPr>
          <w:sz w:val="24"/>
          <w:szCs w:val="24"/>
        </w:rPr>
      </w:pPr>
      <w:r w:rsidRPr="007E109E">
        <w:rPr>
          <w:sz w:val="24"/>
          <w:szCs w:val="24"/>
        </w:rPr>
        <w:t xml:space="preserve">paper. Retrieved from </w:t>
      </w:r>
      <w:hyperlink r:id="rId4" w:history="1">
        <w:r w:rsidRPr="007E109E">
          <w:rPr>
            <w:rStyle w:val="Hyperlink"/>
            <w:sz w:val="24"/>
            <w:szCs w:val="24"/>
          </w:rPr>
          <w:t>https://www.ncbi.nlm.nih.gov/pmc/articles/PMC3136027/</w:t>
        </w:r>
      </w:hyperlink>
      <w:r w:rsidRPr="007E109E">
        <w:rPr>
          <w:sz w:val="24"/>
          <w:szCs w:val="24"/>
        </w:rPr>
        <w:t xml:space="preserve">. </w:t>
      </w:r>
    </w:p>
    <w:p w:rsidR="006A0AD6" w:rsidRPr="007E109E" w:rsidRDefault="006A0AD6" w:rsidP="007E109E">
      <w:pPr>
        <w:spacing w:after="0" w:line="276" w:lineRule="auto"/>
        <w:rPr>
          <w:sz w:val="24"/>
          <w:szCs w:val="24"/>
        </w:rPr>
      </w:pPr>
    </w:p>
    <w:p w:rsidR="006A0AD6" w:rsidRPr="007E109E" w:rsidRDefault="006A0AD6" w:rsidP="007E109E">
      <w:pPr>
        <w:spacing w:after="0" w:line="276" w:lineRule="auto"/>
        <w:rPr>
          <w:sz w:val="24"/>
          <w:szCs w:val="24"/>
        </w:rPr>
      </w:pPr>
      <w:r w:rsidRPr="007E109E">
        <w:rPr>
          <w:sz w:val="24"/>
          <w:szCs w:val="24"/>
        </w:rPr>
        <w:t>Narcissism is a personality trait categorised by feeling relating to self-entitlement and superiority, and is suggested to possibly derive from hypersensitivity in some regions of the brain. As mentioned, men often have a tendency to score higher on tests that are created to detect narcissism. There is a complex relationship that exists between narcissism and health; some evidence claims that it is linked to positive well-being, whereas others have made a connection to risk behaviour, anxiety, depression, and isolation. A brief comment also states that self-esteem is derived from a balanced relationship between narcissism and a healthy well-being. A study was conducted that focused on the role that narcissism played in 365 undergraduate students in relation to health risk and health protective behaviour; to collect data, participants completed a classroom questionnaire. Results discovered that among the students, narcissism was predictive of substance abuse and students were solely focused on the potential rewards of their actions. The conclusion claims that narcissism can become a health risk when associated with health risk behaviour, although further research is necessary to grasp a greater insight into this topic.</w:t>
      </w:r>
    </w:p>
    <w:p w:rsidR="006A0AD6" w:rsidRPr="007E109E" w:rsidRDefault="006A0AD6" w:rsidP="007E109E">
      <w:pPr>
        <w:spacing w:after="0" w:line="276" w:lineRule="auto"/>
        <w:rPr>
          <w:sz w:val="24"/>
          <w:szCs w:val="24"/>
        </w:rPr>
      </w:pPr>
    </w:p>
    <w:p w:rsidR="006A0AD6" w:rsidRPr="007E109E" w:rsidRDefault="006A0AD6" w:rsidP="007E109E">
      <w:pPr>
        <w:spacing w:after="0" w:line="276" w:lineRule="auto"/>
        <w:rPr>
          <w:sz w:val="24"/>
          <w:szCs w:val="24"/>
        </w:rPr>
      </w:pPr>
      <w:r w:rsidRPr="007E109E">
        <w:rPr>
          <w:sz w:val="24"/>
          <w:szCs w:val="24"/>
        </w:rPr>
        <w:t xml:space="preserve">Hill, E.M. (2015, February). The role of narcissism in health-risk and health-protective </w:t>
      </w:r>
    </w:p>
    <w:p w:rsidR="006A0AD6" w:rsidRPr="007E109E" w:rsidRDefault="006A0AD6" w:rsidP="00A9078B">
      <w:pPr>
        <w:spacing w:after="0" w:line="276" w:lineRule="auto"/>
        <w:ind w:left="720"/>
        <w:rPr>
          <w:sz w:val="24"/>
          <w:szCs w:val="24"/>
        </w:rPr>
      </w:pPr>
      <w:proofErr w:type="spellStart"/>
      <w:r w:rsidRPr="007E109E">
        <w:rPr>
          <w:sz w:val="24"/>
          <w:szCs w:val="24"/>
        </w:rPr>
        <w:t>behaviours</w:t>
      </w:r>
      <w:proofErr w:type="spellEnd"/>
      <w:r w:rsidRPr="007E109E">
        <w:rPr>
          <w:sz w:val="24"/>
          <w:szCs w:val="24"/>
        </w:rPr>
        <w:t>. Retrieve</w:t>
      </w:r>
      <w:r w:rsidR="00A9078B">
        <w:rPr>
          <w:sz w:val="24"/>
          <w:szCs w:val="24"/>
        </w:rPr>
        <w:t xml:space="preserve">d from </w:t>
      </w:r>
      <w:hyperlink r:id="rId5" w:history="1">
        <w:r w:rsidRPr="007E109E">
          <w:rPr>
            <w:rStyle w:val="Hyperlink"/>
            <w:sz w:val="24"/>
            <w:szCs w:val="24"/>
          </w:rPr>
          <w:t>http://journals.sagepub.com/doi/10.1177/1359105315569858</w:t>
        </w:r>
      </w:hyperlink>
      <w:r w:rsidRPr="007E109E">
        <w:rPr>
          <w:sz w:val="24"/>
          <w:szCs w:val="24"/>
        </w:rPr>
        <w:t xml:space="preserve">. </w:t>
      </w:r>
    </w:p>
    <w:p w:rsidR="006A0AD6" w:rsidRPr="007E109E" w:rsidRDefault="006A0AD6" w:rsidP="007E109E">
      <w:pPr>
        <w:spacing w:after="0" w:line="276" w:lineRule="auto"/>
        <w:rPr>
          <w:sz w:val="24"/>
          <w:szCs w:val="24"/>
        </w:rPr>
      </w:pPr>
    </w:p>
    <w:p w:rsidR="006A0AD6" w:rsidRPr="007E109E" w:rsidRDefault="006A0AD6" w:rsidP="007E109E">
      <w:pPr>
        <w:spacing w:after="0" w:line="276" w:lineRule="auto"/>
        <w:rPr>
          <w:sz w:val="24"/>
          <w:szCs w:val="24"/>
        </w:rPr>
      </w:pPr>
      <w:r w:rsidRPr="007E109E">
        <w:rPr>
          <w:sz w:val="24"/>
          <w:szCs w:val="24"/>
        </w:rPr>
        <w:t xml:space="preserve">Gambling is an increasing epidemic, and as the intensity of this behaviour increases, so does the potential negative consequences. Some research indicates that the student population is </w:t>
      </w:r>
      <w:r w:rsidRPr="007E109E">
        <w:rPr>
          <w:sz w:val="24"/>
          <w:szCs w:val="24"/>
        </w:rPr>
        <w:lastRenderedPageBreak/>
        <w:t>possibly vulnerable to this type of behaviour, and if they do engage in this, then they do so at a distorted level and are at a greater risk of substance abuse and exerting risky behaviour. The Theory of Planned Behaviour (TPB) is an adaptation of the Theory of Reasoned Action; the central focus is an individual's intention to perform a certain behaviour and it's three determents: attitude, norms and perceived behavioural control. The purpose of the study was to examine how effective the TPB model was in predicting gambling behaviour. The method utilised was self-report, classroom-based questionnaires, with 785 students participating. The age range spanned from 17-49, with the results demonstrating how gender, class, and ethnicity all correlated findings as men, those from the higher class, and Caucasians were more likely to gamble within the sample. The conclusion states that TPB is useful in assisting explanations of gambling patterns, and suggests that an efficient way of decreasing the issue would be to target the effect the three TPB determents have.</w:t>
      </w:r>
    </w:p>
    <w:p w:rsidR="006A0AD6" w:rsidRPr="007E109E" w:rsidRDefault="006A0AD6" w:rsidP="007E109E">
      <w:pPr>
        <w:spacing w:after="0" w:line="276" w:lineRule="auto"/>
        <w:rPr>
          <w:sz w:val="24"/>
          <w:szCs w:val="24"/>
        </w:rPr>
      </w:pPr>
    </w:p>
    <w:p w:rsidR="006A0AD6" w:rsidRPr="007E109E" w:rsidRDefault="006A0AD6" w:rsidP="007E109E">
      <w:pPr>
        <w:spacing w:after="0" w:line="276" w:lineRule="auto"/>
        <w:rPr>
          <w:sz w:val="24"/>
          <w:szCs w:val="24"/>
        </w:rPr>
      </w:pPr>
      <w:r w:rsidRPr="007E109E">
        <w:rPr>
          <w:sz w:val="24"/>
          <w:szCs w:val="24"/>
        </w:rPr>
        <w:t xml:space="preserve">Martin, R.J., Nelson, S., </w:t>
      </w:r>
      <w:proofErr w:type="spellStart"/>
      <w:r w:rsidRPr="007E109E">
        <w:rPr>
          <w:sz w:val="24"/>
          <w:szCs w:val="24"/>
        </w:rPr>
        <w:t>LaPlante</w:t>
      </w:r>
      <w:proofErr w:type="spellEnd"/>
      <w:r w:rsidRPr="007E109E">
        <w:rPr>
          <w:sz w:val="24"/>
          <w:szCs w:val="24"/>
        </w:rPr>
        <w:t xml:space="preserve">, D., Shaffer, H., </w:t>
      </w:r>
      <w:proofErr w:type="spellStart"/>
      <w:r w:rsidRPr="007E109E">
        <w:rPr>
          <w:sz w:val="24"/>
          <w:szCs w:val="24"/>
        </w:rPr>
        <w:t>Perko</w:t>
      </w:r>
      <w:proofErr w:type="spellEnd"/>
      <w:r w:rsidRPr="007E109E">
        <w:rPr>
          <w:sz w:val="24"/>
          <w:szCs w:val="24"/>
        </w:rPr>
        <w:t xml:space="preserve">, M. </w:t>
      </w:r>
      <w:proofErr w:type="spellStart"/>
      <w:r w:rsidRPr="007E109E">
        <w:rPr>
          <w:sz w:val="24"/>
          <w:szCs w:val="24"/>
        </w:rPr>
        <w:t>Umstattd</w:t>
      </w:r>
      <w:proofErr w:type="spellEnd"/>
      <w:r w:rsidRPr="007E109E">
        <w:rPr>
          <w:sz w:val="24"/>
          <w:szCs w:val="24"/>
        </w:rPr>
        <w:t xml:space="preserve">, M.R., &amp; </w:t>
      </w:r>
      <w:proofErr w:type="spellStart"/>
      <w:r w:rsidRPr="007E109E">
        <w:rPr>
          <w:sz w:val="24"/>
          <w:szCs w:val="24"/>
        </w:rPr>
        <w:t>Usdan</w:t>
      </w:r>
      <w:proofErr w:type="spellEnd"/>
      <w:r w:rsidRPr="007E109E">
        <w:rPr>
          <w:sz w:val="24"/>
          <w:szCs w:val="24"/>
        </w:rPr>
        <w:t xml:space="preserve">, S. (2010). </w:t>
      </w:r>
    </w:p>
    <w:p w:rsidR="006A0AD6" w:rsidRPr="007E109E" w:rsidRDefault="006A0AD6" w:rsidP="007E109E">
      <w:pPr>
        <w:spacing w:after="0" w:line="276" w:lineRule="auto"/>
        <w:ind w:left="720"/>
        <w:rPr>
          <w:sz w:val="24"/>
          <w:szCs w:val="24"/>
        </w:rPr>
      </w:pPr>
      <w:r w:rsidRPr="007E109E">
        <w:rPr>
          <w:sz w:val="24"/>
          <w:szCs w:val="24"/>
        </w:rPr>
        <w:t xml:space="preserve">Using Theory of Planned Behaviour to Predict Gambling Behaviour. In </w:t>
      </w:r>
      <w:r w:rsidRPr="007E109E">
        <w:rPr>
          <w:i/>
          <w:sz w:val="24"/>
          <w:szCs w:val="24"/>
        </w:rPr>
        <w:t>Psychology of Addictive Behaviour’s</w:t>
      </w:r>
      <w:r w:rsidR="00D42927" w:rsidRPr="007E109E">
        <w:rPr>
          <w:i/>
          <w:sz w:val="24"/>
          <w:szCs w:val="24"/>
        </w:rPr>
        <w:t>.</w:t>
      </w:r>
      <w:r w:rsidRPr="007E109E">
        <w:rPr>
          <w:sz w:val="24"/>
          <w:szCs w:val="24"/>
        </w:rPr>
        <w:t xml:space="preserve"> pp. 89-97.</w:t>
      </w: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6A0AD6" w:rsidRPr="007E109E" w:rsidRDefault="006A0AD6" w:rsidP="007E109E">
      <w:pPr>
        <w:spacing w:after="0" w:line="276" w:lineRule="auto"/>
        <w:ind w:left="720"/>
        <w:rPr>
          <w:sz w:val="24"/>
          <w:szCs w:val="24"/>
        </w:rPr>
      </w:pPr>
    </w:p>
    <w:p w:rsidR="00954A08" w:rsidRDefault="00954A08" w:rsidP="00954A08">
      <w:pPr>
        <w:shd w:val="clear" w:color="auto" w:fill="FFFFFF"/>
        <w:spacing w:after="0" w:line="276" w:lineRule="auto"/>
        <w:rPr>
          <w:sz w:val="24"/>
          <w:szCs w:val="24"/>
        </w:rPr>
      </w:pPr>
    </w:p>
    <w:p w:rsidR="00BD1997" w:rsidRPr="00BD1997" w:rsidRDefault="00BD1997" w:rsidP="00954A08">
      <w:pPr>
        <w:shd w:val="clear" w:color="auto" w:fill="FFFFFF"/>
        <w:spacing w:after="0" w:line="276" w:lineRule="auto"/>
        <w:rPr>
          <w:rFonts w:eastAsia="Times New Roman" w:cs="Arial"/>
          <w:color w:val="373A3C"/>
          <w:sz w:val="18"/>
          <w:szCs w:val="18"/>
          <w:lang w:val="en-GB" w:eastAsia="en-GB"/>
        </w:rPr>
      </w:pPr>
      <w:r w:rsidRPr="00BD1997">
        <w:rPr>
          <w:rFonts w:eastAsia="Arial" w:cs="Arial"/>
          <w:b/>
          <w:color w:val="000000"/>
          <w:sz w:val="24"/>
          <w:lang w:val="en-GB" w:eastAsia="en-GB" w:bidi="en-GB"/>
        </w:rPr>
        <w:lastRenderedPageBreak/>
        <w:t>Aspect 3 of Portfolio - Create a reference list (500 words).</w:t>
      </w:r>
    </w:p>
    <w:p w:rsidR="00BD1997" w:rsidRPr="00BD1997" w:rsidRDefault="00BD1997" w:rsidP="007E109E">
      <w:pPr>
        <w:spacing w:after="0" w:line="276" w:lineRule="auto"/>
        <w:rPr>
          <w:rFonts w:eastAsia="Arial" w:cs="Arial"/>
          <w:b/>
          <w:color w:val="000000"/>
          <w:sz w:val="24"/>
          <w:lang w:val="en-GB" w:eastAsia="en-GB" w:bidi="en-GB"/>
        </w:rPr>
      </w:pPr>
    </w:p>
    <w:p w:rsidR="00BD1997" w:rsidRPr="00BD1997" w:rsidRDefault="00BD1997" w:rsidP="007E109E">
      <w:pPr>
        <w:spacing w:after="0" w:line="276" w:lineRule="auto"/>
        <w:ind w:left="730" w:hanging="370"/>
        <w:rPr>
          <w:rFonts w:eastAsia="Arial" w:cs="Arial"/>
          <w:color w:val="000000"/>
          <w:sz w:val="24"/>
          <w:lang w:val="en-GB" w:eastAsia="en-GB" w:bidi="en-GB"/>
        </w:rPr>
      </w:pPr>
      <w:r w:rsidRPr="00BD1997">
        <w:rPr>
          <w:rFonts w:eastAsia="Arial" w:cs="Arial"/>
          <w:color w:val="000000"/>
          <w:sz w:val="24"/>
          <w:lang w:val="en-GB" w:eastAsia="en-GB" w:bidi="en-GB"/>
        </w:rPr>
        <w:t xml:space="preserve">Bennett, P. (2011). </w:t>
      </w:r>
      <w:r w:rsidRPr="00BD1997">
        <w:rPr>
          <w:rFonts w:eastAsia="Arial" w:cs="Arial"/>
          <w:i/>
          <w:color w:val="000000"/>
          <w:sz w:val="24"/>
          <w:lang w:val="en-GB" w:eastAsia="en-GB" w:bidi="en-GB"/>
        </w:rPr>
        <w:t>Abnormal and clinical psychology: an introductory textbook.</w:t>
      </w:r>
      <w:r w:rsidRPr="00BD1997">
        <w:rPr>
          <w:rFonts w:eastAsia="Arial" w:cs="Arial"/>
          <w:color w:val="000000"/>
          <w:sz w:val="24"/>
          <w:lang w:val="en-GB" w:eastAsia="en-GB" w:bidi="en-GB"/>
        </w:rPr>
        <w:t xml:space="preserve"> (3rd </w:t>
      </w:r>
      <w:proofErr w:type="spellStart"/>
      <w:r w:rsidRPr="00BD1997">
        <w:rPr>
          <w:rFonts w:eastAsia="Arial" w:cs="Arial"/>
          <w:color w:val="000000"/>
          <w:sz w:val="24"/>
          <w:lang w:val="en-GB" w:eastAsia="en-GB" w:bidi="en-GB"/>
        </w:rPr>
        <w:t>ed</w:t>
      </w:r>
      <w:proofErr w:type="spellEnd"/>
      <w:r w:rsidRPr="00BD1997">
        <w:rPr>
          <w:rFonts w:eastAsia="Arial" w:cs="Arial"/>
          <w:color w:val="000000"/>
          <w:sz w:val="24"/>
          <w:lang w:val="en-GB" w:eastAsia="en-GB" w:bidi="en-GB"/>
        </w:rPr>
        <w:t xml:space="preserve">) Berkshire: Open university press. </w:t>
      </w:r>
    </w:p>
    <w:p w:rsidR="00BD1997" w:rsidRPr="00BD1997" w:rsidRDefault="00BD1997" w:rsidP="007E109E">
      <w:pPr>
        <w:spacing w:after="0" w:line="276" w:lineRule="auto"/>
        <w:rPr>
          <w:rFonts w:eastAsia="Arial" w:cs="Arial"/>
          <w:color w:val="000000"/>
          <w:sz w:val="24"/>
          <w:lang w:val="en-GB" w:eastAsia="en-GB" w:bidi="en-GB"/>
        </w:rPr>
      </w:pPr>
    </w:p>
    <w:p w:rsidR="00BD1997" w:rsidRPr="00BD1997" w:rsidRDefault="00BD1997" w:rsidP="007E109E">
      <w:pPr>
        <w:spacing w:after="0" w:line="276" w:lineRule="auto"/>
        <w:ind w:left="730" w:hanging="370"/>
        <w:rPr>
          <w:rFonts w:eastAsia="Arial" w:cs="Arial"/>
          <w:color w:val="000000"/>
          <w:sz w:val="24"/>
          <w:lang w:val="en-GB" w:eastAsia="en-GB" w:bidi="en-GB"/>
        </w:rPr>
      </w:pPr>
      <w:r w:rsidRPr="00BD1997">
        <w:rPr>
          <w:rFonts w:eastAsia="Arial" w:cs="Arial"/>
          <w:color w:val="000000"/>
          <w:sz w:val="24"/>
          <w:lang w:val="en-GB" w:eastAsia="en-GB" w:bidi="en-GB"/>
        </w:rPr>
        <w:t xml:space="preserve">Davey, G. (2014) </w:t>
      </w:r>
      <w:r w:rsidRPr="00BD1997">
        <w:rPr>
          <w:rFonts w:eastAsia="Arial" w:cs="Arial"/>
          <w:i/>
          <w:color w:val="000000"/>
          <w:sz w:val="24"/>
          <w:lang w:val="en-GB" w:eastAsia="en-GB" w:bidi="en-GB"/>
        </w:rPr>
        <w:t>Psychopathology: Research, Assessment, and Treatment in Clinical Psychology.</w:t>
      </w:r>
      <w:r w:rsidRPr="00BD1997">
        <w:rPr>
          <w:rFonts w:eastAsia="Arial" w:cs="Arial"/>
          <w:color w:val="000000"/>
          <w:sz w:val="24"/>
          <w:lang w:val="en-GB" w:eastAsia="en-GB" w:bidi="en-GB"/>
        </w:rPr>
        <w:t xml:space="preserve"> (2nd </w:t>
      </w:r>
      <w:proofErr w:type="spellStart"/>
      <w:r w:rsidRPr="00BD1997">
        <w:rPr>
          <w:rFonts w:eastAsia="Arial" w:cs="Arial"/>
          <w:color w:val="000000"/>
          <w:sz w:val="24"/>
          <w:lang w:val="en-GB" w:eastAsia="en-GB" w:bidi="en-GB"/>
        </w:rPr>
        <w:t>ed</w:t>
      </w:r>
      <w:proofErr w:type="spellEnd"/>
      <w:r w:rsidRPr="00BD1997">
        <w:rPr>
          <w:rFonts w:eastAsia="Arial" w:cs="Arial"/>
          <w:color w:val="000000"/>
          <w:sz w:val="24"/>
          <w:lang w:val="en-GB" w:eastAsia="en-GB" w:bidi="en-GB"/>
        </w:rPr>
        <w:t xml:space="preserve">) Oxford: Blackwell. </w:t>
      </w:r>
    </w:p>
    <w:p w:rsidR="00BD1997" w:rsidRDefault="00BD1997" w:rsidP="007E109E">
      <w:pPr>
        <w:spacing w:after="0" w:line="276" w:lineRule="auto"/>
        <w:rPr>
          <w:rFonts w:eastAsia="Arial" w:cs="Arial"/>
          <w:color w:val="000000"/>
          <w:sz w:val="24"/>
          <w:lang w:val="en-GB" w:eastAsia="en-GB" w:bidi="en-GB"/>
        </w:rPr>
      </w:pPr>
    </w:p>
    <w:p w:rsidR="0098441B" w:rsidRDefault="004618A4" w:rsidP="004618A4">
      <w:pPr>
        <w:spacing w:after="0" w:line="276" w:lineRule="auto"/>
        <w:ind w:left="360"/>
        <w:rPr>
          <w:rFonts w:eastAsia="Arial" w:cs="Arial"/>
          <w:i/>
          <w:color w:val="000000"/>
          <w:sz w:val="24"/>
          <w:lang w:val="en-GB" w:eastAsia="en-GB" w:bidi="en-GB"/>
        </w:rPr>
      </w:pPr>
      <w:r w:rsidRPr="004618A4">
        <w:rPr>
          <w:rFonts w:eastAsia="Arial" w:cs="Arial"/>
          <w:color w:val="000000"/>
          <w:sz w:val="24"/>
          <w:lang w:val="en-GB" w:eastAsia="en-GB" w:bidi="en-GB"/>
        </w:rPr>
        <w:t xml:space="preserve">Day, S. (2015, September 9th – 11th). Developmental Psychology Section: </w:t>
      </w:r>
      <w:r w:rsidRPr="004618A4">
        <w:rPr>
          <w:rFonts w:eastAsia="Arial" w:cs="Arial"/>
          <w:i/>
          <w:color w:val="000000"/>
          <w:sz w:val="24"/>
          <w:lang w:val="en-GB" w:eastAsia="en-GB" w:bidi="en-GB"/>
        </w:rPr>
        <w:t xml:space="preserve">Families </w:t>
      </w:r>
    </w:p>
    <w:p w:rsidR="0098441B" w:rsidRDefault="004618A4" w:rsidP="0098441B">
      <w:pPr>
        <w:spacing w:after="0" w:line="276" w:lineRule="auto"/>
        <w:ind w:left="360" w:firstLine="360"/>
        <w:rPr>
          <w:rFonts w:eastAsia="Arial" w:cs="Arial"/>
          <w:color w:val="000000"/>
          <w:sz w:val="24"/>
          <w:lang w:val="en-GB" w:eastAsia="en-GB" w:bidi="en-GB"/>
        </w:rPr>
      </w:pPr>
      <w:r w:rsidRPr="004618A4">
        <w:rPr>
          <w:rFonts w:eastAsia="Arial" w:cs="Arial"/>
          <w:i/>
          <w:color w:val="000000"/>
          <w:sz w:val="24"/>
          <w:lang w:val="en-GB" w:eastAsia="en-GB" w:bidi="en-GB"/>
        </w:rPr>
        <w:t>experiences of Poverty Stigma in Education.</w:t>
      </w:r>
      <w:r w:rsidRPr="004618A4">
        <w:rPr>
          <w:rFonts w:eastAsia="Arial" w:cs="Arial"/>
          <w:color w:val="000000"/>
          <w:sz w:val="24"/>
          <w:lang w:val="en-GB" w:eastAsia="en-GB" w:bidi="en-GB"/>
        </w:rPr>
        <w:t xml:space="preserve"> Presentation presented at University of </w:t>
      </w:r>
    </w:p>
    <w:p w:rsidR="004618A4" w:rsidRDefault="004618A4" w:rsidP="0098441B">
      <w:pPr>
        <w:spacing w:after="0" w:line="276" w:lineRule="auto"/>
        <w:ind w:left="360" w:firstLine="360"/>
        <w:rPr>
          <w:rFonts w:eastAsia="Arial" w:cs="Arial"/>
          <w:color w:val="000000"/>
          <w:sz w:val="24"/>
          <w:lang w:val="en-GB" w:eastAsia="en-GB" w:bidi="en-GB"/>
        </w:rPr>
      </w:pPr>
      <w:bookmarkStart w:id="0" w:name="_GoBack"/>
      <w:bookmarkEnd w:id="0"/>
      <w:r w:rsidRPr="004618A4">
        <w:rPr>
          <w:rFonts w:eastAsia="Arial" w:cs="Arial"/>
          <w:color w:val="000000"/>
          <w:sz w:val="24"/>
          <w:lang w:val="en-GB" w:eastAsia="en-GB" w:bidi="en-GB"/>
        </w:rPr>
        <w:t>Central Lancashire. Psychology 46, no. 6. (pp. 269-375).</w:t>
      </w:r>
    </w:p>
    <w:p w:rsidR="004618A4" w:rsidRPr="00BD1997" w:rsidRDefault="004618A4" w:rsidP="007E109E">
      <w:pPr>
        <w:spacing w:after="0" w:line="276" w:lineRule="auto"/>
        <w:rPr>
          <w:rFonts w:eastAsia="Arial" w:cs="Arial"/>
          <w:color w:val="000000"/>
          <w:sz w:val="24"/>
          <w:lang w:val="en-GB" w:eastAsia="en-GB" w:bidi="en-GB"/>
        </w:rPr>
      </w:pPr>
    </w:p>
    <w:p w:rsidR="00BD1997" w:rsidRPr="00BD1997" w:rsidRDefault="00BD1997" w:rsidP="007E109E">
      <w:pPr>
        <w:spacing w:after="0" w:line="276" w:lineRule="auto"/>
        <w:ind w:left="360"/>
        <w:rPr>
          <w:rFonts w:eastAsia="Arial" w:cs="Arial"/>
          <w:i/>
          <w:color w:val="000000"/>
          <w:sz w:val="24"/>
          <w:lang w:val="en-GB" w:eastAsia="en-GB" w:bidi="en-GB"/>
        </w:rPr>
      </w:pPr>
      <w:proofErr w:type="spellStart"/>
      <w:r w:rsidRPr="00BD1997">
        <w:rPr>
          <w:rFonts w:eastAsia="Arial" w:cs="Arial"/>
          <w:color w:val="000000"/>
          <w:sz w:val="24"/>
          <w:lang w:val="en-GB" w:eastAsia="en-GB" w:bidi="en-GB"/>
        </w:rPr>
        <w:t>Geekie</w:t>
      </w:r>
      <w:proofErr w:type="spellEnd"/>
      <w:r w:rsidRPr="00BD1997">
        <w:rPr>
          <w:rFonts w:eastAsia="Arial" w:cs="Arial"/>
          <w:color w:val="000000"/>
          <w:sz w:val="24"/>
          <w:lang w:val="en-GB" w:eastAsia="en-GB" w:bidi="en-GB"/>
        </w:rPr>
        <w:t xml:space="preserve">, J., &amp; Read, J. (2009). </w:t>
      </w:r>
      <w:r w:rsidRPr="00BD1997">
        <w:rPr>
          <w:rFonts w:eastAsia="Arial" w:cs="Arial"/>
          <w:i/>
          <w:color w:val="000000"/>
          <w:sz w:val="24"/>
          <w:lang w:val="en-GB" w:eastAsia="en-GB" w:bidi="en-GB"/>
        </w:rPr>
        <w:t xml:space="preserve">Making sense of madness: Contesting the </w:t>
      </w:r>
    </w:p>
    <w:p w:rsidR="00BD1997" w:rsidRP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i/>
          <w:color w:val="000000"/>
          <w:sz w:val="24"/>
          <w:lang w:val="en-GB" w:eastAsia="en-GB" w:bidi="en-GB"/>
        </w:rPr>
        <w:t>meaning of schizophrenia.</w:t>
      </w:r>
      <w:r w:rsidRPr="00BD1997">
        <w:rPr>
          <w:rFonts w:eastAsia="Arial" w:cs="Arial"/>
          <w:color w:val="000000"/>
          <w:sz w:val="24"/>
          <w:lang w:val="en-GB" w:eastAsia="en-GB" w:bidi="en-GB"/>
        </w:rPr>
        <w:t xml:space="preserve"> London: Routledge Taylor &amp; Francis. Retrieved </w:t>
      </w:r>
    </w:p>
    <w:p w:rsidR="00BD1997" w:rsidRPr="00BD1997" w:rsidRDefault="00BD1997" w:rsidP="007E109E">
      <w:pPr>
        <w:spacing w:after="0" w:line="276" w:lineRule="auto"/>
        <w:ind w:left="720"/>
        <w:rPr>
          <w:rFonts w:eastAsia="Arial" w:cs="Arial"/>
          <w:color w:val="000000"/>
          <w:sz w:val="24"/>
          <w:lang w:val="en-GB" w:eastAsia="en-GB" w:bidi="en-GB"/>
        </w:rPr>
      </w:pPr>
      <w:r w:rsidRPr="00BD1997">
        <w:rPr>
          <w:rFonts w:eastAsia="Arial" w:cs="Arial"/>
          <w:color w:val="000000"/>
          <w:sz w:val="24"/>
          <w:lang w:val="en-GB" w:eastAsia="en-GB" w:bidi="en-GB"/>
        </w:rPr>
        <w:t xml:space="preserve">from </w:t>
      </w:r>
      <w:hyperlink r:id="rId6" w:history="1">
        <w:r w:rsidRPr="00BD1997">
          <w:rPr>
            <w:rFonts w:eastAsia="Arial" w:cs="Arial"/>
            <w:color w:val="0563C1" w:themeColor="hyperlink"/>
            <w:sz w:val="24"/>
            <w:u w:val="single"/>
            <w:lang w:val="en-GB" w:eastAsia="en-GB" w:bidi="en-GB"/>
          </w:rPr>
          <w:t>http://www.tandfebooks.com/doi/view/10.4324/9780203878422</w:t>
        </w:r>
      </w:hyperlink>
      <w:r w:rsidRPr="00BD1997">
        <w:rPr>
          <w:rFonts w:eastAsia="Arial" w:cs="Arial"/>
          <w:color w:val="000000"/>
          <w:sz w:val="24"/>
          <w:lang w:val="en-GB" w:eastAsia="en-GB" w:bidi="en-GB"/>
        </w:rPr>
        <w:t xml:space="preserve">. </w:t>
      </w:r>
    </w:p>
    <w:p w:rsidR="00BD1997" w:rsidRPr="00BD1997" w:rsidRDefault="00BD1997" w:rsidP="007E109E">
      <w:pPr>
        <w:spacing w:after="0" w:line="276" w:lineRule="auto"/>
        <w:rPr>
          <w:rFonts w:eastAsia="Arial" w:cs="Arial"/>
          <w:color w:val="000000"/>
          <w:sz w:val="24"/>
          <w:lang w:val="en-GB" w:eastAsia="en-GB" w:bidi="en-GB"/>
        </w:rPr>
      </w:pPr>
    </w:p>
    <w:p w:rsidR="002F5939" w:rsidRDefault="002F5939" w:rsidP="002F5939">
      <w:pPr>
        <w:spacing w:after="0" w:line="276" w:lineRule="auto"/>
        <w:ind w:left="730" w:hanging="370"/>
        <w:rPr>
          <w:rFonts w:eastAsia="Arial" w:cs="Arial"/>
          <w:color w:val="000000"/>
          <w:sz w:val="24"/>
          <w:lang w:val="en-GB" w:eastAsia="en-GB" w:bidi="en-GB"/>
        </w:rPr>
      </w:pPr>
      <w:proofErr w:type="spellStart"/>
      <w:r w:rsidRPr="005C1898">
        <w:rPr>
          <w:rFonts w:eastAsia="Arial" w:cs="Arial"/>
          <w:color w:val="000000"/>
          <w:sz w:val="24"/>
          <w:lang w:val="en-GB" w:eastAsia="en-GB" w:bidi="en-GB"/>
        </w:rPr>
        <w:t>Hanton</w:t>
      </w:r>
      <w:proofErr w:type="spellEnd"/>
      <w:r w:rsidRPr="005C1898">
        <w:rPr>
          <w:rFonts w:eastAsia="Arial" w:cs="Arial"/>
          <w:color w:val="000000"/>
          <w:sz w:val="24"/>
          <w:lang w:val="en-GB" w:eastAsia="en-GB" w:bidi="en-GB"/>
        </w:rPr>
        <w:t xml:space="preserve">, S., and </w:t>
      </w:r>
      <w:proofErr w:type="spellStart"/>
      <w:r w:rsidRPr="005C1898">
        <w:rPr>
          <w:rFonts w:eastAsia="Arial" w:cs="Arial"/>
          <w:color w:val="000000"/>
          <w:sz w:val="24"/>
          <w:lang w:val="en-GB" w:eastAsia="en-GB" w:bidi="en-GB"/>
        </w:rPr>
        <w:t>Meelalieu</w:t>
      </w:r>
      <w:proofErr w:type="spellEnd"/>
      <w:r w:rsidRPr="005C1898">
        <w:rPr>
          <w:rFonts w:eastAsia="Arial" w:cs="Arial"/>
          <w:color w:val="000000"/>
          <w:sz w:val="24"/>
          <w:lang w:val="en-GB" w:eastAsia="en-GB" w:bidi="en-GB"/>
        </w:rPr>
        <w:t xml:space="preserve">, S.D. (2006). Literature reviews in Sport Psychology. In Evans, L., Mitchell, I.D., and Jones, S. (Eds.) </w:t>
      </w:r>
      <w:r w:rsidRPr="005C1898">
        <w:rPr>
          <w:rFonts w:eastAsia="Arial" w:cs="Arial"/>
          <w:i/>
          <w:color w:val="000000"/>
          <w:sz w:val="24"/>
          <w:lang w:val="en-GB" w:eastAsia="en-GB" w:bidi="en-GB"/>
        </w:rPr>
        <w:t xml:space="preserve">Psychological Response to Sport Injury </w:t>
      </w:r>
      <w:r w:rsidRPr="005C1898">
        <w:rPr>
          <w:rFonts w:eastAsia="Arial" w:cs="Arial"/>
          <w:color w:val="000000"/>
          <w:sz w:val="24"/>
          <w:lang w:val="en-GB" w:eastAsia="en-GB" w:bidi="en-GB"/>
        </w:rPr>
        <w:t xml:space="preserve">(pp. 289-319). Hauppauge, New York: Nova Science Publications. </w:t>
      </w:r>
    </w:p>
    <w:p w:rsidR="002F5939" w:rsidRDefault="002F5939" w:rsidP="007E109E">
      <w:pPr>
        <w:spacing w:after="0" w:line="276" w:lineRule="auto"/>
        <w:ind w:left="360"/>
        <w:rPr>
          <w:rFonts w:eastAsia="Arial" w:cs="Arial"/>
          <w:color w:val="000000"/>
          <w:sz w:val="24"/>
          <w:lang w:val="en-GB" w:eastAsia="en-GB" w:bidi="en-GB"/>
        </w:rPr>
      </w:pPr>
    </w:p>
    <w:p w:rsidR="00BD1997" w:rsidRPr="00BD1997" w:rsidRDefault="00BD1997" w:rsidP="007E109E">
      <w:pPr>
        <w:spacing w:after="0" w:line="276" w:lineRule="auto"/>
        <w:ind w:left="360"/>
        <w:rPr>
          <w:rFonts w:eastAsia="Arial" w:cs="Arial"/>
          <w:i/>
          <w:color w:val="000000"/>
          <w:sz w:val="24"/>
          <w:lang w:val="en-GB" w:eastAsia="en-GB" w:bidi="en-GB"/>
        </w:rPr>
      </w:pPr>
      <w:proofErr w:type="spellStart"/>
      <w:r w:rsidRPr="00BD1997">
        <w:rPr>
          <w:rFonts w:eastAsia="Arial" w:cs="Arial"/>
          <w:color w:val="000000"/>
          <w:sz w:val="24"/>
          <w:lang w:val="en-GB" w:eastAsia="en-GB" w:bidi="en-GB"/>
        </w:rPr>
        <w:t>Hefferon</w:t>
      </w:r>
      <w:proofErr w:type="spellEnd"/>
      <w:r w:rsidRPr="00BD1997">
        <w:rPr>
          <w:rFonts w:eastAsia="Arial" w:cs="Arial"/>
          <w:color w:val="000000"/>
          <w:sz w:val="24"/>
          <w:lang w:val="en-GB" w:eastAsia="en-GB" w:bidi="en-GB"/>
        </w:rPr>
        <w:t xml:space="preserve">, K., and </w:t>
      </w:r>
      <w:proofErr w:type="spellStart"/>
      <w:r w:rsidRPr="00BD1997">
        <w:rPr>
          <w:rFonts w:eastAsia="Arial" w:cs="Arial"/>
          <w:color w:val="000000"/>
          <w:sz w:val="24"/>
          <w:lang w:val="en-GB" w:eastAsia="en-GB" w:bidi="en-GB"/>
        </w:rPr>
        <w:t>Boniwell</w:t>
      </w:r>
      <w:proofErr w:type="spellEnd"/>
      <w:r w:rsidRPr="00BD1997">
        <w:rPr>
          <w:rFonts w:eastAsia="Arial" w:cs="Arial"/>
          <w:color w:val="000000"/>
          <w:sz w:val="24"/>
          <w:lang w:val="en-GB" w:eastAsia="en-GB" w:bidi="en-GB"/>
        </w:rPr>
        <w:t xml:space="preserve">, I. (2011). </w:t>
      </w:r>
      <w:r w:rsidRPr="00BD1997">
        <w:rPr>
          <w:rFonts w:eastAsia="Arial" w:cs="Arial"/>
          <w:i/>
          <w:color w:val="000000"/>
          <w:sz w:val="24"/>
          <w:lang w:val="en-GB" w:eastAsia="en-GB" w:bidi="en-GB"/>
        </w:rPr>
        <w:t xml:space="preserve">Positive psychology; theory, research and </w:t>
      </w:r>
    </w:p>
    <w:p w:rsidR="00BD1997" w:rsidRP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i/>
          <w:color w:val="000000"/>
          <w:sz w:val="24"/>
          <w:lang w:val="en-GB" w:eastAsia="en-GB" w:bidi="en-GB"/>
        </w:rPr>
        <w:t xml:space="preserve">applications. </w:t>
      </w:r>
      <w:r w:rsidRPr="00BD1997">
        <w:rPr>
          <w:rFonts w:eastAsia="Arial" w:cs="Arial"/>
          <w:color w:val="000000"/>
          <w:sz w:val="24"/>
          <w:lang w:val="en-GB" w:eastAsia="en-GB" w:bidi="en-GB"/>
        </w:rPr>
        <w:t xml:space="preserve">New York, New York: Open University Press. </w:t>
      </w:r>
    </w:p>
    <w:p w:rsidR="00BD1997" w:rsidRPr="00BD1997" w:rsidRDefault="00BD1997" w:rsidP="007E109E">
      <w:pPr>
        <w:spacing w:after="0" w:line="276" w:lineRule="auto"/>
        <w:ind w:left="360"/>
        <w:rPr>
          <w:rFonts w:eastAsia="Arial" w:cs="Arial"/>
          <w:color w:val="000000"/>
          <w:sz w:val="24"/>
          <w:lang w:val="en-GB" w:eastAsia="en-GB" w:bidi="en-GB"/>
        </w:rPr>
      </w:pPr>
    </w:p>
    <w:p w:rsidR="00BD1997" w:rsidRPr="00BD1997" w:rsidRDefault="00BD1997" w:rsidP="007E109E">
      <w:pPr>
        <w:spacing w:after="0" w:line="276" w:lineRule="auto"/>
        <w:ind w:left="360"/>
        <w:rPr>
          <w:rFonts w:eastAsia="Arial" w:cs="Arial"/>
          <w:i/>
          <w:color w:val="000000"/>
          <w:sz w:val="24"/>
          <w:lang w:val="en-GB" w:eastAsia="en-GB" w:bidi="en-GB"/>
        </w:rPr>
      </w:pPr>
      <w:r w:rsidRPr="00BD1997">
        <w:rPr>
          <w:rFonts w:eastAsia="Arial" w:cs="Arial"/>
          <w:color w:val="000000"/>
          <w:sz w:val="24"/>
          <w:lang w:val="en-GB" w:eastAsia="en-GB" w:bidi="en-GB"/>
        </w:rPr>
        <w:t xml:space="preserve">Hill, E.M. (2015). Journal of health psychology. </w:t>
      </w:r>
      <w:r w:rsidRPr="00BD1997">
        <w:rPr>
          <w:rFonts w:eastAsia="Arial" w:cs="Arial"/>
          <w:i/>
          <w:color w:val="000000"/>
          <w:sz w:val="24"/>
          <w:lang w:val="en-GB" w:eastAsia="en-GB" w:bidi="en-GB"/>
        </w:rPr>
        <w:t>The role of narcissism in health-</w:t>
      </w:r>
    </w:p>
    <w:p w:rsidR="00BD1997" w:rsidRP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i/>
          <w:color w:val="000000"/>
          <w:sz w:val="24"/>
          <w:lang w:val="en-GB" w:eastAsia="en-GB" w:bidi="en-GB"/>
        </w:rPr>
        <w:t xml:space="preserve">risk and health-protective behaviours, </w:t>
      </w:r>
      <w:r w:rsidRPr="00BD1997">
        <w:rPr>
          <w:rFonts w:eastAsia="Arial" w:cs="Arial"/>
          <w:color w:val="000000"/>
          <w:sz w:val="24"/>
          <w:lang w:val="en-GB" w:eastAsia="en-GB" w:bidi="en-GB"/>
        </w:rPr>
        <w:t xml:space="preserve">pp. 1-12. DOI: </w:t>
      </w:r>
    </w:p>
    <w:p w:rsidR="00BD1997" w:rsidRP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color w:val="000000"/>
          <w:sz w:val="24"/>
          <w:lang w:val="en-GB" w:eastAsia="en-GB" w:bidi="en-GB"/>
        </w:rPr>
        <w:t>10.1177/1359105315569858</w:t>
      </w:r>
    </w:p>
    <w:p w:rsidR="00BD1997" w:rsidRPr="00BD1997" w:rsidRDefault="00BD1997" w:rsidP="007E109E">
      <w:pPr>
        <w:spacing w:after="0" w:line="276" w:lineRule="auto"/>
        <w:ind w:left="360"/>
        <w:rPr>
          <w:rFonts w:eastAsia="Arial" w:cs="Arial"/>
          <w:color w:val="000000"/>
          <w:sz w:val="24"/>
          <w:lang w:val="en-GB" w:eastAsia="en-GB" w:bidi="en-GB"/>
        </w:rPr>
      </w:pPr>
    </w:p>
    <w:p w:rsidR="00BD1997" w:rsidRPr="00BD1997" w:rsidRDefault="00BD1997" w:rsidP="007E109E">
      <w:pPr>
        <w:spacing w:after="0" w:line="276" w:lineRule="auto"/>
        <w:ind w:left="360"/>
        <w:rPr>
          <w:rFonts w:eastAsia="Arial" w:cs="Arial"/>
          <w:color w:val="000000"/>
          <w:sz w:val="24"/>
          <w:lang w:val="en-GB" w:eastAsia="en-GB" w:bidi="en-GB"/>
        </w:rPr>
      </w:pPr>
      <w:proofErr w:type="spellStart"/>
      <w:r w:rsidRPr="00BD1997">
        <w:rPr>
          <w:rFonts w:eastAsia="Arial" w:cs="Arial"/>
          <w:color w:val="000000"/>
          <w:sz w:val="24"/>
          <w:lang w:val="en-GB" w:eastAsia="en-GB" w:bidi="en-GB"/>
        </w:rPr>
        <w:t>Mazetti</w:t>
      </w:r>
      <w:proofErr w:type="spellEnd"/>
      <w:r w:rsidRPr="00BD1997">
        <w:rPr>
          <w:rFonts w:eastAsia="Arial" w:cs="Arial"/>
          <w:color w:val="000000"/>
          <w:sz w:val="24"/>
          <w:lang w:val="en-GB" w:eastAsia="en-GB" w:bidi="en-GB"/>
        </w:rPr>
        <w:t xml:space="preserve">, G., </w:t>
      </w:r>
      <w:proofErr w:type="spellStart"/>
      <w:r w:rsidRPr="00BD1997">
        <w:rPr>
          <w:rFonts w:eastAsia="Arial" w:cs="Arial"/>
          <w:color w:val="000000"/>
          <w:sz w:val="24"/>
          <w:lang w:val="en-GB" w:eastAsia="en-GB" w:bidi="en-GB"/>
        </w:rPr>
        <w:t>Schaufeli</w:t>
      </w:r>
      <w:proofErr w:type="spellEnd"/>
      <w:r w:rsidRPr="00BD1997">
        <w:rPr>
          <w:rFonts w:eastAsia="Arial" w:cs="Arial"/>
          <w:color w:val="000000"/>
          <w:sz w:val="24"/>
          <w:lang w:val="en-GB" w:eastAsia="en-GB" w:bidi="en-GB"/>
        </w:rPr>
        <w:t xml:space="preserve">, W.B., &amp; </w:t>
      </w:r>
      <w:proofErr w:type="spellStart"/>
      <w:r w:rsidRPr="00BD1997">
        <w:rPr>
          <w:rFonts w:eastAsia="Arial" w:cs="Arial"/>
          <w:color w:val="000000"/>
          <w:sz w:val="24"/>
          <w:lang w:val="en-GB" w:eastAsia="en-GB" w:bidi="en-GB"/>
        </w:rPr>
        <w:t>Guglielmi</w:t>
      </w:r>
      <w:proofErr w:type="spellEnd"/>
      <w:r w:rsidRPr="00BD1997">
        <w:rPr>
          <w:rFonts w:eastAsia="Arial" w:cs="Arial"/>
          <w:color w:val="000000"/>
          <w:sz w:val="24"/>
          <w:lang w:val="en-GB" w:eastAsia="en-GB" w:bidi="en-GB"/>
        </w:rPr>
        <w:t xml:space="preserve">. (2014). International journal of stress </w:t>
      </w:r>
    </w:p>
    <w:p w:rsidR="00BD1997" w:rsidRPr="00BD1997" w:rsidRDefault="00BD1997" w:rsidP="007E109E">
      <w:pPr>
        <w:spacing w:after="0" w:line="276" w:lineRule="auto"/>
        <w:ind w:left="360" w:firstLine="360"/>
        <w:rPr>
          <w:rFonts w:eastAsia="Arial" w:cs="Arial"/>
          <w:i/>
          <w:color w:val="000000"/>
          <w:sz w:val="24"/>
          <w:lang w:val="en-GB" w:eastAsia="en-GB" w:bidi="en-GB"/>
        </w:rPr>
      </w:pPr>
      <w:r w:rsidRPr="00BD1997">
        <w:rPr>
          <w:rFonts w:eastAsia="Arial" w:cs="Arial"/>
          <w:color w:val="000000"/>
          <w:sz w:val="24"/>
          <w:lang w:val="en-GB" w:eastAsia="en-GB" w:bidi="en-GB"/>
        </w:rPr>
        <w:t xml:space="preserve">management. </w:t>
      </w:r>
      <w:r w:rsidRPr="00BD1997">
        <w:rPr>
          <w:rFonts w:eastAsia="Arial" w:cs="Arial"/>
          <w:i/>
          <w:color w:val="000000"/>
          <w:sz w:val="24"/>
          <w:lang w:val="en-GB" w:eastAsia="en-GB" w:bidi="en-GB"/>
        </w:rPr>
        <w:t xml:space="preserve">Are workaholics born or made? Relations of </w:t>
      </w:r>
      <w:proofErr w:type="spellStart"/>
      <w:r w:rsidRPr="00BD1997">
        <w:rPr>
          <w:rFonts w:eastAsia="Arial" w:cs="Arial"/>
          <w:i/>
          <w:color w:val="000000"/>
          <w:sz w:val="24"/>
          <w:lang w:val="en-GB" w:eastAsia="en-GB" w:bidi="en-GB"/>
        </w:rPr>
        <w:t>workaholism</w:t>
      </w:r>
      <w:proofErr w:type="spellEnd"/>
      <w:r w:rsidRPr="00BD1997">
        <w:rPr>
          <w:rFonts w:eastAsia="Arial" w:cs="Arial"/>
          <w:i/>
          <w:color w:val="000000"/>
          <w:sz w:val="24"/>
          <w:lang w:val="en-GB" w:eastAsia="en-GB" w:bidi="en-GB"/>
        </w:rPr>
        <w:t xml:space="preserve"> with </w:t>
      </w:r>
    </w:p>
    <w:p w:rsidR="00BD1997" w:rsidRPr="00BD1997" w:rsidRDefault="00BD1997" w:rsidP="007E109E">
      <w:pPr>
        <w:spacing w:after="0" w:line="276" w:lineRule="auto"/>
        <w:ind w:left="720"/>
        <w:rPr>
          <w:rFonts w:eastAsia="Arial" w:cs="Arial"/>
          <w:color w:val="000000"/>
          <w:sz w:val="24"/>
          <w:lang w:val="en-GB" w:eastAsia="en-GB" w:bidi="en-GB"/>
        </w:rPr>
      </w:pPr>
      <w:r w:rsidRPr="00BD1997">
        <w:rPr>
          <w:rFonts w:eastAsia="Arial" w:cs="Arial"/>
          <w:i/>
          <w:color w:val="000000"/>
          <w:sz w:val="24"/>
          <w:lang w:val="en-GB" w:eastAsia="en-GB" w:bidi="en-GB"/>
        </w:rPr>
        <w:t>person characteristics and overwork climate, 23</w:t>
      </w:r>
      <w:r w:rsidRPr="00BD1997">
        <w:rPr>
          <w:rFonts w:eastAsia="Arial" w:cs="Arial"/>
          <w:color w:val="000000"/>
          <w:sz w:val="24"/>
          <w:lang w:val="en-GB" w:eastAsia="en-GB" w:bidi="en-GB"/>
        </w:rPr>
        <w:t>(3), pp. 227-254.</w:t>
      </w:r>
    </w:p>
    <w:p w:rsidR="00BD1997" w:rsidRPr="00BD1997" w:rsidRDefault="00BD1997" w:rsidP="007E109E">
      <w:pPr>
        <w:spacing w:after="0" w:line="276" w:lineRule="auto"/>
        <w:ind w:left="730" w:hanging="370"/>
        <w:rPr>
          <w:rFonts w:eastAsia="Arial" w:cs="Arial"/>
          <w:color w:val="000000"/>
          <w:sz w:val="24"/>
          <w:lang w:val="en-GB" w:eastAsia="en-GB" w:bidi="en-GB"/>
        </w:rPr>
      </w:pPr>
    </w:p>
    <w:p w:rsidR="00BD1997" w:rsidRPr="00BD1997" w:rsidRDefault="00BD1997" w:rsidP="007E109E">
      <w:pPr>
        <w:spacing w:after="0" w:line="276" w:lineRule="auto"/>
        <w:ind w:left="730" w:hanging="370"/>
        <w:rPr>
          <w:rFonts w:eastAsia="Arial" w:cs="Arial"/>
          <w:color w:val="000000"/>
          <w:sz w:val="24"/>
          <w:lang w:val="en-GB" w:eastAsia="en-GB" w:bidi="en-GB"/>
        </w:rPr>
      </w:pPr>
      <w:r w:rsidRPr="00BD1997">
        <w:rPr>
          <w:rFonts w:eastAsia="Arial" w:cs="Arial"/>
          <w:color w:val="000000"/>
          <w:sz w:val="24"/>
          <w:lang w:val="en-GB" w:eastAsia="en-GB" w:bidi="en-GB"/>
        </w:rPr>
        <w:t xml:space="preserve">Mental Health Foundation. (2017, September, 10th). </w:t>
      </w:r>
      <w:r w:rsidRPr="00BD1997">
        <w:rPr>
          <w:rFonts w:eastAsia="Arial" w:cs="Arial"/>
          <w:i/>
          <w:color w:val="000000"/>
          <w:sz w:val="24"/>
          <w:lang w:val="en-GB" w:eastAsia="en-GB" w:bidi="en-GB"/>
        </w:rPr>
        <w:t xml:space="preserve">Computerised cognitive behavioural therapy. </w:t>
      </w:r>
      <w:r w:rsidRPr="00BD1997">
        <w:rPr>
          <w:rFonts w:eastAsia="Arial" w:cs="Arial"/>
          <w:color w:val="000000"/>
          <w:sz w:val="24"/>
          <w:lang w:val="en-GB" w:eastAsia="en-GB" w:bidi="en-GB"/>
        </w:rPr>
        <w:t xml:space="preserve">[Audio podcast]. Retrieved from </w:t>
      </w:r>
      <w:hyperlink r:id="rId7">
        <w:r w:rsidRPr="00BD1997">
          <w:rPr>
            <w:rFonts w:eastAsia="Arial" w:cs="Arial"/>
            <w:color w:val="0562C1"/>
            <w:sz w:val="24"/>
            <w:u w:val="single" w:color="0562C1"/>
            <w:lang w:val="en-GB" w:eastAsia="en-GB" w:bidi="en-GB"/>
          </w:rPr>
          <w:t>http://www.mentalhealth.org.uk/podcasts</w:t>
        </w:r>
      </w:hyperlink>
      <w:hyperlink r:id="rId8">
        <w:r w:rsidRPr="00BD1997">
          <w:rPr>
            <w:rFonts w:eastAsia="Arial" w:cs="Arial"/>
            <w:color w:val="0562C1"/>
            <w:sz w:val="24"/>
            <w:u w:val="single" w:color="0562C1"/>
            <w:lang w:val="en-GB" w:eastAsia="en-GB" w:bidi="en-GB"/>
          </w:rPr>
          <w:t>and-videos/computerised-cognitivebehavioural-therapy</w:t>
        </w:r>
      </w:hyperlink>
      <w:hyperlink r:id="rId9">
        <w:r w:rsidRPr="00BD1997">
          <w:rPr>
            <w:rFonts w:eastAsia="Arial" w:cs="Arial"/>
            <w:color w:val="000000"/>
            <w:sz w:val="24"/>
            <w:lang w:val="en-GB" w:eastAsia="en-GB" w:bidi="en-GB"/>
          </w:rPr>
          <w:t xml:space="preserve"> </w:t>
        </w:r>
      </w:hyperlink>
    </w:p>
    <w:p w:rsidR="00BD1997" w:rsidRPr="00BD1997" w:rsidRDefault="00BD1997" w:rsidP="007E109E">
      <w:pPr>
        <w:spacing w:after="0" w:line="276" w:lineRule="auto"/>
        <w:ind w:left="730" w:hanging="370"/>
        <w:rPr>
          <w:rFonts w:eastAsia="Arial" w:cs="Arial"/>
          <w:color w:val="000000"/>
          <w:sz w:val="24"/>
          <w:lang w:val="en-GB" w:eastAsia="en-GB" w:bidi="en-GB"/>
        </w:rPr>
      </w:pPr>
    </w:p>
    <w:p w:rsidR="00BD1997" w:rsidRPr="00BD1997" w:rsidRDefault="00BD1997" w:rsidP="007E109E">
      <w:pPr>
        <w:spacing w:after="0" w:line="276" w:lineRule="auto"/>
        <w:ind w:left="360"/>
        <w:rPr>
          <w:rFonts w:eastAsia="Arial" w:cs="Arial"/>
          <w:i/>
          <w:color w:val="000000"/>
          <w:sz w:val="24"/>
          <w:lang w:val="en-GB" w:eastAsia="en-GB" w:bidi="en-GB"/>
        </w:rPr>
      </w:pPr>
      <w:r w:rsidRPr="00BD1997">
        <w:rPr>
          <w:rFonts w:eastAsia="Arial" w:cs="Arial"/>
          <w:color w:val="000000"/>
          <w:sz w:val="24"/>
          <w:lang w:val="en-GB" w:eastAsia="en-GB" w:bidi="en-GB"/>
        </w:rPr>
        <w:t xml:space="preserve">Mohamed, S. (2011). </w:t>
      </w:r>
      <w:r w:rsidRPr="00BD1997">
        <w:rPr>
          <w:rFonts w:eastAsia="Arial" w:cs="Arial"/>
          <w:i/>
          <w:color w:val="000000"/>
          <w:sz w:val="24"/>
          <w:lang w:val="en-GB" w:eastAsia="en-GB" w:bidi="en-GB"/>
        </w:rPr>
        <w:t xml:space="preserve">Stigma and mental illness: are there cultural differences? </w:t>
      </w:r>
    </w:p>
    <w:p w:rsidR="00BD1997" w:rsidRP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color w:val="000000"/>
          <w:sz w:val="24"/>
          <w:lang w:val="en-GB" w:eastAsia="en-GB" w:bidi="en-GB"/>
        </w:rPr>
        <w:t xml:space="preserve">(uk.bl.ethos.573771). </w:t>
      </w:r>
      <w:proofErr w:type="spellStart"/>
      <w:r w:rsidRPr="00BD1997">
        <w:rPr>
          <w:rFonts w:eastAsia="Arial" w:cs="Arial"/>
          <w:color w:val="000000"/>
          <w:sz w:val="24"/>
          <w:lang w:val="en-GB" w:eastAsia="en-GB" w:bidi="en-GB"/>
        </w:rPr>
        <w:t>EThOS</w:t>
      </w:r>
      <w:proofErr w:type="spellEnd"/>
      <w:r w:rsidRPr="00BD1997">
        <w:rPr>
          <w:rFonts w:eastAsia="Arial" w:cs="Arial"/>
          <w:color w:val="000000"/>
          <w:sz w:val="24"/>
          <w:lang w:val="en-GB" w:eastAsia="en-GB" w:bidi="en-GB"/>
        </w:rPr>
        <w:t xml:space="preserve">, University of East Anglia. </w:t>
      </w:r>
    </w:p>
    <w:p w:rsidR="00BD1997" w:rsidRPr="00BD1997" w:rsidRDefault="00BD1997" w:rsidP="007E109E">
      <w:pPr>
        <w:spacing w:after="0" w:line="276" w:lineRule="auto"/>
        <w:ind w:left="730" w:hanging="370"/>
        <w:rPr>
          <w:rFonts w:eastAsia="Arial" w:cs="Arial"/>
          <w:b/>
          <w:color w:val="000000"/>
          <w:sz w:val="24"/>
          <w:lang w:val="en-GB" w:eastAsia="en-GB" w:bidi="en-GB"/>
        </w:rPr>
      </w:pPr>
    </w:p>
    <w:p w:rsidR="00BD1997" w:rsidRPr="00BD1997" w:rsidRDefault="00BD1997" w:rsidP="007E109E">
      <w:pPr>
        <w:spacing w:after="0" w:line="276" w:lineRule="auto"/>
        <w:ind w:left="730" w:hanging="370"/>
        <w:rPr>
          <w:rFonts w:eastAsia="Arial" w:cs="Arial"/>
          <w:color w:val="000000"/>
          <w:sz w:val="24"/>
          <w:lang w:val="en-GB" w:eastAsia="en-GB" w:bidi="en-GB"/>
        </w:rPr>
      </w:pPr>
      <w:r w:rsidRPr="00BD1997">
        <w:rPr>
          <w:rFonts w:eastAsia="Arial" w:cs="Arial"/>
          <w:color w:val="000000"/>
          <w:sz w:val="24"/>
          <w:lang w:val="en-GB" w:eastAsia="en-GB" w:bidi="en-GB"/>
        </w:rPr>
        <w:t xml:space="preserve">Office for National Statistics. (2016, May, 3rd). </w:t>
      </w:r>
      <w:r w:rsidRPr="00BD1997">
        <w:rPr>
          <w:rFonts w:eastAsia="Arial" w:cs="Arial"/>
          <w:i/>
          <w:color w:val="000000"/>
          <w:sz w:val="24"/>
          <w:lang w:val="en-GB" w:eastAsia="en-GB" w:bidi="en-GB"/>
        </w:rPr>
        <w:t>Adult drinking habits in Great Britain: 2005 to 2016.</w:t>
      </w:r>
      <w:r w:rsidRPr="00BD1997">
        <w:rPr>
          <w:rFonts w:eastAsia="Arial" w:cs="Arial"/>
          <w:color w:val="000000"/>
          <w:sz w:val="24"/>
          <w:lang w:val="en-GB" w:eastAsia="en-GB" w:bidi="en-GB"/>
        </w:rPr>
        <w:t xml:space="preserve"> Retrieved from </w:t>
      </w:r>
      <w:hyperlink r:id="rId10" w:history="1">
        <w:r w:rsidRPr="00BD1997">
          <w:rPr>
            <w:rFonts w:eastAsia="Arial" w:cs="Arial"/>
            <w:color w:val="0563C1" w:themeColor="hyperlink"/>
            <w:sz w:val="24"/>
            <w:u w:val="single"/>
            <w:lang w:val="en-GB" w:eastAsia="en-GB" w:bidi="en-GB"/>
          </w:rPr>
          <w:t xml:space="preserve">https://www.ons.gov.uk/peoplepopulationandcommunity/healthandsocialcare/ </w:t>
        </w:r>
      </w:hyperlink>
      <w:hyperlink r:id="rId11">
        <w:r w:rsidRPr="00BD1997">
          <w:rPr>
            <w:rFonts w:eastAsia="Arial" w:cs="Arial"/>
            <w:color w:val="0562C1"/>
            <w:sz w:val="24"/>
            <w:u w:val="single" w:color="0562C1"/>
            <w:lang w:val="en-GB" w:eastAsia="en-GB" w:bidi="en-GB"/>
          </w:rPr>
          <w:t xml:space="preserve">drugusealcoholandsmoking/bulletins/opinionsandlifestylesurveyadultdrinkingh </w:t>
        </w:r>
      </w:hyperlink>
      <w:hyperlink r:id="rId12">
        <w:proofErr w:type="spellStart"/>
        <w:r w:rsidRPr="00BD1997">
          <w:rPr>
            <w:rFonts w:eastAsia="Arial" w:cs="Arial"/>
            <w:color w:val="0562C1"/>
            <w:sz w:val="24"/>
            <w:u w:val="single" w:color="0562C1"/>
            <w:lang w:val="en-GB" w:eastAsia="en-GB" w:bidi="en-GB"/>
          </w:rPr>
          <w:t>abit</w:t>
        </w:r>
        <w:proofErr w:type="spellEnd"/>
        <w:r w:rsidRPr="00BD1997">
          <w:rPr>
            <w:rFonts w:eastAsia="Arial" w:cs="Arial"/>
            <w:color w:val="0562C1"/>
            <w:sz w:val="24"/>
            <w:u w:val="single" w:color="0562C1"/>
            <w:lang w:val="en-GB" w:eastAsia="en-GB" w:bidi="en-GB"/>
          </w:rPr>
          <w:t xml:space="preserve"> </w:t>
        </w:r>
        <w:proofErr w:type="spellStart"/>
        <w:r w:rsidRPr="00BD1997">
          <w:rPr>
            <w:rFonts w:eastAsia="Arial" w:cs="Arial"/>
            <w:color w:val="0562C1"/>
            <w:sz w:val="24"/>
            <w:u w:val="single" w:color="0562C1"/>
            <w:lang w:val="en-GB" w:eastAsia="en-GB" w:bidi="en-GB"/>
          </w:rPr>
          <w:t>singreatbritain</w:t>
        </w:r>
        <w:proofErr w:type="spellEnd"/>
        <w:r w:rsidRPr="00BD1997">
          <w:rPr>
            <w:rFonts w:eastAsia="Arial" w:cs="Arial"/>
            <w:color w:val="0562C1"/>
            <w:sz w:val="24"/>
            <w:u w:val="single" w:color="0562C1"/>
            <w:lang w:val="en-GB" w:eastAsia="en-GB" w:bidi="en-GB"/>
          </w:rPr>
          <w:t>/2005to2016</w:t>
        </w:r>
      </w:hyperlink>
      <w:r w:rsidRPr="00BD1997">
        <w:rPr>
          <w:rFonts w:eastAsia="Arial" w:cs="Arial"/>
          <w:color w:val="000000"/>
          <w:sz w:val="24"/>
          <w:lang w:val="en-GB" w:eastAsia="en-GB" w:bidi="en-GB"/>
        </w:rPr>
        <w:t xml:space="preserve">. </w:t>
      </w:r>
    </w:p>
    <w:p w:rsidR="00BD1997" w:rsidRPr="00BD1997" w:rsidRDefault="00BD1997" w:rsidP="007E109E">
      <w:pPr>
        <w:spacing w:after="0" w:line="276" w:lineRule="auto"/>
        <w:ind w:left="730" w:hanging="370"/>
        <w:rPr>
          <w:rFonts w:eastAsia="Arial" w:cs="Arial"/>
          <w:color w:val="000000"/>
          <w:sz w:val="24"/>
          <w:lang w:val="en-GB" w:eastAsia="en-GB" w:bidi="en-GB"/>
        </w:rPr>
      </w:pPr>
    </w:p>
    <w:p w:rsidR="00BD1997" w:rsidRPr="00BD1997" w:rsidRDefault="00BD1997" w:rsidP="007E109E">
      <w:pPr>
        <w:spacing w:after="0" w:line="276" w:lineRule="auto"/>
        <w:ind w:left="730" w:hanging="370"/>
        <w:rPr>
          <w:rFonts w:eastAsia="Arial" w:cs="Arial"/>
          <w:color w:val="000000"/>
          <w:sz w:val="24"/>
          <w:lang w:val="en-GB" w:eastAsia="en-GB" w:bidi="en-GB"/>
        </w:rPr>
      </w:pPr>
      <w:r w:rsidRPr="00BD1997">
        <w:rPr>
          <w:rFonts w:eastAsia="Arial" w:cs="Arial"/>
          <w:color w:val="000000"/>
          <w:sz w:val="24"/>
          <w:lang w:val="en-GB" w:eastAsia="en-GB" w:bidi="en-GB"/>
        </w:rPr>
        <w:t xml:space="preserve">Phelps, C., </w:t>
      </w:r>
      <w:proofErr w:type="spellStart"/>
      <w:r w:rsidRPr="00BD1997">
        <w:rPr>
          <w:rFonts w:eastAsia="Arial" w:cs="Arial"/>
          <w:color w:val="000000"/>
          <w:sz w:val="24"/>
          <w:lang w:val="en-GB" w:eastAsia="en-GB" w:bidi="en-GB"/>
        </w:rPr>
        <w:t>Minou</w:t>
      </w:r>
      <w:proofErr w:type="spellEnd"/>
      <w:r w:rsidRPr="00BD1997">
        <w:rPr>
          <w:rFonts w:eastAsia="Arial" w:cs="Arial"/>
          <w:color w:val="000000"/>
          <w:sz w:val="24"/>
          <w:lang w:val="en-GB" w:eastAsia="en-GB" w:bidi="en-GB"/>
        </w:rPr>
        <w:t xml:space="preserve">, M., Baker, Andrew., Hughes, C., French, H., Hawkins, W., ... Hutchings, P.B. (2017). Health Expectations. </w:t>
      </w:r>
      <w:r w:rsidRPr="00BD1997">
        <w:rPr>
          <w:rFonts w:eastAsia="Arial" w:cs="Arial"/>
          <w:i/>
          <w:color w:val="000000"/>
          <w:sz w:val="24"/>
          <w:lang w:val="en-GB" w:eastAsia="en-GB" w:bidi="en-GB"/>
        </w:rPr>
        <w:t>Necessary but not sufficient? Engaging young people in the development of an avatar</w:t>
      </w:r>
      <w:r w:rsidRPr="00BD1997">
        <w:rPr>
          <w:rFonts w:eastAsia="Cambria Math" w:cs="Cambria Math"/>
          <w:i/>
          <w:color w:val="000000"/>
          <w:sz w:val="24"/>
          <w:lang w:val="en-GB" w:eastAsia="en-GB" w:bidi="en-GB"/>
        </w:rPr>
        <w:t>‐</w:t>
      </w:r>
      <w:r w:rsidRPr="00BD1997">
        <w:rPr>
          <w:rFonts w:eastAsia="Arial" w:cs="Arial"/>
          <w:i/>
          <w:color w:val="000000"/>
          <w:sz w:val="24"/>
          <w:lang w:val="en-GB" w:eastAsia="en-GB" w:bidi="en-GB"/>
        </w:rPr>
        <w:t>based online intervention designed to provide psychosocial support to young people affected by their own or a family member's cancer diagnosis, 3</w:t>
      </w:r>
      <w:r w:rsidRPr="00BD1997">
        <w:rPr>
          <w:rFonts w:eastAsia="Arial" w:cs="Arial"/>
          <w:color w:val="000000"/>
          <w:sz w:val="24"/>
          <w:lang w:val="en-GB" w:eastAsia="en-GB" w:bidi="en-GB"/>
        </w:rPr>
        <w:t>(20), pp. 459-470.</w:t>
      </w:r>
    </w:p>
    <w:p w:rsidR="00BD1997" w:rsidRPr="00BD1997" w:rsidRDefault="00BD1997" w:rsidP="007E109E">
      <w:pPr>
        <w:spacing w:after="0" w:line="276" w:lineRule="auto"/>
        <w:ind w:left="360"/>
        <w:rPr>
          <w:rFonts w:eastAsia="Arial" w:cs="Arial"/>
          <w:b/>
          <w:color w:val="000000"/>
          <w:sz w:val="24"/>
          <w:lang w:val="en-GB" w:eastAsia="en-GB" w:bidi="en-GB"/>
        </w:rPr>
      </w:pPr>
    </w:p>
    <w:p w:rsidR="00BD1997" w:rsidRPr="00BD1997" w:rsidRDefault="00BD1997" w:rsidP="007E109E">
      <w:pPr>
        <w:spacing w:after="0" w:line="276" w:lineRule="auto"/>
        <w:ind w:left="360"/>
        <w:rPr>
          <w:rFonts w:eastAsia="Arial" w:cs="Arial"/>
          <w:color w:val="000000"/>
          <w:sz w:val="24"/>
          <w:lang w:val="en-GB" w:eastAsia="en-GB" w:bidi="en-GB"/>
        </w:rPr>
      </w:pPr>
      <w:proofErr w:type="spellStart"/>
      <w:r w:rsidRPr="00BD1997">
        <w:rPr>
          <w:rFonts w:eastAsia="Arial" w:cs="Arial"/>
          <w:color w:val="000000"/>
          <w:sz w:val="24"/>
          <w:lang w:val="en-GB" w:eastAsia="en-GB" w:bidi="en-GB"/>
        </w:rPr>
        <w:t>Tarrier</w:t>
      </w:r>
      <w:proofErr w:type="spellEnd"/>
      <w:r w:rsidRPr="00BD1997">
        <w:rPr>
          <w:rFonts w:eastAsia="Arial" w:cs="Arial"/>
          <w:color w:val="000000"/>
          <w:sz w:val="24"/>
          <w:lang w:val="en-GB" w:eastAsia="en-GB" w:bidi="en-GB"/>
        </w:rPr>
        <w:t xml:space="preserve">, N., </w:t>
      </w:r>
      <w:proofErr w:type="spellStart"/>
      <w:r w:rsidRPr="00BD1997">
        <w:rPr>
          <w:rFonts w:eastAsia="Arial" w:cs="Arial"/>
          <w:color w:val="000000"/>
          <w:sz w:val="24"/>
          <w:lang w:val="en-GB" w:eastAsia="en-GB" w:bidi="en-GB"/>
        </w:rPr>
        <w:t>Liversidge</w:t>
      </w:r>
      <w:proofErr w:type="spellEnd"/>
      <w:r w:rsidRPr="00BD1997">
        <w:rPr>
          <w:rFonts w:eastAsia="Arial" w:cs="Arial"/>
          <w:color w:val="000000"/>
          <w:sz w:val="24"/>
          <w:lang w:val="en-GB" w:eastAsia="en-GB" w:bidi="en-GB"/>
        </w:rPr>
        <w:t xml:space="preserve">, T., &amp; Gregg, L. (2006). The acceptability and preference </w:t>
      </w:r>
    </w:p>
    <w:p w:rsidR="00BD1997" w:rsidRPr="00BD1997" w:rsidRDefault="00BD1997" w:rsidP="007E109E">
      <w:pPr>
        <w:spacing w:after="0" w:line="276" w:lineRule="auto"/>
        <w:ind w:left="360" w:firstLine="360"/>
        <w:rPr>
          <w:rFonts w:eastAsia="Arial" w:cs="Arial"/>
          <w:i/>
          <w:color w:val="000000"/>
          <w:sz w:val="24"/>
          <w:lang w:val="en-GB" w:eastAsia="en-GB" w:bidi="en-GB"/>
        </w:rPr>
      </w:pPr>
      <w:r w:rsidRPr="00BD1997">
        <w:rPr>
          <w:rFonts w:eastAsia="Arial" w:cs="Arial"/>
          <w:color w:val="000000"/>
          <w:sz w:val="24"/>
          <w:lang w:val="en-GB" w:eastAsia="en-GB" w:bidi="en-GB"/>
        </w:rPr>
        <w:t xml:space="preserve">for the psychological treatment of PTSD. </w:t>
      </w:r>
      <w:r w:rsidRPr="00BD1997">
        <w:rPr>
          <w:rFonts w:eastAsia="Arial" w:cs="Arial"/>
          <w:i/>
          <w:color w:val="000000"/>
          <w:sz w:val="24"/>
          <w:lang w:val="en-GB" w:eastAsia="en-GB" w:bidi="en-GB"/>
        </w:rPr>
        <w:t xml:space="preserve">Behaviour research and therapy, </w:t>
      </w:r>
    </w:p>
    <w:p w:rsidR="00BD1997" w:rsidRPr="00BD1997" w:rsidRDefault="00BD1997" w:rsidP="007E109E">
      <w:pPr>
        <w:spacing w:after="0" w:line="276" w:lineRule="auto"/>
        <w:ind w:left="720"/>
        <w:rPr>
          <w:rFonts w:eastAsia="Arial" w:cs="Arial"/>
          <w:color w:val="000000"/>
          <w:sz w:val="24"/>
          <w:lang w:val="en-GB" w:eastAsia="en-GB" w:bidi="en-GB"/>
        </w:rPr>
      </w:pPr>
      <w:r w:rsidRPr="00BD1997">
        <w:rPr>
          <w:rFonts w:eastAsia="Arial" w:cs="Arial"/>
          <w:i/>
          <w:color w:val="000000"/>
          <w:sz w:val="24"/>
          <w:lang w:val="en-GB" w:eastAsia="en-GB" w:bidi="en-GB"/>
        </w:rPr>
        <w:t>44</w:t>
      </w:r>
      <w:r w:rsidRPr="00BD1997">
        <w:rPr>
          <w:rFonts w:eastAsia="Arial" w:cs="Arial"/>
          <w:color w:val="000000"/>
          <w:sz w:val="24"/>
          <w:lang w:val="en-GB" w:eastAsia="en-GB" w:bidi="en-GB"/>
        </w:rPr>
        <w:t>(11), pp. 1643-1656.</w:t>
      </w:r>
    </w:p>
    <w:p w:rsidR="00BD1997" w:rsidRPr="00BD1997" w:rsidRDefault="00BD1997" w:rsidP="007E109E">
      <w:pPr>
        <w:spacing w:after="0" w:line="276" w:lineRule="auto"/>
        <w:ind w:left="360"/>
        <w:rPr>
          <w:rFonts w:eastAsia="Arial" w:cs="Arial"/>
          <w:color w:val="000000"/>
          <w:sz w:val="24"/>
          <w:lang w:val="en-GB" w:eastAsia="en-GB" w:bidi="en-GB"/>
        </w:rPr>
      </w:pPr>
    </w:p>
    <w:p w:rsidR="00BD1997" w:rsidRPr="00BD1997" w:rsidRDefault="00BD1997" w:rsidP="007E109E">
      <w:pPr>
        <w:spacing w:after="0" w:line="276" w:lineRule="auto"/>
        <w:ind w:left="360"/>
        <w:rPr>
          <w:rFonts w:eastAsia="Arial" w:cs="Arial"/>
          <w:color w:val="000000"/>
          <w:sz w:val="24"/>
          <w:lang w:val="en-GB" w:eastAsia="en-GB" w:bidi="en-GB"/>
        </w:rPr>
      </w:pPr>
      <w:proofErr w:type="spellStart"/>
      <w:r w:rsidRPr="00BD1997">
        <w:rPr>
          <w:rFonts w:eastAsia="Arial" w:cs="Arial"/>
          <w:color w:val="000000"/>
          <w:sz w:val="24"/>
          <w:lang w:val="en-GB" w:eastAsia="en-GB" w:bidi="en-GB"/>
        </w:rPr>
        <w:t>Ulleberg</w:t>
      </w:r>
      <w:proofErr w:type="spellEnd"/>
      <w:r w:rsidRPr="00BD1997">
        <w:rPr>
          <w:rFonts w:eastAsia="Arial" w:cs="Arial"/>
          <w:color w:val="000000"/>
          <w:sz w:val="24"/>
          <w:lang w:val="en-GB" w:eastAsia="en-GB" w:bidi="en-GB"/>
        </w:rPr>
        <w:t xml:space="preserve">, P., &amp; </w:t>
      </w:r>
      <w:proofErr w:type="spellStart"/>
      <w:r w:rsidRPr="00BD1997">
        <w:rPr>
          <w:rFonts w:eastAsia="Arial" w:cs="Arial"/>
          <w:color w:val="000000"/>
          <w:sz w:val="24"/>
          <w:lang w:val="en-GB" w:eastAsia="en-GB" w:bidi="en-GB"/>
        </w:rPr>
        <w:t>Rundmo</w:t>
      </w:r>
      <w:proofErr w:type="spellEnd"/>
      <w:r w:rsidRPr="00BD1997">
        <w:rPr>
          <w:rFonts w:eastAsia="Arial" w:cs="Arial"/>
          <w:color w:val="000000"/>
          <w:sz w:val="24"/>
          <w:lang w:val="en-GB" w:eastAsia="en-GB" w:bidi="en-GB"/>
        </w:rPr>
        <w:t xml:space="preserve">, T. (2003). Personality, attitudes and risk perception as </w:t>
      </w:r>
    </w:p>
    <w:p w:rsidR="00BD1997" w:rsidRPr="00BD1997" w:rsidRDefault="00BD1997" w:rsidP="007E109E">
      <w:pPr>
        <w:spacing w:after="0" w:line="276" w:lineRule="auto"/>
        <w:ind w:left="360" w:firstLine="360"/>
        <w:rPr>
          <w:rFonts w:eastAsia="Arial" w:cs="Arial"/>
          <w:i/>
          <w:color w:val="000000"/>
          <w:sz w:val="24"/>
          <w:lang w:val="en-GB" w:eastAsia="en-GB" w:bidi="en-GB"/>
        </w:rPr>
      </w:pPr>
      <w:r w:rsidRPr="00BD1997">
        <w:rPr>
          <w:rFonts w:eastAsia="Arial" w:cs="Arial"/>
          <w:color w:val="000000"/>
          <w:sz w:val="24"/>
          <w:lang w:val="en-GB" w:eastAsia="en-GB" w:bidi="en-GB"/>
        </w:rPr>
        <w:t xml:space="preserve">predictors of risky driving behaviour among young drivers. </w:t>
      </w:r>
      <w:r w:rsidRPr="00BD1997">
        <w:rPr>
          <w:rFonts w:eastAsia="Arial" w:cs="Arial"/>
          <w:i/>
          <w:color w:val="000000"/>
          <w:sz w:val="24"/>
          <w:lang w:val="en-GB" w:eastAsia="en-GB" w:bidi="en-GB"/>
        </w:rPr>
        <w:t xml:space="preserve">Safety Science, </w:t>
      </w:r>
    </w:p>
    <w:p w:rsidR="00BD1997" w:rsidRP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i/>
          <w:color w:val="000000"/>
          <w:sz w:val="24"/>
          <w:lang w:val="en-GB" w:eastAsia="en-GB" w:bidi="en-GB"/>
        </w:rPr>
        <w:t>41</w:t>
      </w:r>
      <w:r w:rsidRPr="00BD1997">
        <w:rPr>
          <w:rFonts w:eastAsia="Arial" w:cs="Arial"/>
          <w:color w:val="000000"/>
          <w:sz w:val="24"/>
          <w:lang w:val="en-GB" w:eastAsia="en-GB" w:bidi="en-GB"/>
        </w:rPr>
        <w:t>(5), pp. 427-443.</w:t>
      </w:r>
    </w:p>
    <w:p w:rsidR="00BD1997" w:rsidRPr="00BD1997" w:rsidRDefault="00BD1997" w:rsidP="007E109E">
      <w:pPr>
        <w:spacing w:after="0" w:line="276" w:lineRule="auto"/>
        <w:ind w:left="360"/>
        <w:rPr>
          <w:rFonts w:eastAsia="Arial" w:cs="Arial"/>
          <w:b/>
          <w:color w:val="000000"/>
          <w:sz w:val="24"/>
          <w:lang w:val="en-GB" w:eastAsia="en-GB" w:bidi="en-GB"/>
        </w:rPr>
      </w:pPr>
    </w:p>
    <w:p w:rsidR="00BD1997" w:rsidRPr="00BD1997" w:rsidRDefault="00BD1997" w:rsidP="007E109E">
      <w:pPr>
        <w:spacing w:after="0" w:line="276" w:lineRule="auto"/>
        <w:ind w:left="360"/>
        <w:rPr>
          <w:rFonts w:eastAsia="Arial" w:cs="Arial"/>
          <w:color w:val="000000"/>
          <w:sz w:val="24"/>
          <w:lang w:val="en-GB" w:eastAsia="en-GB" w:bidi="en-GB"/>
        </w:rPr>
      </w:pPr>
      <w:r w:rsidRPr="00BD1997">
        <w:rPr>
          <w:rFonts w:eastAsia="Arial" w:cs="Arial"/>
          <w:color w:val="000000"/>
          <w:sz w:val="24"/>
          <w:lang w:val="en-GB" w:eastAsia="en-GB" w:bidi="en-GB"/>
        </w:rPr>
        <w:t xml:space="preserve">Van </w:t>
      </w:r>
      <w:proofErr w:type="spellStart"/>
      <w:r w:rsidRPr="00BD1997">
        <w:rPr>
          <w:rFonts w:eastAsia="Arial" w:cs="Arial"/>
          <w:color w:val="000000"/>
          <w:sz w:val="24"/>
          <w:lang w:val="en-GB" w:eastAsia="en-GB" w:bidi="en-GB"/>
        </w:rPr>
        <w:t>Hesselt</w:t>
      </w:r>
      <w:proofErr w:type="spellEnd"/>
      <w:r w:rsidRPr="00BD1997">
        <w:rPr>
          <w:rFonts w:eastAsia="Arial" w:cs="Arial"/>
          <w:color w:val="000000"/>
          <w:sz w:val="24"/>
          <w:lang w:val="en-GB" w:eastAsia="en-GB" w:bidi="en-GB"/>
        </w:rPr>
        <w:t xml:space="preserve">, V.B., Romano, S.J., &amp; </w:t>
      </w:r>
      <w:proofErr w:type="spellStart"/>
      <w:r w:rsidRPr="00BD1997">
        <w:rPr>
          <w:rFonts w:eastAsia="Arial" w:cs="Arial"/>
          <w:color w:val="000000"/>
          <w:sz w:val="24"/>
          <w:lang w:val="en-GB" w:eastAsia="en-GB" w:bidi="en-GB"/>
        </w:rPr>
        <w:t>Vecchi</w:t>
      </w:r>
      <w:proofErr w:type="spellEnd"/>
      <w:r w:rsidRPr="00BD1997">
        <w:rPr>
          <w:rFonts w:eastAsia="Arial" w:cs="Arial"/>
          <w:color w:val="000000"/>
          <w:sz w:val="24"/>
          <w:lang w:val="en-GB" w:eastAsia="en-GB" w:bidi="en-GB"/>
        </w:rPr>
        <w:t xml:space="preserve">, G.M. (2008). Behaviour Modification. </w:t>
      </w:r>
    </w:p>
    <w:p w:rsidR="00BD1997" w:rsidRPr="00BD1997" w:rsidRDefault="004F44BE" w:rsidP="007E109E">
      <w:pPr>
        <w:spacing w:after="0" w:line="276" w:lineRule="auto"/>
        <w:ind w:firstLine="720"/>
        <w:rPr>
          <w:rFonts w:eastAsia="Arial" w:cs="Arial"/>
          <w:color w:val="000000"/>
          <w:sz w:val="24"/>
          <w:lang w:val="en-GB" w:eastAsia="en-GB" w:bidi="en-GB"/>
        </w:rPr>
      </w:pPr>
      <w:r>
        <w:rPr>
          <w:rFonts w:eastAsia="Arial" w:cs="Arial"/>
          <w:i/>
          <w:color w:val="000000"/>
          <w:sz w:val="24"/>
          <w:lang w:val="en-GB" w:eastAsia="en-GB" w:bidi="en-GB"/>
        </w:rPr>
        <w:t>Role Playing A</w:t>
      </w:r>
      <w:r w:rsidR="00BD1997" w:rsidRPr="00BD1997">
        <w:rPr>
          <w:rFonts w:eastAsia="Arial" w:cs="Arial"/>
          <w:i/>
          <w:color w:val="000000"/>
          <w:sz w:val="24"/>
          <w:lang w:val="en-GB" w:eastAsia="en-GB" w:bidi="en-GB"/>
        </w:rPr>
        <w:t>pplications in hostage and crisis negotiation skills training, 32</w:t>
      </w:r>
      <w:r w:rsidR="00BD1997" w:rsidRPr="00BD1997">
        <w:rPr>
          <w:rFonts w:eastAsia="Arial" w:cs="Arial"/>
          <w:color w:val="000000"/>
          <w:sz w:val="24"/>
          <w:lang w:val="en-GB" w:eastAsia="en-GB" w:bidi="en-GB"/>
        </w:rPr>
        <w:t>(2), PP. 248-</w:t>
      </w:r>
    </w:p>
    <w:p w:rsidR="00BD1997" w:rsidRPr="00BD1997" w:rsidRDefault="00BD1997" w:rsidP="007E109E">
      <w:pPr>
        <w:spacing w:after="0" w:line="276" w:lineRule="auto"/>
        <w:ind w:firstLine="720"/>
        <w:rPr>
          <w:rFonts w:eastAsia="Arial" w:cs="Arial"/>
          <w:color w:val="000000"/>
          <w:sz w:val="24"/>
          <w:lang w:val="en-GB" w:eastAsia="en-GB" w:bidi="en-GB"/>
        </w:rPr>
      </w:pPr>
      <w:r w:rsidRPr="00BD1997">
        <w:rPr>
          <w:rFonts w:eastAsia="Arial" w:cs="Arial"/>
          <w:color w:val="000000"/>
          <w:sz w:val="24"/>
          <w:lang w:val="en-GB" w:eastAsia="en-GB" w:bidi="en-GB"/>
        </w:rPr>
        <w:t xml:space="preserve">263. DOI: 10.1177/0145445507308281 </w:t>
      </w:r>
    </w:p>
    <w:p w:rsidR="00BD1997" w:rsidRPr="00BD1997" w:rsidRDefault="00BD1997" w:rsidP="007E109E">
      <w:pPr>
        <w:spacing w:after="0" w:line="276" w:lineRule="auto"/>
        <w:rPr>
          <w:rFonts w:eastAsia="Arial" w:cs="Arial"/>
          <w:color w:val="000000"/>
          <w:sz w:val="24"/>
          <w:lang w:val="en-GB" w:eastAsia="en-GB" w:bidi="en-GB"/>
        </w:rPr>
      </w:pPr>
    </w:p>
    <w:p w:rsidR="00BD1997" w:rsidRDefault="00BD1997" w:rsidP="007E109E">
      <w:pPr>
        <w:spacing w:after="0" w:line="276" w:lineRule="auto"/>
        <w:ind w:left="730" w:hanging="370"/>
        <w:rPr>
          <w:rFonts w:eastAsia="Arial" w:cs="Arial"/>
          <w:color w:val="000000"/>
          <w:sz w:val="24"/>
          <w:lang w:val="en-GB" w:eastAsia="en-GB" w:bidi="en-GB"/>
        </w:rPr>
      </w:pPr>
      <w:proofErr w:type="spellStart"/>
      <w:r w:rsidRPr="00BD1997">
        <w:rPr>
          <w:rFonts w:eastAsia="Arial" w:cs="Arial"/>
          <w:color w:val="000000"/>
          <w:sz w:val="24"/>
          <w:lang w:val="en-GB" w:eastAsia="en-GB" w:bidi="en-GB"/>
        </w:rPr>
        <w:t>Vartanian</w:t>
      </w:r>
      <w:proofErr w:type="spellEnd"/>
      <w:r w:rsidRPr="00BD1997">
        <w:rPr>
          <w:rFonts w:eastAsia="Arial" w:cs="Arial"/>
          <w:color w:val="000000"/>
          <w:sz w:val="24"/>
          <w:lang w:val="en-GB" w:eastAsia="en-GB" w:bidi="en-GB"/>
        </w:rPr>
        <w:t xml:space="preserve">, L.R., Trewartha, T., &amp; </w:t>
      </w:r>
      <w:proofErr w:type="spellStart"/>
      <w:r w:rsidRPr="00BD1997">
        <w:rPr>
          <w:rFonts w:eastAsia="Arial" w:cs="Arial"/>
          <w:color w:val="000000"/>
          <w:sz w:val="24"/>
          <w:lang w:val="en-GB" w:eastAsia="en-GB" w:bidi="en-GB"/>
        </w:rPr>
        <w:t>Vanman</w:t>
      </w:r>
      <w:proofErr w:type="spellEnd"/>
      <w:r w:rsidRPr="00BD1997">
        <w:rPr>
          <w:rFonts w:eastAsia="Arial" w:cs="Arial"/>
          <w:color w:val="000000"/>
          <w:sz w:val="24"/>
          <w:lang w:val="en-GB" w:eastAsia="en-GB" w:bidi="en-GB"/>
        </w:rPr>
        <w:t xml:space="preserve">, E.J. (2016). Journal of Applied Social Psychology. </w:t>
      </w:r>
      <w:r w:rsidRPr="00BD1997">
        <w:rPr>
          <w:rFonts w:eastAsia="Arial" w:cs="Arial"/>
          <w:i/>
          <w:color w:val="000000"/>
          <w:sz w:val="24"/>
          <w:lang w:val="en-GB" w:eastAsia="en-GB" w:bidi="en-GB"/>
        </w:rPr>
        <w:t>Disgust predicts prejudice and discrimination towards individuals with obesity, 46</w:t>
      </w:r>
      <w:r w:rsidRPr="00BD1997">
        <w:rPr>
          <w:rFonts w:eastAsia="Arial" w:cs="Arial"/>
          <w:color w:val="000000"/>
          <w:sz w:val="24"/>
          <w:lang w:val="en-GB" w:eastAsia="en-GB" w:bidi="en-GB"/>
        </w:rPr>
        <w:t xml:space="preserve">(6), pp. 369-375. </w:t>
      </w:r>
    </w:p>
    <w:p w:rsidR="004D3CEE" w:rsidRDefault="004D3CEE" w:rsidP="007E109E">
      <w:pPr>
        <w:spacing w:after="0" w:line="276" w:lineRule="auto"/>
        <w:ind w:left="730" w:hanging="370"/>
        <w:rPr>
          <w:rFonts w:eastAsia="Arial" w:cs="Arial"/>
          <w:color w:val="000000"/>
          <w:sz w:val="24"/>
          <w:lang w:val="en-GB" w:eastAsia="en-GB" w:bidi="en-GB"/>
        </w:rPr>
      </w:pPr>
    </w:p>
    <w:p w:rsidR="004D3CEE" w:rsidRPr="00BD1997" w:rsidRDefault="004D3CEE" w:rsidP="007E109E">
      <w:pPr>
        <w:spacing w:after="0" w:line="276" w:lineRule="auto"/>
        <w:ind w:left="730" w:hanging="370"/>
        <w:rPr>
          <w:rFonts w:eastAsia="Arial" w:cs="Arial"/>
          <w:color w:val="000000"/>
          <w:sz w:val="24"/>
          <w:lang w:val="en-GB" w:eastAsia="en-GB" w:bidi="en-GB"/>
        </w:rPr>
      </w:pPr>
      <w:r w:rsidRPr="004D3CEE">
        <w:rPr>
          <w:rFonts w:eastAsia="Arial" w:cs="Arial"/>
          <w:color w:val="000000"/>
          <w:sz w:val="24"/>
          <w:lang w:val="en-GB" w:eastAsia="en-GB" w:bidi="en-GB"/>
        </w:rPr>
        <w:t xml:space="preserve">Voigt, D. C., Dillard, J. P., Braddock, K. H., Anderson, J. W., </w:t>
      </w:r>
      <w:proofErr w:type="spellStart"/>
      <w:r w:rsidRPr="004D3CEE">
        <w:rPr>
          <w:rFonts w:eastAsia="Arial" w:cs="Arial"/>
          <w:color w:val="000000"/>
          <w:sz w:val="24"/>
          <w:lang w:val="en-GB" w:eastAsia="en-GB" w:bidi="en-GB"/>
        </w:rPr>
        <w:t>Sopory</w:t>
      </w:r>
      <w:proofErr w:type="spellEnd"/>
      <w:r w:rsidRPr="004D3CEE">
        <w:rPr>
          <w:rFonts w:eastAsia="Arial" w:cs="Arial"/>
          <w:color w:val="000000"/>
          <w:sz w:val="24"/>
          <w:lang w:val="en-GB" w:eastAsia="en-GB" w:bidi="en-GB"/>
        </w:rPr>
        <w:t xml:space="preserve">, P., &amp; Stephenson, M. T. (2009). Carver and </w:t>
      </w:r>
      <w:r>
        <w:rPr>
          <w:rFonts w:eastAsia="Arial" w:cs="Arial"/>
          <w:color w:val="000000"/>
          <w:sz w:val="24"/>
          <w:lang w:val="en-GB" w:eastAsia="en-GB" w:bidi="en-GB"/>
        </w:rPr>
        <w:t>W</w:t>
      </w:r>
      <w:r w:rsidRPr="004D3CEE">
        <w:rPr>
          <w:rFonts w:eastAsia="Arial" w:cs="Arial"/>
          <w:color w:val="000000"/>
          <w:sz w:val="24"/>
          <w:lang w:val="en-GB" w:eastAsia="en-GB" w:bidi="en-GB"/>
        </w:rPr>
        <w:t xml:space="preserve">hite's (1994) BIS/BAS Scales and their relationship to risky health behaviours. </w:t>
      </w:r>
      <w:r w:rsidRPr="004D3CEE">
        <w:rPr>
          <w:rFonts w:eastAsia="Arial" w:cs="Arial"/>
          <w:i/>
          <w:color w:val="000000"/>
          <w:sz w:val="24"/>
          <w:lang w:val="en-GB" w:eastAsia="en-GB" w:bidi="en-GB"/>
        </w:rPr>
        <w:t>Personality and Individual Differences, 47</w:t>
      </w:r>
      <w:r w:rsidRPr="004D3CEE">
        <w:rPr>
          <w:rFonts w:eastAsia="Arial" w:cs="Arial"/>
          <w:color w:val="000000"/>
          <w:sz w:val="24"/>
          <w:lang w:val="en-GB" w:eastAsia="en-GB" w:bidi="en-GB"/>
        </w:rPr>
        <w:t xml:space="preserve">(2), </w:t>
      </w:r>
      <w:r>
        <w:rPr>
          <w:rFonts w:eastAsia="Arial" w:cs="Arial"/>
          <w:color w:val="000000"/>
          <w:sz w:val="24"/>
          <w:lang w:val="en-GB" w:eastAsia="en-GB" w:bidi="en-GB"/>
        </w:rPr>
        <w:t xml:space="preserve">pp. </w:t>
      </w:r>
      <w:r w:rsidRPr="004D3CEE">
        <w:rPr>
          <w:rFonts w:eastAsia="Arial" w:cs="Arial"/>
          <w:color w:val="000000"/>
          <w:sz w:val="24"/>
          <w:lang w:val="en-GB" w:eastAsia="en-GB" w:bidi="en-GB"/>
        </w:rPr>
        <w:t>89-93.</w:t>
      </w:r>
    </w:p>
    <w:p w:rsidR="00BD1997" w:rsidRPr="00BD1997" w:rsidRDefault="00BD1997" w:rsidP="007E109E">
      <w:pPr>
        <w:spacing w:after="0" w:line="276" w:lineRule="auto"/>
        <w:rPr>
          <w:rFonts w:eastAsia="Arial" w:cs="Arial"/>
          <w:color w:val="000000"/>
          <w:sz w:val="24"/>
          <w:lang w:val="en-GB" w:eastAsia="en-GB" w:bidi="en-GB"/>
        </w:rPr>
      </w:pPr>
    </w:p>
    <w:p w:rsidR="00BD1997" w:rsidRPr="00BD1997" w:rsidRDefault="00BD1997" w:rsidP="007E109E">
      <w:pPr>
        <w:spacing w:after="0" w:line="276" w:lineRule="auto"/>
        <w:ind w:left="730" w:hanging="370"/>
        <w:rPr>
          <w:rFonts w:eastAsia="Arial" w:cs="Arial"/>
          <w:color w:val="000000"/>
          <w:sz w:val="24"/>
          <w:lang w:val="en-GB" w:eastAsia="en-GB" w:bidi="en-GB"/>
        </w:rPr>
      </w:pPr>
      <w:r w:rsidRPr="00BD1997">
        <w:rPr>
          <w:rFonts w:eastAsia="Arial" w:cs="Arial"/>
          <w:color w:val="000000"/>
          <w:sz w:val="24"/>
          <w:lang w:val="en-GB" w:eastAsia="en-GB" w:bidi="en-GB"/>
        </w:rPr>
        <w:t>Welsh Government. (2015).</w:t>
      </w:r>
      <w:r w:rsidRPr="00BD1997">
        <w:rPr>
          <w:rFonts w:eastAsia="Arial" w:cs="Arial"/>
          <w:i/>
          <w:color w:val="000000"/>
          <w:sz w:val="24"/>
          <w:lang w:val="en-GB" w:eastAsia="en-GB" w:bidi="en-GB"/>
        </w:rPr>
        <w:t xml:space="preserve"> Well-being of future generations (Wales) Act. </w:t>
      </w:r>
      <w:r w:rsidRPr="00BD1997">
        <w:rPr>
          <w:rFonts w:eastAsia="Arial" w:cs="Arial"/>
          <w:color w:val="000000"/>
          <w:sz w:val="24"/>
          <w:lang w:val="en-GB" w:eastAsia="en-GB" w:bidi="en-GB"/>
        </w:rPr>
        <w:t xml:space="preserve">United </w:t>
      </w:r>
    </w:p>
    <w:p w:rsid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color w:val="000000"/>
          <w:sz w:val="24"/>
          <w:lang w:val="en-GB" w:eastAsia="en-GB" w:bidi="en-GB"/>
        </w:rPr>
        <w:t>Kingdom: The Office Stationary Limited.</w:t>
      </w:r>
    </w:p>
    <w:p w:rsidR="00662F33" w:rsidRDefault="00662F33" w:rsidP="00662F33">
      <w:pPr>
        <w:spacing w:after="0" w:line="276" w:lineRule="auto"/>
        <w:rPr>
          <w:rFonts w:eastAsia="Arial" w:cs="Arial"/>
          <w:color w:val="000000"/>
          <w:sz w:val="24"/>
          <w:lang w:val="en-GB" w:eastAsia="en-GB" w:bidi="en-GB"/>
        </w:rPr>
      </w:pPr>
    </w:p>
    <w:p w:rsidR="00662F33" w:rsidRPr="00662F33" w:rsidRDefault="00662F33" w:rsidP="00662F33">
      <w:pPr>
        <w:spacing w:after="0" w:line="276" w:lineRule="auto"/>
        <w:ind w:left="360"/>
        <w:rPr>
          <w:rFonts w:eastAsia="Arial" w:cs="Arial"/>
          <w:i/>
          <w:color w:val="000000"/>
          <w:sz w:val="24"/>
          <w:lang w:val="en-GB" w:eastAsia="en-GB" w:bidi="en-GB"/>
        </w:rPr>
      </w:pPr>
      <w:r w:rsidRPr="00662F33">
        <w:rPr>
          <w:rFonts w:eastAsia="Arial" w:cs="Arial"/>
          <w:color w:val="000000"/>
          <w:sz w:val="24"/>
          <w:lang w:val="en-GB" w:eastAsia="en-GB" w:bidi="en-GB"/>
        </w:rPr>
        <w:t>Williamson, H. (2016, October, 12</w:t>
      </w:r>
      <w:r w:rsidRPr="00662F33">
        <w:rPr>
          <w:rFonts w:eastAsia="Arial" w:cs="Arial"/>
          <w:color w:val="000000"/>
          <w:sz w:val="24"/>
          <w:vertAlign w:val="superscript"/>
          <w:lang w:val="en-GB" w:eastAsia="en-GB" w:bidi="en-GB"/>
        </w:rPr>
        <w:t>th</w:t>
      </w:r>
      <w:r w:rsidRPr="00662F33">
        <w:rPr>
          <w:rFonts w:eastAsia="Arial" w:cs="Arial"/>
          <w:color w:val="000000"/>
          <w:sz w:val="24"/>
          <w:lang w:val="en-GB" w:eastAsia="en-GB" w:bidi="en-GB"/>
        </w:rPr>
        <w:t xml:space="preserve">-14th). </w:t>
      </w:r>
      <w:r w:rsidRPr="00662F33">
        <w:rPr>
          <w:rFonts w:eastAsia="Arial" w:cs="Arial"/>
          <w:i/>
          <w:color w:val="000000"/>
          <w:sz w:val="24"/>
          <w:lang w:val="en-GB" w:eastAsia="en-GB" w:bidi="en-GB"/>
        </w:rPr>
        <w:t>Supporting adolescents struggling with</w:t>
      </w:r>
    </w:p>
    <w:p w:rsidR="00662F33" w:rsidRPr="00662F33" w:rsidRDefault="00662F33" w:rsidP="00662F33">
      <w:pPr>
        <w:spacing w:after="0" w:line="276" w:lineRule="auto"/>
        <w:ind w:firstLine="720"/>
        <w:rPr>
          <w:rFonts w:eastAsia="Arial" w:cs="Arial"/>
          <w:i/>
          <w:color w:val="000000"/>
          <w:sz w:val="24"/>
          <w:lang w:val="en-GB" w:eastAsia="en-GB" w:bidi="en-GB"/>
        </w:rPr>
      </w:pPr>
      <w:r w:rsidRPr="00662F33">
        <w:rPr>
          <w:rFonts w:eastAsia="Arial" w:cs="Arial"/>
          <w:i/>
          <w:color w:val="000000"/>
          <w:sz w:val="24"/>
          <w:lang w:val="en-GB" w:eastAsia="en-GB" w:bidi="en-GB"/>
        </w:rPr>
        <w:t>appearance altering conditions: the feasibility of using an online psychosocial</w:t>
      </w:r>
    </w:p>
    <w:p w:rsidR="00662F33" w:rsidRPr="00662F33" w:rsidRDefault="00662F33" w:rsidP="00662F33">
      <w:pPr>
        <w:spacing w:after="0" w:line="276" w:lineRule="auto"/>
        <w:ind w:left="730" w:hanging="10"/>
        <w:rPr>
          <w:rFonts w:eastAsia="Arial" w:cs="Arial"/>
          <w:color w:val="000000"/>
          <w:sz w:val="24"/>
          <w:lang w:val="en-GB" w:eastAsia="en-GB" w:bidi="en-GB"/>
        </w:rPr>
      </w:pPr>
      <w:r w:rsidRPr="00662F33">
        <w:rPr>
          <w:rFonts w:eastAsia="Arial" w:cs="Arial"/>
          <w:i/>
          <w:color w:val="000000"/>
          <w:sz w:val="24"/>
          <w:lang w:val="en-GB" w:eastAsia="en-GB" w:bidi="en-GB"/>
        </w:rPr>
        <w:lastRenderedPageBreak/>
        <w:t xml:space="preserve">intervention in primary care. </w:t>
      </w:r>
      <w:r w:rsidRPr="00662F33">
        <w:rPr>
          <w:rFonts w:eastAsia="Arial" w:cs="Arial"/>
          <w:color w:val="000000"/>
          <w:sz w:val="24"/>
          <w:lang w:val="en-GB" w:eastAsia="en-GB" w:bidi="en-GB"/>
        </w:rPr>
        <w:t>Paper presented at the Annual Primary Care</w:t>
      </w:r>
    </w:p>
    <w:p w:rsidR="00662F33" w:rsidRPr="00BD1997" w:rsidRDefault="00662F33" w:rsidP="00465BEA">
      <w:pPr>
        <w:spacing w:after="0" w:line="276" w:lineRule="auto"/>
        <w:ind w:left="720"/>
        <w:rPr>
          <w:rFonts w:eastAsia="Arial" w:cs="Arial"/>
          <w:color w:val="000000"/>
          <w:sz w:val="24"/>
          <w:lang w:val="en-GB" w:eastAsia="en-GB" w:bidi="en-GB"/>
        </w:rPr>
      </w:pPr>
      <w:r w:rsidRPr="00662F33">
        <w:rPr>
          <w:rFonts w:eastAsia="Arial" w:cs="Arial"/>
          <w:color w:val="000000"/>
          <w:sz w:val="24"/>
          <w:lang w:val="en-GB" w:eastAsia="en-GB" w:bidi="en-GB"/>
        </w:rPr>
        <w:t xml:space="preserve">Conference. Centre for Appearance Research: YP Face IT. University of West England: Royal College of General Practitioners. </w:t>
      </w:r>
    </w:p>
    <w:p w:rsidR="00BD1997" w:rsidRPr="00BD1997" w:rsidRDefault="00BD1997" w:rsidP="00465BEA">
      <w:pPr>
        <w:spacing w:after="0" w:line="276" w:lineRule="auto"/>
        <w:rPr>
          <w:rFonts w:eastAsia="Arial" w:cs="Arial"/>
          <w:color w:val="000000"/>
          <w:sz w:val="24"/>
          <w:lang w:val="en-GB" w:eastAsia="en-GB" w:bidi="en-GB"/>
        </w:rPr>
      </w:pPr>
    </w:p>
    <w:p w:rsidR="00BD1997" w:rsidRPr="00BD1997" w:rsidRDefault="00BD1997" w:rsidP="007E109E">
      <w:pPr>
        <w:spacing w:after="0" w:line="276" w:lineRule="auto"/>
        <w:ind w:left="360"/>
        <w:rPr>
          <w:rFonts w:eastAsia="Arial" w:cs="Arial"/>
          <w:i/>
          <w:color w:val="000000"/>
          <w:sz w:val="24"/>
          <w:lang w:val="en-GB" w:eastAsia="en-GB" w:bidi="en-GB"/>
        </w:rPr>
      </w:pPr>
      <w:r w:rsidRPr="00BD1997">
        <w:rPr>
          <w:rFonts w:eastAsia="Arial" w:cs="Arial"/>
          <w:color w:val="000000"/>
          <w:sz w:val="24"/>
          <w:lang w:val="en-GB" w:eastAsia="en-GB" w:bidi="en-GB"/>
        </w:rPr>
        <w:t>Young, E. (2017, September, 18th).</w:t>
      </w:r>
      <w:r w:rsidRPr="00BD1997">
        <w:rPr>
          <w:rFonts w:eastAsia="Arial" w:cs="Arial"/>
          <w:i/>
          <w:color w:val="000000"/>
          <w:sz w:val="24"/>
          <w:lang w:val="en-GB" w:eastAsia="en-GB" w:bidi="en-GB"/>
        </w:rPr>
        <w:t xml:space="preserve"> Women know better than men what other </w:t>
      </w:r>
    </w:p>
    <w:p w:rsidR="00BD1997" w:rsidRPr="00BD1997" w:rsidRDefault="00BD1997" w:rsidP="007E109E">
      <w:pPr>
        <w:spacing w:after="0" w:line="276" w:lineRule="auto"/>
        <w:ind w:left="360" w:firstLine="360"/>
        <w:rPr>
          <w:rFonts w:eastAsia="Arial" w:cs="Arial"/>
          <w:color w:val="000000"/>
          <w:sz w:val="24"/>
          <w:lang w:val="en-GB" w:eastAsia="en-GB" w:bidi="en-GB"/>
        </w:rPr>
      </w:pPr>
      <w:r w:rsidRPr="00BD1997">
        <w:rPr>
          <w:rFonts w:eastAsia="Arial" w:cs="Arial"/>
          <w:i/>
          <w:color w:val="000000"/>
          <w:sz w:val="24"/>
          <w:lang w:val="en-GB" w:eastAsia="en-GB" w:bidi="en-GB"/>
        </w:rPr>
        <w:t xml:space="preserve">women are thinking and feeling. </w:t>
      </w:r>
      <w:r w:rsidRPr="00BD1997">
        <w:rPr>
          <w:rFonts w:eastAsia="Arial" w:cs="Arial"/>
          <w:color w:val="000000"/>
          <w:sz w:val="24"/>
          <w:lang w:val="en-GB" w:eastAsia="en-GB" w:bidi="en-GB"/>
        </w:rPr>
        <w:t xml:space="preserve">Retrieved from </w:t>
      </w:r>
    </w:p>
    <w:p w:rsidR="00BD1997" w:rsidRPr="00BD1997" w:rsidRDefault="00802B18" w:rsidP="007E109E">
      <w:pPr>
        <w:spacing w:after="0" w:line="276" w:lineRule="auto"/>
        <w:ind w:left="720"/>
        <w:rPr>
          <w:rFonts w:eastAsia="Arial" w:cs="Arial"/>
          <w:color w:val="000000"/>
          <w:sz w:val="24"/>
          <w:lang w:val="en-GB" w:eastAsia="en-GB" w:bidi="en-GB"/>
        </w:rPr>
      </w:pPr>
      <w:hyperlink r:id="rId13" w:history="1">
        <w:r w:rsidR="00BD1997" w:rsidRPr="00BD1997">
          <w:rPr>
            <w:rFonts w:eastAsia="Arial" w:cs="Arial"/>
            <w:color w:val="0563C1" w:themeColor="hyperlink"/>
            <w:sz w:val="24"/>
            <w:u w:val="single"/>
            <w:lang w:val="en-GB" w:eastAsia="en-GB" w:bidi="en-GB"/>
          </w:rPr>
          <w:t>https://digest.bps.org.uk/2017/09/18/women-know-better-than</w:t>
        </w:r>
      </w:hyperlink>
      <w:hyperlink r:id="rId14">
        <w:r w:rsidR="00BD1997" w:rsidRPr="00BD1997">
          <w:rPr>
            <w:rFonts w:eastAsia="Arial" w:cs="Arial"/>
            <w:color w:val="0562C1"/>
            <w:sz w:val="24"/>
            <w:u w:val="single" w:color="0562C1"/>
            <w:lang w:val="en-GB" w:eastAsia="en-GB" w:bidi="en-GB"/>
          </w:rPr>
          <w:t>menwhat-other-women-are-thinking-and-feeling/</w:t>
        </w:r>
      </w:hyperlink>
      <w:r w:rsidR="00BD1997" w:rsidRPr="00BD1997">
        <w:rPr>
          <w:rFonts w:eastAsia="Arial" w:cs="Arial"/>
          <w:color w:val="000000"/>
          <w:sz w:val="24"/>
          <w:lang w:val="en-GB" w:eastAsia="en-GB" w:bidi="en-GB"/>
        </w:rPr>
        <w:t xml:space="preserve">. </w:t>
      </w:r>
    </w:p>
    <w:p w:rsidR="00BD1997" w:rsidRPr="00BD1997" w:rsidRDefault="00BD1997" w:rsidP="007E109E">
      <w:pPr>
        <w:spacing w:after="0" w:line="276" w:lineRule="auto"/>
        <w:ind w:left="360"/>
        <w:rPr>
          <w:rFonts w:eastAsia="Arial" w:cs="Arial"/>
          <w:color w:val="000000"/>
          <w:sz w:val="24"/>
          <w:lang w:val="en-GB" w:eastAsia="en-GB" w:bidi="en-GB"/>
        </w:rPr>
      </w:pPr>
    </w:p>
    <w:p w:rsidR="00E70A93" w:rsidRPr="007E109E" w:rsidRDefault="00E70A93" w:rsidP="007E109E">
      <w:pPr>
        <w:spacing w:line="276" w:lineRule="auto"/>
      </w:pPr>
    </w:p>
    <w:sectPr w:rsidR="00E70A93" w:rsidRPr="007E109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A93"/>
    <w:rsid w:val="00022A60"/>
    <w:rsid w:val="0006002D"/>
    <w:rsid w:val="001616C9"/>
    <w:rsid w:val="00175A40"/>
    <w:rsid w:val="002201C3"/>
    <w:rsid w:val="00243E73"/>
    <w:rsid w:val="002F5939"/>
    <w:rsid w:val="00345CBA"/>
    <w:rsid w:val="00354E4D"/>
    <w:rsid w:val="00385DCE"/>
    <w:rsid w:val="00432AAB"/>
    <w:rsid w:val="00437FD6"/>
    <w:rsid w:val="004618A4"/>
    <w:rsid w:val="00465BEA"/>
    <w:rsid w:val="00476427"/>
    <w:rsid w:val="004D3CEE"/>
    <w:rsid w:val="004F203D"/>
    <w:rsid w:val="004F44BE"/>
    <w:rsid w:val="005C1898"/>
    <w:rsid w:val="005E5A5B"/>
    <w:rsid w:val="00662F33"/>
    <w:rsid w:val="00664CC7"/>
    <w:rsid w:val="006A0AD6"/>
    <w:rsid w:val="006C3668"/>
    <w:rsid w:val="0072022B"/>
    <w:rsid w:val="00760458"/>
    <w:rsid w:val="00762C02"/>
    <w:rsid w:val="007A647C"/>
    <w:rsid w:val="007D6349"/>
    <w:rsid w:val="007E109E"/>
    <w:rsid w:val="00954A08"/>
    <w:rsid w:val="0098441B"/>
    <w:rsid w:val="009D43B8"/>
    <w:rsid w:val="009E1A00"/>
    <w:rsid w:val="00A321AD"/>
    <w:rsid w:val="00A42CB1"/>
    <w:rsid w:val="00A87B46"/>
    <w:rsid w:val="00A9078B"/>
    <w:rsid w:val="00B9222E"/>
    <w:rsid w:val="00BD1997"/>
    <w:rsid w:val="00C80675"/>
    <w:rsid w:val="00C81059"/>
    <w:rsid w:val="00C93644"/>
    <w:rsid w:val="00D14D2C"/>
    <w:rsid w:val="00D207AC"/>
    <w:rsid w:val="00D36D6D"/>
    <w:rsid w:val="00D42927"/>
    <w:rsid w:val="00E03C87"/>
    <w:rsid w:val="00E23890"/>
    <w:rsid w:val="00E70A93"/>
    <w:rsid w:val="00FD0D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937043B"/>
  <w15:chartTrackingRefBased/>
  <w15:docId w15:val="{D2CC3CF8-3BAE-5C4E-8E71-B5356333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0AD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ntalhealth.org.uk/podcasts-and-videos/computerised-cognitivebehavioural-therapy" TargetMode="External" /><Relationship Id="rId13" Type="http://schemas.openxmlformats.org/officeDocument/2006/relationships/hyperlink" Target="https://digest.bps.org.uk/2017/09/18/women-know-better-than" TargetMode="External" /><Relationship Id="rId3" Type="http://schemas.openxmlformats.org/officeDocument/2006/relationships/webSettings" Target="webSettings.xml" /><Relationship Id="rId7" Type="http://schemas.openxmlformats.org/officeDocument/2006/relationships/hyperlink" Target="http://www.mentalhealth.org.uk/podcasts-and-videos/computerised-cognitivebehavioural-therapy" TargetMode="External" /><Relationship Id="rId12" Type="http://schemas.openxmlformats.org/officeDocument/2006/relationships/hyperlink" Target="https://www.ons.gov.uk/peoplepopulationandcommunity/healthandsocialcare/drugusealcoholandsmoking/bulletins/opinionsandlifestylesurveyadultdrinkinghabit%20singreatbritain/2005to2016" TargetMode="External" /><Relationship Id="rId2" Type="http://schemas.openxmlformats.org/officeDocument/2006/relationships/settings" Target="settings.xml" /><Relationship Id="rId16" Type="http://schemas.openxmlformats.org/officeDocument/2006/relationships/theme" Target="theme/theme1.xml" /><Relationship Id="rId1" Type="http://schemas.openxmlformats.org/officeDocument/2006/relationships/styles" Target="styles.xml" /><Relationship Id="rId6" Type="http://schemas.openxmlformats.org/officeDocument/2006/relationships/hyperlink" Target="http://www.tandfebooks.com/doi/view/10.4324/9780203878422" TargetMode="External" /><Relationship Id="rId11" Type="http://schemas.openxmlformats.org/officeDocument/2006/relationships/hyperlink" Target="https://www.ons.gov.uk/peoplepopulationandcommunity/healthandsocialcare/drugusealcoholandsmoking/bulletins/opinionsandlifestylesurveyadultdrinkinghabit%20singreatbritain/2005to2016" TargetMode="External" /><Relationship Id="rId5" Type="http://schemas.openxmlformats.org/officeDocument/2006/relationships/hyperlink" Target="http://journals.sagepub.com/doi/10.1177/1359105315569858" TargetMode="External" /><Relationship Id="rId15" Type="http://schemas.openxmlformats.org/officeDocument/2006/relationships/fontTable" Target="fontTable.xml" /><Relationship Id="rId10" Type="http://schemas.openxmlformats.org/officeDocument/2006/relationships/hyperlink" Target="https://www.ons.gov.uk/peoplepopulationandcommunity/healthandsocialcare/%20" TargetMode="External" /><Relationship Id="rId4" Type="http://schemas.openxmlformats.org/officeDocument/2006/relationships/hyperlink" Target="https://www.ncbi.nlm.nih.gov/pmc/articles/PMC3136027/" TargetMode="External" /><Relationship Id="rId9" Type="http://schemas.openxmlformats.org/officeDocument/2006/relationships/hyperlink" Target="http://www.mentalhealth.org.uk/podcasts-and-videos/computerised-cognitivebehavioural-therapy" TargetMode="External" /><Relationship Id="rId14" Type="http://schemas.openxmlformats.org/officeDocument/2006/relationships/hyperlink" Target="https://digest.bps.org.uk/2017/09/18/women-know-better-than-menwhat-other-women-are-thinking-and-feeling/"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1967</Words>
  <Characters>11214</Characters>
  <Application>Microsoft Office Word</Application>
  <DocSecurity>0</DocSecurity>
  <Lines>93</Lines>
  <Paragraphs>26</Paragraphs>
  <ScaleCrop>false</ScaleCrop>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Pugh (1801043)</dc:creator>
  <cp:keywords/>
  <dc:description/>
  <cp:lastModifiedBy>Zoe Pugh (1801043)</cp:lastModifiedBy>
  <cp:revision>2</cp:revision>
  <dcterms:created xsi:type="dcterms:W3CDTF">2018-11-08T23:47:00Z</dcterms:created>
  <dcterms:modified xsi:type="dcterms:W3CDTF">2018-11-08T23:47:00Z</dcterms:modified>
</cp:coreProperties>
</file>