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894B5" w14:textId="77777777" w:rsidR="00F62B46" w:rsidRDefault="00F62B46" w:rsidP="00F62B46">
      <w:pPr>
        <w:rPr>
          <w:b/>
          <w:bCs/>
          <w:sz w:val="42"/>
          <w:szCs w:val="42"/>
        </w:rPr>
      </w:pPr>
      <w:r w:rsidRPr="00F62B46">
        <w:rPr>
          <w:b/>
          <w:bCs/>
          <w:sz w:val="42"/>
          <w:szCs w:val="42"/>
        </w:rPr>
        <w:t> </w:t>
      </w:r>
    </w:p>
    <w:p w14:paraId="49B1759F" w14:textId="243B2C59" w:rsidR="00F62B46" w:rsidRDefault="00963AE2" w:rsidP="00F62B46">
      <w:pPr>
        <w:rPr>
          <w:b/>
          <w:bCs/>
          <w:sz w:val="42"/>
          <w:szCs w:val="42"/>
        </w:rPr>
      </w:pPr>
      <w:r>
        <w:rPr>
          <w:b/>
          <w:bCs/>
          <w:noProof/>
          <w:sz w:val="42"/>
          <w:szCs w:val="42"/>
        </w:rPr>
        <w:drawing>
          <wp:inline distT="0" distB="0" distL="0" distR="0" wp14:anchorId="4F1A5451" wp14:editId="30B11844">
            <wp:extent cx="4953000" cy="1924050"/>
            <wp:effectExtent l="0" t="0" r="0" b="0"/>
            <wp:docPr id="225222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53000" cy="1924050"/>
                    </a:xfrm>
                    <a:prstGeom prst="rect">
                      <a:avLst/>
                    </a:prstGeom>
                    <a:noFill/>
                  </pic:spPr>
                </pic:pic>
              </a:graphicData>
            </a:graphic>
          </wp:inline>
        </w:drawing>
      </w:r>
    </w:p>
    <w:p w14:paraId="0DCDD922" w14:textId="77777777" w:rsidR="00F62B46" w:rsidRDefault="00F62B46" w:rsidP="00F62B46">
      <w:pPr>
        <w:rPr>
          <w:b/>
          <w:bCs/>
          <w:sz w:val="42"/>
          <w:szCs w:val="42"/>
        </w:rPr>
      </w:pPr>
    </w:p>
    <w:p w14:paraId="4ADBFF39" w14:textId="77777777" w:rsidR="00F62B46" w:rsidRDefault="00F62B46" w:rsidP="00F62B46">
      <w:pPr>
        <w:rPr>
          <w:b/>
          <w:bCs/>
          <w:sz w:val="42"/>
          <w:szCs w:val="42"/>
        </w:rPr>
      </w:pPr>
    </w:p>
    <w:p w14:paraId="1230525C" w14:textId="77777777" w:rsidR="00F62B46" w:rsidRDefault="00F62B46" w:rsidP="00F62B46">
      <w:pPr>
        <w:rPr>
          <w:b/>
          <w:bCs/>
          <w:sz w:val="42"/>
          <w:szCs w:val="42"/>
        </w:rPr>
      </w:pPr>
    </w:p>
    <w:p w14:paraId="08B00931" w14:textId="77777777" w:rsidR="00F62B46" w:rsidRDefault="00F62B46" w:rsidP="00F62B46">
      <w:pPr>
        <w:rPr>
          <w:b/>
          <w:bCs/>
          <w:sz w:val="42"/>
          <w:szCs w:val="42"/>
        </w:rPr>
      </w:pPr>
    </w:p>
    <w:p w14:paraId="5894B9E0" w14:textId="20EB82BB" w:rsidR="00F62B46" w:rsidRDefault="00F62B46" w:rsidP="00F62B46">
      <w:pPr>
        <w:rPr>
          <w:b/>
          <w:bCs/>
          <w:sz w:val="42"/>
          <w:szCs w:val="42"/>
        </w:rPr>
      </w:pPr>
      <w:r w:rsidRPr="00F62B46">
        <w:rPr>
          <w:b/>
          <w:bCs/>
          <w:sz w:val="42"/>
          <w:szCs w:val="42"/>
        </w:rPr>
        <w:t>Ass</w:t>
      </w:r>
      <w:r w:rsidR="001D34E4">
        <w:rPr>
          <w:b/>
          <w:bCs/>
          <w:sz w:val="42"/>
          <w:szCs w:val="42"/>
        </w:rPr>
        <w:t>ignment:</w:t>
      </w:r>
      <w:r w:rsidRPr="00F62B46">
        <w:rPr>
          <w:b/>
          <w:bCs/>
          <w:sz w:val="42"/>
          <w:szCs w:val="42"/>
        </w:rPr>
        <w:t xml:space="preserve"> 2</w:t>
      </w:r>
    </w:p>
    <w:p w14:paraId="783009F2" w14:textId="092049D1" w:rsidR="00935579" w:rsidRPr="00F62B46" w:rsidRDefault="00935579" w:rsidP="00F62B46">
      <w:pPr>
        <w:rPr>
          <w:b/>
          <w:bCs/>
          <w:sz w:val="42"/>
          <w:szCs w:val="42"/>
        </w:rPr>
      </w:pPr>
      <w:r w:rsidRPr="00935579">
        <w:rPr>
          <w:b/>
          <w:bCs/>
          <w:sz w:val="42"/>
          <w:szCs w:val="42"/>
        </w:rPr>
        <w:t xml:space="preserve">Psychology in Health and Social Care </w:t>
      </w:r>
    </w:p>
    <w:p w14:paraId="5CABA6F5" w14:textId="77777777" w:rsidR="00F62B46" w:rsidRPr="00F62B46" w:rsidRDefault="00F62B46" w:rsidP="00F62B46">
      <w:pPr>
        <w:rPr>
          <w:b/>
          <w:bCs/>
          <w:sz w:val="42"/>
          <w:szCs w:val="42"/>
          <w:lang w:val="nl-NL"/>
        </w:rPr>
      </w:pPr>
      <w:r w:rsidRPr="00F62B46">
        <w:rPr>
          <w:b/>
          <w:bCs/>
          <w:sz w:val="42"/>
          <w:szCs w:val="42"/>
          <w:lang w:val="nl-NL"/>
        </w:rPr>
        <w:t>Student name: Mehreen Riaz</w:t>
      </w:r>
    </w:p>
    <w:p w14:paraId="4030E403" w14:textId="77777777" w:rsidR="00F62B46" w:rsidRDefault="00F62B46" w:rsidP="00F62B46">
      <w:pPr>
        <w:rPr>
          <w:b/>
          <w:bCs/>
          <w:sz w:val="42"/>
          <w:szCs w:val="42"/>
          <w:lang w:val="nl-NL"/>
        </w:rPr>
      </w:pPr>
      <w:r w:rsidRPr="00F62B46">
        <w:rPr>
          <w:b/>
          <w:bCs/>
          <w:sz w:val="42"/>
          <w:szCs w:val="42"/>
          <w:lang w:val="nl-NL"/>
        </w:rPr>
        <w:t>Student ID: 2429494</w:t>
      </w:r>
    </w:p>
    <w:p w14:paraId="3B6E0ADC" w14:textId="182A2F06" w:rsidR="00BB712B" w:rsidRDefault="00BB712B" w:rsidP="00F62B46">
      <w:pPr>
        <w:rPr>
          <w:b/>
          <w:bCs/>
          <w:sz w:val="42"/>
          <w:szCs w:val="42"/>
        </w:rPr>
      </w:pPr>
      <w:r>
        <w:rPr>
          <w:b/>
          <w:bCs/>
          <w:sz w:val="42"/>
          <w:szCs w:val="42"/>
        </w:rPr>
        <w:t xml:space="preserve">Module: </w:t>
      </w:r>
      <w:bookmarkStart w:id="0" w:name="_Hlk216273009"/>
      <w:r w:rsidR="00425953" w:rsidRPr="00425953">
        <w:rPr>
          <w:b/>
          <w:bCs/>
          <w:sz w:val="42"/>
          <w:szCs w:val="42"/>
        </w:rPr>
        <w:t>Psychology in Health and Social Care (LCHS4010_LON)</w:t>
      </w:r>
    </w:p>
    <w:bookmarkEnd w:id="0"/>
    <w:p w14:paraId="2EA82D38" w14:textId="48BB150B" w:rsidR="00F62B46" w:rsidRPr="00F62B46" w:rsidRDefault="00F62B46" w:rsidP="00F62B46">
      <w:pPr>
        <w:rPr>
          <w:b/>
          <w:bCs/>
          <w:sz w:val="42"/>
          <w:szCs w:val="42"/>
        </w:rPr>
      </w:pPr>
      <w:r w:rsidRPr="00F62B46">
        <w:rPr>
          <w:b/>
          <w:bCs/>
          <w:sz w:val="42"/>
          <w:szCs w:val="42"/>
        </w:rPr>
        <w:t>Teachers name: Dr. Bianca Sanfi</w:t>
      </w:r>
      <w:r w:rsidR="00002D57">
        <w:rPr>
          <w:b/>
          <w:bCs/>
          <w:sz w:val="42"/>
          <w:szCs w:val="42"/>
        </w:rPr>
        <w:t>l</w:t>
      </w:r>
      <w:r w:rsidRPr="00F62B46">
        <w:rPr>
          <w:b/>
          <w:bCs/>
          <w:sz w:val="42"/>
          <w:szCs w:val="42"/>
        </w:rPr>
        <w:t>lipo</w:t>
      </w:r>
    </w:p>
    <w:p w14:paraId="13A11E35" w14:textId="04DB86ED" w:rsidR="00F62B46" w:rsidRDefault="00F62B46" w:rsidP="00F62B46">
      <w:pPr>
        <w:rPr>
          <w:b/>
          <w:bCs/>
          <w:sz w:val="42"/>
          <w:szCs w:val="42"/>
        </w:rPr>
      </w:pPr>
      <w:r w:rsidRPr="00F62B46">
        <w:rPr>
          <w:b/>
          <w:bCs/>
          <w:sz w:val="42"/>
          <w:szCs w:val="42"/>
        </w:rPr>
        <w:t> </w:t>
      </w:r>
    </w:p>
    <w:p w14:paraId="66A079F8" w14:textId="77777777" w:rsidR="001D34E4" w:rsidRDefault="001D34E4" w:rsidP="00F62B46">
      <w:pPr>
        <w:rPr>
          <w:b/>
          <w:bCs/>
          <w:sz w:val="42"/>
          <w:szCs w:val="42"/>
        </w:rPr>
      </w:pPr>
    </w:p>
    <w:p w14:paraId="4486DA98" w14:textId="6D335DC0" w:rsidR="001336B6" w:rsidRDefault="001336B6" w:rsidP="00F62B46">
      <w:pPr>
        <w:rPr>
          <w:b/>
          <w:bCs/>
        </w:rPr>
      </w:pPr>
      <w:r w:rsidRPr="001336B6">
        <w:rPr>
          <w:b/>
          <w:bCs/>
        </w:rPr>
        <w:lastRenderedPageBreak/>
        <w:t>Applying Psychological Theory to Support Older Adults with Dementia in Residential Care</w:t>
      </w:r>
    </w:p>
    <w:p w14:paraId="369E2132" w14:textId="77777777" w:rsidR="00A7209F" w:rsidRPr="00066941" w:rsidRDefault="00A7209F" w:rsidP="004A7512">
      <w:pPr>
        <w:spacing w:line="360" w:lineRule="auto"/>
        <w:rPr>
          <w:rFonts w:ascii="Arial" w:hAnsi="Arial" w:cs="Arial"/>
          <w:b/>
          <w:bCs/>
          <w:sz w:val="22"/>
          <w:szCs w:val="22"/>
        </w:rPr>
      </w:pPr>
    </w:p>
    <w:p w14:paraId="047CBF81" w14:textId="77777777" w:rsidR="001336B6" w:rsidRPr="00066941" w:rsidRDefault="001336B6" w:rsidP="00E5332C">
      <w:pPr>
        <w:spacing w:line="360" w:lineRule="auto"/>
        <w:rPr>
          <w:rFonts w:ascii="Arial" w:hAnsi="Arial" w:cs="Arial"/>
          <w:b/>
          <w:bCs/>
          <w:sz w:val="22"/>
          <w:szCs w:val="22"/>
        </w:rPr>
      </w:pPr>
      <w:r w:rsidRPr="00066941">
        <w:rPr>
          <w:rFonts w:ascii="Arial" w:hAnsi="Arial" w:cs="Arial"/>
          <w:b/>
          <w:bCs/>
          <w:sz w:val="22"/>
          <w:szCs w:val="22"/>
        </w:rPr>
        <w:t>1. Introduction</w:t>
      </w:r>
    </w:p>
    <w:p w14:paraId="40CB79E0" w14:textId="6610162A"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Older adults aged 65 and over commonly experience psychological health conditions, with dementia being one of the most significant due to its impact on cognition, communication, behaviour, and emotional well-being. When individuals enter dementia care homes, health and social care practitioners must adopt approaches that are not only practical but also grounded in psychological theory. Understanding why certain behaviours occur</w:t>
      </w:r>
      <w:r w:rsidR="00F54ADC" w:rsidRPr="00066941">
        <w:rPr>
          <w:rFonts w:ascii="Arial" w:hAnsi="Arial" w:cs="Arial"/>
          <w:color w:val="000000" w:themeColor="text1"/>
          <w:sz w:val="22"/>
          <w:szCs w:val="22"/>
        </w:rPr>
        <w:t xml:space="preserve"> </w:t>
      </w:r>
      <w:r w:rsidRPr="00066941">
        <w:rPr>
          <w:rFonts w:ascii="Arial" w:hAnsi="Arial" w:cs="Arial"/>
          <w:color w:val="000000" w:themeColor="text1"/>
          <w:sz w:val="22"/>
          <w:szCs w:val="22"/>
        </w:rPr>
        <w:t xml:space="preserve">and how emotional and cognitive changes shape daily </w:t>
      </w:r>
      <w:r w:rsidR="000D79D8" w:rsidRPr="00066941">
        <w:rPr>
          <w:rFonts w:ascii="Arial" w:hAnsi="Arial" w:cs="Arial"/>
          <w:color w:val="000000" w:themeColor="text1"/>
          <w:sz w:val="22"/>
          <w:szCs w:val="22"/>
        </w:rPr>
        <w:t>experience helps</w:t>
      </w:r>
      <w:r w:rsidRPr="00066941">
        <w:rPr>
          <w:rFonts w:ascii="Arial" w:hAnsi="Arial" w:cs="Arial"/>
          <w:color w:val="000000" w:themeColor="text1"/>
          <w:sz w:val="22"/>
          <w:szCs w:val="22"/>
        </w:rPr>
        <w:t xml:space="preserve"> professionals deliver compassionate, person-centred support.</w:t>
      </w:r>
    </w:p>
    <w:p w14:paraId="0D7E80E6" w14:textId="77777777" w:rsidR="000D79D8"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This report discusses how two well-established psychological theories</w:t>
      </w:r>
      <w:r w:rsidR="00BD1C69" w:rsidRPr="00066941">
        <w:rPr>
          <w:rFonts w:ascii="Arial" w:hAnsi="Arial" w:cs="Arial"/>
          <w:color w:val="000000" w:themeColor="text1"/>
          <w:sz w:val="22"/>
          <w:szCs w:val="22"/>
        </w:rPr>
        <w:t xml:space="preserve"> </w:t>
      </w:r>
    </w:p>
    <w:p w14:paraId="7C1BA9DE" w14:textId="77777777" w:rsidR="00215B00" w:rsidRPr="00066941" w:rsidRDefault="00215B00" w:rsidP="00E5332C">
      <w:pPr>
        <w:spacing w:line="360" w:lineRule="auto"/>
        <w:rPr>
          <w:rFonts w:ascii="Arial" w:hAnsi="Arial" w:cs="Arial"/>
          <w:color w:val="000000" w:themeColor="text1"/>
          <w:sz w:val="22"/>
          <w:szCs w:val="22"/>
        </w:rPr>
      </w:pPr>
    </w:p>
    <w:p w14:paraId="4C5A6FE9" w14:textId="5472C176" w:rsidR="00215B00" w:rsidRPr="00066941" w:rsidRDefault="0069582E" w:rsidP="00E5332C">
      <w:pPr>
        <w:spacing w:line="360" w:lineRule="auto"/>
        <w:jc w:val="center"/>
        <w:rPr>
          <w:rFonts w:ascii="Arial" w:hAnsi="Arial" w:cs="Arial"/>
          <w:color w:val="000000" w:themeColor="text1"/>
          <w:sz w:val="22"/>
          <w:szCs w:val="22"/>
        </w:rPr>
      </w:pPr>
      <w:r w:rsidRPr="00066941">
        <w:rPr>
          <w:rFonts w:ascii="Arial" w:hAnsi="Arial" w:cs="Arial"/>
          <w:noProof/>
          <w:color w:val="000000" w:themeColor="text1"/>
          <w:sz w:val="22"/>
          <w:szCs w:val="22"/>
        </w:rPr>
        <w:drawing>
          <wp:inline distT="0" distB="0" distL="0" distR="0" wp14:anchorId="5174B13F" wp14:editId="081C8814">
            <wp:extent cx="3790950" cy="2177234"/>
            <wp:effectExtent l="0" t="0" r="0" b="0"/>
            <wp:docPr id="45809124" name="Picture 3" descr="A diagram of a mental health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09124" name="Picture 3" descr="A diagram of a mental health system&#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3994" cy="2207698"/>
                    </a:xfrm>
                    <a:prstGeom prst="rect">
                      <a:avLst/>
                    </a:prstGeom>
                    <a:noFill/>
                  </pic:spPr>
                </pic:pic>
              </a:graphicData>
            </a:graphic>
          </wp:inline>
        </w:drawing>
      </w:r>
    </w:p>
    <w:p w14:paraId="193570DA" w14:textId="77777777" w:rsidR="00215B00" w:rsidRPr="00066941" w:rsidRDefault="00215B00" w:rsidP="00E5332C">
      <w:pPr>
        <w:spacing w:line="360" w:lineRule="auto"/>
        <w:rPr>
          <w:rFonts w:ascii="Arial" w:hAnsi="Arial" w:cs="Arial"/>
          <w:color w:val="000000" w:themeColor="text1"/>
          <w:sz w:val="22"/>
          <w:szCs w:val="22"/>
        </w:rPr>
      </w:pPr>
    </w:p>
    <w:p w14:paraId="590F6130" w14:textId="11F5DC4F" w:rsidR="001336B6" w:rsidRPr="007F2FD8" w:rsidRDefault="001336B6"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t>Erikson’s Psychosocial Theory</w:t>
      </w:r>
      <w:r w:rsidRPr="00066941">
        <w:rPr>
          <w:rFonts w:ascii="Arial" w:hAnsi="Arial" w:cs="Arial"/>
          <w:color w:val="000000" w:themeColor="text1"/>
          <w:sz w:val="22"/>
          <w:szCs w:val="22"/>
        </w:rPr>
        <w:t xml:space="preserve"> and </w:t>
      </w:r>
      <w:r w:rsidRPr="00066941">
        <w:rPr>
          <w:rFonts w:ascii="Arial" w:hAnsi="Arial" w:cs="Arial"/>
          <w:b/>
          <w:bCs/>
          <w:color w:val="000000" w:themeColor="text1"/>
          <w:sz w:val="22"/>
          <w:szCs w:val="22"/>
        </w:rPr>
        <w:t>Bandura’s Social Learning Theory</w:t>
      </w:r>
      <w:r w:rsidR="000D79D8" w:rsidRPr="00066941">
        <w:rPr>
          <w:rFonts w:ascii="Arial" w:hAnsi="Arial" w:cs="Arial"/>
          <w:b/>
          <w:bCs/>
          <w:color w:val="000000" w:themeColor="text1"/>
          <w:sz w:val="22"/>
          <w:szCs w:val="22"/>
        </w:rPr>
        <w:t xml:space="preserve"> </w:t>
      </w:r>
      <w:r w:rsidR="002C418A" w:rsidRPr="00066941">
        <w:rPr>
          <w:rFonts w:ascii="Arial" w:hAnsi="Arial" w:cs="Arial"/>
          <w:color w:val="000000" w:themeColor="text1"/>
          <w:sz w:val="22"/>
          <w:szCs w:val="22"/>
        </w:rPr>
        <w:t>c</w:t>
      </w:r>
      <w:r w:rsidRPr="00066941">
        <w:rPr>
          <w:rFonts w:ascii="Arial" w:hAnsi="Arial" w:cs="Arial"/>
          <w:color w:val="000000" w:themeColor="text1"/>
          <w:sz w:val="22"/>
          <w:szCs w:val="22"/>
        </w:rPr>
        <w:t>an help guide practice in dementia care settings. The analysis will highlight how each theory relates to the experiences of older adults, explore practical applications, and outline the challenges and solutions that professionals may encounter when using these models in their day-to-day work.</w:t>
      </w:r>
    </w:p>
    <w:p w14:paraId="3E104DF9" w14:textId="0B6ECF22" w:rsidR="001336B6" w:rsidRPr="00066941" w:rsidRDefault="001336B6" w:rsidP="00E5332C">
      <w:pPr>
        <w:spacing w:line="360" w:lineRule="auto"/>
        <w:rPr>
          <w:rFonts w:ascii="Arial" w:hAnsi="Arial" w:cs="Arial"/>
          <w:color w:val="000000" w:themeColor="text1"/>
          <w:sz w:val="22"/>
          <w:szCs w:val="22"/>
        </w:rPr>
      </w:pPr>
    </w:p>
    <w:p w14:paraId="2D2B84C5" w14:textId="77777777" w:rsidR="002C418A" w:rsidRPr="00066941" w:rsidRDefault="002C418A"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br w:type="page"/>
      </w:r>
    </w:p>
    <w:p w14:paraId="128C13A4" w14:textId="499D289A" w:rsidR="001336B6" w:rsidRDefault="001336B6"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lastRenderedPageBreak/>
        <w:t>2. Psychological Theories Relevant to Older Adults</w:t>
      </w:r>
    </w:p>
    <w:p w14:paraId="4279FCF0" w14:textId="77777777" w:rsidR="001D34E4" w:rsidRPr="00066941" w:rsidRDefault="001D34E4" w:rsidP="00E5332C">
      <w:pPr>
        <w:spacing w:line="360" w:lineRule="auto"/>
        <w:rPr>
          <w:rFonts w:ascii="Arial" w:hAnsi="Arial" w:cs="Arial"/>
          <w:b/>
          <w:bCs/>
          <w:color w:val="000000" w:themeColor="text1"/>
          <w:sz w:val="22"/>
          <w:szCs w:val="22"/>
        </w:rPr>
      </w:pPr>
    </w:p>
    <w:p w14:paraId="22DA2750" w14:textId="78759239" w:rsidR="001336B6" w:rsidRPr="00066941" w:rsidRDefault="001336B6"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t>Erikson’s Psychosocial Theory of Development: Integrity vs. Despair</w:t>
      </w:r>
    </w:p>
    <w:p w14:paraId="7E50B323" w14:textId="3D5189A9" w:rsidR="00300417" w:rsidRDefault="001336B6" w:rsidP="00E5332C">
      <w:pPr>
        <w:spacing w:line="360" w:lineRule="auto"/>
        <w:jc w:val="both"/>
        <w:rPr>
          <w:rFonts w:ascii="Arial" w:hAnsi="Arial" w:cs="Arial"/>
          <w:b/>
          <w:bCs/>
          <w:color w:val="000000" w:themeColor="text1"/>
          <w:sz w:val="22"/>
          <w:szCs w:val="22"/>
        </w:rPr>
      </w:pPr>
      <w:r w:rsidRPr="00066941">
        <w:rPr>
          <w:rFonts w:ascii="Arial" w:hAnsi="Arial" w:cs="Arial"/>
          <w:color w:val="000000" w:themeColor="text1"/>
          <w:sz w:val="22"/>
          <w:szCs w:val="22"/>
        </w:rPr>
        <w:t>Erikson’s psychosocial framework proposes eight developmental stages, each associated with a specific psychological conflict. In late adulthood</w:t>
      </w:r>
      <w:r w:rsidR="000D79D8" w:rsidRPr="00066941">
        <w:rPr>
          <w:rFonts w:ascii="Arial" w:hAnsi="Arial" w:cs="Arial"/>
          <w:color w:val="000000" w:themeColor="text1"/>
          <w:sz w:val="22"/>
          <w:szCs w:val="22"/>
        </w:rPr>
        <w:t xml:space="preserve"> </w:t>
      </w:r>
      <w:r w:rsidRPr="00066941">
        <w:rPr>
          <w:rFonts w:ascii="Arial" w:hAnsi="Arial" w:cs="Arial"/>
          <w:color w:val="000000" w:themeColor="text1"/>
          <w:sz w:val="22"/>
          <w:szCs w:val="22"/>
        </w:rPr>
        <w:t>typically beginning around age 65</w:t>
      </w:r>
      <w:r w:rsidR="000D79D8" w:rsidRPr="00066941">
        <w:rPr>
          <w:rFonts w:ascii="Arial" w:hAnsi="Arial" w:cs="Arial"/>
          <w:color w:val="000000" w:themeColor="text1"/>
          <w:sz w:val="22"/>
          <w:szCs w:val="22"/>
        </w:rPr>
        <w:t xml:space="preserve"> </w:t>
      </w:r>
      <w:r w:rsidRPr="00066941">
        <w:rPr>
          <w:rFonts w:ascii="Arial" w:hAnsi="Arial" w:cs="Arial"/>
          <w:color w:val="000000" w:themeColor="text1"/>
          <w:sz w:val="22"/>
          <w:szCs w:val="22"/>
        </w:rPr>
        <w:t>individuals face the stage of</w:t>
      </w:r>
      <w:r w:rsidR="00300417">
        <w:rPr>
          <w:rFonts w:ascii="Arial" w:hAnsi="Arial" w:cs="Arial"/>
          <w:color w:val="000000" w:themeColor="text1"/>
          <w:sz w:val="22"/>
          <w:szCs w:val="22"/>
        </w:rPr>
        <w:t xml:space="preserve"> </w:t>
      </w:r>
      <w:r w:rsidRPr="00066941">
        <w:rPr>
          <w:rFonts w:ascii="Arial" w:hAnsi="Arial" w:cs="Arial"/>
          <w:b/>
          <w:bCs/>
          <w:color w:val="000000" w:themeColor="text1"/>
          <w:sz w:val="22"/>
          <w:szCs w:val="22"/>
        </w:rPr>
        <w:t>Integrity versus</w:t>
      </w:r>
      <w:r w:rsidR="00300417">
        <w:rPr>
          <w:rFonts w:ascii="Arial" w:hAnsi="Arial" w:cs="Arial"/>
          <w:b/>
          <w:bCs/>
          <w:color w:val="000000" w:themeColor="text1"/>
          <w:sz w:val="22"/>
          <w:szCs w:val="22"/>
        </w:rPr>
        <w:t xml:space="preserve"> despair. </w:t>
      </w:r>
    </w:p>
    <w:p w14:paraId="2622EC66" w14:textId="7C1ADD53"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 xml:space="preserve">During this period, people often look back over their lives, evaluating whether their experiences hold meaning, value, and coherence. Achievement of </w:t>
      </w:r>
      <w:r w:rsidRPr="00066941">
        <w:rPr>
          <w:rFonts w:ascii="Arial" w:hAnsi="Arial" w:cs="Arial"/>
          <w:b/>
          <w:bCs/>
          <w:color w:val="000000" w:themeColor="text1"/>
          <w:sz w:val="22"/>
          <w:szCs w:val="22"/>
        </w:rPr>
        <w:t>integrity</w:t>
      </w:r>
      <w:r w:rsidRPr="00066941">
        <w:rPr>
          <w:rFonts w:ascii="Arial" w:hAnsi="Arial" w:cs="Arial"/>
          <w:color w:val="000000" w:themeColor="text1"/>
          <w:sz w:val="22"/>
          <w:szCs w:val="22"/>
        </w:rPr>
        <w:t xml:space="preserve"> is characterised by acceptance, emotional stability, and a sense of fulfilment. In contrast, </w:t>
      </w:r>
      <w:r w:rsidRPr="00066941">
        <w:rPr>
          <w:rFonts w:ascii="Arial" w:hAnsi="Arial" w:cs="Arial"/>
          <w:b/>
          <w:bCs/>
          <w:color w:val="000000" w:themeColor="text1"/>
          <w:sz w:val="22"/>
          <w:szCs w:val="22"/>
        </w:rPr>
        <w:t>despair</w:t>
      </w:r>
      <w:r w:rsidRPr="00066941">
        <w:rPr>
          <w:rFonts w:ascii="Arial" w:hAnsi="Arial" w:cs="Arial"/>
          <w:color w:val="000000" w:themeColor="text1"/>
          <w:sz w:val="22"/>
          <w:szCs w:val="22"/>
        </w:rPr>
        <w:t xml:space="preserve"> may arise when older adults feel that opportunities were missed or when their life narrative evokes regret or dissatisfaction</w:t>
      </w:r>
      <w:r w:rsidR="005F2B48" w:rsidRPr="00066941">
        <w:rPr>
          <w:rFonts w:ascii="Arial" w:hAnsi="Arial" w:cs="Arial"/>
          <w:color w:val="000000" w:themeColor="text1"/>
          <w:sz w:val="22"/>
          <w:szCs w:val="22"/>
        </w:rPr>
        <w:t>.</w:t>
      </w:r>
    </w:p>
    <w:p w14:paraId="24D3D1B5" w14:textId="696FB7F5"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The theory remains relevant even when cognitive abilities decline. While dementia can disrupt memory recall, many emotional memories remain intact. Therefore, helping residents maintain identity, connection, and a sense of dignity supports their movement towards integrity and reduces anxiety or low mood</w:t>
      </w:r>
      <w:r w:rsidR="00CE2460">
        <w:rPr>
          <w:rFonts w:ascii="Arial" w:hAnsi="Arial" w:cs="Arial"/>
          <w:color w:val="000000" w:themeColor="text1"/>
          <w:sz w:val="22"/>
          <w:szCs w:val="22"/>
        </w:rPr>
        <w:t xml:space="preserve"> (</w:t>
      </w:r>
      <w:r w:rsidR="00CE2460" w:rsidRPr="00CE2460">
        <w:rPr>
          <w:rFonts w:ascii="Arial" w:hAnsi="Arial" w:cs="Arial"/>
          <w:color w:val="000000" w:themeColor="text1"/>
          <w:sz w:val="22"/>
          <w:szCs w:val="22"/>
        </w:rPr>
        <w:t>Erikson, 1982)</w:t>
      </w:r>
      <w:r w:rsidR="00CE2460">
        <w:rPr>
          <w:rFonts w:ascii="Arial" w:hAnsi="Arial" w:cs="Arial"/>
          <w:color w:val="000000" w:themeColor="text1"/>
          <w:sz w:val="22"/>
          <w:szCs w:val="22"/>
        </w:rPr>
        <w:t xml:space="preserve">. </w:t>
      </w:r>
    </w:p>
    <w:p w14:paraId="3D7DB63D" w14:textId="6A74F9C2" w:rsidR="005E2787" w:rsidRPr="00066941" w:rsidRDefault="005E2787" w:rsidP="00E5332C">
      <w:pPr>
        <w:spacing w:line="360" w:lineRule="auto"/>
        <w:jc w:val="center"/>
        <w:rPr>
          <w:rFonts w:ascii="Arial" w:hAnsi="Arial" w:cs="Arial"/>
          <w:color w:val="000000" w:themeColor="text1"/>
          <w:sz w:val="22"/>
          <w:szCs w:val="22"/>
        </w:rPr>
      </w:pPr>
      <w:r w:rsidRPr="00066941">
        <w:rPr>
          <w:rFonts w:ascii="Arial" w:hAnsi="Arial" w:cs="Arial"/>
          <w:noProof/>
          <w:color w:val="000000" w:themeColor="text1"/>
          <w:sz w:val="22"/>
          <w:szCs w:val="22"/>
        </w:rPr>
        <w:drawing>
          <wp:inline distT="0" distB="0" distL="0" distR="0" wp14:anchorId="701CE847" wp14:editId="4637F435">
            <wp:extent cx="5207000" cy="2925672"/>
            <wp:effectExtent l="0" t="0" r="0" b="8255"/>
            <wp:docPr id="714962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8133" cy="2931927"/>
                    </a:xfrm>
                    <a:prstGeom prst="rect">
                      <a:avLst/>
                    </a:prstGeom>
                    <a:noFill/>
                  </pic:spPr>
                </pic:pic>
              </a:graphicData>
            </a:graphic>
          </wp:inline>
        </w:drawing>
      </w:r>
    </w:p>
    <w:p w14:paraId="16B05F19" w14:textId="77777777" w:rsidR="005E2787" w:rsidRPr="00066941" w:rsidRDefault="005E2787" w:rsidP="00E5332C">
      <w:pPr>
        <w:spacing w:line="360" w:lineRule="auto"/>
        <w:rPr>
          <w:rFonts w:ascii="Arial" w:hAnsi="Arial" w:cs="Arial"/>
          <w:color w:val="000000" w:themeColor="text1"/>
          <w:sz w:val="22"/>
          <w:szCs w:val="22"/>
        </w:rPr>
      </w:pPr>
    </w:p>
    <w:p w14:paraId="499F555F" w14:textId="77777777" w:rsidR="005E2787" w:rsidRPr="00066941" w:rsidRDefault="005E2787" w:rsidP="00E5332C">
      <w:pPr>
        <w:spacing w:line="360" w:lineRule="auto"/>
        <w:rPr>
          <w:rFonts w:ascii="Arial" w:hAnsi="Arial" w:cs="Arial"/>
          <w:color w:val="000000" w:themeColor="text1"/>
          <w:sz w:val="22"/>
          <w:szCs w:val="22"/>
        </w:rPr>
      </w:pPr>
    </w:p>
    <w:p w14:paraId="52020108" w14:textId="77777777" w:rsidR="005E2787" w:rsidRPr="00066941" w:rsidRDefault="005E2787" w:rsidP="00E5332C">
      <w:pPr>
        <w:spacing w:line="360" w:lineRule="auto"/>
        <w:rPr>
          <w:rFonts w:ascii="Arial" w:hAnsi="Arial" w:cs="Arial"/>
          <w:color w:val="000000" w:themeColor="text1"/>
          <w:sz w:val="22"/>
          <w:szCs w:val="22"/>
        </w:rPr>
      </w:pPr>
    </w:p>
    <w:p w14:paraId="261316B8" w14:textId="77777777" w:rsidR="005E2787" w:rsidRPr="00066941" w:rsidRDefault="005E2787" w:rsidP="00E5332C">
      <w:pPr>
        <w:spacing w:line="360" w:lineRule="auto"/>
        <w:rPr>
          <w:rFonts w:ascii="Arial" w:hAnsi="Arial" w:cs="Arial"/>
          <w:color w:val="000000" w:themeColor="text1"/>
          <w:sz w:val="22"/>
          <w:szCs w:val="22"/>
        </w:rPr>
      </w:pPr>
    </w:p>
    <w:p w14:paraId="67A8C435" w14:textId="709901EE" w:rsidR="001D34E4" w:rsidRPr="00066941" w:rsidRDefault="002C418A" w:rsidP="00E5332C">
      <w:pPr>
        <w:spacing w:line="360" w:lineRule="auto"/>
        <w:rPr>
          <w:rFonts w:ascii="Arial" w:hAnsi="Arial" w:cs="Arial"/>
          <w:b/>
          <w:bCs/>
          <w:color w:val="000000" w:themeColor="text1"/>
          <w:sz w:val="22"/>
          <w:szCs w:val="22"/>
        </w:rPr>
      </w:pPr>
      <w:bookmarkStart w:id="1" w:name="_Hlk215675367"/>
      <w:r w:rsidRPr="00066941">
        <w:rPr>
          <w:rFonts w:ascii="Arial" w:hAnsi="Arial" w:cs="Arial"/>
          <w:b/>
          <w:bCs/>
          <w:color w:val="000000" w:themeColor="text1"/>
          <w:sz w:val="22"/>
          <w:szCs w:val="22"/>
        </w:rPr>
        <w:br w:type="page"/>
      </w:r>
      <w:bookmarkEnd w:id="1"/>
      <w:r w:rsidR="001336B6" w:rsidRPr="00066941">
        <w:rPr>
          <w:rFonts w:ascii="Arial" w:hAnsi="Arial" w:cs="Arial"/>
          <w:color w:val="000000" w:themeColor="text1"/>
          <w:sz w:val="22"/>
          <w:szCs w:val="22"/>
        </w:rPr>
        <w:lastRenderedPageBreak/>
        <w:t>choosing between activities</w:t>
      </w:r>
      <w:r w:rsidR="001D34E4" w:rsidRPr="001D34E4">
        <w:rPr>
          <w:rFonts w:ascii="Arial" w:hAnsi="Arial" w:cs="Arial"/>
          <w:b/>
          <w:bCs/>
          <w:color w:val="000000" w:themeColor="text1"/>
          <w:sz w:val="22"/>
          <w:szCs w:val="22"/>
        </w:rPr>
        <w:t xml:space="preserve"> </w:t>
      </w:r>
      <w:r w:rsidR="001D34E4" w:rsidRPr="00066941">
        <w:rPr>
          <w:rFonts w:ascii="Arial" w:hAnsi="Arial" w:cs="Arial"/>
          <w:b/>
          <w:bCs/>
          <w:color w:val="000000" w:themeColor="text1"/>
          <w:sz w:val="22"/>
          <w:szCs w:val="22"/>
        </w:rPr>
        <w:t>Bandura’s Social Learning Theory</w:t>
      </w:r>
    </w:p>
    <w:p w14:paraId="507C10DA" w14:textId="77777777" w:rsidR="001D34E4" w:rsidRPr="00066941" w:rsidRDefault="001D34E4"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 xml:space="preserve">Bandura’s Social Learning Theory proposes that individuals learn by observing the actions, emotions, and outcomes experienced by others (Bandura, 1977). Key components include </w:t>
      </w:r>
      <w:r w:rsidRPr="00066941">
        <w:rPr>
          <w:rFonts w:ascii="Arial" w:hAnsi="Arial" w:cs="Arial"/>
          <w:b/>
          <w:bCs/>
          <w:color w:val="000000" w:themeColor="text1"/>
          <w:sz w:val="22"/>
          <w:szCs w:val="22"/>
        </w:rPr>
        <w:t>modelling</w:t>
      </w:r>
      <w:r w:rsidRPr="00066941">
        <w:rPr>
          <w:rFonts w:ascii="Arial" w:hAnsi="Arial" w:cs="Arial"/>
          <w:color w:val="000000" w:themeColor="text1"/>
          <w:sz w:val="22"/>
          <w:szCs w:val="22"/>
        </w:rPr>
        <w:t xml:space="preserve">, </w:t>
      </w:r>
      <w:r w:rsidRPr="00066941">
        <w:rPr>
          <w:rFonts w:ascii="Arial" w:hAnsi="Arial" w:cs="Arial"/>
          <w:b/>
          <w:bCs/>
          <w:color w:val="000000" w:themeColor="text1"/>
          <w:sz w:val="22"/>
          <w:szCs w:val="22"/>
        </w:rPr>
        <w:t>imitation</w:t>
      </w:r>
      <w:r w:rsidRPr="00066941">
        <w:rPr>
          <w:rFonts w:ascii="Arial" w:hAnsi="Arial" w:cs="Arial"/>
          <w:color w:val="000000" w:themeColor="text1"/>
          <w:sz w:val="22"/>
          <w:szCs w:val="22"/>
        </w:rPr>
        <w:t xml:space="preserve">, and </w:t>
      </w:r>
      <w:r w:rsidRPr="00066941">
        <w:rPr>
          <w:rFonts w:ascii="Arial" w:hAnsi="Arial" w:cs="Arial"/>
          <w:b/>
          <w:bCs/>
          <w:color w:val="000000" w:themeColor="text1"/>
          <w:sz w:val="22"/>
          <w:szCs w:val="22"/>
        </w:rPr>
        <w:t>self-efficacy</w:t>
      </w:r>
      <w:r w:rsidRPr="00066941">
        <w:rPr>
          <w:rFonts w:ascii="Arial" w:hAnsi="Arial" w:cs="Arial"/>
          <w:color w:val="000000" w:themeColor="text1"/>
          <w:sz w:val="22"/>
          <w:szCs w:val="22"/>
        </w:rPr>
        <w:t>. For older adults particularly those living with dementia</w:t>
      </w:r>
    </w:p>
    <w:p w14:paraId="429F4EBE" w14:textId="77777777" w:rsidR="001D34E4" w:rsidRPr="00066941" w:rsidRDefault="001D34E4"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reduced independence, sensory changes, and cognitive limitations may weaken their sense of control or ability to manage tasks.</w:t>
      </w:r>
    </w:p>
    <w:p w14:paraId="749C96CD" w14:textId="77777777" w:rsidR="001D34E4" w:rsidRPr="00066941" w:rsidRDefault="001D34E4"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However, despite cognitive decline, many individuals with dementia still respond strongly to environmental cues, familiar routines, and the behaviour displayed by caregivers. This makes social learning an important framework for shaping daily behaviours, promoting calmness, and supporting confidence. When staff act as positive role models, they help create an environment where residents are more likely to demonstrate appropriate emotional responses, participate in daily tasks, and feel supported.</w:t>
      </w:r>
    </w:p>
    <w:p w14:paraId="36523720" w14:textId="77777777" w:rsidR="001D34E4" w:rsidRPr="00066941" w:rsidRDefault="001D34E4" w:rsidP="00E5332C">
      <w:pPr>
        <w:spacing w:line="360" w:lineRule="auto"/>
        <w:jc w:val="center"/>
        <w:rPr>
          <w:rFonts w:ascii="Arial" w:hAnsi="Arial" w:cs="Arial"/>
          <w:color w:val="000000" w:themeColor="text1"/>
          <w:sz w:val="22"/>
          <w:szCs w:val="22"/>
        </w:rPr>
      </w:pPr>
      <w:r w:rsidRPr="00066941">
        <w:rPr>
          <w:rFonts w:ascii="Arial" w:hAnsi="Arial" w:cs="Arial"/>
          <w:noProof/>
          <w:color w:val="000000" w:themeColor="text1"/>
          <w:sz w:val="22"/>
          <w:szCs w:val="22"/>
        </w:rPr>
        <w:drawing>
          <wp:inline distT="0" distB="0" distL="0" distR="0" wp14:anchorId="0A84B168" wp14:editId="1F96A086">
            <wp:extent cx="3689350" cy="1485900"/>
            <wp:effectExtent l="0" t="0" r="6350" b="0"/>
            <wp:docPr id="1655113077" name="Picture 1" descr="A diagram of a social learning the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113077" name="Picture 1" descr="A diagram of a social learning theory&#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9350" cy="1485900"/>
                    </a:xfrm>
                    <a:prstGeom prst="rect">
                      <a:avLst/>
                    </a:prstGeom>
                    <a:noFill/>
                  </pic:spPr>
                </pic:pic>
              </a:graphicData>
            </a:graphic>
          </wp:inline>
        </w:drawing>
      </w:r>
    </w:p>
    <w:p w14:paraId="0B199BD2" w14:textId="77777777" w:rsidR="001D34E4" w:rsidRPr="00066941" w:rsidRDefault="001D34E4"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t>3. Application in Dementia Care Settings</w:t>
      </w:r>
    </w:p>
    <w:p w14:paraId="707B8EEB" w14:textId="77777777" w:rsidR="001D34E4" w:rsidRPr="00066941" w:rsidRDefault="001D34E4"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t>Using Erikson’s Theory in Dementia Care</w:t>
      </w:r>
    </w:p>
    <w:p w14:paraId="4F26C016" w14:textId="77777777" w:rsidR="001D34E4" w:rsidRPr="00066941" w:rsidRDefault="001D34E4"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t>Supporting Identity Through Reminiscence and Life Story Work</w:t>
      </w:r>
    </w:p>
    <w:p w14:paraId="1CA3E96E" w14:textId="77777777" w:rsidR="001D34E4" w:rsidRPr="00066941" w:rsidRDefault="001D34E4"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Life-story work and reminiscence activities encourage residents to share personal experiences, reinforcing a sense of self. Approaches may include:</w:t>
      </w:r>
    </w:p>
    <w:p w14:paraId="573EE7D8" w14:textId="77777777" w:rsidR="001D34E4" w:rsidRPr="00066941" w:rsidRDefault="001D34E4" w:rsidP="00E5332C">
      <w:pPr>
        <w:numPr>
          <w:ilvl w:val="0"/>
          <w:numId w:val="8"/>
        </w:num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using memory boxes filled with personal items</w:t>
      </w:r>
    </w:p>
    <w:p w14:paraId="23511CDE" w14:textId="77777777" w:rsidR="001D34E4" w:rsidRPr="00066941" w:rsidRDefault="001D34E4" w:rsidP="00E5332C">
      <w:pPr>
        <w:numPr>
          <w:ilvl w:val="0"/>
          <w:numId w:val="8"/>
        </w:num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engaging residents in conversations about past hobbies or family events</w:t>
      </w:r>
    </w:p>
    <w:p w14:paraId="79CD2A7D" w14:textId="77777777" w:rsidR="001D34E4" w:rsidRPr="00066941" w:rsidRDefault="001D34E4" w:rsidP="00E5332C">
      <w:pPr>
        <w:numPr>
          <w:ilvl w:val="0"/>
          <w:numId w:val="8"/>
        </w:num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using music, photographs, or familiar objects to evoke emotional memories</w:t>
      </w:r>
    </w:p>
    <w:p w14:paraId="4EE4064E" w14:textId="77777777" w:rsidR="001D34E4" w:rsidRPr="00066941" w:rsidRDefault="001D34E4"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Evidence suggests that reminiscence therapies can enhance mood and improve social interaction among people with dementia. For example, playing music from a resident’s youth during morning routines can evoke positive emotions and reduce anxiety.</w:t>
      </w:r>
    </w:p>
    <w:p w14:paraId="1CD2B2C8" w14:textId="77777777" w:rsidR="001D34E4" w:rsidRPr="00066941" w:rsidRDefault="001D34E4"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br w:type="page"/>
      </w:r>
    </w:p>
    <w:p w14:paraId="5A217154" w14:textId="77777777" w:rsidR="001D34E4" w:rsidRPr="00066941" w:rsidRDefault="001D34E4"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lastRenderedPageBreak/>
        <w:t>Promoting Autonomy and Choice</w:t>
      </w:r>
    </w:p>
    <w:p w14:paraId="50059914" w14:textId="77777777" w:rsidR="001D34E4" w:rsidRPr="00066941" w:rsidRDefault="001D34E4"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Erikson emphasised the importance of meaning and agency in later life. Even when cognitive decline reduces decision-making abilities, small choices can help residents maintain dignity and control. Staff can offer choices such as:</w:t>
      </w:r>
    </w:p>
    <w:p w14:paraId="01CE6DE2" w14:textId="77777777" w:rsidR="001D34E4" w:rsidRPr="00066941" w:rsidRDefault="001D34E4" w:rsidP="00E5332C">
      <w:pPr>
        <w:numPr>
          <w:ilvl w:val="0"/>
          <w:numId w:val="9"/>
        </w:num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selecting clothing</w:t>
      </w:r>
    </w:p>
    <w:p w14:paraId="6FC073DB" w14:textId="675A33DE" w:rsidR="001336B6" w:rsidRPr="00066941" w:rsidRDefault="001336B6" w:rsidP="00E5332C">
      <w:pPr>
        <w:spacing w:line="360" w:lineRule="auto"/>
        <w:rPr>
          <w:rFonts w:ascii="Arial" w:hAnsi="Arial" w:cs="Arial"/>
          <w:color w:val="000000" w:themeColor="text1"/>
          <w:sz w:val="22"/>
          <w:szCs w:val="22"/>
        </w:rPr>
      </w:pPr>
    </w:p>
    <w:p w14:paraId="45298F8B" w14:textId="77777777" w:rsidR="001336B6" w:rsidRPr="00066941" w:rsidRDefault="001336B6" w:rsidP="00E5332C">
      <w:pPr>
        <w:numPr>
          <w:ilvl w:val="0"/>
          <w:numId w:val="9"/>
        </w:num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being involved in personal care decisions</w:t>
      </w:r>
    </w:p>
    <w:p w14:paraId="6674B26B" w14:textId="77777777"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These simple options reinforce the resident’s identity and validate their preferences.</w:t>
      </w:r>
    </w:p>
    <w:p w14:paraId="25ED946E" w14:textId="77777777" w:rsidR="001336B6" w:rsidRPr="00066941" w:rsidRDefault="001336B6"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t>Strengthening Social and Emotional Connections</w:t>
      </w:r>
    </w:p>
    <w:p w14:paraId="26640678" w14:textId="47676B60"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A sense of integrity is closely linked to belonging and connection. Care homes can support this through:</w:t>
      </w:r>
    </w:p>
    <w:p w14:paraId="66590082" w14:textId="77777777" w:rsidR="001336B6" w:rsidRPr="00066941" w:rsidRDefault="001336B6" w:rsidP="00E5332C">
      <w:pPr>
        <w:numPr>
          <w:ilvl w:val="0"/>
          <w:numId w:val="10"/>
        </w:num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group activities that encourage peer interaction</w:t>
      </w:r>
    </w:p>
    <w:p w14:paraId="7F757009" w14:textId="77777777" w:rsidR="001336B6" w:rsidRPr="00066941" w:rsidRDefault="001336B6" w:rsidP="00E5332C">
      <w:pPr>
        <w:numPr>
          <w:ilvl w:val="0"/>
          <w:numId w:val="10"/>
        </w:num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visits from family, volunteers, or community groups</w:t>
      </w:r>
    </w:p>
    <w:p w14:paraId="5758104A" w14:textId="77777777" w:rsidR="001336B6" w:rsidRPr="00066941" w:rsidRDefault="001336B6" w:rsidP="00E5332C">
      <w:pPr>
        <w:numPr>
          <w:ilvl w:val="0"/>
          <w:numId w:val="10"/>
        </w:num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spiritual or cultural events aligned with individual backgrounds</w:t>
      </w:r>
    </w:p>
    <w:p w14:paraId="0A46B5AC" w14:textId="2C95F774"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Such interactions help preserve social roles and reduce feelings of isolation.</w:t>
      </w:r>
    </w:p>
    <w:p w14:paraId="55B44932" w14:textId="77777777" w:rsidR="001336B6" w:rsidRPr="00066941" w:rsidRDefault="001336B6"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t>3.1.1 Challenges and Strategies for Applying Erikson’s Theory</w:t>
      </w:r>
    </w:p>
    <w:p w14:paraId="0068E879" w14:textId="77777777" w:rsidR="001336B6" w:rsidRPr="00066941" w:rsidRDefault="001336B6"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t>Cognitive Impairment Hindering Life Review</w:t>
      </w:r>
    </w:p>
    <w:p w14:paraId="53AB0D3F" w14:textId="77777777"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Residents with moderate to advanced dementia may struggle to recall specific memories.</w:t>
      </w:r>
    </w:p>
    <w:p w14:paraId="642818EE" w14:textId="2D1CB22B"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b/>
          <w:bCs/>
          <w:color w:val="000000" w:themeColor="text1"/>
          <w:sz w:val="22"/>
          <w:szCs w:val="22"/>
        </w:rPr>
        <w:t>Strategy:</w:t>
      </w:r>
      <w:r w:rsidRPr="00066941">
        <w:rPr>
          <w:rFonts w:ascii="Arial" w:hAnsi="Arial" w:cs="Arial"/>
          <w:color w:val="000000" w:themeColor="text1"/>
          <w:sz w:val="22"/>
          <w:szCs w:val="22"/>
        </w:rPr>
        <w:t xml:space="preserve"> Use sensory prompt</w:t>
      </w:r>
      <w:r w:rsidR="00866DAC" w:rsidRPr="00066941">
        <w:rPr>
          <w:rFonts w:ascii="Arial" w:hAnsi="Arial" w:cs="Arial"/>
          <w:color w:val="000000" w:themeColor="text1"/>
          <w:sz w:val="22"/>
          <w:szCs w:val="22"/>
        </w:rPr>
        <w:t xml:space="preserve">s </w:t>
      </w:r>
      <w:r w:rsidRPr="00066941">
        <w:rPr>
          <w:rFonts w:ascii="Arial" w:hAnsi="Arial" w:cs="Arial"/>
          <w:color w:val="000000" w:themeColor="text1"/>
          <w:sz w:val="22"/>
          <w:szCs w:val="22"/>
        </w:rPr>
        <w:t>such as scents, tactile objects, or photographs</w:t>
      </w:r>
      <w:r w:rsidR="00866DAC" w:rsidRPr="00066941">
        <w:rPr>
          <w:rFonts w:ascii="Arial" w:hAnsi="Arial" w:cs="Arial"/>
          <w:color w:val="000000" w:themeColor="text1"/>
          <w:sz w:val="22"/>
          <w:szCs w:val="22"/>
        </w:rPr>
        <w:t xml:space="preserve"> </w:t>
      </w:r>
      <w:r w:rsidRPr="00066941">
        <w:rPr>
          <w:rFonts w:ascii="Arial" w:hAnsi="Arial" w:cs="Arial"/>
          <w:color w:val="000000" w:themeColor="text1"/>
          <w:sz w:val="22"/>
          <w:szCs w:val="22"/>
        </w:rPr>
        <w:t>to evoke emotions rather than relying on verbal memory alone.</w:t>
      </w:r>
    </w:p>
    <w:p w14:paraId="71515207" w14:textId="77777777" w:rsidR="001336B6" w:rsidRPr="00066941" w:rsidRDefault="001336B6" w:rsidP="00E5332C">
      <w:pPr>
        <w:spacing w:line="360" w:lineRule="auto"/>
        <w:jc w:val="both"/>
        <w:rPr>
          <w:rFonts w:ascii="Arial" w:hAnsi="Arial" w:cs="Arial"/>
          <w:b/>
          <w:bCs/>
          <w:color w:val="000000" w:themeColor="text1"/>
          <w:sz w:val="22"/>
          <w:szCs w:val="22"/>
        </w:rPr>
      </w:pPr>
      <w:r w:rsidRPr="00066941">
        <w:rPr>
          <w:rFonts w:ascii="Arial" w:hAnsi="Arial" w:cs="Arial"/>
          <w:b/>
          <w:bCs/>
          <w:color w:val="000000" w:themeColor="text1"/>
          <w:sz w:val="22"/>
          <w:szCs w:val="22"/>
        </w:rPr>
        <w:t>Risk of Emotional Distress</w:t>
      </w:r>
    </w:p>
    <w:p w14:paraId="57C4C224" w14:textId="77777777"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Reflecting on past events may sometimes trigger sadness, trauma, or grief.</w:t>
      </w:r>
    </w:p>
    <w:p w14:paraId="3258B2A0" w14:textId="77777777"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b/>
          <w:bCs/>
          <w:color w:val="000000" w:themeColor="text1"/>
          <w:sz w:val="22"/>
          <w:szCs w:val="22"/>
        </w:rPr>
        <w:t>Strategy:</w:t>
      </w:r>
      <w:r w:rsidRPr="00066941">
        <w:rPr>
          <w:rFonts w:ascii="Arial" w:hAnsi="Arial" w:cs="Arial"/>
          <w:color w:val="000000" w:themeColor="text1"/>
          <w:sz w:val="22"/>
          <w:szCs w:val="22"/>
        </w:rPr>
        <w:t xml:space="preserve"> Staff should be trained in sensitive communication, monitor emotional cues, and shift conversations when distress occurs. Positive redirection and a calm environment can help avoid escalation.</w:t>
      </w:r>
    </w:p>
    <w:p w14:paraId="0FC96BE9" w14:textId="77777777" w:rsidR="001336B6" w:rsidRPr="00066941" w:rsidRDefault="001336B6" w:rsidP="00E5332C">
      <w:pPr>
        <w:spacing w:line="360" w:lineRule="auto"/>
        <w:jc w:val="both"/>
        <w:rPr>
          <w:rFonts w:ascii="Arial" w:hAnsi="Arial" w:cs="Arial"/>
          <w:b/>
          <w:bCs/>
          <w:color w:val="000000" w:themeColor="text1"/>
          <w:sz w:val="22"/>
          <w:szCs w:val="22"/>
        </w:rPr>
      </w:pPr>
      <w:r w:rsidRPr="00066941">
        <w:rPr>
          <w:rFonts w:ascii="Arial" w:hAnsi="Arial" w:cs="Arial"/>
          <w:b/>
          <w:bCs/>
          <w:color w:val="000000" w:themeColor="text1"/>
          <w:sz w:val="22"/>
          <w:szCs w:val="22"/>
        </w:rPr>
        <w:t>Limited Time for Individualised Support</w:t>
      </w:r>
    </w:p>
    <w:p w14:paraId="3D3D7D92" w14:textId="77777777"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Staff shortages or a busy care routine may limit opportunities for personalised reminiscence.</w:t>
      </w:r>
    </w:p>
    <w:p w14:paraId="5B43288E" w14:textId="27C94475" w:rsidR="001336B6" w:rsidRDefault="001336B6" w:rsidP="00E5332C">
      <w:pPr>
        <w:spacing w:line="360" w:lineRule="auto"/>
        <w:jc w:val="both"/>
        <w:rPr>
          <w:rFonts w:ascii="Arial" w:hAnsi="Arial" w:cs="Arial"/>
          <w:color w:val="000000" w:themeColor="text1"/>
          <w:sz w:val="22"/>
          <w:szCs w:val="22"/>
        </w:rPr>
      </w:pPr>
      <w:r w:rsidRPr="00066941">
        <w:rPr>
          <w:rFonts w:ascii="Arial" w:hAnsi="Arial" w:cs="Arial"/>
          <w:b/>
          <w:bCs/>
          <w:color w:val="000000" w:themeColor="text1"/>
          <w:sz w:val="22"/>
          <w:szCs w:val="22"/>
        </w:rPr>
        <w:lastRenderedPageBreak/>
        <w:t>Strategy:</w:t>
      </w:r>
      <w:r w:rsidRPr="00066941">
        <w:rPr>
          <w:rFonts w:ascii="Arial" w:hAnsi="Arial" w:cs="Arial"/>
          <w:color w:val="000000" w:themeColor="text1"/>
          <w:sz w:val="22"/>
          <w:szCs w:val="22"/>
        </w:rPr>
        <w:t xml:space="preserve"> Incorporate brief reminiscence into everyday tasks, and make use of group-based life-story sessions to maximise staff availability.</w:t>
      </w:r>
    </w:p>
    <w:p w14:paraId="7D958C2D" w14:textId="42ACCF1C" w:rsidR="00783A38" w:rsidRDefault="00783A38" w:rsidP="00E5332C">
      <w:pPr>
        <w:spacing w:line="360" w:lineRule="auto"/>
        <w:jc w:val="both"/>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116D2A02" wp14:editId="03006EF1">
            <wp:extent cx="2143125" cy="2143125"/>
            <wp:effectExtent l="0" t="0" r="9525" b="9525"/>
            <wp:docPr id="18632044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55D5EA24" w14:textId="77777777" w:rsidR="00783A38" w:rsidRPr="00066941" w:rsidRDefault="00783A38" w:rsidP="00E5332C">
      <w:pPr>
        <w:spacing w:line="360" w:lineRule="auto"/>
        <w:jc w:val="both"/>
        <w:rPr>
          <w:rFonts w:ascii="Arial" w:hAnsi="Arial" w:cs="Arial"/>
          <w:color w:val="000000" w:themeColor="text1"/>
          <w:sz w:val="22"/>
          <w:szCs w:val="22"/>
        </w:rPr>
      </w:pPr>
    </w:p>
    <w:p w14:paraId="3A77C67F" w14:textId="77777777" w:rsidR="001336B6" w:rsidRPr="00066941" w:rsidRDefault="001336B6"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t>3.2 Applying Social Learning Theory in Dementia Care</w:t>
      </w:r>
    </w:p>
    <w:p w14:paraId="2006DA18" w14:textId="77777777" w:rsidR="001336B6" w:rsidRPr="00066941" w:rsidRDefault="001336B6"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t>Using Care Staff as Behavioural Models</w:t>
      </w:r>
    </w:p>
    <w:p w14:paraId="41E98A09" w14:textId="77777777" w:rsidR="001336B6" w:rsidRPr="00066941" w:rsidRDefault="001336B6" w:rsidP="00E5332C">
      <w:p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Residents often mirror the emotional tone of those around them. Staff can demonstrate appropriate behaviours such as:</w:t>
      </w:r>
    </w:p>
    <w:p w14:paraId="37614167" w14:textId="77777777" w:rsidR="001336B6" w:rsidRPr="00066941" w:rsidRDefault="001336B6" w:rsidP="00E5332C">
      <w:pPr>
        <w:numPr>
          <w:ilvl w:val="0"/>
          <w:numId w:val="11"/>
        </w:num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maintaining a calm and reassuring manner</w:t>
      </w:r>
    </w:p>
    <w:p w14:paraId="2916E6DC" w14:textId="77777777" w:rsidR="001336B6" w:rsidRPr="00066941" w:rsidRDefault="001336B6" w:rsidP="00E5332C">
      <w:pPr>
        <w:numPr>
          <w:ilvl w:val="0"/>
          <w:numId w:val="11"/>
        </w:num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using slow, clear communication</w:t>
      </w:r>
    </w:p>
    <w:p w14:paraId="6EA3429C" w14:textId="77777777" w:rsidR="001336B6" w:rsidRPr="00066941" w:rsidRDefault="001336B6" w:rsidP="00E5332C">
      <w:pPr>
        <w:numPr>
          <w:ilvl w:val="0"/>
          <w:numId w:val="11"/>
        </w:num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modelling coping strategies during distress</w:t>
      </w:r>
    </w:p>
    <w:p w14:paraId="083F5FD3" w14:textId="77777777" w:rsidR="001336B6" w:rsidRPr="00066941" w:rsidRDefault="001336B6" w:rsidP="00E5332C">
      <w:pPr>
        <w:numPr>
          <w:ilvl w:val="0"/>
          <w:numId w:val="11"/>
        </w:num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showing positive non-verbal cues, such as smiling or open posture</w:t>
      </w:r>
    </w:p>
    <w:p w14:paraId="024BCC97" w14:textId="77777777" w:rsidR="001336B6" w:rsidRPr="00066941" w:rsidRDefault="001336B6" w:rsidP="00E5332C">
      <w:p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This consistent modelling helps reduce agitation and supports predictable responses.</w:t>
      </w:r>
    </w:p>
    <w:p w14:paraId="30F47368" w14:textId="77777777" w:rsidR="001336B6" w:rsidRPr="00066941" w:rsidRDefault="001336B6"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t>Building Self-Efficacy</w:t>
      </w:r>
    </w:p>
    <w:p w14:paraId="2CFC1941" w14:textId="77777777" w:rsidR="001336B6" w:rsidRPr="00066941" w:rsidRDefault="001336B6" w:rsidP="00E5332C">
      <w:p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Self-efficacy can be supported even with cognitive limitations. Care professionals can encourage a sense of achievement by:</w:t>
      </w:r>
    </w:p>
    <w:p w14:paraId="5E618D21" w14:textId="77777777" w:rsidR="001336B6" w:rsidRPr="00066941" w:rsidRDefault="001336B6" w:rsidP="00E5332C">
      <w:pPr>
        <w:numPr>
          <w:ilvl w:val="0"/>
          <w:numId w:val="12"/>
        </w:num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breaking tasks into manageable steps</w:t>
      </w:r>
    </w:p>
    <w:p w14:paraId="5F7025DE" w14:textId="77777777" w:rsidR="001336B6" w:rsidRPr="00066941" w:rsidRDefault="001336B6" w:rsidP="00E5332C">
      <w:pPr>
        <w:numPr>
          <w:ilvl w:val="0"/>
          <w:numId w:val="12"/>
        </w:num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providing gentle verbal encouragement</w:t>
      </w:r>
    </w:p>
    <w:p w14:paraId="6C69B1A7" w14:textId="77777777" w:rsidR="001336B6" w:rsidRPr="00066941" w:rsidRDefault="001336B6" w:rsidP="00E5332C">
      <w:pPr>
        <w:numPr>
          <w:ilvl w:val="0"/>
          <w:numId w:val="12"/>
        </w:num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offering opportunities for success (e.g., helping set the table, watering plants)</w:t>
      </w:r>
    </w:p>
    <w:p w14:paraId="2DD1451C" w14:textId="77777777" w:rsidR="001336B6" w:rsidRPr="00066941" w:rsidRDefault="001336B6" w:rsidP="00E5332C">
      <w:pPr>
        <w:numPr>
          <w:ilvl w:val="0"/>
          <w:numId w:val="12"/>
        </w:num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using adaptive equipment that promotes independence</w:t>
      </w:r>
    </w:p>
    <w:p w14:paraId="50551D4F" w14:textId="77777777" w:rsidR="001336B6" w:rsidRPr="00066941" w:rsidRDefault="001336B6" w:rsidP="00E5332C">
      <w:p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These steps help residents feel capable and valued.</w:t>
      </w:r>
    </w:p>
    <w:p w14:paraId="6C524D3E" w14:textId="77777777" w:rsidR="001336B6" w:rsidRPr="00066941" w:rsidRDefault="001336B6"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lastRenderedPageBreak/>
        <w:t>Creating Predictable Routines and Environmental Cues</w:t>
      </w:r>
    </w:p>
    <w:p w14:paraId="2C6A32CB" w14:textId="77777777" w:rsidR="001336B6" w:rsidRPr="00066941" w:rsidRDefault="001336B6" w:rsidP="00E5332C">
      <w:p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Environmental structure supports observational learning by reducing confusion. Examples include:</w:t>
      </w:r>
    </w:p>
    <w:p w14:paraId="012B658D" w14:textId="77777777" w:rsidR="001336B6" w:rsidRPr="00066941" w:rsidRDefault="001336B6" w:rsidP="00E5332C">
      <w:pPr>
        <w:numPr>
          <w:ilvl w:val="0"/>
          <w:numId w:val="13"/>
        </w:num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visual prompts to guide daily activities</w:t>
      </w:r>
    </w:p>
    <w:p w14:paraId="78E3707E" w14:textId="77777777" w:rsidR="001336B6" w:rsidRPr="00066941" w:rsidRDefault="001336B6" w:rsidP="00E5332C">
      <w:pPr>
        <w:numPr>
          <w:ilvl w:val="0"/>
          <w:numId w:val="13"/>
        </w:num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consistent meal and activity schedules</w:t>
      </w:r>
    </w:p>
    <w:p w14:paraId="485F7A4D" w14:textId="77777777" w:rsidR="001336B6" w:rsidRPr="00066941" w:rsidRDefault="001336B6" w:rsidP="00E5332C">
      <w:pPr>
        <w:numPr>
          <w:ilvl w:val="0"/>
          <w:numId w:val="13"/>
        </w:num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simple demonstrations that show residents what is expected</w:t>
      </w:r>
    </w:p>
    <w:p w14:paraId="11E3A9FA" w14:textId="605C7267" w:rsidR="001336B6" w:rsidRPr="00066941" w:rsidRDefault="001336B6" w:rsidP="00E5332C">
      <w:pPr>
        <w:spacing w:line="360" w:lineRule="auto"/>
        <w:rPr>
          <w:rFonts w:ascii="Arial" w:hAnsi="Arial" w:cs="Arial"/>
          <w:color w:val="000000" w:themeColor="text1"/>
          <w:sz w:val="22"/>
          <w:szCs w:val="22"/>
        </w:rPr>
      </w:pPr>
      <w:r w:rsidRPr="00066941">
        <w:rPr>
          <w:rFonts w:ascii="Arial" w:hAnsi="Arial" w:cs="Arial"/>
          <w:color w:val="000000" w:themeColor="text1"/>
          <w:sz w:val="22"/>
          <w:szCs w:val="22"/>
        </w:rPr>
        <w:t>This structured approach reduces anxiety and helps residents engage more confidently with daily task</w:t>
      </w:r>
      <w:r w:rsidR="006F16E8">
        <w:rPr>
          <w:rFonts w:ascii="Arial" w:hAnsi="Arial" w:cs="Arial"/>
          <w:color w:val="000000" w:themeColor="text1"/>
          <w:sz w:val="22"/>
          <w:szCs w:val="22"/>
        </w:rPr>
        <w:t xml:space="preserve"> (</w:t>
      </w:r>
      <w:r w:rsidR="006F16E8" w:rsidRPr="006F16E8">
        <w:rPr>
          <w:rFonts w:ascii="Arial" w:hAnsi="Arial" w:cs="Arial"/>
          <w:color w:val="000000" w:themeColor="text1"/>
          <w:sz w:val="22"/>
          <w:szCs w:val="22"/>
        </w:rPr>
        <w:t>Knight, 2017)</w:t>
      </w:r>
      <w:r w:rsidR="006F16E8">
        <w:rPr>
          <w:rFonts w:ascii="Arial" w:hAnsi="Arial" w:cs="Arial"/>
          <w:color w:val="000000" w:themeColor="text1"/>
          <w:sz w:val="22"/>
          <w:szCs w:val="22"/>
        </w:rPr>
        <w:t xml:space="preserve">. </w:t>
      </w:r>
    </w:p>
    <w:p w14:paraId="65FC92AA" w14:textId="6F540EC6" w:rsidR="001336B6" w:rsidRPr="00066941" w:rsidRDefault="001336B6" w:rsidP="00E5332C">
      <w:pPr>
        <w:spacing w:line="360" w:lineRule="auto"/>
        <w:rPr>
          <w:rFonts w:ascii="Arial" w:hAnsi="Arial" w:cs="Arial"/>
          <w:color w:val="000000" w:themeColor="text1"/>
          <w:sz w:val="22"/>
          <w:szCs w:val="22"/>
        </w:rPr>
      </w:pPr>
    </w:p>
    <w:p w14:paraId="25938277" w14:textId="443195D9" w:rsidR="001336B6" w:rsidRPr="00066941" w:rsidRDefault="001336B6"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t>3.2.1 Challenges and Strategies for Applying Social Learning Theory</w:t>
      </w:r>
    </w:p>
    <w:p w14:paraId="2700C8A1" w14:textId="77777777" w:rsidR="001336B6" w:rsidRPr="00066941" w:rsidRDefault="001336B6"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t>Reduced Capacity to Learn Through Observation</w:t>
      </w:r>
    </w:p>
    <w:p w14:paraId="641D8135" w14:textId="77777777"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Dementia may limit the ability to imitate or retain new behaviours.</w:t>
      </w:r>
    </w:p>
    <w:p w14:paraId="5AF2BB59" w14:textId="77777777"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b/>
          <w:bCs/>
          <w:color w:val="000000" w:themeColor="text1"/>
          <w:sz w:val="22"/>
          <w:szCs w:val="22"/>
        </w:rPr>
        <w:t>Strategy:</w:t>
      </w:r>
      <w:r w:rsidRPr="00066941">
        <w:rPr>
          <w:rFonts w:ascii="Arial" w:hAnsi="Arial" w:cs="Arial"/>
          <w:color w:val="000000" w:themeColor="text1"/>
          <w:sz w:val="22"/>
          <w:szCs w:val="22"/>
        </w:rPr>
        <w:t xml:space="preserve"> Use repetition, simple demonstrations, and clear, short instructions. Combine modelling with tactile guidance where appropriate.</w:t>
      </w:r>
    </w:p>
    <w:p w14:paraId="2D0A3128" w14:textId="77777777" w:rsidR="001336B6" w:rsidRPr="00066941" w:rsidRDefault="001336B6" w:rsidP="00E5332C">
      <w:pPr>
        <w:spacing w:line="360" w:lineRule="auto"/>
        <w:jc w:val="both"/>
        <w:rPr>
          <w:rFonts w:ascii="Arial" w:hAnsi="Arial" w:cs="Arial"/>
          <w:b/>
          <w:bCs/>
          <w:color w:val="000000" w:themeColor="text1"/>
          <w:sz w:val="22"/>
          <w:szCs w:val="22"/>
        </w:rPr>
      </w:pPr>
      <w:r w:rsidRPr="00066941">
        <w:rPr>
          <w:rFonts w:ascii="Arial" w:hAnsi="Arial" w:cs="Arial"/>
          <w:b/>
          <w:bCs/>
          <w:color w:val="000000" w:themeColor="text1"/>
          <w:sz w:val="22"/>
          <w:szCs w:val="22"/>
        </w:rPr>
        <w:t>Inconsistency Among Staff</w:t>
      </w:r>
    </w:p>
    <w:p w14:paraId="7B0C8D9D" w14:textId="77777777"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When different staff members adopt inconsistent approaches, residents may become confused or distressed.</w:t>
      </w:r>
    </w:p>
    <w:p w14:paraId="2BA1C82E" w14:textId="77777777"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b/>
          <w:bCs/>
          <w:color w:val="000000" w:themeColor="text1"/>
          <w:sz w:val="22"/>
          <w:szCs w:val="22"/>
        </w:rPr>
        <w:t>Strategy:</w:t>
      </w:r>
      <w:r w:rsidRPr="00066941">
        <w:rPr>
          <w:rFonts w:ascii="Arial" w:hAnsi="Arial" w:cs="Arial"/>
          <w:color w:val="000000" w:themeColor="text1"/>
          <w:sz w:val="22"/>
          <w:szCs w:val="22"/>
        </w:rPr>
        <w:t xml:space="preserve"> Implement standardised communication methods and behaviour support plans, ensuring all staff receive training in a unified approach.</w:t>
      </w:r>
    </w:p>
    <w:p w14:paraId="78896832" w14:textId="77777777" w:rsidR="001336B6" w:rsidRPr="00066941" w:rsidRDefault="001336B6" w:rsidP="00E5332C">
      <w:pPr>
        <w:spacing w:line="360" w:lineRule="auto"/>
        <w:jc w:val="both"/>
        <w:rPr>
          <w:rFonts w:ascii="Arial" w:hAnsi="Arial" w:cs="Arial"/>
          <w:b/>
          <w:bCs/>
          <w:color w:val="000000" w:themeColor="text1"/>
          <w:sz w:val="22"/>
          <w:szCs w:val="22"/>
        </w:rPr>
      </w:pPr>
      <w:r w:rsidRPr="00066941">
        <w:rPr>
          <w:rFonts w:ascii="Arial" w:hAnsi="Arial" w:cs="Arial"/>
          <w:b/>
          <w:bCs/>
          <w:color w:val="000000" w:themeColor="text1"/>
          <w:sz w:val="22"/>
          <w:szCs w:val="22"/>
        </w:rPr>
        <w:t>Behavioural Symptoms Limiting Engagement</w:t>
      </w:r>
    </w:p>
    <w:p w14:paraId="4A6F3E0D" w14:textId="77777777"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 xml:space="preserve">Agitation, wandering, or resistance may reduce the </w:t>
      </w:r>
      <w:proofErr w:type="spellStart"/>
      <w:r w:rsidRPr="00066941">
        <w:rPr>
          <w:rFonts w:ascii="Arial" w:hAnsi="Arial" w:cs="Arial"/>
          <w:color w:val="000000" w:themeColor="text1"/>
          <w:sz w:val="22"/>
          <w:szCs w:val="22"/>
        </w:rPr>
        <w:t>resident’s</w:t>
      </w:r>
      <w:proofErr w:type="spellEnd"/>
      <w:r w:rsidRPr="00066941">
        <w:rPr>
          <w:rFonts w:ascii="Arial" w:hAnsi="Arial" w:cs="Arial"/>
          <w:color w:val="000000" w:themeColor="text1"/>
          <w:sz w:val="22"/>
          <w:szCs w:val="22"/>
        </w:rPr>
        <w:t xml:space="preserve"> ability to engage with modelling.</w:t>
      </w:r>
    </w:p>
    <w:p w14:paraId="73C048D0" w14:textId="105C9E7B"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b/>
          <w:bCs/>
          <w:color w:val="000000" w:themeColor="text1"/>
          <w:sz w:val="22"/>
          <w:szCs w:val="22"/>
        </w:rPr>
        <w:t>Strategy:</w:t>
      </w:r>
      <w:r w:rsidRPr="00066941">
        <w:rPr>
          <w:rFonts w:ascii="Arial" w:hAnsi="Arial" w:cs="Arial"/>
          <w:color w:val="000000" w:themeColor="text1"/>
          <w:sz w:val="22"/>
          <w:szCs w:val="22"/>
        </w:rPr>
        <w:t xml:space="preserve"> Address potential unmet needs</w:t>
      </w:r>
      <w:r w:rsidR="004A1BCE" w:rsidRPr="00066941">
        <w:rPr>
          <w:rFonts w:ascii="Arial" w:hAnsi="Arial" w:cs="Arial"/>
          <w:color w:val="000000" w:themeColor="text1"/>
          <w:sz w:val="22"/>
          <w:szCs w:val="22"/>
        </w:rPr>
        <w:t xml:space="preserve"> </w:t>
      </w:r>
      <w:r w:rsidRPr="00066941">
        <w:rPr>
          <w:rFonts w:ascii="Arial" w:hAnsi="Arial" w:cs="Arial"/>
          <w:color w:val="000000" w:themeColor="text1"/>
          <w:sz w:val="22"/>
          <w:szCs w:val="22"/>
        </w:rPr>
        <w:t>such as discomfort, hunger, or overstimulation</w:t>
      </w:r>
      <w:r w:rsidR="00922FB3" w:rsidRPr="00066941">
        <w:rPr>
          <w:rFonts w:ascii="Arial" w:hAnsi="Arial" w:cs="Arial"/>
          <w:color w:val="000000" w:themeColor="text1"/>
          <w:sz w:val="22"/>
          <w:szCs w:val="22"/>
        </w:rPr>
        <w:t xml:space="preserve"> b</w:t>
      </w:r>
      <w:r w:rsidRPr="00066941">
        <w:rPr>
          <w:rFonts w:ascii="Arial" w:hAnsi="Arial" w:cs="Arial"/>
          <w:color w:val="000000" w:themeColor="text1"/>
          <w:sz w:val="22"/>
          <w:szCs w:val="22"/>
        </w:rPr>
        <w:t>efore attempting behavioural guidance. A calm emotional state increases the likelihood of successful imitation.</w:t>
      </w:r>
    </w:p>
    <w:p w14:paraId="32B644EE" w14:textId="77777777" w:rsidR="001336B6" w:rsidRPr="00066941" w:rsidRDefault="001336B6"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t>4. Integrating Both Theories for Comprehensive Care</w:t>
      </w:r>
    </w:p>
    <w:p w14:paraId="2A3BA8DA" w14:textId="77777777" w:rsidR="008F41FE"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Erikson’s and Bandura’s theories can be used together to provide a holistic approach to dementia care. Erikson’s model emphasises emotional well-being, identity, and meaning, while Bandura’s focuses on practical behavioural support and confidence</w:t>
      </w:r>
      <w:r w:rsidR="008F41FE" w:rsidRPr="00066941">
        <w:rPr>
          <w:rFonts w:ascii="Arial" w:hAnsi="Arial" w:cs="Arial"/>
          <w:color w:val="000000" w:themeColor="text1"/>
          <w:sz w:val="22"/>
          <w:szCs w:val="22"/>
        </w:rPr>
        <w:t xml:space="preserve"> </w:t>
      </w:r>
      <w:r w:rsidRPr="00066941">
        <w:rPr>
          <w:rFonts w:ascii="Arial" w:hAnsi="Arial" w:cs="Arial"/>
          <w:color w:val="000000" w:themeColor="text1"/>
          <w:sz w:val="22"/>
          <w:szCs w:val="22"/>
        </w:rPr>
        <w:t xml:space="preserve">building. Together, they enable professionals to consider both </w:t>
      </w:r>
    </w:p>
    <w:p w14:paraId="157F318F" w14:textId="2E666BA0"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b/>
          <w:bCs/>
          <w:color w:val="000000" w:themeColor="text1"/>
          <w:sz w:val="22"/>
          <w:szCs w:val="22"/>
        </w:rPr>
        <w:lastRenderedPageBreak/>
        <w:t>how residents feel</w:t>
      </w:r>
      <w:r w:rsidRPr="00066941">
        <w:rPr>
          <w:rFonts w:ascii="Arial" w:hAnsi="Arial" w:cs="Arial"/>
          <w:color w:val="000000" w:themeColor="text1"/>
          <w:sz w:val="22"/>
          <w:szCs w:val="22"/>
        </w:rPr>
        <w:t xml:space="preserve"> and </w:t>
      </w:r>
      <w:r w:rsidRPr="00066941">
        <w:rPr>
          <w:rFonts w:ascii="Arial" w:hAnsi="Arial" w:cs="Arial"/>
          <w:b/>
          <w:bCs/>
          <w:color w:val="000000" w:themeColor="text1"/>
          <w:sz w:val="22"/>
          <w:szCs w:val="22"/>
        </w:rPr>
        <w:t>how they behave</w:t>
      </w:r>
      <w:r w:rsidRPr="00066941">
        <w:rPr>
          <w:rFonts w:ascii="Arial" w:hAnsi="Arial" w:cs="Arial"/>
          <w:color w:val="000000" w:themeColor="text1"/>
          <w:sz w:val="22"/>
          <w:szCs w:val="22"/>
        </w:rPr>
        <w:t>.</w:t>
      </w:r>
    </w:p>
    <w:p w14:paraId="4B9CFF49" w14:textId="77777777" w:rsidR="001336B6" w:rsidRPr="00066941"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For example, during a simple cooking activity:</w:t>
      </w:r>
    </w:p>
    <w:p w14:paraId="60FA602B" w14:textId="77777777" w:rsidR="001336B6" w:rsidRPr="00066941" w:rsidRDefault="001336B6" w:rsidP="00E5332C">
      <w:pPr>
        <w:numPr>
          <w:ilvl w:val="0"/>
          <w:numId w:val="14"/>
        </w:num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Erikson’s theory supports choosing a recipe connected to a resident’s cultural background or past experiences, enhancing identity and positive emotion.</w:t>
      </w:r>
    </w:p>
    <w:p w14:paraId="00484ADC" w14:textId="77777777" w:rsidR="001336B6" w:rsidRPr="00066941" w:rsidRDefault="001336B6" w:rsidP="00E5332C">
      <w:pPr>
        <w:numPr>
          <w:ilvl w:val="0"/>
          <w:numId w:val="14"/>
        </w:num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Social learning theory guides staff to demonstrate each step, encourage imitation, and celebrate success to build self-efficacy.</w:t>
      </w:r>
    </w:p>
    <w:p w14:paraId="329CAF8A" w14:textId="729090D4" w:rsidR="00F47F84" w:rsidRDefault="001336B6"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Integrating the theories ensures care practices are emotionally supportive, psychologically informed, and behaviourally effective</w:t>
      </w:r>
      <w:r w:rsidR="00C853DB" w:rsidRPr="00066941">
        <w:rPr>
          <w:rFonts w:ascii="Arial" w:hAnsi="Arial" w:cs="Arial"/>
          <w:color w:val="000000" w:themeColor="text1"/>
          <w:sz w:val="22"/>
          <w:szCs w:val="22"/>
        </w:rPr>
        <w:t>.</w:t>
      </w:r>
      <w:r w:rsidR="00185177">
        <w:rPr>
          <w:rFonts w:ascii="Arial" w:hAnsi="Arial" w:cs="Arial"/>
          <w:color w:val="000000" w:themeColor="text1"/>
          <w:sz w:val="22"/>
          <w:szCs w:val="22"/>
        </w:rPr>
        <w:t>(</w:t>
      </w:r>
      <w:r w:rsidR="00185177" w:rsidRPr="00185177">
        <w:t xml:space="preserve"> </w:t>
      </w:r>
      <w:r w:rsidR="00185177" w:rsidRPr="00185177">
        <w:rPr>
          <w:rFonts w:ascii="Arial" w:hAnsi="Arial" w:cs="Arial"/>
          <w:color w:val="000000" w:themeColor="text1"/>
          <w:sz w:val="22"/>
          <w:szCs w:val="22"/>
        </w:rPr>
        <w:t>Woods, B., Philbin Orrell, 2018</w:t>
      </w:r>
      <w:r w:rsidR="00185177">
        <w:rPr>
          <w:rFonts w:ascii="Arial" w:hAnsi="Arial" w:cs="Arial"/>
          <w:color w:val="000000" w:themeColor="text1"/>
          <w:sz w:val="22"/>
          <w:szCs w:val="22"/>
        </w:rPr>
        <w:t xml:space="preserve"> </w:t>
      </w:r>
      <w:r w:rsidR="00185177" w:rsidRPr="00185177">
        <w:rPr>
          <w:rFonts w:ascii="Arial" w:hAnsi="Arial" w:cs="Arial"/>
          <w:color w:val="000000" w:themeColor="text1"/>
          <w:sz w:val="22"/>
          <w:szCs w:val="22"/>
        </w:rPr>
        <w:t>Reminiscence therapy for dementia</w:t>
      </w:r>
      <w:r w:rsidR="00185177">
        <w:rPr>
          <w:rFonts w:ascii="Arial" w:hAnsi="Arial" w:cs="Arial"/>
          <w:color w:val="000000" w:themeColor="text1"/>
          <w:sz w:val="22"/>
          <w:szCs w:val="22"/>
        </w:rPr>
        <w:t>)</w:t>
      </w:r>
    </w:p>
    <w:p w14:paraId="34A5D6C7" w14:textId="77777777" w:rsidR="004A3F22" w:rsidRDefault="004A3F22" w:rsidP="00E5332C">
      <w:pPr>
        <w:spacing w:line="360" w:lineRule="auto"/>
        <w:jc w:val="both"/>
        <w:rPr>
          <w:rFonts w:ascii="Arial" w:hAnsi="Arial" w:cs="Arial"/>
          <w:color w:val="000000" w:themeColor="text1"/>
          <w:sz w:val="22"/>
          <w:szCs w:val="22"/>
        </w:rPr>
      </w:pPr>
    </w:p>
    <w:p w14:paraId="3B6D8D22" w14:textId="6399F986" w:rsidR="004A3F22" w:rsidRDefault="004A3F22" w:rsidP="00E5332C">
      <w:pPr>
        <w:spacing w:line="360" w:lineRule="auto"/>
        <w:jc w:val="both"/>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4F668BB7" wp14:editId="5E3267A9">
            <wp:extent cx="5251450" cy="2755770"/>
            <wp:effectExtent l="0" t="0" r="6350" b="6985"/>
            <wp:docPr id="1866337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86486" cy="2774155"/>
                    </a:xfrm>
                    <a:prstGeom prst="rect">
                      <a:avLst/>
                    </a:prstGeom>
                    <a:noFill/>
                  </pic:spPr>
                </pic:pic>
              </a:graphicData>
            </a:graphic>
          </wp:inline>
        </w:drawing>
      </w:r>
    </w:p>
    <w:p w14:paraId="54B0AA5B" w14:textId="77777777" w:rsidR="004A3F22" w:rsidRPr="00066941" w:rsidRDefault="004A3F22" w:rsidP="00E5332C">
      <w:pPr>
        <w:spacing w:line="360" w:lineRule="auto"/>
        <w:jc w:val="both"/>
        <w:rPr>
          <w:rFonts w:ascii="Arial" w:hAnsi="Arial" w:cs="Arial"/>
          <w:color w:val="000000" w:themeColor="text1"/>
          <w:sz w:val="22"/>
          <w:szCs w:val="22"/>
        </w:rPr>
      </w:pPr>
    </w:p>
    <w:p w14:paraId="110ECA43" w14:textId="77777777" w:rsidR="00C853DB" w:rsidRPr="00066941" w:rsidRDefault="00C853DB" w:rsidP="00E5332C">
      <w:pPr>
        <w:spacing w:line="360" w:lineRule="auto"/>
        <w:rPr>
          <w:rFonts w:ascii="Arial" w:hAnsi="Arial" w:cs="Arial"/>
          <w:b/>
          <w:bCs/>
          <w:color w:val="000000" w:themeColor="text1"/>
          <w:sz w:val="22"/>
          <w:szCs w:val="22"/>
        </w:rPr>
      </w:pPr>
    </w:p>
    <w:p w14:paraId="0A5B6833" w14:textId="0D75D040" w:rsidR="00C853DB" w:rsidRPr="00066941" w:rsidRDefault="00C853DB" w:rsidP="00E5332C">
      <w:pPr>
        <w:spacing w:line="360" w:lineRule="auto"/>
        <w:rPr>
          <w:rFonts w:ascii="Arial" w:hAnsi="Arial" w:cs="Arial"/>
          <w:b/>
          <w:bCs/>
          <w:color w:val="000000" w:themeColor="text1"/>
          <w:sz w:val="22"/>
          <w:szCs w:val="22"/>
        </w:rPr>
      </w:pPr>
      <w:r w:rsidRPr="00066941">
        <w:rPr>
          <w:rFonts w:ascii="Arial" w:hAnsi="Arial" w:cs="Arial"/>
          <w:b/>
          <w:bCs/>
          <w:color w:val="000000" w:themeColor="text1"/>
          <w:sz w:val="22"/>
          <w:szCs w:val="22"/>
        </w:rPr>
        <w:t>Conclusion</w:t>
      </w:r>
    </w:p>
    <w:p w14:paraId="79E4AACF" w14:textId="32BFE8BF" w:rsidR="001336B6" w:rsidRPr="00066941" w:rsidRDefault="00923E73" w:rsidP="00E5332C">
      <w:pPr>
        <w:spacing w:line="360" w:lineRule="auto"/>
        <w:jc w:val="both"/>
        <w:rPr>
          <w:rFonts w:ascii="Arial" w:hAnsi="Arial" w:cs="Arial"/>
          <w:color w:val="000000" w:themeColor="text1"/>
          <w:sz w:val="22"/>
          <w:szCs w:val="22"/>
        </w:rPr>
      </w:pPr>
      <w:r w:rsidRPr="00066941">
        <w:rPr>
          <w:rFonts w:ascii="Arial" w:hAnsi="Arial" w:cs="Arial"/>
          <w:color w:val="000000" w:themeColor="text1"/>
          <w:sz w:val="22"/>
          <w:szCs w:val="22"/>
        </w:rPr>
        <w:t>P</w:t>
      </w:r>
      <w:r w:rsidR="00C853DB" w:rsidRPr="00066941">
        <w:rPr>
          <w:rFonts w:ascii="Arial" w:hAnsi="Arial" w:cs="Arial"/>
          <w:color w:val="000000" w:themeColor="text1"/>
          <w:sz w:val="22"/>
          <w:szCs w:val="22"/>
        </w:rPr>
        <w:t>sychological</w:t>
      </w:r>
      <w:r w:rsidR="001336B6" w:rsidRPr="00066941">
        <w:rPr>
          <w:rFonts w:ascii="Arial" w:hAnsi="Arial" w:cs="Arial"/>
          <w:color w:val="000000" w:themeColor="text1"/>
          <w:sz w:val="22"/>
          <w:szCs w:val="22"/>
        </w:rPr>
        <w:t xml:space="preserve"> theories offer valuable guidance for supporting older adults in dementia care homes. Erikson’s Psychosocial Theory highlights the importance of identity, dignity, and emotional meaning in later life, while Social Learning Theory offers practical methods for shaping behaviour, increasing confidence, and creating a supportive environment. Although challenges such as cognitive decline, emotional distress, and staff limitations may arise, these can be addressed through structured activities, sensory-based approaches, consistent </w:t>
      </w:r>
      <w:r w:rsidR="00E5332C" w:rsidRPr="00E5332C">
        <w:rPr>
          <w:rFonts w:ascii="Arial" w:hAnsi="Arial" w:cs="Arial"/>
          <w:color w:val="000000" w:themeColor="text1"/>
          <w:sz w:val="22"/>
          <w:szCs w:val="22"/>
        </w:rPr>
        <w:t xml:space="preserve">Together, these theories help professionals deliver compassionate, person-centred care that </w:t>
      </w:r>
      <w:r w:rsidR="00E5332C" w:rsidRPr="00E5332C">
        <w:rPr>
          <w:rFonts w:ascii="Arial" w:hAnsi="Arial" w:cs="Arial"/>
          <w:color w:val="000000" w:themeColor="text1"/>
          <w:sz w:val="22"/>
          <w:szCs w:val="22"/>
        </w:rPr>
        <w:lastRenderedPageBreak/>
        <w:t>enhances well-being and quality of life for older adults living with dementia</w:t>
      </w:r>
      <w:r w:rsidR="001336B6" w:rsidRPr="00066941">
        <w:rPr>
          <w:rFonts w:ascii="Arial" w:hAnsi="Arial" w:cs="Arial"/>
          <w:color w:val="000000" w:themeColor="text1"/>
          <w:sz w:val="22"/>
          <w:szCs w:val="22"/>
        </w:rPr>
        <w:t xml:space="preserve"> appropriate staff training.</w:t>
      </w:r>
    </w:p>
    <w:p w14:paraId="20B2C549" w14:textId="4EBFB9A7" w:rsidR="005B66FE" w:rsidRPr="00542A7E" w:rsidRDefault="005B66FE" w:rsidP="00E5332C">
      <w:pPr>
        <w:spacing w:line="360" w:lineRule="auto"/>
        <w:rPr>
          <w:rFonts w:ascii="Arial" w:hAnsi="Arial" w:cs="Arial"/>
          <w:color w:val="000000" w:themeColor="text1"/>
          <w:sz w:val="22"/>
          <w:szCs w:val="22"/>
        </w:rPr>
      </w:pPr>
      <w:r w:rsidRPr="00066941">
        <w:rPr>
          <w:rFonts w:ascii="Arial" w:hAnsi="Arial" w:cs="Arial"/>
          <w:b/>
          <w:bCs/>
          <w:color w:val="000000" w:themeColor="text1"/>
          <w:sz w:val="22"/>
          <w:szCs w:val="22"/>
        </w:rPr>
        <w:t xml:space="preserve">References </w:t>
      </w:r>
    </w:p>
    <w:p w14:paraId="51AB7287" w14:textId="14A690F8" w:rsidR="00DE538D" w:rsidRPr="006F16E8" w:rsidRDefault="00DE538D" w:rsidP="00E5332C">
      <w:pPr>
        <w:spacing w:line="360" w:lineRule="auto"/>
        <w:rPr>
          <w:rFonts w:ascii="Arial" w:hAnsi="Arial" w:cs="Arial"/>
          <w:color w:val="000000" w:themeColor="text1"/>
          <w:sz w:val="22"/>
          <w:szCs w:val="22"/>
        </w:rPr>
      </w:pPr>
      <w:r w:rsidRPr="006F16E8">
        <w:rPr>
          <w:rFonts w:ascii="Arial" w:hAnsi="Arial" w:cs="Arial"/>
          <w:color w:val="000000" w:themeColor="text1"/>
          <w:sz w:val="22"/>
          <w:szCs w:val="22"/>
        </w:rPr>
        <w:t xml:space="preserve">Bandura, A. (1977) </w:t>
      </w:r>
      <w:r w:rsidRPr="006F16E8">
        <w:rPr>
          <w:rFonts w:ascii="Arial" w:hAnsi="Arial" w:cs="Arial"/>
          <w:i/>
          <w:iCs/>
          <w:color w:val="000000" w:themeColor="text1"/>
          <w:sz w:val="22"/>
          <w:szCs w:val="22"/>
        </w:rPr>
        <w:t>Social Learning Theory</w:t>
      </w:r>
      <w:r w:rsidRPr="006F16E8">
        <w:rPr>
          <w:rFonts w:ascii="Arial" w:hAnsi="Arial" w:cs="Arial"/>
          <w:color w:val="000000" w:themeColor="text1"/>
          <w:sz w:val="22"/>
          <w:szCs w:val="22"/>
        </w:rPr>
        <w:t>. Englewood Cliffs, NJ: Prentice-Hall.</w:t>
      </w:r>
      <w:r w:rsidRPr="006F16E8">
        <w:rPr>
          <w:rFonts w:ascii="Arial" w:hAnsi="Arial" w:cs="Arial"/>
          <w:color w:val="000000" w:themeColor="text1"/>
          <w:sz w:val="22"/>
          <w:szCs w:val="22"/>
        </w:rPr>
        <w:br/>
        <w:t>(Accessed: 28 November 2025</w:t>
      </w:r>
      <w:r w:rsidR="00361E11" w:rsidRPr="006F16E8">
        <w:rPr>
          <w:rFonts w:ascii="Arial" w:hAnsi="Arial" w:cs="Arial"/>
          <w:color w:val="000000" w:themeColor="text1"/>
          <w:sz w:val="22"/>
          <w:szCs w:val="22"/>
        </w:rPr>
        <w:t>)</w:t>
      </w:r>
    </w:p>
    <w:p w14:paraId="3955907E" w14:textId="2230EB6D" w:rsidR="00DE538D" w:rsidRPr="006F16E8" w:rsidRDefault="00DE538D" w:rsidP="00E5332C">
      <w:pPr>
        <w:spacing w:line="360" w:lineRule="auto"/>
        <w:rPr>
          <w:rFonts w:ascii="Arial" w:hAnsi="Arial" w:cs="Arial"/>
          <w:color w:val="000000" w:themeColor="text1"/>
          <w:sz w:val="22"/>
          <w:szCs w:val="22"/>
        </w:rPr>
      </w:pPr>
      <w:r w:rsidRPr="006F16E8">
        <w:rPr>
          <w:rFonts w:ascii="Arial" w:hAnsi="Arial" w:cs="Arial"/>
          <w:color w:val="000000" w:themeColor="text1"/>
          <w:sz w:val="22"/>
          <w:szCs w:val="22"/>
        </w:rPr>
        <w:t xml:space="preserve">Erikson, E.H. (1982) </w:t>
      </w:r>
      <w:r w:rsidRPr="006F16E8">
        <w:rPr>
          <w:rFonts w:ascii="Arial" w:hAnsi="Arial" w:cs="Arial"/>
          <w:i/>
          <w:iCs/>
          <w:color w:val="000000" w:themeColor="text1"/>
          <w:sz w:val="22"/>
          <w:szCs w:val="22"/>
        </w:rPr>
        <w:t>The Life Cycle Completed</w:t>
      </w:r>
      <w:r w:rsidRPr="006F16E8">
        <w:rPr>
          <w:rFonts w:ascii="Arial" w:hAnsi="Arial" w:cs="Arial"/>
          <w:color w:val="000000" w:themeColor="text1"/>
          <w:sz w:val="22"/>
          <w:szCs w:val="22"/>
        </w:rPr>
        <w:t>. New York: W.W. Norton.</w:t>
      </w:r>
      <w:r w:rsidRPr="006F16E8">
        <w:rPr>
          <w:rFonts w:ascii="Arial" w:hAnsi="Arial" w:cs="Arial"/>
          <w:color w:val="000000" w:themeColor="text1"/>
          <w:sz w:val="22"/>
          <w:szCs w:val="22"/>
        </w:rPr>
        <w:br/>
      </w:r>
      <w:r w:rsidR="00361E11" w:rsidRPr="006F16E8">
        <w:rPr>
          <w:rFonts w:ascii="Arial" w:hAnsi="Arial" w:cs="Arial"/>
          <w:color w:val="000000" w:themeColor="text1"/>
          <w:sz w:val="22"/>
          <w:szCs w:val="22"/>
        </w:rPr>
        <w:t>(</w:t>
      </w:r>
      <w:r w:rsidRPr="006F16E8">
        <w:rPr>
          <w:rFonts w:ascii="Arial" w:hAnsi="Arial" w:cs="Arial"/>
          <w:color w:val="000000" w:themeColor="text1"/>
          <w:sz w:val="22"/>
          <w:szCs w:val="22"/>
        </w:rPr>
        <w:t>Accessed: 27 November 2025</w:t>
      </w:r>
      <w:r w:rsidR="00361E11" w:rsidRPr="006F16E8">
        <w:rPr>
          <w:rFonts w:ascii="Arial" w:hAnsi="Arial" w:cs="Arial"/>
          <w:color w:val="000000" w:themeColor="text1"/>
          <w:sz w:val="22"/>
          <w:szCs w:val="22"/>
        </w:rPr>
        <w:t>)</w:t>
      </w:r>
    </w:p>
    <w:p w14:paraId="2294F762" w14:textId="1EF28AB3" w:rsidR="00DE538D" w:rsidRPr="006F16E8" w:rsidRDefault="00DE538D" w:rsidP="00E5332C">
      <w:pPr>
        <w:spacing w:line="360" w:lineRule="auto"/>
        <w:rPr>
          <w:rFonts w:ascii="Arial" w:hAnsi="Arial" w:cs="Arial"/>
          <w:color w:val="000000" w:themeColor="text1"/>
          <w:sz w:val="22"/>
          <w:szCs w:val="22"/>
        </w:rPr>
      </w:pPr>
      <w:bookmarkStart w:id="2" w:name="_Hlk216271679"/>
      <w:r w:rsidRPr="006F16E8">
        <w:rPr>
          <w:rFonts w:ascii="Arial" w:hAnsi="Arial" w:cs="Arial"/>
          <w:color w:val="000000" w:themeColor="text1"/>
          <w:sz w:val="22"/>
          <w:szCs w:val="22"/>
        </w:rPr>
        <w:t xml:space="preserve">Knight, B. (2017) </w:t>
      </w:r>
      <w:bookmarkEnd w:id="2"/>
      <w:r w:rsidRPr="006F16E8">
        <w:rPr>
          <w:rFonts w:ascii="Arial" w:hAnsi="Arial" w:cs="Arial"/>
          <w:i/>
          <w:iCs/>
          <w:color w:val="000000" w:themeColor="text1"/>
          <w:sz w:val="22"/>
          <w:szCs w:val="22"/>
        </w:rPr>
        <w:t>Psychotherapy with Older Adults</w:t>
      </w:r>
      <w:r w:rsidRPr="006F16E8">
        <w:rPr>
          <w:rFonts w:ascii="Arial" w:hAnsi="Arial" w:cs="Arial"/>
          <w:color w:val="000000" w:themeColor="text1"/>
          <w:sz w:val="22"/>
          <w:szCs w:val="22"/>
        </w:rPr>
        <w:t>. 4th ed. California: Sage.</w:t>
      </w:r>
      <w:r w:rsidRPr="006F16E8">
        <w:rPr>
          <w:rFonts w:ascii="Arial" w:hAnsi="Arial" w:cs="Arial"/>
          <w:color w:val="000000" w:themeColor="text1"/>
          <w:sz w:val="22"/>
          <w:szCs w:val="22"/>
        </w:rPr>
        <w:br/>
      </w:r>
      <w:r w:rsidR="00361E11" w:rsidRPr="006F16E8">
        <w:rPr>
          <w:rFonts w:ascii="Arial" w:hAnsi="Arial" w:cs="Arial"/>
          <w:color w:val="000000" w:themeColor="text1"/>
          <w:sz w:val="22"/>
          <w:szCs w:val="22"/>
        </w:rPr>
        <w:t>(</w:t>
      </w:r>
      <w:r w:rsidRPr="006F16E8">
        <w:rPr>
          <w:rFonts w:ascii="Arial" w:hAnsi="Arial" w:cs="Arial"/>
          <w:color w:val="000000" w:themeColor="text1"/>
          <w:sz w:val="22"/>
          <w:szCs w:val="22"/>
        </w:rPr>
        <w:t>Accessed: 21 November 2025</w:t>
      </w:r>
      <w:r w:rsidR="00361E11" w:rsidRPr="006F16E8">
        <w:rPr>
          <w:rFonts w:ascii="Arial" w:hAnsi="Arial" w:cs="Arial"/>
          <w:color w:val="000000" w:themeColor="text1"/>
          <w:sz w:val="22"/>
          <w:szCs w:val="22"/>
        </w:rPr>
        <w:t>)</w:t>
      </w:r>
    </w:p>
    <w:p w14:paraId="47E33AA0" w14:textId="7A3DA35B" w:rsidR="00DE538D" w:rsidRPr="006F16E8" w:rsidRDefault="00DE538D" w:rsidP="00E5332C">
      <w:pPr>
        <w:spacing w:line="360" w:lineRule="auto"/>
        <w:rPr>
          <w:rFonts w:ascii="Arial" w:hAnsi="Arial" w:cs="Arial"/>
          <w:color w:val="000000" w:themeColor="text1"/>
          <w:sz w:val="22"/>
          <w:szCs w:val="22"/>
        </w:rPr>
      </w:pPr>
      <w:r w:rsidRPr="006F16E8">
        <w:rPr>
          <w:rFonts w:ascii="Arial" w:hAnsi="Arial" w:cs="Arial"/>
          <w:color w:val="000000" w:themeColor="text1"/>
          <w:sz w:val="22"/>
          <w:szCs w:val="22"/>
        </w:rPr>
        <w:t xml:space="preserve">Resnick, B., Galik, E. and Boltz, M. (2017) ‘Function-focused care approaches’, </w:t>
      </w:r>
      <w:r w:rsidRPr="006F16E8">
        <w:rPr>
          <w:rFonts w:ascii="Arial" w:hAnsi="Arial" w:cs="Arial"/>
          <w:i/>
          <w:iCs/>
          <w:color w:val="000000" w:themeColor="text1"/>
          <w:sz w:val="22"/>
          <w:szCs w:val="22"/>
        </w:rPr>
        <w:t>Clinical Geriatrics</w:t>
      </w:r>
      <w:r w:rsidRPr="006F16E8">
        <w:rPr>
          <w:rFonts w:ascii="Arial" w:hAnsi="Arial" w:cs="Arial"/>
          <w:color w:val="000000" w:themeColor="text1"/>
          <w:sz w:val="22"/>
          <w:szCs w:val="22"/>
        </w:rPr>
        <w:t>, 25(2), pp. 18–26.</w:t>
      </w:r>
      <w:r w:rsidR="00361E11" w:rsidRPr="006F16E8">
        <w:rPr>
          <w:rFonts w:ascii="Arial" w:hAnsi="Arial" w:cs="Arial"/>
          <w:color w:val="000000" w:themeColor="text1"/>
          <w:sz w:val="22"/>
          <w:szCs w:val="22"/>
        </w:rPr>
        <w:t xml:space="preserve"> (</w:t>
      </w:r>
      <w:r w:rsidRPr="006F16E8">
        <w:rPr>
          <w:rFonts w:ascii="Arial" w:hAnsi="Arial" w:cs="Arial"/>
          <w:color w:val="000000" w:themeColor="text1"/>
          <w:sz w:val="22"/>
          <w:szCs w:val="22"/>
        </w:rPr>
        <w:t>Accessed: 28 November 2025</w:t>
      </w:r>
      <w:r w:rsidR="00361E11" w:rsidRPr="006F16E8">
        <w:rPr>
          <w:rFonts w:ascii="Arial" w:hAnsi="Arial" w:cs="Arial"/>
          <w:color w:val="000000" w:themeColor="text1"/>
          <w:sz w:val="22"/>
          <w:szCs w:val="22"/>
        </w:rPr>
        <w:t>)</w:t>
      </w:r>
    </w:p>
    <w:p w14:paraId="734CE5A9" w14:textId="6AF4265F" w:rsidR="00DE538D" w:rsidRPr="006F16E8" w:rsidRDefault="00DE538D" w:rsidP="00E5332C">
      <w:pPr>
        <w:spacing w:line="360" w:lineRule="auto"/>
        <w:rPr>
          <w:rFonts w:ascii="Arial" w:hAnsi="Arial" w:cs="Arial"/>
          <w:color w:val="000000" w:themeColor="text1"/>
          <w:sz w:val="22"/>
          <w:szCs w:val="22"/>
        </w:rPr>
      </w:pPr>
      <w:bookmarkStart w:id="3" w:name="_Hlk216271988"/>
      <w:r w:rsidRPr="006F16E8">
        <w:rPr>
          <w:rFonts w:ascii="Arial" w:hAnsi="Arial" w:cs="Arial"/>
          <w:color w:val="000000" w:themeColor="text1"/>
          <w:sz w:val="22"/>
          <w:szCs w:val="22"/>
        </w:rPr>
        <w:t>Woods, B., Philbin, L., Farrell, E.M., Spector, A.E. and Orrell, M. (2018) ‘Reminiscence therapy for dementia’</w:t>
      </w:r>
      <w:bookmarkEnd w:id="3"/>
      <w:r w:rsidRPr="006F16E8">
        <w:rPr>
          <w:rFonts w:ascii="Arial" w:hAnsi="Arial" w:cs="Arial"/>
          <w:color w:val="000000" w:themeColor="text1"/>
          <w:sz w:val="22"/>
          <w:szCs w:val="22"/>
        </w:rPr>
        <w:t xml:space="preserve">, </w:t>
      </w:r>
      <w:r w:rsidRPr="006F16E8">
        <w:rPr>
          <w:rFonts w:ascii="Arial" w:hAnsi="Arial" w:cs="Arial"/>
          <w:i/>
          <w:iCs/>
          <w:color w:val="000000" w:themeColor="text1"/>
          <w:sz w:val="22"/>
          <w:szCs w:val="22"/>
        </w:rPr>
        <w:t>Cochrane Database of Systematic Reviews</w:t>
      </w:r>
      <w:r w:rsidRPr="006F16E8">
        <w:rPr>
          <w:rFonts w:ascii="Arial" w:hAnsi="Arial" w:cs="Arial"/>
          <w:color w:val="000000" w:themeColor="text1"/>
          <w:sz w:val="22"/>
          <w:szCs w:val="22"/>
        </w:rPr>
        <w:t>, (3), pp. 1–108.</w:t>
      </w:r>
      <w:r w:rsidR="00361E11" w:rsidRPr="006F16E8">
        <w:rPr>
          <w:rFonts w:ascii="Arial" w:hAnsi="Arial" w:cs="Arial"/>
          <w:color w:val="000000" w:themeColor="text1"/>
          <w:sz w:val="22"/>
          <w:szCs w:val="22"/>
        </w:rPr>
        <w:t xml:space="preserve"> (</w:t>
      </w:r>
      <w:r w:rsidRPr="006F16E8">
        <w:rPr>
          <w:rFonts w:ascii="Arial" w:hAnsi="Arial" w:cs="Arial"/>
          <w:color w:val="000000" w:themeColor="text1"/>
          <w:sz w:val="22"/>
          <w:szCs w:val="22"/>
        </w:rPr>
        <w:t>Accessed: 27 November 2025</w:t>
      </w:r>
      <w:r w:rsidR="00361E11" w:rsidRPr="006F16E8">
        <w:rPr>
          <w:rFonts w:ascii="Arial" w:hAnsi="Arial" w:cs="Arial"/>
          <w:color w:val="000000" w:themeColor="text1"/>
          <w:sz w:val="22"/>
          <w:szCs w:val="22"/>
        </w:rPr>
        <w:t>)</w:t>
      </w:r>
    </w:p>
    <w:p w14:paraId="681386EB" w14:textId="15904D38" w:rsidR="00DE538D" w:rsidRPr="006F16E8" w:rsidRDefault="00DE538D" w:rsidP="00E5332C">
      <w:pPr>
        <w:spacing w:line="360" w:lineRule="auto"/>
        <w:rPr>
          <w:rFonts w:ascii="Arial" w:hAnsi="Arial" w:cs="Arial"/>
          <w:color w:val="000000" w:themeColor="text1"/>
          <w:sz w:val="22"/>
          <w:szCs w:val="22"/>
        </w:rPr>
      </w:pPr>
      <w:bookmarkStart w:id="4" w:name="_Hlk216271888"/>
      <w:r w:rsidRPr="006F16E8">
        <w:rPr>
          <w:rFonts w:ascii="Arial" w:hAnsi="Arial" w:cs="Arial"/>
          <w:color w:val="000000" w:themeColor="text1"/>
          <w:sz w:val="22"/>
          <w:szCs w:val="22"/>
        </w:rPr>
        <w:t>Zarit, S. and Zarit, J. (2015</w:t>
      </w:r>
      <w:bookmarkEnd w:id="4"/>
      <w:r w:rsidRPr="006F16E8">
        <w:rPr>
          <w:rFonts w:ascii="Arial" w:hAnsi="Arial" w:cs="Arial"/>
          <w:color w:val="000000" w:themeColor="text1"/>
          <w:sz w:val="22"/>
          <w:szCs w:val="22"/>
        </w:rPr>
        <w:t xml:space="preserve">) </w:t>
      </w:r>
      <w:r w:rsidRPr="006F16E8">
        <w:rPr>
          <w:rFonts w:ascii="Arial" w:hAnsi="Arial" w:cs="Arial"/>
          <w:i/>
          <w:iCs/>
          <w:color w:val="000000" w:themeColor="text1"/>
          <w:sz w:val="22"/>
          <w:szCs w:val="22"/>
        </w:rPr>
        <w:t>Mental Disorders in Older Adults: Fundamentals of Assessment and Treatment</w:t>
      </w:r>
      <w:r w:rsidRPr="006F16E8">
        <w:rPr>
          <w:rFonts w:ascii="Arial" w:hAnsi="Arial" w:cs="Arial"/>
          <w:color w:val="000000" w:themeColor="text1"/>
          <w:sz w:val="22"/>
          <w:szCs w:val="22"/>
        </w:rPr>
        <w:t>. 3rd ed. New York: Guilford Press.</w:t>
      </w:r>
      <w:r w:rsidR="00361E11" w:rsidRPr="006F16E8">
        <w:rPr>
          <w:rFonts w:ascii="Arial" w:hAnsi="Arial" w:cs="Arial"/>
          <w:color w:val="000000" w:themeColor="text1"/>
          <w:sz w:val="22"/>
          <w:szCs w:val="22"/>
        </w:rPr>
        <w:t xml:space="preserve"> (</w:t>
      </w:r>
      <w:r w:rsidRPr="006F16E8">
        <w:rPr>
          <w:rFonts w:ascii="Arial" w:hAnsi="Arial" w:cs="Arial"/>
          <w:color w:val="000000" w:themeColor="text1"/>
          <w:sz w:val="22"/>
          <w:szCs w:val="22"/>
        </w:rPr>
        <w:t>Accessed: 21 November 2025</w:t>
      </w:r>
      <w:r w:rsidR="00361E11" w:rsidRPr="006F16E8">
        <w:rPr>
          <w:rFonts w:ascii="Arial" w:hAnsi="Arial" w:cs="Arial"/>
          <w:b/>
          <w:bCs/>
          <w:color w:val="000000" w:themeColor="text1"/>
          <w:sz w:val="22"/>
          <w:szCs w:val="22"/>
        </w:rPr>
        <w:t>)</w:t>
      </w:r>
    </w:p>
    <w:p w14:paraId="5EB58E3B" w14:textId="2CADC030" w:rsidR="001336B6" w:rsidRPr="00066941" w:rsidRDefault="001336B6" w:rsidP="00E5332C">
      <w:pPr>
        <w:spacing w:line="360" w:lineRule="auto"/>
        <w:rPr>
          <w:rFonts w:ascii="Arial" w:hAnsi="Arial" w:cs="Arial"/>
          <w:color w:val="000000" w:themeColor="text1"/>
          <w:sz w:val="22"/>
          <w:szCs w:val="22"/>
        </w:rPr>
      </w:pPr>
    </w:p>
    <w:p w14:paraId="10C7DE15" w14:textId="77777777" w:rsidR="00066941" w:rsidRPr="009743EE" w:rsidRDefault="00066941" w:rsidP="00E5332C">
      <w:pPr>
        <w:spacing w:line="360" w:lineRule="auto"/>
        <w:rPr>
          <w:color w:val="000000" w:themeColor="text1"/>
          <w:sz w:val="22"/>
          <w:szCs w:val="22"/>
        </w:rPr>
      </w:pPr>
    </w:p>
    <w:p w14:paraId="041F55D0" w14:textId="77777777" w:rsidR="001D34E4" w:rsidRPr="009743EE" w:rsidRDefault="001D34E4" w:rsidP="00E5332C">
      <w:pPr>
        <w:spacing w:line="360" w:lineRule="auto"/>
        <w:rPr>
          <w:color w:val="000000" w:themeColor="text1"/>
          <w:sz w:val="22"/>
          <w:szCs w:val="22"/>
        </w:rPr>
      </w:pPr>
    </w:p>
    <w:sectPr w:rsidR="001D34E4" w:rsidRPr="009743EE">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F9933" w14:textId="77777777" w:rsidR="000236A8" w:rsidRDefault="000236A8" w:rsidP="000236A8">
      <w:pPr>
        <w:spacing w:after="0" w:line="240" w:lineRule="auto"/>
      </w:pPr>
      <w:r>
        <w:separator/>
      </w:r>
    </w:p>
  </w:endnote>
  <w:endnote w:type="continuationSeparator" w:id="0">
    <w:p w14:paraId="2290CBA1" w14:textId="77777777" w:rsidR="000236A8" w:rsidRDefault="000236A8" w:rsidP="00023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CB16F" w14:textId="77777777" w:rsidR="000236A8" w:rsidRDefault="000236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39C3E" w14:textId="77777777" w:rsidR="000236A8" w:rsidRDefault="000236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B54FB" w14:textId="77777777" w:rsidR="000236A8" w:rsidRDefault="00023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4D850" w14:textId="77777777" w:rsidR="000236A8" w:rsidRDefault="000236A8" w:rsidP="000236A8">
      <w:pPr>
        <w:spacing w:after="0" w:line="240" w:lineRule="auto"/>
      </w:pPr>
      <w:r>
        <w:separator/>
      </w:r>
    </w:p>
  </w:footnote>
  <w:footnote w:type="continuationSeparator" w:id="0">
    <w:p w14:paraId="4A776EB4" w14:textId="77777777" w:rsidR="000236A8" w:rsidRDefault="000236A8" w:rsidP="000236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2DF66" w14:textId="77777777" w:rsidR="000236A8" w:rsidRDefault="000236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61280" w14:textId="236FCF25" w:rsidR="000236A8" w:rsidRDefault="000236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0C258" w14:textId="77777777" w:rsidR="000236A8" w:rsidRDefault="000236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50CC4"/>
    <w:multiLevelType w:val="multilevel"/>
    <w:tmpl w:val="F2682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E72A4"/>
    <w:multiLevelType w:val="multilevel"/>
    <w:tmpl w:val="80B4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63677"/>
    <w:multiLevelType w:val="multilevel"/>
    <w:tmpl w:val="5C82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EF1F5E"/>
    <w:multiLevelType w:val="multilevel"/>
    <w:tmpl w:val="12AEE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551C24"/>
    <w:multiLevelType w:val="hybridMultilevel"/>
    <w:tmpl w:val="83CCB7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D4D1486"/>
    <w:multiLevelType w:val="multilevel"/>
    <w:tmpl w:val="07FE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3216D6"/>
    <w:multiLevelType w:val="multilevel"/>
    <w:tmpl w:val="A266D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B33502"/>
    <w:multiLevelType w:val="multilevel"/>
    <w:tmpl w:val="A1DC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003D08"/>
    <w:multiLevelType w:val="multilevel"/>
    <w:tmpl w:val="5646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816424"/>
    <w:multiLevelType w:val="multilevel"/>
    <w:tmpl w:val="210A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334970"/>
    <w:multiLevelType w:val="multilevel"/>
    <w:tmpl w:val="40EE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1AF8"/>
    <w:multiLevelType w:val="multilevel"/>
    <w:tmpl w:val="AB74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3140CD"/>
    <w:multiLevelType w:val="multilevel"/>
    <w:tmpl w:val="79F8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F21E19"/>
    <w:multiLevelType w:val="multilevel"/>
    <w:tmpl w:val="A538C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755EF3"/>
    <w:multiLevelType w:val="multilevel"/>
    <w:tmpl w:val="AE12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6319902">
    <w:abstractNumId w:val="7"/>
  </w:num>
  <w:num w:numId="2" w16cid:durableId="413862920">
    <w:abstractNumId w:val="11"/>
  </w:num>
  <w:num w:numId="3" w16cid:durableId="835455272">
    <w:abstractNumId w:val="6"/>
  </w:num>
  <w:num w:numId="4" w16cid:durableId="741214650">
    <w:abstractNumId w:val="12"/>
  </w:num>
  <w:num w:numId="5" w16cid:durableId="1463763602">
    <w:abstractNumId w:val="9"/>
  </w:num>
  <w:num w:numId="6" w16cid:durableId="2033723247">
    <w:abstractNumId w:val="3"/>
  </w:num>
  <w:num w:numId="7" w16cid:durableId="833452316">
    <w:abstractNumId w:val="14"/>
  </w:num>
  <w:num w:numId="8" w16cid:durableId="1689061010">
    <w:abstractNumId w:val="1"/>
  </w:num>
  <w:num w:numId="9" w16cid:durableId="481196988">
    <w:abstractNumId w:val="8"/>
  </w:num>
  <w:num w:numId="10" w16cid:durableId="617643033">
    <w:abstractNumId w:val="5"/>
  </w:num>
  <w:num w:numId="11" w16cid:durableId="403725760">
    <w:abstractNumId w:val="2"/>
  </w:num>
  <w:num w:numId="12" w16cid:durableId="319428827">
    <w:abstractNumId w:val="13"/>
  </w:num>
  <w:num w:numId="13" w16cid:durableId="100423181">
    <w:abstractNumId w:val="10"/>
  </w:num>
  <w:num w:numId="14" w16cid:durableId="1581407783">
    <w:abstractNumId w:val="0"/>
  </w:num>
  <w:num w:numId="15" w16cid:durableId="18211445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6B6"/>
    <w:rsid w:val="00002D57"/>
    <w:rsid w:val="000236A8"/>
    <w:rsid w:val="00066941"/>
    <w:rsid w:val="000D79D8"/>
    <w:rsid w:val="001336B6"/>
    <w:rsid w:val="0015425E"/>
    <w:rsid w:val="00185177"/>
    <w:rsid w:val="001945B0"/>
    <w:rsid w:val="001D34E4"/>
    <w:rsid w:val="001F43D4"/>
    <w:rsid w:val="00215B00"/>
    <w:rsid w:val="00262FA3"/>
    <w:rsid w:val="002C418A"/>
    <w:rsid w:val="002E6D92"/>
    <w:rsid w:val="00300417"/>
    <w:rsid w:val="00316454"/>
    <w:rsid w:val="00361E11"/>
    <w:rsid w:val="00395D53"/>
    <w:rsid w:val="004078DC"/>
    <w:rsid w:val="004172B6"/>
    <w:rsid w:val="00425953"/>
    <w:rsid w:val="0045006D"/>
    <w:rsid w:val="004A1BCE"/>
    <w:rsid w:val="004A3F22"/>
    <w:rsid w:val="004A7512"/>
    <w:rsid w:val="00504CF1"/>
    <w:rsid w:val="00507B18"/>
    <w:rsid w:val="00540969"/>
    <w:rsid w:val="00542A7E"/>
    <w:rsid w:val="005B66FE"/>
    <w:rsid w:val="005E2787"/>
    <w:rsid w:val="005E62CA"/>
    <w:rsid w:val="005F2B48"/>
    <w:rsid w:val="0069582E"/>
    <w:rsid w:val="006F16E8"/>
    <w:rsid w:val="00725E04"/>
    <w:rsid w:val="007422E5"/>
    <w:rsid w:val="00747B5D"/>
    <w:rsid w:val="00783A38"/>
    <w:rsid w:val="007E1D18"/>
    <w:rsid w:val="007F2FD8"/>
    <w:rsid w:val="00817C99"/>
    <w:rsid w:val="00832D4C"/>
    <w:rsid w:val="00866DAC"/>
    <w:rsid w:val="00874001"/>
    <w:rsid w:val="00881BEE"/>
    <w:rsid w:val="00886737"/>
    <w:rsid w:val="008E4B83"/>
    <w:rsid w:val="008F41FE"/>
    <w:rsid w:val="008F565A"/>
    <w:rsid w:val="00922FB3"/>
    <w:rsid w:val="00923E73"/>
    <w:rsid w:val="00932A3E"/>
    <w:rsid w:val="00935579"/>
    <w:rsid w:val="00963AE2"/>
    <w:rsid w:val="009743EE"/>
    <w:rsid w:val="00A01BBF"/>
    <w:rsid w:val="00A7209F"/>
    <w:rsid w:val="00AA0365"/>
    <w:rsid w:val="00AC0276"/>
    <w:rsid w:val="00B17026"/>
    <w:rsid w:val="00B96EBA"/>
    <w:rsid w:val="00BB712B"/>
    <w:rsid w:val="00BD1C69"/>
    <w:rsid w:val="00C10394"/>
    <w:rsid w:val="00C126A7"/>
    <w:rsid w:val="00C53F38"/>
    <w:rsid w:val="00C60BC8"/>
    <w:rsid w:val="00C7677A"/>
    <w:rsid w:val="00C853DB"/>
    <w:rsid w:val="00C965B6"/>
    <w:rsid w:val="00CB7AFE"/>
    <w:rsid w:val="00CE2460"/>
    <w:rsid w:val="00D10400"/>
    <w:rsid w:val="00D81D47"/>
    <w:rsid w:val="00DB0ADC"/>
    <w:rsid w:val="00DE538D"/>
    <w:rsid w:val="00E5332C"/>
    <w:rsid w:val="00F25D90"/>
    <w:rsid w:val="00F47F84"/>
    <w:rsid w:val="00F54ADC"/>
    <w:rsid w:val="00F62B46"/>
    <w:rsid w:val="00FC7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DF0F92A"/>
  <w15:chartTrackingRefBased/>
  <w15:docId w15:val="{E62A5B57-5D57-493B-9C52-3C6245D56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36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36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36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36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36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36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36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36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36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6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36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36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36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36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36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36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36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36B6"/>
    <w:rPr>
      <w:rFonts w:eastAsiaTheme="majorEastAsia" w:cstheme="majorBidi"/>
      <w:color w:val="272727" w:themeColor="text1" w:themeTint="D8"/>
    </w:rPr>
  </w:style>
  <w:style w:type="paragraph" w:styleId="Title">
    <w:name w:val="Title"/>
    <w:basedOn w:val="Normal"/>
    <w:next w:val="Normal"/>
    <w:link w:val="TitleChar"/>
    <w:uiPriority w:val="10"/>
    <w:qFormat/>
    <w:rsid w:val="001336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6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36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36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36B6"/>
    <w:pPr>
      <w:spacing w:before="160"/>
      <w:jc w:val="center"/>
    </w:pPr>
    <w:rPr>
      <w:i/>
      <w:iCs/>
      <w:color w:val="404040" w:themeColor="text1" w:themeTint="BF"/>
    </w:rPr>
  </w:style>
  <w:style w:type="character" w:customStyle="1" w:styleId="QuoteChar">
    <w:name w:val="Quote Char"/>
    <w:basedOn w:val="DefaultParagraphFont"/>
    <w:link w:val="Quote"/>
    <w:uiPriority w:val="29"/>
    <w:rsid w:val="001336B6"/>
    <w:rPr>
      <w:i/>
      <w:iCs/>
      <w:color w:val="404040" w:themeColor="text1" w:themeTint="BF"/>
    </w:rPr>
  </w:style>
  <w:style w:type="paragraph" w:styleId="ListParagraph">
    <w:name w:val="List Paragraph"/>
    <w:basedOn w:val="Normal"/>
    <w:uiPriority w:val="34"/>
    <w:qFormat/>
    <w:rsid w:val="001336B6"/>
    <w:pPr>
      <w:ind w:left="720"/>
      <w:contextualSpacing/>
    </w:pPr>
  </w:style>
  <w:style w:type="character" w:styleId="IntenseEmphasis">
    <w:name w:val="Intense Emphasis"/>
    <w:basedOn w:val="DefaultParagraphFont"/>
    <w:uiPriority w:val="21"/>
    <w:qFormat/>
    <w:rsid w:val="001336B6"/>
    <w:rPr>
      <w:i/>
      <w:iCs/>
      <w:color w:val="0F4761" w:themeColor="accent1" w:themeShade="BF"/>
    </w:rPr>
  </w:style>
  <w:style w:type="paragraph" w:styleId="IntenseQuote">
    <w:name w:val="Intense Quote"/>
    <w:basedOn w:val="Normal"/>
    <w:next w:val="Normal"/>
    <w:link w:val="IntenseQuoteChar"/>
    <w:uiPriority w:val="30"/>
    <w:qFormat/>
    <w:rsid w:val="001336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36B6"/>
    <w:rPr>
      <w:i/>
      <w:iCs/>
      <w:color w:val="0F4761" w:themeColor="accent1" w:themeShade="BF"/>
    </w:rPr>
  </w:style>
  <w:style w:type="character" w:styleId="IntenseReference">
    <w:name w:val="Intense Reference"/>
    <w:basedOn w:val="DefaultParagraphFont"/>
    <w:uiPriority w:val="32"/>
    <w:qFormat/>
    <w:rsid w:val="001336B6"/>
    <w:rPr>
      <w:b/>
      <w:bCs/>
      <w:smallCaps/>
      <w:color w:val="0F4761" w:themeColor="accent1" w:themeShade="BF"/>
      <w:spacing w:val="5"/>
    </w:rPr>
  </w:style>
  <w:style w:type="paragraph" w:styleId="Header">
    <w:name w:val="header"/>
    <w:basedOn w:val="Normal"/>
    <w:link w:val="HeaderChar"/>
    <w:uiPriority w:val="99"/>
    <w:unhideWhenUsed/>
    <w:rsid w:val="00023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6A8"/>
  </w:style>
  <w:style w:type="paragraph" w:styleId="Footer">
    <w:name w:val="footer"/>
    <w:basedOn w:val="Normal"/>
    <w:link w:val="FooterChar"/>
    <w:uiPriority w:val="99"/>
    <w:unhideWhenUsed/>
    <w:rsid w:val="00023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6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1576</Words>
  <Characters>8986</Characters>
  <Application>Microsoft Office Word</Application>
  <DocSecurity>0</DocSecurity>
  <Lines>74</Lines>
  <Paragraphs>21</Paragraphs>
  <ScaleCrop>false</ScaleCrop>
  <Company/>
  <LinksUpToDate>false</LinksUpToDate>
  <CharactersWithSpaces>10541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Mehreen Riaz</dc:creator>
  <cp:keywords/>
  <dc:description/>
  <cp:lastModifiedBy>Mehreen Riaz</cp:lastModifiedBy>
  <cp:revision>34</cp:revision>
  <dcterms:created xsi:type="dcterms:W3CDTF">2025-12-08T21:34:00Z</dcterms:created>
  <dcterms:modified xsi:type="dcterms:W3CDTF">2025-12-10T15:50:00Z</dcterms:modified>
</cp:coreProperties>
</file>