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EBEF93" w14:textId="24B86F5D" w:rsidR="00746DF0" w:rsidRDefault="003356F4" w:rsidP="005203A9">
      <w:pPr>
        <w:spacing w:line="480" w:lineRule="auto"/>
      </w:pPr>
      <w:r>
        <w:t>Ass</w:t>
      </w:r>
      <w:r w:rsidR="000D6538">
        <w:t>ignment</w:t>
      </w:r>
      <w:r>
        <w:t xml:space="preserve"> 1: Source Analysis </w:t>
      </w:r>
      <w:r w:rsidR="00C57DF4">
        <w:t>–</w:t>
      </w:r>
      <w:r>
        <w:t xml:space="preserve"> </w:t>
      </w:r>
      <w:r w:rsidR="00C57DF4">
        <w:t>Wall paintings in the House of Jason</w:t>
      </w:r>
    </w:p>
    <w:p w14:paraId="5BD29A7B" w14:textId="77777777" w:rsidR="006C6F2B" w:rsidRDefault="006C6F2B" w:rsidP="005203A9">
      <w:pPr>
        <w:spacing w:line="480" w:lineRule="auto"/>
        <w:rPr>
          <w:rFonts w:eastAsia="Times New Roman"/>
          <w:b/>
          <w:bCs/>
          <w:color w:val="000000"/>
          <w:bdr w:val="none" w:sz="0" w:space="0" w:color="auto" w:frame="1"/>
        </w:rPr>
      </w:pPr>
    </w:p>
    <w:p w14:paraId="2EC78698" w14:textId="440A57AF" w:rsidR="00BF0477" w:rsidRDefault="005D01F1" w:rsidP="005203A9">
      <w:pPr>
        <w:spacing w:line="480" w:lineRule="auto"/>
        <w:rPr>
          <w:rFonts w:eastAsia="Times New Roman"/>
          <w:color w:val="000000"/>
          <w:bdr w:val="none" w:sz="0" w:space="0" w:color="auto" w:frame="1"/>
        </w:rPr>
      </w:pPr>
      <w:r>
        <w:rPr>
          <w:rFonts w:eastAsia="Times New Roman"/>
          <w:color w:val="000000"/>
          <w:bdr w:val="none" w:sz="0" w:space="0" w:color="auto" w:frame="1"/>
        </w:rPr>
        <w:t>W</w:t>
      </w:r>
      <w:r w:rsidR="00812FA7" w:rsidRPr="00B30F46">
        <w:rPr>
          <w:rFonts w:eastAsia="Times New Roman"/>
          <w:color w:val="000000"/>
          <w:bdr w:val="none" w:sz="0" w:space="0" w:color="auto" w:frame="1"/>
        </w:rPr>
        <w:t xml:space="preserve">all paintings </w:t>
      </w:r>
      <w:r w:rsidR="00CF417D">
        <w:rPr>
          <w:rFonts w:eastAsia="Times New Roman"/>
          <w:color w:val="000000"/>
          <w:bdr w:val="none" w:sz="0" w:space="0" w:color="auto" w:frame="1"/>
        </w:rPr>
        <w:t xml:space="preserve">of </w:t>
      </w:r>
      <w:r>
        <w:rPr>
          <w:rFonts w:eastAsia="Times New Roman"/>
          <w:color w:val="000000"/>
          <w:bdr w:val="none" w:sz="0" w:space="0" w:color="auto" w:frame="1"/>
        </w:rPr>
        <w:t xml:space="preserve">mythological characters and scenes </w:t>
      </w:r>
      <w:r w:rsidR="00812FA7" w:rsidRPr="000B77A1">
        <w:rPr>
          <w:rFonts w:eastAsia="Times New Roman"/>
          <w:color w:val="000000"/>
          <w:bdr w:val="none" w:sz="0" w:space="0" w:color="auto" w:frame="1"/>
        </w:rPr>
        <w:t xml:space="preserve">were extremely popular </w:t>
      </w:r>
      <w:r w:rsidR="00812FA7" w:rsidRPr="00B30F46">
        <w:rPr>
          <w:rFonts w:eastAsia="Times New Roman"/>
          <w:color w:val="000000"/>
          <w:bdr w:val="none" w:sz="0" w:space="0" w:color="auto" w:frame="1"/>
        </w:rPr>
        <w:t xml:space="preserve">in Pompeii, the styles </w:t>
      </w:r>
      <w:r w:rsidR="00E80F65">
        <w:rPr>
          <w:rFonts w:eastAsia="Times New Roman"/>
          <w:color w:val="000000"/>
          <w:bdr w:val="none" w:sz="0" w:space="0" w:color="auto" w:frame="1"/>
        </w:rPr>
        <w:t xml:space="preserve">and topics </w:t>
      </w:r>
      <w:r w:rsidR="004C3779">
        <w:rPr>
          <w:rFonts w:eastAsia="Times New Roman"/>
          <w:color w:val="000000"/>
          <w:bdr w:val="none" w:sz="0" w:space="0" w:color="auto" w:frame="1"/>
        </w:rPr>
        <w:t xml:space="preserve">found </w:t>
      </w:r>
      <w:r w:rsidR="003776EB">
        <w:rPr>
          <w:rFonts w:eastAsia="Times New Roman"/>
          <w:color w:val="000000"/>
          <w:bdr w:val="none" w:sz="0" w:space="0" w:color="auto" w:frame="1"/>
        </w:rPr>
        <w:t>t</w:t>
      </w:r>
      <w:r w:rsidR="00756BAC">
        <w:rPr>
          <w:rFonts w:eastAsia="Times New Roman"/>
          <w:color w:val="000000"/>
          <w:bdr w:val="none" w:sz="0" w:space="0" w:color="auto" w:frame="1"/>
        </w:rPr>
        <w:t xml:space="preserve">here </w:t>
      </w:r>
      <w:r w:rsidR="00812FA7" w:rsidRPr="00B30F46">
        <w:rPr>
          <w:rFonts w:eastAsia="Times New Roman"/>
          <w:color w:val="000000"/>
          <w:bdr w:val="none" w:sz="0" w:space="0" w:color="auto" w:frame="1"/>
        </w:rPr>
        <w:t xml:space="preserve">are similar in both large villas and smaller houses and follow </w:t>
      </w:r>
      <w:r w:rsidR="00857517">
        <w:rPr>
          <w:rFonts w:eastAsia="Times New Roman"/>
          <w:color w:val="000000"/>
          <w:bdr w:val="none" w:sz="0" w:space="0" w:color="auto" w:frame="1"/>
        </w:rPr>
        <w:t>a general</w:t>
      </w:r>
      <w:r w:rsidR="00812FA7" w:rsidRPr="00B30F46">
        <w:rPr>
          <w:rFonts w:eastAsia="Times New Roman"/>
          <w:color w:val="000000"/>
          <w:bdr w:val="none" w:sz="0" w:space="0" w:color="auto" w:frame="1"/>
        </w:rPr>
        <w:t xml:space="preserve"> trend in Roman elite interiors.</w:t>
      </w:r>
      <w:r w:rsidR="001D2A2F">
        <w:rPr>
          <w:rFonts w:eastAsia="Times New Roman"/>
          <w:color w:val="000000"/>
          <w:bdr w:val="none" w:sz="0" w:space="0" w:color="auto" w:frame="1"/>
        </w:rPr>
        <w:t xml:space="preserve"> </w:t>
      </w:r>
    </w:p>
    <w:p w14:paraId="70108BD4" w14:textId="557DE9A7" w:rsidR="00C9043D" w:rsidRPr="00A14334" w:rsidRDefault="00CC659C" w:rsidP="005203A9">
      <w:pPr>
        <w:shd w:val="clear" w:color="auto" w:fill="FFFFFF"/>
        <w:spacing w:after="0" w:line="480" w:lineRule="auto"/>
        <w:textAlignment w:val="baseline"/>
      </w:pPr>
      <w:r>
        <w:rPr>
          <w:bCs/>
        </w:rPr>
        <w:t xml:space="preserve">The </w:t>
      </w:r>
      <w:r w:rsidR="00C443A7">
        <w:rPr>
          <w:bCs/>
        </w:rPr>
        <w:t xml:space="preserve">House of Jason </w:t>
      </w:r>
      <w:r w:rsidR="00761F2A">
        <w:rPr>
          <w:bCs/>
        </w:rPr>
        <w:t>(</w:t>
      </w:r>
      <w:r w:rsidR="00EC2DB9">
        <w:rPr>
          <w:bCs/>
        </w:rPr>
        <w:t xml:space="preserve">IX.5.18) </w:t>
      </w:r>
      <w:r w:rsidR="00C443A7" w:rsidRPr="0084381A">
        <w:rPr>
          <w:bCs/>
        </w:rPr>
        <w:t>was a modest sized sub-elite Roman home</w:t>
      </w:r>
      <w:r w:rsidR="00CD081B">
        <w:rPr>
          <w:bCs/>
        </w:rPr>
        <w:t>:</w:t>
      </w:r>
      <w:r w:rsidR="00F625A7">
        <w:rPr>
          <w:rFonts w:eastAsia="Times New Roman"/>
          <w:color w:val="000000"/>
          <w:bdr w:val="none" w:sz="0" w:space="0" w:color="auto" w:frame="1"/>
        </w:rPr>
        <w:t xml:space="preserve"> </w:t>
      </w:r>
      <w:r w:rsidR="00C547EA" w:rsidRPr="0084381A">
        <w:rPr>
          <w:bCs/>
        </w:rPr>
        <w:t>Room ‘E’</w:t>
      </w:r>
      <w:r w:rsidR="008F774C">
        <w:rPr>
          <w:bCs/>
        </w:rPr>
        <w:t xml:space="preserve"> i</w:t>
      </w:r>
      <w:r w:rsidR="001928F9">
        <w:rPr>
          <w:bCs/>
        </w:rPr>
        <w:t>s</w:t>
      </w:r>
      <w:r w:rsidR="00D74C32" w:rsidRPr="00D74C32">
        <w:rPr>
          <w:bCs/>
        </w:rPr>
        <w:t xml:space="preserve"> </w:t>
      </w:r>
      <w:r w:rsidR="00D74C32" w:rsidRPr="0084381A">
        <w:rPr>
          <w:bCs/>
        </w:rPr>
        <w:t>a cubiculum on the south-west corner of the house</w:t>
      </w:r>
      <w:r w:rsidR="0077176C">
        <w:rPr>
          <w:bCs/>
        </w:rPr>
        <w:t>.</w:t>
      </w:r>
      <w:r w:rsidR="00B02F82">
        <w:rPr>
          <w:rStyle w:val="FootnoteReference"/>
          <w:bCs/>
        </w:rPr>
        <w:footnoteReference w:id="1"/>
      </w:r>
      <w:r w:rsidR="0077176C">
        <w:rPr>
          <w:bCs/>
        </w:rPr>
        <w:t xml:space="preserve"> </w:t>
      </w:r>
      <w:r w:rsidR="005D1950">
        <w:rPr>
          <w:bCs/>
        </w:rPr>
        <w:t>In</w:t>
      </w:r>
      <w:r w:rsidR="001928F9">
        <w:rPr>
          <w:bCs/>
        </w:rPr>
        <w:t xml:space="preserve"> </w:t>
      </w:r>
      <w:r w:rsidR="00B97B6C" w:rsidRPr="0084381A">
        <w:t>Third Pompeiian Style</w:t>
      </w:r>
      <w:r w:rsidR="00CA7194">
        <w:t>,</w:t>
      </w:r>
      <w:r w:rsidR="00B97B6C" w:rsidRPr="0084381A">
        <w:t xml:space="preserve"> </w:t>
      </w:r>
      <w:r w:rsidR="0016735F">
        <w:t>t</w:t>
      </w:r>
      <w:r w:rsidR="002675B3">
        <w:t>he decoration is</w:t>
      </w:r>
      <w:r w:rsidR="00C50608">
        <w:t xml:space="preserve"> </w:t>
      </w:r>
      <w:r w:rsidR="008F774C">
        <w:t>date</w:t>
      </w:r>
      <w:r w:rsidR="00C50608">
        <w:t>d</w:t>
      </w:r>
      <w:r w:rsidR="008F774C">
        <w:t xml:space="preserve"> to </w:t>
      </w:r>
      <w:r w:rsidR="00340C4C">
        <w:t>around 10</w:t>
      </w:r>
      <w:r w:rsidR="00B97B6C" w:rsidRPr="0084381A">
        <w:t xml:space="preserve"> </w:t>
      </w:r>
      <w:r w:rsidR="007C3C74">
        <w:t>C.E.</w:t>
      </w:r>
      <w:r w:rsidR="006638AA">
        <w:t xml:space="preserve"> </w:t>
      </w:r>
      <w:r w:rsidR="00FF3FCD">
        <w:t xml:space="preserve">during the Augustinian period, </w:t>
      </w:r>
      <w:r w:rsidR="006638AA">
        <w:t>a</w:t>
      </w:r>
      <w:r w:rsidR="006638AA" w:rsidRPr="0084381A">
        <w:rPr>
          <w:bCs/>
        </w:rPr>
        <w:t xml:space="preserve">lthough </w:t>
      </w:r>
      <w:r w:rsidR="004B17DA">
        <w:rPr>
          <w:bCs/>
        </w:rPr>
        <w:t>the building itself is</w:t>
      </w:r>
      <w:r w:rsidR="006638AA" w:rsidRPr="0084381A">
        <w:rPr>
          <w:bCs/>
        </w:rPr>
        <w:t xml:space="preserve"> at least a century </w:t>
      </w:r>
      <w:r w:rsidR="004B17DA">
        <w:rPr>
          <w:bCs/>
        </w:rPr>
        <w:t>older</w:t>
      </w:r>
      <w:r w:rsidR="006638AA">
        <w:rPr>
          <w:bCs/>
        </w:rPr>
        <w:t>.</w:t>
      </w:r>
      <w:r w:rsidR="00B97B6C" w:rsidRPr="0084381A">
        <w:t xml:space="preserve"> </w:t>
      </w:r>
      <w:r w:rsidR="00CA7194" w:rsidRPr="00B30F46">
        <w:rPr>
          <w:rFonts w:eastAsia="Times New Roman"/>
          <w:color w:val="000000"/>
          <w:bdr w:val="none" w:sz="0" w:space="0" w:color="auto" w:frame="1"/>
        </w:rPr>
        <w:t>Some of the houses in Pompeii had pictorial themes that were linked</w:t>
      </w:r>
      <w:r w:rsidR="00CA7194">
        <w:rPr>
          <w:rFonts w:eastAsia="Times New Roman"/>
          <w:color w:val="000000"/>
          <w:bdr w:val="none" w:sz="0" w:space="0" w:color="auto" w:frame="1"/>
        </w:rPr>
        <w:t xml:space="preserve"> or</w:t>
      </w:r>
      <w:r w:rsidR="00CA7194" w:rsidRPr="00B30F46">
        <w:rPr>
          <w:rFonts w:eastAsia="Times New Roman"/>
          <w:color w:val="000000"/>
          <w:bdr w:val="none" w:sz="0" w:space="0" w:color="auto" w:frame="1"/>
        </w:rPr>
        <w:t xml:space="preserve"> flowed from room to room but the pictures </w:t>
      </w:r>
      <w:r w:rsidR="007E3EC5">
        <w:rPr>
          <w:rFonts w:eastAsia="Times New Roman"/>
          <w:color w:val="000000"/>
          <w:bdr w:val="none" w:sz="0" w:space="0" w:color="auto" w:frame="1"/>
        </w:rPr>
        <w:t>in room ‘E’</w:t>
      </w:r>
      <w:r w:rsidR="00CA7194" w:rsidRPr="00B30F46">
        <w:rPr>
          <w:rFonts w:eastAsia="Times New Roman"/>
          <w:color w:val="000000"/>
          <w:bdr w:val="none" w:sz="0" w:space="0" w:color="auto" w:frame="1"/>
        </w:rPr>
        <w:t xml:space="preserve"> are quite distinct in that they occupy </w:t>
      </w:r>
      <w:r w:rsidR="007E3EC5">
        <w:rPr>
          <w:rFonts w:eastAsia="Times New Roman"/>
          <w:color w:val="000000"/>
          <w:bdr w:val="none" w:sz="0" w:space="0" w:color="auto" w:frame="1"/>
        </w:rPr>
        <w:t xml:space="preserve">such </w:t>
      </w:r>
      <w:r w:rsidR="00CA7194" w:rsidRPr="00B30F46">
        <w:rPr>
          <w:rFonts w:eastAsia="Times New Roman"/>
          <w:color w:val="000000"/>
          <w:bdr w:val="none" w:sz="0" w:space="0" w:color="auto" w:frame="1"/>
        </w:rPr>
        <w:t>a small room with a very strong red and black colour scheme and internal visual links</w:t>
      </w:r>
      <w:r w:rsidR="007B4425">
        <w:rPr>
          <w:rFonts w:eastAsia="Times New Roman"/>
          <w:color w:val="000000"/>
          <w:bdr w:val="none" w:sz="0" w:space="0" w:color="auto" w:frame="1"/>
        </w:rPr>
        <w:t xml:space="preserve">, such as </w:t>
      </w:r>
      <w:r w:rsidR="00D73D2D">
        <w:rPr>
          <w:rFonts w:eastAsia="Times New Roman"/>
          <w:color w:val="000000"/>
          <w:bdr w:val="none" w:sz="0" w:space="0" w:color="auto" w:frame="1"/>
        </w:rPr>
        <w:t xml:space="preserve">corresponding pairs of stone columns in each scene and </w:t>
      </w:r>
      <w:r w:rsidR="007F4D04">
        <w:rPr>
          <w:rFonts w:eastAsia="Times New Roman"/>
          <w:color w:val="000000"/>
          <w:bdr w:val="none" w:sz="0" w:space="0" w:color="auto" w:frame="1"/>
        </w:rPr>
        <w:t>repeating colours</w:t>
      </w:r>
      <w:r w:rsidR="00CA7194" w:rsidRPr="00B30F46">
        <w:rPr>
          <w:rFonts w:eastAsia="Times New Roman"/>
          <w:color w:val="000000"/>
          <w:bdr w:val="none" w:sz="0" w:space="0" w:color="auto" w:frame="1"/>
        </w:rPr>
        <w:t xml:space="preserve"> between the three frescos</w:t>
      </w:r>
      <w:r>
        <w:rPr>
          <w:rFonts w:eastAsia="Times New Roman"/>
          <w:color w:val="000000"/>
          <w:bdr w:val="none" w:sz="0" w:space="0" w:color="auto" w:frame="1"/>
        </w:rPr>
        <w:t>,</w:t>
      </w:r>
      <w:r w:rsidR="00CA7194" w:rsidRPr="00B30F46">
        <w:rPr>
          <w:rFonts w:eastAsia="Times New Roman"/>
          <w:color w:val="000000"/>
          <w:bdr w:val="none" w:sz="0" w:space="0" w:color="auto" w:frame="1"/>
        </w:rPr>
        <w:t xml:space="preserve"> that are not shared with other rooms in the house.</w:t>
      </w:r>
      <w:r w:rsidR="000A7389">
        <w:rPr>
          <w:rStyle w:val="FootnoteReference"/>
          <w:rFonts w:eastAsia="Times New Roman"/>
          <w:color w:val="000000"/>
          <w:bdr w:val="none" w:sz="0" w:space="0" w:color="auto" w:frame="1"/>
        </w:rPr>
        <w:footnoteReference w:id="2"/>
      </w:r>
      <w:r w:rsidR="00CA7194" w:rsidRPr="00B30F46">
        <w:rPr>
          <w:rFonts w:eastAsia="Times New Roman"/>
          <w:color w:val="000000"/>
          <w:bdr w:val="none" w:sz="0" w:space="0" w:color="auto" w:frame="1"/>
        </w:rPr>
        <w:t> </w:t>
      </w:r>
      <w:r w:rsidR="00CA7194">
        <w:rPr>
          <w:rFonts w:eastAsia="Times New Roman"/>
          <w:color w:val="000000"/>
          <w:bdr w:val="none" w:sz="0" w:space="0" w:color="auto" w:frame="1"/>
        </w:rPr>
        <w:t>Each of the three pictures depicts the moments of decision before a ‘crime’ is committed</w:t>
      </w:r>
      <w:r w:rsidR="000B3BB9">
        <w:rPr>
          <w:rFonts w:eastAsia="Times New Roman"/>
          <w:color w:val="000000"/>
          <w:bdr w:val="none" w:sz="0" w:space="0" w:color="auto" w:frame="1"/>
        </w:rPr>
        <w:t xml:space="preserve">. </w:t>
      </w:r>
      <w:r w:rsidR="00B97B6C" w:rsidRPr="0084381A">
        <w:t>On wall ‘a’ directly facing the doorway is a panel 140 x 83 cm of Medea</w:t>
      </w:r>
      <w:r w:rsidR="001A3301">
        <w:t xml:space="preserve"> contemplating slaying</w:t>
      </w:r>
      <w:r w:rsidR="00B97B6C" w:rsidRPr="0084381A">
        <w:t xml:space="preserve"> her two sons, on wall ‘b’ to the left is a panel 115 x 83 cm of Phaedra</w:t>
      </w:r>
      <w:r w:rsidR="000B3BB9">
        <w:t xml:space="preserve">, </w:t>
      </w:r>
      <w:r w:rsidR="00B97B6C" w:rsidRPr="0084381A">
        <w:t xml:space="preserve">with </w:t>
      </w:r>
      <w:r w:rsidR="00520BDC">
        <w:t xml:space="preserve">the help of </w:t>
      </w:r>
      <w:r w:rsidR="00B97B6C" w:rsidRPr="0084381A">
        <w:t>her nurse</w:t>
      </w:r>
      <w:r w:rsidR="000B3BB9">
        <w:t>,</w:t>
      </w:r>
      <w:r w:rsidR="00B97B6C" w:rsidRPr="0084381A">
        <w:t xml:space="preserve"> </w:t>
      </w:r>
      <w:r w:rsidR="0066316B">
        <w:t xml:space="preserve">planning </w:t>
      </w:r>
      <w:r w:rsidR="00C05EC7">
        <w:t>a</w:t>
      </w:r>
      <w:r w:rsidR="00064744">
        <w:t>n incestuous r</w:t>
      </w:r>
      <w:r w:rsidR="00C05EC7">
        <w:t xml:space="preserve">elationship with her stepson </w:t>
      </w:r>
      <w:r w:rsidR="00B97B6C" w:rsidRPr="0084381A">
        <w:t>and on wall ‘c’ is a panel 115 x 87 cm of Paris and Helen with cupid</w:t>
      </w:r>
      <w:r w:rsidR="000B3BB9">
        <w:rPr>
          <w:bCs/>
        </w:rPr>
        <w:t>:</w:t>
      </w:r>
      <w:r w:rsidR="00C05EC7">
        <w:rPr>
          <w:bCs/>
        </w:rPr>
        <w:t xml:space="preserve"> </w:t>
      </w:r>
      <w:r w:rsidR="00064744">
        <w:rPr>
          <w:rFonts w:eastAsia="Times New Roman"/>
          <w:color w:val="000000"/>
          <w:bdr w:val="none" w:sz="0" w:space="0" w:color="auto" w:frame="1"/>
        </w:rPr>
        <w:t xml:space="preserve">Helen </w:t>
      </w:r>
      <w:r w:rsidR="002618E2">
        <w:rPr>
          <w:rFonts w:eastAsia="Times New Roman"/>
          <w:color w:val="000000"/>
          <w:bdr w:val="none" w:sz="0" w:space="0" w:color="auto" w:frame="1"/>
        </w:rPr>
        <w:t xml:space="preserve">thinking about </w:t>
      </w:r>
      <w:r w:rsidR="00064744">
        <w:rPr>
          <w:rFonts w:eastAsia="Times New Roman"/>
          <w:color w:val="000000"/>
          <w:bdr w:val="none" w:sz="0" w:space="0" w:color="auto" w:frame="1"/>
        </w:rPr>
        <w:t>leaving her husband for Paris while Paris abuses his host’s hospitality by violating his marriage.</w:t>
      </w:r>
      <w:r w:rsidR="00752995">
        <w:rPr>
          <w:rStyle w:val="FootnoteReference"/>
          <w:rFonts w:eastAsia="Times New Roman"/>
          <w:color w:val="000000"/>
          <w:bdr w:val="none" w:sz="0" w:space="0" w:color="auto" w:frame="1"/>
        </w:rPr>
        <w:footnoteReference w:id="3"/>
      </w:r>
      <w:r w:rsidR="00134F65">
        <w:rPr>
          <w:bCs/>
        </w:rPr>
        <w:t xml:space="preserve"> </w:t>
      </w:r>
      <w:r w:rsidR="00C9043D">
        <w:rPr>
          <w:bCs/>
        </w:rPr>
        <w:t>These paintings</w:t>
      </w:r>
      <w:r w:rsidR="00752995">
        <w:rPr>
          <w:bCs/>
        </w:rPr>
        <w:t>,</w:t>
      </w:r>
      <w:r w:rsidR="00C9043D">
        <w:rPr>
          <w:bCs/>
        </w:rPr>
        <w:t xml:space="preserve"> and many like them</w:t>
      </w:r>
      <w:r w:rsidR="00752995">
        <w:rPr>
          <w:bCs/>
        </w:rPr>
        <w:t>,</w:t>
      </w:r>
      <w:r w:rsidR="00C9043D">
        <w:rPr>
          <w:bCs/>
        </w:rPr>
        <w:t xml:space="preserve"> were </w:t>
      </w:r>
      <w:r w:rsidR="00C9043D" w:rsidRPr="0084381A">
        <w:rPr>
          <w:bCs/>
        </w:rPr>
        <w:t>preserved by the Vesuvian eruption of AD 79</w:t>
      </w:r>
      <w:r w:rsidR="00C9043D">
        <w:rPr>
          <w:bCs/>
        </w:rPr>
        <w:t xml:space="preserve"> and </w:t>
      </w:r>
      <w:r w:rsidR="00C9043D" w:rsidRPr="0084381A">
        <w:t>remo</w:t>
      </w:r>
      <w:r w:rsidR="00C9043D">
        <w:t>ved after excavation</w:t>
      </w:r>
      <w:r w:rsidR="00C9043D" w:rsidRPr="0084381A">
        <w:t xml:space="preserve"> to the Museo Nazionale </w:t>
      </w:r>
      <w:proofErr w:type="spellStart"/>
      <w:r w:rsidR="00C9043D" w:rsidRPr="0084381A">
        <w:t>Archaeologico</w:t>
      </w:r>
      <w:proofErr w:type="spellEnd"/>
      <w:r w:rsidR="00C9043D" w:rsidRPr="0084381A">
        <w:t xml:space="preserve"> in Naples</w:t>
      </w:r>
      <w:r w:rsidR="008E59B2">
        <w:t>,</w:t>
      </w:r>
      <w:r w:rsidR="00C9043D" w:rsidRPr="0084381A">
        <w:t xml:space="preserve"> in 1879</w:t>
      </w:r>
      <w:r w:rsidR="00DC6F2A">
        <w:t>. I</w:t>
      </w:r>
      <w:r w:rsidR="00AD3E18">
        <w:t xml:space="preserve">t is greatly helpful that </w:t>
      </w:r>
      <w:r w:rsidR="00C9043D">
        <w:t xml:space="preserve">they were found in their </w:t>
      </w:r>
      <w:r w:rsidR="00C9043D">
        <w:lastRenderedPageBreak/>
        <w:t>original setting</w:t>
      </w:r>
      <w:r w:rsidR="00141C2F">
        <w:t xml:space="preserve"> informing us of</w:t>
      </w:r>
      <w:r w:rsidR="00C9043D">
        <w:t xml:space="preserve"> how they would have been viewed by the</w:t>
      </w:r>
      <w:r w:rsidR="00304C3E">
        <w:t>ir</w:t>
      </w:r>
      <w:r w:rsidR="00C9043D">
        <w:t xml:space="preserve"> original audience. There were many ancient plays that could have been sources for the depictions, but few have survived</w:t>
      </w:r>
      <w:r w:rsidR="00304C3E">
        <w:t>,</w:t>
      </w:r>
      <w:r w:rsidR="00C9043D">
        <w:t xml:space="preserve"> so</w:t>
      </w:r>
      <w:r w:rsidR="00770D96">
        <w:t xml:space="preserve"> these</w:t>
      </w:r>
      <w:r w:rsidR="00C9043D">
        <w:t xml:space="preserve"> influences are not available to help us understand the meanings more fully.</w:t>
      </w:r>
      <w:r w:rsidR="005369BD">
        <w:t xml:space="preserve"> However, </w:t>
      </w:r>
      <w:r w:rsidR="00770D96">
        <w:t xml:space="preserve">Ovid’s </w:t>
      </w:r>
      <w:proofErr w:type="spellStart"/>
      <w:r w:rsidR="00770D96" w:rsidRPr="009E0AD7">
        <w:rPr>
          <w:i/>
          <w:iCs/>
        </w:rPr>
        <w:t>Heroides</w:t>
      </w:r>
      <w:proofErr w:type="spellEnd"/>
      <w:r w:rsidR="009E0AD7">
        <w:t xml:space="preserve"> is likely to be </w:t>
      </w:r>
      <w:r w:rsidR="005610E4">
        <w:t>an important influence</w:t>
      </w:r>
      <w:r w:rsidR="00CE04B9">
        <w:t xml:space="preserve">: </w:t>
      </w:r>
      <w:r w:rsidR="00AD43A8">
        <w:t xml:space="preserve">a book of fictitious love letters </w:t>
      </w:r>
      <w:r w:rsidR="004668B8">
        <w:t xml:space="preserve">from </w:t>
      </w:r>
      <w:r w:rsidR="00DD0BE8">
        <w:t>mythological heroes and heroines</w:t>
      </w:r>
      <w:r w:rsidR="00416467">
        <w:t>,</w:t>
      </w:r>
      <w:r w:rsidR="00DD0BE8">
        <w:t xml:space="preserve"> including </w:t>
      </w:r>
      <w:r w:rsidR="00AD43A8">
        <w:t>Medea, Phaedra, Paris</w:t>
      </w:r>
      <w:r w:rsidR="00FB30C0">
        <w:t>,</w:t>
      </w:r>
      <w:r w:rsidR="00AD43A8">
        <w:t xml:space="preserve"> and Helen</w:t>
      </w:r>
      <w:r w:rsidR="00CE04B9">
        <w:t xml:space="preserve">, it was contemporaneous to the paintings </w:t>
      </w:r>
      <w:r w:rsidR="00E378AA">
        <w:t>and popular to a wide audience</w:t>
      </w:r>
      <w:r w:rsidR="005610E4">
        <w:t>.</w:t>
      </w:r>
      <w:r w:rsidR="00A7674A">
        <w:rPr>
          <w:rStyle w:val="FootnoteReference"/>
        </w:rPr>
        <w:footnoteReference w:id="4"/>
      </w:r>
      <w:r w:rsidR="00A7674A">
        <w:t xml:space="preserve"> </w:t>
      </w:r>
      <w:r w:rsidR="001236E4">
        <w:t xml:space="preserve">However, </w:t>
      </w:r>
      <w:r w:rsidR="00390CE1">
        <w:t>unusual,</w:t>
      </w:r>
      <w:r w:rsidR="001236E4">
        <w:t xml:space="preserve"> and unexpected interpretations</w:t>
      </w:r>
      <w:r w:rsidR="00C600D7">
        <w:t xml:space="preserve"> are possible as</w:t>
      </w:r>
      <w:r w:rsidR="00C9043D">
        <w:t xml:space="preserve"> middle-</w:t>
      </w:r>
      <w:r w:rsidR="00C9043D" w:rsidRPr="00A14334">
        <w:t xml:space="preserve">class patrons </w:t>
      </w:r>
      <w:r w:rsidR="003239A4">
        <w:t xml:space="preserve">were </w:t>
      </w:r>
      <w:r w:rsidR="00C9043D" w:rsidRPr="00A14334">
        <w:t>playful with mythological interpretations and personalised them to convey layers of meaning that could be political, local</w:t>
      </w:r>
      <w:r w:rsidR="00F91542">
        <w:t>,</w:t>
      </w:r>
      <w:r w:rsidR="00C9043D" w:rsidRPr="00A14334">
        <w:t xml:space="preserve"> or personal</w:t>
      </w:r>
      <w:r w:rsidR="003239A4">
        <w:t>,</w:t>
      </w:r>
      <w:r w:rsidR="00C9043D" w:rsidRPr="00A14334">
        <w:t xml:space="preserve"> as well </w:t>
      </w:r>
      <w:r w:rsidR="00C9043D">
        <w:t xml:space="preserve">as or </w:t>
      </w:r>
      <w:r w:rsidR="00C9043D" w:rsidRPr="00A14334">
        <w:t>rather than</w:t>
      </w:r>
      <w:r w:rsidR="003239A4">
        <w:t>, being</w:t>
      </w:r>
      <w:r w:rsidR="00C9043D" w:rsidRPr="00A14334">
        <w:t xml:space="preserve"> mere</w:t>
      </w:r>
      <w:r w:rsidR="00C9043D">
        <w:t xml:space="preserve">ly </w:t>
      </w:r>
      <w:r w:rsidR="00FB30C0">
        <w:t xml:space="preserve">an </w:t>
      </w:r>
      <w:r w:rsidR="00C9043D">
        <w:t>aspirational</w:t>
      </w:r>
      <w:r w:rsidR="00F91542">
        <w:t xml:space="preserve"> </w:t>
      </w:r>
      <w:r w:rsidR="00C9043D" w:rsidRPr="00A14334">
        <w:t>imitation of elite sources</w:t>
      </w:r>
      <w:r w:rsidR="00FB30C0">
        <w:t>.</w:t>
      </w:r>
      <w:r w:rsidR="00C75786">
        <w:rPr>
          <w:rStyle w:val="FootnoteReference"/>
        </w:rPr>
        <w:footnoteReference w:id="5"/>
      </w:r>
    </w:p>
    <w:p w14:paraId="6AA19115" w14:textId="77777777" w:rsidR="006C6F2B" w:rsidRDefault="006C6F2B" w:rsidP="005203A9">
      <w:pPr>
        <w:shd w:val="clear" w:color="auto" w:fill="FFFFFF"/>
        <w:spacing w:after="0" w:line="480" w:lineRule="auto"/>
        <w:textAlignment w:val="baseline"/>
        <w:rPr>
          <w:bCs/>
        </w:rPr>
      </w:pPr>
    </w:p>
    <w:p w14:paraId="6CC565C5" w14:textId="05A01DBD" w:rsidR="00EC6DB2" w:rsidRPr="00DE3128" w:rsidRDefault="001119E0" w:rsidP="005203A9">
      <w:pPr>
        <w:shd w:val="clear" w:color="auto" w:fill="FFFFFF"/>
        <w:spacing w:after="0" w:line="480" w:lineRule="auto"/>
        <w:textAlignment w:val="baseline"/>
        <w:rPr>
          <w:bCs/>
        </w:rPr>
      </w:pPr>
      <w:r w:rsidRPr="0066151E">
        <w:rPr>
          <w:bCs/>
        </w:rPr>
        <w:t xml:space="preserve">Readings of these wall paintings have emphasised the </w:t>
      </w:r>
      <w:r>
        <w:rPr>
          <w:bCs/>
        </w:rPr>
        <w:t>domestic setting</w:t>
      </w:r>
      <w:r w:rsidR="007B4425">
        <w:rPr>
          <w:bCs/>
        </w:rPr>
        <w:t xml:space="preserve"> and </w:t>
      </w:r>
      <w:r w:rsidRPr="0066151E">
        <w:rPr>
          <w:bCs/>
        </w:rPr>
        <w:t>common theme of tragic love</w:t>
      </w:r>
      <w:r w:rsidR="00362F1B">
        <w:rPr>
          <w:bCs/>
        </w:rPr>
        <w:t xml:space="preserve">, </w:t>
      </w:r>
      <w:r w:rsidR="00875ECC">
        <w:rPr>
          <w:bCs/>
        </w:rPr>
        <w:t xml:space="preserve">with </w:t>
      </w:r>
      <w:r w:rsidR="00534BA2">
        <w:rPr>
          <w:bCs/>
        </w:rPr>
        <w:t xml:space="preserve">Paris playing </w:t>
      </w:r>
      <w:r w:rsidR="006F634D">
        <w:rPr>
          <w:bCs/>
        </w:rPr>
        <w:t>an accompanying role as</w:t>
      </w:r>
      <w:r w:rsidR="000F17C8">
        <w:rPr>
          <w:bCs/>
        </w:rPr>
        <w:t xml:space="preserve"> </w:t>
      </w:r>
      <w:r w:rsidR="00A11044">
        <w:rPr>
          <w:bCs/>
        </w:rPr>
        <w:t>a</w:t>
      </w:r>
      <w:r w:rsidR="0069650F">
        <w:rPr>
          <w:bCs/>
        </w:rPr>
        <w:t xml:space="preserve"> seductress </w:t>
      </w:r>
      <w:r w:rsidR="00E021AB">
        <w:rPr>
          <w:bCs/>
        </w:rPr>
        <w:t>endangering</w:t>
      </w:r>
      <w:r w:rsidR="0069650F">
        <w:rPr>
          <w:bCs/>
        </w:rPr>
        <w:t xml:space="preserve"> </w:t>
      </w:r>
      <w:r w:rsidR="00E021AB">
        <w:rPr>
          <w:bCs/>
        </w:rPr>
        <w:t xml:space="preserve">Roman </w:t>
      </w:r>
      <w:r w:rsidR="003B4FF5">
        <w:rPr>
          <w:bCs/>
        </w:rPr>
        <w:t xml:space="preserve">marital and domestic </w:t>
      </w:r>
      <w:proofErr w:type="spellStart"/>
      <w:r w:rsidR="006F634D">
        <w:rPr>
          <w:bCs/>
          <w:i/>
          <w:iCs/>
        </w:rPr>
        <w:t>c</w:t>
      </w:r>
      <w:r w:rsidR="00BF5066">
        <w:rPr>
          <w:bCs/>
          <w:i/>
          <w:iCs/>
        </w:rPr>
        <w:t>oncordia</w:t>
      </w:r>
      <w:proofErr w:type="spellEnd"/>
      <w:r w:rsidR="00534BDC">
        <w:rPr>
          <w:bCs/>
        </w:rPr>
        <w:t>.</w:t>
      </w:r>
      <w:r w:rsidR="001B676B">
        <w:rPr>
          <w:rStyle w:val="FootnoteReference"/>
          <w:bCs/>
        </w:rPr>
        <w:footnoteReference w:id="6"/>
      </w:r>
      <w:r w:rsidR="001B676B">
        <w:rPr>
          <w:bCs/>
        </w:rPr>
        <w:t xml:space="preserve">  </w:t>
      </w:r>
      <w:r w:rsidR="00B671A3">
        <w:rPr>
          <w:bCs/>
        </w:rPr>
        <w:t>Bettina Bergmann</w:t>
      </w:r>
      <w:r w:rsidR="00DF4956">
        <w:rPr>
          <w:bCs/>
        </w:rPr>
        <w:t xml:space="preserve"> identifies the central theme as</w:t>
      </w:r>
      <w:r w:rsidR="000F5308">
        <w:rPr>
          <w:bCs/>
        </w:rPr>
        <w:t xml:space="preserve"> </w:t>
      </w:r>
      <w:r w:rsidR="00DB5A4C" w:rsidRPr="0066151E">
        <w:rPr>
          <w:bCs/>
        </w:rPr>
        <w:t>‘</w:t>
      </w:r>
      <w:r w:rsidR="00362F1B">
        <w:rPr>
          <w:bCs/>
        </w:rPr>
        <w:t>t</w:t>
      </w:r>
      <w:r w:rsidR="00DB5A4C" w:rsidRPr="0066151E">
        <w:rPr>
          <w:bCs/>
        </w:rPr>
        <w:t xml:space="preserve">he pregnant moment’ when </w:t>
      </w:r>
      <w:r w:rsidR="000D74A3">
        <w:rPr>
          <w:bCs/>
        </w:rPr>
        <w:t>Medea, Phaedra</w:t>
      </w:r>
      <w:r w:rsidR="0019410F">
        <w:rPr>
          <w:bCs/>
        </w:rPr>
        <w:t>,</w:t>
      </w:r>
      <w:r w:rsidR="000D74A3">
        <w:rPr>
          <w:bCs/>
        </w:rPr>
        <w:t xml:space="preserve"> and Helen</w:t>
      </w:r>
      <w:r w:rsidR="006F0685">
        <w:rPr>
          <w:bCs/>
        </w:rPr>
        <w:t>,</w:t>
      </w:r>
      <w:r w:rsidR="000D74A3">
        <w:rPr>
          <w:bCs/>
        </w:rPr>
        <w:t xml:space="preserve"> as wives ruled by pass</w:t>
      </w:r>
      <w:r w:rsidR="00BF6386">
        <w:rPr>
          <w:bCs/>
        </w:rPr>
        <w:t>ion</w:t>
      </w:r>
      <w:r w:rsidR="001B676B">
        <w:rPr>
          <w:bCs/>
        </w:rPr>
        <w:t>,</w:t>
      </w:r>
      <w:r w:rsidR="00DB5A4C" w:rsidRPr="0066151E">
        <w:rPr>
          <w:bCs/>
        </w:rPr>
        <w:t xml:space="preserve"> contemplate</w:t>
      </w:r>
      <w:r w:rsidR="006F0685">
        <w:rPr>
          <w:bCs/>
        </w:rPr>
        <w:t xml:space="preserve"> the violent destruction of </w:t>
      </w:r>
      <w:r w:rsidR="0019075A">
        <w:rPr>
          <w:bCs/>
        </w:rPr>
        <w:t>her home</w:t>
      </w:r>
      <w:r w:rsidR="001B676B">
        <w:rPr>
          <w:bCs/>
        </w:rPr>
        <w:t>:</w:t>
      </w:r>
      <w:r w:rsidR="00CC44A3">
        <w:rPr>
          <w:bCs/>
        </w:rPr>
        <w:t xml:space="preserve"> expressing fears around </w:t>
      </w:r>
      <w:r w:rsidR="007B2745">
        <w:rPr>
          <w:bCs/>
        </w:rPr>
        <w:t xml:space="preserve">female power </w:t>
      </w:r>
      <w:r w:rsidR="00A14608">
        <w:rPr>
          <w:bCs/>
        </w:rPr>
        <w:t>over men and within the domestic arena</w:t>
      </w:r>
      <w:r w:rsidR="001B676B">
        <w:rPr>
          <w:bCs/>
        </w:rPr>
        <w:t>.</w:t>
      </w:r>
      <w:r w:rsidR="001B676B">
        <w:rPr>
          <w:rStyle w:val="FootnoteReference"/>
          <w:bCs/>
        </w:rPr>
        <w:footnoteReference w:id="7"/>
      </w:r>
      <w:r w:rsidR="00A14608">
        <w:rPr>
          <w:bCs/>
        </w:rPr>
        <w:t xml:space="preserve"> </w:t>
      </w:r>
      <w:r w:rsidR="004E05E4">
        <w:t xml:space="preserve">Paris </w:t>
      </w:r>
      <w:r w:rsidR="000152C2">
        <w:t xml:space="preserve">as seductress functions </w:t>
      </w:r>
      <w:r w:rsidR="008920EA">
        <w:t xml:space="preserve">for Bergmann </w:t>
      </w:r>
      <w:r w:rsidR="000152C2">
        <w:t>in this narrative as an</w:t>
      </w:r>
      <w:r w:rsidR="00155221">
        <w:t xml:space="preserve"> externalization of</w:t>
      </w:r>
      <w:r w:rsidR="006135D8">
        <w:t xml:space="preserve"> </w:t>
      </w:r>
      <w:r w:rsidR="00120DB5">
        <w:t xml:space="preserve">Helen’s </w:t>
      </w:r>
      <w:r w:rsidR="00AA1B11">
        <w:t>quandary.</w:t>
      </w:r>
      <w:r w:rsidR="00CD04A5">
        <w:rPr>
          <w:rStyle w:val="FootnoteReference"/>
        </w:rPr>
        <w:footnoteReference w:id="8"/>
      </w:r>
      <w:r w:rsidR="00AA1B11">
        <w:t xml:space="preserve"> </w:t>
      </w:r>
      <w:r w:rsidR="00D311FC">
        <w:t>Furthermore, she</w:t>
      </w:r>
      <w:r w:rsidR="008920EA">
        <w:t xml:space="preserve"> </w:t>
      </w:r>
      <w:r w:rsidR="00675A01">
        <w:t xml:space="preserve">identifies the association </w:t>
      </w:r>
      <w:r w:rsidR="008920EA">
        <w:t>of all</w:t>
      </w:r>
      <w:r w:rsidR="0074548A">
        <w:t xml:space="preserve"> the paintings </w:t>
      </w:r>
      <w:r w:rsidR="00DE6838">
        <w:t xml:space="preserve">with Venus, the </w:t>
      </w:r>
      <w:r w:rsidR="001C22F8">
        <w:t xml:space="preserve">Roman </w:t>
      </w:r>
      <w:r w:rsidR="00DE6838">
        <w:t xml:space="preserve">patron goddess of Pompeii since 80 B. </w:t>
      </w:r>
      <w:r w:rsidR="00EC6DB2">
        <w:t>C.</w:t>
      </w:r>
      <w:r w:rsidR="0074548A">
        <w:t xml:space="preserve">, </w:t>
      </w:r>
      <w:r w:rsidR="00700FF7">
        <w:t>as a</w:t>
      </w:r>
      <w:r w:rsidR="005D61BE">
        <w:t xml:space="preserve"> major</w:t>
      </w:r>
      <w:r w:rsidR="00700FF7">
        <w:t xml:space="preserve"> role </w:t>
      </w:r>
      <w:r w:rsidR="00700FF7">
        <w:lastRenderedPageBreak/>
        <w:t>model for Roman women</w:t>
      </w:r>
      <w:r w:rsidR="000B24C7">
        <w:t xml:space="preserve"> and</w:t>
      </w:r>
      <w:r w:rsidR="00EC6DB2">
        <w:t xml:space="preserve"> </w:t>
      </w:r>
      <w:r w:rsidR="00494300">
        <w:t>considers that</w:t>
      </w:r>
      <w:r w:rsidR="00263520">
        <w:t xml:space="preserve"> all three paintings could </w:t>
      </w:r>
      <w:r w:rsidR="00456ECA">
        <w:t xml:space="preserve">well </w:t>
      </w:r>
      <w:r w:rsidR="00263520">
        <w:t xml:space="preserve">have been </w:t>
      </w:r>
      <w:r w:rsidR="005A4416">
        <w:t>rea</w:t>
      </w:r>
      <w:r w:rsidR="00456ECA">
        <w:t>d</w:t>
      </w:r>
      <w:r w:rsidR="00BB2A66">
        <w:t xml:space="preserve"> </w:t>
      </w:r>
      <w:r w:rsidR="005A4416">
        <w:t xml:space="preserve">as romantic </w:t>
      </w:r>
      <w:r w:rsidR="0028260F">
        <w:t>heroin</w:t>
      </w:r>
      <w:r w:rsidR="00A94E37">
        <w:t xml:space="preserve">es </w:t>
      </w:r>
      <w:r w:rsidR="00494300">
        <w:t>who will go to any length for love</w:t>
      </w:r>
      <w:r w:rsidR="005D61BE">
        <w:t>.</w:t>
      </w:r>
      <w:r w:rsidR="005D61BE">
        <w:rPr>
          <w:rStyle w:val="FootnoteReference"/>
        </w:rPr>
        <w:footnoteReference w:id="9"/>
      </w:r>
    </w:p>
    <w:p w14:paraId="4F6B2D0C" w14:textId="77777777" w:rsidR="00DA35F3" w:rsidRDefault="00DA35F3" w:rsidP="005203A9">
      <w:pPr>
        <w:shd w:val="clear" w:color="auto" w:fill="FFFFFF"/>
        <w:spacing w:after="0" w:line="480" w:lineRule="auto"/>
        <w:textAlignment w:val="baseline"/>
      </w:pPr>
    </w:p>
    <w:p w14:paraId="432FDA5C" w14:textId="0FE522CC" w:rsidR="00AA373B" w:rsidRDefault="003A062E" w:rsidP="005203A9">
      <w:pPr>
        <w:shd w:val="clear" w:color="auto" w:fill="FFFFFF"/>
        <w:spacing w:after="0" w:line="480" w:lineRule="auto"/>
        <w:textAlignment w:val="baseline"/>
      </w:pPr>
      <w:r>
        <w:t xml:space="preserve">Margherita </w:t>
      </w:r>
      <w:proofErr w:type="spellStart"/>
      <w:r>
        <w:t>Carucci</w:t>
      </w:r>
      <w:proofErr w:type="spellEnd"/>
      <w:r w:rsidR="000F2D57">
        <w:t xml:space="preserve"> argues that the widespread </w:t>
      </w:r>
      <w:r w:rsidR="00D23E96">
        <w:t xml:space="preserve">use of Medea in </w:t>
      </w:r>
      <w:r w:rsidR="004B71D4">
        <w:t xml:space="preserve">provincial </w:t>
      </w:r>
      <w:r w:rsidR="00D23E96">
        <w:t>Roman houses sh</w:t>
      </w:r>
      <w:r w:rsidR="00B22CA4">
        <w:t>ows</w:t>
      </w:r>
      <w:r w:rsidR="00D23E96">
        <w:t xml:space="preserve"> how </w:t>
      </w:r>
      <w:r w:rsidR="00AD6B43">
        <w:t xml:space="preserve">the </w:t>
      </w:r>
      <w:r w:rsidR="009E3334">
        <w:t xml:space="preserve">Imperial culture of the Roman ruling elite </w:t>
      </w:r>
      <w:r w:rsidR="00AD6B43">
        <w:t>was taken up to demonstrate a household’</w:t>
      </w:r>
      <w:r w:rsidR="004B71D4">
        <w:t>s</w:t>
      </w:r>
      <w:r w:rsidR="00AD6B43">
        <w:t xml:space="preserve"> </w:t>
      </w:r>
      <w:proofErr w:type="spellStart"/>
      <w:r w:rsidR="00AD6B43">
        <w:rPr>
          <w:i/>
          <w:iCs/>
        </w:rPr>
        <w:t>Romanita</w:t>
      </w:r>
      <w:r w:rsidR="000020D1">
        <w:rPr>
          <w:i/>
          <w:iCs/>
        </w:rPr>
        <w:t>s</w:t>
      </w:r>
      <w:proofErr w:type="spellEnd"/>
      <w:r w:rsidR="008F249F">
        <w:t xml:space="preserve"> </w:t>
      </w:r>
      <w:r w:rsidR="00DA7833">
        <w:t xml:space="preserve">at a time when the </w:t>
      </w:r>
      <w:r w:rsidR="008F249F">
        <w:rPr>
          <w:bCs/>
        </w:rPr>
        <w:t xml:space="preserve">idealised Augustan </w:t>
      </w:r>
      <w:r w:rsidR="00B22CA4">
        <w:rPr>
          <w:bCs/>
        </w:rPr>
        <w:t>I</w:t>
      </w:r>
      <w:r w:rsidR="008F249F">
        <w:rPr>
          <w:bCs/>
        </w:rPr>
        <w:t xml:space="preserve">mperial family </w:t>
      </w:r>
      <w:r w:rsidR="00DA7833">
        <w:rPr>
          <w:bCs/>
        </w:rPr>
        <w:t>was increasingly</w:t>
      </w:r>
      <w:r w:rsidR="008F249F">
        <w:rPr>
          <w:bCs/>
        </w:rPr>
        <w:t xml:space="preserve"> visible as </w:t>
      </w:r>
      <w:r w:rsidR="002E7AF9">
        <w:rPr>
          <w:bCs/>
        </w:rPr>
        <w:t xml:space="preserve">the primary </w:t>
      </w:r>
      <w:proofErr w:type="spellStart"/>
      <w:r w:rsidR="008F249F">
        <w:rPr>
          <w:bCs/>
        </w:rPr>
        <w:t>exampl</w:t>
      </w:r>
      <w:r w:rsidR="002E7AF9">
        <w:rPr>
          <w:bCs/>
        </w:rPr>
        <w:t>ar</w:t>
      </w:r>
      <w:proofErr w:type="spellEnd"/>
      <w:r w:rsidR="008F249F">
        <w:rPr>
          <w:bCs/>
        </w:rPr>
        <w:t xml:space="preserve"> of </w:t>
      </w:r>
      <w:r w:rsidR="00DA7833">
        <w:rPr>
          <w:bCs/>
        </w:rPr>
        <w:t xml:space="preserve">domestic </w:t>
      </w:r>
      <w:proofErr w:type="spellStart"/>
      <w:r w:rsidR="008F249F">
        <w:rPr>
          <w:bCs/>
          <w:i/>
          <w:iCs/>
        </w:rPr>
        <w:t>concordia</w:t>
      </w:r>
      <w:r w:rsidR="008F249F">
        <w:rPr>
          <w:bCs/>
          <w:i/>
          <w:iCs/>
        </w:rPr>
        <w:softHyphen/>
      </w:r>
      <w:proofErr w:type="spellEnd"/>
      <w:r w:rsidR="008F249F">
        <w:rPr>
          <w:bCs/>
          <w:i/>
          <w:iCs/>
        </w:rPr>
        <w:t xml:space="preserve"> </w:t>
      </w:r>
      <w:r w:rsidR="008F249F" w:rsidRPr="009325F6">
        <w:rPr>
          <w:bCs/>
        </w:rPr>
        <w:t>in statuary and on monuments such as the</w:t>
      </w:r>
      <w:r w:rsidR="008F249F">
        <w:rPr>
          <w:bCs/>
          <w:i/>
          <w:iCs/>
        </w:rPr>
        <w:t xml:space="preserve"> Ara </w:t>
      </w:r>
      <w:proofErr w:type="spellStart"/>
      <w:r w:rsidR="008F249F">
        <w:rPr>
          <w:bCs/>
          <w:i/>
          <w:iCs/>
        </w:rPr>
        <w:t>Pacis</w:t>
      </w:r>
      <w:proofErr w:type="spellEnd"/>
      <w:r w:rsidR="00494A02">
        <w:t>.</w:t>
      </w:r>
      <w:r w:rsidR="00494A02">
        <w:rPr>
          <w:rStyle w:val="FootnoteReference"/>
        </w:rPr>
        <w:footnoteReference w:id="10"/>
      </w:r>
      <w:r w:rsidR="00D913E8">
        <w:t xml:space="preserve"> </w:t>
      </w:r>
      <w:proofErr w:type="spellStart"/>
      <w:r w:rsidR="00D913E8">
        <w:t>Carucci</w:t>
      </w:r>
      <w:proofErr w:type="spellEnd"/>
      <w:r w:rsidR="00D913E8">
        <w:t xml:space="preserve"> sees her also</w:t>
      </w:r>
      <w:r w:rsidR="008A4C04">
        <w:t xml:space="preserve"> </w:t>
      </w:r>
      <w:r w:rsidR="00C24187">
        <w:t>function</w:t>
      </w:r>
      <w:r w:rsidR="00D913E8">
        <w:t>ing</w:t>
      </w:r>
      <w:r w:rsidR="00D3025A">
        <w:t xml:space="preserve"> as </w:t>
      </w:r>
      <w:r w:rsidR="00C62E25">
        <w:t xml:space="preserve">a vehicle to express male anxieties about </w:t>
      </w:r>
      <w:r w:rsidR="00F345C0">
        <w:t>the dangers of women an</w:t>
      </w:r>
      <w:r w:rsidR="00DB546C">
        <w:t xml:space="preserve">d </w:t>
      </w:r>
      <w:r w:rsidR="00F345C0">
        <w:t>dou</w:t>
      </w:r>
      <w:r w:rsidR="005344F6">
        <w:t>b</w:t>
      </w:r>
      <w:r w:rsidR="00DB546C">
        <w:t>ts concerning their own masculinity</w:t>
      </w:r>
      <w:r w:rsidR="00C95563">
        <w:t xml:space="preserve"> </w:t>
      </w:r>
      <w:r w:rsidR="0061786E">
        <w:t>and ability to govern their domestic world</w:t>
      </w:r>
      <w:r w:rsidR="004408E1">
        <w:t xml:space="preserve">, as </w:t>
      </w:r>
      <w:r w:rsidR="00C95563">
        <w:t>exemplified by the inactive tutor</w:t>
      </w:r>
      <w:r w:rsidR="004408E1">
        <w:t>.</w:t>
      </w:r>
      <w:r w:rsidR="005E78EC">
        <w:rPr>
          <w:rStyle w:val="FootnoteReference"/>
        </w:rPr>
        <w:footnoteReference w:id="11"/>
      </w:r>
      <w:r w:rsidR="006D1B5C">
        <w:t xml:space="preserve"> </w:t>
      </w:r>
      <w:r w:rsidR="0086149E">
        <w:t>Her concentration is</w:t>
      </w:r>
      <w:r w:rsidR="00EC490B">
        <w:t xml:space="preserve"> on the representation of Medea, </w:t>
      </w:r>
      <w:r w:rsidR="003C2E0B">
        <w:t xml:space="preserve">her </w:t>
      </w:r>
      <w:r w:rsidR="00EC490B">
        <w:t>reading</w:t>
      </w:r>
      <w:r w:rsidR="003C2E0B">
        <w:t xml:space="preserve"> of</w:t>
      </w:r>
      <w:r w:rsidR="00EC490B">
        <w:t xml:space="preserve"> the Paris picture</w:t>
      </w:r>
      <w:r w:rsidR="003C2E0B">
        <w:t xml:space="preserve"> is given,</w:t>
      </w:r>
      <w:r w:rsidR="00EC490B">
        <w:t xml:space="preserve"> in passing, as ‘the story of Helen’</w:t>
      </w:r>
      <w:r w:rsidR="003C2E0B">
        <w:t>.</w:t>
      </w:r>
      <w:r w:rsidR="003C2E0B">
        <w:rPr>
          <w:rStyle w:val="FootnoteReference"/>
        </w:rPr>
        <w:footnoteReference w:id="12"/>
      </w:r>
    </w:p>
    <w:p w14:paraId="61A388D3" w14:textId="6772B366" w:rsidR="005D6515" w:rsidRDefault="005D6515" w:rsidP="005203A9">
      <w:pPr>
        <w:shd w:val="clear" w:color="auto" w:fill="FFFFFF"/>
        <w:spacing w:before="240" w:after="0" w:line="480" w:lineRule="auto"/>
        <w:textAlignment w:val="baseline"/>
        <w:rPr>
          <w:bCs/>
        </w:rPr>
      </w:pPr>
      <w:r>
        <w:t xml:space="preserve">Mairead McAuley tells us </w:t>
      </w:r>
      <w:r w:rsidR="007C2FD7">
        <w:t>that audiences</w:t>
      </w:r>
      <w:r w:rsidR="00D96266">
        <w:t xml:space="preserve"> of</w:t>
      </w:r>
      <w:r>
        <w:t xml:space="preserve"> depictions of Phaedra </w:t>
      </w:r>
      <w:r w:rsidR="00D96266">
        <w:t>would see them in the light</w:t>
      </w:r>
      <w:r w:rsidR="00156A3E">
        <w:t xml:space="preserve"> of Augustan laws </w:t>
      </w:r>
      <w:r w:rsidR="00D27AC8">
        <w:t>making marriage, and therefore se</w:t>
      </w:r>
      <w:r w:rsidR="002015E3">
        <w:t>xual alliances</w:t>
      </w:r>
      <w:r w:rsidR="007C2FD7">
        <w:t>,</w:t>
      </w:r>
      <w:r w:rsidR="002015E3">
        <w:t xml:space="preserve"> illegal and incestuous betw</w:t>
      </w:r>
      <w:r w:rsidR="002B6CFE">
        <w:t>ee</w:t>
      </w:r>
      <w:r w:rsidR="002015E3">
        <w:t>n step relations</w:t>
      </w:r>
      <w:r w:rsidR="00D041D1">
        <w:t>.</w:t>
      </w:r>
      <w:r w:rsidR="00A76AF3">
        <w:rPr>
          <w:rStyle w:val="FootnoteReference"/>
        </w:rPr>
        <w:footnoteReference w:id="13"/>
      </w:r>
      <w:r w:rsidR="00D041D1">
        <w:t xml:space="preserve"> </w:t>
      </w:r>
      <w:r w:rsidR="002853A1">
        <w:t>These</w:t>
      </w:r>
      <w:r w:rsidR="002853A1" w:rsidRPr="002853A1">
        <w:rPr>
          <w:i/>
          <w:iCs/>
        </w:rPr>
        <w:t xml:space="preserve"> </w:t>
      </w:r>
      <w:proofErr w:type="spellStart"/>
      <w:r w:rsidR="002853A1" w:rsidRPr="002853A1">
        <w:rPr>
          <w:i/>
          <w:iCs/>
        </w:rPr>
        <w:t>noverca</w:t>
      </w:r>
      <w:proofErr w:type="spellEnd"/>
      <w:r w:rsidR="002853A1">
        <w:t xml:space="preserve"> </w:t>
      </w:r>
      <w:r w:rsidR="00B51509">
        <w:t>were ‘treacherous intruders’</w:t>
      </w:r>
      <w:r w:rsidR="000560DA">
        <w:t xml:space="preserve"> and</w:t>
      </w:r>
      <w:r w:rsidR="00D041D1">
        <w:t xml:space="preserve"> excessively prone to a feminine loss of self-control</w:t>
      </w:r>
      <w:r w:rsidR="00BA5AD3">
        <w:t xml:space="preserve">: </w:t>
      </w:r>
      <w:r w:rsidR="00AA5452">
        <w:t xml:space="preserve"> </w:t>
      </w:r>
      <w:r w:rsidR="00BA5AD3">
        <w:t>h</w:t>
      </w:r>
      <w:r w:rsidR="005C790A">
        <w:t>istorians at the time</w:t>
      </w:r>
      <w:r w:rsidR="00790839">
        <w:t xml:space="preserve"> </w:t>
      </w:r>
      <w:r w:rsidR="00692253">
        <w:t>used imperial mothers and stepmothers to</w:t>
      </w:r>
      <w:r w:rsidR="0084016E">
        <w:t xml:space="preserve"> criticize the principate</w:t>
      </w:r>
      <w:r w:rsidR="00D7203F">
        <w:t>.</w:t>
      </w:r>
      <w:r w:rsidR="009F013C">
        <w:rPr>
          <w:rStyle w:val="FootnoteReference"/>
        </w:rPr>
        <w:footnoteReference w:id="14"/>
      </w:r>
      <w:r w:rsidR="00692253">
        <w:t xml:space="preserve"> </w:t>
      </w:r>
    </w:p>
    <w:p w14:paraId="5051A6D6" w14:textId="77777777" w:rsidR="00F83DB5" w:rsidRDefault="00F83DB5" w:rsidP="005203A9">
      <w:pPr>
        <w:spacing w:after="0" w:line="480" w:lineRule="auto"/>
        <w:rPr>
          <w:bCs/>
        </w:rPr>
      </w:pPr>
    </w:p>
    <w:p w14:paraId="3253D119" w14:textId="2360CDAA" w:rsidR="00D31B5E" w:rsidRPr="002558F1" w:rsidRDefault="008D54DE" w:rsidP="005203A9">
      <w:pPr>
        <w:spacing w:after="0" w:line="480" w:lineRule="auto"/>
        <w:rPr>
          <w:b/>
        </w:rPr>
      </w:pPr>
      <w:r>
        <w:rPr>
          <w:bCs/>
        </w:rPr>
        <w:t xml:space="preserve">Caroline </w:t>
      </w:r>
      <w:proofErr w:type="spellStart"/>
      <w:r w:rsidR="00D31B5E">
        <w:rPr>
          <w:bCs/>
        </w:rPr>
        <w:t>Vo</w:t>
      </w:r>
      <w:r>
        <w:rPr>
          <w:bCs/>
        </w:rPr>
        <w:t>u</w:t>
      </w:r>
      <w:r w:rsidR="00D31B5E">
        <w:rPr>
          <w:bCs/>
        </w:rPr>
        <w:t>t</w:t>
      </w:r>
      <w:proofErr w:type="spellEnd"/>
      <w:r w:rsidR="00CD11E4">
        <w:rPr>
          <w:bCs/>
        </w:rPr>
        <w:t xml:space="preserve">, like </w:t>
      </w:r>
      <w:proofErr w:type="spellStart"/>
      <w:r w:rsidR="00CD11E4">
        <w:rPr>
          <w:bCs/>
        </w:rPr>
        <w:t>Carucci</w:t>
      </w:r>
      <w:proofErr w:type="spellEnd"/>
      <w:r w:rsidR="00CD11E4">
        <w:rPr>
          <w:bCs/>
        </w:rPr>
        <w:t>,</w:t>
      </w:r>
      <w:r>
        <w:rPr>
          <w:bCs/>
        </w:rPr>
        <w:t xml:space="preserve"> concentrates on Medea, highlighting </w:t>
      </w:r>
      <w:r w:rsidR="00245611">
        <w:rPr>
          <w:bCs/>
        </w:rPr>
        <w:t xml:space="preserve">the popularity of </w:t>
      </w:r>
      <w:r w:rsidR="004D6F34">
        <w:rPr>
          <w:bCs/>
        </w:rPr>
        <w:t xml:space="preserve">Medea’s moment of contemplation in </w:t>
      </w:r>
      <w:r w:rsidR="009D0900">
        <w:rPr>
          <w:bCs/>
        </w:rPr>
        <w:t>the Roman domestic setting and i</w:t>
      </w:r>
      <w:r w:rsidR="00B546E5">
        <w:rPr>
          <w:bCs/>
        </w:rPr>
        <w:t>t</w:t>
      </w:r>
      <w:r w:rsidR="009D0900">
        <w:rPr>
          <w:bCs/>
        </w:rPr>
        <w:t>s</w:t>
      </w:r>
      <w:r w:rsidR="00245611">
        <w:rPr>
          <w:bCs/>
        </w:rPr>
        <w:t xml:space="preserve"> imperial associations</w:t>
      </w:r>
      <w:r w:rsidR="009D0900">
        <w:rPr>
          <w:bCs/>
        </w:rPr>
        <w:t xml:space="preserve"> via </w:t>
      </w:r>
      <w:proofErr w:type="spellStart"/>
      <w:r w:rsidR="0097748C">
        <w:rPr>
          <w:bCs/>
        </w:rPr>
        <w:lastRenderedPageBreak/>
        <w:t>Timo</w:t>
      </w:r>
      <w:r w:rsidR="00220226">
        <w:rPr>
          <w:bCs/>
        </w:rPr>
        <w:t>machus</w:t>
      </w:r>
      <w:proofErr w:type="spellEnd"/>
      <w:r w:rsidR="00220226">
        <w:rPr>
          <w:bCs/>
        </w:rPr>
        <w:t xml:space="preserve"> of Byzantium, a painter whose depictions of Medea and Ajax </w:t>
      </w:r>
      <w:r w:rsidR="003B28FF">
        <w:rPr>
          <w:bCs/>
        </w:rPr>
        <w:t xml:space="preserve">were purchased at great expense </w:t>
      </w:r>
      <w:r w:rsidR="00310106">
        <w:rPr>
          <w:bCs/>
        </w:rPr>
        <w:t>by Julius Cae</w:t>
      </w:r>
      <w:r w:rsidR="0066628D">
        <w:rPr>
          <w:bCs/>
        </w:rPr>
        <w:t>sar</w:t>
      </w:r>
      <w:r w:rsidR="00310106">
        <w:rPr>
          <w:bCs/>
        </w:rPr>
        <w:t xml:space="preserve"> and </w:t>
      </w:r>
      <w:r w:rsidR="00D41B88">
        <w:rPr>
          <w:bCs/>
        </w:rPr>
        <w:t>dedicated</w:t>
      </w:r>
      <w:r w:rsidR="0062076B">
        <w:rPr>
          <w:bCs/>
        </w:rPr>
        <w:t xml:space="preserve"> in the Temple of Venus Genetrix in</w:t>
      </w:r>
      <w:r w:rsidR="0066628D">
        <w:rPr>
          <w:bCs/>
        </w:rPr>
        <w:t xml:space="preserve"> R</w:t>
      </w:r>
      <w:r w:rsidR="0062076B">
        <w:rPr>
          <w:bCs/>
        </w:rPr>
        <w:t>ome</w:t>
      </w:r>
      <w:r w:rsidR="00B546E5">
        <w:rPr>
          <w:bCs/>
        </w:rPr>
        <w:t>.</w:t>
      </w:r>
      <w:r w:rsidR="001F3091">
        <w:rPr>
          <w:rStyle w:val="FootnoteReference"/>
          <w:bCs/>
        </w:rPr>
        <w:footnoteReference w:id="15"/>
      </w:r>
      <w:r w:rsidR="00245611">
        <w:rPr>
          <w:bCs/>
        </w:rPr>
        <w:t xml:space="preserve"> </w:t>
      </w:r>
      <w:r w:rsidR="004D127B">
        <w:rPr>
          <w:bCs/>
        </w:rPr>
        <w:t xml:space="preserve">This </w:t>
      </w:r>
      <w:r w:rsidR="00CA5B18">
        <w:rPr>
          <w:bCs/>
        </w:rPr>
        <w:t>temple</w:t>
      </w:r>
      <w:r w:rsidR="00CF3756">
        <w:rPr>
          <w:bCs/>
        </w:rPr>
        <w:t xml:space="preserve"> </w:t>
      </w:r>
      <w:r w:rsidR="009303C7">
        <w:rPr>
          <w:bCs/>
        </w:rPr>
        <w:t xml:space="preserve">represented </w:t>
      </w:r>
      <w:r w:rsidR="0020370D">
        <w:rPr>
          <w:bCs/>
        </w:rPr>
        <w:t xml:space="preserve">the </w:t>
      </w:r>
      <w:r w:rsidR="00B46E63">
        <w:rPr>
          <w:bCs/>
        </w:rPr>
        <w:t>I</w:t>
      </w:r>
      <w:r w:rsidR="00F452D2">
        <w:rPr>
          <w:bCs/>
        </w:rPr>
        <w:t xml:space="preserve">mperial claim to divine ancestry through </w:t>
      </w:r>
      <w:r w:rsidR="004A3681">
        <w:rPr>
          <w:bCs/>
        </w:rPr>
        <w:t xml:space="preserve">Venus and dynastic expectations </w:t>
      </w:r>
      <w:r w:rsidR="00A043EB">
        <w:rPr>
          <w:bCs/>
        </w:rPr>
        <w:t xml:space="preserve">through Augustus </w:t>
      </w:r>
      <w:r w:rsidR="00C077C8">
        <w:rPr>
          <w:bCs/>
        </w:rPr>
        <w:t xml:space="preserve">and his </w:t>
      </w:r>
      <w:proofErr w:type="spellStart"/>
      <w:r w:rsidR="00C077C8">
        <w:rPr>
          <w:bCs/>
        </w:rPr>
        <w:t>descendents</w:t>
      </w:r>
      <w:proofErr w:type="spellEnd"/>
      <w:r w:rsidR="0005259A">
        <w:rPr>
          <w:bCs/>
        </w:rPr>
        <w:t>.</w:t>
      </w:r>
      <w:r w:rsidR="00735E3B">
        <w:rPr>
          <w:rStyle w:val="FootnoteReference"/>
          <w:bCs/>
        </w:rPr>
        <w:footnoteReference w:id="16"/>
      </w:r>
      <w:r w:rsidR="0005259A">
        <w:rPr>
          <w:bCs/>
        </w:rPr>
        <w:t xml:space="preserve"> </w:t>
      </w:r>
      <w:proofErr w:type="spellStart"/>
      <w:r w:rsidR="00C946B3">
        <w:rPr>
          <w:bCs/>
        </w:rPr>
        <w:t>Vout</w:t>
      </w:r>
      <w:proofErr w:type="spellEnd"/>
      <w:r w:rsidR="00C946B3">
        <w:rPr>
          <w:bCs/>
        </w:rPr>
        <w:t xml:space="preserve"> also points out </w:t>
      </w:r>
      <w:r w:rsidR="005B5EFD">
        <w:rPr>
          <w:bCs/>
        </w:rPr>
        <w:t>that greater political relevance is appropriate to depictions of Medea</w:t>
      </w:r>
      <w:r w:rsidR="00152AA5">
        <w:rPr>
          <w:bCs/>
        </w:rPr>
        <w:t xml:space="preserve"> with her childre</w:t>
      </w:r>
      <w:r w:rsidR="007C30CF">
        <w:rPr>
          <w:bCs/>
        </w:rPr>
        <w:t>n, as these</w:t>
      </w:r>
      <w:r w:rsidR="00490C03">
        <w:rPr>
          <w:bCs/>
        </w:rPr>
        <w:t xml:space="preserve"> could evoke impressions of </w:t>
      </w:r>
      <w:r w:rsidR="00241EFD">
        <w:rPr>
          <w:bCs/>
        </w:rPr>
        <w:t xml:space="preserve">Cupid, the </w:t>
      </w:r>
      <w:proofErr w:type="spellStart"/>
      <w:r w:rsidR="00241EFD">
        <w:rPr>
          <w:bCs/>
        </w:rPr>
        <w:t>Primap</w:t>
      </w:r>
      <w:r w:rsidR="002F5C41">
        <w:rPr>
          <w:bCs/>
        </w:rPr>
        <w:t>o</w:t>
      </w:r>
      <w:r w:rsidR="00241EFD">
        <w:rPr>
          <w:bCs/>
        </w:rPr>
        <w:t>rt</w:t>
      </w:r>
      <w:r w:rsidR="00481835">
        <w:rPr>
          <w:bCs/>
        </w:rPr>
        <w:t>a</w:t>
      </w:r>
      <w:proofErr w:type="spellEnd"/>
      <w:r w:rsidR="00241EFD">
        <w:rPr>
          <w:bCs/>
        </w:rPr>
        <w:t xml:space="preserve"> </w:t>
      </w:r>
      <w:r w:rsidR="00241EFD">
        <w:rPr>
          <w:bCs/>
          <w:i/>
          <w:iCs/>
        </w:rPr>
        <w:t>Augustus</w:t>
      </w:r>
      <w:r w:rsidR="00241EFD">
        <w:rPr>
          <w:bCs/>
        </w:rPr>
        <w:t xml:space="preserve"> </w:t>
      </w:r>
      <w:r w:rsidR="006741C4">
        <w:rPr>
          <w:bCs/>
        </w:rPr>
        <w:t xml:space="preserve">is </w:t>
      </w:r>
      <w:r w:rsidR="008519E3">
        <w:rPr>
          <w:bCs/>
        </w:rPr>
        <w:t xml:space="preserve">attended by Cupid and </w:t>
      </w:r>
      <w:r w:rsidR="00481835">
        <w:rPr>
          <w:bCs/>
        </w:rPr>
        <w:t xml:space="preserve">two statues of </w:t>
      </w:r>
      <w:r w:rsidR="008519E3">
        <w:rPr>
          <w:bCs/>
        </w:rPr>
        <w:t xml:space="preserve">his great grandson </w:t>
      </w:r>
      <w:r w:rsidR="00481835">
        <w:rPr>
          <w:bCs/>
        </w:rPr>
        <w:t xml:space="preserve">depict </w:t>
      </w:r>
      <w:r w:rsidR="004B65E4">
        <w:rPr>
          <w:bCs/>
        </w:rPr>
        <w:t>him as Cupid: one</w:t>
      </w:r>
      <w:r w:rsidR="00665766">
        <w:rPr>
          <w:bCs/>
        </w:rPr>
        <w:t>,</w:t>
      </w:r>
      <w:r w:rsidR="004B65E4">
        <w:rPr>
          <w:bCs/>
        </w:rPr>
        <w:t xml:space="preserve"> again</w:t>
      </w:r>
      <w:r w:rsidR="00665766">
        <w:rPr>
          <w:bCs/>
        </w:rPr>
        <w:t>,</w:t>
      </w:r>
      <w:r w:rsidR="004B65E4">
        <w:rPr>
          <w:bCs/>
        </w:rPr>
        <w:t xml:space="preserve"> in the Temple of Venus Genetrix and </w:t>
      </w:r>
      <w:r w:rsidR="00665766">
        <w:rPr>
          <w:bCs/>
        </w:rPr>
        <w:t>another</w:t>
      </w:r>
      <w:r w:rsidR="004B65E4">
        <w:rPr>
          <w:bCs/>
        </w:rPr>
        <w:t xml:space="preserve"> in the </w:t>
      </w:r>
      <w:r w:rsidR="004B65E4">
        <w:rPr>
          <w:bCs/>
          <w:i/>
          <w:iCs/>
        </w:rPr>
        <w:t>princeps</w:t>
      </w:r>
      <w:r w:rsidR="002558F1">
        <w:rPr>
          <w:bCs/>
        </w:rPr>
        <w:t xml:space="preserve"> own </w:t>
      </w:r>
      <w:r w:rsidR="002558F1">
        <w:rPr>
          <w:bCs/>
          <w:i/>
          <w:iCs/>
        </w:rPr>
        <w:t>cubiculum</w:t>
      </w:r>
      <w:r w:rsidR="004E2F69">
        <w:rPr>
          <w:bCs/>
        </w:rPr>
        <w:t>.</w:t>
      </w:r>
      <w:r w:rsidR="007C30CF">
        <w:rPr>
          <w:rStyle w:val="FootnoteReference"/>
          <w:bCs/>
        </w:rPr>
        <w:footnoteReference w:id="17"/>
      </w:r>
      <w:r w:rsidR="002F5C41">
        <w:rPr>
          <w:bCs/>
        </w:rPr>
        <w:t xml:space="preserve"> </w:t>
      </w:r>
      <w:r w:rsidR="00844658">
        <w:rPr>
          <w:bCs/>
        </w:rPr>
        <w:t>So, t</w:t>
      </w:r>
      <w:r w:rsidR="00101825">
        <w:rPr>
          <w:bCs/>
        </w:rPr>
        <w:t>he</w:t>
      </w:r>
      <w:r w:rsidR="0054077E">
        <w:rPr>
          <w:bCs/>
        </w:rPr>
        <w:t xml:space="preserve"> </w:t>
      </w:r>
      <w:r w:rsidR="009E07F7">
        <w:rPr>
          <w:bCs/>
        </w:rPr>
        <w:t xml:space="preserve">depiction of Medea in the House of Jason </w:t>
      </w:r>
      <w:r w:rsidR="0054077E">
        <w:rPr>
          <w:bCs/>
        </w:rPr>
        <w:t xml:space="preserve">is </w:t>
      </w:r>
      <w:r w:rsidR="00A76ED3">
        <w:rPr>
          <w:bCs/>
        </w:rPr>
        <w:t>‘the starting point for interrogating the authority of an evolving Principate</w:t>
      </w:r>
      <w:r w:rsidR="0084548D">
        <w:rPr>
          <w:bCs/>
        </w:rPr>
        <w:t>’.</w:t>
      </w:r>
    </w:p>
    <w:p w14:paraId="109058E0" w14:textId="06806DAB" w:rsidR="00A75028" w:rsidRDefault="00A75028" w:rsidP="005203A9">
      <w:pPr>
        <w:shd w:val="clear" w:color="auto" w:fill="FFFFFF"/>
        <w:spacing w:after="0" w:line="480" w:lineRule="auto"/>
        <w:textAlignment w:val="baseline"/>
        <w:rPr>
          <w:rStyle w:val="Strong"/>
          <w:b w:val="0"/>
          <w:bCs w:val="0"/>
        </w:rPr>
      </w:pPr>
    </w:p>
    <w:p w14:paraId="1651E15D" w14:textId="23819476" w:rsidR="00D100B6" w:rsidRDefault="00A14334" w:rsidP="005203A9">
      <w:pPr>
        <w:shd w:val="clear" w:color="auto" w:fill="FFFFFF"/>
        <w:spacing w:after="0" w:line="480" w:lineRule="auto"/>
        <w:textAlignment w:val="baseline"/>
        <w:rPr>
          <w:rFonts w:eastAsia="Times New Roman"/>
          <w:color w:val="000000"/>
        </w:rPr>
      </w:pPr>
      <w:r w:rsidRPr="00A14334">
        <w:rPr>
          <w:rFonts w:eastAsia="Times New Roman"/>
          <w:color w:val="000000"/>
        </w:rPr>
        <w:t>The same figures of Paris, Helen, and Cupid</w:t>
      </w:r>
      <w:r w:rsidR="00061415">
        <w:rPr>
          <w:rFonts w:eastAsia="Times New Roman"/>
          <w:color w:val="000000"/>
        </w:rPr>
        <w:t>,</w:t>
      </w:r>
      <w:r w:rsidRPr="00A14334">
        <w:rPr>
          <w:rFonts w:eastAsia="Times New Roman"/>
          <w:color w:val="000000"/>
        </w:rPr>
        <w:t xml:space="preserve"> </w:t>
      </w:r>
      <w:r w:rsidR="00F872C1">
        <w:rPr>
          <w:rFonts w:eastAsia="Times New Roman"/>
          <w:color w:val="000000"/>
        </w:rPr>
        <w:t xml:space="preserve">on wall </w:t>
      </w:r>
      <w:r w:rsidR="00160AE3">
        <w:rPr>
          <w:rFonts w:eastAsia="Times New Roman"/>
          <w:color w:val="000000"/>
        </w:rPr>
        <w:t>‘c’</w:t>
      </w:r>
      <w:r w:rsidRPr="00A14334">
        <w:rPr>
          <w:rFonts w:eastAsia="Times New Roman"/>
          <w:color w:val="000000"/>
        </w:rPr>
        <w:t xml:space="preserve"> </w:t>
      </w:r>
      <w:r w:rsidR="00061415">
        <w:rPr>
          <w:rFonts w:eastAsia="Times New Roman"/>
          <w:color w:val="000000"/>
        </w:rPr>
        <w:t>of the House of Jason, a</w:t>
      </w:r>
      <w:r w:rsidRPr="00A14334">
        <w:rPr>
          <w:rFonts w:eastAsia="Times New Roman"/>
          <w:color w:val="000000"/>
        </w:rPr>
        <w:t xml:space="preserve">re </w:t>
      </w:r>
      <w:r w:rsidR="00160AE3">
        <w:rPr>
          <w:rFonts w:eastAsia="Times New Roman"/>
          <w:color w:val="000000"/>
        </w:rPr>
        <w:t xml:space="preserve">also </w:t>
      </w:r>
      <w:r w:rsidRPr="00A14334">
        <w:rPr>
          <w:rFonts w:eastAsia="Times New Roman"/>
          <w:color w:val="000000"/>
        </w:rPr>
        <w:t xml:space="preserve">on the wall of the larger </w:t>
      </w:r>
      <w:r w:rsidR="00160AE3">
        <w:rPr>
          <w:rFonts w:eastAsia="Times New Roman"/>
          <w:color w:val="000000"/>
        </w:rPr>
        <w:t xml:space="preserve">and grander </w:t>
      </w:r>
      <w:r w:rsidRPr="00A14334">
        <w:rPr>
          <w:rFonts w:eastAsia="Times New Roman"/>
          <w:color w:val="000000"/>
        </w:rPr>
        <w:t>House of Gilded Cupids</w:t>
      </w:r>
      <w:r w:rsidR="00061415">
        <w:rPr>
          <w:rFonts w:eastAsia="Times New Roman"/>
          <w:color w:val="000000"/>
        </w:rPr>
        <w:t>:</w:t>
      </w:r>
      <w:r w:rsidR="0052468A">
        <w:rPr>
          <w:rFonts w:eastAsia="Times New Roman"/>
          <w:color w:val="000000"/>
        </w:rPr>
        <w:t xml:space="preserve"> </w:t>
      </w:r>
      <w:r w:rsidRPr="00A14334">
        <w:rPr>
          <w:rFonts w:eastAsia="Times New Roman"/>
          <w:color w:val="000000"/>
        </w:rPr>
        <w:t xml:space="preserve">so it is a stock image, </w:t>
      </w:r>
      <w:r w:rsidR="008C7969">
        <w:rPr>
          <w:rFonts w:eastAsia="Times New Roman"/>
          <w:color w:val="000000"/>
        </w:rPr>
        <w:t>although in the latter</w:t>
      </w:r>
      <w:r w:rsidR="00F0196E">
        <w:rPr>
          <w:rFonts w:eastAsia="Times New Roman"/>
          <w:color w:val="000000"/>
        </w:rPr>
        <w:t xml:space="preserve"> case</w:t>
      </w:r>
      <w:r w:rsidR="008C7969">
        <w:rPr>
          <w:rFonts w:eastAsia="Times New Roman"/>
          <w:color w:val="000000"/>
        </w:rPr>
        <w:t xml:space="preserve"> it is </w:t>
      </w:r>
      <w:r w:rsidR="001A56B2">
        <w:rPr>
          <w:rFonts w:eastAsia="Times New Roman"/>
          <w:color w:val="000000"/>
        </w:rPr>
        <w:t xml:space="preserve">on the wall of the </w:t>
      </w:r>
      <w:r w:rsidR="00A51283">
        <w:rPr>
          <w:rFonts w:eastAsia="Times New Roman"/>
          <w:color w:val="000000"/>
        </w:rPr>
        <w:t>tablinum</w:t>
      </w:r>
      <w:r w:rsidR="004A66A9">
        <w:rPr>
          <w:rFonts w:eastAsia="Times New Roman"/>
          <w:color w:val="000000"/>
        </w:rPr>
        <w:t xml:space="preserve"> and</w:t>
      </w:r>
      <w:r w:rsidR="001A56B2">
        <w:rPr>
          <w:rFonts w:eastAsia="Times New Roman"/>
          <w:color w:val="000000"/>
        </w:rPr>
        <w:t xml:space="preserve"> visib</w:t>
      </w:r>
      <w:r w:rsidR="00A51283">
        <w:rPr>
          <w:rFonts w:eastAsia="Times New Roman"/>
          <w:color w:val="000000"/>
        </w:rPr>
        <w:t xml:space="preserve">le </w:t>
      </w:r>
      <w:r w:rsidR="00D9407E">
        <w:rPr>
          <w:rFonts w:eastAsia="Times New Roman"/>
          <w:color w:val="000000"/>
        </w:rPr>
        <w:t xml:space="preserve">more publicly </w:t>
      </w:r>
      <w:r w:rsidR="00A51283">
        <w:rPr>
          <w:rFonts w:eastAsia="Times New Roman"/>
          <w:color w:val="000000"/>
        </w:rPr>
        <w:t xml:space="preserve">across the atrium </w:t>
      </w:r>
      <w:r w:rsidR="001A56B2">
        <w:rPr>
          <w:rFonts w:eastAsia="Times New Roman"/>
          <w:color w:val="000000"/>
        </w:rPr>
        <w:t>from the front entrance</w:t>
      </w:r>
      <w:r w:rsidR="00A51283">
        <w:rPr>
          <w:rFonts w:eastAsia="Times New Roman"/>
          <w:color w:val="000000"/>
        </w:rPr>
        <w:t>.</w:t>
      </w:r>
      <w:r w:rsidR="00061415">
        <w:rPr>
          <w:rStyle w:val="FootnoteReference"/>
          <w:rFonts w:eastAsia="Times New Roman"/>
          <w:color w:val="000000"/>
        </w:rPr>
        <w:footnoteReference w:id="18"/>
      </w:r>
      <w:r w:rsidR="007E054F">
        <w:rPr>
          <w:rFonts w:eastAsia="Times New Roman"/>
          <w:color w:val="000000"/>
        </w:rPr>
        <w:t xml:space="preserve"> In the House of Jason</w:t>
      </w:r>
      <w:r w:rsidR="00CB7E20">
        <w:rPr>
          <w:rFonts w:eastAsia="Times New Roman"/>
          <w:color w:val="000000"/>
        </w:rPr>
        <w:t>,</w:t>
      </w:r>
      <w:r w:rsidR="007E054F">
        <w:rPr>
          <w:rFonts w:eastAsia="Times New Roman"/>
          <w:color w:val="000000"/>
        </w:rPr>
        <w:t xml:space="preserve"> </w:t>
      </w:r>
      <w:r w:rsidR="00D9407E">
        <w:rPr>
          <w:rFonts w:eastAsia="Times New Roman"/>
          <w:color w:val="000000"/>
        </w:rPr>
        <w:t>Paris</w:t>
      </w:r>
      <w:r w:rsidR="00704F63">
        <w:rPr>
          <w:rFonts w:eastAsia="Times New Roman"/>
          <w:color w:val="000000"/>
        </w:rPr>
        <w:t xml:space="preserve"> is in a more private room </w:t>
      </w:r>
      <w:r w:rsidR="00C20DFD">
        <w:rPr>
          <w:rFonts w:eastAsia="Times New Roman"/>
          <w:color w:val="000000"/>
        </w:rPr>
        <w:t>th</w:t>
      </w:r>
      <w:r w:rsidR="002771A8">
        <w:rPr>
          <w:rFonts w:eastAsia="Times New Roman"/>
          <w:color w:val="000000"/>
        </w:rPr>
        <w:t>at</w:t>
      </w:r>
      <w:r w:rsidR="00D71E27">
        <w:rPr>
          <w:rFonts w:eastAsia="Times New Roman"/>
          <w:color w:val="000000"/>
        </w:rPr>
        <w:t xml:space="preserve"> </w:t>
      </w:r>
      <w:r w:rsidR="005F565D">
        <w:rPr>
          <w:rFonts w:eastAsia="Times New Roman"/>
          <w:color w:val="000000"/>
        </w:rPr>
        <w:t xml:space="preserve">is accessed from the main reception room ‘f’ through an intermediate </w:t>
      </w:r>
      <w:r w:rsidR="002771A8">
        <w:rPr>
          <w:rFonts w:eastAsia="Times New Roman"/>
          <w:color w:val="000000"/>
        </w:rPr>
        <w:t>r</w:t>
      </w:r>
      <w:r w:rsidR="005F565D">
        <w:rPr>
          <w:rFonts w:eastAsia="Times New Roman"/>
          <w:color w:val="000000"/>
        </w:rPr>
        <w:t>oom ‘d’</w:t>
      </w:r>
      <w:r w:rsidR="007E054F">
        <w:rPr>
          <w:rFonts w:eastAsia="Times New Roman"/>
          <w:color w:val="000000"/>
        </w:rPr>
        <w:t xml:space="preserve"> </w:t>
      </w:r>
      <w:r w:rsidR="002771A8">
        <w:rPr>
          <w:rFonts w:eastAsia="Times New Roman"/>
          <w:color w:val="000000"/>
        </w:rPr>
        <w:t>and</w:t>
      </w:r>
      <w:r w:rsidR="007E054F">
        <w:rPr>
          <w:rFonts w:eastAsia="Times New Roman"/>
          <w:color w:val="000000"/>
        </w:rPr>
        <w:t xml:space="preserve"> </w:t>
      </w:r>
      <w:r w:rsidR="000F5C9D">
        <w:rPr>
          <w:rFonts w:eastAsia="Times New Roman"/>
          <w:color w:val="000000"/>
        </w:rPr>
        <w:t>partially secreted</w:t>
      </w:r>
      <w:r w:rsidR="007E054F">
        <w:rPr>
          <w:rFonts w:eastAsia="Times New Roman"/>
          <w:color w:val="000000"/>
        </w:rPr>
        <w:t xml:space="preserve"> </w:t>
      </w:r>
      <w:r w:rsidR="007670B4">
        <w:rPr>
          <w:rFonts w:eastAsia="Times New Roman"/>
          <w:color w:val="000000"/>
        </w:rPr>
        <w:t>on the least accessible wall</w:t>
      </w:r>
      <w:r w:rsidR="000F5C9D">
        <w:rPr>
          <w:rFonts w:eastAsia="Times New Roman"/>
          <w:color w:val="000000"/>
        </w:rPr>
        <w:t>.</w:t>
      </w:r>
      <w:r w:rsidR="00CB7E20">
        <w:rPr>
          <w:rStyle w:val="FootnoteReference"/>
          <w:rFonts w:eastAsia="Times New Roman"/>
          <w:color w:val="000000"/>
        </w:rPr>
        <w:footnoteReference w:id="19"/>
      </w:r>
      <w:r w:rsidR="00045DE6">
        <w:rPr>
          <w:rFonts w:eastAsia="Times New Roman"/>
          <w:color w:val="000000"/>
        </w:rPr>
        <w:t xml:space="preserve"> </w:t>
      </w:r>
      <w:r w:rsidRPr="00A14334">
        <w:rPr>
          <w:rFonts w:eastAsia="Times New Roman"/>
          <w:color w:val="000000"/>
        </w:rPr>
        <w:t>On entering one would recognize Medea first on the opposite wall, then Phaedra to the left, and w</w:t>
      </w:r>
      <w:r w:rsidR="00482E83">
        <w:rPr>
          <w:rFonts w:eastAsia="Times New Roman"/>
          <w:color w:val="000000"/>
        </w:rPr>
        <w:t xml:space="preserve">ould have </w:t>
      </w:r>
      <w:r w:rsidR="0055151F">
        <w:rPr>
          <w:rFonts w:eastAsia="Times New Roman"/>
          <w:color w:val="000000"/>
        </w:rPr>
        <w:t>to turn</w:t>
      </w:r>
      <w:r w:rsidR="003E6C00">
        <w:rPr>
          <w:rFonts w:eastAsia="Times New Roman"/>
          <w:color w:val="000000"/>
        </w:rPr>
        <w:t>,</w:t>
      </w:r>
      <w:r w:rsidR="0055151F">
        <w:rPr>
          <w:rFonts w:eastAsia="Times New Roman"/>
          <w:color w:val="000000"/>
        </w:rPr>
        <w:t xml:space="preserve"> once</w:t>
      </w:r>
      <w:r w:rsidRPr="00A14334">
        <w:rPr>
          <w:rFonts w:eastAsia="Times New Roman"/>
          <w:color w:val="000000"/>
        </w:rPr>
        <w:t xml:space="preserve"> in the room</w:t>
      </w:r>
      <w:r w:rsidR="003E6C00">
        <w:rPr>
          <w:rFonts w:eastAsia="Times New Roman"/>
          <w:color w:val="000000"/>
        </w:rPr>
        <w:t>,</w:t>
      </w:r>
      <w:r w:rsidRPr="00A14334">
        <w:rPr>
          <w:rFonts w:eastAsia="Times New Roman"/>
          <w:color w:val="000000"/>
        </w:rPr>
        <w:t xml:space="preserve"> to see Paris and He</w:t>
      </w:r>
      <w:r w:rsidR="00656AAF">
        <w:rPr>
          <w:rFonts w:eastAsia="Times New Roman"/>
          <w:color w:val="000000"/>
        </w:rPr>
        <w:t>len</w:t>
      </w:r>
      <w:r w:rsidR="00743B9D">
        <w:rPr>
          <w:rFonts w:eastAsia="Times New Roman"/>
          <w:color w:val="000000"/>
        </w:rPr>
        <w:t>. Paris</w:t>
      </w:r>
      <w:r w:rsidR="003E6C00">
        <w:rPr>
          <w:rFonts w:eastAsia="Times New Roman"/>
          <w:color w:val="000000"/>
        </w:rPr>
        <w:t>’</w:t>
      </w:r>
      <w:r w:rsidR="00743B9D">
        <w:rPr>
          <w:rFonts w:eastAsia="Times New Roman"/>
          <w:color w:val="000000"/>
        </w:rPr>
        <w:t xml:space="preserve"> seated position mirrors </w:t>
      </w:r>
      <w:r w:rsidR="00211929">
        <w:rPr>
          <w:rFonts w:eastAsia="Times New Roman"/>
          <w:color w:val="000000"/>
        </w:rPr>
        <w:t>that of Medea and Phaedra</w:t>
      </w:r>
      <w:r w:rsidR="00B332C3">
        <w:rPr>
          <w:rFonts w:eastAsia="Times New Roman"/>
          <w:color w:val="000000"/>
        </w:rPr>
        <w:t xml:space="preserve"> so</w:t>
      </w:r>
      <w:r w:rsidR="009A3C64">
        <w:rPr>
          <w:rFonts w:eastAsia="Times New Roman"/>
          <w:color w:val="000000"/>
        </w:rPr>
        <w:t>,</w:t>
      </w:r>
      <w:r w:rsidR="009F23F9">
        <w:rPr>
          <w:rFonts w:eastAsia="Times New Roman"/>
          <w:color w:val="000000"/>
        </w:rPr>
        <w:t xml:space="preserve"> </w:t>
      </w:r>
      <w:r w:rsidR="00AC7D26">
        <w:rPr>
          <w:rFonts w:eastAsia="Times New Roman"/>
          <w:color w:val="000000"/>
        </w:rPr>
        <w:t>as the third in a series</w:t>
      </w:r>
      <w:r w:rsidR="009B79F2">
        <w:rPr>
          <w:rFonts w:eastAsia="Times New Roman"/>
          <w:color w:val="000000"/>
        </w:rPr>
        <w:t xml:space="preserve"> </w:t>
      </w:r>
      <w:r w:rsidR="009F23F9">
        <w:rPr>
          <w:rFonts w:eastAsia="Times New Roman"/>
          <w:color w:val="000000"/>
        </w:rPr>
        <w:t xml:space="preserve">one is primed to </w:t>
      </w:r>
      <w:r w:rsidR="008A6F81">
        <w:rPr>
          <w:rFonts w:eastAsia="Times New Roman"/>
          <w:color w:val="000000"/>
        </w:rPr>
        <w:t>encounter</w:t>
      </w:r>
      <w:r w:rsidR="009F23F9">
        <w:rPr>
          <w:rFonts w:eastAsia="Times New Roman"/>
          <w:color w:val="000000"/>
        </w:rPr>
        <w:t xml:space="preserve"> a</w:t>
      </w:r>
      <w:r w:rsidR="00283339">
        <w:rPr>
          <w:rFonts w:eastAsia="Times New Roman"/>
          <w:color w:val="000000"/>
        </w:rPr>
        <w:t>nothe</w:t>
      </w:r>
      <w:r w:rsidR="008A6F81">
        <w:rPr>
          <w:rFonts w:eastAsia="Times New Roman"/>
          <w:color w:val="000000"/>
        </w:rPr>
        <w:t>r</w:t>
      </w:r>
      <w:r w:rsidR="009F23F9">
        <w:rPr>
          <w:rFonts w:eastAsia="Times New Roman"/>
          <w:color w:val="000000"/>
        </w:rPr>
        <w:t xml:space="preserve"> seated woman</w:t>
      </w:r>
      <w:r w:rsidR="00260D55">
        <w:rPr>
          <w:rFonts w:eastAsia="Times New Roman"/>
          <w:color w:val="000000"/>
        </w:rPr>
        <w:t xml:space="preserve"> and at first glance this is how Paris appears</w:t>
      </w:r>
      <w:r w:rsidR="00973325">
        <w:rPr>
          <w:rFonts w:eastAsia="Times New Roman"/>
          <w:color w:val="000000"/>
        </w:rPr>
        <w:t>, seated and in effeminate attire</w:t>
      </w:r>
      <w:r w:rsidR="00545B81">
        <w:rPr>
          <w:rFonts w:eastAsia="Times New Roman"/>
          <w:color w:val="000000"/>
        </w:rPr>
        <w:t xml:space="preserve"> </w:t>
      </w:r>
      <w:r w:rsidR="002C740A">
        <w:rPr>
          <w:rFonts w:eastAsia="Times New Roman"/>
          <w:color w:val="000000"/>
        </w:rPr>
        <w:t>while Helen stands to one side.</w:t>
      </w:r>
      <w:r w:rsidR="00A84524">
        <w:rPr>
          <w:rStyle w:val="FootnoteReference"/>
          <w:rFonts w:eastAsia="Times New Roman"/>
          <w:color w:val="000000"/>
        </w:rPr>
        <w:footnoteReference w:id="20"/>
      </w:r>
      <w:r w:rsidR="002C740A">
        <w:rPr>
          <w:rFonts w:eastAsia="Times New Roman"/>
          <w:color w:val="000000"/>
        </w:rPr>
        <w:t xml:space="preserve"> </w:t>
      </w:r>
      <w:r w:rsidR="00973325">
        <w:rPr>
          <w:rFonts w:eastAsia="Times New Roman"/>
          <w:color w:val="000000"/>
        </w:rPr>
        <w:t>T</w:t>
      </w:r>
      <w:r w:rsidRPr="00A14334">
        <w:rPr>
          <w:rFonts w:eastAsia="Times New Roman"/>
          <w:color w:val="000000"/>
        </w:rPr>
        <w:t xml:space="preserve">he gender </w:t>
      </w:r>
      <w:r w:rsidRPr="00A14334">
        <w:rPr>
          <w:rFonts w:eastAsia="Times New Roman"/>
          <w:color w:val="000000"/>
        </w:rPr>
        <w:lastRenderedPageBreak/>
        <w:t>dysphoria creates a visual twist</w:t>
      </w:r>
      <w:r w:rsidR="00A82D36">
        <w:rPr>
          <w:rFonts w:eastAsia="Times New Roman"/>
          <w:color w:val="000000"/>
        </w:rPr>
        <w:t xml:space="preserve">: </w:t>
      </w:r>
      <w:r w:rsidR="00CB4A99">
        <w:rPr>
          <w:rFonts w:eastAsia="Times New Roman"/>
          <w:color w:val="000000"/>
        </w:rPr>
        <w:t>Paris</w:t>
      </w:r>
      <w:r w:rsidR="003C335D">
        <w:rPr>
          <w:rFonts w:eastAsia="Times New Roman"/>
          <w:color w:val="000000"/>
        </w:rPr>
        <w:t>,</w:t>
      </w:r>
      <w:r w:rsidR="00CB4A99">
        <w:rPr>
          <w:rFonts w:eastAsia="Times New Roman"/>
          <w:color w:val="000000"/>
        </w:rPr>
        <w:t xml:space="preserve"> not Helen, is the centre of attention here</w:t>
      </w:r>
      <w:r w:rsidR="0032758D">
        <w:rPr>
          <w:rFonts w:eastAsia="Times New Roman"/>
          <w:color w:val="000000"/>
        </w:rPr>
        <w:t xml:space="preserve">, </w:t>
      </w:r>
      <w:r w:rsidR="005711CD">
        <w:rPr>
          <w:rFonts w:eastAsia="Times New Roman"/>
          <w:color w:val="000000"/>
        </w:rPr>
        <w:t xml:space="preserve">the final flourish </w:t>
      </w:r>
      <w:r w:rsidR="008E40E0">
        <w:rPr>
          <w:rFonts w:eastAsia="Times New Roman"/>
          <w:color w:val="000000"/>
        </w:rPr>
        <w:t>and</w:t>
      </w:r>
      <w:r w:rsidR="00941E18">
        <w:rPr>
          <w:rFonts w:eastAsia="Times New Roman"/>
          <w:color w:val="000000"/>
        </w:rPr>
        <w:t xml:space="preserve"> </w:t>
      </w:r>
      <w:r w:rsidR="0032758D">
        <w:rPr>
          <w:rFonts w:eastAsia="Times New Roman"/>
          <w:color w:val="000000"/>
        </w:rPr>
        <w:t>the climax to the se</w:t>
      </w:r>
      <w:r w:rsidR="008E40E0">
        <w:rPr>
          <w:rFonts w:eastAsia="Times New Roman"/>
          <w:color w:val="000000"/>
        </w:rPr>
        <w:t>ries</w:t>
      </w:r>
      <w:r w:rsidR="0032758D">
        <w:rPr>
          <w:rFonts w:eastAsia="Times New Roman"/>
          <w:color w:val="000000"/>
        </w:rPr>
        <w:t xml:space="preserve">. </w:t>
      </w:r>
      <w:r w:rsidR="008E40E0">
        <w:rPr>
          <w:rFonts w:eastAsia="Times New Roman"/>
          <w:color w:val="000000"/>
        </w:rPr>
        <w:t>Although on the least accessible wall from the doorway</w:t>
      </w:r>
      <w:r w:rsidRPr="00A14334">
        <w:rPr>
          <w:rFonts w:eastAsia="Times New Roman"/>
          <w:color w:val="000000"/>
        </w:rPr>
        <w:t>, Paris</w:t>
      </w:r>
      <w:r w:rsidR="006F4763">
        <w:rPr>
          <w:rFonts w:eastAsia="Times New Roman"/>
          <w:color w:val="000000"/>
        </w:rPr>
        <w:t>’ position</w:t>
      </w:r>
      <w:r w:rsidRPr="00A14334">
        <w:rPr>
          <w:rFonts w:eastAsia="Times New Roman"/>
          <w:color w:val="000000"/>
        </w:rPr>
        <w:t xml:space="preserve"> o</w:t>
      </w:r>
      <w:r w:rsidR="006F4763">
        <w:rPr>
          <w:rFonts w:eastAsia="Times New Roman"/>
          <w:color w:val="000000"/>
        </w:rPr>
        <w:t>n the east wall</w:t>
      </w:r>
      <w:r w:rsidRPr="00A14334">
        <w:rPr>
          <w:rFonts w:eastAsia="Times New Roman"/>
          <w:color w:val="000000"/>
        </w:rPr>
        <w:t xml:space="preserve"> </w:t>
      </w:r>
      <w:r w:rsidR="006F4763">
        <w:rPr>
          <w:rFonts w:eastAsia="Times New Roman"/>
          <w:color w:val="000000"/>
        </w:rPr>
        <w:t>guarantees him the</w:t>
      </w:r>
      <w:r w:rsidR="006B4990">
        <w:rPr>
          <w:rFonts w:eastAsia="Times New Roman"/>
          <w:color w:val="000000"/>
        </w:rPr>
        <w:t xml:space="preserve"> best</w:t>
      </w:r>
      <w:r w:rsidR="001E64FC">
        <w:rPr>
          <w:rFonts w:eastAsia="Times New Roman"/>
          <w:color w:val="000000"/>
        </w:rPr>
        <w:t xml:space="preserve"> lighting in the room</w:t>
      </w:r>
      <w:r w:rsidR="00B1461D">
        <w:rPr>
          <w:rFonts w:eastAsia="Times New Roman"/>
          <w:color w:val="000000"/>
        </w:rPr>
        <w:t xml:space="preserve"> </w:t>
      </w:r>
      <w:r w:rsidR="008E40E0">
        <w:rPr>
          <w:rFonts w:eastAsia="Times New Roman"/>
          <w:color w:val="000000"/>
        </w:rPr>
        <w:t>from the window on the west wall</w:t>
      </w:r>
      <w:r w:rsidR="0085441D">
        <w:rPr>
          <w:rFonts w:eastAsia="Times New Roman"/>
          <w:color w:val="000000"/>
        </w:rPr>
        <w:t xml:space="preserve">, he would be the chief beneficiary </w:t>
      </w:r>
      <w:r w:rsidR="006D0BE5">
        <w:rPr>
          <w:rFonts w:eastAsia="Times New Roman"/>
          <w:color w:val="000000"/>
        </w:rPr>
        <w:t>of</w:t>
      </w:r>
      <w:r w:rsidR="009B79F2">
        <w:rPr>
          <w:rFonts w:eastAsia="Times New Roman"/>
          <w:color w:val="000000"/>
        </w:rPr>
        <w:t xml:space="preserve"> </w:t>
      </w:r>
      <w:r w:rsidRPr="00A14334">
        <w:rPr>
          <w:rFonts w:eastAsia="Times New Roman"/>
          <w:color w:val="000000"/>
        </w:rPr>
        <w:t xml:space="preserve">the afternoon </w:t>
      </w:r>
      <w:r w:rsidR="004562BD">
        <w:rPr>
          <w:rFonts w:eastAsia="Times New Roman"/>
          <w:color w:val="000000"/>
        </w:rPr>
        <w:t xml:space="preserve">and evening </w:t>
      </w:r>
      <w:r w:rsidRPr="00A14334">
        <w:rPr>
          <w:rFonts w:eastAsia="Times New Roman"/>
          <w:color w:val="000000"/>
        </w:rPr>
        <w:t>sun</w:t>
      </w:r>
      <w:r w:rsidR="004562BD">
        <w:rPr>
          <w:rFonts w:eastAsia="Times New Roman"/>
          <w:color w:val="000000"/>
        </w:rPr>
        <w:t>light</w:t>
      </w:r>
      <w:r w:rsidR="00341FDC">
        <w:rPr>
          <w:rFonts w:eastAsia="Times New Roman"/>
          <w:color w:val="000000"/>
        </w:rPr>
        <w:t>, something the patrons must have considered when positioning him</w:t>
      </w:r>
      <w:r w:rsidR="006D0BE5">
        <w:rPr>
          <w:rFonts w:eastAsia="Times New Roman"/>
          <w:color w:val="000000"/>
        </w:rPr>
        <w:t xml:space="preserve"> there</w:t>
      </w:r>
      <w:r w:rsidR="0085441D">
        <w:rPr>
          <w:rFonts w:eastAsia="Times New Roman"/>
          <w:color w:val="000000"/>
        </w:rPr>
        <w:t>.</w:t>
      </w:r>
      <w:r w:rsidRPr="00A14334">
        <w:rPr>
          <w:rFonts w:eastAsia="Times New Roman"/>
          <w:color w:val="000000"/>
        </w:rPr>
        <w:t xml:space="preserve"> </w:t>
      </w:r>
    </w:p>
    <w:p w14:paraId="44958B63" w14:textId="77777777" w:rsidR="00D100B6" w:rsidRDefault="00D100B6" w:rsidP="005203A9">
      <w:pPr>
        <w:shd w:val="clear" w:color="auto" w:fill="FFFFFF"/>
        <w:spacing w:after="0" w:line="480" w:lineRule="auto"/>
        <w:textAlignment w:val="baseline"/>
        <w:rPr>
          <w:rFonts w:eastAsia="Times New Roman"/>
          <w:color w:val="000000"/>
        </w:rPr>
      </w:pPr>
    </w:p>
    <w:p w14:paraId="27801DC6" w14:textId="7E51F995" w:rsidR="00A14334" w:rsidRPr="00A14334" w:rsidRDefault="00AE6A70" w:rsidP="005203A9">
      <w:pPr>
        <w:shd w:val="clear" w:color="auto" w:fill="FFFFFF"/>
        <w:spacing w:after="0" w:line="480" w:lineRule="auto"/>
        <w:textAlignment w:val="baseline"/>
        <w:rPr>
          <w:rFonts w:eastAsia="Times New Roman"/>
          <w:color w:val="000000"/>
        </w:rPr>
      </w:pPr>
      <w:r w:rsidRPr="00A14334">
        <w:rPr>
          <w:rFonts w:eastAsia="Times New Roman"/>
          <w:color w:val="000000"/>
        </w:rPr>
        <w:t xml:space="preserve">Most of the scholarship concentrates on the women in these paintings and </w:t>
      </w:r>
      <w:r w:rsidR="003C7D7B">
        <w:rPr>
          <w:rFonts w:eastAsia="Times New Roman"/>
          <w:color w:val="000000"/>
        </w:rPr>
        <w:t xml:space="preserve">emphasises the </w:t>
      </w:r>
      <w:r w:rsidR="00DD0B77" w:rsidRPr="00A14334">
        <w:rPr>
          <w:rFonts w:eastAsia="Times New Roman"/>
          <w:color w:val="000000"/>
        </w:rPr>
        <w:t>moment of decision before the act for Medea, Phaedra</w:t>
      </w:r>
      <w:r w:rsidR="00D87B1E">
        <w:rPr>
          <w:rFonts w:eastAsia="Times New Roman"/>
          <w:color w:val="000000"/>
        </w:rPr>
        <w:t>,</w:t>
      </w:r>
      <w:r w:rsidR="00DD0B77" w:rsidRPr="00A14334">
        <w:rPr>
          <w:rFonts w:eastAsia="Times New Roman"/>
          <w:color w:val="000000"/>
        </w:rPr>
        <w:t xml:space="preserve"> and Helen</w:t>
      </w:r>
      <w:r w:rsidR="00626B16">
        <w:rPr>
          <w:rFonts w:eastAsia="Times New Roman"/>
          <w:color w:val="000000"/>
        </w:rPr>
        <w:t xml:space="preserve">. </w:t>
      </w:r>
      <w:r w:rsidR="00B83CB1">
        <w:rPr>
          <w:rFonts w:eastAsia="Times New Roman"/>
          <w:color w:val="000000"/>
        </w:rPr>
        <w:t xml:space="preserve">However, </w:t>
      </w:r>
      <w:r w:rsidR="00E15254">
        <w:rPr>
          <w:rFonts w:eastAsia="Times New Roman"/>
          <w:color w:val="000000"/>
        </w:rPr>
        <w:t xml:space="preserve">this emphasis does not work </w:t>
      </w:r>
      <w:r w:rsidR="004E6D0B">
        <w:rPr>
          <w:rFonts w:eastAsia="Times New Roman"/>
          <w:color w:val="000000"/>
        </w:rPr>
        <w:t>in a reading that recognises Paris</w:t>
      </w:r>
      <w:r w:rsidR="006D7483">
        <w:rPr>
          <w:rFonts w:eastAsia="Times New Roman"/>
          <w:color w:val="000000"/>
        </w:rPr>
        <w:t xml:space="preserve">’ centrality </w:t>
      </w:r>
      <w:r w:rsidR="00A9664F">
        <w:rPr>
          <w:rFonts w:eastAsia="Times New Roman"/>
          <w:color w:val="000000"/>
        </w:rPr>
        <w:t>in the third picture:</w:t>
      </w:r>
      <w:r w:rsidR="002749A0">
        <w:rPr>
          <w:rFonts w:eastAsia="Times New Roman"/>
          <w:color w:val="000000"/>
        </w:rPr>
        <w:t xml:space="preserve"> </w:t>
      </w:r>
      <w:r w:rsidR="00A14334" w:rsidRPr="00A14334">
        <w:rPr>
          <w:rFonts w:eastAsia="Times New Roman"/>
          <w:color w:val="000000"/>
        </w:rPr>
        <w:t xml:space="preserve">it would have made more sense to show the </w:t>
      </w:r>
      <w:r w:rsidR="00127259">
        <w:rPr>
          <w:rFonts w:eastAsia="Times New Roman"/>
          <w:color w:val="000000"/>
        </w:rPr>
        <w:t>J</w:t>
      </w:r>
      <w:r w:rsidR="00A14334" w:rsidRPr="00A14334">
        <w:rPr>
          <w:rFonts w:eastAsia="Times New Roman"/>
          <w:color w:val="000000"/>
        </w:rPr>
        <w:t>udgement of Paris</w:t>
      </w:r>
      <w:r w:rsidR="003C335D">
        <w:rPr>
          <w:rFonts w:eastAsia="Times New Roman"/>
          <w:color w:val="000000"/>
        </w:rPr>
        <w:t xml:space="preserve"> here</w:t>
      </w:r>
      <w:r w:rsidR="00E90FF6">
        <w:rPr>
          <w:rFonts w:eastAsia="Times New Roman"/>
          <w:color w:val="000000"/>
        </w:rPr>
        <w:t>,</w:t>
      </w:r>
      <w:r w:rsidR="00A14334" w:rsidRPr="00A14334">
        <w:rPr>
          <w:rFonts w:eastAsia="Times New Roman"/>
          <w:color w:val="000000"/>
        </w:rPr>
        <w:t xml:space="preserve"> </w:t>
      </w:r>
      <w:r w:rsidR="003C335D">
        <w:rPr>
          <w:rFonts w:eastAsia="Times New Roman"/>
          <w:color w:val="000000"/>
        </w:rPr>
        <w:t>depicting him as a</w:t>
      </w:r>
      <w:r w:rsidR="00A14334" w:rsidRPr="00A14334">
        <w:rPr>
          <w:rFonts w:eastAsia="Times New Roman"/>
          <w:color w:val="000000"/>
        </w:rPr>
        <w:t xml:space="preserve"> shepherd, </w:t>
      </w:r>
      <w:r w:rsidR="00DC367F">
        <w:rPr>
          <w:rFonts w:eastAsia="Times New Roman"/>
          <w:color w:val="000000"/>
        </w:rPr>
        <w:t xml:space="preserve">when he was deciding which </w:t>
      </w:r>
      <w:r w:rsidR="00127259">
        <w:rPr>
          <w:rFonts w:eastAsia="Times New Roman"/>
          <w:color w:val="000000"/>
        </w:rPr>
        <w:t>goddess</w:t>
      </w:r>
      <w:r w:rsidR="00DC367F">
        <w:rPr>
          <w:rFonts w:eastAsia="Times New Roman"/>
          <w:color w:val="000000"/>
        </w:rPr>
        <w:t xml:space="preserve"> to choose</w:t>
      </w:r>
      <w:r w:rsidR="009E2C9C">
        <w:rPr>
          <w:rFonts w:eastAsia="Times New Roman"/>
          <w:color w:val="000000"/>
        </w:rPr>
        <w:t xml:space="preserve">. </w:t>
      </w:r>
      <w:r w:rsidR="00DC367F">
        <w:rPr>
          <w:rFonts w:eastAsia="Times New Roman"/>
          <w:color w:val="000000"/>
        </w:rPr>
        <w:t xml:space="preserve"> </w:t>
      </w:r>
      <w:r w:rsidR="009E2C9C">
        <w:rPr>
          <w:rFonts w:eastAsia="Times New Roman"/>
          <w:color w:val="000000"/>
        </w:rPr>
        <w:t xml:space="preserve">This </w:t>
      </w:r>
      <w:r w:rsidR="00A14334" w:rsidRPr="00A14334">
        <w:rPr>
          <w:rFonts w:eastAsia="Times New Roman"/>
          <w:color w:val="000000"/>
        </w:rPr>
        <w:t xml:space="preserve">was also </w:t>
      </w:r>
      <w:r w:rsidR="00BC126D">
        <w:rPr>
          <w:rFonts w:eastAsia="Times New Roman"/>
          <w:color w:val="000000"/>
        </w:rPr>
        <w:t xml:space="preserve">a </w:t>
      </w:r>
      <w:r w:rsidR="00A14334" w:rsidRPr="00A14334">
        <w:rPr>
          <w:rFonts w:eastAsia="Times New Roman"/>
          <w:color w:val="000000"/>
        </w:rPr>
        <w:t>popular</w:t>
      </w:r>
      <w:r w:rsidR="00BC126D">
        <w:rPr>
          <w:rFonts w:eastAsia="Times New Roman"/>
          <w:color w:val="000000"/>
        </w:rPr>
        <w:t xml:space="preserve"> </w:t>
      </w:r>
      <w:r w:rsidR="00E629DE">
        <w:rPr>
          <w:rFonts w:eastAsia="Times New Roman"/>
          <w:color w:val="000000"/>
        </w:rPr>
        <w:t>scene for wall paintings</w:t>
      </w:r>
      <w:r w:rsidR="009E2C9C">
        <w:rPr>
          <w:rFonts w:eastAsia="Times New Roman"/>
          <w:color w:val="000000"/>
        </w:rPr>
        <w:t xml:space="preserve"> at the time</w:t>
      </w:r>
      <w:r w:rsidR="00A14334" w:rsidRPr="00A14334">
        <w:rPr>
          <w:rFonts w:eastAsia="Times New Roman"/>
          <w:color w:val="000000"/>
        </w:rPr>
        <w:t xml:space="preserve">. Paris </w:t>
      </w:r>
      <w:r w:rsidR="000A0A36">
        <w:rPr>
          <w:rFonts w:eastAsia="Times New Roman"/>
          <w:color w:val="000000"/>
        </w:rPr>
        <w:t xml:space="preserve">had already </w:t>
      </w:r>
      <w:r w:rsidR="00A14334" w:rsidRPr="00A14334">
        <w:rPr>
          <w:rFonts w:eastAsia="Times New Roman"/>
          <w:color w:val="000000"/>
        </w:rPr>
        <w:t>made his decisio</w:t>
      </w:r>
      <w:r w:rsidR="009E2C9C">
        <w:rPr>
          <w:rFonts w:eastAsia="Times New Roman"/>
          <w:color w:val="000000"/>
        </w:rPr>
        <w:t xml:space="preserve">n </w:t>
      </w:r>
      <w:r w:rsidR="002749A0">
        <w:rPr>
          <w:rFonts w:eastAsia="Times New Roman"/>
          <w:color w:val="000000"/>
        </w:rPr>
        <w:t xml:space="preserve">by the time he gets to Helen </w:t>
      </w:r>
      <w:r w:rsidR="009E2C9C">
        <w:rPr>
          <w:rFonts w:eastAsia="Times New Roman"/>
          <w:color w:val="000000"/>
        </w:rPr>
        <w:t xml:space="preserve">and </w:t>
      </w:r>
      <w:r w:rsidR="00A14334" w:rsidRPr="00A14334">
        <w:rPr>
          <w:rFonts w:eastAsia="Times New Roman"/>
          <w:color w:val="000000"/>
        </w:rPr>
        <w:t>has come to claim his prize</w:t>
      </w:r>
      <w:r w:rsidR="00C46295">
        <w:rPr>
          <w:rFonts w:eastAsia="Times New Roman"/>
          <w:color w:val="000000"/>
        </w:rPr>
        <w:t>. I</w:t>
      </w:r>
      <w:r w:rsidR="00C46295" w:rsidRPr="00A14334">
        <w:rPr>
          <w:rFonts w:eastAsia="Times New Roman"/>
          <w:color w:val="000000"/>
        </w:rPr>
        <w:t>n contrast with the closed body language and preoccupation of Medea and Phaedr</w:t>
      </w:r>
      <w:r w:rsidR="00284AE4">
        <w:rPr>
          <w:rFonts w:eastAsia="Times New Roman"/>
          <w:color w:val="000000"/>
        </w:rPr>
        <w:t>a</w:t>
      </w:r>
      <w:r w:rsidR="00E90FF6">
        <w:rPr>
          <w:rFonts w:eastAsia="Times New Roman"/>
          <w:color w:val="000000"/>
        </w:rPr>
        <w:t xml:space="preserve">, </w:t>
      </w:r>
      <w:r w:rsidR="00686014" w:rsidRPr="00A14334">
        <w:rPr>
          <w:rFonts w:eastAsia="Times New Roman"/>
          <w:color w:val="000000"/>
        </w:rPr>
        <w:t xml:space="preserve">his pose is </w:t>
      </w:r>
      <w:r w:rsidR="008E0183" w:rsidRPr="00A14334">
        <w:rPr>
          <w:rFonts w:eastAsia="Times New Roman"/>
          <w:color w:val="000000"/>
        </w:rPr>
        <w:t>relaxed,</w:t>
      </w:r>
      <w:r w:rsidR="00686014" w:rsidRPr="00A14334">
        <w:rPr>
          <w:rFonts w:eastAsia="Times New Roman"/>
          <w:color w:val="000000"/>
        </w:rPr>
        <w:t xml:space="preserve"> and he looks out of the picture, confronting and engaging the viewer</w:t>
      </w:r>
      <w:r w:rsidR="00686014">
        <w:rPr>
          <w:rFonts w:eastAsia="Times New Roman"/>
          <w:color w:val="000000"/>
        </w:rPr>
        <w:t>.</w:t>
      </w:r>
      <w:r w:rsidR="00352EF3">
        <w:rPr>
          <w:rFonts w:eastAsia="Times New Roman"/>
          <w:color w:val="000000"/>
        </w:rPr>
        <w:t xml:space="preserve"> </w:t>
      </w:r>
    </w:p>
    <w:p w14:paraId="48D715F9" w14:textId="77777777" w:rsidR="008E0183" w:rsidRDefault="008E0183" w:rsidP="005203A9">
      <w:pPr>
        <w:spacing w:after="0" w:line="480" w:lineRule="auto"/>
        <w:rPr>
          <w:rStyle w:val="Strong"/>
          <w:b w:val="0"/>
          <w:bCs w:val="0"/>
        </w:rPr>
      </w:pPr>
    </w:p>
    <w:p w14:paraId="567943BD" w14:textId="6E7A3474" w:rsidR="00A40A18" w:rsidRDefault="0097573E" w:rsidP="005203A9">
      <w:pPr>
        <w:spacing w:after="0" w:line="480" w:lineRule="auto"/>
        <w:rPr>
          <w:bCs/>
        </w:rPr>
      </w:pPr>
      <w:r>
        <w:rPr>
          <w:rStyle w:val="Strong"/>
          <w:b w:val="0"/>
          <w:bCs w:val="0"/>
        </w:rPr>
        <w:t xml:space="preserve">In the first two paintings </w:t>
      </w:r>
      <w:r w:rsidR="00A40A18">
        <w:rPr>
          <w:rStyle w:val="Strong"/>
          <w:b w:val="0"/>
          <w:bCs w:val="0"/>
        </w:rPr>
        <w:t xml:space="preserve">Medea and Phaedra </w:t>
      </w:r>
      <w:r w:rsidR="001E619B">
        <w:rPr>
          <w:rStyle w:val="Strong"/>
          <w:b w:val="0"/>
          <w:bCs w:val="0"/>
        </w:rPr>
        <w:t xml:space="preserve">are staged </w:t>
      </w:r>
      <w:r w:rsidR="00796042">
        <w:rPr>
          <w:rStyle w:val="Strong"/>
          <w:b w:val="0"/>
          <w:bCs w:val="0"/>
        </w:rPr>
        <w:t xml:space="preserve">in their pose, </w:t>
      </w:r>
      <w:r w:rsidR="0050337E">
        <w:rPr>
          <w:rStyle w:val="Strong"/>
          <w:b w:val="0"/>
          <w:bCs w:val="0"/>
        </w:rPr>
        <w:t>attire,</w:t>
      </w:r>
      <w:r w:rsidR="00796042">
        <w:rPr>
          <w:rStyle w:val="Strong"/>
          <w:b w:val="0"/>
          <w:bCs w:val="0"/>
        </w:rPr>
        <w:t xml:space="preserve"> and surroundings </w:t>
      </w:r>
      <w:r w:rsidR="001E619B">
        <w:rPr>
          <w:rStyle w:val="Strong"/>
          <w:b w:val="0"/>
          <w:bCs w:val="0"/>
        </w:rPr>
        <w:t>as stereotypical</w:t>
      </w:r>
      <w:r w:rsidR="0050337E">
        <w:rPr>
          <w:rStyle w:val="Strong"/>
          <w:b w:val="0"/>
          <w:bCs w:val="0"/>
        </w:rPr>
        <w:t>,</w:t>
      </w:r>
      <w:r w:rsidR="001E619B">
        <w:rPr>
          <w:rStyle w:val="Strong"/>
          <w:b w:val="0"/>
          <w:bCs w:val="0"/>
        </w:rPr>
        <w:t xml:space="preserve"> female ideal</w:t>
      </w:r>
      <w:r w:rsidR="00765E88">
        <w:rPr>
          <w:rStyle w:val="Strong"/>
          <w:b w:val="0"/>
          <w:bCs w:val="0"/>
        </w:rPr>
        <w:t>s of the</w:t>
      </w:r>
      <w:r w:rsidR="00A40A18">
        <w:rPr>
          <w:rStyle w:val="Strong"/>
          <w:b w:val="0"/>
          <w:bCs w:val="0"/>
        </w:rPr>
        <w:t xml:space="preserve"> </w:t>
      </w:r>
      <w:r w:rsidR="004107FA">
        <w:rPr>
          <w:rStyle w:val="Strong"/>
          <w:b w:val="0"/>
          <w:bCs w:val="0"/>
        </w:rPr>
        <w:t xml:space="preserve">respectable </w:t>
      </w:r>
      <w:proofErr w:type="spellStart"/>
      <w:r w:rsidR="00A40A18">
        <w:rPr>
          <w:rStyle w:val="Strong"/>
          <w:b w:val="0"/>
          <w:bCs w:val="0"/>
          <w:i/>
          <w:iCs/>
        </w:rPr>
        <w:t>matrona</w:t>
      </w:r>
      <w:proofErr w:type="spellEnd"/>
      <w:r w:rsidR="00910FCF">
        <w:rPr>
          <w:rStyle w:val="Strong"/>
          <w:b w:val="0"/>
          <w:bCs w:val="0"/>
        </w:rPr>
        <w:t xml:space="preserve"> w</w:t>
      </w:r>
      <w:r w:rsidR="001C3BCF">
        <w:rPr>
          <w:rStyle w:val="Strong"/>
          <w:b w:val="0"/>
          <w:bCs w:val="0"/>
        </w:rPr>
        <w:t>hose</w:t>
      </w:r>
      <w:r w:rsidR="00131782" w:rsidRPr="00131782">
        <w:rPr>
          <w:bCs/>
          <w:i/>
          <w:iCs/>
        </w:rPr>
        <w:t xml:space="preserve"> </w:t>
      </w:r>
      <w:proofErr w:type="spellStart"/>
      <w:r w:rsidR="00131782">
        <w:rPr>
          <w:bCs/>
          <w:i/>
          <w:iCs/>
        </w:rPr>
        <w:t>pudicentia</w:t>
      </w:r>
      <w:proofErr w:type="spellEnd"/>
      <w:r w:rsidR="00131782">
        <w:rPr>
          <w:bCs/>
          <w:i/>
          <w:iCs/>
        </w:rPr>
        <w:t xml:space="preserve"> </w:t>
      </w:r>
      <w:r w:rsidR="001C3BCF">
        <w:rPr>
          <w:bCs/>
        </w:rPr>
        <w:t xml:space="preserve">was </w:t>
      </w:r>
      <w:r w:rsidR="00131782">
        <w:rPr>
          <w:bCs/>
        </w:rPr>
        <w:t xml:space="preserve">expressed domestically </w:t>
      </w:r>
      <w:r w:rsidR="00EC25A8">
        <w:rPr>
          <w:bCs/>
        </w:rPr>
        <w:t>by faithfulness to their husbands and</w:t>
      </w:r>
      <w:r w:rsidR="00131782">
        <w:rPr>
          <w:bCs/>
        </w:rPr>
        <w:t xml:space="preserve"> </w:t>
      </w:r>
      <w:r w:rsidR="00563A77">
        <w:rPr>
          <w:bCs/>
        </w:rPr>
        <w:t>care of their children and households</w:t>
      </w:r>
      <w:r w:rsidR="0090507F">
        <w:rPr>
          <w:bCs/>
        </w:rPr>
        <w:t>.</w:t>
      </w:r>
      <w:r w:rsidR="0090507F">
        <w:rPr>
          <w:rStyle w:val="FootnoteReference"/>
          <w:bCs/>
        </w:rPr>
        <w:footnoteReference w:id="21"/>
      </w:r>
      <w:r w:rsidR="00CB36EB">
        <w:rPr>
          <w:rStyle w:val="Strong"/>
          <w:b w:val="0"/>
          <w:bCs w:val="0"/>
        </w:rPr>
        <w:t xml:space="preserve"> </w:t>
      </w:r>
      <w:r w:rsidR="00946F71">
        <w:rPr>
          <w:rStyle w:val="Strong"/>
          <w:b w:val="0"/>
          <w:bCs w:val="0"/>
        </w:rPr>
        <w:t>Th</w:t>
      </w:r>
      <w:r w:rsidR="00EC25A8">
        <w:rPr>
          <w:rStyle w:val="Strong"/>
          <w:b w:val="0"/>
          <w:bCs w:val="0"/>
        </w:rPr>
        <w:t>is</w:t>
      </w:r>
      <w:r w:rsidR="00951870">
        <w:rPr>
          <w:rStyle w:val="Strong"/>
          <w:b w:val="0"/>
          <w:bCs w:val="0"/>
        </w:rPr>
        <w:t xml:space="preserve"> seated pose</w:t>
      </w:r>
      <w:r w:rsidR="00EC25A8">
        <w:rPr>
          <w:rStyle w:val="Strong"/>
          <w:b w:val="0"/>
          <w:bCs w:val="0"/>
        </w:rPr>
        <w:t xml:space="preserve"> was</w:t>
      </w:r>
      <w:r w:rsidR="009B6609">
        <w:rPr>
          <w:rStyle w:val="Strong"/>
          <w:b w:val="0"/>
          <w:bCs w:val="0"/>
        </w:rPr>
        <w:t xml:space="preserve"> a</w:t>
      </w:r>
      <w:r w:rsidR="00951870">
        <w:rPr>
          <w:rStyle w:val="Strong"/>
          <w:b w:val="0"/>
          <w:bCs w:val="0"/>
        </w:rPr>
        <w:t xml:space="preserve"> </w:t>
      </w:r>
      <w:r w:rsidR="00E4008C">
        <w:rPr>
          <w:rStyle w:val="Strong"/>
          <w:b w:val="0"/>
          <w:bCs w:val="0"/>
        </w:rPr>
        <w:t>common</w:t>
      </w:r>
      <w:r w:rsidR="00A95EB9">
        <w:rPr>
          <w:rStyle w:val="Strong"/>
          <w:b w:val="0"/>
          <w:bCs w:val="0"/>
        </w:rPr>
        <w:t xml:space="preserve">place for </w:t>
      </w:r>
      <w:r w:rsidR="004B5321">
        <w:rPr>
          <w:rStyle w:val="Strong"/>
          <w:b w:val="0"/>
          <w:bCs w:val="0"/>
        </w:rPr>
        <w:t xml:space="preserve">the </w:t>
      </w:r>
      <w:r w:rsidR="005042C9">
        <w:rPr>
          <w:rStyle w:val="Strong"/>
          <w:b w:val="0"/>
          <w:bCs w:val="0"/>
        </w:rPr>
        <w:t>freeborn</w:t>
      </w:r>
      <w:r w:rsidR="00910FCF">
        <w:rPr>
          <w:rStyle w:val="Strong"/>
          <w:b w:val="0"/>
          <w:bCs w:val="0"/>
        </w:rPr>
        <w:t>,</w:t>
      </w:r>
      <w:r w:rsidR="005042C9">
        <w:rPr>
          <w:rStyle w:val="Strong"/>
          <w:b w:val="0"/>
          <w:bCs w:val="0"/>
        </w:rPr>
        <w:t xml:space="preserve"> </w:t>
      </w:r>
      <w:r w:rsidR="004B5321">
        <w:rPr>
          <w:rStyle w:val="Strong"/>
          <w:b w:val="0"/>
          <w:bCs w:val="0"/>
        </w:rPr>
        <w:t>respectable</w:t>
      </w:r>
      <w:r w:rsidR="00910FCF">
        <w:rPr>
          <w:rStyle w:val="Strong"/>
          <w:b w:val="0"/>
          <w:bCs w:val="0"/>
        </w:rPr>
        <w:t>,</w:t>
      </w:r>
      <w:r w:rsidR="004B5321">
        <w:rPr>
          <w:rStyle w:val="Strong"/>
          <w:b w:val="0"/>
          <w:bCs w:val="0"/>
        </w:rPr>
        <w:t xml:space="preserve"> married </w:t>
      </w:r>
      <w:r w:rsidR="0063123B">
        <w:rPr>
          <w:rStyle w:val="Strong"/>
          <w:b w:val="0"/>
          <w:bCs w:val="0"/>
        </w:rPr>
        <w:t xml:space="preserve">Roman </w:t>
      </w:r>
      <w:r w:rsidR="004B5321">
        <w:rPr>
          <w:rStyle w:val="Strong"/>
          <w:b w:val="0"/>
          <w:bCs w:val="0"/>
        </w:rPr>
        <w:t>woman</w:t>
      </w:r>
      <w:r w:rsidR="00E4008C">
        <w:rPr>
          <w:rStyle w:val="Strong"/>
          <w:b w:val="0"/>
          <w:bCs w:val="0"/>
        </w:rPr>
        <w:t xml:space="preserve"> in statuary </w:t>
      </w:r>
      <w:r w:rsidR="00C37154">
        <w:rPr>
          <w:rStyle w:val="Strong"/>
          <w:b w:val="0"/>
          <w:bCs w:val="0"/>
        </w:rPr>
        <w:t>and paintings</w:t>
      </w:r>
      <w:r w:rsidR="00554DC2">
        <w:rPr>
          <w:rStyle w:val="Strong"/>
          <w:b w:val="0"/>
          <w:bCs w:val="0"/>
        </w:rPr>
        <w:t xml:space="preserve">. </w:t>
      </w:r>
      <w:r w:rsidR="001F78AA">
        <w:rPr>
          <w:rStyle w:val="Strong"/>
          <w:b w:val="0"/>
          <w:bCs w:val="0"/>
        </w:rPr>
        <w:t xml:space="preserve"> </w:t>
      </w:r>
      <w:r w:rsidR="00554DC2">
        <w:rPr>
          <w:rStyle w:val="Strong"/>
          <w:b w:val="0"/>
          <w:bCs w:val="0"/>
        </w:rPr>
        <w:t>T</w:t>
      </w:r>
      <w:r w:rsidR="00DD605A">
        <w:rPr>
          <w:rStyle w:val="Strong"/>
          <w:b w:val="0"/>
          <w:bCs w:val="0"/>
        </w:rPr>
        <w:t>hey are</w:t>
      </w:r>
      <w:r w:rsidR="00075788">
        <w:rPr>
          <w:rStyle w:val="Strong"/>
          <w:b w:val="0"/>
          <w:bCs w:val="0"/>
        </w:rPr>
        <w:t xml:space="preserve"> pictured</w:t>
      </w:r>
      <w:r w:rsidR="00DD605A">
        <w:rPr>
          <w:rStyle w:val="Strong"/>
          <w:b w:val="0"/>
          <w:bCs w:val="0"/>
        </w:rPr>
        <w:t xml:space="preserve"> in the domestic arena</w:t>
      </w:r>
      <w:r w:rsidR="00554DC2">
        <w:rPr>
          <w:rStyle w:val="Strong"/>
          <w:b w:val="0"/>
          <w:bCs w:val="0"/>
        </w:rPr>
        <w:t>,</w:t>
      </w:r>
      <w:r w:rsidR="00C73902">
        <w:rPr>
          <w:rStyle w:val="Strong"/>
          <w:b w:val="0"/>
          <w:bCs w:val="0"/>
        </w:rPr>
        <w:t xml:space="preserve"> attend</w:t>
      </w:r>
      <w:r w:rsidR="009B6609">
        <w:rPr>
          <w:rStyle w:val="Strong"/>
          <w:b w:val="0"/>
          <w:bCs w:val="0"/>
        </w:rPr>
        <w:t>ed by servants</w:t>
      </w:r>
      <w:r w:rsidR="000F78F2">
        <w:rPr>
          <w:rStyle w:val="Strong"/>
          <w:b w:val="0"/>
          <w:bCs w:val="0"/>
        </w:rPr>
        <w:t>: t</w:t>
      </w:r>
      <w:r w:rsidR="000F78F2">
        <w:rPr>
          <w:bCs/>
        </w:rPr>
        <w:t xml:space="preserve">he paleness of their skin </w:t>
      </w:r>
      <w:r w:rsidR="00444FF0">
        <w:rPr>
          <w:bCs/>
        </w:rPr>
        <w:t>witnesses</w:t>
      </w:r>
      <w:r w:rsidR="000F78F2">
        <w:rPr>
          <w:bCs/>
        </w:rPr>
        <w:t xml:space="preserve"> that most </w:t>
      </w:r>
      <w:r w:rsidR="00444FF0">
        <w:rPr>
          <w:bCs/>
        </w:rPr>
        <w:t xml:space="preserve">of their </w:t>
      </w:r>
      <w:r w:rsidR="000F78F2">
        <w:rPr>
          <w:bCs/>
        </w:rPr>
        <w:t xml:space="preserve">time </w:t>
      </w:r>
      <w:r w:rsidR="00444FF0">
        <w:rPr>
          <w:bCs/>
        </w:rPr>
        <w:t xml:space="preserve">is spent </w:t>
      </w:r>
      <w:r w:rsidR="000F78F2">
        <w:rPr>
          <w:bCs/>
        </w:rPr>
        <w:t xml:space="preserve">indoors. </w:t>
      </w:r>
      <w:r w:rsidR="00A0207B">
        <w:rPr>
          <w:rStyle w:val="Strong"/>
          <w:b w:val="0"/>
          <w:bCs w:val="0"/>
        </w:rPr>
        <w:t>Their</w:t>
      </w:r>
      <w:r w:rsidR="00A0207B">
        <w:rPr>
          <w:rStyle w:val="Strong"/>
          <w:b w:val="0"/>
          <w:bCs w:val="0"/>
          <w:i/>
          <w:iCs/>
        </w:rPr>
        <w:t xml:space="preserve"> </w:t>
      </w:r>
      <w:r w:rsidR="00A0207B">
        <w:rPr>
          <w:bCs/>
        </w:rPr>
        <w:t>clothing and lack of adornment</w:t>
      </w:r>
      <w:r w:rsidR="001663E6">
        <w:rPr>
          <w:bCs/>
        </w:rPr>
        <w:t xml:space="preserve"> conveys their female </w:t>
      </w:r>
      <w:r w:rsidR="00DE7E65">
        <w:rPr>
          <w:bCs/>
        </w:rPr>
        <w:t>‘honour, dignity and sexual modesty’</w:t>
      </w:r>
      <w:r w:rsidR="00F57AEA">
        <w:rPr>
          <w:bCs/>
        </w:rPr>
        <w:t>:</w:t>
      </w:r>
      <w:r w:rsidR="00701B53">
        <w:rPr>
          <w:bCs/>
        </w:rPr>
        <w:t xml:space="preserve"> </w:t>
      </w:r>
      <w:r w:rsidR="00F57AEA">
        <w:rPr>
          <w:bCs/>
        </w:rPr>
        <w:t xml:space="preserve">a </w:t>
      </w:r>
      <w:r w:rsidR="00A40A18">
        <w:rPr>
          <w:bCs/>
        </w:rPr>
        <w:t xml:space="preserve">long gown </w:t>
      </w:r>
      <w:r w:rsidR="00C737DA">
        <w:rPr>
          <w:bCs/>
        </w:rPr>
        <w:t xml:space="preserve">worn </w:t>
      </w:r>
      <w:r w:rsidR="00A40A18">
        <w:rPr>
          <w:bCs/>
        </w:rPr>
        <w:t xml:space="preserve">with a </w:t>
      </w:r>
      <w:proofErr w:type="spellStart"/>
      <w:r w:rsidR="00A40A18">
        <w:rPr>
          <w:bCs/>
          <w:i/>
          <w:iCs/>
        </w:rPr>
        <w:t>palla</w:t>
      </w:r>
      <w:proofErr w:type="spellEnd"/>
      <w:r w:rsidR="00A40A18">
        <w:rPr>
          <w:bCs/>
        </w:rPr>
        <w:t xml:space="preserve">, over the top a </w:t>
      </w:r>
      <w:r w:rsidR="00760CC3">
        <w:rPr>
          <w:bCs/>
        </w:rPr>
        <w:t>large rectangle of cloth</w:t>
      </w:r>
      <w:r w:rsidR="00E34200">
        <w:rPr>
          <w:bCs/>
        </w:rPr>
        <w:t xml:space="preserve"> </w:t>
      </w:r>
      <w:r w:rsidR="00F331F7">
        <w:rPr>
          <w:bCs/>
        </w:rPr>
        <w:t xml:space="preserve">which was worn </w:t>
      </w:r>
      <w:r w:rsidR="00E34200">
        <w:rPr>
          <w:bCs/>
        </w:rPr>
        <w:t xml:space="preserve">wrapped around the </w:t>
      </w:r>
      <w:r w:rsidR="00E34200">
        <w:rPr>
          <w:bCs/>
        </w:rPr>
        <w:lastRenderedPageBreak/>
        <w:t>body</w:t>
      </w:r>
      <w:r w:rsidR="00F331F7">
        <w:rPr>
          <w:bCs/>
        </w:rPr>
        <w:t xml:space="preserve"> and could </w:t>
      </w:r>
      <w:r w:rsidR="004E6D56">
        <w:rPr>
          <w:bCs/>
        </w:rPr>
        <w:t>be pulled</w:t>
      </w:r>
      <w:r w:rsidR="00A40A18">
        <w:rPr>
          <w:bCs/>
        </w:rPr>
        <w:t xml:space="preserve"> over the head as a veil.</w:t>
      </w:r>
      <w:r w:rsidR="006F7B74">
        <w:rPr>
          <w:rStyle w:val="FootnoteReference"/>
          <w:bCs/>
        </w:rPr>
        <w:footnoteReference w:id="22"/>
      </w:r>
      <w:r w:rsidR="00A40A18">
        <w:rPr>
          <w:bCs/>
        </w:rPr>
        <w:t xml:space="preserve"> </w:t>
      </w:r>
      <w:r w:rsidR="00E02C9C">
        <w:rPr>
          <w:bCs/>
        </w:rPr>
        <w:t>The fabrics they wear</w:t>
      </w:r>
      <w:r w:rsidR="006D67FE">
        <w:rPr>
          <w:bCs/>
        </w:rPr>
        <w:t xml:space="preserve"> are</w:t>
      </w:r>
      <w:r w:rsidR="00A40A18">
        <w:rPr>
          <w:bCs/>
        </w:rPr>
        <w:t xml:space="preserve"> </w:t>
      </w:r>
      <w:r w:rsidR="006D67FE">
        <w:rPr>
          <w:bCs/>
        </w:rPr>
        <w:t xml:space="preserve">appropriately </w:t>
      </w:r>
      <w:r w:rsidR="00A40A18">
        <w:rPr>
          <w:bCs/>
        </w:rPr>
        <w:t>colourful</w:t>
      </w:r>
      <w:r w:rsidR="009410FC">
        <w:rPr>
          <w:bCs/>
        </w:rPr>
        <w:t xml:space="preserve"> for their gender</w:t>
      </w:r>
      <w:r w:rsidR="00A40A18">
        <w:rPr>
          <w:bCs/>
        </w:rPr>
        <w:t xml:space="preserve"> </w:t>
      </w:r>
      <w:r w:rsidR="0088310A">
        <w:rPr>
          <w:bCs/>
        </w:rPr>
        <w:t>but plain</w:t>
      </w:r>
      <w:r w:rsidR="00401F88">
        <w:rPr>
          <w:bCs/>
        </w:rPr>
        <w:t>;</w:t>
      </w:r>
      <w:r w:rsidR="00B8195C">
        <w:rPr>
          <w:bCs/>
        </w:rPr>
        <w:t xml:space="preserve"> </w:t>
      </w:r>
      <w:r w:rsidR="00401F88">
        <w:rPr>
          <w:bCs/>
        </w:rPr>
        <w:t>t</w:t>
      </w:r>
      <w:r w:rsidR="00B8195C">
        <w:rPr>
          <w:bCs/>
        </w:rPr>
        <w:t>here is no frivolous</w:t>
      </w:r>
      <w:r w:rsidR="00A40A18">
        <w:rPr>
          <w:bCs/>
        </w:rPr>
        <w:t xml:space="preserve"> ornamentation </w:t>
      </w:r>
      <w:r w:rsidR="009143D9">
        <w:rPr>
          <w:bCs/>
        </w:rPr>
        <w:t>that could denote</w:t>
      </w:r>
      <w:r w:rsidR="00A40A18">
        <w:rPr>
          <w:bCs/>
        </w:rPr>
        <w:t xml:space="preserve"> ‘female intellectual weakness’</w:t>
      </w:r>
      <w:r w:rsidR="00401F88">
        <w:rPr>
          <w:bCs/>
        </w:rPr>
        <w:t>.</w:t>
      </w:r>
      <w:r w:rsidR="00401F88">
        <w:rPr>
          <w:rStyle w:val="FootnoteReference"/>
          <w:bCs/>
        </w:rPr>
        <w:footnoteReference w:id="23"/>
      </w:r>
      <w:r w:rsidR="00A40A18">
        <w:rPr>
          <w:bCs/>
        </w:rPr>
        <w:t xml:space="preserve"> </w:t>
      </w:r>
      <w:r w:rsidR="00EB69B4">
        <w:rPr>
          <w:bCs/>
        </w:rPr>
        <w:t xml:space="preserve">However, </w:t>
      </w:r>
      <w:r w:rsidR="00791873">
        <w:rPr>
          <w:bCs/>
        </w:rPr>
        <w:t xml:space="preserve">Medea has a sword at the ready </w:t>
      </w:r>
      <w:r w:rsidR="00687BC5">
        <w:rPr>
          <w:bCs/>
        </w:rPr>
        <w:t xml:space="preserve">and Phaedra is </w:t>
      </w:r>
      <w:r w:rsidR="008C7FB0">
        <w:rPr>
          <w:bCs/>
        </w:rPr>
        <w:t>taking a traditionally male courtship role</w:t>
      </w:r>
      <w:r w:rsidR="00E77D51">
        <w:rPr>
          <w:bCs/>
        </w:rPr>
        <w:t xml:space="preserve"> </w:t>
      </w:r>
      <w:r w:rsidR="008C7FB0">
        <w:rPr>
          <w:bCs/>
        </w:rPr>
        <w:t>s</w:t>
      </w:r>
      <w:r w:rsidR="00DA26DE">
        <w:rPr>
          <w:bCs/>
        </w:rPr>
        <w:t>o, although they</w:t>
      </w:r>
      <w:r w:rsidR="00040439">
        <w:rPr>
          <w:bCs/>
        </w:rPr>
        <w:t xml:space="preserve"> outwardly conform to </w:t>
      </w:r>
      <w:r w:rsidR="009C6EF3">
        <w:rPr>
          <w:bCs/>
        </w:rPr>
        <w:t xml:space="preserve">Roman elite </w:t>
      </w:r>
      <w:r w:rsidR="00040439">
        <w:rPr>
          <w:bCs/>
        </w:rPr>
        <w:t>gender expectations in appearance</w:t>
      </w:r>
      <w:r w:rsidR="00DA26DE">
        <w:rPr>
          <w:bCs/>
        </w:rPr>
        <w:t>,</w:t>
      </w:r>
      <w:r w:rsidR="00040439">
        <w:rPr>
          <w:bCs/>
        </w:rPr>
        <w:t xml:space="preserve"> both are behaving actively </w:t>
      </w:r>
      <w:r w:rsidR="00EE7C42">
        <w:rPr>
          <w:bCs/>
        </w:rPr>
        <w:t xml:space="preserve">as potential penetrators </w:t>
      </w:r>
      <w:r w:rsidR="00040439">
        <w:rPr>
          <w:bCs/>
        </w:rPr>
        <w:t>and therefore in a way</w:t>
      </w:r>
      <w:r w:rsidR="007962FB">
        <w:rPr>
          <w:bCs/>
        </w:rPr>
        <w:t xml:space="preserve"> that would have been read as ma</w:t>
      </w:r>
      <w:r w:rsidR="00E90033">
        <w:rPr>
          <w:bCs/>
        </w:rPr>
        <w:t>s</w:t>
      </w:r>
      <w:r w:rsidR="007962FB">
        <w:rPr>
          <w:bCs/>
        </w:rPr>
        <w:t>culine to a contemporary audience</w:t>
      </w:r>
      <w:r w:rsidR="00040439">
        <w:rPr>
          <w:bCs/>
        </w:rPr>
        <w:t>.</w:t>
      </w:r>
    </w:p>
    <w:p w14:paraId="78139F7D" w14:textId="77777777" w:rsidR="00735BC3" w:rsidRDefault="00735BC3" w:rsidP="005203A9">
      <w:pPr>
        <w:spacing w:line="480" w:lineRule="auto"/>
        <w:rPr>
          <w:bCs/>
        </w:rPr>
      </w:pPr>
    </w:p>
    <w:p w14:paraId="48B46892" w14:textId="764FC775" w:rsidR="00735BC3" w:rsidRDefault="00F36BC0" w:rsidP="005203A9">
      <w:pPr>
        <w:spacing w:line="480" w:lineRule="auto"/>
        <w:rPr>
          <w:bCs/>
        </w:rPr>
      </w:pPr>
      <w:r>
        <w:rPr>
          <w:bCs/>
        </w:rPr>
        <w:t>According to the one sex model</w:t>
      </w:r>
      <w:r w:rsidR="0079315C">
        <w:rPr>
          <w:bCs/>
        </w:rPr>
        <w:t xml:space="preserve"> of the time,</w:t>
      </w:r>
      <w:r>
        <w:rPr>
          <w:bCs/>
        </w:rPr>
        <w:t xml:space="preserve"> women were believed to be</w:t>
      </w:r>
      <w:r w:rsidR="009704A9">
        <w:rPr>
          <w:bCs/>
        </w:rPr>
        <w:t xml:space="preserve"> </w:t>
      </w:r>
      <w:r w:rsidR="00933BB1">
        <w:rPr>
          <w:bCs/>
        </w:rPr>
        <w:t xml:space="preserve">an </w:t>
      </w:r>
      <w:r>
        <w:rPr>
          <w:bCs/>
        </w:rPr>
        <w:t>inferior</w:t>
      </w:r>
      <w:r w:rsidR="00625FF7">
        <w:rPr>
          <w:bCs/>
        </w:rPr>
        <w:t xml:space="preserve"> </w:t>
      </w:r>
      <w:r w:rsidR="00933BB1">
        <w:rPr>
          <w:bCs/>
        </w:rPr>
        <w:t>version of men</w:t>
      </w:r>
      <w:r w:rsidR="0079315C">
        <w:rPr>
          <w:bCs/>
        </w:rPr>
        <w:t>,</w:t>
      </w:r>
      <w:r w:rsidR="009704A9">
        <w:rPr>
          <w:bCs/>
        </w:rPr>
        <w:t xml:space="preserve"> intellectually and morally</w:t>
      </w:r>
      <w:r w:rsidR="000818C7">
        <w:rPr>
          <w:bCs/>
        </w:rPr>
        <w:t xml:space="preserve"> as well as </w:t>
      </w:r>
      <w:r w:rsidR="00851855">
        <w:rPr>
          <w:bCs/>
        </w:rPr>
        <w:t>physically</w:t>
      </w:r>
      <w:r w:rsidR="00A86BE5">
        <w:rPr>
          <w:bCs/>
        </w:rPr>
        <w:t>, being incompletely</w:t>
      </w:r>
      <w:r>
        <w:rPr>
          <w:bCs/>
        </w:rPr>
        <w:t xml:space="preserve"> formed in the womb due to lack of heat</w:t>
      </w:r>
      <w:r w:rsidR="00A86BE5">
        <w:rPr>
          <w:bCs/>
        </w:rPr>
        <w:t>, they were,</w:t>
      </w:r>
      <w:r w:rsidR="004A6BC0">
        <w:rPr>
          <w:bCs/>
        </w:rPr>
        <w:t xml:space="preserve"> therefore</w:t>
      </w:r>
      <w:r w:rsidR="00A86BE5">
        <w:rPr>
          <w:bCs/>
        </w:rPr>
        <w:t>,</w:t>
      </w:r>
      <w:r w:rsidR="004A6BC0">
        <w:rPr>
          <w:bCs/>
        </w:rPr>
        <w:t xml:space="preserve"> </w:t>
      </w:r>
      <w:r w:rsidR="008302BF">
        <w:rPr>
          <w:bCs/>
        </w:rPr>
        <w:t>unfit for civic life</w:t>
      </w:r>
      <w:r w:rsidR="001153EC">
        <w:rPr>
          <w:bCs/>
        </w:rPr>
        <w:t>.</w:t>
      </w:r>
      <w:r w:rsidR="001153EC">
        <w:rPr>
          <w:rStyle w:val="FootnoteReference"/>
          <w:bCs/>
        </w:rPr>
        <w:footnoteReference w:id="24"/>
      </w:r>
      <w:r w:rsidR="008302BF">
        <w:rPr>
          <w:bCs/>
        </w:rPr>
        <w:t xml:space="preserve"> </w:t>
      </w:r>
      <w:r>
        <w:rPr>
          <w:bCs/>
        </w:rPr>
        <w:t xml:space="preserve"> </w:t>
      </w:r>
      <w:r w:rsidR="00671B13">
        <w:rPr>
          <w:bCs/>
        </w:rPr>
        <w:t>M</w:t>
      </w:r>
      <w:r>
        <w:rPr>
          <w:bCs/>
        </w:rPr>
        <w:t>ale</w:t>
      </w:r>
      <w:r w:rsidR="00671B13">
        <w:rPr>
          <w:bCs/>
        </w:rPr>
        <w:t>ness</w:t>
      </w:r>
      <w:r>
        <w:rPr>
          <w:bCs/>
        </w:rPr>
        <w:t xml:space="preserve"> was active while </w:t>
      </w:r>
      <w:r w:rsidR="0072203E">
        <w:rPr>
          <w:bCs/>
        </w:rPr>
        <w:t>the feminine was always passi</w:t>
      </w:r>
      <w:r w:rsidR="00243DE5">
        <w:rPr>
          <w:bCs/>
        </w:rPr>
        <w:t>ve</w:t>
      </w:r>
      <w:r>
        <w:rPr>
          <w:bCs/>
        </w:rPr>
        <w:t>.</w:t>
      </w:r>
      <w:r w:rsidR="00243DE5">
        <w:rPr>
          <w:rStyle w:val="FootnoteReference"/>
          <w:bCs/>
        </w:rPr>
        <w:footnoteReference w:id="25"/>
      </w:r>
      <w:r w:rsidR="000A5F09">
        <w:rPr>
          <w:bCs/>
        </w:rPr>
        <w:t xml:space="preserve"> </w:t>
      </w:r>
      <w:r w:rsidR="00642BF2">
        <w:rPr>
          <w:bCs/>
        </w:rPr>
        <w:t>T</w:t>
      </w:r>
      <w:r w:rsidR="000A398A" w:rsidRPr="0028463D">
        <w:rPr>
          <w:bCs/>
        </w:rPr>
        <w:t xml:space="preserve">he </w:t>
      </w:r>
      <w:r w:rsidR="00355AE4">
        <w:rPr>
          <w:bCs/>
        </w:rPr>
        <w:t>Roman ruling class assigned</w:t>
      </w:r>
      <w:r w:rsidR="000A398A">
        <w:rPr>
          <w:b/>
        </w:rPr>
        <w:t xml:space="preserve"> </w:t>
      </w:r>
      <w:r w:rsidR="000A398A">
        <w:rPr>
          <w:bCs/>
        </w:rPr>
        <w:t xml:space="preserve">men </w:t>
      </w:r>
      <w:r w:rsidR="00607999">
        <w:rPr>
          <w:bCs/>
        </w:rPr>
        <w:t>to one of</w:t>
      </w:r>
      <w:r w:rsidR="000A398A">
        <w:rPr>
          <w:bCs/>
        </w:rPr>
        <w:t xml:space="preserve"> two groups</w:t>
      </w:r>
      <w:r w:rsidR="003E401D">
        <w:rPr>
          <w:bCs/>
        </w:rPr>
        <w:t>:</w:t>
      </w:r>
      <w:r w:rsidR="000A398A">
        <w:rPr>
          <w:bCs/>
        </w:rPr>
        <w:t xml:space="preserve"> the</w:t>
      </w:r>
      <w:r w:rsidR="00890434">
        <w:rPr>
          <w:bCs/>
        </w:rPr>
        <w:t>y were either</w:t>
      </w:r>
      <w:r w:rsidR="008325DC">
        <w:rPr>
          <w:bCs/>
        </w:rPr>
        <w:t xml:space="preserve"> active</w:t>
      </w:r>
      <w:r w:rsidR="000A398A">
        <w:rPr>
          <w:bCs/>
        </w:rPr>
        <w:t xml:space="preserve"> penetrators, free Roman citizen males</w:t>
      </w:r>
      <w:r w:rsidR="00890434">
        <w:rPr>
          <w:bCs/>
        </w:rPr>
        <w:t>, or</w:t>
      </w:r>
      <w:r w:rsidR="000A398A">
        <w:rPr>
          <w:bCs/>
        </w:rPr>
        <w:t xml:space="preserve"> </w:t>
      </w:r>
      <w:r w:rsidR="008325DC">
        <w:rPr>
          <w:bCs/>
        </w:rPr>
        <w:t xml:space="preserve">passive </w:t>
      </w:r>
      <w:r w:rsidR="000A398A">
        <w:rPr>
          <w:bCs/>
        </w:rPr>
        <w:t>penetr</w:t>
      </w:r>
      <w:r w:rsidR="00D20139">
        <w:rPr>
          <w:bCs/>
        </w:rPr>
        <w:t>able</w:t>
      </w:r>
      <w:r w:rsidR="000A398A">
        <w:rPr>
          <w:bCs/>
        </w:rPr>
        <w:t xml:space="preserve"> slaves</w:t>
      </w:r>
      <w:r w:rsidR="003E401D">
        <w:rPr>
          <w:bCs/>
        </w:rPr>
        <w:t xml:space="preserve"> and</w:t>
      </w:r>
      <w:r w:rsidR="000A398A">
        <w:rPr>
          <w:bCs/>
        </w:rPr>
        <w:t xml:space="preserve"> foreigners</w:t>
      </w:r>
      <w:r w:rsidR="003E401D">
        <w:rPr>
          <w:bCs/>
        </w:rPr>
        <w:t>,</w:t>
      </w:r>
      <w:r w:rsidR="008325DC">
        <w:rPr>
          <w:bCs/>
        </w:rPr>
        <w:t xml:space="preserve"> who were assigned to </w:t>
      </w:r>
      <w:r w:rsidR="00C56C7E">
        <w:rPr>
          <w:bCs/>
        </w:rPr>
        <w:t>the female.</w:t>
      </w:r>
      <w:r w:rsidR="000A398A">
        <w:rPr>
          <w:bCs/>
        </w:rPr>
        <w:t xml:space="preserve"> </w:t>
      </w:r>
      <w:r w:rsidR="00711599">
        <w:rPr>
          <w:bCs/>
        </w:rPr>
        <w:t>C</w:t>
      </w:r>
      <w:r w:rsidR="00C56C7E">
        <w:rPr>
          <w:bCs/>
        </w:rPr>
        <w:t xml:space="preserve">onstant maintenance </w:t>
      </w:r>
      <w:r w:rsidR="00711599">
        <w:rPr>
          <w:bCs/>
        </w:rPr>
        <w:t xml:space="preserve">was required </w:t>
      </w:r>
      <w:r w:rsidR="00C56C7E">
        <w:rPr>
          <w:bCs/>
        </w:rPr>
        <w:t>to avoid</w:t>
      </w:r>
      <w:r w:rsidR="000A398A">
        <w:rPr>
          <w:bCs/>
        </w:rPr>
        <w:t xml:space="preserve"> ‘gender slippage’ from male to femal</w:t>
      </w:r>
      <w:r w:rsidR="00711599">
        <w:rPr>
          <w:bCs/>
        </w:rPr>
        <w:t>e</w:t>
      </w:r>
      <w:r w:rsidR="008D3053">
        <w:rPr>
          <w:bCs/>
        </w:rPr>
        <w:t>.</w:t>
      </w:r>
      <w:r w:rsidR="008D3053">
        <w:rPr>
          <w:rStyle w:val="FootnoteReference"/>
          <w:bCs/>
        </w:rPr>
        <w:footnoteReference w:id="26"/>
      </w:r>
      <w:r w:rsidR="000A398A">
        <w:rPr>
          <w:bCs/>
        </w:rPr>
        <w:t xml:space="preserve"> For the elite male, ‘</w:t>
      </w:r>
      <w:r w:rsidR="000A398A" w:rsidRPr="00FD4CBC">
        <w:rPr>
          <w:bCs/>
          <w:i/>
          <w:iCs/>
        </w:rPr>
        <w:t>acting</w:t>
      </w:r>
      <w:r w:rsidR="000A398A">
        <w:rPr>
          <w:bCs/>
        </w:rPr>
        <w:t xml:space="preserve"> like a woman’ </w:t>
      </w:r>
      <w:r w:rsidR="002B3322">
        <w:rPr>
          <w:bCs/>
        </w:rPr>
        <w:t xml:space="preserve">was associated with </w:t>
      </w:r>
      <w:r w:rsidR="000A398A">
        <w:rPr>
          <w:bCs/>
        </w:rPr>
        <w:t xml:space="preserve">a </w:t>
      </w:r>
      <w:r w:rsidR="0052177E">
        <w:rPr>
          <w:bCs/>
        </w:rPr>
        <w:t xml:space="preserve">feminine </w:t>
      </w:r>
      <w:r w:rsidR="000A398A">
        <w:rPr>
          <w:bCs/>
        </w:rPr>
        <w:t>passive/penetrated body</w:t>
      </w:r>
      <w:r w:rsidR="002B3322">
        <w:rPr>
          <w:bCs/>
        </w:rPr>
        <w:t xml:space="preserve"> and </w:t>
      </w:r>
      <w:r w:rsidR="0052177E">
        <w:rPr>
          <w:bCs/>
        </w:rPr>
        <w:t>thereby w</w:t>
      </w:r>
      <w:r w:rsidR="009D0CD5">
        <w:rPr>
          <w:bCs/>
        </w:rPr>
        <w:t>ith</w:t>
      </w:r>
      <w:r w:rsidR="00F51EEB">
        <w:rPr>
          <w:bCs/>
        </w:rPr>
        <w:t xml:space="preserve"> a</w:t>
      </w:r>
      <w:r w:rsidR="0055641F">
        <w:rPr>
          <w:bCs/>
        </w:rPr>
        <w:t xml:space="preserve"> loss of </w:t>
      </w:r>
      <w:r w:rsidR="0052177E">
        <w:rPr>
          <w:bCs/>
        </w:rPr>
        <w:t>the</w:t>
      </w:r>
      <w:r w:rsidR="0055641F">
        <w:rPr>
          <w:bCs/>
        </w:rPr>
        <w:t xml:space="preserve"> v</w:t>
      </w:r>
      <w:r w:rsidR="000A398A">
        <w:rPr>
          <w:bCs/>
        </w:rPr>
        <w:t>irtue</w:t>
      </w:r>
      <w:r w:rsidR="0055641F">
        <w:rPr>
          <w:bCs/>
        </w:rPr>
        <w:t xml:space="preserve"> that was only invested in the masculine</w:t>
      </w:r>
      <w:r w:rsidR="00445922">
        <w:rPr>
          <w:bCs/>
        </w:rPr>
        <w:t>.</w:t>
      </w:r>
      <w:r w:rsidR="00445922">
        <w:rPr>
          <w:rStyle w:val="FootnoteReference"/>
          <w:bCs/>
        </w:rPr>
        <w:footnoteReference w:id="27"/>
      </w:r>
      <w:r w:rsidR="000A398A">
        <w:rPr>
          <w:bCs/>
        </w:rPr>
        <w:t xml:space="preserve"> </w:t>
      </w:r>
      <w:r w:rsidR="00310B91">
        <w:rPr>
          <w:bCs/>
        </w:rPr>
        <w:t>The science of p</w:t>
      </w:r>
      <w:r w:rsidR="00EA0C07">
        <w:rPr>
          <w:bCs/>
        </w:rPr>
        <w:t>hysiognomy</w:t>
      </w:r>
      <w:r w:rsidR="00310B91">
        <w:rPr>
          <w:bCs/>
        </w:rPr>
        <w:t>, popular at the time</w:t>
      </w:r>
      <w:r w:rsidR="00CD23F3">
        <w:rPr>
          <w:bCs/>
        </w:rPr>
        <w:t>,</w:t>
      </w:r>
      <w:r w:rsidR="00EA0C07">
        <w:rPr>
          <w:bCs/>
        </w:rPr>
        <w:t xml:space="preserve"> </w:t>
      </w:r>
      <w:r w:rsidR="005A3453">
        <w:rPr>
          <w:bCs/>
        </w:rPr>
        <w:t xml:space="preserve">involved a belief that </w:t>
      </w:r>
      <w:r w:rsidR="00FF679F">
        <w:rPr>
          <w:bCs/>
        </w:rPr>
        <w:t xml:space="preserve">a man’s true </w:t>
      </w:r>
      <w:r w:rsidR="00D60124">
        <w:rPr>
          <w:bCs/>
        </w:rPr>
        <w:t xml:space="preserve">‘gender identity’ </w:t>
      </w:r>
      <w:r w:rsidR="00FF679F">
        <w:rPr>
          <w:bCs/>
        </w:rPr>
        <w:t xml:space="preserve">and </w:t>
      </w:r>
      <w:r w:rsidR="007F47A3">
        <w:rPr>
          <w:bCs/>
        </w:rPr>
        <w:t>therefore</w:t>
      </w:r>
      <w:r w:rsidR="00942472">
        <w:rPr>
          <w:bCs/>
        </w:rPr>
        <w:t xml:space="preserve"> the</w:t>
      </w:r>
      <w:r w:rsidR="007F47A3">
        <w:rPr>
          <w:bCs/>
        </w:rPr>
        <w:t xml:space="preserve"> character</w:t>
      </w:r>
      <w:r w:rsidR="00942472">
        <w:rPr>
          <w:bCs/>
        </w:rPr>
        <w:t xml:space="preserve"> traits ass</w:t>
      </w:r>
      <w:r w:rsidR="0019676C">
        <w:rPr>
          <w:bCs/>
        </w:rPr>
        <w:t>ociated with it</w:t>
      </w:r>
      <w:r w:rsidR="007F47A3">
        <w:rPr>
          <w:bCs/>
        </w:rPr>
        <w:t>, w</w:t>
      </w:r>
      <w:r w:rsidR="00B54F1A">
        <w:rPr>
          <w:bCs/>
        </w:rPr>
        <w:t>ould be</w:t>
      </w:r>
      <w:r w:rsidR="00A14E32">
        <w:rPr>
          <w:bCs/>
        </w:rPr>
        <w:t xml:space="preserve"> revealed outwardly</w:t>
      </w:r>
      <w:r w:rsidR="003B2B52">
        <w:rPr>
          <w:bCs/>
        </w:rPr>
        <w:t xml:space="preserve"> </w:t>
      </w:r>
      <w:r w:rsidR="00BE07C1">
        <w:rPr>
          <w:bCs/>
        </w:rPr>
        <w:t xml:space="preserve">by clothing and behaviour </w:t>
      </w:r>
      <w:r w:rsidR="00EA0C07">
        <w:rPr>
          <w:bCs/>
        </w:rPr>
        <w:t xml:space="preserve">so a man dressing effeminately may be believed to be </w:t>
      </w:r>
      <w:r w:rsidR="008261E3">
        <w:rPr>
          <w:bCs/>
        </w:rPr>
        <w:t>morally suspect</w:t>
      </w:r>
      <w:r w:rsidR="0032291B">
        <w:rPr>
          <w:bCs/>
        </w:rPr>
        <w:t>.</w:t>
      </w:r>
      <w:r w:rsidR="00445922">
        <w:rPr>
          <w:rStyle w:val="FootnoteReference"/>
          <w:bCs/>
        </w:rPr>
        <w:footnoteReference w:id="28"/>
      </w:r>
    </w:p>
    <w:p w14:paraId="7BAAD0DB" w14:textId="1EF8F7F6" w:rsidR="00735BC3" w:rsidRPr="00BE5098" w:rsidRDefault="000E2C51" w:rsidP="005203A9">
      <w:pPr>
        <w:spacing w:after="0" w:line="480" w:lineRule="auto"/>
        <w:rPr>
          <w:bCs/>
        </w:rPr>
      </w:pPr>
      <w:r>
        <w:rPr>
          <w:bCs/>
        </w:rPr>
        <w:lastRenderedPageBreak/>
        <w:t>A</w:t>
      </w:r>
      <w:r w:rsidR="00860578">
        <w:rPr>
          <w:bCs/>
        </w:rPr>
        <w:t xml:space="preserve"> </w:t>
      </w:r>
      <w:r w:rsidR="00CB2AFF">
        <w:rPr>
          <w:bCs/>
        </w:rPr>
        <w:t>k</w:t>
      </w:r>
      <w:r w:rsidR="00860578">
        <w:rPr>
          <w:bCs/>
        </w:rPr>
        <w:t xml:space="preserve">nee length tunic and toga, </w:t>
      </w:r>
      <w:r w:rsidR="00830062">
        <w:rPr>
          <w:bCs/>
        </w:rPr>
        <w:t xml:space="preserve">short sleeved </w:t>
      </w:r>
      <w:r w:rsidR="00AA6A25">
        <w:rPr>
          <w:bCs/>
        </w:rPr>
        <w:t xml:space="preserve">and </w:t>
      </w:r>
      <w:r w:rsidR="00860578">
        <w:rPr>
          <w:bCs/>
        </w:rPr>
        <w:t xml:space="preserve">plain wool </w:t>
      </w:r>
      <w:r w:rsidR="00CB2AFF">
        <w:rPr>
          <w:bCs/>
        </w:rPr>
        <w:t>in sombre colours such as black, white</w:t>
      </w:r>
      <w:r w:rsidR="004C38CD">
        <w:rPr>
          <w:bCs/>
        </w:rPr>
        <w:t>,</w:t>
      </w:r>
      <w:r w:rsidR="00CB2AFF">
        <w:rPr>
          <w:bCs/>
        </w:rPr>
        <w:t xml:space="preserve"> or grey</w:t>
      </w:r>
      <w:r w:rsidR="007A1CE0">
        <w:rPr>
          <w:bCs/>
        </w:rPr>
        <w:t xml:space="preserve"> would be the appropriate dress code </w:t>
      </w:r>
      <w:r w:rsidR="00BE2095">
        <w:rPr>
          <w:bCs/>
        </w:rPr>
        <w:t xml:space="preserve">for a dignified and morally upright Roman male </w:t>
      </w:r>
      <w:r>
        <w:rPr>
          <w:bCs/>
        </w:rPr>
        <w:t>citizen</w:t>
      </w:r>
      <w:r w:rsidR="00432612">
        <w:rPr>
          <w:bCs/>
        </w:rPr>
        <w:t>.</w:t>
      </w:r>
      <w:r w:rsidR="00432612">
        <w:rPr>
          <w:rStyle w:val="FootnoteReference"/>
          <w:bCs/>
        </w:rPr>
        <w:footnoteReference w:id="29"/>
      </w:r>
      <w:r w:rsidR="00A86AE2">
        <w:rPr>
          <w:bCs/>
        </w:rPr>
        <w:t xml:space="preserve"> By present day </w:t>
      </w:r>
      <w:r w:rsidR="00A425DF">
        <w:rPr>
          <w:bCs/>
        </w:rPr>
        <w:t>standards Paris can be described here in Butlerian terms as having a ‘parodic identity’</w:t>
      </w:r>
      <w:r w:rsidR="00A94CF3">
        <w:rPr>
          <w:bCs/>
        </w:rPr>
        <w:t xml:space="preserve">: by </w:t>
      </w:r>
      <w:r w:rsidR="00A425DF">
        <w:rPr>
          <w:bCs/>
        </w:rPr>
        <w:t xml:space="preserve">mimicry </w:t>
      </w:r>
      <w:r w:rsidR="00A94CF3">
        <w:rPr>
          <w:bCs/>
        </w:rPr>
        <w:t xml:space="preserve">of the feminine he </w:t>
      </w:r>
      <w:r w:rsidR="00C5255A">
        <w:rPr>
          <w:bCs/>
        </w:rPr>
        <w:t xml:space="preserve">reveals </w:t>
      </w:r>
      <w:r w:rsidR="00B050B0">
        <w:rPr>
          <w:bCs/>
        </w:rPr>
        <w:t>the</w:t>
      </w:r>
      <w:r w:rsidR="00A425DF">
        <w:rPr>
          <w:bCs/>
        </w:rPr>
        <w:t xml:space="preserve"> learned performative aspect of much gendered behaviour</w:t>
      </w:r>
      <w:r w:rsidR="003066A2">
        <w:rPr>
          <w:bCs/>
        </w:rPr>
        <w:t>;</w:t>
      </w:r>
      <w:r w:rsidR="00A425DF">
        <w:rPr>
          <w:bCs/>
        </w:rPr>
        <w:t xml:space="preserve"> but a Roman audience </w:t>
      </w:r>
      <w:r w:rsidR="0093663C">
        <w:rPr>
          <w:bCs/>
        </w:rPr>
        <w:t xml:space="preserve">would have seen </w:t>
      </w:r>
      <w:r w:rsidR="00591BE3">
        <w:rPr>
          <w:bCs/>
        </w:rPr>
        <w:t xml:space="preserve">gendered </w:t>
      </w:r>
      <w:r w:rsidR="003066A2">
        <w:rPr>
          <w:bCs/>
        </w:rPr>
        <w:t>characteristics</w:t>
      </w:r>
      <w:r w:rsidR="00591BE3">
        <w:rPr>
          <w:bCs/>
        </w:rPr>
        <w:t xml:space="preserve"> as indicative of an essential inner</w:t>
      </w:r>
      <w:r w:rsidR="00B850A8">
        <w:rPr>
          <w:bCs/>
        </w:rPr>
        <w:t xml:space="preserve"> disposition</w:t>
      </w:r>
      <w:r w:rsidR="00B050B0">
        <w:rPr>
          <w:bCs/>
        </w:rPr>
        <w:t>.</w:t>
      </w:r>
      <w:r w:rsidR="00B050B0">
        <w:rPr>
          <w:rStyle w:val="FootnoteReference"/>
          <w:bCs/>
        </w:rPr>
        <w:footnoteReference w:id="30"/>
      </w:r>
      <w:r w:rsidR="00B850A8">
        <w:rPr>
          <w:bCs/>
        </w:rPr>
        <w:t xml:space="preserve"> I</w:t>
      </w:r>
      <w:r w:rsidR="006F4867">
        <w:rPr>
          <w:bCs/>
        </w:rPr>
        <w:t>n painting three</w:t>
      </w:r>
      <w:r w:rsidR="00B65066">
        <w:rPr>
          <w:bCs/>
        </w:rPr>
        <w:t>,</w:t>
      </w:r>
      <w:r w:rsidR="00AA6A25">
        <w:rPr>
          <w:bCs/>
        </w:rPr>
        <w:t xml:space="preserve"> </w:t>
      </w:r>
      <w:r w:rsidR="00B850A8">
        <w:rPr>
          <w:bCs/>
        </w:rPr>
        <w:t xml:space="preserve">he </w:t>
      </w:r>
      <w:r w:rsidR="00AA6A25">
        <w:rPr>
          <w:bCs/>
        </w:rPr>
        <w:t xml:space="preserve">is dressed in a </w:t>
      </w:r>
      <w:r w:rsidR="00611B43">
        <w:rPr>
          <w:bCs/>
        </w:rPr>
        <w:t>colourful</w:t>
      </w:r>
      <w:r w:rsidR="00A350AD">
        <w:rPr>
          <w:bCs/>
        </w:rPr>
        <w:t>,</w:t>
      </w:r>
      <w:r w:rsidR="00611B43">
        <w:rPr>
          <w:bCs/>
        </w:rPr>
        <w:t xml:space="preserve"> </w:t>
      </w:r>
      <w:r w:rsidR="00961D88">
        <w:rPr>
          <w:bCs/>
        </w:rPr>
        <w:t>l</w:t>
      </w:r>
      <w:r w:rsidR="00D77633">
        <w:rPr>
          <w:bCs/>
        </w:rPr>
        <w:t xml:space="preserve">ong </w:t>
      </w:r>
      <w:r w:rsidR="00357880">
        <w:rPr>
          <w:bCs/>
        </w:rPr>
        <w:t>t</w:t>
      </w:r>
      <w:r w:rsidR="00D77633">
        <w:rPr>
          <w:bCs/>
        </w:rPr>
        <w:t>unic with long sleeves</w:t>
      </w:r>
      <w:r w:rsidR="00306FA5">
        <w:rPr>
          <w:bCs/>
        </w:rPr>
        <w:t>. A</w:t>
      </w:r>
      <w:r w:rsidR="00D77633">
        <w:rPr>
          <w:bCs/>
        </w:rPr>
        <w:t xml:space="preserve"> </w:t>
      </w:r>
      <w:proofErr w:type="spellStart"/>
      <w:r w:rsidR="00B73F5D">
        <w:rPr>
          <w:bCs/>
          <w:i/>
          <w:iCs/>
        </w:rPr>
        <w:t>chiridota</w:t>
      </w:r>
      <w:proofErr w:type="spellEnd"/>
      <w:r w:rsidR="00B73F5D">
        <w:rPr>
          <w:bCs/>
          <w:i/>
          <w:iCs/>
        </w:rPr>
        <w:t xml:space="preserve"> tunica </w:t>
      </w:r>
      <w:r w:rsidR="006F4867">
        <w:rPr>
          <w:bCs/>
        </w:rPr>
        <w:t>such as this</w:t>
      </w:r>
      <w:r w:rsidR="00701DF4">
        <w:rPr>
          <w:bCs/>
        </w:rPr>
        <w:t xml:space="preserve"> </w:t>
      </w:r>
      <w:r w:rsidR="007530DA">
        <w:rPr>
          <w:bCs/>
        </w:rPr>
        <w:t xml:space="preserve">was </w:t>
      </w:r>
      <w:r w:rsidR="00B73F5D">
        <w:rPr>
          <w:bCs/>
        </w:rPr>
        <w:t>associated</w:t>
      </w:r>
      <w:r w:rsidR="007530DA">
        <w:rPr>
          <w:bCs/>
        </w:rPr>
        <w:t xml:space="preserve"> with</w:t>
      </w:r>
      <w:r w:rsidR="00B73F5D">
        <w:rPr>
          <w:bCs/>
        </w:rPr>
        <w:t xml:space="preserve"> </w:t>
      </w:r>
      <w:proofErr w:type="spellStart"/>
      <w:r w:rsidR="00B73F5D" w:rsidRPr="008254CC">
        <w:rPr>
          <w:bCs/>
          <w:i/>
          <w:iCs/>
        </w:rPr>
        <w:t>cinaed</w:t>
      </w:r>
      <w:r w:rsidR="005A7609">
        <w:rPr>
          <w:bCs/>
          <w:i/>
          <w:iCs/>
        </w:rPr>
        <w:t>i</w:t>
      </w:r>
      <w:proofErr w:type="spellEnd"/>
      <w:r w:rsidR="00791C0D">
        <w:rPr>
          <w:bCs/>
        </w:rPr>
        <w:t>:</w:t>
      </w:r>
      <w:r w:rsidR="003F0A5F">
        <w:rPr>
          <w:bCs/>
        </w:rPr>
        <w:t xml:space="preserve"> </w:t>
      </w:r>
      <w:r w:rsidR="005E2FE2">
        <w:rPr>
          <w:bCs/>
        </w:rPr>
        <w:t xml:space="preserve">effeminate </w:t>
      </w:r>
      <w:r w:rsidR="00FA2091">
        <w:rPr>
          <w:bCs/>
        </w:rPr>
        <w:t>males</w:t>
      </w:r>
      <w:r w:rsidR="00791C0D">
        <w:rPr>
          <w:bCs/>
        </w:rPr>
        <w:t xml:space="preserve"> who</w:t>
      </w:r>
      <w:r w:rsidR="00FA2091">
        <w:rPr>
          <w:bCs/>
        </w:rPr>
        <w:t xml:space="preserve"> lack</w:t>
      </w:r>
      <w:r w:rsidR="005E2FE2">
        <w:rPr>
          <w:bCs/>
        </w:rPr>
        <w:t>ed</w:t>
      </w:r>
      <w:r w:rsidR="00FA2091">
        <w:rPr>
          <w:bCs/>
        </w:rPr>
        <w:t xml:space="preserve"> </w:t>
      </w:r>
      <w:r w:rsidR="00F04425">
        <w:rPr>
          <w:bCs/>
        </w:rPr>
        <w:t xml:space="preserve">self-control </w:t>
      </w:r>
      <w:r w:rsidR="00B73F5D">
        <w:rPr>
          <w:bCs/>
        </w:rPr>
        <w:t>and</w:t>
      </w:r>
      <w:r w:rsidR="00F04425">
        <w:rPr>
          <w:bCs/>
        </w:rPr>
        <w:t xml:space="preserve"> enjoy</w:t>
      </w:r>
      <w:r w:rsidR="00044E9F">
        <w:rPr>
          <w:bCs/>
        </w:rPr>
        <w:t>ed</w:t>
      </w:r>
      <w:r w:rsidR="00B73F5D">
        <w:rPr>
          <w:bCs/>
        </w:rPr>
        <w:t xml:space="preserve"> </w:t>
      </w:r>
      <w:r w:rsidR="00631DAC">
        <w:rPr>
          <w:bCs/>
        </w:rPr>
        <w:t>not only</w:t>
      </w:r>
      <w:r w:rsidR="00B73F5D">
        <w:rPr>
          <w:bCs/>
        </w:rPr>
        <w:t xml:space="preserve"> passive homoeroticism </w:t>
      </w:r>
      <w:r w:rsidR="00631DAC">
        <w:rPr>
          <w:bCs/>
        </w:rPr>
        <w:t>but also</w:t>
      </w:r>
      <w:r w:rsidR="00B73F5D">
        <w:rPr>
          <w:bCs/>
        </w:rPr>
        <w:t xml:space="preserve"> overindulgence in </w:t>
      </w:r>
      <w:r w:rsidR="00D649A8">
        <w:rPr>
          <w:bCs/>
        </w:rPr>
        <w:t>heteroerotics</w:t>
      </w:r>
      <w:r w:rsidR="00485D68">
        <w:rPr>
          <w:bCs/>
        </w:rPr>
        <w:t>: the ‘</w:t>
      </w:r>
      <w:r w:rsidR="00D91226" w:rsidRPr="00970EC5">
        <w:rPr>
          <w:bCs/>
        </w:rPr>
        <w:t>well-groomed adulterer’</w:t>
      </w:r>
      <w:r w:rsidR="00631DAC">
        <w:rPr>
          <w:bCs/>
        </w:rPr>
        <w:t>,</w:t>
      </w:r>
      <w:r w:rsidR="00485D68">
        <w:rPr>
          <w:bCs/>
        </w:rPr>
        <w:t xml:space="preserve"> such as Paris</w:t>
      </w:r>
      <w:r w:rsidR="00631DAC">
        <w:rPr>
          <w:bCs/>
        </w:rPr>
        <w:t>,</w:t>
      </w:r>
      <w:r w:rsidR="00FE6631">
        <w:rPr>
          <w:bCs/>
        </w:rPr>
        <w:t xml:space="preserve"> w</w:t>
      </w:r>
      <w:r w:rsidR="00631DAC">
        <w:rPr>
          <w:bCs/>
        </w:rPr>
        <w:t>ould</w:t>
      </w:r>
      <w:r w:rsidR="00FE6631">
        <w:rPr>
          <w:bCs/>
        </w:rPr>
        <w:t xml:space="preserve"> also </w:t>
      </w:r>
      <w:r w:rsidR="00631DAC">
        <w:rPr>
          <w:bCs/>
        </w:rPr>
        <w:t xml:space="preserve">be considered to be </w:t>
      </w:r>
      <w:r w:rsidR="00FE6631">
        <w:rPr>
          <w:bCs/>
        </w:rPr>
        <w:t xml:space="preserve">in slavery to </w:t>
      </w:r>
      <w:r w:rsidR="00631DAC">
        <w:rPr>
          <w:bCs/>
        </w:rPr>
        <w:t>h</w:t>
      </w:r>
      <w:r w:rsidR="00344364">
        <w:rPr>
          <w:bCs/>
        </w:rPr>
        <w:t>is</w:t>
      </w:r>
      <w:r w:rsidR="00863408">
        <w:rPr>
          <w:bCs/>
        </w:rPr>
        <w:t xml:space="preserve"> sexual passion and lacking in self-mastery</w:t>
      </w:r>
      <w:r w:rsidR="00344364">
        <w:rPr>
          <w:bCs/>
        </w:rPr>
        <w:t>.</w:t>
      </w:r>
      <w:r w:rsidR="00344364">
        <w:rPr>
          <w:rStyle w:val="FootnoteReference"/>
          <w:bCs/>
        </w:rPr>
        <w:footnoteReference w:id="31"/>
      </w:r>
      <w:r w:rsidR="00B65066">
        <w:rPr>
          <w:rStyle w:val="Strong"/>
          <w:b w:val="0"/>
        </w:rPr>
        <w:t xml:space="preserve"> </w:t>
      </w:r>
      <w:r w:rsidR="00860578">
        <w:rPr>
          <w:bCs/>
        </w:rPr>
        <w:t>Compared with Medea and Phaedra’s lack of adornment, Paris</w:t>
      </w:r>
      <w:r w:rsidR="00B65066">
        <w:rPr>
          <w:bCs/>
        </w:rPr>
        <w:t>’</w:t>
      </w:r>
      <w:r w:rsidR="00860578">
        <w:rPr>
          <w:bCs/>
        </w:rPr>
        <w:t xml:space="preserve"> earrings </w:t>
      </w:r>
      <w:r w:rsidR="00044E9F">
        <w:rPr>
          <w:bCs/>
        </w:rPr>
        <w:t xml:space="preserve">and </w:t>
      </w:r>
      <w:r w:rsidR="003E3C6D">
        <w:rPr>
          <w:bCs/>
        </w:rPr>
        <w:t>high slatted sandals</w:t>
      </w:r>
      <w:r w:rsidR="005147DE">
        <w:rPr>
          <w:bCs/>
        </w:rPr>
        <w:t xml:space="preserve"> further</w:t>
      </w:r>
      <w:r w:rsidR="0021473B">
        <w:rPr>
          <w:bCs/>
        </w:rPr>
        <w:t xml:space="preserve"> indicate</w:t>
      </w:r>
      <w:r w:rsidR="00860578">
        <w:rPr>
          <w:bCs/>
        </w:rPr>
        <w:t xml:space="preserve"> </w:t>
      </w:r>
      <w:r w:rsidR="0064525E">
        <w:rPr>
          <w:bCs/>
        </w:rPr>
        <w:t>a</w:t>
      </w:r>
      <w:r w:rsidR="00860578">
        <w:rPr>
          <w:bCs/>
        </w:rPr>
        <w:t xml:space="preserve"> </w:t>
      </w:r>
      <w:r w:rsidR="0064525E">
        <w:rPr>
          <w:bCs/>
        </w:rPr>
        <w:t>lust</w:t>
      </w:r>
      <w:r w:rsidR="00860578">
        <w:rPr>
          <w:bCs/>
        </w:rPr>
        <w:t xml:space="preserve"> for ornamentation</w:t>
      </w:r>
      <w:r w:rsidR="00912746" w:rsidRPr="00912746">
        <w:rPr>
          <w:bCs/>
        </w:rPr>
        <w:t xml:space="preserve"> </w:t>
      </w:r>
      <w:r w:rsidR="0064525E" w:rsidRPr="00912746">
        <w:rPr>
          <w:bCs/>
        </w:rPr>
        <w:t>that</w:t>
      </w:r>
      <w:r w:rsidR="0064525E">
        <w:rPr>
          <w:bCs/>
        </w:rPr>
        <w:t xml:space="preserve"> </w:t>
      </w:r>
      <w:r w:rsidR="00A21688">
        <w:rPr>
          <w:bCs/>
        </w:rPr>
        <w:t>was</w:t>
      </w:r>
      <w:r w:rsidR="0064525E">
        <w:rPr>
          <w:bCs/>
        </w:rPr>
        <w:t xml:space="preserve"> an aspect of feminine weakness</w:t>
      </w:r>
      <w:r w:rsidR="008616F3">
        <w:rPr>
          <w:bCs/>
        </w:rPr>
        <w:t>.</w:t>
      </w:r>
      <w:r w:rsidR="008616F3">
        <w:rPr>
          <w:rStyle w:val="FootnoteReference"/>
          <w:bCs/>
        </w:rPr>
        <w:footnoteReference w:id="32"/>
      </w:r>
      <w:r w:rsidR="009671BE">
        <w:rPr>
          <w:bCs/>
        </w:rPr>
        <w:t xml:space="preserve"> Also</w:t>
      </w:r>
      <w:r w:rsidR="00A21688">
        <w:rPr>
          <w:bCs/>
        </w:rPr>
        <w:t>,</w:t>
      </w:r>
      <w:r w:rsidR="009671BE">
        <w:rPr>
          <w:bCs/>
        </w:rPr>
        <w:t xml:space="preserve"> his</w:t>
      </w:r>
      <w:r w:rsidR="000E7682">
        <w:rPr>
          <w:bCs/>
        </w:rPr>
        <w:t xml:space="preserve"> </w:t>
      </w:r>
      <w:r w:rsidR="009D259D">
        <w:rPr>
          <w:bCs/>
        </w:rPr>
        <w:t xml:space="preserve">Eastern style </w:t>
      </w:r>
      <w:r w:rsidR="009671BE">
        <w:rPr>
          <w:bCs/>
        </w:rPr>
        <w:t xml:space="preserve">of </w:t>
      </w:r>
      <w:r w:rsidR="009D259D">
        <w:rPr>
          <w:bCs/>
        </w:rPr>
        <w:t>Phrygian cap</w:t>
      </w:r>
      <w:r w:rsidR="0074794E">
        <w:rPr>
          <w:bCs/>
        </w:rPr>
        <w:t xml:space="preserve"> and the association of his </w:t>
      </w:r>
      <w:r w:rsidR="004C68A7">
        <w:rPr>
          <w:bCs/>
        </w:rPr>
        <w:t xml:space="preserve">adornment and clothing with foreign </w:t>
      </w:r>
      <w:proofErr w:type="spellStart"/>
      <w:r w:rsidR="004C68A7">
        <w:rPr>
          <w:bCs/>
          <w:i/>
          <w:iCs/>
        </w:rPr>
        <w:t>luxuria</w:t>
      </w:r>
      <w:proofErr w:type="spellEnd"/>
      <w:r w:rsidR="001E3C79">
        <w:rPr>
          <w:bCs/>
        </w:rPr>
        <w:t xml:space="preserve"> generally</w:t>
      </w:r>
      <w:r w:rsidR="00A21688">
        <w:rPr>
          <w:bCs/>
        </w:rPr>
        <w:t>.</w:t>
      </w:r>
      <w:r w:rsidR="001E3C79">
        <w:rPr>
          <w:bCs/>
        </w:rPr>
        <w:t xml:space="preserve"> </w:t>
      </w:r>
      <w:r w:rsidR="009226A8">
        <w:rPr>
          <w:bCs/>
        </w:rPr>
        <w:t xml:space="preserve">So, </w:t>
      </w:r>
      <w:r w:rsidR="009226A8">
        <w:rPr>
          <w:rFonts w:eastAsia="Times New Roman"/>
          <w:color w:val="000000"/>
        </w:rPr>
        <w:t>w</w:t>
      </w:r>
      <w:r w:rsidR="00BA5A8B">
        <w:rPr>
          <w:rFonts w:eastAsia="Times New Roman"/>
          <w:color w:val="000000"/>
        </w:rPr>
        <w:t xml:space="preserve">hile Medea and Phaedra are presented as penetrators, Paris is </w:t>
      </w:r>
      <w:r w:rsidR="00BF467D">
        <w:rPr>
          <w:rFonts w:eastAsia="Times New Roman"/>
          <w:color w:val="000000"/>
        </w:rPr>
        <w:t>classified as</w:t>
      </w:r>
      <w:r w:rsidR="00BA5A8B">
        <w:rPr>
          <w:rFonts w:eastAsia="Times New Roman"/>
          <w:color w:val="000000"/>
        </w:rPr>
        <w:t xml:space="preserve"> penetrated. </w:t>
      </w:r>
      <w:r w:rsidR="009226A8">
        <w:rPr>
          <w:rFonts w:eastAsia="Times New Roman"/>
          <w:color w:val="000000"/>
        </w:rPr>
        <w:t>He</w:t>
      </w:r>
      <w:r w:rsidR="00C17F09">
        <w:rPr>
          <w:rFonts w:eastAsia="Times New Roman"/>
          <w:color w:val="000000"/>
        </w:rPr>
        <w:t xml:space="preserve"> </w:t>
      </w:r>
      <w:r w:rsidR="00523BE4">
        <w:rPr>
          <w:rFonts w:eastAsia="Times New Roman"/>
          <w:color w:val="000000"/>
        </w:rPr>
        <w:t>is showcased as the</w:t>
      </w:r>
      <w:r w:rsidR="00C17F09">
        <w:rPr>
          <w:rFonts w:eastAsia="Times New Roman"/>
          <w:color w:val="000000"/>
        </w:rPr>
        <w:t xml:space="preserve"> l</w:t>
      </w:r>
      <w:r w:rsidR="00523BE4">
        <w:rPr>
          <w:rFonts w:eastAsia="Times New Roman"/>
          <w:color w:val="000000"/>
        </w:rPr>
        <w:t>east</w:t>
      </w:r>
      <w:r w:rsidR="00C17F09">
        <w:rPr>
          <w:rFonts w:eastAsia="Times New Roman"/>
          <w:color w:val="000000"/>
        </w:rPr>
        <w:t xml:space="preserve"> masculine </w:t>
      </w:r>
      <w:r w:rsidR="00522F49">
        <w:rPr>
          <w:rFonts w:eastAsia="Times New Roman"/>
          <w:color w:val="000000"/>
        </w:rPr>
        <w:t>of the three</w:t>
      </w:r>
      <w:r w:rsidR="009B2B67">
        <w:rPr>
          <w:rFonts w:eastAsia="Times New Roman"/>
          <w:color w:val="000000"/>
        </w:rPr>
        <w:t xml:space="preserve">, </w:t>
      </w:r>
      <w:r w:rsidR="00522F49">
        <w:rPr>
          <w:rFonts w:eastAsia="Times New Roman"/>
          <w:color w:val="000000"/>
        </w:rPr>
        <w:t xml:space="preserve">despite </w:t>
      </w:r>
      <w:r w:rsidR="00617CBA">
        <w:rPr>
          <w:rFonts w:eastAsia="Times New Roman"/>
          <w:color w:val="000000"/>
        </w:rPr>
        <w:t>his</w:t>
      </w:r>
      <w:r w:rsidR="00522F49">
        <w:rPr>
          <w:rFonts w:eastAsia="Times New Roman"/>
          <w:color w:val="000000"/>
        </w:rPr>
        <w:t xml:space="preserve"> darker skin</w:t>
      </w:r>
      <w:r w:rsidR="00415770">
        <w:rPr>
          <w:rFonts w:eastAsia="Times New Roman"/>
          <w:color w:val="000000"/>
        </w:rPr>
        <w:t xml:space="preserve"> </w:t>
      </w:r>
      <w:r w:rsidR="00522F49">
        <w:rPr>
          <w:rFonts w:eastAsia="Times New Roman"/>
          <w:color w:val="000000"/>
        </w:rPr>
        <w:t>tone</w:t>
      </w:r>
      <w:r w:rsidR="009226A8">
        <w:rPr>
          <w:rFonts w:eastAsia="Times New Roman"/>
          <w:color w:val="000000"/>
        </w:rPr>
        <w:t>. H</w:t>
      </w:r>
      <w:r w:rsidR="00415770">
        <w:rPr>
          <w:rFonts w:eastAsia="Times New Roman"/>
          <w:color w:val="000000"/>
        </w:rPr>
        <w:t xml:space="preserve">is outer </w:t>
      </w:r>
      <w:r w:rsidR="00A41199">
        <w:rPr>
          <w:rFonts w:eastAsia="Times New Roman"/>
          <w:color w:val="000000"/>
        </w:rPr>
        <w:t xml:space="preserve">demeanour and </w:t>
      </w:r>
      <w:r w:rsidR="00415770">
        <w:rPr>
          <w:rFonts w:eastAsia="Times New Roman"/>
          <w:color w:val="000000"/>
        </w:rPr>
        <w:t>garb</w:t>
      </w:r>
      <w:r w:rsidR="00A41199">
        <w:rPr>
          <w:rFonts w:eastAsia="Times New Roman"/>
          <w:color w:val="000000"/>
        </w:rPr>
        <w:t>, together with his</w:t>
      </w:r>
      <w:r w:rsidR="009F58EF">
        <w:rPr>
          <w:rFonts w:eastAsia="Times New Roman"/>
          <w:color w:val="000000"/>
        </w:rPr>
        <w:t xml:space="preserve"> </w:t>
      </w:r>
      <w:r w:rsidR="00BF2FDC">
        <w:rPr>
          <w:rFonts w:eastAsia="Times New Roman"/>
          <w:color w:val="000000"/>
        </w:rPr>
        <w:t>seductive</w:t>
      </w:r>
      <w:r w:rsidR="00A41199">
        <w:rPr>
          <w:rFonts w:eastAsia="Times New Roman"/>
          <w:color w:val="000000"/>
        </w:rPr>
        <w:t xml:space="preserve"> behaviou</w:t>
      </w:r>
      <w:r w:rsidR="009F58EF">
        <w:rPr>
          <w:rFonts w:eastAsia="Times New Roman"/>
          <w:color w:val="000000"/>
        </w:rPr>
        <w:t>r</w:t>
      </w:r>
      <w:r w:rsidR="00BE5098">
        <w:rPr>
          <w:rFonts w:eastAsia="Times New Roman"/>
          <w:color w:val="000000"/>
        </w:rPr>
        <w:t>,</w:t>
      </w:r>
      <w:r w:rsidR="009F58EF">
        <w:rPr>
          <w:rFonts w:eastAsia="Times New Roman"/>
          <w:color w:val="000000"/>
        </w:rPr>
        <w:t xml:space="preserve"> </w:t>
      </w:r>
      <w:r w:rsidR="0051135C">
        <w:rPr>
          <w:rFonts w:eastAsia="Times New Roman"/>
          <w:color w:val="000000"/>
        </w:rPr>
        <w:t>classifies</w:t>
      </w:r>
      <w:r w:rsidR="009F58EF">
        <w:rPr>
          <w:rFonts w:eastAsia="Times New Roman"/>
          <w:color w:val="000000"/>
        </w:rPr>
        <w:t xml:space="preserve"> him as female</w:t>
      </w:r>
      <w:r w:rsidR="00BF2FDC">
        <w:rPr>
          <w:rFonts w:eastAsia="Times New Roman"/>
          <w:color w:val="000000"/>
        </w:rPr>
        <w:t>:</w:t>
      </w:r>
      <w:r w:rsidR="00D85027">
        <w:rPr>
          <w:rFonts w:eastAsia="Times New Roman"/>
          <w:color w:val="000000"/>
        </w:rPr>
        <w:t xml:space="preserve"> </w:t>
      </w:r>
      <w:r w:rsidR="003E3ECC">
        <w:rPr>
          <w:rFonts w:eastAsia="Times New Roman"/>
          <w:color w:val="000000"/>
        </w:rPr>
        <w:t xml:space="preserve">morally </w:t>
      </w:r>
      <w:r w:rsidR="00D85027">
        <w:rPr>
          <w:rFonts w:eastAsia="Times New Roman"/>
          <w:color w:val="000000"/>
        </w:rPr>
        <w:t>weak and passive</w:t>
      </w:r>
      <w:r w:rsidR="00BF2FDC">
        <w:rPr>
          <w:rFonts w:eastAsia="Times New Roman"/>
          <w:color w:val="000000"/>
        </w:rPr>
        <w:t>,</w:t>
      </w:r>
      <w:r w:rsidR="00415770">
        <w:rPr>
          <w:rFonts w:eastAsia="Times New Roman"/>
          <w:color w:val="000000"/>
        </w:rPr>
        <w:t xml:space="preserve"> </w:t>
      </w:r>
      <w:r w:rsidR="00EC7880">
        <w:rPr>
          <w:rFonts w:eastAsia="Times New Roman"/>
          <w:color w:val="000000"/>
        </w:rPr>
        <w:t xml:space="preserve">and unfit for </w:t>
      </w:r>
      <w:r w:rsidR="003E3ECC">
        <w:rPr>
          <w:rFonts w:eastAsia="Times New Roman"/>
          <w:color w:val="000000"/>
        </w:rPr>
        <w:t>civic life</w:t>
      </w:r>
      <w:r w:rsidR="00EC7880">
        <w:rPr>
          <w:rFonts w:eastAsia="Times New Roman"/>
          <w:color w:val="000000"/>
        </w:rPr>
        <w:t>.</w:t>
      </w:r>
      <w:r w:rsidR="00527FEE">
        <w:rPr>
          <w:rFonts w:eastAsia="Times New Roman"/>
          <w:color w:val="000000"/>
        </w:rPr>
        <w:t xml:space="preserve"> </w:t>
      </w:r>
    </w:p>
    <w:p w14:paraId="2FCCA10C" w14:textId="77777777" w:rsidR="003E3ECC" w:rsidRDefault="003E3ECC" w:rsidP="005203A9">
      <w:pPr>
        <w:shd w:val="clear" w:color="auto" w:fill="FFFFFF"/>
        <w:spacing w:after="0" w:line="480" w:lineRule="auto"/>
        <w:textAlignment w:val="baseline"/>
        <w:rPr>
          <w:rFonts w:eastAsia="Times New Roman"/>
          <w:color w:val="000000"/>
        </w:rPr>
      </w:pPr>
    </w:p>
    <w:p w14:paraId="63D27BA8" w14:textId="6A7E3188" w:rsidR="00124302" w:rsidRPr="008C2AF4" w:rsidRDefault="009D259D" w:rsidP="005203A9">
      <w:pPr>
        <w:spacing w:line="480" w:lineRule="auto"/>
        <w:rPr>
          <w:rStyle w:val="Strong"/>
          <w:b w:val="0"/>
          <w:bCs w:val="0"/>
        </w:rPr>
      </w:pPr>
      <w:r>
        <w:rPr>
          <w:rFonts w:eastAsia="Times New Roman"/>
          <w:color w:val="000000"/>
        </w:rPr>
        <w:t>Previous scholarshi</w:t>
      </w:r>
      <w:r w:rsidR="005D4815">
        <w:rPr>
          <w:rFonts w:eastAsia="Times New Roman"/>
          <w:color w:val="000000"/>
        </w:rPr>
        <w:t xml:space="preserve">p has associated </w:t>
      </w:r>
      <w:r w:rsidR="00D94008" w:rsidRPr="00A14334">
        <w:rPr>
          <w:rFonts w:eastAsia="Times New Roman"/>
          <w:color w:val="000000"/>
        </w:rPr>
        <w:t xml:space="preserve">Medea and </w:t>
      </w:r>
      <w:r w:rsidR="00D94008">
        <w:rPr>
          <w:rFonts w:eastAsia="Times New Roman"/>
          <w:color w:val="000000"/>
        </w:rPr>
        <w:t>C</w:t>
      </w:r>
      <w:r w:rsidR="00D94008" w:rsidRPr="00A14334">
        <w:rPr>
          <w:rFonts w:eastAsia="Times New Roman"/>
          <w:color w:val="000000"/>
        </w:rPr>
        <w:t xml:space="preserve">upid </w:t>
      </w:r>
      <w:r w:rsidR="005D4815">
        <w:rPr>
          <w:rFonts w:eastAsia="Times New Roman"/>
          <w:color w:val="000000"/>
        </w:rPr>
        <w:t xml:space="preserve">with the Principate </w:t>
      </w:r>
      <w:r w:rsidR="00042C55">
        <w:rPr>
          <w:rFonts w:eastAsia="Times New Roman"/>
          <w:color w:val="000000"/>
        </w:rPr>
        <w:t>and this</w:t>
      </w:r>
      <w:r w:rsidR="00D94008">
        <w:rPr>
          <w:rFonts w:eastAsia="Times New Roman"/>
          <w:color w:val="000000"/>
        </w:rPr>
        <w:t xml:space="preserve"> can be</w:t>
      </w:r>
      <w:r w:rsidR="003E3ECC">
        <w:rPr>
          <w:rFonts w:eastAsia="Times New Roman"/>
          <w:color w:val="000000"/>
        </w:rPr>
        <w:t xml:space="preserve"> extended</w:t>
      </w:r>
      <w:r w:rsidR="005F3D42">
        <w:rPr>
          <w:rFonts w:eastAsia="Times New Roman"/>
          <w:color w:val="000000"/>
        </w:rPr>
        <w:t xml:space="preserve"> to a</w:t>
      </w:r>
      <w:r w:rsidR="00D94008">
        <w:rPr>
          <w:rFonts w:eastAsia="Times New Roman"/>
          <w:color w:val="000000"/>
        </w:rPr>
        <w:t xml:space="preserve"> </w:t>
      </w:r>
      <w:r w:rsidR="005F3D42">
        <w:rPr>
          <w:rFonts w:eastAsia="Times New Roman"/>
          <w:color w:val="000000"/>
        </w:rPr>
        <w:t xml:space="preserve">political </w:t>
      </w:r>
      <w:r w:rsidR="00D94008" w:rsidRPr="00A14334">
        <w:rPr>
          <w:rFonts w:eastAsia="Times New Roman"/>
          <w:color w:val="000000"/>
        </w:rPr>
        <w:t>read</w:t>
      </w:r>
      <w:r w:rsidR="005F3D42">
        <w:rPr>
          <w:rFonts w:eastAsia="Times New Roman"/>
          <w:color w:val="000000"/>
        </w:rPr>
        <w:t>ing</w:t>
      </w:r>
      <w:r w:rsidR="00D94008" w:rsidRPr="00A14334">
        <w:rPr>
          <w:rFonts w:eastAsia="Times New Roman"/>
          <w:color w:val="000000"/>
        </w:rPr>
        <w:t xml:space="preserve"> </w:t>
      </w:r>
      <w:r w:rsidR="00D320AC">
        <w:rPr>
          <w:rFonts w:eastAsia="Times New Roman"/>
          <w:color w:val="000000"/>
        </w:rPr>
        <w:t xml:space="preserve">of </w:t>
      </w:r>
      <w:r w:rsidR="00D94008" w:rsidRPr="00A14334">
        <w:rPr>
          <w:rFonts w:eastAsia="Times New Roman"/>
          <w:color w:val="000000"/>
        </w:rPr>
        <w:t>Paris as an Augustus</w:t>
      </w:r>
      <w:r w:rsidR="00D320AC">
        <w:rPr>
          <w:rFonts w:eastAsia="Times New Roman"/>
          <w:color w:val="000000"/>
        </w:rPr>
        <w:t xml:space="preserve">. </w:t>
      </w:r>
      <w:r w:rsidR="00D94008">
        <w:rPr>
          <w:rFonts w:eastAsia="Times New Roman"/>
          <w:color w:val="000000"/>
        </w:rPr>
        <w:t xml:space="preserve">Cupid appears in </w:t>
      </w:r>
      <w:r w:rsidR="00C9077A">
        <w:rPr>
          <w:rFonts w:eastAsia="Times New Roman"/>
          <w:color w:val="000000"/>
        </w:rPr>
        <w:t>the third painting</w:t>
      </w:r>
      <w:r w:rsidR="00D94008">
        <w:rPr>
          <w:rFonts w:eastAsia="Times New Roman"/>
          <w:color w:val="000000"/>
        </w:rPr>
        <w:t xml:space="preserve"> </w:t>
      </w:r>
      <w:r w:rsidR="00C9077A">
        <w:rPr>
          <w:rFonts w:eastAsia="Times New Roman"/>
          <w:color w:val="000000"/>
        </w:rPr>
        <w:t>indicating</w:t>
      </w:r>
      <w:r w:rsidR="00D94008">
        <w:rPr>
          <w:rFonts w:eastAsia="Times New Roman"/>
          <w:color w:val="000000"/>
        </w:rPr>
        <w:t xml:space="preserve"> to</w:t>
      </w:r>
      <w:r w:rsidR="00C9077A">
        <w:rPr>
          <w:rFonts w:eastAsia="Times New Roman"/>
          <w:color w:val="000000"/>
        </w:rPr>
        <w:t>ward</w:t>
      </w:r>
      <w:r w:rsidR="00D94008">
        <w:rPr>
          <w:rFonts w:eastAsia="Times New Roman"/>
          <w:color w:val="000000"/>
        </w:rPr>
        <w:t xml:space="preserve"> Paris, his size and position mirroring that of Medea’s youngest son in the </w:t>
      </w:r>
      <w:r w:rsidR="00D94008">
        <w:rPr>
          <w:rFonts w:eastAsia="Times New Roman"/>
          <w:color w:val="000000"/>
        </w:rPr>
        <w:lastRenderedPageBreak/>
        <w:t>painting to the right</w:t>
      </w:r>
      <w:r w:rsidR="000F4B21">
        <w:rPr>
          <w:rFonts w:eastAsia="Times New Roman"/>
          <w:color w:val="000000"/>
        </w:rPr>
        <w:t xml:space="preserve">, that </w:t>
      </w:r>
      <w:r w:rsidR="0075706D">
        <w:rPr>
          <w:rFonts w:eastAsia="Times New Roman"/>
          <w:color w:val="000000"/>
        </w:rPr>
        <w:t xml:space="preserve">to </w:t>
      </w:r>
      <w:proofErr w:type="spellStart"/>
      <w:r w:rsidR="000F4B21">
        <w:rPr>
          <w:rFonts w:eastAsia="Times New Roman"/>
          <w:color w:val="000000"/>
        </w:rPr>
        <w:t>Vout</w:t>
      </w:r>
      <w:proofErr w:type="spellEnd"/>
      <w:r w:rsidR="000F4B21">
        <w:rPr>
          <w:rFonts w:eastAsia="Times New Roman"/>
          <w:color w:val="000000"/>
        </w:rPr>
        <w:t xml:space="preserve"> </w:t>
      </w:r>
      <w:r w:rsidR="0075706D">
        <w:rPr>
          <w:rFonts w:eastAsia="Times New Roman"/>
          <w:color w:val="000000"/>
        </w:rPr>
        <w:t xml:space="preserve">evokes Augustan dynastic </w:t>
      </w:r>
      <w:r w:rsidR="00931725">
        <w:rPr>
          <w:rFonts w:eastAsia="Times New Roman"/>
          <w:color w:val="000000"/>
        </w:rPr>
        <w:t>projection</w:t>
      </w:r>
      <w:r w:rsidR="00A74761">
        <w:rPr>
          <w:rFonts w:eastAsia="Times New Roman"/>
          <w:color w:val="000000"/>
        </w:rPr>
        <w:t>.</w:t>
      </w:r>
      <w:r w:rsidR="00A74761">
        <w:rPr>
          <w:rStyle w:val="FootnoteReference"/>
          <w:rFonts w:eastAsia="Times New Roman"/>
          <w:color w:val="000000"/>
        </w:rPr>
        <w:footnoteReference w:id="33"/>
      </w:r>
      <w:r w:rsidR="00931725">
        <w:rPr>
          <w:rFonts w:eastAsia="Times New Roman"/>
          <w:color w:val="000000"/>
        </w:rPr>
        <w:t xml:space="preserve"> </w:t>
      </w:r>
      <w:r w:rsidR="00D94008" w:rsidRPr="00A14334">
        <w:rPr>
          <w:rFonts w:eastAsia="Times New Roman"/>
          <w:color w:val="000000"/>
        </w:rPr>
        <w:t>Gender slurs that suggested effeminacy and </w:t>
      </w:r>
      <w:proofErr w:type="spellStart"/>
      <w:r w:rsidR="00D94008" w:rsidRPr="00A14334">
        <w:rPr>
          <w:rFonts w:eastAsia="Times New Roman"/>
          <w:i/>
          <w:iCs/>
          <w:color w:val="000000"/>
        </w:rPr>
        <w:t>cinaedus</w:t>
      </w:r>
      <w:proofErr w:type="spellEnd"/>
      <w:r w:rsidR="00D94008" w:rsidRPr="00A14334">
        <w:rPr>
          <w:rFonts w:eastAsia="Times New Roman"/>
          <w:i/>
          <w:iCs/>
          <w:color w:val="000000"/>
        </w:rPr>
        <w:t> </w:t>
      </w:r>
      <w:r w:rsidR="00D94008" w:rsidRPr="00A14334">
        <w:rPr>
          <w:rFonts w:eastAsia="Times New Roman"/>
          <w:color w:val="000000"/>
        </w:rPr>
        <w:t xml:space="preserve">status had been </w:t>
      </w:r>
      <w:r w:rsidR="00537C8C">
        <w:rPr>
          <w:rFonts w:eastAsia="Times New Roman"/>
          <w:color w:val="000000"/>
        </w:rPr>
        <w:t xml:space="preserve">used </w:t>
      </w:r>
      <w:r w:rsidR="00795874">
        <w:rPr>
          <w:rFonts w:eastAsia="Times New Roman"/>
          <w:color w:val="000000"/>
        </w:rPr>
        <w:t xml:space="preserve">politically against Octavian </w:t>
      </w:r>
      <w:r w:rsidR="00537C8C">
        <w:rPr>
          <w:rFonts w:eastAsia="Times New Roman"/>
          <w:color w:val="000000"/>
        </w:rPr>
        <w:t>in the past</w:t>
      </w:r>
      <w:r w:rsidR="00C5527D">
        <w:rPr>
          <w:rFonts w:eastAsia="Times New Roman"/>
          <w:color w:val="000000"/>
        </w:rPr>
        <w:t xml:space="preserve"> </w:t>
      </w:r>
      <w:r w:rsidR="00D94008" w:rsidRPr="00A14334">
        <w:rPr>
          <w:rFonts w:eastAsia="Times New Roman"/>
          <w:color w:val="000000"/>
        </w:rPr>
        <w:t xml:space="preserve">and there is an example </w:t>
      </w:r>
      <w:r w:rsidR="00537C8C">
        <w:rPr>
          <w:rFonts w:eastAsia="Times New Roman"/>
          <w:color w:val="000000"/>
        </w:rPr>
        <w:t xml:space="preserve">recorded </w:t>
      </w:r>
      <w:r w:rsidR="00DC0932">
        <w:rPr>
          <w:rFonts w:eastAsia="Times New Roman"/>
          <w:color w:val="000000"/>
        </w:rPr>
        <w:t>where a</w:t>
      </w:r>
      <w:r w:rsidR="00816625" w:rsidRPr="00816625">
        <w:rPr>
          <w:rFonts w:eastAsia="Times New Roman"/>
          <w:color w:val="000000"/>
        </w:rPr>
        <w:t xml:space="preserve"> </w:t>
      </w:r>
      <w:r w:rsidR="00816625">
        <w:rPr>
          <w:rFonts w:eastAsia="Times New Roman"/>
          <w:color w:val="000000"/>
        </w:rPr>
        <w:t>double entendre</w:t>
      </w:r>
      <w:r w:rsidR="0039178A">
        <w:rPr>
          <w:rFonts w:eastAsia="Times New Roman"/>
          <w:color w:val="000000"/>
        </w:rPr>
        <w:t xml:space="preserve"> in a theatre play</w:t>
      </w:r>
      <w:r w:rsidR="00054639">
        <w:rPr>
          <w:rFonts w:eastAsia="Times New Roman"/>
          <w:color w:val="000000"/>
        </w:rPr>
        <w:t xml:space="preserve"> that </w:t>
      </w:r>
      <w:r w:rsidR="007B710E">
        <w:rPr>
          <w:rFonts w:eastAsia="Times New Roman"/>
          <w:color w:val="000000"/>
        </w:rPr>
        <w:t xml:space="preserve">that casts he ruler of the world as a </w:t>
      </w:r>
      <w:proofErr w:type="spellStart"/>
      <w:r w:rsidR="007B710E">
        <w:rPr>
          <w:rFonts w:eastAsia="Times New Roman"/>
          <w:i/>
          <w:iCs/>
          <w:color w:val="000000"/>
        </w:rPr>
        <w:t>cinnaedus</w:t>
      </w:r>
      <w:proofErr w:type="spellEnd"/>
      <w:r w:rsidR="0039178A">
        <w:rPr>
          <w:rFonts w:eastAsia="Times New Roman"/>
          <w:color w:val="000000"/>
        </w:rPr>
        <w:t xml:space="preserve"> is read as </w:t>
      </w:r>
      <w:r w:rsidR="00D94008" w:rsidRPr="00A14334">
        <w:rPr>
          <w:rFonts w:eastAsia="Times New Roman"/>
          <w:color w:val="000000"/>
        </w:rPr>
        <w:t xml:space="preserve">concerning Octavian </w:t>
      </w:r>
      <w:r w:rsidR="006E53BF">
        <w:rPr>
          <w:rFonts w:eastAsia="Times New Roman"/>
          <w:color w:val="000000"/>
        </w:rPr>
        <w:t>by the audience</w:t>
      </w:r>
      <w:r w:rsidR="00660127">
        <w:rPr>
          <w:rFonts w:eastAsia="Times New Roman"/>
          <w:color w:val="000000"/>
        </w:rPr>
        <w:t>.</w:t>
      </w:r>
      <w:r w:rsidR="00660127">
        <w:rPr>
          <w:rStyle w:val="FootnoteReference"/>
          <w:rFonts w:eastAsia="Times New Roman"/>
          <w:color w:val="000000"/>
        </w:rPr>
        <w:footnoteReference w:id="34"/>
      </w:r>
      <w:r w:rsidR="00D94008" w:rsidRPr="00A14334">
        <w:rPr>
          <w:rFonts w:eastAsia="Times New Roman"/>
          <w:color w:val="000000"/>
        </w:rPr>
        <w:t xml:space="preserve"> In Ovid's </w:t>
      </w:r>
      <w:proofErr w:type="spellStart"/>
      <w:r w:rsidR="00D94008" w:rsidRPr="00A14334">
        <w:rPr>
          <w:rFonts w:eastAsia="Times New Roman"/>
          <w:i/>
          <w:iCs/>
          <w:color w:val="000000"/>
        </w:rPr>
        <w:t>Heroides</w:t>
      </w:r>
      <w:proofErr w:type="spellEnd"/>
      <w:r w:rsidR="00D94008" w:rsidRPr="00A14334">
        <w:rPr>
          <w:rFonts w:eastAsia="Times New Roman"/>
          <w:color w:val="000000"/>
        </w:rPr>
        <w:t xml:space="preserve">, one of the likely sources for these pictures, Paris </w:t>
      </w:r>
      <w:r w:rsidR="00D94008">
        <w:rPr>
          <w:rFonts w:eastAsia="Times New Roman"/>
          <w:color w:val="000000"/>
        </w:rPr>
        <w:t xml:space="preserve">in his letter </w:t>
      </w:r>
      <w:r w:rsidR="00E7666A">
        <w:rPr>
          <w:rFonts w:eastAsia="Times New Roman"/>
          <w:color w:val="000000"/>
        </w:rPr>
        <w:t>to</w:t>
      </w:r>
      <w:r w:rsidR="00D94008" w:rsidRPr="00A14334">
        <w:rPr>
          <w:rFonts w:eastAsia="Times New Roman"/>
          <w:color w:val="000000"/>
        </w:rPr>
        <w:t xml:space="preserve"> Helen</w:t>
      </w:r>
      <w:r w:rsidR="00EF0600">
        <w:rPr>
          <w:rFonts w:eastAsia="Times New Roman"/>
          <w:color w:val="000000"/>
        </w:rPr>
        <w:t xml:space="preserve"> </w:t>
      </w:r>
      <w:r w:rsidR="00E7666A">
        <w:rPr>
          <w:rFonts w:eastAsia="Times New Roman"/>
          <w:color w:val="000000"/>
        </w:rPr>
        <w:t>reminds</w:t>
      </w:r>
      <w:r w:rsidR="004C6B24">
        <w:rPr>
          <w:rFonts w:eastAsia="Times New Roman"/>
          <w:color w:val="000000"/>
        </w:rPr>
        <w:t xml:space="preserve"> her</w:t>
      </w:r>
      <w:r w:rsidR="00D94008" w:rsidRPr="00A14334">
        <w:rPr>
          <w:rFonts w:eastAsia="Times New Roman"/>
          <w:color w:val="000000"/>
        </w:rPr>
        <w:t xml:space="preserve"> of the union of the Phrygian Anchises with Venus, that results in the Julian line</w:t>
      </w:r>
      <w:r w:rsidR="008B2F09">
        <w:rPr>
          <w:rFonts w:eastAsia="Times New Roman"/>
          <w:color w:val="000000"/>
        </w:rPr>
        <w:t>.</w:t>
      </w:r>
      <w:r w:rsidR="008B2F09">
        <w:rPr>
          <w:rStyle w:val="FootnoteReference"/>
          <w:rFonts w:eastAsia="Times New Roman"/>
          <w:color w:val="000000"/>
        </w:rPr>
        <w:footnoteReference w:id="35"/>
      </w:r>
      <w:r w:rsidR="00D94008" w:rsidRPr="00A14334">
        <w:rPr>
          <w:rFonts w:eastAsia="Times New Roman"/>
          <w:color w:val="000000"/>
        </w:rPr>
        <w:t> </w:t>
      </w:r>
      <w:r w:rsidR="00D94008">
        <w:rPr>
          <w:rFonts w:eastAsia="Times New Roman"/>
          <w:color w:val="000000"/>
        </w:rPr>
        <w:t xml:space="preserve">Pompeii had fought with the Italians against Rome In the Italic War 91-87 BC, as Rome’s allies they had wanted full Roman citizenship but </w:t>
      </w:r>
      <w:r w:rsidR="00D320AC">
        <w:rPr>
          <w:rFonts w:eastAsia="Times New Roman"/>
          <w:color w:val="000000"/>
        </w:rPr>
        <w:t>w</w:t>
      </w:r>
      <w:r w:rsidR="00D94008">
        <w:rPr>
          <w:rFonts w:eastAsia="Times New Roman"/>
          <w:color w:val="000000"/>
        </w:rPr>
        <w:t>ere refused.</w:t>
      </w:r>
      <w:r w:rsidR="00B905F4">
        <w:rPr>
          <w:rStyle w:val="FootnoteReference"/>
          <w:rFonts w:eastAsia="Times New Roman"/>
          <w:color w:val="000000"/>
        </w:rPr>
        <w:footnoteReference w:id="36"/>
      </w:r>
      <w:r w:rsidR="00D94008">
        <w:rPr>
          <w:rFonts w:eastAsia="Times New Roman"/>
          <w:color w:val="000000"/>
        </w:rPr>
        <w:t xml:space="preserve">  Pompeii was conquered and subsequently colonized by </w:t>
      </w:r>
      <w:r w:rsidR="004C6B24">
        <w:rPr>
          <w:rFonts w:eastAsia="Times New Roman"/>
          <w:color w:val="000000"/>
        </w:rPr>
        <w:t xml:space="preserve">Roman </w:t>
      </w:r>
      <w:r w:rsidR="00D94008">
        <w:rPr>
          <w:rFonts w:eastAsia="Times New Roman"/>
          <w:color w:val="000000"/>
        </w:rPr>
        <w:t>veteran soldiers</w:t>
      </w:r>
      <w:r w:rsidR="004C6B24">
        <w:rPr>
          <w:rFonts w:eastAsia="Times New Roman"/>
          <w:color w:val="000000"/>
        </w:rPr>
        <w:t>: p</w:t>
      </w:r>
      <w:r w:rsidR="00D94008">
        <w:rPr>
          <w:rFonts w:eastAsia="Times New Roman"/>
          <w:color w:val="000000"/>
        </w:rPr>
        <w:t>ositions of political power were filled by veterans for the next twenty years or so leaving Pompeiians largely disenfranchised.</w:t>
      </w:r>
      <w:r w:rsidR="00704F03">
        <w:rPr>
          <w:rStyle w:val="FootnoteReference"/>
          <w:rFonts w:eastAsia="Times New Roman"/>
          <w:color w:val="000000"/>
        </w:rPr>
        <w:footnoteReference w:id="37"/>
      </w:r>
      <w:r w:rsidR="00D94008">
        <w:rPr>
          <w:rFonts w:eastAsia="Times New Roman"/>
          <w:color w:val="000000"/>
        </w:rPr>
        <w:t xml:space="preserve"> </w:t>
      </w:r>
      <w:r w:rsidR="00DA3AE2">
        <w:rPr>
          <w:rFonts w:eastAsia="Times New Roman"/>
          <w:color w:val="000000"/>
        </w:rPr>
        <w:t xml:space="preserve">Their </w:t>
      </w:r>
      <w:r w:rsidR="00D94008">
        <w:rPr>
          <w:rFonts w:eastAsia="Times New Roman"/>
          <w:color w:val="000000"/>
        </w:rPr>
        <w:t xml:space="preserve">Oscan language </w:t>
      </w:r>
      <w:r w:rsidR="00FC1A41">
        <w:rPr>
          <w:rFonts w:eastAsia="Times New Roman"/>
          <w:color w:val="000000"/>
        </w:rPr>
        <w:t xml:space="preserve">was </w:t>
      </w:r>
      <w:r w:rsidR="00D94008">
        <w:rPr>
          <w:rFonts w:eastAsia="Times New Roman"/>
          <w:color w:val="000000"/>
        </w:rPr>
        <w:t xml:space="preserve">replaced by Latin </w:t>
      </w:r>
      <w:r w:rsidR="00D15DF4">
        <w:rPr>
          <w:rFonts w:eastAsia="Times New Roman"/>
          <w:color w:val="000000"/>
        </w:rPr>
        <w:t>and</w:t>
      </w:r>
      <w:r w:rsidR="00D94008" w:rsidRPr="00A14334">
        <w:rPr>
          <w:rFonts w:eastAsia="Times New Roman"/>
          <w:color w:val="000000"/>
        </w:rPr>
        <w:t xml:space="preserve"> existing cults </w:t>
      </w:r>
      <w:r w:rsidR="00D94008">
        <w:rPr>
          <w:rFonts w:eastAsia="Times New Roman"/>
          <w:color w:val="000000"/>
        </w:rPr>
        <w:t>with</w:t>
      </w:r>
      <w:r w:rsidR="00D94008" w:rsidRPr="00A14334">
        <w:rPr>
          <w:rFonts w:eastAsia="Times New Roman"/>
          <w:color w:val="000000"/>
        </w:rPr>
        <w:t xml:space="preserve"> Venus, </w:t>
      </w:r>
      <w:r w:rsidR="00D15DF4">
        <w:rPr>
          <w:rFonts w:eastAsia="Times New Roman"/>
          <w:color w:val="000000"/>
        </w:rPr>
        <w:t xml:space="preserve">now the guardian of Pompeii </w:t>
      </w:r>
      <w:r w:rsidR="00D94008" w:rsidRPr="00A14334">
        <w:rPr>
          <w:rFonts w:eastAsia="Times New Roman"/>
          <w:color w:val="000000"/>
        </w:rPr>
        <w:t>a</w:t>
      </w:r>
      <w:r w:rsidR="006C1C65">
        <w:rPr>
          <w:rFonts w:eastAsia="Times New Roman"/>
          <w:color w:val="000000"/>
        </w:rPr>
        <w:t>s well as</w:t>
      </w:r>
      <w:r w:rsidR="00D94008">
        <w:rPr>
          <w:rFonts w:eastAsia="Times New Roman"/>
          <w:color w:val="000000"/>
        </w:rPr>
        <w:t xml:space="preserve"> </w:t>
      </w:r>
      <w:r w:rsidR="0013092F">
        <w:rPr>
          <w:rFonts w:eastAsia="Times New Roman"/>
          <w:color w:val="000000"/>
        </w:rPr>
        <w:t xml:space="preserve">a </w:t>
      </w:r>
      <w:r w:rsidR="00D94008">
        <w:rPr>
          <w:rFonts w:eastAsia="Times New Roman"/>
          <w:color w:val="000000"/>
        </w:rPr>
        <w:t xml:space="preserve">favourite </w:t>
      </w:r>
      <w:r w:rsidR="006C1C65">
        <w:rPr>
          <w:rFonts w:eastAsia="Times New Roman"/>
          <w:color w:val="000000"/>
        </w:rPr>
        <w:t xml:space="preserve">of </w:t>
      </w:r>
      <w:r w:rsidR="00D94008">
        <w:rPr>
          <w:rFonts w:eastAsia="Times New Roman"/>
          <w:color w:val="000000"/>
        </w:rPr>
        <w:t>Augustus</w:t>
      </w:r>
      <w:r w:rsidR="00FC1A41">
        <w:rPr>
          <w:rFonts w:eastAsia="Times New Roman"/>
          <w:color w:val="000000"/>
        </w:rPr>
        <w:t>, while</w:t>
      </w:r>
      <w:r w:rsidR="00D94008">
        <w:rPr>
          <w:rFonts w:eastAsia="Times New Roman"/>
          <w:color w:val="000000"/>
        </w:rPr>
        <w:t xml:space="preserve"> </w:t>
      </w:r>
      <w:r w:rsidR="00975EC4">
        <w:rPr>
          <w:rFonts w:eastAsia="Times New Roman"/>
          <w:color w:val="000000"/>
        </w:rPr>
        <w:t>n</w:t>
      </w:r>
      <w:r w:rsidR="005605F3">
        <w:rPr>
          <w:rFonts w:eastAsia="Times New Roman"/>
          <w:color w:val="000000"/>
        </w:rPr>
        <w:t>ew Imperial buildings</w:t>
      </w:r>
      <w:r w:rsidR="00FC1A41">
        <w:rPr>
          <w:rFonts w:eastAsia="Times New Roman"/>
          <w:color w:val="000000"/>
        </w:rPr>
        <w:t>,</w:t>
      </w:r>
      <w:r w:rsidR="00650E1A">
        <w:rPr>
          <w:rFonts w:eastAsia="Times New Roman"/>
          <w:color w:val="000000"/>
        </w:rPr>
        <w:t xml:space="preserve"> in the Roman style</w:t>
      </w:r>
      <w:r w:rsidR="00FC1A41">
        <w:rPr>
          <w:rFonts w:eastAsia="Times New Roman"/>
          <w:color w:val="000000"/>
        </w:rPr>
        <w:t>,</w:t>
      </w:r>
      <w:r w:rsidR="00650E1A">
        <w:rPr>
          <w:rFonts w:eastAsia="Times New Roman"/>
          <w:color w:val="000000"/>
        </w:rPr>
        <w:t xml:space="preserve"> started</w:t>
      </w:r>
      <w:r w:rsidR="00767247">
        <w:rPr>
          <w:rFonts w:eastAsia="Times New Roman"/>
          <w:color w:val="000000"/>
        </w:rPr>
        <w:t xml:space="preserve"> to take over </w:t>
      </w:r>
      <w:r w:rsidR="000B5BC0">
        <w:rPr>
          <w:rFonts w:eastAsia="Times New Roman"/>
          <w:color w:val="000000"/>
        </w:rPr>
        <w:t>the landscape.</w:t>
      </w:r>
      <w:r w:rsidR="009A7A94">
        <w:rPr>
          <w:rStyle w:val="FootnoteReference"/>
          <w:rFonts w:eastAsia="Times New Roman"/>
          <w:color w:val="000000"/>
        </w:rPr>
        <w:footnoteReference w:id="38"/>
      </w:r>
      <w:r w:rsidR="000B5BC0">
        <w:rPr>
          <w:rFonts w:eastAsia="Times New Roman"/>
          <w:color w:val="000000"/>
        </w:rPr>
        <w:t>Tensions and</w:t>
      </w:r>
      <w:r w:rsidR="00D94008" w:rsidRPr="00A14334">
        <w:rPr>
          <w:rFonts w:eastAsia="Times New Roman"/>
          <w:color w:val="000000"/>
        </w:rPr>
        <w:t xml:space="preserve"> resentments seem likely</w:t>
      </w:r>
      <w:r w:rsidR="002B7902">
        <w:rPr>
          <w:rFonts w:eastAsia="Times New Roman"/>
          <w:color w:val="000000"/>
        </w:rPr>
        <w:t>:</w:t>
      </w:r>
      <w:r w:rsidR="00D94008">
        <w:rPr>
          <w:rFonts w:eastAsia="Times New Roman"/>
          <w:color w:val="000000"/>
        </w:rPr>
        <w:t xml:space="preserve"> </w:t>
      </w:r>
      <w:r w:rsidR="00D5268A">
        <w:rPr>
          <w:rFonts w:eastAsia="Times New Roman"/>
          <w:color w:val="000000"/>
        </w:rPr>
        <w:t xml:space="preserve">there may have been </w:t>
      </w:r>
      <w:r w:rsidR="00D94008">
        <w:rPr>
          <w:rFonts w:eastAsia="Times New Roman"/>
          <w:color w:val="000000"/>
        </w:rPr>
        <w:t>many years of disagreement between colonists and colonized.</w:t>
      </w:r>
      <w:r w:rsidR="00E65310">
        <w:rPr>
          <w:rStyle w:val="FootnoteReference"/>
          <w:rFonts w:eastAsia="Times New Roman"/>
          <w:color w:val="000000"/>
        </w:rPr>
        <w:footnoteReference w:id="39"/>
      </w:r>
      <w:r w:rsidR="00D94008">
        <w:rPr>
          <w:rFonts w:eastAsia="Times New Roman"/>
          <w:color w:val="000000"/>
        </w:rPr>
        <w:t xml:space="preserve"> </w:t>
      </w:r>
      <w:r w:rsidR="007775C3">
        <w:rPr>
          <w:rFonts w:eastAsia="Times New Roman"/>
          <w:color w:val="000000"/>
        </w:rPr>
        <w:t>To subversively cast t</w:t>
      </w:r>
      <w:r w:rsidR="00C05CFF">
        <w:rPr>
          <w:rFonts w:eastAsia="Times New Roman"/>
          <w:color w:val="000000"/>
        </w:rPr>
        <w:t>he</w:t>
      </w:r>
      <w:r w:rsidR="00C05CFF" w:rsidRPr="00C05CFF">
        <w:rPr>
          <w:rFonts w:eastAsia="Times New Roman"/>
          <w:i/>
          <w:iCs/>
          <w:color w:val="000000"/>
        </w:rPr>
        <w:t xml:space="preserve"> </w:t>
      </w:r>
      <w:r w:rsidR="007775C3">
        <w:rPr>
          <w:rStyle w:val="Strong"/>
          <w:b w:val="0"/>
          <w:bCs w:val="0"/>
          <w:i/>
          <w:iCs/>
        </w:rPr>
        <w:t>p</w:t>
      </w:r>
      <w:r w:rsidR="00124302" w:rsidRPr="00C05CFF">
        <w:rPr>
          <w:rStyle w:val="Strong"/>
          <w:b w:val="0"/>
          <w:bCs w:val="0"/>
          <w:i/>
          <w:iCs/>
        </w:rPr>
        <w:t>rinceps</w:t>
      </w:r>
      <w:r w:rsidR="00124302">
        <w:rPr>
          <w:rStyle w:val="Strong"/>
          <w:b w:val="0"/>
          <w:bCs w:val="0"/>
        </w:rPr>
        <w:t xml:space="preserve"> </w:t>
      </w:r>
      <w:r w:rsidR="00C05CFF">
        <w:rPr>
          <w:rStyle w:val="Strong"/>
          <w:b w:val="0"/>
          <w:bCs w:val="0"/>
        </w:rPr>
        <w:t>Augustus</w:t>
      </w:r>
      <w:r w:rsidR="007775C3">
        <w:rPr>
          <w:rStyle w:val="Strong"/>
          <w:b w:val="0"/>
          <w:bCs w:val="0"/>
        </w:rPr>
        <w:t xml:space="preserve">, who was </w:t>
      </w:r>
      <w:r w:rsidR="00215936">
        <w:rPr>
          <w:rStyle w:val="Strong"/>
          <w:b w:val="0"/>
          <w:bCs w:val="0"/>
        </w:rPr>
        <w:t>the</w:t>
      </w:r>
      <w:r w:rsidR="00C05CFF">
        <w:rPr>
          <w:rStyle w:val="Strong"/>
          <w:b w:val="0"/>
          <w:bCs w:val="0"/>
        </w:rPr>
        <w:t xml:space="preserve"> </w:t>
      </w:r>
      <w:r w:rsidR="00124302">
        <w:rPr>
          <w:rStyle w:val="Strong"/>
          <w:b w:val="0"/>
          <w:bCs w:val="0"/>
        </w:rPr>
        <w:t>primary example</w:t>
      </w:r>
      <w:r w:rsidR="00215936">
        <w:rPr>
          <w:rStyle w:val="Strong"/>
          <w:b w:val="0"/>
          <w:bCs w:val="0"/>
        </w:rPr>
        <w:t xml:space="preserve"> of Roman</w:t>
      </w:r>
      <w:r w:rsidR="00124302">
        <w:rPr>
          <w:rStyle w:val="Strong"/>
          <w:b w:val="0"/>
          <w:bCs w:val="0"/>
        </w:rPr>
        <w:t xml:space="preserve"> hegemon</w:t>
      </w:r>
      <w:r w:rsidR="00F74505">
        <w:rPr>
          <w:rStyle w:val="Strong"/>
          <w:b w:val="0"/>
          <w:bCs w:val="0"/>
        </w:rPr>
        <w:t>y</w:t>
      </w:r>
      <w:r w:rsidR="00507782">
        <w:rPr>
          <w:rStyle w:val="Strong"/>
          <w:b w:val="0"/>
          <w:bCs w:val="0"/>
        </w:rPr>
        <w:t>,</w:t>
      </w:r>
      <w:r w:rsidR="00C05CFF">
        <w:rPr>
          <w:rStyle w:val="Strong"/>
          <w:b w:val="0"/>
          <w:bCs w:val="0"/>
        </w:rPr>
        <w:t xml:space="preserve"> </w:t>
      </w:r>
      <w:r w:rsidR="00215936">
        <w:rPr>
          <w:rStyle w:val="Strong"/>
          <w:b w:val="0"/>
          <w:bCs w:val="0"/>
        </w:rPr>
        <w:t>as</w:t>
      </w:r>
      <w:r w:rsidR="00673EBB">
        <w:rPr>
          <w:rStyle w:val="Strong"/>
          <w:b w:val="0"/>
          <w:bCs w:val="0"/>
        </w:rPr>
        <w:t xml:space="preserve"> abnormal</w:t>
      </w:r>
      <w:r w:rsidR="00A60101">
        <w:rPr>
          <w:rStyle w:val="Strong"/>
          <w:b w:val="0"/>
          <w:bCs w:val="0"/>
        </w:rPr>
        <w:t xml:space="preserve"> and</w:t>
      </w:r>
      <w:r w:rsidR="001152A7">
        <w:rPr>
          <w:rStyle w:val="Strong"/>
          <w:b w:val="0"/>
          <w:bCs w:val="0"/>
        </w:rPr>
        <w:t xml:space="preserve"> effeminate and </w:t>
      </w:r>
      <w:r w:rsidR="00573AD7">
        <w:rPr>
          <w:rStyle w:val="Strong"/>
          <w:b w:val="0"/>
          <w:bCs w:val="0"/>
        </w:rPr>
        <w:t xml:space="preserve">unfit for civic life </w:t>
      </w:r>
      <w:r w:rsidR="00507782">
        <w:rPr>
          <w:rStyle w:val="Strong"/>
          <w:b w:val="0"/>
          <w:bCs w:val="0"/>
        </w:rPr>
        <w:t>would be</w:t>
      </w:r>
      <w:r w:rsidR="00AF4808">
        <w:rPr>
          <w:rStyle w:val="Strong"/>
          <w:b w:val="0"/>
          <w:bCs w:val="0"/>
        </w:rPr>
        <w:t xml:space="preserve"> a way </w:t>
      </w:r>
      <w:r w:rsidR="00A511F1">
        <w:rPr>
          <w:rStyle w:val="Strong"/>
          <w:b w:val="0"/>
          <w:bCs w:val="0"/>
        </w:rPr>
        <w:t xml:space="preserve">of subversively </w:t>
      </w:r>
      <w:r w:rsidR="00975EC4">
        <w:rPr>
          <w:rStyle w:val="Strong"/>
          <w:b w:val="0"/>
          <w:bCs w:val="0"/>
        </w:rPr>
        <w:t xml:space="preserve">expressing </w:t>
      </w:r>
      <w:r w:rsidR="00A511F1">
        <w:rPr>
          <w:rStyle w:val="Strong"/>
          <w:b w:val="0"/>
          <w:bCs w:val="0"/>
        </w:rPr>
        <w:t xml:space="preserve">a political allegiance that </w:t>
      </w:r>
      <w:r w:rsidR="00F04734">
        <w:rPr>
          <w:rStyle w:val="Strong"/>
          <w:b w:val="0"/>
          <w:bCs w:val="0"/>
        </w:rPr>
        <w:t>could</w:t>
      </w:r>
      <w:r w:rsidR="00A511F1">
        <w:rPr>
          <w:rStyle w:val="Strong"/>
          <w:b w:val="0"/>
          <w:bCs w:val="0"/>
        </w:rPr>
        <w:t xml:space="preserve"> not be safe</w:t>
      </w:r>
      <w:r w:rsidR="00F04734">
        <w:rPr>
          <w:rStyle w:val="Strong"/>
          <w:b w:val="0"/>
          <w:bCs w:val="0"/>
        </w:rPr>
        <w:t>ly</w:t>
      </w:r>
      <w:r w:rsidR="00A511F1">
        <w:rPr>
          <w:rStyle w:val="Strong"/>
          <w:b w:val="0"/>
          <w:bCs w:val="0"/>
        </w:rPr>
        <w:t xml:space="preserve"> </w:t>
      </w:r>
      <w:r w:rsidR="00A60101">
        <w:rPr>
          <w:rStyle w:val="Strong"/>
          <w:b w:val="0"/>
          <w:bCs w:val="0"/>
        </w:rPr>
        <w:t xml:space="preserve">to </w:t>
      </w:r>
      <w:r w:rsidR="0004299A">
        <w:rPr>
          <w:rStyle w:val="Strong"/>
          <w:b w:val="0"/>
          <w:bCs w:val="0"/>
        </w:rPr>
        <w:t>assert</w:t>
      </w:r>
      <w:r w:rsidR="00F04734">
        <w:rPr>
          <w:rStyle w:val="Strong"/>
          <w:b w:val="0"/>
          <w:bCs w:val="0"/>
        </w:rPr>
        <w:t>ed in a more</w:t>
      </w:r>
      <w:r w:rsidR="005168FE">
        <w:rPr>
          <w:rStyle w:val="Strong"/>
          <w:b w:val="0"/>
          <w:bCs w:val="0"/>
        </w:rPr>
        <w:t xml:space="preserve"> </w:t>
      </w:r>
      <w:r w:rsidR="00A60101">
        <w:rPr>
          <w:rStyle w:val="Strong"/>
          <w:b w:val="0"/>
          <w:bCs w:val="0"/>
        </w:rPr>
        <w:t>ove</w:t>
      </w:r>
      <w:r w:rsidR="00F04734">
        <w:rPr>
          <w:rStyle w:val="Strong"/>
          <w:b w:val="0"/>
          <w:bCs w:val="0"/>
        </w:rPr>
        <w:t>rt way</w:t>
      </w:r>
      <w:r w:rsidR="00A60101">
        <w:rPr>
          <w:rStyle w:val="Strong"/>
          <w:b w:val="0"/>
          <w:bCs w:val="0"/>
        </w:rPr>
        <w:t>.</w:t>
      </w:r>
      <w:r w:rsidR="005168FE">
        <w:rPr>
          <w:rStyle w:val="Strong"/>
          <w:b w:val="0"/>
          <w:bCs w:val="0"/>
        </w:rPr>
        <w:t xml:space="preserve"> That the </w:t>
      </w:r>
      <w:r w:rsidR="00F87D9F">
        <w:rPr>
          <w:rStyle w:val="Strong"/>
          <w:b w:val="0"/>
          <w:bCs w:val="0"/>
        </w:rPr>
        <w:t xml:space="preserve">paintings can only be seen by </w:t>
      </w:r>
      <w:r w:rsidR="00D0386D">
        <w:rPr>
          <w:rStyle w:val="Strong"/>
          <w:b w:val="0"/>
          <w:bCs w:val="0"/>
        </w:rPr>
        <w:t>those invited to the inner sanctum</w:t>
      </w:r>
      <w:r w:rsidR="00BB028A">
        <w:rPr>
          <w:rStyle w:val="Strong"/>
          <w:b w:val="0"/>
          <w:bCs w:val="0"/>
        </w:rPr>
        <w:t xml:space="preserve"> is further evidence of their potentially </w:t>
      </w:r>
      <w:r w:rsidR="00D0386D">
        <w:rPr>
          <w:rStyle w:val="Strong"/>
          <w:b w:val="0"/>
          <w:bCs w:val="0"/>
        </w:rPr>
        <w:t xml:space="preserve">dangerous </w:t>
      </w:r>
      <w:r w:rsidR="00BB028A">
        <w:rPr>
          <w:rStyle w:val="Strong"/>
          <w:b w:val="0"/>
          <w:bCs w:val="0"/>
        </w:rPr>
        <w:t xml:space="preserve">message. </w:t>
      </w:r>
    </w:p>
    <w:p w14:paraId="286A2489" w14:textId="1CDEC04A" w:rsidR="00D94008" w:rsidRPr="00A14334" w:rsidRDefault="00D94008" w:rsidP="005203A9">
      <w:pPr>
        <w:shd w:val="clear" w:color="auto" w:fill="FFFFFF"/>
        <w:spacing w:after="0" w:line="480" w:lineRule="auto"/>
        <w:textAlignment w:val="baseline"/>
        <w:rPr>
          <w:rFonts w:eastAsia="Times New Roman"/>
          <w:color w:val="000000"/>
        </w:rPr>
      </w:pPr>
    </w:p>
    <w:p w14:paraId="6A0053B7" w14:textId="2D16AB72" w:rsidR="00970EC5" w:rsidRPr="000133FA" w:rsidRDefault="00D649A8" w:rsidP="005203A9">
      <w:pPr>
        <w:spacing w:after="0" w:line="480" w:lineRule="auto"/>
        <w:rPr>
          <w:b/>
        </w:rPr>
      </w:pPr>
      <w:r>
        <w:rPr>
          <w:rFonts w:eastAsia="Times New Roman"/>
          <w:color w:val="000000"/>
        </w:rPr>
        <w:t>A</w:t>
      </w:r>
      <w:r w:rsidR="003521FE">
        <w:rPr>
          <w:rFonts w:eastAsia="Times New Roman"/>
          <w:color w:val="000000"/>
        </w:rPr>
        <w:t>nother layer of meaning may be uncovered by considering how</w:t>
      </w:r>
      <w:r w:rsidR="00970EC5" w:rsidRPr="00970EC5">
        <w:rPr>
          <w:rFonts w:eastAsia="Times New Roman"/>
          <w:color w:val="000000"/>
        </w:rPr>
        <w:t xml:space="preserve"> Paris</w:t>
      </w:r>
      <w:r w:rsidR="007B3517">
        <w:rPr>
          <w:rFonts w:eastAsia="Times New Roman"/>
          <w:color w:val="000000"/>
        </w:rPr>
        <w:t>,</w:t>
      </w:r>
      <w:r w:rsidR="00970EC5" w:rsidRPr="00970EC5">
        <w:rPr>
          <w:rFonts w:eastAsia="Times New Roman"/>
          <w:color w:val="000000"/>
        </w:rPr>
        <w:t xml:space="preserve"> as a well-groomed ladies' man</w:t>
      </w:r>
      <w:r w:rsidR="007B3517">
        <w:rPr>
          <w:rFonts w:eastAsia="Times New Roman"/>
          <w:color w:val="000000"/>
        </w:rPr>
        <w:t>,</w:t>
      </w:r>
      <w:r w:rsidR="00970EC5" w:rsidRPr="00970EC5">
        <w:rPr>
          <w:rFonts w:eastAsia="Times New Roman"/>
          <w:color w:val="000000"/>
        </w:rPr>
        <w:t xml:space="preserve"> may have appealed </w:t>
      </w:r>
      <w:r w:rsidR="007B3517">
        <w:rPr>
          <w:rFonts w:eastAsia="Times New Roman"/>
          <w:color w:val="000000"/>
        </w:rPr>
        <w:t xml:space="preserve">here </w:t>
      </w:r>
      <w:r w:rsidR="00970EC5" w:rsidRPr="00970EC5">
        <w:rPr>
          <w:rFonts w:eastAsia="Times New Roman"/>
          <w:color w:val="000000"/>
        </w:rPr>
        <w:t>to members of a middle-class audience who may associate him with elegance and refinement.</w:t>
      </w:r>
      <w:r w:rsidR="00D5268A">
        <w:rPr>
          <w:rStyle w:val="FootnoteReference"/>
          <w:rFonts w:eastAsia="Times New Roman"/>
          <w:color w:val="000000"/>
        </w:rPr>
        <w:footnoteReference w:id="40"/>
      </w:r>
      <w:r w:rsidR="00970EC5" w:rsidRPr="00970EC5">
        <w:rPr>
          <w:rFonts w:eastAsia="Times New Roman"/>
          <w:color w:val="000000"/>
        </w:rPr>
        <w:t xml:space="preserve"> Pompeii was a cultural mix, people had settled there from different areas over the centuries,</w:t>
      </w:r>
      <w:r w:rsidR="00C52DCB">
        <w:rPr>
          <w:rFonts w:eastAsia="Times New Roman"/>
          <w:color w:val="000000"/>
        </w:rPr>
        <w:t xml:space="preserve"> mostly Greeks, Etruscans and Samnites</w:t>
      </w:r>
      <w:r w:rsidR="00EA27C2">
        <w:rPr>
          <w:rFonts w:eastAsia="Times New Roman"/>
          <w:color w:val="000000"/>
        </w:rPr>
        <w:t xml:space="preserve">. </w:t>
      </w:r>
      <w:r w:rsidR="00970EC5" w:rsidRPr="00970EC5">
        <w:rPr>
          <w:rFonts w:eastAsia="Times New Roman"/>
          <w:color w:val="000000"/>
        </w:rPr>
        <w:t xml:space="preserve"> </w:t>
      </w:r>
      <w:r w:rsidR="00EA27C2">
        <w:rPr>
          <w:rFonts w:eastAsia="Times New Roman"/>
          <w:color w:val="000000"/>
        </w:rPr>
        <w:t>I</w:t>
      </w:r>
      <w:r w:rsidR="00970EC5" w:rsidRPr="00970EC5">
        <w:rPr>
          <w:rFonts w:eastAsia="Times New Roman"/>
          <w:color w:val="000000"/>
        </w:rPr>
        <w:t>t was also a thriving port</w:t>
      </w:r>
      <w:r w:rsidR="00016512">
        <w:rPr>
          <w:rFonts w:eastAsia="Times New Roman"/>
          <w:color w:val="000000"/>
        </w:rPr>
        <w:t>.</w:t>
      </w:r>
      <w:r w:rsidR="00016512">
        <w:rPr>
          <w:rStyle w:val="FootnoteReference"/>
          <w:rFonts w:eastAsia="Times New Roman"/>
          <w:color w:val="000000"/>
        </w:rPr>
        <w:footnoteReference w:id="41"/>
      </w:r>
      <w:r w:rsidR="00970EC5" w:rsidRPr="00970EC5">
        <w:rPr>
          <w:rFonts w:eastAsia="Times New Roman"/>
          <w:color w:val="000000"/>
        </w:rPr>
        <w:t xml:space="preserve"> </w:t>
      </w:r>
      <w:r w:rsidR="006843C6">
        <w:rPr>
          <w:rFonts w:eastAsia="Times New Roman"/>
          <w:color w:val="000000"/>
        </w:rPr>
        <w:t xml:space="preserve">Before Roman colonisation </w:t>
      </w:r>
      <w:r w:rsidR="004D538D">
        <w:rPr>
          <w:rFonts w:eastAsia="Times New Roman"/>
          <w:color w:val="000000"/>
        </w:rPr>
        <w:t>the Greek East had greatly influenced Pompeiian culture</w:t>
      </w:r>
      <w:r w:rsidR="00DD03DF">
        <w:rPr>
          <w:rFonts w:eastAsia="Times New Roman"/>
          <w:color w:val="000000"/>
        </w:rPr>
        <w:t>, many buildings, both public and private, were He</w:t>
      </w:r>
      <w:r w:rsidR="003611C9">
        <w:rPr>
          <w:rFonts w:eastAsia="Times New Roman"/>
          <w:color w:val="000000"/>
        </w:rPr>
        <w:t>llenistic in style</w:t>
      </w:r>
      <w:r w:rsidR="00C13373">
        <w:rPr>
          <w:rFonts w:eastAsia="Times New Roman"/>
          <w:color w:val="000000"/>
        </w:rPr>
        <w:t xml:space="preserve"> </w:t>
      </w:r>
      <w:r w:rsidR="003611C9">
        <w:rPr>
          <w:rFonts w:eastAsia="Times New Roman"/>
          <w:color w:val="000000"/>
        </w:rPr>
        <w:t>from late second century B.C. onwards</w:t>
      </w:r>
      <w:r w:rsidR="008D62BA">
        <w:rPr>
          <w:rFonts w:eastAsia="Times New Roman"/>
          <w:color w:val="000000"/>
        </w:rPr>
        <w:t>.</w:t>
      </w:r>
      <w:r w:rsidR="008D62BA">
        <w:rPr>
          <w:rStyle w:val="FootnoteReference"/>
          <w:rFonts w:eastAsia="Times New Roman"/>
          <w:color w:val="000000"/>
        </w:rPr>
        <w:footnoteReference w:id="42"/>
      </w:r>
      <w:r w:rsidR="00A561FA">
        <w:rPr>
          <w:rFonts w:eastAsia="Times New Roman"/>
          <w:color w:val="000000"/>
        </w:rPr>
        <w:t xml:space="preserve"> </w:t>
      </w:r>
      <w:r w:rsidR="008934B8">
        <w:rPr>
          <w:rFonts w:eastAsia="Times New Roman"/>
          <w:color w:val="000000"/>
        </w:rPr>
        <w:t>The Sanctuary of Dionysus</w:t>
      </w:r>
      <w:r w:rsidR="0002391D">
        <w:rPr>
          <w:rFonts w:eastAsia="Times New Roman"/>
          <w:color w:val="000000"/>
        </w:rPr>
        <w:t xml:space="preserve"> was</w:t>
      </w:r>
      <w:r w:rsidR="00D10310">
        <w:rPr>
          <w:rFonts w:eastAsia="Times New Roman"/>
          <w:color w:val="000000"/>
        </w:rPr>
        <w:t xml:space="preserve"> </w:t>
      </w:r>
      <w:r w:rsidR="00A96E47">
        <w:rPr>
          <w:rFonts w:eastAsia="Times New Roman"/>
          <w:color w:val="000000"/>
        </w:rPr>
        <w:t>monumentalised around same time and used until the Vesuvian disaster</w:t>
      </w:r>
      <w:r w:rsidR="00EA27C2">
        <w:rPr>
          <w:rFonts w:eastAsia="Times New Roman"/>
          <w:color w:val="000000"/>
        </w:rPr>
        <w:t>,</w:t>
      </w:r>
      <w:r w:rsidR="00A96E47">
        <w:rPr>
          <w:rFonts w:eastAsia="Times New Roman"/>
          <w:color w:val="000000"/>
        </w:rPr>
        <w:t xml:space="preserve"> despite worship</w:t>
      </w:r>
      <w:r w:rsidR="00FC2178">
        <w:rPr>
          <w:rFonts w:eastAsia="Times New Roman"/>
          <w:color w:val="000000"/>
        </w:rPr>
        <w:t xml:space="preserve"> </w:t>
      </w:r>
      <w:r w:rsidR="00A96E47">
        <w:rPr>
          <w:rFonts w:eastAsia="Times New Roman"/>
          <w:color w:val="000000"/>
        </w:rPr>
        <w:t xml:space="preserve">of </w:t>
      </w:r>
      <w:r w:rsidR="00655551">
        <w:rPr>
          <w:rFonts w:eastAsia="Times New Roman"/>
          <w:color w:val="000000"/>
        </w:rPr>
        <w:t>Dionysus being forbidden by Ro</w:t>
      </w:r>
      <w:r w:rsidR="00906DF6">
        <w:rPr>
          <w:rFonts w:eastAsia="Times New Roman"/>
          <w:color w:val="000000"/>
        </w:rPr>
        <w:t xml:space="preserve">man senate </w:t>
      </w:r>
      <w:r w:rsidR="0031009A">
        <w:rPr>
          <w:rFonts w:eastAsia="Times New Roman"/>
          <w:color w:val="000000"/>
        </w:rPr>
        <w:t xml:space="preserve">since </w:t>
      </w:r>
      <w:r w:rsidR="00906DF6">
        <w:rPr>
          <w:rFonts w:eastAsia="Times New Roman"/>
          <w:color w:val="000000"/>
        </w:rPr>
        <w:t>186 B.C.</w:t>
      </w:r>
      <w:r w:rsidR="009B3EDE">
        <w:rPr>
          <w:rFonts w:eastAsia="Times New Roman"/>
          <w:color w:val="000000"/>
        </w:rPr>
        <w:t>.</w:t>
      </w:r>
      <w:r w:rsidR="008D62BA">
        <w:rPr>
          <w:rStyle w:val="FootnoteReference"/>
          <w:rFonts w:eastAsia="Times New Roman"/>
          <w:color w:val="000000"/>
        </w:rPr>
        <w:footnoteReference w:id="43"/>
      </w:r>
      <w:r w:rsidR="008D62BA">
        <w:rPr>
          <w:rFonts w:eastAsia="Times New Roman"/>
          <w:color w:val="000000"/>
        </w:rPr>
        <w:t xml:space="preserve"> </w:t>
      </w:r>
      <w:r w:rsidR="00970EC5" w:rsidRPr="00970EC5">
        <w:rPr>
          <w:rFonts w:eastAsia="Times New Roman"/>
          <w:color w:val="000000"/>
        </w:rPr>
        <w:t>Most of the negative associations with the exotic East are from a Roman</w:t>
      </w:r>
      <w:r w:rsidR="0002391D">
        <w:rPr>
          <w:rFonts w:eastAsia="Times New Roman"/>
          <w:color w:val="000000"/>
        </w:rPr>
        <w:t>,</w:t>
      </w:r>
      <w:r w:rsidR="00970EC5" w:rsidRPr="00970EC5">
        <w:rPr>
          <w:rFonts w:eastAsia="Times New Roman"/>
          <w:color w:val="000000"/>
        </w:rPr>
        <w:t xml:space="preserve"> proscriptive</w:t>
      </w:r>
      <w:r w:rsidR="0002391D">
        <w:rPr>
          <w:rFonts w:eastAsia="Times New Roman"/>
          <w:color w:val="000000"/>
        </w:rPr>
        <w:t>,</w:t>
      </w:r>
      <w:r w:rsidR="00970EC5" w:rsidRPr="00970EC5">
        <w:rPr>
          <w:rFonts w:eastAsia="Times New Roman"/>
          <w:color w:val="000000"/>
        </w:rPr>
        <w:t xml:space="preserve"> elite viewpoint not necessarily shared in local communities or colonies</w:t>
      </w:r>
      <w:r w:rsidR="0079319E">
        <w:rPr>
          <w:rFonts w:eastAsia="Times New Roman"/>
          <w:color w:val="000000"/>
        </w:rPr>
        <w:t>,</w:t>
      </w:r>
      <w:r w:rsidR="00970EC5" w:rsidRPr="00970EC5">
        <w:rPr>
          <w:rFonts w:eastAsia="Times New Roman"/>
          <w:color w:val="000000"/>
        </w:rPr>
        <w:t xml:space="preserve"> </w:t>
      </w:r>
      <w:r w:rsidR="00805CBB">
        <w:rPr>
          <w:rFonts w:eastAsia="Times New Roman"/>
          <w:color w:val="000000"/>
        </w:rPr>
        <w:t>whose</w:t>
      </w:r>
      <w:r w:rsidR="00970EC5" w:rsidRPr="00970EC5">
        <w:rPr>
          <w:rFonts w:eastAsia="Times New Roman"/>
          <w:color w:val="000000"/>
        </w:rPr>
        <w:t xml:space="preserve"> own traditional gender characteristics were socially valuable</w:t>
      </w:r>
      <w:r w:rsidR="00225314">
        <w:rPr>
          <w:rFonts w:eastAsia="Times New Roman"/>
          <w:color w:val="000000"/>
        </w:rPr>
        <w:t xml:space="preserve"> and a source of pride. </w:t>
      </w:r>
      <w:r w:rsidR="00970EC5" w:rsidRPr="00970EC5">
        <w:rPr>
          <w:rFonts w:eastAsia="Times New Roman"/>
          <w:color w:val="000000"/>
        </w:rPr>
        <w:t> </w:t>
      </w:r>
      <w:r w:rsidR="00722DD0">
        <w:rPr>
          <w:bCs/>
        </w:rPr>
        <w:t xml:space="preserve">A </w:t>
      </w:r>
      <w:r w:rsidR="007D1154">
        <w:rPr>
          <w:bCs/>
        </w:rPr>
        <w:t xml:space="preserve">regional </w:t>
      </w:r>
      <w:r w:rsidR="00722DD0">
        <w:rPr>
          <w:bCs/>
        </w:rPr>
        <w:t xml:space="preserve">Roman </w:t>
      </w:r>
      <w:r w:rsidR="007D1154">
        <w:rPr>
          <w:bCs/>
        </w:rPr>
        <w:t>gender model</w:t>
      </w:r>
      <w:r w:rsidR="000133FA">
        <w:rPr>
          <w:bCs/>
        </w:rPr>
        <w:t xml:space="preserve"> may</w:t>
      </w:r>
      <w:r w:rsidR="0002391D">
        <w:rPr>
          <w:bCs/>
        </w:rPr>
        <w:t xml:space="preserve"> have</w:t>
      </w:r>
      <w:r w:rsidR="007D1154">
        <w:rPr>
          <w:bCs/>
        </w:rPr>
        <w:t xml:space="preserve"> influence</w:t>
      </w:r>
      <w:r w:rsidR="0002391D">
        <w:rPr>
          <w:bCs/>
        </w:rPr>
        <w:t>d</w:t>
      </w:r>
      <w:r w:rsidR="007D1154">
        <w:rPr>
          <w:bCs/>
        </w:rPr>
        <w:t xml:space="preserve"> but not have </w:t>
      </w:r>
      <w:r w:rsidR="000133FA">
        <w:rPr>
          <w:bCs/>
        </w:rPr>
        <w:t xml:space="preserve">the </w:t>
      </w:r>
      <w:r w:rsidR="007D1154">
        <w:rPr>
          <w:bCs/>
        </w:rPr>
        <w:t xml:space="preserve">last word in </w:t>
      </w:r>
      <w:r w:rsidR="0002391D">
        <w:rPr>
          <w:bCs/>
        </w:rPr>
        <w:t xml:space="preserve">all </w:t>
      </w:r>
      <w:r w:rsidR="007D1154">
        <w:rPr>
          <w:bCs/>
        </w:rPr>
        <w:t>local constructions of gender relations</w:t>
      </w:r>
      <w:r w:rsidR="0079319E">
        <w:rPr>
          <w:bCs/>
        </w:rPr>
        <w:t>.</w:t>
      </w:r>
      <w:r w:rsidR="0079319E">
        <w:rPr>
          <w:rStyle w:val="FootnoteReference"/>
          <w:bCs/>
        </w:rPr>
        <w:footnoteReference w:id="44"/>
      </w:r>
      <w:r w:rsidR="000133FA">
        <w:rPr>
          <w:bCs/>
        </w:rPr>
        <w:t xml:space="preserve"> </w:t>
      </w:r>
      <w:r w:rsidR="00970EC5" w:rsidRPr="00970EC5">
        <w:rPr>
          <w:rFonts w:eastAsia="Times New Roman"/>
          <w:color w:val="000000"/>
          <w:bdr w:val="none" w:sz="0" w:space="0" w:color="auto" w:frame="1"/>
        </w:rPr>
        <w:t xml:space="preserve">So, on the one hand there is an idealised, hegemonic Roman masculinity for Pompeiian men to aspire to for </w:t>
      </w:r>
      <w:r w:rsidR="009C4DFD">
        <w:rPr>
          <w:rFonts w:eastAsia="Times New Roman"/>
          <w:color w:val="000000"/>
          <w:bdr w:val="none" w:sz="0" w:space="0" w:color="auto" w:frame="1"/>
        </w:rPr>
        <w:t xml:space="preserve">civic </w:t>
      </w:r>
      <w:r w:rsidR="00970EC5" w:rsidRPr="00970EC5">
        <w:rPr>
          <w:rFonts w:eastAsia="Times New Roman"/>
          <w:color w:val="000000"/>
          <w:bdr w:val="none" w:sz="0" w:space="0" w:color="auto" w:frame="1"/>
        </w:rPr>
        <w:t>social recognition but also possibly conflicting</w:t>
      </w:r>
      <w:r w:rsidR="009C4DFD">
        <w:rPr>
          <w:rFonts w:eastAsia="Times New Roman"/>
          <w:color w:val="000000"/>
          <w:bdr w:val="none" w:sz="0" w:space="0" w:color="auto" w:frame="1"/>
        </w:rPr>
        <w:t>,</w:t>
      </w:r>
      <w:r w:rsidR="00970EC5" w:rsidRPr="00970EC5">
        <w:rPr>
          <w:rFonts w:eastAsia="Times New Roman"/>
          <w:color w:val="000000"/>
          <w:bdr w:val="none" w:sz="0" w:space="0" w:color="auto" w:frame="1"/>
        </w:rPr>
        <w:t xml:space="preserve"> </w:t>
      </w:r>
      <w:proofErr w:type="gramStart"/>
      <w:r w:rsidR="00970EC5" w:rsidRPr="00970EC5">
        <w:rPr>
          <w:rFonts w:eastAsia="Times New Roman"/>
          <w:color w:val="000000"/>
          <w:bdr w:val="none" w:sz="0" w:space="0" w:color="auto" w:frame="1"/>
        </w:rPr>
        <w:t>local</w:t>
      </w:r>
      <w:proofErr w:type="gramEnd"/>
      <w:r w:rsidR="00970EC5" w:rsidRPr="00970EC5">
        <w:rPr>
          <w:rFonts w:eastAsia="Times New Roman"/>
          <w:color w:val="000000"/>
          <w:bdr w:val="none" w:sz="0" w:space="0" w:color="auto" w:frame="1"/>
        </w:rPr>
        <w:t xml:space="preserve"> </w:t>
      </w:r>
      <w:r w:rsidR="009C4DFD">
        <w:rPr>
          <w:rFonts w:eastAsia="Times New Roman"/>
          <w:color w:val="000000"/>
          <w:bdr w:val="none" w:sz="0" w:space="0" w:color="auto" w:frame="1"/>
        </w:rPr>
        <w:t>and traditional</w:t>
      </w:r>
      <w:r w:rsidR="00FB4E73">
        <w:rPr>
          <w:rFonts w:eastAsia="Times New Roman"/>
          <w:color w:val="000000"/>
          <w:bdr w:val="none" w:sz="0" w:space="0" w:color="auto" w:frame="1"/>
        </w:rPr>
        <w:t>,</w:t>
      </w:r>
      <w:r w:rsidR="009C4DFD">
        <w:rPr>
          <w:rFonts w:eastAsia="Times New Roman"/>
          <w:color w:val="000000"/>
          <w:bdr w:val="none" w:sz="0" w:space="0" w:color="auto" w:frame="1"/>
        </w:rPr>
        <w:t xml:space="preserve"> </w:t>
      </w:r>
      <w:r w:rsidR="00970EC5" w:rsidRPr="00970EC5">
        <w:rPr>
          <w:rFonts w:eastAsia="Times New Roman"/>
          <w:color w:val="000000"/>
          <w:bdr w:val="none" w:sz="0" w:space="0" w:color="auto" w:frame="1"/>
        </w:rPr>
        <w:t>middle-class gendered characteristics to be negotiated</w:t>
      </w:r>
      <w:r w:rsidR="0002391D">
        <w:rPr>
          <w:rFonts w:eastAsia="Times New Roman"/>
          <w:color w:val="000000"/>
          <w:bdr w:val="none" w:sz="0" w:space="0" w:color="auto" w:frame="1"/>
        </w:rPr>
        <w:t xml:space="preserve"> here</w:t>
      </w:r>
      <w:r w:rsidR="00970EC5" w:rsidRPr="00970EC5">
        <w:rPr>
          <w:rFonts w:eastAsia="Times New Roman"/>
          <w:color w:val="000000"/>
          <w:bdr w:val="none" w:sz="0" w:space="0" w:color="auto" w:frame="1"/>
        </w:rPr>
        <w:t>.</w:t>
      </w:r>
      <w:r w:rsidR="00EF4285">
        <w:rPr>
          <w:rFonts w:eastAsia="Times New Roman"/>
          <w:color w:val="000000"/>
          <w:bdr w:val="none" w:sz="0" w:space="0" w:color="auto" w:frame="1"/>
        </w:rPr>
        <w:t xml:space="preserve"> </w:t>
      </w:r>
    </w:p>
    <w:p w14:paraId="4FCD6555" w14:textId="6B5FE1B2" w:rsidR="00AD2260" w:rsidRDefault="00AD2260" w:rsidP="0018601D">
      <w:pPr>
        <w:spacing w:line="240" w:lineRule="auto"/>
        <w:rPr>
          <w:rStyle w:val="Strong"/>
          <w:b w:val="0"/>
          <w:bCs w:val="0"/>
        </w:rPr>
      </w:pPr>
    </w:p>
    <w:p w14:paraId="58626BF7" w14:textId="02C7F98B" w:rsidR="00170E54" w:rsidRPr="00970EC5" w:rsidRDefault="00170E54" w:rsidP="0018601D">
      <w:pPr>
        <w:spacing w:line="240" w:lineRule="auto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2597 words</w:t>
      </w:r>
    </w:p>
    <w:p w14:paraId="6D8C50D7" w14:textId="5347C006" w:rsidR="00DC7B17" w:rsidRDefault="00DC7B17" w:rsidP="0018601D">
      <w:pPr>
        <w:spacing w:line="240" w:lineRule="auto"/>
        <w:rPr>
          <w:rStyle w:val="Strong"/>
          <w:b w:val="0"/>
          <w:bCs w:val="0"/>
        </w:rPr>
      </w:pPr>
    </w:p>
    <w:p w14:paraId="029E8784" w14:textId="77777777" w:rsidR="006C6F2B" w:rsidRDefault="006C6F2B" w:rsidP="0018601D">
      <w:pPr>
        <w:spacing w:line="240" w:lineRule="auto"/>
        <w:rPr>
          <w:rStyle w:val="Strong"/>
          <w:b w:val="0"/>
          <w:bCs w:val="0"/>
        </w:rPr>
      </w:pPr>
    </w:p>
    <w:p w14:paraId="31419716" w14:textId="321AE265" w:rsidR="008C2AF4" w:rsidRPr="00970EC5" w:rsidRDefault="008C2AF4" w:rsidP="008C2AF4">
      <w:pPr>
        <w:spacing w:line="360" w:lineRule="auto"/>
        <w:rPr>
          <w:rStyle w:val="Strong"/>
          <w:b w:val="0"/>
          <w:bCs w:val="0"/>
        </w:rPr>
      </w:pPr>
    </w:p>
    <w:p w14:paraId="410B0D6B" w14:textId="77777777" w:rsidR="00E00F73" w:rsidRPr="0084381A" w:rsidRDefault="00E00F73" w:rsidP="00E00F73">
      <w:pPr>
        <w:spacing w:after="0" w:line="480" w:lineRule="auto"/>
        <w:rPr>
          <w:b/>
        </w:rPr>
      </w:pPr>
      <w:r w:rsidRPr="0084381A">
        <w:rPr>
          <w:b/>
        </w:rPr>
        <w:lastRenderedPageBreak/>
        <w:t>Bibliography</w:t>
      </w:r>
    </w:p>
    <w:p w14:paraId="600E8827" w14:textId="77777777" w:rsidR="00E00F73" w:rsidRDefault="00E00F73" w:rsidP="00E00F73">
      <w:pPr>
        <w:spacing w:after="0" w:line="480" w:lineRule="auto"/>
        <w:rPr>
          <w:b/>
        </w:rPr>
      </w:pPr>
      <w:r w:rsidRPr="0084381A">
        <w:rPr>
          <w:b/>
        </w:rPr>
        <w:t>Primary Sources</w:t>
      </w:r>
    </w:p>
    <w:p w14:paraId="288A288B" w14:textId="77777777" w:rsidR="00E00F73" w:rsidRPr="000B5BD4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E92776">
        <w:rPr>
          <w:bCs/>
        </w:rPr>
        <w:t>Cicero</w:t>
      </w:r>
      <w:r>
        <w:rPr>
          <w:bCs/>
        </w:rPr>
        <w:t xml:space="preserve">, </w:t>
      </w:r>
      <w:r>
        <w:rPr>
          <w:bCs/>
          <w:i/>
          <w:iCs/>
        </w:rPr>
        <w:t>Pro Sulla</w:t>
      </w:r>
      <w:r>
        <w:rPr>
          <w:bCs/>
        </w:rPr>
        <w:t xml:space="preserve"> 60-62 in </w:t>
      </w:r>
      <w:r>
        <w:rPr>
          <w:color w:val="53565A"/>
        </w:rPr>
        <w:t xml:space="preserve">Cooley, A. E. and Cooley, M. G. (2004) </w:t>
      </w:r>
      <w:r>
        <w:rPr>
          <w:i/>
          <w:iCs/>
          <w:color w:val="53565A"/>
        </w:rPr>
        <w:t>Pompeii: A sourcebook</w:t>
      </w:r>
      <w:r>
        <w:rPr>
          <w:color w:val="53565A"/>
        </w:rPr>
        <w:t>. London, Routledge, pp. 22 and 24.</w:t>
      </w:r>
    </w:p>
    <w:p w14:paraId="5742374F" w14:textId="77777777" w:rsidR="00E00F73" w:rsidRPr="0084381A" w:rsidRDefault="00E00F73" w:rsidP="00E00F73">
      <w:pPr>
        <w:spacing w:after="0" w:line="240" w:lineRule="auto"/>
        <w:rPr>
          <w:rFonts w:eastAsia="Times New Roman"/>
        </w:rPr>
      </w:pPr>
      <w:r>
        <w:rPr>
          <w:rFonts w:eastAsia="Times New Roman"/>
        </w:rPr>
        <w:t xml:space="preserve">Ovid, ‘XVI’ ‘Paris to Helen’ </w:t>
      </w:r>
      <w:r w:rsidRPr="0084381A">
        <w:t xml:space="preserve">in </w:t>
      </w:r>
      <w:proofErr w:type="spellStart"/>
      <w:r w:rsidRPr="0084381A">
        <w:rPr>
          <w:i/>
        </w:rPr>
        <w:t>Heroides</w:t>
      </w:r>
      <w:proofErr w:type="spellEnd"/>
      <w:r w:rsidRPr="0084381A">
        <w:rPr>
          <w:i/>
        </w:rPr>
        <w:t xml:space="preserve"> </w:t>
      </w:r>
      <w:r w:rsidRPr="0084381A">
        <w:t>(trans. H. Isabell)</w:t>
      </w:r>
      <w:r>
        <w:t>.</w:t>
      </w:r>
      <w:r w:rsidRPr="0084381A">
        <w:t xml:space="preserve"> </w:t>
      </w:r>
      <w:r>
        <w:t xml:space="preserve">(2004). </w:t>
      </w:r>
      <w:r w:rsidRPr="0084381A">
        <w:t xml:space="preserve">London, Penguin, pp. </w:t>
      </w:r>
      <w:r>
        <w:t>146-65</w:t>
      </w:r>
    </w:p>
    <w:p w14:paraId="2250B13C" w14:textId="77777777" w:rsidR="00E00F73" w:rsidRDefault="00E00F73" w:rsidP="00E00F73">
      <w:pPr>
        <w:shd w:val="clear" w:color="auto" w:fill="FFFFFF"/>
        <w:spacing w:after="0" w:line="240" w:lineRule="auto"/>
        <w:rPr>
          <w:rFonts w:eastAsia="Times New Roman"/>
          <w:color w:val="000000"/>
        </w:rPr>
      </w:pPr>
    </w:p>
    <w:p w14:paraId="0CAC14FB" w14:textId="77777777" w:rsidR="00E00F73" w:rsidRPr="0087436A" w:rsidRDefault="00E00F73" w:rsidP="00E00F73">
      <w:pPr>
        <w:shd w:val="clear" w:color="auto" w:fill="FFFFFF"/>
        <w:spacing w:after="0" w:line="240" w:lineRule="auto"/>
        <w:rPr>
          <w:rFonts w:eastAsia="Times New Roman"/>
          <w:color w:val="000000"/>
        </w:rPr>
      </w:pPr>
      <w:r>
        <w:rPr>
          <w:rFonts w:eastAsia="Times New Roman"/>
          <w:color w:val="000000"/>
        </w:rPr>
        <w:t xml:space="preserve">Dunn, </w:t>
      </w:r>
      <w:proofErr w:type="gramStart"/>
      <w:r>
        <w:rPr>
          <w:rFonts w:eastAsia="Times New Roman"/>
          <w:color w:val="000000"/>
        </w:rPr>
        <w:t>J.</w:t>
      </w:r>
      <w:proofErr w:type="gramEnd"/>
      <w:r>
        <w:rPr>
          <w:rFonts w:eastAsia="Times New Roman"/>
          <w:color w:val="000000"/>
        </w:rPr>
        <w:t xml:space="preserve"> and Dunn B. (2020a) </w:t>
      </w:r>
      <w:r w:rsidRPr="0084381A">
        <w:rPr>
          <w:rFonts w:eastAsia="Times New Roman"/>
          <w:color w:val="000000"/>
        </w:rPr>
        <w:t xml:space="preserve">IX.5.18 </w:t>
      </w:r>
      <w:r w:rsidRPr="009F52C2">
        <w:rPr>
          <w:rFonts w:eastAsia="Times New Roman"/>
          <w:i/>
          <w:iCs/>
          <w:color w:val="000000"/>
        </w:rPr>
        <w:t>Pompeii in Pictures</w:t>
      </w:r>
      <w:r>
        <w:rPr>
          <w:rFonts w:eastAsia="Times New Roman"/>
          <w:color w:val="000000"/>
        </w:rPr>
        <w:t>.</w:t>
      </w:r>
    </w:p>
    <w:p w14:paraId="40AD8DEB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 xml:space="preserve">Available at: </w:t>
      </w:r>
      <w:hyperlink r:id="rId7" w:history="1">
        <w:r w:rsidRPr="0084381A">
          <w:rPr>
            <w:rStyle w:val="Hyperlink"/>
          </w:rPr>
          <w:t>https://pompeiiinpictures.com/pompeiiinpictures/R9/9%2005%2018%20p1.htm</w:t>
        </w:r>
      </w:hyperlink>
      <w:r w:rsidRPr="0084381A">
        <w:rPr>
          <w:color w:val="53565A"/>
        </w:rPr>
        <w:t xml:space="preserve"> (Accessed: 19 November 2020).</w:t>
      </w:r>
    </w:p>
    <w:p w14:paraId="5D2A34B4" w14:textId="77777777" w:rsidR="00E00F73" w:rsidRPr="00F65075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000000"/>
          <w:shd w:val="clear" w:color="auto" w:fill="FFFFFF"/>
        </w:rPr>
      </w:pPr>
      <w:r>
        <w:rPr>
          <w:color w:val="000000"/>
        </w:rPr>
        <w:t xml:space="preserve">Dunn, </w:t>
      </w:r>
      <w:proofErr w:type="gramStart"/>
      <w:r>
        <w:rPr>
          <w:color w:val="000000"/>
        </w:rPr>
        <w:t>J.</w:t>
      </w:r>
      <w:proofErr w:type="gramEnd"/>
      <w:r>
        <w:rPr>
          <w:color w:val="000000"/>
        </w:rPr>
        <w:t xml:space="preserve"> and Dunn B. (2020b) </w:t>
      </w:r>
      <w:r w:rsidRPr="00FB5271">
        <w:rPr>
          <w:color w:val="000000"/>
          <w:shd w:val="clear" w:color="auto" w:fill="FFFFFF"/>
        </w:rPr>
        <w:t xml:space="preserve">VI.16.7 </w:t>
      </w:r>
      <w:r>
        <w:rPr>
          <w:i/>
          <w:iCs/>
          <w:color w:val="000000"/>
          <w:shd w:val="clear" w:color="auto" w:fill="FFFFFF"/>
        </w:rPr>
        <w:t>Pompeii in Pictures</w:t>
      </w:r>
      <w:r w:rsidRPr="00FB5271">
        <w:rPr>
          <w:color w:val="000000"/>
          <w:shd w:val="clear" w:color="auto" w:fill="FFFFFF"/>
        </w:rPr>
        <w:t>. </w:t>
      </w:r>
      <w:r>
        <w:rPr>
          <w:color w:val="000000"/>
          <w:shd w:val="clear" w:color="auto" w:fill="FFFFFF"/>
        </w:rPr>
        <w:t xml:space="preserve">Available at:  </w:t>
      </w:r>
      <w:hyperlink r:id="rId8" w:history="1">
        <w:r w:rsidRPr="000E0C23">
          <w:rPr>
            <w:rStyle w:val="Hyperlink"/>
            <w:shd w:val="clear" w:color="auto" w:fill="FFFFFF"/>
          </w:rPr>
          <w:t>https://pompeiiinpictures.com/pompeiiinpictures/R6/6%2016%2007%20p3.htm</w:t>
        </w:r>
      </w:hyperlink>
      <w:r>
        <w:rPr>
          <w:color w:val="000000"/>
          <w:shd w:val="clear" w:color="auto" w:fill="FFFFFF"/>
        </w:rPr>
        <w:t xml:space="preserve"> (Accessed 12 December 2020). </w:t>
      </w:r>
    </w:p>
    <w:p w14:paraId="3734D068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b/>
          <w:bCs/>
          <w:color w:val="53565A"/>
        </w:rPr>
      </w:pPr>
      <w:r w:rsidRPr="0084381A">
        <w:rPr>
          <w:b/>
          <w:bCs/>
          <w:color w:val="53565A"/>
        </w:rPr>
        <w:t>Secondary Sources</w:t>
      </w:r>
    </w:p>
    <w:p w14:paraId="002BF8A8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Beard, M. and Henderson, J. (2001) </w:t>
      </w:r>
      <w:r w:rsidRPr="0084381A">
        <w:rPr>
          <w:i/>
          <w:iCs/>
          <w:color w:val="53565A"/>
        </w:rPr>
        <w:t>Classical art from Greece to Rome. </w:t>
      </w:r>
      <w:r w:rsidRPr="0084381A">
        <w:rPr>
          <w:color w:val="53565A"/>
        </w:rPr>
        <w:t>Oxford: Oxford University Press.</w:t>
      </w:r>
    </w:p>
    <w:p w14:paraId="31EEF476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 xml:space="preserve">Bergmann, B. (1996) ‘The Pregnant Moment: Tragic Wives in the Roman Interior’, in </w:t>
      </w:r>
      <w:proofErr w:type="spellStart"/>
      <w:r w:rsidRPr="0084381A">
        <w:rPr>
          <w:color w:val="53565A"/>
        </w:rPr>
        <w:t>Kampen</w:t>
      </w:r>
      <w:proofErr w:type="spellEnd"/>
      <w:r w:rsidRPr="0084381A">
        <w:rPr>
          <w:color w:val="53565A"/>
        </w:rPr>
        <w:t>, N. B. (ed) </w:t>
      </w:r>
      <w:r w:rsidRPr="0084381A">
        <w:rPr>
          <w:i/>
          <w:iCs/>
          <w:color w:val="53565A"/>
        </w:rPr>
        <w:t>Sexuality in Ancient Art. </w:t>
      </w:r>
      <w:r w:rsidRPr="0084381A">
        <w:rPr>
          <w:color w:val="53565A"/>
        </w:rPr>
        <w:t>Cambridge: Cambridge University Press.</w:t>
      </w:r>
    </w:p>
    <w:p w14:paraId="37252BE2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000000"/>
          <w:spacing w:val="-5"/>
          <w:shd w:val="clear" w:color="auto" w:fill="FFFFFF"/>
        </w:rPr>
      </w:pPr>
      <w:r w:rsidRPr="0084381A">
        <w:rPr>
          <w:color w:val="53565A"/>
        </w:rPr>
        <w:t>Butler, J. (1988) ‘Performative Acts and Gender Constitution: An Essay in Phenomenology and Feminist Theory’, </w:t>
      </w:r>
      <w:r w:rsidRPr="0084381A">
        <w:rPr>
          <w:i/>
          <w:iCs/>
          <w:color w:val="53565A"/>
        </w:rPr>
        <w:t>Theatre Journal</w:t>
      </w:r>
      <w:r w:rsidRPr="0084381A">
        <w:rPr>
          <w:color w:val="53565A"/>
        </w:rPr>
        <w:t>,</w:t>
      </w:r>
      <w:r w:rsidRPr="0084381A">
        <w:rPr>
          <w:i/>
          <w:iCs/>
          <w:color w:val="53565A"/>
        </w:rPr>
        <w:t> </w:t>
      </w:r>
      <w:r w:rsidRPr="0084381A">
        <w:rPr>
          <w:color w:val="53565A"/>
        </w:rPr>
        <w:t xml:space="preserve">40(4), pp. 519-531. </w:t>
      </w:r>
      <w:r w:rsidRPr="0084381A">
        <w:rPr>
          <w:color w:val="000000"/>
          <w:spacing w:val="-5"/>
          <w:shd w:val="clear" w:color="auto" w:fill="FFFFFF"/>
        </w:rPr>
        <w:t>DOI:10.2307/3207893 (Accessed 4 November 2020).</w:t>
      </w:r>
    </w:p>
    <w:p w14:paraId="28115D3D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 xml:space="preserve">Butler, J. (2006) </w:t>
      </w:r>
      <w:r w:rsidRPr="0084381A">
        <w:rPr>
          <w:i/>
          <w:iCs/>
          <w:color w:val="53565A"/>
        </w:rPr>
        <w:t>Gender Trouble: Feminism and the Subversion of Identity. </w:t>
      </w:r>
      <w:r w:rsidRPr="0084381A">
        <w:rPr>
          <w:color w:val="53565A"/>
        </w:rPr>
        <w:t>New York: Routledge.</w:t>
      </w:r>
    </w:p>
    <w:p w14:paraId="3D32A25C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proofErr w:type="spellStart"/>
      <w:r w:rsidRPr="0084381A">
        <w:rPr>
          <w:color w:val="53565A"/>
        </w:rPr>
        <w:t>Carucci</w:t>
      </w:r>
      <w:proofErr w:type="spellEnd"/>
      <w:r w:rsidRPr="0084381A">
        <w:rPr>
          <w:color w:val="53565A"/>
        </w:rPr>
        <w:t>, M. (2010) ‘The Representation of Medea in the Roman House’, in</w:t>
      </w:r>
      <w:r>
        <w:rPr>
          <w:color w:val="53565A"/>
        </w:rPr>
        <w:t xml:space="preserve"> </w:t>
      </w:r>
      <w:proofErr w:type="spellStart"/>
      <w:r w:rsidRPr="0084381A">
        <w:rPr>
          <w:color w:val="53565A"/>
        </w:rPr>
        <w:t>Bartel</w:t>
      </w:r>
      <w:proofErr w:type="spellEnd"/>
      <w:r w:rsidRPr="0084381A">
        <w:rPr>
          <w:color w:val="53565A"/>
        </w:rPr>
        <w:t xml:space="preserve">, H. and Simon, M. (eds) </w:t>
      </w:r>
      <w:r w:rsidRPr="0084381A">
        <w:rPr>
          <w:i/>
          <w:iCs/>
          <w:color w:val="53565A"/>
        </w:rPr>
        <w:t>Unbinding Medea: Interdisciplinary Approaches to a Classical Myth from Antiquity to the 21st Century. </w:t>
      </w:r>
      <w:r w:rsidRPr="0084381A">
        <w:rPr>
          <w:color w:val="53565A"/>
        </w:rPr>
        <w:t>London: Legenda.</w:t>
      </w:r>
    </w:p>
    <w:p w14:paraId="5A8B7BE9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Connell, R.W. (2005) </w:t>
      </w:r>
      <w:r w:rsidRPr="0084381A">
        <w:rPr>
          <w:i/>
          <w:iCs/>
          <w:color w:val="53565A"/>
        </w:rPr>
        <w:t>Masculinities. </w:t>
      </w:r>
      <w:r w:rsidRPr="0084381A">
        <w:rPr>
          <w:color w:val="53565A"/>
        </w:rPr>
        <w:t>2nd Ed. Cambridge: Polity Press.</w:t>
      </w:r>
    </w:p>
    <w:p w14:paraId="341D8757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 xml:space="preserve">Connell, R. W. and Messerschmidt, J. W. (2005) ‘Hegemonic Masculinity: Rethinking the Concept’, </w:t>
      </w:r>
      <w:r w:rsidRPr="0084381A">
        <w:rPr>
          <w:i/>
          <w:iCs/>
          <w:color w:val="53565A"/>
        </w:rPr>
        <w:t>Gender and Society</w:t>
      </w:r>
      <w:r w:rsidRPr="0084381A">
        <w:rPr>
          <w:color w:val="53565A"/>
        </w:rPr>
        <w:t xml:space="preserve"> 19(6), pp. 829-859. Available at: </w:t>
      </w:r>
      <w:hyperlink r:id="rId9" w:history="1">
        <w:r w:rsidRPr="0084381A">
          <w:rPr>
            <w:rStyle w:val="Hyperlink"/>
            <w:spacing w:val="-5"/>
            <w:shd w:val="clear" w:color="auto" w:fill="FFFFFF"/>
          </w:rPr>
          <w:t>http://www.jstor.org/stable/27640853</w:t>
        </w:r>
      </w:hyperlink>
      <w:r w:rsidRPr="0084381A">
        <w:rPr>
          <w:color w:val="000000"/>
          <w:spacing w:val="-5"/>
          <w:shd w:val="clear" w:color="auto" w:fill="FFFFFF"/>
        </w:rPr>
        <w:t xml:space="preserve"> (Accessed 21 October 2020).</w:t>
      </w:r>
    </w:p>
    <w:p w14:paraId="6BDDEB72" w14:textId="77777777" w:rsidR="00E00F73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Conway, C.M. (2008) </w:t>
      </w:r>
      <w:r w:rsidRPr="0084381A">
        <w:rPr>
          <w:i/>
          <w:iCs/>
          <w:color w:val="53565A"/>
        </w:rPr>
        <w:t>Behold the Man: Jesus and Greco-Roman Masculinity. </w:t>
      </w:r>
      <w:r w:rsidRPr="0084381A">
        <w:rPr>
          <w:color w:val="53565A"/>
        </w:rPr>
        <w:t>New York: Oxford University Press.</w:t>
      </w:r>
    </w:p>
    <w:p w14:paraId="3B9E6242" w14:textId="77777777" w:rsidR="00E00F73" w:rsidRPr="000B5BD4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>
        <w:rPr>
          <w:color w:val="53565A"/>
        </w:rPr>
        <w:t xml:space="preserve">Cooley, A. E. and Cooley, M. G. (2004) </w:t>
      </w:r>
      <w:r>
        <w:rPr>
          <w:i/>
          <w:iCs/>
          <w:color w:val="53565A"/>
        </w:rPr>
        <w:t>Pompeii: A sourcebook</w:t>
      </w:r>
      <w:r>
        <w:rPr>
          <w:color w:val="53565A"/>
        </w:rPr>
        <w:t>. London, Routledge.</w:t>
      </w:r>
    </w:p>
    <w:p w14:paraId="462C62E8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Foxhall L. (2013) </w:t>
      </w:r>
      <w:r w:rsidRPr="0084381A">
        <w:rPr>
          <w:i/>
          <w:iCs/>
          <w:color w:val="53565A"/>
        </w:rPr>
        <w:t>Studying Gender in Classical Antiquity. </w:t>
      </w:r>
      <w:r w:rsidRPr="0084381A">
        <w:rPr>
          <w:color w:val="53565A"/>
        </w:rPr>
        <w:t>Cambridge: Cambridge University Press.</w:t>
      </w:r>
    </w:p>
    <w:p w14:paraId="2FDB2B75" w14:textId="77777777" w:rsidR="00E00F73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Griffiths, E. (2006) </w:t>
      </w:r>
      <w:r w:rsidRPr="0084381A">
        <w:rPr>
          <w:i/>
          <w:iCs/>
          <w:color w:val="53565A"/>
        </w:rPr>
        <w:t>Medea.</w:t>
      </w:r>
      <w:r w:rsidRPr="0084381A">
        <w:rPr>
          <w:color w:val="53565A"/>
        </w:rPr>
        <w:t xml:space="preserve"> London: Routledge.</w:t>
      </w:r>
    </w:p>
    <w:p w14:paraId="061F04CB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>
        <w:rPr>
          <w:color w:val="53565A"/>
        </w:rPr>
        <w:t xml:space="preserve">Isbell, H. (2004) ‘Introduction’ </w:t>
      </w:r>
      <w:r w:rsidRPr="0084381A">
        <w:t xml:space="preserve">in </w:t>
      </w:r>
      <w:r>
        <w:t xml:space="preserve">Ovid </w:t>
      </w:r>
      <w:proofErr w:type="spellStart"/>
      <w:r w:rsidRPr="0084381A">
        <w:rPr>
          <w:i/>
        </w:rPr>
        <w:t>Heroides</w:t>
      </w:r>
      <w:proofErr w:type="spellEnd"/>
      <w:r w:rsidRPr="0084381A">
        <w:rPr>
          <w:i/>
        </w:rPr>
        <w:t xml:space="preserve"> </w:t>
      </w:r>
      <w:r w:rsidRPr="0084381A">
        <w:t>(trans. H. Isabell)</w:t>
      </w:r>
      <w:r>
        <w:t>.</w:t>
      </w:r>
      <w:r w:rsidRPr="0084381A">
        <w:t xml:space="preserve"> London, Penguin, pp. </w:t>
      </w:r>
      <w:r>
        <w:t>vii-xxi.</w:t>
      </w:r>
    </w:p>
    <w:p w14:paraId="6F0798B0" w14:textId="77777777" w:rsidR="00E00F73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lastRenderedPageBreak/>
        <w:t>Kamen, D. and Levin-Richardson, S. (2018) ‘Revisiting Roman Sexuality: Agency and the Conceptualization of Penetrated Males’, in Masterson, M., Rabinowitz, N. S. and Robson, J. (eds) </w:t>
      </w:r>
      <w:r w:rsidRPr="0084381A">
        <w:rPr>
          <w:i/>
          <w:iCs/>
          <w:color w:val="53565A"/>
        </w:rPr>
        <w:t>Sex in Antiquity: Exploring Gender and Sexuality in the Ancient World. </w:t>
      </w:r>
      <w:r w:rsidRPr="0084381A">
        <w:rPr>
          <w:color w:val="53565A"/>
        </w:rPr>
        <w:t>London: Routledge.</w:t>
      </w:r>
    </w:p>
    <w:p w14:paraId="117999F1" w14:textId="77777777" w:rsidR="00E00F73" w:rsidRPr="001C031C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proofErr w:type="spellStart"/>
      <w:r>
        <w:rPr>
          <w:color w:val="53565A"/>
        </w:rPr>
        <w:t>Langlands</w:t>
      </w:r>
      <w:proofErr w:type="spellEnd"/>
      <w:r>
        <w:rPr>
          <w:color w:val="53565A"/>
        </w:rPr>
        <w:t xml:space="preserve">, R. (2006) </w:t>
      </w:r>
      <w:r>
        <w:rPr>
          <w:i/>
          <w:iCs/>
          <w:color w:val="53565A"/>
        </w:rPr>
        <w:t>Sexual Morality in Ancient Rome</w:t>
      </w:r>
      <w:r>
        <w:rPr>
          <w:color w:val="53565A"/>
        </w:rPr>
        <w:t xml:space="preserve">. Cambridge, Cambridge University Press. </w:t>
      </w:r>
    </w:p>
    <w:p w14:paraId="01136BBA" w14:textId="77777777" w:rsidR="00E00F73" w:rsidRPr="0094689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>
        <w:rPr>
          <w:color w:val="53565A"/>
        </w:rPr>
        <w:t xml:space="preserve">Leonard, B. and Lobell, J. A. (2019) ‘Digging Deeper into Pompeii’s Past’, in </w:t>
      </w:r>
      <w:r>
        <w:rPr>
          <w:i/>
          <w:iCs/>
          <w:color w:val="53565A"/>
        </w:rPr>
        <w:t>Archaeology</w:t>
      </w:r>
      <w:r>
        <w:rPr>
          <w:color w:val="53565A"/>
        </w:rPr>
        <w:t xml:space="preserve">, 72(4), pp. 26-35. Available at: </w:t>
      </w:r>
      <w:hyperlink r:id="rId10" w:anchor="AN=136742147&amp;db=rlh" w:history="1">
        <w:r w:rsidRPr="00D44E2B">
          <w:rPr>
            <w:rStyle w:val="Hyperlink"/>
          </w:rPr>
          <w:t>https://web.a.ebscohost.com/ehost/detail/detail?vid=0&amp;sid=b6953bec-04b8-420d-b7f5-f35966ca269e%40sdc-v-sessmgr03&amp;bdata=JnNpdGU9ZWhvc3QtbGl2ZQ%3d%3d#AN=136742147&amp;db=rlh</w:t>
        </w:r>
      </w:hyperlink>
      <w:r>
        <w:rPr>
          <w:color w:val="53565A"/>
        </w:rPr>
        <w:t xml:space="preserve"> (Accessed 1 December 2020).</w:t>
      </w:r>
    </w:p>
    <w:p w14:paraId="61186262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4B5555"/>
          <w:spacing w:val="-5"/>
          <w:shd w:val="clear" w:color="auto" w:fill="FFFFFF"/>
        </w:rPr>
      </w:pPr>
      <w:r w:rsidRPr="0084381A">
        <w:rPr>
          <w:color w:val="53565A"/>
        </w:rPr>
        <w:t>Mayer, E. (2012) ‘From Silver Cups to Garden Gnomes: Toward a Contextual Reception of Standardized Images’, </w:t>
      </w:r>
      <w:r w:rsidRPr="0084381A">
        <w:rPr>
          <w:i/>
          <w:iCs/>
          <w:color w:val="53565A"/>
        </w:rPr>
        <w:t>Arethusa, </w:t>
      </w:r>
      <w:r w:rsidRPr="0084381A">
        <w:rPr>
          <w:color w:val="53565A"/>
        </w:rPr>
        <w:t xml:space="preserve">45(3), pp. 283-303. Available at: </w:t>
      </w:r>
      <w:hyperlink r:id="rId11" w:history="1">
        <w:r w:rsidRPr="0084381A">
          <w:rPr>
            <w:rStyle w:val="Hyperlink"/>
            <w:spacing w:val="-5"/>
            <w:shd w:val="clear" w:color="auto" w:fill="FFFFFF"/>
          </w:rPr>
          <w:t>https://ezproxy.uwtsd.ac.uk/login?url=https://www.jstor.org/stable/26322749</w:t>
        </w:r>
      </w:hyperlink>
      <w:r w:rsidRPr="0084381A">
        <w:rPr>
          <w:color w:val="4B5555"/>
          <w:spacing w:val="-5"/>
          <w:shd w:val="clear" w:color="auto" w:fill="FFFFFF"/>
        </w:rPr>
        <w:t xml:space="preserve"> (Accessed 19 October 2020).</w:t>
      </w:r>
    </w:p>
    <w:p w14:paraId="7F83430F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333333"/>
          <w:shd w:val="clear" w:color="auto" w:fill="F5F5F5"/>
        </w:rPr>
      </w:pPr>
      <w:r w:rsidRPr="0084381A">
        <w:rPr>
          <w:color w:val="53565A"/>
        </w:rPr>
        <w:t>McAuley, M. (2012) ‘</w:t>
      </w:r>
      <w:proofErr w:type="spellStart"/>
      <w:r w:rsidRPr="0084381A">
        <w:rPr>
          <w:color w:val="53565A"/>
        </w:rPr>
        <w:t>Specters</w:t>
      </w:r>
      <w:proofErr w:type="spellEnd"/>
      <w:r w:rsidRPr="0084381A">
        <w:rPr>
          <w:color w:val="53565A"/>
        </w:rPr>
        <w:t xml:space="preserve"> of Medea’ in </w:t>
      </w:r>
      <w:r w:rsidRPr="0084381A">
        <w:rPr>
          <w:i/>
          <w:iCs/>
          <w:color w:val="53565A"/>
        </w:rPr>
        <w:t>Helios</w:t>
      </w:r>
      <w:r w:rsidRPr="0084381A">
        <w:rPr>
          <w:color w:val="53565A"/>
        </w:rPr>
        <w:t>,</w:t>
      </w:r>
      <w:r w:rsidRPr="0084381A">
        <w:rPr>
          <w:i/>
          <w:iCs/>
          <w:color w:val="53565A"/>
        </w:rPr>
        <w:t> </w:t>
      </w:r>
      <w:r w:rsidRPr="0084381A">
        <w:rPr>
          <w:color w:val="53565A"/>
        </w:rPr>
        <w:t>39(1), pp. 37-72.</w:t>
      </w:r>
      <w:r w:rsidRPr="0084381A">
        <w:rPr>
          <w:color w:val="333333"/>
          <w:shd w:val="clear" w:color="auto" w:fill="F5F5F5"/>
        </w:rPr>
        <w:t xml:space="preserve"> Available at: </w:t>
      </w:r>
      <w:hyperlink r:id="rId12" w:history="1">
        <w:r w:rsidRPr="0084381A">
          <w:rPr>
            <w:rStyle w:val="Hyperlink"/>
            <w:shd w:val="clear" w:color="auto" w:fill="F5F5F5"/>
          </w:rPr>
          <w:t>https://search.ebscohost.com/login.aspx?direct=true&amp;db=hus&amp;AN=82541940&amp;site=ehost-live</w:t>
        </w:r>
      </w:hyperlink>
      <w:r w:rsidRPr="0084381A">
        <w:rPr>
          <w:color w:val="333333"/>
          <w:shd w:val="clear" w:color="auto" w:fill="F5F5F5"/>
        </w:rPr>
        <w:t xml:space="preserve">  (Accessed: 19 November 2020).</w:t>
      </w:r>
    </w:p>
    <w:p w14:paraId="69B08C9C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Milnor, K. (2008) </w:t>
      </w:r>
      <w:r w:rsidRPr="0084381A">
        <w:rPr>
          <w:i/>
          <w:iCs/>
          <w:color w:val="53565A"/>
        </w:rPr>
        <w:t>Gender, Domesticity, and the Age of Augustus: Inventing Private Life. </w:t>
      </w:r>
      <w:r w:rsidRPr="0084381A">
        <w:rPr>
          <w:color w:val="53565A"/>
        </w:rPr>
        <w:t>Oxford: Oxford University Press.</w:t>
      </w:r>
    </w:p>
    <w:p w14:paraId="350F27BF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Newby Z. (201). </w:t>
      </w:r>
      <w:r w:rsidRPr="0084381A">
        <w:rPr>
          <w:i/>
          <w:iCs/>
          <w:color w:val="53565A"/>
        </w:rPr>
        <w:t>Greek Myths in Roman Art and Culture. </w:t>
      </w:r>
      <w:r w:rsidRPr="0084381A">
        <w:rPr>
          <w:color w:val="53565A"/>
        </w:rPr>
        <w:t>Cambridge: Cambridge University Press.</w:t>
      </w:r>
    </w:p>
    <w:p w14:paraId="21749385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Olson, K. (2008) </w:t>
      </w:r>
      <w:r w:rsidRPr="0084381A">
        <w:rPr>
          <w:i/>
          <w:iCs/>
          <w:color w:val="53565A"/>
        </w:rPr>
        <w:t>Dress and the Roman Woman: Self-Presentation and Society.</w:t>
      </w:r>
      <w:r w:rsidRPr="0084381A">
        <w:rPr>
          <w:color w:val="333333"/>
          <w:shd w:val="clear" w:color="auto" w:fill="F5F5F5"/>
        </w:rPr>
        <w:t xml:space="preserve"> Abingdon, Oxon: Routledge. </w:t>
      </w:r>
    </w:p>
    <w:p w14:paraId="104C1396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 xml:space="preserve">Olson, K. (2014) ‘Appearance, and Sexuality: Dandies in Roman Antiquity, </w:t>
      </w:r>
      <w:r w:rsidRPr="0084381A">
        <w:rPr>
          <w:i/>
          <w:iCs/>
          <w:color w:val="53565A"/>
        </w:rPr>
        <w:t>Journal of the History of Sexuality</w:t>
      </w:r>
      <w:r w:rsidRPr="0084381A">
        <w:rPr>
          <w:color w:val="53565A"/>
        </w:rPr>
        <w:t xml:space="preserve">, 23(2), pp. 182-205. Available at: </w:t>
      </w:r>
      <w:hyperlink r:id="rId13" w:history="1">
        <w:r w:rsidRPr="0084381A">
          <w:rPr>
            <w:rStyle w:val="Hyperlink"/>
            <w:spacing w:val="-5"/>
            <w:shd w:val="clear" w:color="auto" w:fill="FFFFFF"/>
          </w:rPr>
          <w:t>https://www.jstor.org/stable/24616489</w:t>
        </w:r>
      </w:hyperlink>
      <w:r w:rsidRPr="0084381A">
        <w:rPr>
          <w:color w:val="4B5555"/>
          <w:spacing w:val="-5"/>
          <w:shd w:val="clear" w:color="auto" w:fill="FFFFFF"/>
        </w:rPr>
        <w:t xml:space="preserve"> (Accessed 13 October 2020).</w:t>
      </w:r>
    </w:p>
    <w:p w14:paraId="519812CB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color w:val="53565A"/>
        </w:rPr>
        <w:t>Olson, K. (2018) ‘Toga and </w:t>
      </w:r>
      <w:r w:rsidRPr="0084381A">
        <w:rPr>
          <w:i/>
          <w:iCs/>
          <w:color w:val="53565A"/>
        </w:rPr>
        <w:t>Pallium</w:t>
      </w:r>
      <w:r w:rsidRPr="0084381A">
        <w:rPr>
          <w:color w:val="53565A"/>
        </w:rPr>
        <w:t>: Status, Sexuality, Identity’, in Masterson, M., Rabinowitz, N. S. and Robson, J, (eds) </w:t>
      </w:r>
      <w:r w:rsidRPr="0084381A">
        <w:rPr>
          <w:i/>
          <w:iCs/>
          <w:color w:val="53565A"/>
        </w:rPr>
        <w:t>Sex in Antiquity. </w:t>
      </w:r>
      <w:r w:rsidRPr="0084381A">
        <w:rPr>
          <w:color w:val="53565A"/>
        </w:rPr>
        <w:t>London: Routledge.</w:t>
      </w:r>
    </w:p>
    <w:p w14:paraId="5215E384" w14:textId="77777777" w:rsidR="00E00F73" w:rsidRPr="0084381A" w:rsidRDefault="00E00F73" w:rsidP="00E00F73">
      <w:pPr>
        <w:pStyle w:val="NormalWeb"/>
        <w:shd w:val="clear" w:color="auto" w:fill="FFFFFF"/>
        <w:spacing w:before="0" w:beforeAutospacing="0" w:after="173" w:afterAutospacing="0"/>
        <w:rPr>
          <w:color w:val="53565A"/>
        </w:rPr>
      </w:pPr>
      <w:r w:rsidRPr="0084381A">
        <w:rPr>
          <w:rFonts w:eastAsia="Calibri"/>
          <w:color w:val="373A3C"/>
          <w:shd w:val="clear" w:color="auto" w:fill="FBF7F5"/>
        </w:rPr>
        <w:t>Parker, H. (199</w:t>
      </w:r>
      <w:r>
        <w:rPr>
          <w:rFonts w:eastAsia="Calibri"/>
          <w:color w:val="373A3C"/>
          <w:shd w:val="clear" w:color="auto" w:fill="FBF7F5"/>
        </w:rPr>
        <w:t>8</w:t>
      </w:r>
      <w:r w:rsidRPr="0084381A">
        <w:rPr>
          <w:rFonts w:eastAsia="Calibri"/>
          <w:color w:val="373A3C"/>
          <w:shd w:val="clear" w:color="auto" w:fill="FBF7F5"/>
        </w:rPr>
        <w:t>) ‘</w:t>
      </w:r>
      <w:hyperlink r:id="rId14" w:history="1">
        <w:r w:rsidRPr="0084381A">
          <w:rPr>
            <w:rFonts w:eastAsia="Calibri"/>
            <w:color w:val="003E5A"/>
            <w:u w:val="single"/>
            <w:shd w:val="clear" w:color="auto" w:fill="FBF7F5"/>
          </w:rPr>
          <w:t>The Terratogenic Grid</w:t>
        </w:r>
      </w:hyperlink>
      <w:r w:rsidRPr="0084381A">
        <w:rPr>
          <w:rFonts w:eastAsia="Calibri"/>
          <w:color w:val="373A3C"/>
          <w:shd w:val="clear" w:color="auto" w:fill="FBF7F5"/>
        </w:rPr>
        <w:t xml:space="preserve">’ in Hallett, P. and Skinner, M. B. </w:t>
      </w:r>
      <w:r w:rsidRPr="0084381A">
        <w:rPr>
          <w:rFonts w:eastAsia="Calibri"/>
          <w:i/>
          <w:iCs/>
          <w:color w:val="373A3C"/>
          <w:shd w:val="clear" w:color="auto" w:fill="FBF7F5"/>
        </w:rPr>
        <w:t>Roman Sexualities</w:t>
      </w:r>
      <w:r w:rsidRPr="0084381A">
        <w:rPr>
          <w:rFonts w:eastAsia="Calibri"/>
          <w:color w:val="373A3C"/>
          <w:shd w:val="clear" w:color="auto" w:fill="FBF7F5"/>
        </w:rPr>
        <w:t xml:space="preserve">. Princeton, NJ: Princeton University Press. Available at: </w:t>
      </w:r>
      <w:hyperlink r:id="rId15" w:history="1">
        <w:r w:rsidRPr="0084381A">
          <w:rPr>
            <w:rStyle w:val="Hyperlink"/>
            <w:rFonts w:eastAsia="Calibri"/>
            <w:shd w:val="clear" w:color="auto" w:fill="FBF7F5"/>
          </w:rPr>
          <w:t>https://moodle.uwtsd.ac.uk/mod/page/view.php?id=288792</w:t>
        </w:r>
      </w:hyperlink>
      <w:r w:rsidRPr="0084381A">
        <w:rPr>
          <w:rFonts w:eastAsia="Calibri"/>
          <w:color w:val="373A3C"/>
          <w:shd w:val="clear" w:color="auto" w:fill="FBF7F5"/>
        </w:rPr>
        <w:t xml:space="preserve"> (Accessed 10 October 2020).</w:t>
      </w:r>
    </w:p>
    <w:p w14:paraId="2CC61CC4" w14:textId="77777777" w:rsidR="00E00F73" w:rsidRDefault="00E00F73" w:rsidP="00E00F73">
      <w:pPr>
        <w:pStyle w:val="author"/>
        <w:shd w:val="clear" w:color="auto" w:fill="FFFFFF"/>
        <w:spacing w:before="0" w:beforeAutospacing="0" w:after="75" w:afterAutospacing="0"/>
        <w:textAlignment w:val="baseline"/>
        <w:rPr>
          <w:color w:val="595959"/>
        </w:rPr>
      </w:pPr>
      <w:proofErr w:type="spellStart"/>
      <w:r w:rsidRPr="0084381A">
        <w:rPr>
          <w:color w:val="53565A"/>
        </w:rPr>
        <w:t>Vout</w:t>
      </w:r>
      <w:proofErr w:type="spellEnd"/>
      <w:r w:rsidRPr="0084381A">
        <w:rPr>
          <w:color w:val="53565A"/>
        </w:rPr>
        <w:t>, C. (2012) ‘Unfinished Business: Re-viewing Medea in Roman Painting’, </w:t>
      </w:r>
      <w:r w:rsidRPr="0084381A">
        <w:rPr>
          <w:i/>
          <w:iCs/>
          <w:color w:val="53565A"/>
        </w:rPr>
        <w:t>Ramus, </w:t>
      </w:r>
      <w:r w:rsidRPr="0084381A">
        <w:rPr>
          <w:color w:val="53565A"/>
        </w:rPr>
        <w:t>41(1-2), pp. 119-143. D</w:t>
      </w:r>
      <w:r w:rsidRPr="0084381A">
        <w:rPr>
          <w:color w:val="595959"/>
        </w:rPr>
        <w:t>OI: </w:t>
      </w:r>
      <w:hyperlink r:id="rId16" w:tgtFrame="_blank" w:history="1">
        <w:r w:rsidRPr="0084381A">
          <w:rPr>
            <w:u w:val="single"/>
            <w:bdr w:val="none" w:sz="0" w:space="0" w:color="auto" w:frame="1"/>
          </w:rPr>
          <w:t>https://doi-org.ezproxy.uwtsd.ac.uk/10.1017/S0048671X0000028X</w:t>
        </w:r>
      </w:hyperlink>
      <w:r w:rsidRPr="0084381A">
        <w:t xml:space="preserve"> </w:t>
      </w:r>
      <w:r w:rsidRPr="0084381A">
        <w:rPr>
          <w:color w:val="595959"/>
        </w:rPr>
        <w:t>(Accessed 19 October 2020).</w:t>
      </w:r>
    </w:p>
    <w:p w14:paraId="474A4E90" w14:textId="77777777" w:rsidR="00E00F73" w:rsidRDefault="00E00F73" w:rsidP="00E00F73">
      <w:pPr>
        <w:pStyle w:val="author"/>
        <w:shd w:val="clear" w:color="auto" w:fill="FFFFFF"/>
        <w:spacing w:before="0" w:beforeAutospacing="0" w:after="75" w:afterAutospacing="0"/>
        <w:textAlignment w:val="baseline"/>
        <w:rPr>
          <w:color w:val="595959"/>
        </w:rPr>
      </w:pPr>
    </w:p>
    <w:p w14:paraId="08B4CF78" w14:textId="77777777" w:rsidR="00E00F73" w:rsidRPr="002A49F6" w:rsidRDefault="00E00F73" w:rsidP="00E00F73">
      <w:pPr>
        <w:pStyle w:val="author"/>
        <w:shd w:val="clear" w:color="auto" w:fill="FFFFFF"/>
        <w:spacing w:before="0" w:beforeAutospacing="0" w:after="75" w:afterAutospacing="0"/>
        <w:textAlignment w:val="baseline"/>
        <w:rPr>
          <w:color w:val="595959"/>
        </w:rPr>
      </w:pPr>
      <w:r w:rsidRPr="0084381A">
        <w:rPr>
          <w:color w:val="53565A"/>
        </w:rPr>
        <w:t>Watson, P.A. (1995) </w:t>
      </w:r>
      <w:r w:rsidRPr="0084381A">
        <w:rPr>
          <w:i/>
          <w:iCs/>
          <w:color w:val="53565A"/>
        </w:rPr>
        <w:t>Ancient Stepmothers: Myth, Misogyny, and Reality. </w:t>
      </w:r>
      <w:r w:rsidRPr="0084381A">
        <w:rPr>
          <w:color w:val="53565A"/>
        </w:rPr>
        <w:t>Leiden: Brill.</w:t>
      </w:r>
    </w:p>
    <w:p w14:paraId="58EA9371" w14:textId="77777777" w:rsidR="00124302" w:rsidRPr="008C2AF4" w:rsidRDefault="00124302">
      <w:pPr>
        <w:spacing w:line="240" w:lineRule="auto"/>
        <w:rPr>
          <w:rStyle w:val="Strong"/>
          <w:b w:val="0"/>
          <w:bCs w:val="0"/>
        </w:rPr>
      </w:pPr>
    </w:p>
    <w:sectPr w:rsidR="00124302" w:rsidRPr="008C2AF4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B9A9CB" w14:textId="77777777" w:rsidR="00834816" w:rsidRDefault="00834816" w:rsidP="00187AB9">
      <w:pPr>
        <w:spacing w:after="0" w:line="240" w:lineRule="auto"/>
      </w:pPr>
      <w:r>
        <w:separator/>
      </w:r>
    </w:p>
  </w:endnote>
  <w:endnote w:type="continuationSeparator" w:id="0">
    <w:p w14:paraId="5C27C5AF" w14:textId="77777777" w:rsidR="00834816" w:rsidRDefault="00834816" w:rsidP="00187A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87D4191" w14:textId="77777777" w:rsidR="00834816" w:rsidRDefault="00834816" w:rsidP="00187AB9">
      <w:pPr>
        <w:spacing w:after="0" w:line="240" w:lineRule="auto"/>
      </w:pPr>
      <w:r>
        <w:separator/>
      </w:r>
    </w:p>
  </w:footnote>
  <w:footnote w:type="continuationSeparator" w:id="0">
    <w:p w14:paraId="67CFEB39" w14:textId="77777777" w:rsidR="00834816" w:rsidRDefault="00834816" w:rsidP="00187AB9">
      <w:pPr>
        <w:spacing w:after="0" w:line="240" w:lineRule="auto"/>
      </w:pPr>
      <w:r>
        <w:continuationSeparator/>
      </w:r>
    </w:p>
  </w:footnote>
  <w:footnote w:id="1">
    <w:p w14:paraId="4C7B5607" w14:textId="26160B74" w:rsidR="00B02F82" w:rsidRDefault="00B02F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92ECE">
        <w:t>Dunn and Dunn, 2020a</w:t>
      </w:r>
    </w:p>
  </w:footnote>
  <w:footnote w:id="2">
    <w:p w14:paraId="54A00E6E" w14:textId="10DB85AF" w:rsidR="000A7389" w:rsidRDefault="000A73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6C33">
        <w:t xml:space="preserve">Bergmann, </w:t>
      </w:r>
      <w:r w:rsidR="00874C9B">
        <w:t xml:space="preserve">1996, </w:t>
      </w:r>
      <w:r w:rsidR="00B66C33">
        <w:t>pp. 201</w:t>
      </w:r>
      <w:r w:rsidR="00C75786">
        <w:t>,</w:t>
      </w:r>
      <w:r w:rsidR="00B66C33">
        <w:t xml:space="preserve"> 207-8</w:t>
      </w:r>
    </w:p>
  </w:footnote>
  <w:footnote w:id="3">
    <w:p w14:paraId="1BB0378B" w14:textId="4FCC0310" w:rsidR="00752995" w:rsidRDefault="00752995">
      <w:pPr>
        <w:pStyle w:val="FootnoteText"/>
      </w:pPr>
      <w:r>
        <w:rPr>
          <w:rStyle w:val="FootnoteReference"/>
        </w:rPr>
        <w:footnoteRef/>
      </w:r>
      <w:r>
        <w:t xml:space="preserve"> Ibid., p. 205</w:t>
      </w:r>
    </w:p>
  </w:footnote>
  <w:footnote w:id="4">
    <w:p w14:paraId="02C2D574" w14:textId="6981C9E4" w:rsidR="00A7674A" w:rsidRDefault="00A767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7EF8">
        <w:t>Isbell, 2004, p. vii</w:t>
      </w:r>
    </w:p>
  </w:footnote>
  <w:footnote w:id="5">
    <w:p w14:paraId="500583E0" w14:textId="7CBBD7F3" w:rsidR="00C75786" w:rsidRDefault="00C757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4334">
        <w:t>Meyer, 2012</w:t>
      </w:r>
      <w:r w:rsidRPr="00A14334">
        <w:rPr>
          <w:bCs/>
        </w:rPr>
        <w:t xml:space="preserve"> pp. 284</w:t>
      </w:r>
      <w:r>
        <w:rPr>
          <w:bCs/>
        </w:rPr>
        <w:t>,</w:t>
      </w:r>
      <w:r w:rsidRPr="00A14334">
        <w:rPr>
          <w:bCs/>
        </w:rPr>
        <w:t xml:space="preserve"> 302-3</w:t>
      </w:r>
    </w:p>
  </w:footnote>
  <w:footnote w:id="6">
    <w:p w14:paraId="47B1394B" w14:textId="64A3FBAD" w:rsidR="001B676B" w:rsidRDefault="001B67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151E">
        <w:rPr>
          <w:bCs/>
        </w:rPr>
        <w:t>Beard and Henderson, 2001, pp. 43-</w:t>
      </w:r>
      <w:r>
        <w:rPr>
          <w:bCs/>
        </w:rPr>
        <w:t>45</w:t>
      </w:r>
    </w:p>
  </w:footnote>
  <w:footnote w:id="7">
    <w:p w14:paraId="31C4AA70" w14:textId="35F3F5EF" w:rsidR="001B676B" w:rsidRDefault="001B67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151E">
        <w:rPr>
          <w:bCs/>
        </w:rPr>
        <w:t xml:space="preserve">Bergmann, </w:t>
      </w:r>
      <w:r>
        <w:rPr>
          <w:bCs/>
        </w:rPr>
        <w:t xml:space="preserve">1996, </w:t>
      </w:r>
      <w:r w:rsidRPr="0066151E">
        <w:rPr>
          <w:bCs/>
        </w:rPr>
        <w:t>p</w:t>
      </w:r>
      <w:r>
        <w:rPr>
          <w:bCs/>
        </w:rPr>
        <w:t>p</w:t>
      </w:r>
      <w:r w:rsidRPr="0066151E">
        <w:rPr>
          <w:bCs/>
        </w:rPr>
        <w:t>. 199</w:t>
      </w:r>
      <w:r>
        <w:rPr>
          <w:bCs/>
        </w:rPr>
        <w:t>-200</w:t>
      </w:r>
    </w:p>
  </w:footnote>
  <w:footnote w:id="8">
    <w:p w14:paraId="07EBF319" w14:textId="659885EA" w:rsidR="00CD04A5" w:rsidRDefault="00CD04A5">
      <w:pPr>
        <w:pStyle w:val="FootnoteText"/>
      </w:pPr>
      <w:r>
        <w:rPr>
          <w:rStyle w:val="FootnoteReference"/>
        </w:rPr>
        <w:footnoteRef/>
      </w:r>
      <w:r>
        <w:t xml:space="preserve"> Ibid., p. 207</w:t>
      </w:r>
    </w:p>
  </w:footnote>
  <w:footnote w:id="9">
    <w:p w14:paraId="242C6D5D" w14:textId="0FBF77CB" w:rsidR="005D61BE" w:rsidRDefault="005D61BE">
      <w:pPr>
        <w:pStyle w:val="FootnoteText"/>
      </w:pPr>
      <w:r>
        <w:rPr>
          <w:rStyle w:val="FootnoteReference"/>
        </w:rPr>
        <w:footnoteRef/>
      </w:r>
      <w:r>
        <w:t xml:space="preserve"> Ibid, </w:t>
      </w:r>
      <w:r w:rsidR="00240C94">
        <w:t>pp. 211, 215</w:t>
      </w:r>
    </w:p>
  </w:footnote>
  <w:footnote w:id="10">
    <w:p w14:paraId="40D50B0E" w14:textId="3068976D" w:rsidR="00494A02" w:rsidRDefault="00494A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Carucci</w:t>
      </w:r>
      <w:proofErr w:type="spellEnd"/>
      <w:r w:rsidR="007C23B2">
        <w:t>, 2010, pp. 56, 60</w:t>
      </w:r>
    </w:p>
  </w:footnote>
  <w:footnote w:id="11">
    <w:p w14:paraId="54991BE1" w14:textId="19A337C7" w:rsidR="005E78EC" w:rsidRDefault="005E78EC">
      <w:pPr>
        <w:pStyle w:val="FootnoteText"/>
      </w:pPr>
      <w:r>
        <w:rPr>
          <w:rStyle w:val="FootnoteReference"/>
        </w:rPr>
        <w:footnoteRef/>
      </w:r>
      <w:r>
        <w:t xml:space="preserve"> Ibid., 62-63</w:t>
      </w:r>
    </w:p>
  </w:footnote>
  <w:footnote w:id="12">
    <w:p w14:paraId="59E52D32" w14:textId="7B28F413" w:rsidR="003C2E0B" w:rsidRDefault="003C2E0B">
      <w:pPr>
        <w:pStyle w:val="FootnoteText"/>
      </w:pPr>
      <w:r>
        <w:rPr>
          <w:rStyle w:val="FootnoteReference"/>
        </w:rPr>
        <w:footnoteRef/>
      </w:r>
      <w:r>
        <w:t xml:space="preserve"> Ibid., p. 58</w:t>
      </w:r>
    </w:p>
  </w:footnote>
  <w:footnote w:id="13">
    <w:p w14:paraId="6C512A2D" w14:textId="5F40245B" w:rsidR="00A76AF3" w:rsidRDefault="00A76AF3">
      <w:pPr>
        <w:pStyle w:val="FootnoteText"/>
      </w:pPr>
      <w:r>
        <w:rPr>
          <w:rStyle w:val="FootnoteReference"/>
        </w:rPr>
        <w:footnoteRef/>
      </w:r>
      <w:r>
        <w:t xml:space="preserve"> McAuley</w:t>
      </w:r>
      <w:r w:rsidR="009F013C">
        <w:t>, 2012, p. 40</w:t>
      </w:r>
    </w:p>
  </w:footnote>
  <w:footnote w:id="14">
    <w:p w14:paraId="36594DEF" w14:textId="464B72CC" w:rsidR="009F013C" w:rsidRDefault="009F013C">
      <w:pPr>
        <w:pStyle w:val="FootnoteText"/>
      </w:pPr>
      <w:r>
        <w:rPr>
          <w:rStyle w:val="FootnoteReference"/>
        </w:rPr>
        <w:footnoteRef/>
      </w:r>
      <w:r>
        <w:t xml:space="preserve"> Ibid., p. 41</w:t>
      </w:r>
    </w:p>
  </w:footnote>
  <w:footnote w:id="15">
    <w:p w14:paraId="23C0665E" w14:textId="10BEF37B" w:rsidR="001F3091" w:rsidRDefault="001F30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Vout</w:t>
      </w:r>
      <w:proofErr w:type="spellEnd"/>
      <w:r>
        <w:t xml:space="preserve">, </w:t>
      </w:r>
      <w:r w:rsidR="005765F8">
        <w:t>2012, p. 120</w:t>
      </w:r>
    </w:p>
  </w:footnote>
  <w:footnote w:id="16">
    <w:p w14:paraId="4B2D53C3" w14:textId="6D5E9968" w:rsidR="00735E3B" w:rsidRDefault="00735E3B">
      <w:pPr>
        <w:pStyle w:val="FootnoteText"/>
      </w:pPr>
      <w:r>
        <w:rPr>
          <w:rStyle w:val="FootnoteReference"/>
        </w:rPr>
        <w:footnoteRef/>
      </w:r>
      <w:r>
        <w:t xml:space="preserve"> Ibid., p. 122</w:t>
      </w:r>
    </w:p>
  </w:footnote>
  <w:footnote w:id="17">
    <w:p w14:paraId="568A28A8" w14:textId="139AF809" w:rsidR="007C30CF" w:rsidRDefault="007C30CF">
      <w:pPr>
        <w:pStyle w:val="FootnoteText"/>
      </w:pPr>
      <w:r>
        <w:rPr>
          <w:rStyle w:val="FootnoteReference"/>
        </w:rPr>
        <w:footnoteRef/>
      </w:r>
      <w:r>
        <w:t xml:space="preserve"> Ibid., p. 132</w:t>
      </w:r>
    </w:p>
  </w:footnote>
  <w:footnote w:id="18">
    <w:p w14:paraId="13F4E8AF" w14:textId="2CF853E6" w:rsidR="00061415" w:rsidRDefault="00061415">
      <w:pPr>
        <w:pStyle w:val="FootnoteText"/>
      </w:pPr>
      <w:r>
        <w:rPr>
          <w:rStyle w:val="FootnoteReference"/>
        </w:rPr>
        <w:footnoteRef/>
      </w:r>
      <w:r>
        <w:t xml:space="preserve"> Dunn and Dunn, 2020b</w:t>
      </w:r>
    </w:p>
  </w:footnote>
  <w:footnote w:id="19">
    <w:p w14:paraId="63E1BE54" w14:textId="49D7314A" w:rsidR="00CB7E20" w:rsidRDefault="00CB7E20">
      <w:pPr>
        <w:pStyle w:val="FootnoteText"/>
      </w:pPr>
      <w:r>
        <w:rPr>
          <w:rStyle w:val="FootnoteReference"/>
        </w:rPr>
        <w:footnoteRef/>
      </w:r>
      <w:r>
        <w:t xml:space="preserve"> Bergmann, 1996, p. </w:t>
      </w:r>
      <w:r w:rsidR="00C30802">
        <w:t>201</w:t>
      </w:r>
    </w:p>
  </w:footnote>
  <w:footnote w:id="20">
    <w:p w14:paraId="15135036" w14:textId="2A71F158" w:rsidR="00A84524" w:rsidRDefault="00A84524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A82D36">
        <w:t>., p. 207</w:t>
      </w:r>
    </w:p>
  </w:footnote>
  <w:footnote w:id="21">
    <w:p w14:paraId="3A3EBF8B" w14:textId="3BE06EA5" w:rsidR="0090507F" w:rsidRDefault="009050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Langlands</w:t>
      </w:r>
      <w:proofErr w:type="spellEnd"/>
      <w:r>
        <w:t>, 2006</w:t>
      </w:r>
    </w:p>
  </w:footnote>
  <w:footnote w:id="22">
    <w:p w14:paraId="26FA0832" w14:textId="3267F59A" w:rsidR="006F7B74" w:rsidRDefault="006F7B74">
      <w:pPr>
        <w:pStyle w:val="FootnoteText"/>
      </w:pPr>
      <w:r>
        <w:rPr>
          <w:rStyle w:val="FootnoteReference"/>
        </w:rPr>
        <w:footnoteRef/>
      </w:r>
      <w:r>
        <w:t xml:space="preserve"> Olson, 2008, pp. 34, 36</w:t>
      </w:r>
    </w:p>
  </w:footnote>
  <w:footnote w:id="23">
    <w:p w14:paraId="7898507C" w14:textId="10FFA5FC" w:rsidR="00401F88" w:rsidRDefault="00401F88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3505C8">
        <w:t>., pp. 11-13, 80-81</w:t>
      </w:r>
    </w:p>
  </w:footnote>
  <w:footnote w:id="24">
    <w:p w14:paraId="0C7AF50F" w14:textId="16CBF772" w:rsidR="001153EC" w:rsidRDefault="001153EC">
      <w:pPr>
        <w:pStyle w:val="FootnoteText"/>
      </w:pPr>
      <w:r>
        <w:rPr>
          <w:rStyle w:val="FootnoteReference"/>
        </w:rPr>
        <w:footnoteRef/>
      </w:r>
      <w:r>
        <w:t xml:space="preserve"> Conway, </w:t>
      </w:r>
      <w:r w:rsidR="007C78A0">
        <w:t>2008, pp. 17-18</w:t>
      </w:r>
    </w:p>
  </w:footnote>
  <w:footnote w:id="25">
    <w:p w14:paraId="5BE042D0" w14:textId="6BFAFE20" w:rsidR="00243DE5" w:rsidRDefault="00243D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15B1">
        <w:t xml:space="preserve">Parker, 1998, pp. </w:t>
      </w:r>
      <w:r w:rsidR="008D3053">
        <w:t>48-50</w:t>
      </w:r>
    </w:p>
  </w:footnote>
  <w:footnote w:id="26">
    <w:p w14:paraId="0904D7A2" w14:textId="0E60EF00" w:rsidR="008D3053" w:rsidRDefault="008D3053">
      <w:pPr>
        <w:pStyle w:val="FootnoteText"/>
      </w:pPr>
      <w:r>
        <w:rPr>
          <w:rStyle w:val="FootnoteReference"/>
        </w:rPr>
        <w:footnoteRef/>
      </w:r>
      <w:r>
        <w:t xml:space="preserve"> Conway, </w:t>
      </w:r>
      <w:r w:rsidR="00445922">
        <w:t>2008, p. 18</w:t>
      </w:r>
    </w:p>
  </w:footnote>
  <w:footnote w:id="27">
    <w:p w14:paraId="2135D891" w14:textId="2A12A65A" w:rsidR="00445922" w:rsidRDefault="00445922">
      <w:pPr>
        <w:pStyle w:val="FootnoteText"/>
      </w:pPr>
      <w:r>
        <w:rPr>
          <w:rStyle w:val="FootnoteReference"/>
        </w:rPr>
        <w:footnoteRef/>
      </w:r>
      <w:r>
        <w:t xml:space="preserve"> Ibid., p. 22</w:t>
      </w:r>
    </w:p>
  </w:footnote>
  <w:footnote w:id="28">
    <w:p w14:paraId="6DA3D9FF" w14:textId="5A0FB137" w:rsidR="00445922" w:rsidRDefault="00445922">
      <w:pPr>
        <w:pStyle w:val="FootnoteText"/>
      </w:pPr>
      <w:r>
        <w:rPr>
          <w:rStyle w:val="FootnoteReference"/>
        </w:rPr>
        <w:footnoteRef/>
      </w:r>
      <w:r>
        <w:t xml:space="preserve"> Ibid., pp. 18-19</w:t>
      </w:r>
    </w:p>
  </w:footnote>
  <w:footnote w:id="29">
    <w:p w14:paraId="17D5DF5C" w14:textId="6487B183" w:rsidR="00432612" w:rsidRDefault="00432612">
      <w:pPr>
        <w:pStyle w:val="FootnoteText"/>
      </w:pPr>
      <w:r>
        <w:rPr>
          <w:rStyle w:val="FootnoteReference"/>
        </w:rPr>
        <w:footnoteRef/>
      </w:r>
      <w:r>
        <w:t xml:space="preserve"> Olson, 2008, pp. 13-14; 2014, p</w:t>
      </w:r>
      <w:r w:rsidR="00B050B0">
        <w:t>. 186</w:t>
      </w:r>
    </w:p>
  </w:footnote>
  <w:footnote w:id="30">
    <w:p w14:paraId="36139C22" w14:textId="75EB850C" w:rsidR="00B050B0" w:rsidRDefault="00B050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bCs/>
        </w:rPr>
        <w:t>Butler, 2006, p. 187</w:t>
      </w:r>
    </w:p>
  </w:footnote>
  <w:footnote w:id="31">
    <w:p w14:paraId="491CC725" w14:textId="2F9DDD4F" w:rsidR="00344364" w:rsidRDefault="003443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bCs/>
        </w:rPr>
        <w:t>Olson, 2014, p. 185, 192-193, 196-7</w:t>
      </w:r>
    </w:p>
  </w:footnote>
  <w:footnote w:id="32">
    <w:p w14:paraId="55C2A716" w14:textId="5B9E4000" w:rsidR="008616F3" w:rsidRDefault="008616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bCs/>
        </w:rPr>
        <w:t xml:space="preserve">Olson, 2008, p. 84-85; Conway, </w:t>
      </w:r>
      <w:r w:rsidR="00B8154D">
        <w:rPr>
          <w:bCs/>
        </w:rPr>
        <w:t xml:space="preserve">2008, </w:t>
      </w:r>
      <w:r>
        <w:rPr>
          <w:bCs/>
        </w:rPr>
        <w:t>p. 33</w:t>
      </w:r>
    </w:p>
  </w:footnote>
  <w:footnote w:id="33">
    <w:p w14:paraId="76A7EA8F" w14:textId="62E4575E" w:rsidR="00A74761" w:rsidRDefault="00A747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Vout</w:t>
      </w:r>
      <w:proofErr w:type="spellEnd"/>
      <w:r>
        <w:t>, 2012, p. 132</w:t>
      </w:r>
    </w:p>
  </w:footnote>
  <w:footnote w:id="34">
    <w:p w14:paraId="1E14BF05" w14:textId="256280AA" w:rsidR="00660127" w:rsidRDefault="006601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2F09">
        <w:t>Conway, 2008, pp.40-41</w:t>
      </w:r>
    </w:p>
  </w:footnote>
  <w:footnote w:id="35">
    <w:p w14:paraId="3305E2D4" w14:textId="372D2B50" w:rsidR="008B2F09" w:rsidRPr="0077076C" w:rsidRDefault="008B2F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Ov</w:t>
      </w:r>
      <w:proofErr w:type="spellEnd"/>
      <w:r w:rsidR="00487517">
        <w:t xml:space="preserve">. </w:t>
      </w:r>
      <w:r w:rsidR="0077076C">
        <w:rPr>
          <w:i/>
          <w:iCs/>
        </w:rPr>
        <w:t>Her</w:t>
      </w:r>
      <w:r w:rsidR="0077076C">
        <w:t>.</w:t>
      </w:r>
      <w:r w:rsidR="00A57F3E">
        <w:t xml:space="preserve"> XVI</w:t>
      </w:r>
    </w:p>
  </w:footnote>
  <w:footnote w:id="36">
    <w:p w14:paraId="178839E2" w14:textId="753C08D0" w:rsidR="00B905F4" w:rsidRDefault="00B905F4">
      <w:pPr>
        <w:pStyle w:val="FootnoteText"/>
      </w:pPr>
      <w:r>
        <w:rPr>
          <w:rStyle w:val="FootnoteReference"/>
        </w:rPr>
        <w:footnoteRef/>
      </w:r>
      <w:r w:rsidR="00704F03">
        <w:t xml:space="preserve">Leonard and </w:t>
      </w:r>
      <w:r w:rsidR="00BA2D43">
        <w:t>Lobell</w:t>
      </w:r>
      <w:r w:rsidR="00704F03">
        <w:t>, 2019, p. 28</w:t>
      </w:r>
    </w:p>
  </w:footnote>
  <w:footnote w:id="37">
    <w:p w14:paraId="6F71C130" w14:textId="751BDA71" w:rsidR="00704F03" w:rsidRDefault="00704F03">
      <w:pPr>
        <w:pStyle w:val="FootnoteText"/>
      </w:pPr>
      <w:r>
        <w:rPr>
          <w:rStyle w:val="FootnoteReference"/>
        </w:rPr>
        <w:footnoteRef/>
      </w:r>
      <w:r>
        <w:t xml:space="preserve"> Cooley and Cooley, 2004, p.17</w:t>
      </w:r>
    </w:p>
  </w:footnote>
  <w:footnote w:id="38">
    <w:p w14:paraId="7A9F1A36" w14:textId="381427FB" w:rsidR="009A7A94" w:rsidRDefault="009A7A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75EC4">
        <w:t xml:space="preserve">Ibid., p. </w:t>
      </w:r>
      <w:r>
        <w:t xml:space="preserve">19; </w:t>
      </w:r>
      <w:r w:rsidR="00975EC4">
        <w:t>Leonard and Lobell, 2019, pp. 28-30</w:t>
      </w:r>
    </w:p>
  </w:footnote>
  <w:footnote w:id="39">
    <w:p w14:paraId="5D845D88" w14:textId="1BBE647C" w:rsidR="00E65310" w:rsidRPr="00E65310" w:rsidRDefault="00E653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Cic</w:t>
      </w:r>
      <w:proofErr w:type="spellEnd"/>
      <w:r>
        <w:t xml:space="preserve">. </w:t>
      </w:r>
      <w:r>
        <w:rPr>
          <w:i/>
          <w:iCs/>
        </w:rPr>
        <w:t>Sull</w:t>
      </w:r>
      <w:r>
        <w:t>.</w:t>
      </w:r>
      <w:r w:rsidR="00E81881">
        <w:t xml:space="preserve"> </w:t>
      </w:r>
      <w:r w:rsidR="00473996">
        <w:t>60-62</w:t>
      </w:r>
    </w:p>
  </w:footnote>
  <w:footnote w:id="40">
    <w:p w14:paraId="76477C76" w14:textId="12576360" w:rsidR="00D5268A" w:rsidRDefault="00D526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1F15">
        <w:t>Olson,</w:t>
      </w:r>
      <w:r w:rsidR="00F94CF2">
        <w:t xml:space="preserve"> 2014, pp. </w:t>
      </w:r>
      <w:r w:rsidR="00A61F15">
        <w:t>196-199,204</w:t>
      </w:r>
    </w:p>
  </w:footnote>
  <w:footnote w:id="41">
    <w:p w14:paraId="283398B5" w14:textId="3287BB02" w:rsidR="00016512" w:rsidRDefault="000165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D62BA">
        <w:t>Leonard and Lobell, 2019, p. 28</w:t>
      </w:r>
    </w:p>
  </w:footnote>
  <w:footnote w:id="42">
    <w:p w14:paraId="5642A949" w14:textId="5FADD167" w:rsidR="008D62BA" w:rsidRDefault="008D62BA">
      <w:pPr>
        <w:pStyle w:val="FootnoteText"/>
      </w:pPr>
      <w:r>
        <w:rPr>
          <w:rStyle w:val="FootnoteReference"/>
        </w:rPr>
        <w:footnoteRef/>
      </w:r>
      <w:r>
        <w:t xml:space="preserve"> Cooley and Cooley, 2004, pp. 5-6</w:t>
      </w:r>
    </w:p>
  </w:footnote>
  <w:footnote w:id="43">
    <w:p w14:paraId="707957B5" w14:textId="679A2C61" w:rsidR="008D62BA" w:rsidRDefault="008D62BA">
      <w:pPr>
        <w:pStyle w:val="FootnoteText"/>
      </w:pPr>
      <w:r>
        <w:rPr>
          <w:rStyle w:val="FootnoteReference"/>
        </w:rPr>
        <w:footnoteRef/>
      </w:r>
      <w:r>
        <w:t xml:space="preserve"> Ibid. p. 11</w:t>
      </w:r>
    </w:p>
  </w:footnote>
  <w:footnote w:id="44">
    <w:p w14:paraId="675EE70C" w14:textId="4CBFBF4F" w:rsidR="0079319E" w:rsidRDefault="007931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bCs/>
        </w:rPr>
        <w:t>Connell and Messerschmidt, 2005, pp. 849-850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EB0CC2" w14:textId="77777777" w:rsidR="00C04F9D" w:rsidRDefault="00B0368A" w:rsidP="00B0368A">
    <w:pPr>
      <w:pStyle w:val="Header"/>
    </w:pPr>
    <w:r>
      <w:rPr>
        <w:b/>
      </w:rPr>
      <w:t>1706944 Heather Foster-Brown CLCL7005</w:t>
    </w:r>
    <w:r>
      <w:tab/>
    </w:r>
    <w:r>
      <w:tab/>
    </w:r>
    <w:r w:rsidR="00C04F9D">
      <w:t xml:space="preserve">Page </w:t>
    </w:r>
    <w:r w:rsidR="00C04F9D">
      <w:rPr>
        <w:b/>
        <w:bCs/>
      </w:rPr>
      <w:fldChar w:fldCharType="begin"/>
    </w:r>
    <w:r w:rsidR="00C04F9D">
      <w:rPr>
        <w:b/>
        <w:bCs/>
      </w:rPr>
      <w:instrText xml:space="preserve"> PAGE </w:instrText>
    </w:r>
    <w:r w:rsidR="00C04F9D">
      <w:rPr>
        <w:b/>
        <w:bCs/>
      </w:rPr>
      <w:fldChar w:fldCharType="separate"/>
    </w:r>
    <w:r w:rsidR="00C04F9D">
      <w:rPr>
        <w:b/>
        <w:bCs/>
        <w:noProof/>
      </w:rPr>
      <w:t>2</w:t>
    </w:r>
    <w:r w:rsidR="00C04F9D">
      <w:rPr>
        <w:b/>
        <w:bCs/>
      </w:rPr>
      <w:fldChar w:fldCharType="end"/>
    </w:r>
    <w:r w:rsidR="00C04F9D">
      <w:t xml:space="preserve"> of </w:t>
    </w:r>
    <w:r w:rsidR="00C04F9D">
      <w:rPr>
        <w:b/>
        <w:bCs/>
      </w:rPr>
      <w:fldChar w:fldCharType="begin"/>
    </w:r>
    <w:r w:rsidR="00C04F9D">
      <w:rPr>
        <w:b/>
        <w:bCs/>
      </w:rPr>
      <w:instrText xml:space="preserve"> NUMPAGES  </w:instrText>
    </w:r>
    <w:r w:rsidR="00C04F9D">
      <w:rPr>
        <w:b/>
        <w:bCs/>
      </w:rPr>
      <w:fldChar w:fldCharType="separate"/>
    </w:r>
    <w:r w:rsidR="00C04F9D">
      <w:rPr>
        <w:b/>
        <w:bCs/>
        <w:noProof/>
      </w:rPr>
      <w:t>2</w:t>
    </w:r>
    <w:r w:rsidR="00C04F9D">
      <w:rPr>
        <w:b/>
        <w:bCs/>
      </w:rPr>
      <w:fldChar w:fldCharType="end"/>
    </w:r>
  </w:p>
  <w:p w14:paraId="74554384" w14:textId="77777777" w:rsidR="00187AB9" w:rsidRPr="002E2CD8" w:rsidRDefault="00187AB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proofState w:spelling="clean"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87AB9"/>
    <w:rsid w:val="00000E6C"/>
    <w:rsid w:val="00001135"/>
    <w:rsid w:val="000020D1"/>
    <w:rsid w:val="00011BC5"/>
    <w:rsid w:val="00012260"/>
    <w:rsid w:val="00012C5E"/>
    <w:rsid w:val="000133FA"/>
    <w:rsid w:val="000152C2"/>
    <w:rsid w:val="00015AF0"/>
    <w:rsid w:val="00016512"/>
    <w:rsid w:val="00016AFA"/>
    <w:rsid w:val="00016E4F"/>
    <w:rsid w:val="000204F2"/>
    <w:rsid w:val="0002391D"/>
    <w:rsid w:val="00037A7D"/>
    <w:rsid w:val="00040439"/>
    <w:rsid w:val="0004299A"/>
    <w:rsid w:val="00042C55"/>
    <w:rsid w:val="00042C7F"/>
    <w:rsid w:val="00044E9F"/>
    <w:rsid w:val="00045DE6"/>
    <w:rsid w:val="0004788B"/>
    <w:rsid w:val="0005065F"/>
    <w:rsid w:val="0005259A"/>
    <w:rsid w:val="00054639"/>
    <w:rsid w:val="000547CC"/>
    <w:rsid w:val="000560DA"/>
    <w:rsid w:val="00056673"/>
    <w:rsid w:val="00061415"/>
    <w:rsid w:val="000616F7"/>
    <w:rsid w:val="00061E76"/>
    <w:rsid w:val="00064744"/>
    <w:rsid w:val="00066FA8"/>
    <w:rsid w:val="00075788"/>
    <w:rsid w:val="00080FAA"/>
    <w:rsid w:val="000818C7"/>
    <w:rsid w:val="00081EBE"/>
    <w:rsid w:val="000826D0"/>
    <w:rsid w:val="00082D22"/>
    <w:rsid w:val="0008559E"/>
    <w:rsid w:val="00085FDD"/>
    <w:rsid w:val="000866CB"/>
    <w:rsid w:val="000868E2"/>
    <w:rsid w:val="000869AA"/>
    <w:rsid w:val="00087AE4"/>
    <w:rsid w:val="00090031"/>
    <w:rsid w:val="00094616"/>
    <w:rsid w:val="00096C7C"/>
    <w:rsid w:val="00097EC0"/>
    <w:rsid w:val="000A0A36"/>
    <w:rsid w:val="000A398A"/>
    <w:rsid w:val="000A5F09"/>
    <w:rsid w:val="000A6CEE"/>
    <w:rsid w:val="000A7389"/>
    <w:rsid w:val="000B02E7"/>
    <w:rsid w:val="000B24C7"/>
    <w:rsid w:val="000B3BB9"/>
    <w:rsid w:val="000B5B14"/>
    <w:rsid w:val="000B5BC0"/>
    <w:rsid w:val="000B77A1"/>
    <w:rsid w:val="000C192B"/>
    <w:rsid w:val="000C4136"/>
    <w:rsid w:val="000C5A44"/>
    <w:rsid w:val="000D39E5"/>
    <w:rsid w:val="000D4338"/>
    <w:rsid w:val="000D58C7"/>
    <w:rsid w:val="000D6538"/>
    <w:rsid w:val="000D65F6"/>
    <w:rsid w:val="000D6A7A"/>
    <w:rsid w:val="000D6F74"/>
    <w:rsid w:val="000D74A3"/>
    <w:rsid w:val="000D77D6"/>
    <w:rsid w:val="000E18E3"/>
    <w:rsid w:val="000E2C51"/>
    <w:rsid w:val="000E3CAC"/>
    <w:rsid w:val="000E7682"/>
    <w:rsid w:val="000F03D5"/>
    <w:rsid w:val="000F0450"/>
    <w:rsid w:val="000F17C8"/>
    <w:rsid w:val="000F2487"/>
    <w:rsid w:val="000F2D57"/>
    <w:rsid w:val="000F4B21"/>
    <w:rsid w:val="000F5308"/>
    <w:rsid w:val="000F5C9D"/>
    <w:rsid w:val="000F78F2"/>
    <w:rsid w:val="00101825"/>
    <w:rsid w:val="00103FF9"/>
    <w:rsid w:val="00104D65"/>
    <w:rsid w:val="00105D0C"/>
    <w:rsid w:val="00107CDC"/>
    <w:rsid w:val="001119E0"/>
    <w:rsid w:val="00113494"/>
    <w:rsid w:val="0011454A"/>
    <w:rsid w:val="00114AD7"/>
    <w:rsid w:val="001151CB"/>
    <w:rsid w:val="00115266"/>
    <w:rsid w:val="001152A7"/>
    <w:rsid w:val="001153EC"/>
    <w:rsid w:val="00120DB5"/>
    <w:rsid w:val="001236E4"/>
    <w:rsid w:val="00124302"/>
    <w:rsid w:val="00124A02"/>
    <w:rsid w:val="00125AEB"/>
    <w:rsid w:val="00127259"/>
    <w:rsid w:val="0013092F"/>
    <w:rsid w:val="00131782"/>
    <w:rsid w:val="00132945"/>
    <w:rsid w:val="00133B38"/>
    <w:rsid w:val="00134F65"/>
    <w:rsid w:val="00136782"/>
    <w:rsid w:val="00140707"/>
    <w:rsid w:val="00141C2F"/>
    <w:rsid w:val="00142A14"/>
    <w:rsid w:val="00142BE2"/>
    <w:rsid w:val="001443D9"/>
    <w:rsid w:val="0014623F"/>
    <w:rsid w:val="0014664D"/>
    <w:rsid w:val="00151865"/>
    <w:rsid w:val="00151B77"/>
    <w:rsid w:val="00151CB0"/>
    <w:rsid w:val="00152AA5"/>
    <w:rsid w:val="00155221"/>
    <w:rsid w:val="001562CF"/>
    <w:rsid w:val="001564BF"/>
    <w:rsid w:val="00156A3E"/>
    <w:rsid w:val="00160AE3"/>
    <w:rsid w:val="00163993"/>
    <w:rsid w:val="001663E6"/>
    <w:rsid w:val="0016735F"/>
    <w:rsid w:val="00170E54"/>
    <w:rsid w:val="00171F50"/>
    <w:rsid w:val="00172481"/>
    <w:rsid w:val="00173790"/>
    <w:rsid w:val="00174672"/>
    <w:rsid w:val="00175FCF"/>
    <w:rsid w:val="00177EF8"/>
    <w:rsid w:val="00182001"/>
    <w:rsid w:val="0018568F"/>
    <w:rsid w:val="0018601D"/>
    <w:rsid w:val="00187AB9"/>
    <w:rsid w:val="001906E2"/>
    <w:rsid w:val="0019075A"/>
    <w:rsid w:val="001928F9"/>
    <w:rsid w:val="0019410F"/>
    <w:rsid w:val="001962CB"/>
    <w:rsid w:val="0019676C"/>
    <w:rsid w:val="001A1645"/>
    <w:rsid w:val="001A3301"/>
    <w:rsid w:val="001A40A1"/>
    <w:rsid w:val="001A4DD0"/>
    <w:rsid w:val="001A56B2"/>
    <w:rsid w:val="001A6794"/>
    <w:rsid w:val="001A6C1A"/>
    <w:rsid w:val="001B170F"/>
    <w:rsid w:val="001B676B"/>
    <w:rsid w:val="001C22F8"/>
    <w:rsid w:val="001C3BCF"/>
    <w:rsid w:val="001D2A2F"/>
    <w:rsid w:val="001D39D1"/>
    <w:rsid w:val="001D488A"/>
    <w:rsid w:val="001D586C"/>
    <w:rsid w:val="001E1CD8"/>
    <w:rsid w:val="001E1EAE"/>
    <w:rsid w:val="001E3C79"/>
    <w:rsid w:val="001E619B"/>
    <w:rsid w:val="001E64FC"/>
    <w:rsid w:val="001E7A53"/>
    <w:rsid w:val="001F3091"/>
    <w:rsid w:val="001F3103"/>
    <w:rsid w:val="001F4E14"/>
    <w:rsid w:val="001F78AA"/>
    <w:rsid w:val="002015E3"/>
    <w:rsid w:val="0020358F"/>
    <w:rsid w:val="0020370D"/>
    <w:rsid w:val="0020431A"/>
    <w:rsid w:val="00205309"/>
    <w:rsid w:val="00206C5D"/>
    <w:rsid w:val="00211929"/>
    <w:rsid w:val="0021473B"/>
    <w:rsid w:val="00215936"/>
    <w:rsid w:val="00220226"/>
    <w:rsid w:val="002236C3"/>
    <w:rsid w:val="00225314"/>
    <w:rsid w:val="0023435D"/>
    <w:rsid w:val="00236611"/>
    <w:rsid w:val="00240688"/>
    <w:rsid w:val="00240C94"/>
    <w:rsid w:val="00241EFD"/>
    <w:rsid w:val="00243D90"/>
    <w:rsid w:val="00243DE5"/>
    <w:rsid w:val="00245611"/>
    <w:rsid w:val="0024791B"/>
    <w:rsid w:val="00252DF1"/>
    <w:rsid w:val="002530A1"/>
    <w:rsid w:val="002558F1"/>
    <w:rsid w:val="00260D55"/>
    <w:rsid w:val="002618E2"/>
    <w:rsid w:val="00263520"/>
    <w:rsid w:val="0026473C"/>
    <w:rsid w:val="002661D9"/>
    <w:rsid w:val="002675B3"/>
    <w:rsid w:val="002721DE"/>
    <w:rsid w:val="002749A0"/>
    <w:rsid w:val="00275D8E"/>
    <w:rsid w:val="002771A8"/>
    <w:rsid w:val="002801CA"/>
    <w:rsid w:val="0028260F"/>
    <w:rsid w:val="00283339"/>
    <w:rsid w:val="00283818"/>
    <w:rsid w:val="00284AE4"/>
    <w:rsid w:val="002853A1"/>
    <w:rsid w:val="002859C9"/>
    <w:rsid w:val="0029172D"/>
    <w:rsid w:val="00292E6A"/>
    <w:rsid w:val="0029391B"/>
    <w:rsid w:val="002A32DB"/>
    <w:rsid w:val="002B209E"/>
    <w:rsid w:val="002B3322"/>
    <w:rsid w:val="002B6CFE"/>
    <w:rsid w:val="002B7902"/>
    <w:rsid w:val="002C22C3"/>
    <w:rsid w:val="002C39FB"/>
    <w:rsid w:val="002C5AAE"/>
    <w:rsid w:val="002C740A"/>
    <w:rsid w:val="002D045F"/>
    <w:rsid w:val="002D2DA4"/>
    <w:rsid w:val="002D2DCE"/>
    <w:rsid w:val="002E0190"/>
    <w:rsid w:val="002E0DEC"/>
    <w:rsid w:val="002E2CD8"/>
    <w:rsid w:val="002E7AF9"/>
    <w:rsid w:val="002F5C41"/>
    <w:rsid w:val="00304C3E"/>
    <w:rsid w:val="003066A2"/>
    <w:rsid w:val="00306FA5"/>
    <w:rsid w:val="0031009A"/>
    <w:rsid w:val="00310106"/>
    <w:rsid w:val="00310B91"/>
    <w:rsid w:val="0031542A"/>
    <w:rsid w:val="00316C36"/>
    <w:rsid w:val="0032291B"/>
    <w:rsid w:val="003239A4"/>
    <w:rsid w:val="00323EAD"/>
    <w:rsid w:val="00324C8C"/>
    <w:rsid w:val="003255DD"/>
    <w:rsid w:val="00327309"/>
    <w:rsid w:val="0032758D"/>
    <w:rsid w:val="00333BAC"/>
    <w:rsid w:val="0033444B"/>
    <w:rsid w:val="003356F4"/>
    <w:rsid w:val="003360C1"/>
    <w:rsid w:val="003368A4"/>
    <w:rsid w:val="00340C4C"/>
    <w:rsid w:val="00341FDC"/>
    <w:rsid w:val="00342F42"/>
    <w:rsid w:val="00344364"/>
    <w:rsid w:val="00346D47"/>
    <w:rsid w:val="003470C3"/>
    <w:rsid w:val="003505C8"/>
    <w:rsid w:val="003521FE"/>
    <w:rsid w:val="00352EF3"/>
    <w:rsid w:val="00355AE4"/>
    <w:rsid w:val="00357880"/>
    <w:rsid w:val="003611C9"/>
    <w:rsid w:val="003628E8"/>
    <w:rsid w:val="00362F1B"/>
    <w:rsid w:val="00367FD6"/>
    <w:rsid w:val="003744B8"/>
    <w:rsid w:val="003776EB"/>
    <w:rsid w:val="0038179D"/>
    <w:rsid w:val="0038633C"/>
    <w:rsid w:val="00390CE1"/>
    <w:rsid w:val="0039178A"/>
    <w:rsid w:val="0039735E"/>
    <w:rsid w:val="003A062E"/>
    <w:rsid w:val="003A0B06"/>
    <w:rsid w:val="003A3930"/>
    <w:rsid w:val="003A5A99"/>
    <w:rsid w:val="003A6F26"/>
    <w:rsid w:val="003B10B4"/>
    <w:rsid w:val="003B1934"/>
    <w:rsid w:val="003B1F60"/>
    <w:rsid w:val="003B28FF"/>
    <w:rsid w:val="003B2B52"/>
    <w:rsid w:val="003B3792"/>
    <w:rsid w:val="003B3B63"/>
    <w:rsid w:val="003B4FF5"/>
    <w:rsid w:val="003C2E0B"/>
    <w:rsid w:val="003C311C"/>
    <w:rsid w:val="003C335D"/>
    <w:rsid w:val="003C4D46"/>
    <w:rsid w:val="003C512F"/>
    <w:rsid w:val="003C63B9"/>
    <w:rsid w:val="003C7D7B"/>
    <w:rsid w:val="003E1943"/>
    <w:rsid w:val="003E2377"/>
    <w:rsid w:val="003E3C6D"/>
    <w:rsid w:val="003E3ECC"/>
    <w:rsid w:val="003E401D"/>
    <w:rsid w:val="003E4704"/>
    <w:rsid w:val="003E57E8"/>
    <w:rsid w:val="003E6C00"/>
    <w:rsid w:val="003E7AC3"/>
    <w:rsid w:val="003F0A5F"/>
    <w:rsid w:val="003F60CD"/>
    <w:rsid w:val="00401F88"/>
    <w:rsid w:val="004031B4"/>
    <w:rsid w:val="0040515A"/>
    <w:rsid w:val="00405EED"/>
    <w:rsid w:val="004107FA"/>
    <w:rsid w:val="0041080F"/>
    <w:rsid w:val="00412418"/>
    <w:rsid w:val="00415770"/>
    <w:rsid w:val="00415AB1"/>
    <w:rsid w:val="00416467"/>
    <w:rsid w:val="00421411"/>
    <w:rsid w:val="00425586"/>
    <w:rsid w:val="00431D25"/>
    <w:rsid w:val="00432612"/>
    <w:rsid w:val="00437B02"/>
    <w:rsid w:val="004408E1"/>
    <w:rsid w:val="004427CF"/>
    <w:rsid w:val="004430FA"/>
    <w:rsid w:val="00444FF0"/>
    <w:rsid w:val="00445922"/>
    <w:rsid w:val="00446E52"/>
    <w:rsid w:val="004531C7"/>
    <w:rsid w:val="0045504F"/>
    <w:rsid w:val="004553EB"/>
    <w:rsid w:val="004562BD"/>
    <w:rsid w:val="00456ECA"/>
    <w:rsid w:val="00457722"/>
    <w:rsid w:val="00457C28"/>
    <w:rsid w:val="00465DAF"/>
    <w:rsid w:val="0046655A"/>
    <w:rsid w:val="004668B8"/>
    <w:rsid w:val="004673C3"/>
    <w:rsid w:val="0046783D"/>
    <w:rsid w:val="0046784B"/>
    <w:rsid w:val="0047386F"/>
    <w:rsid w:val="00473996"/>
    <w:rsid w:val="00475CEB"/>
    <w:rsid w:val="00481835"/>
    <w:rsid w:val="00482CEF"/>
    <w:rsid w:val="00482E83"/>
    <w:rsid w:val="00483141"/>
    <w:rsid w:val="00485D68"/>
    <w:rsid w:val="00487517"/>
    <w:rsid w:val="00490C03"/>
    <w:rsid w:val="00492821"/>
    <w:rsid w:val="00494300"/>
    <w:rsid w:val="00494A02"/>
    <w:rsid w:val="004A07EE"/>
    <w:rsid w:val="004A197B"/>
    <w:rsid w:val="004A3681"/>
    <w:rsid w:val="004A5E16"/>
    <w:rsid w:val="004A66A9"/>
    <w:rsid w:val="004A6BC0"/>
    <w:rsid w:val="004B17DA"/>
    <w:rsid w:val="004B2629"/>
    <w:rsid w:val="004B5321"/>
    <w:rsid w:val="004B5A3B"/>
    <w:rsid w:val="004B65E4"/>
    <w:rsid w:val="004B71D4"/>
    <w:rsid w:val="004B798A"/>
    <w:rsid w:val="004C0AEC"/>
    <w:rsid w:val="004C18B7"/>
    <w:rsid w:val="004C3779"/>
    <w:rsid w:val="004C38CD"/>
    <w:rsid w:val="004C5C56"/>
    <w:rsid w:val="004C68A7"/>
    <w:rsid w:val="004C6B24"/>
    <w:rsid w:val="004D029F"/>
    <w:rsid w:val="004D127B"/>
    <w:rsid w:val="004D538D"/>
    <w:rsid w:val="004D6F34"/>
    <w:rsid w:val="004E05E4"/>
    <w:rsid w:val="004E1049"/>
    <w:rsid w:val="004E2F69"/>
    <w:rsid w:val="004E6D0B"/>
    <w:rsid w:val="004E6D56"/>
    <w:rsid w:val="004E709F"/>
    <w:rsid w:val="004F1B15"/>
    <w:rsid w:val="004F1F6B"/>
    <w:rsid w:val="004F705B"/>
    <w:rsid w:val="004F72EA"/>
    <w:rsid w:val="0050294E"/>
    <w:rsid w:val="0050337E"/>
    <w:rsid w:val="005042C9"/>
    <w:rsid w:val="00507782"/>
    <w:rsid w:val="0051055B"/>
    <w:rsid w:val="0051135C"/>
    <w:rsid w:val="005147DE"/>
    <w:rsid w:val="00514F9B"/>
    <w:rsid w:val="005168FE"/>
    <w:rsid w:val="005203A9"/>
    <w:rsid w:val="00520BDC"/>
    <w:rsid w:val="0052177E"/>
    <w:rsid w:val="005227C4"/>
    <w:rsid w:val="00522C83"/>
    <w:rsid w:val="00522F49"/>
    <w:rsid w:val="00523BE4"/>
    <w:rsid w:val="0052468A"/>
    <w:rsid w:val="0052623B"/>
    <w:rsid w:val="00527FEE"/>
    <w:rsid w:val="005344F6"/>
    <w:rsid w:val="00534BA2"/>
    <w:rsid w:val="00534BDC"/>
    <w:rsid w:val="0053530D"/>
    <w:rsid w:val="00535E69"/>
    <w:rsid w:val="005369BD"/>
    <w:rsid w:val="00537C8C"/>
    <w:rsid w:val="0054077E"/>
    <w:rsid w:val="00545B81"/>
    <w:rsid w:val="00550131"/>
    <w:rsid w:val="0055151F"/>
    <w:rsid w:val="00553106"/>
    <w:rsid w:val="00554DC2"/>
    <w:rsid w:val="0055641F"/>
    <w:rsid w:val="005605F3"/>
    <w:rsid w:val="005610E4"/>
    <w:rsid w:val="00562BD0"/>
    <w:rsid w:val="00563A77"/>
    <w:rsid w:val="00567198"/>
    <w:rsid w:val="00570385"/>
    <w:rsid w:val="00570728"/>
    <w:rsid w:val="0057089C"/>
    <w:rsid w:val="005711CD"/>
    <w:rsid w:val="00572691"/>
    <w:rsid w:val="00572D5C"/>
    <w:rsid w:val="00573884"/>
    <w:rsid w:val="00573AD7"/>
    <w:rsid w:val="005765F8"/>
    <w:rsid w:val="00590A4F"/>
    <w:rsid w:val="00591BE3"/>
    <w:rsid w:val="00595B10"/>
    <w:rsid w:val="005A3453"/>
    <w:rsid w:val="005A3BFE"/>
    <w:rsid w:val="005A4416"/>
    <w:rsid w:val="005A7609"/>
    <w:rsid w:val="005B512E"/>
    <w:rsid w:val="005B5A0A"/>
    <w:rsid w:val="005B5EFD"/>
    <w:rsid w:val="005C6B16"/>
    <w:rsid w:val="005C790A"/>
    <w:rsid w:val="005C7ADD"/>
    <w:rsid w:val="005D01F1"/>
    <w:rsid w:val="005D1354"/>
    <w:rsid w:val="005D1950"/>
    <w:rsid w:val="005D3DF5"/>
    <w:rsid w:val="005D463E"/>
    <w:rsid w:val="005D4815"/>
    <w:rsid w:val="005D61BE"/>
    <w:rsid w:val="005D6515"/>
    <w:rsid w:val="005D6D2C"/>
    <w:rsid w:val="005E008D"/>
    <w:rsid w:val="005E2FE2"/>
    <w:rsid w:val="005E3F68"/>
    <w:rsid w:val="005E6119"/>
    <w:rsid w:val="005E75B4"/>
    <w:rsid w:val="005E77F2"/>
    <w:rsid w:val="005E78EC"/>
    <w:rsid w:val="005F3D42"/>
    <w:rsid w:val="005F565D"/>
    <w:rsid w:val="00601A92"/>
    <w:rsid w:val="00603822"/>
    <w:rsid w:val="00605A6A"/>
    <w:rsid w:val="00605B28"/>
    <w:rsid w:val="00607999"/>
    <w:rsid w:val="00611B43"/>
    <w:rsid w:val="00612E58"/>
    <w:rsid w:val="006135D8"/>
    <w:rsid w:val="00613E0D"/>
    <w:rsid w:val="0061453F"/>
    <w:rsid w:val="006160A4"/>
    <w:rsid w:val="0061786E"/>
    <w:rsid w:val="00617CBA"/>
    <w:rsid w:val="0062076B"/>
    <w:rsid w:val="00621176"/>
    <w:rsid w:val="00625FF7"/>
    <w:rsid w:val="00626A49"/>
    <w:rsid w:val="00626A9B"/>
    <w:rsid w:val="00626B16"/>
    <w:rsid w:val="00630ED6"/>
    <w:rsid w:val="0063123B"/>
    <w:rsid w:val="00631DAC"/>
    <w:rsid w:val="006350EE"/>
    <w:rsid w:val="006358CE"/>
    <w:rsid w:val="00642BF2"/>
    <w:rsid w:val="00643BDC"/>
    <w:rsid w:val="00643BFE"/>
    <w:rsid w:val="0064525E"/>
    <w:rsid w:val="0064770E"/>
    <w:rsid w:val="00650E1A"/>
    <w:rsid w:val="006530B5"/>
    <w:rsid w:val="006541F0"/>
    <w:rsid w:val="00655551"/>
    <w:rsid w:val="00656AAF"/>
    <w:rsid w:val="00660127"/>
    <w:rsid w:val="0066316B"/>
    <w:rsid w:val="006638AA"/>
    <w:rsid w:val="00665766"/>
    <w:rsid w:val="00665EB6"/>
    <w:rsid w:val="0066628D"/>
    <w:rsid w:val="00667FFD"/>
    <w:rsid w:val="00671B13"/>
    <w:rsid w:val="00673253"/>
    <w:rsid w:val="00673EBB"/>
    <w:rsid w:val="006741C4"/>
    <w:rsid w:val="006746A1"/>
    <w:rsid w:val="00675A01"/>
    <w:rsid w:val="006775A8"/>
    <w:rsid w:val="00683F0E"/>
    <w:rsid w:val="00684322"/>
    <w:rsid w:val="006843C6"/>
    <w:rsid w:val="00684F95"/>
    <w:rsid w:val="00686014"/>
    <w:rsid w:val="00687865"/>
    <w:rsid w:val="00687BC5"/>
    <w:rsid w:val="006916D0"/>
    <w:rsid w:val="00692253"/>
    <w:rsid w:val="006930E3"/>
    <w:rsid w:val="00693FB4"/>
    <w:rsid w:val="0069650F"/>
    <w:rsid w:val="006A2BAD"/>
    <w:rsid w:val="006A4780"/>
    <w:rsid w:val="006A581C"/>
    <w:rsid w:val="006B0083"/>
    <w:rsid w:val="006B0289"/>
    <w:rsid w:val="006B0E7F"/>
    <w:rsid w:val="006B2744"/>
    <w:rsid w:val="006B4990"/>
    <w:rsid w:val="006B71FD"/>
    <w:rsid w:val="006B7A36"/>
    <w:rsid w:val="006C1C65"/>
    <w:rsid w:val="006C20E4"/>
    <w:rsid w:val="006C4FB8"/>
    <w:rsid w:val="006C62A6"/>
    <w:rsid w:val="006C6F2B"/>
    <w:rsid w:val="006D0607"/>
    <w:rsid w:val="006D0BE5"/>
    <w:rsid w:val="006D1B5C"/>
    <w:rsid w:val="006D1DE0"/>
    <w:rsid w:val="006D3EDF"/>
    <w:rsid w:val="006D67FE"/>
    <w:rsid w:val="006D7483"/>
    <w:rsid w:val="006D750B"/>
    <w:rsid w:val="006E189F"/>
    <w:rsid w:val="006E25F9"/>
    <w:rsid w:val="006E53BF"/>
    <w:rsid w:val="006E5BD1"/>
    <w:rsid w:val="006E6C90"/>
    <w:rsid w:val="006E7A4A"/>
    <w:rsid w:val="006F0685"/>
    <w:rsid w:val="006F4763"/>
    <w:rsid w:val="006F4867"/>
    <w:rsid w:val="006F55BE"/>
    <w:rsid w:val="006F5E9A"/>
    <w:rsid w:val="006F634D"/>
    <w:rsid w:val="006F7B74"/>
    <w:rsid w:val="00700FF7"/>
    <w:rsid w:val="00701276"/>
    <w:rsid w:val="00701B53"/>
    <w:rsid w:val="00701DF4"/>
    <w:rsid w:val="0070311E"/>
    <w:rsid w:val="0070491A"/>
    <w:rsid w:val="00704F03"/>
    <w:rsid w:val="00704F63"/>
    <w:rsid w:val="00711599"/>
    <w:rsid w:val="00716217"/>
    <w:rsid w:val="0072203E"/>
    <w:rsid w:val="00722DD0"/>
    <w:rsid w:val="00723515"/>
    <w:rsid w:val="007240E8"/>
    <w:rsid w:val="00724375"/>
    <w:rsid w:val="00731133"/>
    <w:rsid w:val="007324F5"/>
    <w:rsid w:val="00735BC3"/>
    <w:rsid w:val="00735E3B"/>
    <w:rsid w:val="0074321D"/>
    <w:rsid w:val="00743B9D"/>
    <w:rsid w:val="0074548A"/>
    <w:rsid w:val="00746DF0"/>
    <w:rsid w:val="0074794E"/>
    <w:rsid w:val="00752995"/>
    <w:rsid w:val="007530DA"/>
    <w:rsid w:val="00756946"/>
    <w:rsid w:val="00756BAC"/>
    <w:rsid w:val="0075706D"/>
    <w:rsid w:val="00760CC3"/>
    <w:rsid w:val="00761F2A"/>
    <w:rsid w:val="007654FD"/>
    <w:rsid w:val="00765E88"/>
    <w:rsid w:val="00766D7B"/>
    <w:rsid w:val="007670B4"/>
    <w:rsid w:val="00767247"/>
    <w:rsid w:val="007674F8"/>
    <w:rsid w:val="0077076C"/>
    <w:rsid w:val="00770D96"/>
    <w:rsid w:val="0077176C"/>
    <w:rsid w:val="007744B4"/>
    <w:rsid w:val="007775C3"/>
    <w:rsid w:val="007779BA"/>
    <w:rsid w:val="00782C29"/>
    <w:rsid w:val="00784DE5"/>
    <w:rsid w:val="00790839"/>
    <w:rsid w:val="00791050"/>
    <w:rsid w:val="007913C6"/>
    <w:rsid w:val="00791620"/>
    <w:rsid w:val="00791873"/>
    <w:rsid w:val="00791C0D"/>
    <w:rsid w:val="0079315C"/>
    <w:rsid w:val="0079319E"/>
    <w:rsid w:val="00794380"/>
    <w:rsid w:val="00795874"/>
    <w:rsid w:val="00796042"/>
    <w:rsid w:val="007962FB"/>
    <w:rsid w:val="007A1CE0"/>
    <w:rsid w:val="007A25EE"/>
    <w:rsid w:val="007A3430"/>
    <w:rsid w:val="007B093B"/>
    <w:rsid w:val="007B2745"/>
    <w:rsid w:val="007B3517"/>
    <w:rsid w:val="007B4425"/>
    <w:rsid w:val="007B710E"/>
    <w:rsid w:val="007C23B2"/>
    <w:rsid w:val="007C2FD7"/>
    <w:rsid w:val="007C30CF"/>
    <w:rsid w:val="007C3C74"/>
    <w:rsid w:val="007C5AAC"/>
    <w:rsid w:val="007C6128"/>
    <w:rsid w:val="007C78A0"/>
    <w:rsid w:val="007D1154"/>
    <w:rsid w:val="007D4661"/>
    <w:rsid w:val="007D7F65"/>
    <w:rsid w:val="007E054F"/>
    <w:rsid w:val="007E15D0"/>
    <w:rsid w:val="007E3EC5"/>
    <w:rsid w:val="007F0177"/>
    <w:rsid w:val="007F3B37"/>
    <w:rsid w:val="007F47A3"/>
    <w:rsid w:val="007F4D04"/>
    <w:rsid w:val="007F61DB"/>
    <w:rsid w:val="00805CBB"/>
    <w:rsid w:val="00806D23"/>
    <w:rsid w:val="00807456"/>
    <w:rsid w:val="00810B90"/>
    <w:rsid w:val="00812FA7"/>
    <w:rsid w:val="00814A69"/>
    <w:rsid w:val="00816625"/>
    <w:rsid w:val="00817D50"/>
    <w:rsid w:val="008209FD"/>
    <w:rsid w:val="00821909"/>
    <w:rsid w:val="00824660"/>
    <w:rsid w:val="00824781"/>
    <w:rsid w:val="008254CC"/>
    <w:rsid w:val="00825641"/>
    <w:rsid w:val="008261E3"/>
    <w:rsid w:val="00830062"/>
    <w:rsid w:val="008302BF"/>
    <w:rsid w:val="008325DC"/>
    <w:rsid w:val="00834816"/>
    <w:rsid w:val="00835A24"/>
    <w:rsid w:val="008369D9"/>
    <w:rsid w:val="0084016E"/>
    <w:rsid w:val="008408C7"/>
    <w:rsid w:val="0084113E"/>
    <w:rsid w:val="00843468"/>
    <w:rsid w:val="00843CEB"/>
    <w:rsid w:val="00844658"/>
    <w:rsid w:val="0084548D"/>
    <w:rsid w:val="0084671C"/>
    <w:rsid w:val="00846891"/>
    <w:rsid w:val="00851855"/>
    <w:rsid w:val="008519E3"/>
    <w:rsid w:val="0085441D"/>
    <w:rsid w:val="00857517"/>
    <w:rsid w:val="00857551"/>
    <w:rsid w:val="00857B3A"/>
    <w:rsid w:val="00860578"/>
    <w:rsid w:val="0086149E"/>
    <w:rsid w:val="008616F3"/>
    <w:rsid w:val="00863408"/>
    <w:rsid w:val="008644BC"/>
    <w:rsid w:val="00871234"/>
    <w:rsid w:val="008727DC"/>
    <w:rsid w:val="008740A8"/>
    <w:rsid w:val="00874426"/>
    <w:rsid w:val="00874C9B"/>
    <w:rsid w:val="00875819"/>
    <w:rsid w:val="00875ECC"/>
    <w:rsid w:val="008768BD"/>
    <w:rsid w:val="0087783A"/>
    <w:rsid w:val="00880330"/>
    <w:rsid w:val="0088310A"/>
    <w:rsid w:val="00890434"/>
    <w:rsid w:val="008920EA"/>
    <w:rsid w:val="008921C2"/>
    <w:rsid w:val="008934B8"/>
    <w:rsid w:val="00893A4C"/>
    <w:rsid w:val="008A3C29"/>
    <w:rsid w:val="008A4276"/>
    <w:rsid w:val="008A4C04"/>
    <w:rsid w:val="008A6F81"/>
    <w:rsid w:val="008B009C"/>
    <w:rsid w:val="008B2F09"/>
    <w:rsid w:val="008B3404"/>
    <w:rsid w:val="008C285C"/>
    <w:rsid w:val="008C2AF4"/>
    <w:rsid w:val="008C769C"/>
    <w:rsid w:val="008C7969"/>
    <w:rsid w:val="008C7FB0"/>
    <w:rsid w:val="008D3053"/>
    <w:rsid w:val="008D54DE"/>
    <w:rsid w:val="008D62BA"/>
    <w:rsid w:val="008D7C9F"/>
    <w:rsid w:val="008E0183"/>
    <w:rsid w:val="008E05EB"/>
    <w:rsid w:val="008E244D"/>
    <w:rsid w:val="008E40E0"/>
    <w:rsid w:val="008E59B2"/>
    <w:rsid w:val="008E6D85"/>
    <w:rsid w:val="008F249F"/>
    <w:rsid w:val="008F2DF8"/>
    <w:rsid w:val="008F56AF"/>
    <w:rsid w:val="008F774C"/>
    <w:rsid w:val="0090204E"/>
    <w:rsid w:val="0090507F"/>
    <w:rsid w:val="0090657B"/>
    <w:rsid w:val="00906DF6"/>
    <w:rsid w:val="00910A61"/>
    <w:rsid w:val="00910FCF"/>
    <w:rsid w:val="00911761"/>
    <w:rsid w:val="00912746"/>
    <w:rsid w:val="009143D9"/>
    <w:rsid w:val="00917B12"/>
    <w:rsid w:val="009226A8"/>
    <w:rsid w:val="0092549E"/>
    <w:rsid w:val="009303C7"/>
    <w:rsid w:val="00931725"/>
    <w:rsid w:val="0093172D"/>
    <w:rsid w:val="009325F6"/>
    <w:rsid w:val="00933BB1"/>
    <w:rsid w:val="0093489D"/>
    <w:rsid w:val="0093663C"/>
    <w:rsid w:val="00940F92"/>
    <w:rsid w:val="009410FC"/>
    <w:rsid w:val="00941E18"/>
    <w:rsid w:val="00942472"/>
    <w:rsid w:val="0094348E"/>
    <w:rsid w:val="009463F7"/>
    <w:rsid w:val="00946F71"/>
    <w:rsid w:val="00951870"/>
    <w:rsid w:val="00961D88"/>
    <w:rsid w:val="009671BE"/>
    <w:rsid w:val="00967663"/>
    <w:rsid w:val="00967695"/>
    <w:rsid w:val="009704A9"/>
    <w:rsid w:val="00970EC5"/>
    <w:rsid w:val="00973325"/>
    <w:rsid w:val="0097573E"/>
    <w:rsid w:val="00975EC4"/>
    <w:rsid w:val="0097748C"/>
    <w:rsid w:val="00980B66"/>
    <w:rsid w:val="0098242A"/>
    <w:rsid w:val="00985368"/>
    <w:rsid w:val="00987F22"/>
    <w:rsid w:val="009939A0"/>
    <w:rsid w:val="009A35C9"/>
    <w:rsid w:val="009A3C64"/>
    <w:rsid w:val="009A7A94"/>
    <w:rsid w:val="009B2B67"/>
    <w:rsid w:val="009B3EDE"/>
    <w:rsid w:val="009B6609"/>
    <w:rsid w:val="009B79F2"/>
    <w:rsid w:val="009C2980"/>
    <w:rsid w:val="009C30D6"/>
    <w:rsid w:val="009C4DFD"/>
    <w:rsid w:val="009C6EF3"/>
    <w:rsid w:val="009C7C50"/>
    <w:rsid w:val="009D0900"/>
    <w:rsid w:val="009D0CD5"/>
    <w:rsid w:val="009D0FE9"/>
    <w:rsid w:val="009D1D1A"/>
    <w:rsid w:val="009D259D"/>
    <w:rsid w:val="009D2B86"/>
    <w:rsid w:val="009D347A"/>
    <w:rsid w:val="009D50B5"/>
    <w:rsid w:val="009D5CAB"/>
    <w:rsid w:val="009E07F7"/>
    <w:rsid w:val="009E0AD7"/>
    <w:rsid w:val="009E2C9C"/>
    <w:rsid w:val="009E3334"/>
    <w:rsid w:val="009E576E"/>
    <w:rsid w:val="009F013C"/>
    <w:rsid w:val="009F23F9"/>
    <w:rsid w:val="009F58EF"/>
    <w:rsid w:val="00A00493"/>
    <w:rsid w:val="00A016A1"/>
    <w:rsid w:val="00A016FC"/>
    <w:rsid w:val="00A0207B"/>
    <w:rsid w:val="00A03161"/>
    <w:rsid w:val="00A035D5"/>
    <w:rsid w:val="00A03C0C"/>
    <w:rsid w:val="00A042F1"/>
    <w:rsid w:val="00A043EB"/>
    <w:rsid w:val="00A04513"/>
    <w:rsid w:val="00A11044"/>
    <w:rsid w:val="00A1196A"/>
    <w:rsid w:val="00A1210A"/>
    <w:rsid w:val="00A13725"/>
    <w:rsid w:val="00A13D17"/>
    <w:rsid w:val="00A14334"/>
    <w:rsid w:val="00A14608"/>
    <w:rsid w:val="00A14E32"/>
    <w:rsid w:val="00A16049"/>
    <w:rsid w:val="00A21612"/>
    <w:rsid w:val="00A21688"/>
    <w:rsid w:val="00A305A9"/>
    <w:rsid w:val="00A32A65"/>
    <w:rsid w:val="00A350AD"/>
    <w:rsid w:val="00A37646"/>
    <w:rsid w:val="00A40895"/>
    <w:rsid w:val="00A40A18"/>
    <w:rsid w:val="00A41199"/>
    <w:rsid w:val="00A425DF"/>
    <w:rsid w:val="00A4410B"/>
    <w:rsid w:val="00A4652D"/>
    <w:rsid w:val="00A511F1"/>
    <w:rsid w:val="00A51283"/>
    <w:rsid w:val="00A561FA"/>
    <w:rsid w:val="00A57F3E"/>
    <w:rsid w:val="00A60101"/>
    <w:rsid w:val="00A61F15"/>
    <w:rsid w:val="00A6555E"/>
    <w:rsid w:val="00A74761"/>
    <w:rsid w:val="00A75028"/>
    <w:rsid w:val="00A7674A"/>
    <w:rsid w:val="00A76AF3"/>
    <w:rsid w:val="00A76ED3"/>
    <w:rsid w:val="00A80EC6"/>
    <w:rsid w:val="00A82606"/>
    <w:rsid w:val="00A82D36"/>
    <w:rsid w:val="00A839BE"/>
    <w:rsid w:val="00A84524"/>
    <w:rsid w:val="00A86AE2"/>
    <w:rsid w:val="00A86BE5"/>
    <w:rsid w:val="00A87DCF"/>
    <w:rsid w:val="00A90892"/>
    <w:rsid w:val="00A927C4"/>
    <w:rsid w:val="00A94CF3"/>
    <w:rsid w:val="00A94E37"/>
    <w:rsid w:val="00A95681"/>
    <w:rsid w:val="00A95EB9"/>
    <w:rsid w:val="00A9664F"/>
    <w:rsid w:val="00A96E47"/>
    <w:rsid w:val="00AA1B11"/>
    <w:rsid w:val="00AA373B"/>
    <w:rsid w:val="00AA3E38"/>
    <w:rsid w:val="00AA463B"/>
    <w:rsid w:val="00AA5452"/>
    <w:rsid w:val="00AA6A25"/>
    <w:rsid w:val="00AB279D"/>
    <w:rsid w:val="00AB66A9"/>
    <w:rsid w:val="00AC521E"/>
    <w:rsid w:val="00AC66D3"/>
    <w:rsid w:val="00AC671E"/>
    <w:rsid w:val="00AC7D26"/>
    <w:rsid w:val="00AD08FE"/>
    <w:rsid w:val="00AD092A"/>
    <w:rsid w:val="00AD1006"/>
    <w:rsid w:val="00AD1E20"/>
    <w:rsid w:val="00AD2260"/>
    <w:rsid w:val="00AD256D"/>
    <w:rsid w:val="00AD3E18"/>
    <w:rsid w:val="00AD43A8"/>
    <w:rsid w:val="00AD58F5"/>
    <w:rsid w:val="00AD6B43"/>
    <w:rsid w:val="00AE3495"/>
    <w:rsid w:val="00AE6A70"/>
    <w:rsid w:val="00AF4808"/>
    <w:rsid w:val="00B015B1"/>
    <w:rsid w:val="00B02F82"/>
    <w:rsid w:val="00B0368A"/>
    <w:rsid w:val="00B050B0"/>
    <w:rsid w:val="00B1461D"/>
    <w:rsid w:val="00B22CA4"/>
    <w:rsid w:val="00B23705"/>
    <w:rsid w:val="00B23F30"/>
    <w:rsid w:val="00B2529A"/>
    <w:rsid w:val="00B26ED1"/>
    <w:rsid w:val="00B2755A"/>
    <w:rsid w:val="00B30F46"/>
    <w:rsid w:val="00B332C3"/>
    <w:rsid w:val="00B33443"/>
    <w:rsid w:val="00B33F2E"/>
    <w:rsid w:val="00B33F69"/>
    <w:rsid w:val="00B40BB9"/>
    <w:rsid w:val="00B416FA"/>
    <w:rsid w:val="00B46C14"/>
    <w:rsid w:val="00B46E63"/>
    <w:rsid w:val="00B50205"/>
    <w:rsid w:val="00B51509"/>
    <w:rsid w:val="00B546E5"/>
    <w:rsid w:val="00B54F1A"/>
    <w:rsid w:val="00B55BB5"/>
    <w:rsid w:val="00B63FDE"/>
    <w:rsid w:val="00B65066"/>
    <w:rsid w:val="00B66C33"/>
    <w:rsid w:val="00B671A3"/>
    <w:rsid w:val="00B70476"/>
    <w:rsid w:val="00B7275D"/>
    <w:rsid w:val="00B73F5D"/>
    <w:rsid w:val="00B742F4"/>
    <w:rsid w:val="00B8154D"/>
    <w:rsid w:val="00B8195C"/>
    <w:rsid w:val="00B83CB1"/>
    <w:rsid w:val="00B850A8"/>
    <w:rsid w:val="00B905F4"/>
    <w:rsid w:val="00B95805"/>
    <w:rsid w:val="00B96905"/>
    <w:rsid w:val="00B9739E"/>
    <w:rsid w:val="00B97B6C"/>
    <w:rsid w:val="00BA2D43"/>
    <w:rsid w:val="00BA5A8B"/>
    <w:rsid w:val="00BA5AD3"/>
    <w:rsid w:val="00BA643D"/>
    <w:rsid w:val="00BB028A"/>
    <w:rsid w:val="00BB098C"/>
    <w:rsid w:val="00BB1623"/>
    <w:rsid w:val="00BB2A66"/>
    <w:rsid w:val="00BB467A"/>
    <w:rsid w:val="00BB518D"/>
    <w:rsid w:val="00BC0898"/>
    <w:rsid w:val="00BC126D"/>
    <w:rsid w:val="00BC24B8"/>
    <w:rsid w:val="00BC522F"/>
    <w:rsid w:val="00BC7EF2"/>
    <w:rsid w:val="00BD0C46"/>
    <w:rsid w:val="00BD2759"/>
    <w:rsid w:val="00BD3D53"/>
    <w:rsid w:val="00BD4CB4"/>
    <w:rsid w:val="00BD79CC"/>
    <w:rsid w:val="00BE07C1"/>
    <w:rsid w:val="00BE2095"/>
    <w:rsid w:val="00BE5098"/>
    <w:rsid w:val="00BF0477"/>
    <w:rsid w:val="00BF2C6D"/>
    <w:rsid w:val="00BF2FDC"/>
    <w:rsid w:val="00BF389F"/>
    <w:rsid w:val="00BF467D"/>
    <w:rsid w:val="00BF47E6"/>
    <w:rsid w:val="00BF5066"/>
    <w:rsid w:val="00BF523B"/>
    <w:rsid w:val="00BF6386"/>
    <w:rsid w:val="00C00703"/>
    <w:rsid w:val="00C00E60"/>
    <w:rsid w:val="00C025E6"/>
    <w:rsid w:val="00C029C1"/>
    <w:rsid w:val="00C047B1"/>
    <w:rsid w:val="00C04F9D"/>
    <w:rsid w:val="00C05CFF"/>
    <w:rsid w:val="00C05EC7"/>
    <w:rsid w:val="00C077C8"/>
    <w:rsid w:val="00C12ADB"/>
    <w:rsid w:val="00C12E4B"/>
    <w:rsid w:val="00C1328A"/>
    <w:rsid w:val="00C13373"/>
    <w:rsid w:val="00C14221"/>
    <w:rsid w:val="00C1476C"/>
    <w:rsid w:val="00C15C0F"/>
    <w:rsid w:val="00C16F5B"/>
    <w:rsid w:val="00C17F09"/>
    <w:rsid w:val="00C20DFD"/>
    <w:rsid w:val="00C22B65"/>
    <w:rsid w:val="00C24187"/>
    <w:rsid w:val="00C30802"/>
    <w:rsid w:val="00C310AC"/>
    <w:rsid w:val="00C3427C"/>
    <w:rsid w:val="00C37154"/>
    <w:rsid w:val="00C42770"/>
    <w:rsid w:val="00C42916"/>
    <w:rsid w:val="00C443A7"/>
    <w:rsid w:val="00C44749"/>
    <w:rsid w:val="00C46295"/>
    <w:rsid w:val="00C50120"/>
    <w:rsid w:val="00C50608"/>
    <w:rsid w:val="00C51C0B"/>
    <w:rsid w:val="00C5255A"/>
    <w:rsid w:val="00C52DCB"/>
    <w:rsid w:val="00C547EA"/>
    <w:rsid w:val="00C5527D"/>
    <w:rsid w:val="00C56903"/>
    <w:rsid w:val="00C56C7E"/>
    <w:rsid w:val="00C57DF4"/>
    <w:rsid w:val="00C600D7"/>
    <w:rsid w:val="00C60B97"/>
    <w:rsid w:val="00C615E3"/>
    <w:rsid w:val="00C62E25"/>
    <w:rsid w:val="00C66919"/>
    <w:rsid w:val="00C71620"/>
    <w:rsid w:val="00C737DA"/>
    <w:rsid w:val="00C73902"/>
    <w:rsid w:val="00C7416E"/>
    <w:rsid w:val="00C74B69"/>
    <w:rsid w:val="00C75245"/>
    <w:rsid w:val="00C75786"/>
    <w:rsid w:val="00C761C1"/>
    <w:rsid w:val="00C7674D"/>
    <w:rsid w:val="00C86BF1"/>
    <w:rsid w:val="00C9043D"/>
    <w:rsid w:val="00C9077A"/>
    <w:rsid w:val="00C90C7B"/>
    <w:rsid w:val="00C91000"/>
    <w:rsid w:val="00C9168C"/>
    <w:rsid w:val="00C93345"/>
    <w:rsid w:val="00C946B3"/>
    <w:rsid w:val="00C95563"/>
    <w:rsid w:val="00C95618"/>
    <w:rsid w:val="00C96D2C"/>
    <w:rsid w:val="00CA2D23"/>
    <w:rsid w:val="00CA5B18"/>
    <w:rsid w:val="00CA7194"/>
    <w:rsid w:val="00CA7ACB"/>
    <w:rsid w:val="00CB1B2B"/>
    <w:rsid w:val="00CB2AFF"/>
    <w:rsid w:val="00CB36EB"/>
    <w:rsid w:val="00CB4A99"/>
    <w:rsid w:val="00CB4F1B"/>
    <w:rsid w:val="00CB5CA4"/>
    <w:rsid w:val="00CB7E20"/>
    <w:rsid w:val="00CC071B"/>
    <w:rsid w:val="00CC0AD4"/>
    <w:rsid w:val="00CC44A3"/>
    <w:rsid w:val="00CC659C"/>
    <w:rsid w:val="00CD04A5"/>
    <w:rsid w:val="00CD081B"/>
    <w:rsid w:val="00CD11E4"/>
    <w:rsid w:val="00CD23F3"/>
    <w:rsid w:val="00CE04B9"/>
    <w:rsid w:val="00CE2F14"/>
    <w:rsid w:val="00CE55E4"/>
    <w:rsid w:val="00CF01E8"/>
    <w:rsid w:val="00CF3756"/>
    <w:rsid w:val="00CF417D"/>
    <w:rsid w:val="00CF46E6"/>
    <w:rsid w:val="00CF593E"/>
    <w:rsid w:val="00D0386D"/>
    <w:rsid w:val="00D041D1"/>
    <w:rsid w:val="00D100B6"/>
    <w:rsid w:val="00D10310"/>
    <w:rsid w:val="00D15DF4"/>
    <w:rsid w:val="00D17E13"/>
    <w:rsid w:val="00D20139"/>
    <w:rsid w:val="00D20336"/>
    <w:rsid w:val="00D235C2"/>
    <w:rsid w:val="00D23E96"/>
    <w:rsid w:val="00D26885"/>
    <w:rsid w:val="00D27AC8"/>
    <w:rsid w:val="00D3025A"/>
    <w:rsid w:val="00D310E7"/>
    <w:rsid w:val="00D311FC"/>
    <w:rsid w:val="00D31B5E"/>
    <w:rsid w:val="00D320AC"/>
    <w:rsid w:val="00D321CA"/>
    <w:rsid w:val="00D32399"/>
    <w:rsid w:val="00D41B88"/>
    <w:rsid w:val="00D4479A"/>
    <w:rsid w:val="00D45B05"/>
    <w:rsid w:val="00D4615A"/>
    <w:rsid w:val="00D47DEA"/>
    <w:rsid w:val="00D5268A"/>
    <w:rsid w:val="00D52880"/>
    <w:rsid w:val="00D57D03"/>
    <w:rsid w:val="00D60124"/>
    <w:rsid w:val="00D649A8"/>
    <w:rsid w:val="00D70501"/>
    <w:rsid w:val="00D70B72"/>
    <w:rsid w:val="00D71066"/>
    <w:rsid w:val="00D71E27"/>
    <w:rsid w:val="00D7203F"/>
    <w:rsid w:val="00D73D2D"/>
    <w:rsid w:val="00D74C32"/>
    <w:rsid w:val="00D750B2"/>
    <w:rsid w:val="00D76FE9"/>
    <w:rsid w:val="00D77633"/>
    <w:rsid w:val="00D85027"/>
    <w:rsid w:val="00D85465"/>
    <w:rsid w:val="00D86E73"/>
    <w:rsid w:val="00D87B1E"/>
    <w:rsid w:val="00D91226"/>
    <w:rsid w:val="00D913E8"/>
    <w:rsid w:val="00D92ECE"/>
    <w:rsid w:val="00D92EE3"/>
    <w:rsid w:val="00D92FD8"/>
    <w:rsid w:val="00D94008"/>
    <w:rsid w:val="00D9407E"/>
    <w:rsid w:val="00D96266"/>
    <w:rsid w:val="00DA26DE"/>
    <w:rsid w:val="00DA35F3"/>
    <w:rsid w:val="00DA3AE2"/>
    <w:rsid w:val="00DA7833"/>
    <w:rsid w:val="00DB4F25"/>
    <w:rsid w:val="00DB546C"/>
    <w:rsid w:val="00DB5A4C"/>
    <w:rsid w:val="00DC0932"/>
    <w:rsid w:val="00DC115C"/>
    <w:rsid w:val="00DC367F"/>
    <w:rsid w:val="00DC4121"/>
    <w:rsid w:val="00DC44C0"/>
    <w:rsid w:val="00DC6F2A"/>
    <w:rsid w:val="00DC7B17"/>
    <w:rsid w:val="00DD03DF"/>
    <w:rsid w:val="00DD0B77"/>
    <w:rsid w:val="00DD0BE8"/>
    <w:rsid w:val="00DD0D99"/>
    <w:rsid w:val="00DD2627"/>
    <w:rsid w:val="00DD5141"/>
    <w:rsid w:val="00DD605A"/>
    <w:rsid w:val="00DD6A4D"/>
    <w:rsid w:val="00DE2365"/>
    <w:rsid w:val="00DE3128"/>
    <w:rsid w:val="00DE6838"/>
    <w:rsid w:val="00DE7E65"/>
    <w:rsid w:val="00DF4956"/>
    <w:rsid w:val="00E007B2"/>
    <w:rsid w:val="00E00F73"/>
    <w:rsid w:val="00E021AB"/>
    <w:rsid w:val="00E02C9C"/>
    <w:rsid w:val="00E079AF"/>
    <w:rsid w:val="00E14B7A"/>
    <w:rsid w:val="00E15254"/>
    <w:rsid w:val="00E301CA"/>
    <w:rsid w:val="00E31D82"/>
    <w:rsid w:val="00E3387F"/>
    <w:rsid w:val="00E34200"/>
    <w:rsid w:val="00E3660A"/>
    <w:rsid w:val="00E378AA"/>
    <w:rsid w:val="00E37AA4"/>
    <w:rsid w:val="00E4008C"/>
    <w:rsid w:val="00E43D55"/>
    <w:rsid w:val="00E47128"/>
    <w:rsid w:val="00E50ABA"/>
    <w:rsid w:val="00E50DD4"/>
    <w:rsid w:val="00E52599"/>
    <w:rsid w:val="00E52ACD"/>
    <w:rsid w:val="00E564F3"/>
    <w:rsid w:val="00E56B6C"/>
    <w:rsid w:val="00E629DE"/>
    <w:rsid w:val="00E65310"/>
    <w:rsid w:val="00E73950"/>
    <w:rsid w:val="00E74D31"/>
    <w:rsid w:val="00E764D8"/>
    <w:rsid w:val="00E7666A"/>
    <w:rsid w:val="00E77D51"/>
    <w:rsid w:val="00E80F65"/>
    <w:rsid w:val="00E81881"/>
    <w:rsid w:val="00E84034"/>
    <w:rsid w:val="00E85565"/>
    <w:rsid w:val="00E85AC1"/>
    <w:rsid w:val="00E90033"/>
    <w:rsid w:val="00E90FF6"/>
    <w:rsid w:val="00E939A2"/>
    <w:rsid w:val="00E94594"/>
    <w:rsid w:val="00E97C35"/>
    <w:rsid w:val="00EA0C07"/>
    <w:rsid w:val="00EA27C2"/>
    <w:rsid w:val="00EA4DCF"/>
    <w:rsid w:val="00EB22FD"/>
    <w:rsid w:val="00EB5757"/>
    <w:rsid w:val="00EB653F"/>
    <w:rsid w:val="00EB69B4"/>
    <w:rsid w:val="00EC25A8"/>
    <w:rsid w:val="00EC2DB9"/>
    <w:rsid w:val="00EC490B"/>
    <w:rsid w:val="00EC54D7"/>
    <w:rsid w:val="00EC6DB2"/>
    <w:rsid w:val="00EC7880"/>
    <w:rsid w:val="00EE0A64"/>
    <w:rsid w:val="00EE3C13"/>
    <w:rsid w:val="00EE55FB"/>
    <w:rsid w:val="00EE5F5A"/>
    <w:rsid w:val="00EE6C48"/>
    <w:rsid w:val="00EE71D2"/>
    <w:rsid w:val="00EE7416"/>
    <w:rsid w:val="00EE7881"/>
    <w:rsid w:val="00EE7C42"/>
    <w:rsid w:val="00EF0600"/>
    <w:rsid w:val="00EF4285"/>
    <w:rsid w:val="00EF4829"/>
    <w:rsid w:val="00F0196E"/>
    <w:rsid w:val="00F04425"/>
    <w:rsid w:val="00F04734"/>
    <w:rsid w:val="00F072BC"/>
    <w:rsid w:val="00F10323"/>
    <w:rsid w:val="00F10517"/>
    <w:rsid w:val="00F12C5C"/>
    <w:rsid w:val="00F13480"/>
    <w:rsid w:val="00F14949"/>
    <w:rsid w:val="00F1618C"/>
    <w:rsid w:val="00F223EB"/>
    <w:rsid w:val="00F24593"/>
    <w:rsid w:val="00F25308"/>
    <w:rsid w:val="00F315A2"/>
    <w:rsid w:val="00F33000"/>
    <w:rsid w:val="00F331F7"/>
    <w:rsid w:val="00F345C0"/>
    <w:rsid w:val="00F36324"/>
    <w:rsid w:val="00F36BC0"/>
    <w:rsid w:val="00F4407E"/>
    <w:rsid w:val="00F452D2"/>
    <w:rsid w:val="00F45332"/>
    <w:rsid w:val="00F45675"/>
    <w:rsid w:val="00F51EEB"/>
    <w:rsid w:val="00F57760"/>
    <w:rsid w:val="00F57AEA"/>
    <w:rsid w:val="00F60EC8"/>
    <w:rsid w:val="00F625A7"/>
    <w:rsid w:val="00F74505"/>
    <w:rsid w:val="00F74521"/>
    <w:rsid w:val="00F80D62"/>
    <w:rsid w:val="00F80EBF"/>
    <w:rsid w:val="00F8206F"/>
    <w:rsid w:val="00F838DA"/>
    <w:rsid w:val="00F83DB5"/>
    <w:rsid w:val="00F872C1"/>
    <w:rsid w:val="00F87D9F"/>
    <w:rsid w:val="00F91542"/>
    <w:rsid w:val="00F926CA"/>
    <w:rsid w:val="00F94CF2"/>
    <w:rsid w:val="00FA16FF"/>
    <w:rsid w:val="00FA1F62"/>
    <w:rsid w:val="00FA2091"/>
    <w:rsid w:val="00FA43FD"/>
    <w:rsid w:val="00FA6F10"/>
    <w:rsid w:val="00FB30C0"/>
    <w:rsid w:val="00FB4E73"/>
    <w:rsid w:val="00FB73BA"/>
    <w:rsid w:val="00FC1A41"/>
    <w:rsid w:val="00FC2178"/>
    <w:rsid w:val="00FC24BE"/>
    <w:rsid w:val="00FC6EBA"/>
    <w:rsid w:val="00FD0644"/>
    <w:rsid w:val="00FD10B0"/>
    <w:rsid w:val="00FD7D0E"/>
    <w:rsid w:val="00FE5D10"/>
    <w:rsid w:val="00FE6631"/>
    <w:rsid w:val="00FF351E"/>
    <w:rsid w:val="00FF3FCD"/>
    <w:rsid w:val="00FF6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3EBFD"/>
  <w15:chartTrackingRefBased/>
  <w15:docId w15:val="{6E134AE4-0C39-45BC-9978-B307B645F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Calibri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7AB9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187AB9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87AB9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187AB9"/>
    <w:rPr>
      <w:sz w:val="22"/>
      <w:szCs w:val="22"/>
      <w:lang w:eastAsia="en-US"/>
    </w:rPr>
  </w:style>
  <w:style w:type="character" w:styleId="Strong">
    <w:name w:val="Strong"/>
    <w:uiPriority w:val="22"/>
    <w:qFormat/>
    <w:rsid w:val="00A40A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366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E3660A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02F8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02F82"/>
  </w:style>
  <w:style w:type="character" w:styleId="FootnoteReference">
    <w:name w:val="footnote reference"/>
    <w:uiPriority w:val="99"/>
    <w:semiHidden/>
    <w:unhideWhenUsed/>
    <w:rsid w:val="00B02F82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E00F73"/>
    <w:pPr>
      <w:spacing w:before="100" w:beforeAutospacing="1" w:after="100" w:afterAutospacing="1" w:line="240" w:lineRule="auto"/>
    </w:pPr>
    <w:rPr>
      <w:rFonts w:eastAsia="Times New Roman"/>
    </w:rPr>
  </w:style>
  <w:style w:type="character" w:styleId="Hyperlink">
    <w:name w:val="Hyperlink"/>
    <w:uiPriority w:val="99"/>
    <w:unhideWhenUsed/>
    <w:rsid w:val="00E00F73"/>
    <w:rPr>
      <w:color w:val="0563C1"/>
      <w:u w:val="single"/>
    </w:rPr>
  </w:style>
  <w:style w:type="paragraph" w:customStyle="1" w:styleId="author">
    <w:name w:val="author"/>
    <w:basedOn w:val="Normal"/>
    <w:rsid w:val="00E00F73"/>
    <w:pPr>
      <w:spacing w:before="100" w:beforeAutospacing="1" w:after="100" w:afterAutospacing="1" w:line="240" w:lineRule="auto"/>
    </w:pPr>
    <w:rPr>
      <w:rFonts w:eastAsia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035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91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04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30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99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1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19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488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694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444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11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35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84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7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36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mpeiiinpictures.com/pompeiiinpictures/R6/6%2016%2007%20p3.htm" TargetMode="External"/><Relationship Id="rId13" Type="http://schemas.openxmlformats.org/officeDocument/2006/relationships/hyperlink" Target="https://www.jstor.org/stable/24616489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ompeiiinpictures.com/pompeiiinpictures/R9/9%2005%2018%20p1.htm" TargetMode="External"/><Relationship Id="rId12" Type="http://schemas.openxmlformats.org/officeDocument/2006/relationships/hyperlink" Target="https://search.ebscohost.com/login.aspx?direct=true&amp;db=hus&amp;AN=82541940&amp;site=ehost-live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doi-org.ezproxy.uwtsd.ac.uk/10.1017/S0048671X0000028X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ezproxy.uwtsd.ac.uk/login?url=https://www.jstor.org/stable/26322749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moodle.uwtsd.ac.uk/mod/page/view.php?id=288792" TargetMode="External"/><Relationship Id="rId10" Type="http://schemas.openxmlformats.org/officeDocument/2006/relationships/hyperlink" Target="https://web.a.ebscohost.com/ehost/detail/detail?vid=0&amp;sid=b6953bec-04b8-420d-b7f5-f35966ca269e%40sdc-v-sessmgr03&amp;bdata=JnNpdGU9ZWhvc3QtbGl2ZQ%3d%3d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jstor.org/stable/27640853" TargetMode="External"/><Relationship Id="rId14" Type="http://schemas.openxmlformats.org/officeDocument/2006/relationships/hyperlink" Target="https://contentstore.cla.co.uk/secure/link?id=c1fcb394-ad07-eb11-80cd-005056af40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7FD558-6A5E-4902-B3BB-7F16DE0842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3025</Words>
  <Characters>17243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foster-brown</dc:creator>
  <cp:keywords/>
  <dc:description/>
  <cp:lastModifiedBy>heather foster-brown</cp:lastModifiedBy>
  <cp:revision>2</cp:revision>
  <cp:lastPrinted>2020-12-12T19:55:00Z</cp:lastPrinted>
  <dcterms:created xsi:type="dcterms:W3CDTF">2020-12-14T16:42:00Z</dcterms:created>
  <dcterms:modified xsi:type="dcterms:W3CDTF">2020-12-14T16:42:00Z</dcterms:modified>
</cp:coreProperties>
</file>