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jc w:val="center"/>
        <w:rPr>
          <w:rFonts w:ascii="Times New Roman" w:hAnsi="Times New Roman" w:cs="Times New Roman"/>
          <w:sz w:val="24"/>
          <w:szCs w:val="24"/>
        </w:rPr>
      </w:pPr>
      <w:r>
        <w:rPr>
          <w:rFonts w:ascii="Times New Roman" w:hAnsi="Times New Roman" w:cs="Times New Roman"/>
          <w:sz w:val="24"/>
          <w:szCs w:val="24"/>
        </w:rPr>
        <w:t>Contemporary Issues in Management: Marks and Spencer Group plc’s Lack of Innovativeness and Poor Digitalization Strategy</w:t>
      </w:r>
    </w:p>
    <w:p>
      <w:pPr>
        <w:spacing w:line="480" w:lineRule="auto"/>
        <w:jc w:val="center"/>
        <w:rPr>
          <w:rFonts w:ascii="Times New Roman" w:hAnsi="Times New Roman" w:cs="Times New Roman"/>
          <w:sz w:val="24"/>
          <w:szCs w:val="24"/>
        </w:rPr>
      </w:pPr>
    </w:p>
    <w:p>
      <w:pPr>
        <w:spacing w:line="480" w:lineRule="auto"/>
        <w:jc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Min Jie Feng</w:t>
      </w:r>
    </w:p>
    <w:p>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Institutional Affiliation </w:t>
      </w:r>
    </w:p>
    <w:p>
      <w:pPr>
        <w:spacing w:line="480" w:lineRule="auto"/>
        <w:jc w:val="cente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Date 11/8</w:t>
      </w:r>
      <w:bookmarkStart w:id="12" w:name="_GoBack"/>
      <w:bookmarkEnd w:id="12"/>
      <w:r>
        <w:rPr>
          <w:rFonts w:hint="eastAsia" w:ascii="Times New Roman" w:hAnsi="Times New Roman" w:eastAsia="宋体" w:cs="Times New Roman"/>
          <w:sz w:val="24"/>
          <w:szCs w:val="24"/>
          <w:lang w:val="en-US" w:eastAsia="zh-CN"/>
        </w:rPr>
        <w:t>/2022</w:t>
      </w: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rPr>
          <w:rFonts w:ascii="Times New Roman" w:hAnsi="Times New Roman" w:cs="Times New Roman"/>
          <w:b/>
          <w:bCs/>
          <w:sz w:val="24"/>
          <w:szCs w:val="24"/>
          <w:lang w:val="fr-FR"/>
        </w:rPr>
      </w:pPr>
    </w:p>
    <w:p>
      <w:pPr>
        <w:spacing w:line="480" w:lineRule="auto"/>
        <w:rPr>
          <w:rFonts w:ascii="Times New Roman" w:hAnsi="Times New Roman" w:cs="Times New Roman"/>
          <w:b/>
          <w:bCs/>
          <w:sz w:val="24"/>
          <w:szCs w:val="24"/>
          <w:lang w:val="fr-FR"/>
        </w:rPr>
      </w:pPr>
    </w:p>
    <w:p>
      <w:pPr>
        <w:spacing w:line="480" w:lineRule="auto"/>
        <w:rPr>
          <w:rFonts w:ascii="Times New Roman" w:hAnsi="Times New Roman" w:cs="Times New Roman"/>
          <w:b/>
          <w:bCs/>
          <w:sz w:val="24"/>
          <w:szCs w:val="24"/>
          <w:lang w:val="fr-FR"/>
        </w:rPr>
      </w:pPr>
    </w:p>
    <w:p>
      <w:pPr>
        <w:pStyle w:val="2"/>
        <w:rPr>
          <w:rFonts w:ascii="Times New Roman" w:hAnsi="Times New Roman" w:cs="Times New Roman"/>
          <w:color w:val="auto"/>
          <w:sz w:val="24"/>
          <w:szCs w:val="24"/>
          <w:lang w:val="fr-FR"/>
        </w:rPr>
      </w:pPr>
    </w:p>
    <w:p>
      <w:pPr>
        <w:rPr>
          <w:rFonts w:ascii="Times New Roman" w:hAnsi="Times New Roman" w:cs="Times New Roman"/>
          <w:sz w:val="24"/>
          <w:szCs w:val="24"/>
          <w:lang w:val="fr-FR"/>
        </w:rPr>
      </w:pPr>
    </w:p>
    <w:p>
      <w:pPr>
        <w:rPr>
          <w:rFonts w:ascii="Times New Roman" w:hAnsi="Times New Roman" w:cs="Times New Roman"/>
          <w:sz w:val="24"/>
          <w:szCs w:val="24"/>
          <w:lang w:val="fr-FR"/>
        </w:rPr>
      </w:pPr>
    </w:p>
    <w:p>
      <w:pPr>
        <w:rPr>
          <w:rFonts w:ascii="Times New Roman" w:hAnsi="Times New Roman" w:cs="Times New Roman"/>
          <w:sz w:val="24"/>
          <w:szCs w:val="24"/>
          <w:lang w:val="fr-FR"/>
        </w:rPr>
      </w:pPr>
    </w:p>
    <w:p>
      <w:pPr>
        <w:rPr>
          <w:rFonts w:ascii="Times New Roman" w:hAnsi="Times New Roman" w:cs="Times New Roman"/>
          <w:sz w:val="24"/>
          <w:szCs w:val="24"/>
        </w:rPr>
      </w:pPr>
    </w:p>
    <w:p>
      <w:pPr>
        <w:pStyle w:val="2"/>
        <w:spacing w:line="480" w:lineRule="auto"/>
        <w:jc w:val="center"/>
        <w:rPr>
          <w:rFonts w:ascii="Times New Roman" w:hAnsi="Times New Roman" w:cs="Times New Roman"/>
          <w:b/>
          <w:bCs/>
          <w:color w:val="auto"/>
          <w:sz w:val="24"/>
          <w:szCs w:val="24"/>
        </w:rPr>
      </w:pPr>
      <w:bookmarkStart w:id="0" w:name="_Toc117847170"/>
      <w:r>
        <w:rPr>
          <w:rFonts w:ascii="Times New Roman" w:hAnsi="Times New Roman" w:cs="Times New Roman"/>
          <w:b/>
          <w:bCs/>
          <w:color w:val="auto"/>
          <w:sz w:val="24"/>
          <w:szCs w:val="24"/>
        </w:rPr>
        <w:t>Executive Summary</w:t>
      </w:r>
      <w:bookmarkEnd w:id="0"/>
    </w:p>
    <w:p>
      <w:pPr>
        <w:spacing w:line="480" w:lineRule="auto"/>
        <w:ind w:firstLine="720"/>
        <w:rPr>
          <w:rFonts w:ascii="Times New Roman" w:hAnsi="Times New Roman" w:cs="Times New Roman"/>
          <w:b/>
          <w:bCs/>
          <w:sz w:val="24"/>
          <w:szCs w:val="24"/>
        </w:rPr>
      </w:pPr>
      <w:r>
        <w:rPr>
          <w:rFonts w:ascii="Times New Roman" w:hAnsi="Times New Roman" w:cs="Times New Roman"/>
          <w:sz w:val="24"/>
          <w:szCs w:val="24"/>
        </w:rPr>
        <w:t>The objective of this report is to investigate the complaints of Marks and Spencer Group plc’s</w:t>
      </w:r>
      <w:r>
        <w:rPr>
          <w:rFonts w:ascii="Times New Roman" w:hAnsi="Times New Roman" w:cs="Times New Roman"/>
          <w:b/>
          <w:bCs/>
          <w:sz w:val="24"/>
          <w:szCs w:val="24"/>
        </w:rPr>
        <w:t xml:space="preserve"> </w:t>
      </w:r>
      <w:r>
        <w:rPr>
          <w:rFonts w:ascii="Times New Roman" w:hAnsi="Times New Roman" w:cs="Times New Roman"/>
          <w:sz w:val="24"/>
          <w:szCs w:val="24"/>
        </w:rPr>
        <w:t xml:space="preserve">lack of infrastructure and organizational culture that supports innovation and its inability to adopt effective change processes. The findings of the report will provide an ethical assessment of the various management theories that are currently being employed in the organization.  The goal, in this case, is to establish how the application of these theoretical frameworks is contributing to the company’s lack of innovativeness and inability to adopt effective change management. In this way, the report will to distinguish between mainstream and critical theories of management which will enhance the establishment of a set of actionable recommendations that can provide an appropriate and standardized response to the identified complaints. In this case, the report has established that M&amp;S lacks innovativeness which impedes its ability to take advantage of the technological trends affecting the retail sector. The company needs to reexamine its organizational structure and leadership strategy to enhance its innovative culture. </w:t>
      </w:r>
    </w:p>
    <w:p>
      <w:pPr>
        <w:spacing w:line="480" w:lineRule="auto"/>
        <w:ind w:left="720" w:hanging="720"/>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rPr>
          <w:rFonts w:ascii="Times New Roman" w:hAnsi="Times New Roman" w:cs="Times New Roman"/>
          <w:sz w:val="24"/>
          <w:szCs w:val="24"/>
          <w:lang w:val="fr-FR"/>
        </w:rPr>
      </w:pPr>
    </w:p>
    <w:p>
      <w:pPr>
        <w:rPr>
          <w:rFonts w:ascii="Times New Roman" w:hAnsi="Times New Roman" w:cs="Times New Roman"/>
          <w:sz w:val="24"/>
          <w:szCs w:val="24"/>
          <w:lang w:val="fr-FR"/>
        </w:rPr>
      </w:pPr>
    </w:p>
    <w:sdt>
      <w:sdtPr>
        <w:rPr>
          <w:rFonts w:ascii="Times New Roman" w:hAnsi="Times New Roman" w:cs="Times New Roman" w:eastAsiaTheme="minorHAnsi"/>
          <w:color w:val="auto"/>
          <w:sz w:val="24"/>
          <w:szCs w:val="24"/>
        </w:rPr>
        <w:id w:val="-1012596339"/>
        <w:docPartObj>
          <w:docPartGallery w:val="Table of Contents"/>
          <w:docPartUnique/>
        </w:docPartObj>
      </w:sdtPr>
      <w:sdtEndPr>
        <w:rPr>
          <w:rFonts w:ascii="Times New Roman" w:hAnsi="Times New Roman" w:cs="Times New Roman" w:eastAsiaTheme="minorEastAsia"/>
          <w:b/>
          <w:bCs/>
          <w:color w:val="auto"/>
          <w:sz w:val="24"/>
          <w:szCs w:val="24"/>
        </w:rPr>
      </w:sdtEndPr>
      <w:sdtContent>
        <w:p>
          <w:pPr>
            <w:pStyle w:val="26"/>
            <w:jc w:val="center"/>
            <w:rPr>
              <w:rFonts w:ascii="Times New Roman" w:hAnsi="Times New Roman" w:cs="Times New Roman"/>
              <w:b/>
              <w:bCs/>
              <w:color w:val="auto"/>
              <w:sz w:val="24"/>
              <w:szCs w:val="24"/>
            </w:rPr>
          </w:pPr>
          <w:r>
            <w:rPr>
              <w:rFonts w:ascii="Times New Roman" w:hAnsi="Times New Roman" w:cs="Times New Roman"/>
              <w:b/>
              <w:bCs/>
              <w:color w:val="auto"/>
              <w:sz w:val="24"/>
              <w:szCs w:val="24"/>
            </w:rPr>
            <w:t>Table of Contents</w:t>
          </w:r>
        </w:p>
        <w:p>
          <w:pPr>
            <w:pStyle w:val="11"/>
            <w:tabs>
              <w:tab w:val="right" w:leader="dot" w:pos="9350"/>
            </w:tabs>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"_Toc117847170" </w:instrText>
          </w:r>
          <w:r>
            <w:fldChar w:fldCharType="separate"/>
          </w:r>
          <w:r>
            <w:rPr>
              <w:rStyle w:val="17"/>
              <w:rFonts w:ascii="Times New Roman" w:hAnsi="Times New Roman" w:cs="Times New Roman"/>
              <w:color w:val="auto"/>
              <w:sz w:val="24"/>
              <w:szCs w:val="24"/>
            </w:rPr>
            <w:t>Executive summary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_Toc117847170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rPr>
              <w:rFonts w:ascii="Times New Roman" w:hAnsi="Times New Roman" w:cs="Times New Roman"/>
              <w:sz w:val="24"/>
              <w:szCs w:val="24"/>
            </w:rPr>
          </w:pPr>
          <w:r>
            <w:rPr>
              <w:rStyle w:val="17"/>
              <w:rFonts w:ascii="Times New Roman" w:hAnsi="Times New Roman" w:cs="Times New Roman"/>
              <w:color w:val="auto"/>
              <w:sz w:val="24"/>
              <w:szCs w:val="24"/>
            </w:rPr>
            <w:t xml:space="preserve">1.1 </w:t>
          </w:r>
          <w:r>
            <w:fldChar w:fldCharType="begin"/>
          </w:r>
          <w:r>
            <w:instrText xml:space="preserve"> HYPERLINK \l "_Toc117847171" </w:instrText>
          </w:r>
          <w:r>
            <w:fldChar w:fldCharType="separate"/>
          </w:r>
          <w:r>
            <w:rPr>
              <w:rStyle w:val="17"/>
              <w:rFonts w:ascii="Times New Roman" w:hAnsi="Times New Roman" w:cs="Times New Roman"/>
              <w:color w:val="auto"/>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_Toc117847171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right" w:leader="dot" w:pos="9350"/>
            </w:tabs>
            <w:rPr>
              <w:rFonts w:ascii="Times New Roman" w:hAnsi="Times New Roman" w:cs="Times New Roman"/>
              <w:sz w:val="24"/>
              <w:szCs w:val="24"/>
            </w:rPr>
          </w:pPr>
          <w:r>
            <w:fldChar w:fldCharType="begin"/>
          </w:r>
          <w:r>
            <w:instrText xml:space="preserve"> HYPERLINK \l "_Toc117847172" </w:instrText>
          </w:r>
          <w:r>
            <w:fldChar w:fldCharType="separate"/>
          </w:r>
          <w:r>
            <w:rPr>
              <w:rStyle w:val="17"/>
              <w:rFonts w:ascii="Times New Roman" w:hAnsi="Times New Roman" w:cs="Times New Roman"/>
              <w:color w:val="auto"/>
              <w:sz w:val="24"/>
              <w:szCs w:val="24"/>
            </w:rPr>
            <w:t>1.1 Company Profile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_Toc117847172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rPr>
              <w:rFonts w:ascii="Times New Roman" w:hAnsi="Times New Roman" w:cs="Times New Roman"/>
              <w:sz w:val="24"/>
              <w:szCs w:val="24"/>
            </w:rPr>
          </w:pPr>
          <w:r>
            <w:fldChar w:fldCharType="begin"/>
          </w:r>
          <w:r>
            <w:instrText xml:space="preserve"> HYPERLINK \l "_Toc117847173" </w:instrText>
          </w:r>
          <w:r>
            <w:fldChar w:fldCharType="separate"/>
          </w:r>
          <w:r>
            <w:rPr>
              <w:rStyle w:val="17"/>
              <w:rFonts w:ascii="Times New Roman" w:hAnsi="Times New Roman" w:cs="Times New Roman"/>
              <w:color w:val="auto"/>
              <w:sz w:val="24"/>
              <w:szCs w:val="24"/>
            </w:rPr>
            <w:t>2.0 Main Findings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_Toc117847173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left" w:pos="880"/>
              <w:tab w:val="right" w:leader="dot" w:pos="9350"/>
            </w:tabs>
            <w:rPr>
              <w:rFonts w:ascii="Times New Roman" w:hAnsi="Times New Roman" w:cs="Times New Roman"/>
              <w:sz w:val="24"/>
              <w:szCs w:val="24"/>
            </w:rPr>
          </w:pPr>
          <w:r>
            <w:fldChar w:fldCharType="begin"/>
          </w:r>
          <w:r>
            <w:instrText xml:space="preserve"> HYPERLINK \l "_Toc117847174" </w:instrText>
          </w:r>
          <w:r>
            <w:fldChar w:fldCharType="separate"/>
          </w:r>
          <w:r>
            <w:rPr>
              <w:rStyle w:val="17"/>
              <w:rFonts w:ascii="Times New Roman" w:hAnsi="Times New Roman" w:cs="Times New Roman"/>
              <w:color w:val="auto"/>
              <w:sz w:val="24"/>
              <w:szCs w:val="24"/>
            </w:rPr>
            <w:t>2.1</w:t>
          </w:r>
          <w:r>
            <w:rPr>
              <w:rFonts w:ascii="Times New Roman" w:hAnsi="Times New Roman" w:cs="Times New Roman"/>
              <w:sz w:val="24"/>
              <w:szCs w:val="24"/>
            </w:rPr>
            <w:t xml:space="preserve"> </w:t>
          </w:r>
          <w:r>
            <w:rPr>
              <w:rStyle w:val="17"/>
              <w:rFonts w:ascii="Times New Roman" w:hAnsi="Times New Roman" w:cs="Times New Roman"/>
              <w:color w:val="auto"/>
              <w:sz w:val="24"/>
              <w:szCs w:val="24"/>
            </w:rPr>
            <w:t>Reasons for M&amp;S’ Lack of Innovativeness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_Toc117847174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right" w:leader="dot" w:pos="9350"/>
            </w:tabs>
            <w:rPr>
              <w:rFonts w:ascii="Times New Roman" w:hAnsi="Times New Roman" w:cs="Times New Roman"/>
              <w:sz w:val="24"/>
              <w:szCs w:val="24"/>
            </w:rPr>
          </w:pPr>
          <w:r>
            <w:fldChar w:fldCharType="begin"/>
          </w:r>
          <w:r>
            <w:instrText xml:space="preserve"> HYPERLINK \l "_Toc117847175" </w:instrText>
          </w:r>
          <w:r>
            <w:fldChar w:fldCharType="separate"/>
          </w:r>
          <w:r>
            <w:rPr>
              <w:rStyle w:val="17"/>
              <w:rFonts w:ascii="Times New Roman" w:hAnsi="Times New Roman" w:cs="Times New Roman"/>
              <w:color w:val="auto"/>
              <w:sz w:val="24"/>
              <w:szCs w:val="24"/>
            </w:rPr>
            <w:t>2.2 The Role of the Manager</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_Toc117847175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right" w:leader="dot" w:pos="9350"/>
            </w:tabs>
            <w:rPr>
              <w:rFonts w:ascii="Times New Roman" w:hAnsi="Times New Roman" w:cs="Times New Roman"/>
              <w:sz w:val="24"/>
              <w:szCs w:val="24"/>
            </w:rPr>
          </w:pPr>
          <w:r>
            <w:fldChar w:fldCharType="begin"/>
          </w:r>
          <w:r>
            <w:instrText xml:space="preserve"> HYPERLINK \l "_Toc117847176" </w:instrText>
          </w:r>
          <w:r>
            <w:fldChar w:fldCharType="separate"/>
          </w:r>
          <w:r>
            <w:rPr>
              <w:rStyle w:val="17"/>
              <w:rFonts w:ascii="Times New Roman" w:hAnsi="Times New Roman" w:cs="Times New Roman"/>
              <w:color w:val="auto"/>
              <w:sz w:val="24"/>
              <w:szCs w:val="24"/>
            </w:rPr>
            <w:t>2.3 Challenges to Management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_Toc117847176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right" w:leader="dot" w:pos="9350"/>
            </w:tabs>
            <w:rPr>
              <w:rFonts w:ascii="Times New Roman" w:hAnsi="Times New Roman" w:cs="Times New Roman"/>
              <w:sz w:val="24"/>
              <w:szCs w:val="24"/>
            </w:rPr>
          </w:pPr>
          <w:r>
            <w:fldChar w:fldCharType="begin"/>
          </w:r>
          <w:r>
            <w:instrText xml:space="preserve"> HYPERLINK \l "_Toc117847177" </w:instrText>
          </w:r>
          <w:r>
            <w:fldChar w:fldCharType="separate"/>
          </w:r>
          <w:r>
            <w:rPr>
              <w:rStyle w:val="17"/>
              <w:rFonts w:ascii="Times New Roman" w:hAnsi="Times New Roman" w:cs="Times New Roman"/>
              <w:color w:val="auto"/>
              <w:sz w:val="24"/>
              <w:szCs w:val="24"/>
            </w:rPr>
            <w:t>2.4 Management Theory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_Toc117847177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9350"/>
            </w:tabs>
            <w:rPr>
              <w:rFonts w:ascii="Times New Roman" w:hAnsi="Times New Roman" w:cs="Times New Roman"/>
              <w:sz w:val="24"/>
              <w:szCs w:val="24"/>
            </w:rPr>
          </w:pPr>
          <w:r>
            <w:fldChar w:fldCharType="begin"/>
          </w:r>
          <w:r>
            <w:instrText xml:space="preserve"> HYPERLINK \l "_Toc117847178" </w:instrText>
          </w:r>
          <w:r>
            <w:fldChar w:fldCharType="separate"/>
          </w:r>
          <w:r>
            <w:rPr>
              <w:rStyle w:val="17"/>
              <w:rFonts w:ascii="Times New Roman" w:hAnsi="Times New Roman" w:cs="Times New Roman"/>
              <w:color w:val="auto"/>
              <w:sz w:val="24"/>
              <w:szCs w:val="24"/>
            </w:rPr>
            <w:t>2.4.1 Classical Management Theory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_Toc117847178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9350"/>
            </w:tabs>
            <w:rPr>
              <w:rFonts w:ascii="Times New Roman" w:hAnsi="Times New Roman" w:cs="Times New Roman"/>
              <w:sz w:val="24"/>
              <w:szCs w:val="24"/>
            </w:rPr>
          </w:pPr>
          <w:r>
            <w:fldChar w:fldCharType="begin"/>
          </w:r>
          <w:r>
            <w:instrText xml:space="preserve"> HYPERLINK \l "_Toc117847179" </w:instrText>
          </w:r>
          <w:r>
            <w:fldChar w:fldCharType="separate"/>
          </w:r>
          <w:r>
            <w:rPr>
              <w:rStyle w:val="17"/>
              <w:rFonts w:ascii="Times New Roman" w:hAnsi="Times New Roman" w:cs="Times New Roman"/>
              <w:color w:val="auto"/>
              <w:sz w:val="24"/>
              <w:szCs w:val="24"/>
            </w:rPr>
            <w:t>2.4.2 Subgroups of Classical Management Theory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_Toc117847179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right" w:leader="dot" w:pos="9350"/>
            </w:tabs>
            <w:rPr>
              <w:rFonts w:ascii="Times New Roman" w:hAnsi="Times New Roman" w:cs="Times New Roman"/>
              <w:sz w:val="24"/>
              <w:szCs w:val="24"/>
            </w:rPr>
          </w:pPr>
          <w:r>
            <w:fldChar w:fldCharType="begin"/>
          </w:r>
          <w:r>
            <w:instrText xml:space="preserve"> HYPERLINK \l "_Toc117847180" </w:instrText>
          </w:r>
          <w:r>
            <w:fldChar w:fldCharType="separate"/>
          </w:r>
          <w:r>
            <w:rPr>
              <w:rStyle w:val="17"/>
              <w:rFonts w:ascii="Times New Roman" w:hAnsi="Times New Roman" w:cs="Times New Roman"/>
              <w:color w:val="auto"/>
              <w:sz w:val="24"/>
              <w:szCs w:val="24"/>
            </w:rPr>
            <w:t xml:space="preserve">2.5 </w:t>
          </w:r>
          <w:r>
            <w:rPr>
              <w:rStyle w:val="17"/>
              <w:rFonts w:ascii="Times New Roman" w:hAnsi="Times New Roman" w:cs="Times New Roman"/>
              <w:color w:val="auto"/>
              <w:sz w:val="24"/>
              <w:szCs w:val="24"/>
              <w:lang w:val="en-GB"/>
            </w:rPr>
            <w:t>The Human Relations Theory of Management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_Toc117847180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rPr>
              <w:rFonts w:ascii="Times New Roman" w:hAnsi="Times New Roman" w:cs="Times New Roman"/>
              <w:sz w:val="24"/>
              <w:szCs w:val="24"/>
            </w:rPr>
          </w:pPr>
          <w:r>
            <w:fldChar w:fldCharType="begin"/>
          </w:r>
          <w:r>
            <w:instrText xml:space="preserve"> HYPERLINK \l "_Toc117847181" </w:instrText>
          </w:r>
          <w:r>
            <w:fldChar w:fldCharType="separate"/>
          </w:r>
          <w:r>
            <w:rPr>
              <w:rStyle w:val="17"/>
              <w:rFonts w:ascii="Times New Roman" w:hAnsi="Times New Roman" w:cs="Times New Roman"/>
              <w:color w:val="auto"/>
              <w:sz w:val="24"/>
              <w:szCs w:val="24"/>
            </w:rPr>
            <w:t>3.0 Recommendations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_Toc117847181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rPr>
              <w:rFonts w:ascii="Times New Roman" w:hAnsi="Times New Roman" w:cs="Times New Roman"/>
              <w:sz w:val="24"/>
              <w:szCs w:val="24"/>
            </w:rPr>
          </w:pPr>
          <w:r>
            <w:fldChar w:fldCharType="begin"/>
          </w:r>
          <w:r>
            <w:instrText xml:space="preserve"> HYPERLINK \l "_Toc117847182" </w:instrText>
          </w:r>
          <w:r>
            <w:fldChar w:fldCharType="separate"/>
          </w:r>
          <w:r>
            <w:rPr>
              <w:rStyle w:val="17"/>
              <w:rFonts w:ascii="Times New Roman" w:hAnsi="Times New Roman" w:cs="Times New Roman"/>
              <w:color w:val="auto"/>
              <w:sz w:val="24"/>
              <w:szCs w:val="24"/>
            </w:rPr>
            <w:t xml:space="preserve">References </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_Toc117847182 \h </w:instrText>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9"/>
            <w:spacing w:line="480" w:lineRule="auto"/>
            <w:rPr>
              <w:rFonts w:ascii="Times New Roman" w:hAnsi="Times New Roman" w:cs="Times New Roman"/>
              <w:sz w:val="24"/>
              <w:szCs w:val="24"/>
            </w:rPr>
          </w:pPr>
          <w:r>
            <w:rPr>
              <w:rFonts w:ascii="Times New Roman" w:hAnsi="Times New Roman" w:cs="Times New Roman"/>
              <w:b/>
              <w:bCs/>
              <w:sz w:val="24"/>
              <w:szCs w:val="24"/>
            </w:rPr>
            <w:fldChar w:fldCharType="end"/>
          </w:r>
        </w:p>
      </w:sdtContent>
    </w:sdt>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pStyle w:val="19"/>
        <w:spacing w:line="480" w:lineRule="auto"/>
        <w:ind w:left="0" w:leftChars="0" w:firstLine="0" w:firstLineChars="0"/>
        <w:rPr>
          <w:rFonts w:ascii="Times New Roman" w:hAnsi="Times New Roman" w:cs="Times New Roman"/>
          <w:sz w:val="24"/>
          <w:szCs w:val="24"/>
        </w:rPr>
      </w:pPr>
    </w:p>
    <w:p>
      <w:pPr>
        <w:pStyle w:val="19"/>
        <w:spacing w:line="480" w:lineRule="auto"/>
        <w:ind w:left="0" w:leftChars="0" w:firstLine="0" w:firstLineChars="0"/>
        <w:rPr>
          <w:rFonts w:ascii="Times New Roman" w:hAnsi="Times New Roman" w:cs="Times New Roman"/>
          <w:sz w:val="24"/>
          <w:szCs w:val="24"/>
        </w:rPr>
      </w:pPr>
    </w:p>
    <w:p>
      <w:pPr>
        <w:pStyle w:val="2"/>
        <w:spacing w:line="480" w:lineRule="auto"/>
        <w:rPr>
          <w:rFonts w:ascii="Times New Roman" w:hAnsi="Times New Roman" w:cs="Times New Roman"/>
          <w:b/>
          <w:bCs/>
          <w:color w:val="auto"/>
          <w:sz w:val="24"/>
          <w:szCs w:val="24"/>
        </w:rPr>
      </w:pPr>
      <w:bookmarkStart w:id="1" w:name="_Toc117847171"/>
      <w:r>
        <w:rPr>
          <w:rFonts w:ascii="Times New Roman" w:hAnsi="Times New Roman" w:cs="Times New Roman"/>
          <w:b/>
          <w:bCs/>
          <w:color w:val="auto"/>
          <w:sz w:val="24"/>
          <w:szCs w:val="24"/>
        </w:rPr>
        <w:t>1.1 Introduction</w:t>
      </w:r>
      <w:bookmarkEnd w:id="1"/>
      <w:r>
        <w:rPr>
          <w:rFonts w:ascii="Times New Roman" w:hAnsi="Times New Roman" w:cs="Times New Roman"/>
          <w:b/>
          <w:bCs/>
          <w:color w:val="auto"/>
          <w:sz w:val="24"/>
          <w:szCs w:val="24"/>
        </w:rPr>
        <w:t xml:space="preserve"> </w:t>
      </w:r>
    </w:p>
    <w:p>
      <w:pPr>
        <w:spacing w:line="480" w:lineRule="auto"/>
        <w:ind w:firstLine="360"/>
        <w:rPr>
          <w:rFonts w:ascii="Times New Roman" w:hAnsi="Times New Roman" w:cs="Times New Roman"/>
          <w:sz w:val="24"/>
          <w:szCs w:val="24"/>
        </w:rPr>
      </w:pPr>
      <w:r>
        <w:rPr>
          <w:rFonts w:ascii="Times New Roman" w:hAnsi="Times New Roman" w:cs="Times New Roman"/>
          <w:sz w:val="24"/>
          <w:szCs w:val="24"/>
        </w:rPr>
        <w:t>Business organizations must remain competitive in both domestic and international markets. To achieve this, businesses must nurture greater innovation in their offering portfolios and adapt to industry developments. As a result of our analysis, we have established that Marks and Spencer Group plc</w:t>
      </w:r>
      <w:r>
        <w:rPr>
          <w:rFonts w:ascii="Times New Roman" w:hAnsi="Times New Roman" w:cs="Times New Roman"/>
          <w:b/>
          <w:bCs/>
          <w:sz w:val="24"/>
          <w:szCs w:val="24"/>
        </w:rPr>
        <w:t xml:space="preserve"> </w:t>
      </w:r>
      <w:r>
        <w:rPr>
          <w:rFonts w:ascii="Times New Roman" w:hAnsi="Times New Roman" w:cs="Times New Roman"/>
          <w:sz w:val="24"/>
          <w:szCs w:val="24"/>
        </w:rPr>
        <w:t xml:space="preserve">is unable to innovate cost-effectively and successfully implement critical change processes that in turn impede its ability to adapt effectively to the industry and market trends. Notably, the ability to innovate efficiently and in a cost-effective manner is crucial because it enhances competitive advantage which in turn ensures sustainability and longevity of the company operations and success </w:t>
      </w:r>
      <w:r>
        <w:rPr>
          <w:rFonts w:ascii="Arial" w:hAnsi="Arial" w:cs="Arial"/>
          <w:color w:val="222222"/>
          <w:sz w:val="20"/>
          <w:szCs w:val="20"/>
          <w:shd w:val="clear" w:color="auto" w:fill="FFFFFF"/>
        </w:rPr>
        <w:t>(Hermundsdottir &amp; Aspelund, 2021).</w:t>
      </w:r>
      <w:r>
        <w:rPr>
          <w:rFonts w:ascii="Times New Roman" w:hAnsi="Times New Roman" w:cs="Times New Roman"/>
          <w:sz w:val="24"/>
          <w:szCs w:val="24"/>
        </w:rPr>
        <w:t xml:space="preserve">  Management of change, creativity, and innovation is critical for companies today to guarantee that they consciously include change and innovation strategies into their plans to assure not just the firm's success but also its survival in a highly dynamic business environment. In this case, only firms that effectively embrace the concepts of innovation management may attain long-term competitive advantage and therefore be able to profitably sustain their operations. Marks and Spencer Group plc</w:t>
      </w:r>
      <w:r>
        <w:rPr>
          <w:rFonts w:ascii="Times New Roman" w:hAnsi="Times New Roman" w:cs="Times New Roman"/>
          <w:b/>
          <w:bCs/>
          <w:sz w:val="24"/>
          <w:szCs w:val="24"/>
        </w:rPr>
        <w:t xml:space="preserve"> </w:t>
      </w:r>
      <w:r>
        <w:rPr>
          <w:rFonts w:ascii="Times New Roman" w:hAnsi="Times New Roman" w:cs="Times New Roman"/>
          <w:sz w:val="24"/>
          <w:szCs w:val="24"/>
        </w:rPr>
        <w:t>must build infrastructure and culture to foster innovation, as well as appropriate procedures and metrics to integrate innovation and change management into overall organizational operations and values.</w:t>
      </w:r>
    </w:p>
    <w:p>
      <w:pPr>
        <w:pStyle w:val="3"/>
        <w:spacing w:line="480" w:lineRule="auto"/>
        <w:rPr>
          <w:rFonts w:ascii="Times New Roman" w:hAnsi="Times New Roman" w:cs="Times New Roman"/>
          <w:b/>
          <w:bCs/>
          <w:color w:val="auto"/>
          <w:sz w:val="24"/>
          <w:szCs w:val="24"/>
        </w:rPr>
      </w:pPr>
      <w:bookmarkStart w:id="2" w:name="_Toc117847172"/>
      <w:r>
        <w:rPr>
          <w:rFonts w:ascii="Times New Roman" w:hAnsi="Times New Roman" w:cs="Times New Roman"/>
          <w:b/>
          <w:bCs/>
          <w:color w:val="auto"/>
          <w:sz w:val="24"/>
          <w:szCs w:val="24"/>
        </w:rPr>
        <w:t>1.1 Company Profile</w:t>
      </w:r>
      <w:bookmarkEnd w:id="2"/>
      <w:r>
        <w:rPr>
          <w:rFonts w:ascii="Times New Roman" w:hAnsi="Times New Roman" w:cs="Times New Roman"/>
          <w:b/>
          <w:bCs/>
          <w:color w:val="auto"/>
          <w:sz w:val="24"/>
          <w:szCs w:val="24"/>
        </w:rPr>
        <w:t xml:space="preserve">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Marks &amp; Spencer Plc, generally known as M&amp;S, is a prominent global retailing corporation headquartered in London, England. M&amp;S was founded in Leeds in 1884 (</w:t>
      </w:r>
      <w:r>
        <w:rPr>
          <w:rFonts w:ascii="Times New Roman" w:hAnsi="Times New Roman" w:cs="Times New Roman"/>
          <w:color w:val="222222"/>
          <w:sz w:val="24"/>
          <w:szCs w:val="24"/>
          <w:shd w:val="clear" w:color="auto" w:fill="FFFFFF"/>
        </w:rPr>
        <w:t>Toms &amp; Zhang, 2016)</w:t>
      </w:r>
      <w:r>
        <w:rPr>
          <w:rFonts w:ascii="Times New Roman" w:hAnsi="Times New Roman" w:cs="Times New Roman"/>
          <w:sz w:val="24"/>
          <w:szCs w:val="24"/>
        </w:rPr>
        <w:t>. However, it has since grown into a major international retail company that operates in the UK, the Republic of Ireland, Europe, the Middle East, and Asia. M&amp;S has 852 stores in the United Kingdom, serving almost 33 million customers, and more than 1,330 stores internationally (</w:t>
      </w:r>
      <w:r>
        <w:rPr>
          <w:rFonts w:ascii="Times New Roman" w:hAnsi="Times New Roman" w:cs="Times New Roman"/>
          <w:color w:val="222222"/>
          <w:sz w:val="24"/>
          <w:szCs w:val="24"/>
          <w:shd w:val="clear" w:color="auto" w:fill="FFFFFF"/>
        </w:rPr>
        <w:t>al Habibi, 2019)</w:t>
      </w:r>
      <w:r>
        <w:rPr>
          <w:rFonts w:ascii="Times New Roman" w:hAnsi="Times New Roman" w:cs="Times New Roman"/>
          <w:sz w:val="24"/>
          <w:szCs w:val="24"/>
        </w:rPr>
        <w:t>. The company focuses on supplying high-quality clothing, cuisine, and household goods. Food accounts for 57% of the enterprise's revenue, while the remaining 43% is derived from selling general merchandise, such as clothing and household goods (M&amp;S today 2016). According to M&amp;S Today (2016) and Brook Intelligence Centre (2013), the company generates most of its revenue from the UK division, which generates 80% of the enterprise's revenue, while the international division earns the remaining 20%. </w:t>
      </w:r>
    </w:p>
    <w:p>
      <w:pPr>
        <w:pStyle w:val="2"/>
        <w:spacing w:line="480" w:lineRule="auto"/>
        <w:rPr>
          <w:rFonts w:ascii="Times New Roman" w:hAnsi="Times New Roman" w:cs="Times New Roman"/>
          <w:b/>
          <w:bCs/>
          <w:color w:val="auto"/>
          <w:sz w:val="24"/>
          <w:szCs w:val="24"/>
        </w:rPr>
      </w:pPr>
      <w:bookmarkStart w:id="3" w:name="_Toc117847173"/>
      <w:r>
        <w:rPr>
          <w:rFonts w:ascii="Times New Roman" w:hAnsi="Times New Roman" w:cs="Times New Roman"/>
          <w:b/>
          <w:bCs/>
          <w:color w:val="auto"/>
          <w:sz w:val="24"/>
          <w:szCs w:val="24"/>
        </w:rPr>
        <w:t xml:space="preserve">2.0 Main </w:t>
      </w:r>
      <w:bookmarkEnd w:id="3"/>
      <w:r>
        <w:rPr>
          <w:rFonts w:ascii="Times New Roman" w:hAnsi="Times New Roman" w:cs="Times New Roman"/>
          <w:b/>
          <w:bCs/>
          <w:color w:val="auto"/>
          <w:sz w:val="24"/>
          <w:szCs w:val="24"/>
        </w:rPr>
        <w:t xml:space="preserve">Findings </w:t>
      </w:r>
    </w:p>
    <w:p>
      <w:pPr>
        <w:pStyle w:val="3"/>
        <w:spacing w:line="480" w:lineRule="auto"/>
        <w:rPr>
          <w:rFonts w:ascii="Times New Roman" w:hAnsi="Times New Roman" w:cs="Times New Roman"/>
          <w:b/>
          <w:bCs/>
          <w:color w:val="auto"/>
          <w:sz w:val="24"/>
          <w:szCs w:val="24"/>
        </w:rPr>
      </w:pPr>
      <w:bookmarkStart w:id="4" w:name="_Toc117847174"/>
      <w:r>
        <w:rPr>
          <w:rFonts w:ascii="Times New Roman" w:hAnsi="Times New Roman" w:cs="Times New Roman"/>
          <w:b/>
          <w:bCs/>
          <w:color w:val="auto"/>
          <w:sz w:val="24"/>
          <w:szCs w:val="24"/>
        </w:rPr>
        <w:t>2.1 Reasons for M&amp;S’ Lack Innovativeness</w:t>
      </w:r>
      <w:bookmarkEnd w:id="4"/>
      <w:r>
        <w:rPr>
          <w:rFonts w:ascii="Times New Roman" w:hAnsi="Times New Roman" w:cs="Times New Roman"/>
          <w:b/>
          <w:bCs/>
          <w:color w:val="auto"/>
          <w:sz w:val="24"/>
          <w:szCs w:val="24"/>
        </w:rPr>
        <w:t xml:space="preserve">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complaint that Marks and Spencer Group plc (M&amp;S) lacks innovativeness and is not positioned to effectively adapt to the emerging industry and market changes is well founded and can be substantiated in many ways.  Notably, despite its iconic brand image and the fact that it enjoys a strong position in the UK retail industry and internationally, M&amp;S’s growth and future development are significantly plagued by its lack of innovation. In this case, the company may face a dimmed future if it does not find strategic innovative ways to combat the stiff competition in the UK’s retail sector and take advantage of future development opportunities. According to Russon (2020), one of the reasons why M&amp;S Group is struggling is that it does not appeal to any particular generation. In this case, </w:t>
      </w:r>
      <w:r>
        <w:rPr>
          <w:rFonts w:ascii="Times New Roman" w:hAnsi="Times New Roman" w:cs="Times New Roman"/>
          <w:color w:val="222222"/>
          <w:sz w:val="24"/>
          <w:szCs w:val="24"/>
          <w:shd w:val="clear" w:color="auto" w:fill="FFFFFF"/>
        </w:rPr>
        <w:t xml:space="preserve">Brummer (2020) </w:t>
      </w:r>
      <w:r>
        <w:rPr>
          <w:rFonts w:ascii="Times New Roman" w:hAnsi="Times New Roman" w:cs="Times New Roman"/>
          <w:sz w:val="24"/>
          <w:szCs w:val="24"/>
        </w:rPr>
        <w:t xml:space="preserve">observes that although the company has blamed its recent downturns on the Covid-19 pandemic, its fashion sales have remained in the doldrums way before the outbreak of the virus. </w:t>
      </w:r>
      <w:r>
        <w:rPr>
          <w:rFonts w:ascii="Times New Roman" w:hAnsi="Times New Roman" w:cs="Times New Roman"/>
          <w:color w:val="222222"/>
          <w:sz w:val="24"/>
          <w:szCs w:val="24"/>
          <w:shd w:val="clear" w:color="auto" w:fill="FFFFFF"/>
        </w:rPr>
        <w:t xml:space="preserve">Hollender and Breen (2010) </w:t>
      </w:r>
      <w:r>
        <w:rPr>
          <w:rFonts w:ascii="Times New Roman" w:hAnsi="Times New Roman" w:cs="Times New Roman"/>
          <w:sz w:val="24"/>
          <w:szCs w:val="24"/>
        </w:rPr>
        <w:t xml:space="preserve">agree that M&amp;S has long been accused of selling consecutive and boring clothes with no particular demographic target.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Based on our research findings, M&amp;S Group plc’s organizational structure, business model, and leadership teams find it difficult to adapt to new ways of thinking and doing things. Notably, this leadership challenge is fueled by the fear of uncertainty, which has resulted in complacency and maintenance of the status quo. The company’s business model has always revolved around trying to provide everything to everyone. Although this business strategy may work on other product groups, such as food, groceries, and household items, it is not suitable or applicable across all product categories. As noted in the company’s fashion sector, for example, trying to be ‘everything to everyone has only made this segment be ‘nothing to anyone.’ In this case, the company’s clothing sector targets the younger generation with dull clothes that are suited for the much older generation who do not feel included.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M&amp;S has an iconic and trusted brand image, however, that does not imply it is immune to the issues and challenges affecting the sector. In this case, the company’s lack of innovativeness has limited its ability to leverage its strengths and competitive advantage. For instance, M&amp;S’s credit card is one of the most widely used in the UK over the years and provides data that the company can use to its advantage to design tailor-made e-commerce that meets specific consumer needs. On that note, M&amp;S Group has an iconic and trusted brand image, which it can use to sharpen its competitive advantage and enhance its growth and expansion. It is notable that M&amp;S’s lack of innovativeness has limited its ability to utilize its competitive advantage to move its business online.  </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Due to enhanced digital infrastructure and simple access to the internet and technological gadgets, most retailers are innovatively reinventing their business models to embed digital marketing in their strategies. The internet, social networking, and cloud computing are major enablers. E-commerce is predicted to pose a significant threat to the traditional "brick and mortar" retail paradigm. However, M&amp;S has not made sufficient inventive attempts to include many e-commerce possibilities into its business strategy at the same time. On that point, the company has not placed a similar emphasis on its virtual business, which is expected to grow as a result of accessing customers outside geographical limits, regularly upgrading its online portals, and assuring service quality.</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Additionally, the lack of innovativeness has limited M&amp;S’s ability to embrace new technologies to enhance its competitive advantage. In this case, our survey revealed that the company has failed to encourage entrepreneurial thinking among its employees because it cannot adopt new technologies and embed new working strategies into the business (</w:t>
      </w:r>
      <w:r>
        <w:rPr>
          <w:rFonts w:ascii="Calibri" w:hAnsi="Calibri" w:cs="Calibri"/>
          <w:color w:val="000000"/>
          <w:shd w:val="clear" w:color="auto" w:fill="FFFFFF"/>
        </w:rPr>
        <w:t>Marks &amp; Spencer, 2020)</w:t>
      </w:r>
      <w:r>
        <w:rPr>
          <w:rFonts w:ascii="Times New Roman" w:hAnsi="Times New Roman" w:cs="Times New Roman"/>
          <w:sz w:val="24"/>
          <w:szCs w:val="24"/>
        </w:rPr>
        <w:t xml:space="preserve"> </w:t>
      </w:r>
    </w:p>
    <w:p>
      <w:pPr>
        <w:pStyle w:val="3"/>
        <w:spacing w:line="480" w:lineRule="auto"/>
        <w:rPr>
          <w:rFonts w:ascii="Times New Roman" w:hAnsi="Times New Roman" w:cs="Times New Roman"/>
          <w:b/>
          <w:bCs/>
          <w:color w:val="auto"/>
          <w:sz w:val="24"/>
          <w:szCs w:val="24"/>
        </w:rPr>
      </w:pPr>
      <w:bookmarkStart w:id="5" w:name="_Toc117847175"/>
      <w:r>
        <w:rPr>
          <w:rFonts w:ascii="Times New Roman" w:hAnsi="Times New Roman" w:cs="Times New Roman"/>
          <w:b/>
          <w:bCs/>
          <w:color w:val="auto"/>
          <w:sz w:val="24"/>
          <w:szCs w:val="24"/>
        </w:rPr>
        <w:t>2.2 The Role of the Manager</w:t>
      </w:r>
      <w:bookmarkEnd w:id="5"/>
      <w:r>
        <w:rPr>
          <w:rFonts w:ascii="Times New Roman" w:hAnsi="Times New Roman" w:cs="Times New Roman"/>
          <w:b/>
          <w:bCs/>
          <w:color w:val="auto"/>
          <w:sz w:val="24"/>
          <w:szCs w:val="24"/>
        </w:rPr>
        <w:t xml:space="preserve">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lang w:val="en-GB"/>
        </w:rPr>
        <w:t>Mintzberg (1990) identified three critic</w:t>
      </w:r>
      <w:r>
        <w:rPr>
          <w:rFonts w:ascii="Times New Roman" w:hAnsi="Times New Roman" w:cs="Times New Roman"/>
          <w:sz w:val="24"/>
          <w:szCs w:val="24"/>
        </w:rPr>
        <w:t xml:space="preserve">al domains of managerial roles, including interpersonal, informational, and decision-making, which M&amp;S must incorporate to achieve a high level of innovativeness and the desired organizational outcomes. In essence, </w:t>
      </w:r>
      <w:r>
        <w:rPr>
          <w:rFonts w:ascii="Times New Roman" w:hAnsi="Times New Roman" w:cs="Times New Roman"/>
          <w:sz w:val="24"/>
          <w:szCs w:val="24"/>
          <w:lang w:val="en-GB"/>
        </w:rPr>
        <w:t>Mintzberg’s theory of managerial</w:t>
      </w:r>
      <w:r>
        <w:rPr>
          <w:rFonts w:ascii="Times New Roman" w:hAnsi="Times New Roman" w:cs="Times New Roman"/>
          <w:sz w:val="24"/>
          <w:szCs w:val="24"/>
        </w:rPr>
        <w:t xml:space="preserve"> roles is established on the idea that managers are involved in ten critical activities divided into the three mentioned domains (</w:t>
      </w:r>
      <w:r>
        <w:rPr>
          <w:rFonts w:ascii="Times New Roman" w:hAnsi="Times New Roman" w:cs="Times New Roman"/>
          <w:color w:val="222222"/>
          <w:sz w:val="24"/>
          <w:szCs w:val="24"/>
          <w:shd w:val="clear" w:color="auto" w:fill="FFFFFF"/>
        </w:rPr>
        <w:t>Wolk, Sullivan &amp; Hartmann, 1994)</w:t>
      </w:r>
      <w:r>
        <w:rPr>
          <w:rFonts w:ascii="Times New Roman" w:hAnsi="Times New Roman" w:cs="Times New Roman"/>
          <w:sz w:val="24"/>
          <w:szCs w:val="24"/>
        </w:rPr>
        <w:t xml:space="preserve">. For example, according to </w:t>
      </w:r>
      <w:r>
        <w:rPr>
          <w:rFonts w:ascii="Times New Roman" w:hAnsi="Times New Roman" w:cs="Times New Roman"/>
          <w:sz w:val="24"/>
          <w:szCs w:val="24"/>
          <w:lang w:val="en-GB"/>
        </w:rPr>
        <w:t xml:space="preserve">Mintzberg (1990), </w:t>
      </w:r>
      <w:r>
        <w:rPr>
          <w:rFonts w:ascii="Times New Roman" w:hAnsi="Times New Roman" w:cs="Times New Roman"/>
          <w:sz w:val="24"/>
          <w:szCs w:val="24"/>
        </w:rPr>
        <w:t xml:space="preserve">the interpersonal domain, </w:t>
      </w:r>
      <w:r>
        <w:rPr>
          <w:rFonts w:ascii="Times New Roman" w:hAnsi="Times New Roman" w:cs="Times New Roman"/>
          <w:sz w:val="24"/>
          <w:szCs w:val="24"/>
          <w:lang w:val="en-GB"/>
        </w:rPr>
        <w:t>dict</w:t>
      </w:r>
      <w:r>
        <w:rPr>
          <w:rFonts w:ascii="Times New Roman" w:hAnsi="Times New Roman" w:cs="Times New Roman"/>
          <w:sz w:val="24"/>
          <w:szCs w:val="24"/>
        </w:rPr>
        <w:t>ates that managers are leaders and as such, should encourage, inspire, and build morale (</w:t>
      </w:r>
      <w:r>
        <w:rPr>
          <w:rFonts w:ascii="Times New Roman" w:hAnsi="Times New Roman" w:cs="Times New Roman"/>
          <w:color w:val="222222"/>
          <w:sz w:val="24"/>
          <w:szCs w:val="24"/>
          <w:shd w:val="clear" w:color="auto" w:fill="FFFFFF"/>
        </w:rPr>
        <w:t>Karanja &amp; Rosso, 2017)</w:t>
      </w:r>
      <w:r>
        <w:rPr>
          <w:rFonts w:ascii="Times New Roman" w:hAnsi="Times New Roman" w:cs="Times New Roman"/>
          <w:sz w:val="24"/>
          <w:szCs w:val="24"/>
        </w:rPr>
        <w:t>. Managers should focus on cultivating long-term connections with the organizational team members (</w:t>
      </w:r>
      <w:r>
        <w:rPr>
          <w:rFonts w:ascii="Times New Roman" w:hAnsi="Times New Roman" w:cs="Times New Roman"/>
          <w:color w:val="222222"/>
          <w:sz w:val="24"/>
          <w:szCs w:val="24"/>
          <w:shd w:val="clear" w:color="auto" w:fill="FFFFFF"/>
        </w:rPr>
        <w:t>Bolino &amp; Turnley, 2003)</w:t>
      </w:r>
      <w:r>
        <w:rPr>
          <w:rFonts w:ascii="Times New Roman" w:hAnsi="Times New Roman" w:cs="Times New Roman"/>
          <w:sz w:val="24"/>
          <w:szCs w:val="24"/>
        </w:rPr>
        <w:t>. This can be achieved by monitoring and mentoring employees to equip them with highly competent innovative skills they need to deliver their mandates.</w:t>
      </w:r>
    </w:p>
    <w:p>
      <w:pPr>
        <w:spacing w:line="480" w:lineRule="auto"/>
        <w:ind w:firstLine="720"/>
        <w:rPr>
          <w:rFonts w:ascii="Times New Roman" w:hAnsi="Times New Roman" w:cs="Times New Roman"/>
          <w:b/>
          <w:bCs/>
          <w:sz w:val="24"/>
          <w:szCs w:val="24"/>
        </w:rPr>
      </w:pPr>
      <w:r>
        <w:rPr>
          <w:rFonts w:ascii="Times New Roman" w:hAnsi="Times New Roman" w:cs="Times New Roman"/>
          <w:sz w:val="24"/>
          <w:szCs w:val="24"/>
        </w:rPr>
        <w:t xml:space="preserve">The informational roles include the ability to liaise with all stakeholders, monitor or gather intel to enhance sustained competitive advantage through assessing the market and industry trends that impact the company, disseminating critical information to team members and collecting feedback and ideas from them, and being the company’s spokesperson. Finally, the decision roles include the ability to initiate projects or change processes and to respond to emerging concerns with effective problem-solving skills, allocate organizational resources, handle conflicts and identify areas of improvement to address gaps in the operational processes and negotiate with stakeholders to ensure favorable outcomes to all parties. Integrating Fayol’s and </w:t>
      </w:r>
      <w:r>
        <w:rPr>
          <w:rFonts w:ascii="Times New Roman" w:hAnsi="Times New Roman" w:cs="Times New Roman"/>
          <w:sz w:val="24"/>
          <w:szCs w:val="24"/>
          <w:lang w:val="en-GB"/>
        </w:rPr>
        <w:t>Mintzberg’s theories of managerial</w:t>
      </w:r>
      <w:r>
        <w:rPr>
          <w:rFonts w:ascii="Times New Roman" w:hAnsi="Times New Roman" w:cs="Times New Roman"/>
          <w:sz w:val="24"/>
          <w:szCs w:val="24"/>
        </w:rPr>
        <w:t xml:space="preserve"> roles will help M&amp;S initiate transformation that will help it achieve innovative stature and embrace digitalization trends that are increasingly transforming the retail sector.</w:t>
      </w:r>
    </w:p>
    <w:p>
      <w:pPr>
        <w:pStyle w:val="3"/>
        <w:spacing w:line="480" w:lineRule="auto"/>
        <w:rPr>
          <w:rFonts w:ascii="Times New Roman" w:hAnsi="Times New Roman" w:cs="Times New Roman"/>
          <w:b/>
          <w:bCs/>
          <w:color w:val="auto"/>
          <w:sz w:val="24"/>
          <w:szCs w:val="24"/>
        </w:rPr>
      </w:pPr>
      <w:bookmarkStart w:id="6" w:name="_Toc117847176"/>
      <w:r>
        <w:rPr>
          <w:rFonts w:ascii="Times New Roman" w:hAnsi="Times New Roman" w:cs="Times New Roman"/>
          <w:b/>
          <w:bCs/>
          <w:color w:val="auto"/>
          <w:sz w:val="24"/>
          <w:szCs w:val="24"/>
        </w:rPr>
        <w:t>2.3 Challenges to Management</w:t>
      </w:r>
      <w:bookmarkEnd w:id="6"/>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Management challenges can be examined by scrutinizing the organizational environment and leadership style employed in the organization (</w:t>
      </w:r>
      <w:r>
        <w:rPr>
          <w:rFonts w:ascii="Times New Roman" w:hAnsi="Times New Roman" w:eastAsia="Times New Roman" w:cs="Times New Roman"/>
          <w:color w:val="201F1E"/>
          <w:sz w:val="24"/>
          <w:szCs w:val="24"/>
          <w:lang w:eastAsia="en-GB"/>
        </w:rPr>
        <w:t>Alvesson, Bridgman &amp; Wilmott, 2011)</w:t>
      </w:r>
      <w:r>
        <w:rPr>
          <w:rFonts w:ascii="Times New Roman" w:hAnsi="Times New Roman" w:cs="Times New Roman"/>
          <w:sz w:val="24"/>
          <w:szCs w:val="24"/>
        </w:rPr>
        <w:t>. In this case, the context in which organizational activities take place and the manner in which management responsibilities are exercised is crucial to the understanding of the potential management challenges facing M&amp;S and how to overcome them. On that note, our study revealed that the company currently employs a democratic and consultative leadership style after reinventing its organizational structure to eliminate the excessive bureaucracy that slowed decision-making. The democratic leadership approach is a participative management style in which employees are actively involved in the decision-making process (</w:t>
      </w:r>
      <w:r>
        <w:rPr>
          <w:rFonts w:ascii="Times New Roman" w:hAnsi="Times New Roman" w:cs="Times New Roman"/>
          <w:color w:val="222222"/>
          <w:sz w:val="24"/>
          <w:szCs w:val="24"/>
          <w:shd w:val="clear" w:color="auto" w:fill="FFFFFF"/>
        </w:rPr>
        <w:t>Harris &amp; Chapman, 2004)</w:t>
      </w:r>
      <w:r>
        <w:rPr>
          <w:rFonts w:ascii="Times New Roman" w:hAnsi="Times New Roman" w:cs="Times New Roman"/>
          <w:sz w:val="24"/>
          <w:szCs w:val="24"/>
        </w:rPr>
        <w:t>. Democratic leaders frequently ask their employees for advice and input and promote discussion and involvement in the decision-making process and is crucial because it encourages teamwork and collaboration and gives every employee a voice (</w:t>
      </w:r>
      <w:r>
        <w:rPr>
          <w:rFonts w:ascii="Times New Roman" w:hAnsi="Times New Roman" w:cs="Times New Roman"/>
          <w:color w:val="222222"/>
          <w:sz w:val="24"/>
          <w:szCs w:val="24"/>
          <w:shd w:val="clear" w:color="auto" w:fill="FFFFFF"/>
        </w:rPr>
        <w:t>Blasé &amp; Blase, 2001)</w:t>
      </w:r>
      <w:r>
        <w:rPr>
          <w:rFonts w:ascii="Times New Roman" w:hAnsi="Times New Roman" w:cs="Times New Roman"/>
          <w:sz w:val="24"/>
          <w:szCs w:val="24"/>
        </w:rPr>
        <w:t>. Since every team member has the opportunity to generate ideas and make suggestions, this leadership style fosters creativity and innovation. Additionally, because such leaders consistently listen to their staff, participatory leadership fosters a sense of trust and respect.</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However, besides its advantages, a democratic leadership style has significant drawbacks. For instance, although democratic leaders have a strong sense of loyalty to their teams, they could struggle to take charge in a crisis. Democratic leaders consult their teams while making crucial decisions. As a result, they may find it difficult to make tough choices while under pressure. Various inputs and viewpoints must also be taken into account when making judgments. As a result, using this method to reach a choice or a solution might be a lengthy procedure. Finally, a democratic process entails hearing various, and frequently conflicting, viewpoints. As a result, reaching an agreement might be quite difficult. This could also result in some team members becoming discouraged if their suggestions are rejected.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M&amp;S leaders can effectively reduce or control these constraints by developing interim goals and implementing long-term goals. </w:t>
      </w:r>
      <w:r>
        <w:rPr>
          <w:rFonts w:ascii="Times New Roman" w:hAnsi="Times New Roman" w:cs="Times New Roman"/>
          <w:sz w:val="24"/>
          <w:szCs w:val="24"/>
          <w:highlight w:val="yellow"/>
        </w:rPr>
        <w:t>Democratic leaders can be sure to adhere to timelines by structuring feedback</w:t>
      </w:r>
      <w:r>
        <w:rPr>
          <w:rFonts w:ascii="Times New Roman" w:hAnsi="Times New Roman" w:cs="Times New Roman"/>
          <w:sz w:val="24"/>
          <w:szCs w:val="24"/>
        </w:rPr>
        <w:t xml:space="preserve"> (</w:t>
      </w:r>
      <w:r>
        <w:rPr>
          <w:rFonts w:ascii="Arial" w:hAnsi="Arial" w:cs="Arial"/>
          <w:color w:val="222222"/>
          <w:sz w:val="20"/>
          <w:szCs w:val="20"/>
          <w:shd w:val="clear" w:color="auto" w:fill="FFFFFF"/>
        </w:rPr>
        <w:t>Liggett, 2020)</w:t>
      </w:r>
      <w:r>
        <w:rPr>
          <w:rFonts w:ascii="Times New Roman" w:hAnsi="Times New Roman" w:cs="Times New Roman"/>
          <w:sz w:val="24"/>
          <w:szCs w:val="24"/>
        </w:rPr>
        <w:t xml:space="preserve">. Weekly check-ins with the team and progress reports are a couple of examples. Democratic leaders can also establish standardized procedures for evaluating each member's contributions and viewpoints to make sure they are all taken into account. </w:t>
      </w:r>
      <w:r>
        <w:rPr>
          <w:rFonts w:ascii="Arial" w:hAnsi="Arial" w:cs="Arial"/>
          <w:color w:val="222222"/>
          <w:sz w:val="20"/>
          <w:szCs w:val="20"/>
          <w:shd w:val="clear" w:color="auto" w:fill="FFFFFF"/>
        </w:rPr>
        <w:t>Schmitz (2012) el</w:t>
      </w:r>
      <w:r>
        <w:rPr>
          <w:rFonts w:ascii="Times New Roman" w:hAnsi="Times New Roman" w:cs="Times New Roman"/>
          <w:sz w:val="24"/>
          <w:szCs w:val="24"/>
        </w:rPr>
        <w:t>aborates democratic leaders facilitate group discussions which enable them to gather the input of all organizational members before making decisions. These procedures can lessen the likelihood of emotionally charged choices and bias toward some members' opinions.</w:t>
      </w:r>
    </w:p>
    <w:p>
      <w:pPr>
        <w:pStyle w:val="3"/>
        <w:spacing w:line="480" w:lineRule="auto"/>
        <w:rPr>
          <w:rFonts w:ascii="Times New Roman" w:hAnsi="Times New Roman" w:cs="Times New Roman"/>
          <w:b/>
          <w:bCs/>
          <w:color w:val="auto"/>
          <w:sz w:val="24"/>
          <w:szCs w:val="24"/>
        </w:rPr>
      </w:pPr>
      <w:bookmarkStart w:id="7" w:name="_Toc117847177"/>
      <w:r>
        <w:rPr>
          <w:rFonts w:ascii="Times New Roman" w:hAnsi="Times New Roman" w:cs="Times New Roman"/>
          <w:b/>
          <w:bCs/>
          <w:color w:val="auto"/>
          <w:sz w:val="24"/>
          <w:szCs w:val="24"/>
        </w:rPr>
        <w:t>2.4 Management Theory</w:t>
      </w:r>
      <w:bookmarkEnd w:id="7"/>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Management theories enable leaders to concentrate on their primary objectives and key development goals of their organizations (</w:t>
      </w:r>
      <w:r>
        <w:rPr>
          <w:rFonts w:ascii="Arial" w:hAnsi="Arial" w:cs="Arial"/>
          <w:color w:val="222222"/>
          <w:sz w:val="20"/>
          <w:szCs w:val="20"/>
          <w:shd w:val="clear" w:color="auto" w:fill="FFFFFF"/>
        </w:rPr>
        <w:t>Stone, Russell &amp; Patterson, 2004)</w:t>
      </w:r>
      <w:r>
        <w:rPr>
          <w:rFonts w:ascii="Times New Roman" w:hAnsi="Times New Roman" w:cs="Times New Roman"/>
          <w:sz w:val="24"/>
          <w:szCs w:val="24"/>
        </w:rPr>
        <w:t xml:space="preserve">. The top priorities for the organization are naturally streamlined when a management style or theory is put into practice. In this light, theoretical management frameworks are divided into two major categories, which include classical theories and human relation theories. </w:t>
      </w:r>
    </w:p>
    <w:p>
      <w:pPr>
        <w:pStyle w:val="4"/>
        <w:rPr>
          <w:sz w:val="24"/>
          <w:szCs w:val="24"/>
        </w:rPr>
      </w:pPr>
      <w:bookmarkStart w:id="8" w:name="_Toc117847178"/>
      <w:r>
        <w:rPr>
          <w:sz w:val="24"/>
          <w:szCs w:val="24"/>
        </w:rPr>
        <w:t>2.4.1 Classical Management Theory</w:t>
      </w:r>
      <w:bookmarkEnd w:id="8"/>
      <w:r>
        <w:rPr>
          <w:sz w:val="24"/>
          <w:szCs w:val="24"/>
        </w:rPr>
        <w:t xml:space="preserve">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According to the classical management paradigm, employees are highly motivated through financial rewards or when their basic personal necessities are met or acknowledged. Organizations that use the classical management style frequently give performance incentives, which help in enhancing the organization’s innovativeness and productivity.  Notably, the classical approach considers the organization in terms of </w:t>
      </w:r>
      <w:r>
        <w:rPr>
          <w:rFonts w:ascii="Times New Roman" w:hAnsi="Times New Roman" w:cs="Times New Roman"/>
          <w:sz w:val="24"/>
          <w:szCs w:val="24"/>
          <w:lang w:val="en-GB"/>
        </w:rPr>
        <w:t>purpose,</w:t>
      </w:r>
      <w:r>
        <w:rPr>
          <w:rFonts w:ascii="Times New Roman" w:hAnsi="Times New Roman" w:cs="Times New Roman"/>
          <w:sz w:val="24"/>
          <w:szCs w:val="24"/>
        </w:rPr>
        <w:t xml:space="preserve"> formal structure, planning of work, technical requirements, and rational behavior (</w:t>
      </w:r>
      <w:r>
        <w:rPr>
          <w:rFonts w:ascii="Times New Roman" w:hAnsi="Times New Roman" w:cs="Times New Roman"/>
          <w:color w:val="222222"/>
          <w:sz w:val="24"/>
          <w:szCs w:val="24"/>
          <w:shd w:val="clear" w:color="auto" w:fill="FFFFFF"/>
        </w:rPr>
        <w:t>Kitana, 2016)</w:t>
      </w:r>
      <w:r>
        <w:rPr>
          <w:rFonts w:ascii="Times New Roman" w:hAnsi="Times New Roman" w:cs="Times New Roman"/>
          <w:sz w:val="24"/>
          <w:szCs w:val="24"/>
        </w:rPr>
        <w:t xml:space="preserve">.  </w:t>
      </w:r>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To effectively understand the classical management theory, we must incorporate the scope of Fayol’s five managers’ activities, which include planning, organizing, commanding, coordinating, and controlling organizational activities or operations. These managers’ activities encompass the fundamental role of managers, which is creative problem-solving (</w:t>
      </w:r>
      <w:r>
        <w:rPr>
          <w:rFonts w:ascii="Times New Roman" w:hAnsi="Times New Roman" w:cs="Times New Roman"/>
          <w:color w:val="222222"/>
          <w:sz w:val="24"/>
          <w:szCs w:val="24"/>
          <w:shd w:val="clear" w:color="auto" w:fill="FFFFFF"/>
        </w:rPr>
        <w:t>Sevier, 2003)</w:t>
      </w:r>
      <w:r>
        <w:rPr>
          <w:rFonts w:ascii="Times New Roman" w:hAnsi="Times New Roman" w:cs="Times New Roman"/>
          <w:sz w:val="24"/>
          <w:szCs w:val="24"/>
        </w:rPr>
        <w:t>. For instance, the planning function of management helps organizational leaders to try and predict the future of their company or industry and develop strategic measures required to transition to the new state (</w:t>
      </w:r>
      <w:r>
        <w:rPr>
          <w:rFonts w:ascii="Times New Roman" w:hAnsi="Times New Roman" w:cs="Times New Roman"/>
          <w:color w:val="222222"/>
          <w:sz w:val="24"/>
          <w:szCs w:val="24"/>
          <w:shd w:val="clear" w:color="auto" w:fill="FFFFFF"/>
        </w:rPr>
        <w:t>Ferraro, 2007)</w:t>
      </w:r>
      <w:r>
        <w:rPr>
          <w:rFonts w:ascii="Times New Roman" w:hAnsi="Times New Roman" w:cs="Times New Roman"/>
          <w:sz w:val="24"/>
          <w:szCs w:val="24"/>
        </w:rPr>
        <w:t xml:space="preserve">. This is where M&amp;S has failed significantly because it has not been able to exploit resources and competitive advantages available at its disposal to capitalize on the innovative trends that are shaping the future of the retail sector. On that note, M&amp;S managers must develop a purposeful, accurate, and flexible plan to reinvent its business model and realign it with the current digital transformations and other contemporary trends affecting the retail sector. In this way, M&amp;S’ managers will be able to pay attention to forecasting and developing long-term plans and adjust them effectively based on emerging industry trends. </w:t>
      </w:r>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second function of management is organizing, which essentially entails ensuring that all required operational resources, such as personnel, capital, tools, and raw materials, are all available and used effectively to achieve the desired organizational goals (</w:t>
      </w:r>
      <w:r>
        <w:rPr>
          <w:rFonts w:ascii="Arial" w:hAnsi="Arial" w:cs="Arial"/>
          <w:color w:val="222222"/>
          <w:sz w:val="20"/>
          <w:szCs w:val="20"/>
          <w:shd w:val="clear" w:color="auto" w:fill="FFFFFF"/>
        </w:rPr>
        <w:t>Merchant, 1982)</w:t>
      </w:r>
      <w:r>
        <w:rPr>
          <w:rFonts w:ascii="Times New Roman" w:hAnsi="Times New Roman" w:cs="Times New Roman"/>
          <w:sz w:val="24"/>
          <w:szCs w:val="24"/>
        </w:rPr>
        <w:t>.  This means that the company must have enough financial capital, human resources, and raw materials to function properly and establish a healthy operating framework. In this case, H&amp;S is a well-established multinational retail giant with adequate resources and competitive advantages at its disposal that it can use to enhance digital expansion and reorganize its organizational structure. The value of an organizational structure with a well-defined separation of duties and activities cannot be overstated. The structure will extend horizontally and vertically as the number of functions rises, which may elicit the need for a different leadership style. </w:t>
      </w:r>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commanding function of management focuses on ensuring the company achieves optimal employee performance to enhance the realization of the overall organizational goals. In this light, the success of the management team depends on its ability to combine knowledge of the general principles of management and personal qualities, such as interpersonal skills. Fighting incompetency, such as through employee training and development, is one of the strategic ways through which M&amp;S can achieve maximum innovative output and performance from its workforce. In addition, creating a conducive working atmosphere that supports innovation may inspire employees to try new working strategies and may in turn help the organization achieve effective digital expansion. The coordinating function is highly crucial in M&amp;S’ case, especially because it focuses on achieving harmony between various organizational activities or processes (</w:t>
      </w:r>
      <w:r>
        <w:rPr>
          <w:rFonts w:ascii="Arial" w:hAnsi="Arial" w:cs="Arial"/>
          <w:color w:val="222222"/>
          <w:sz w:val="20"/>
          <w:szCs w:val="20"/>
          <w:shd w:val="clear" w:color="auto" w:fill="FFFFFF"/>
        </w:rPr>
        <w:t>Schraeder, Self, Jordan &amp; Portis, 2014).</w:t>
      </w:r>
    </w:p>
    <w:p>
      <w:pPr>
        <w:pStyle w:val="4"/>
        <w:rPr>
          <w:sz w:val="24"/>
          <w:szCs w:val="24"/>
        </w:rPr>
      </w:pPr>
      <w:bookmarkStart w:id="9" w:name="_Toc117847179"/>
      <w:r>
        <w:rPr>
          <w:sz w:val="24"/>
          <w:szCs w:val="24"/>
        </w:rPr>
        <w:t>2.4.2 Subgroups of Classical Management Theory</w:t>
      </w:r>
      <w:bookmarkEnd w:id="9"/>
      <w:r>
        <w:rPr>
          <w:sz w:val="24"/>
          <w:szCs w:val="24"/>
        </w:rPr>
        <w:t xml:space="preserve"> </w:t>
      </w:r>
    </w:p>
    <w:p>
      <w:pPr>
        <w:pStyle w:val="5"/>
        <w:spacing w:line="480" w:lineRule="auto"/>
        <w:rPr>
          <w:rFonts w:ascii="Times New Roman" w:hAnsi="Times New Roman" w:cs="Times New Roman"/>
          <w:color w:val="auto"/>
          <w:sz w:val="24"/>
          <w:szCs w:val="24"/>
        </w:rPr>
      </w:pPr>
      <w:r>
        <w:rPr>
          <w:rFonts w:ascii="Times New Roman" w:hAnsi="Times New Roman" w:cs="Times New Roman"/>
          <w:color w:val="auto"/>
          <w:sz w:val="24"/>
          <w:szCs w:val="24"/>
        </w:rPr>
        <w:t>2.4.2.1 The Scientific Management Theory</w:t>
      </w:r>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Scientific Management Theory was developed by Frederick Winslow Taylor in 1909. The fundamental tenet of Scientific management theory is that every task, no matter how minor, must be completed in the most efficient manner possible (</w:t>
      </w:r>
      <w:r>
        <w:rPr>
          <w:rFonts w:ascii="Times New Roman" w:hAnsi="Times New Roman" w:cs="Times New Roman"/>
          <w:color w:val="222222"/>
          <w:sz w:val="24"/>
          <w:szCs w:val="24"/>
          <w:shd w:val="clear" w:color="auto" w:fill="FFFFFF"/>
        </w:rPr>
        <w:t>Taylor, 2004)</w:t>
      </w:r>
      <w:r>
        <w:rPr>
          <w:rFonts w:ascii="Times New Roman" w:hAnsi="Times New Roman" w:cs="Times New Roman"/>
          <w:sz w:val="24"/>
          <w:szCs w:val="24"/>
        </w:rPr>
        <w:t>. In the early 1900s, managers would issue directives to their staff without providing instructions on how to carry them out. Employees and managers seldom ever interacted with one another. Each duty should be carried out as effectively as possible by allowing employees to work only on specific tasks based on their qualifications and talents, and their performance must be assessed based on both the amount and quality of their labor (</w:t>
      </w:r>
      <w:r>
        <w:rPr>
          <w:rFonts w:ascii="Times New Roman" w:hAnsi="Times New Roman" w:cs="Times New Roman"/>
          <w:color w:val="222222"/>
          <w:sz w:val="24"/>
          <w:szCs w:val="24"/>
          <w:shd w:val="clear" w:color="auto" w:fill="FFFFFF"/>
        </w:rPr>
        <w:t>Taylor, 2004)</w:t>
      </w:r>
      <w:r>
        <w:rPr>
          <w:rFonts w:ascii="Times New Roman" w:hAnsi="Times New Roman" w:cs="Times New Roman"/>
          <w:sz w:val="24"/>
          <w:szCs w:val="24"/>
        </w:rPr>
        <w:t xml:space="preserve">. In this case, it is crucial for M&amp;S to ensure its employees are equipped with the right skills to enhance their competency and innovativeness. In addition, it is essential for managers to establish strategic ways to enhance interaction and the flow of information between them and the employees to facilitate the exchange of ideas and collection of feedback from internal stakeholders and to ensure </w:t>
      </w:r>
      <w:r>
        <w:rPr>
          <w:rFonts w:ascii="Times New Roman" w:hAnsi="Times New Roman" w:cs="Times New Roman"/>
          <w:sz w:val="24"/>
          <w:szCs w:val="24"/>
          <w:lang w:val="en-GB"/>
        </w:rPr>
        <w:t>work is carried out in a prescribed way</w:t>
      </w:r>
      <w:r>
        <w:rPr>
          <w:rFonts w:ascii="Times New Roman" w:hAnsi="Times New Roman" w:cs="Times New Roman"/>
          <w:sz w:val="24"/>
          <w:szCs w:val="24"/>
        </w:rPr>
        <w:t xml:space="preserve">. The scientific selection, training, and development of workers should be made one of the crucial principles of M&amp;S’s people management strategy.  </w:t>
      </w:r>
    </w:p>
    <w:p>
      <w:pPr>
        <w:pStyle w:val="5"/>
        <w:spacing w:line="480" w:lineRule="auto"/>
        <w:rPr>
          <w:rFonts w:ascii="Times New Roman" w:hAnsi="Times New Roman" w:cs="Times New Roman"/>
          <w:color w:val="auto"/>
          <w:sz w:val="24"/>
          <w:szCs w:val="24"/>
        </w:rPr>
      </w:pPr>
      <w:r>
        <w:rPr>
          <w:rFonts w:ascii="Times New Roman" w:hAnsi="Times New Roman" w:cs="Times New Roman"/>
          <w:color w:val="auto"/>
          <w:sz w:val="24"/>
          <w:szCs w:val="24"/>
        </w:rPr>
        <w:t>2.4.2.2 Bureaucratic Management Theory</w:t>
      </w:r>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Bureaucratic management theory was coined by Maxim Weber and entails two crucial elements, which include managing the organization through well-defined roles and having a hierarchical structure (</w:t>
      </w:r>
      <w:r>
        <w:rPr>
          <w:rFonts w:ascii="Times New Roman" w:hAnsi="Times New Roman" w:cs="Times New Roman"/>
          <w:color w:val="222222"/>
          <w:sz w:val="24"/>
          <w:szCs w:val="24"/>
          <w:shd w:val="clear" w:color="auto" w:fill="FFFFFF"/>
        </w:rPr>
        <w:t>Blau, 1963)</w:t>
      </w:r>
      <w:r>
        <w:rPr>
          <w:rFonts w:ascii="Times New Roman" w:hAnsi="Times New Roman" w:cs="Times New Roman"/>
          <w:sz w:val="24"/>
          <w:szCs w:val="24"/>
        </w:rPr>
        <w:t>. A bureaucracy is an organizational system that has a lot of rules, defined processes, standards, desks, meticulously assigned tasks, distinct ranks, and nearly impersonal professional relationships between staff members (</w:t>
      </w:r>
      <w:r>
        <w:rPr>
          <w:rFonts w:ascii="Times New Roman" w:hAnsi="Times New Roman" w:cs="Times New Roman"/>
          <w:color w:val="222222"/>
          <w:sz w:val="24"/>
          <w:szCs w:val="24"/>
          <w:shd w:val="clear" w:color="auto" w:fill="FFFFFF"/>
        </w:rPr>
        <w:t>Langer, 2022)</w:t>
      </w:r>
      <w:r>
        <w:rPr>
          <w:rFonts w:ascii="Times New Roman" w:hAnsi="Times New Roman" w:cs="Times New Roman"/>
          <w:sz w:val="24"/>
          <w:szCs w:val="24"/>
        </w:rPr>
        <w:t xml:space="preserve">. Therefore, the bureaucratic management approach is not suitable for M&amp;S’s case because it does not allow the that is necessary for creating an innovative work environment and culture. </w:t>
      </w:r>
    </w:p>
    <w:p>
      <w:pPr>
        <w:pStyle w:val="3"/>
        <w:spacing w:line="480" w:lineRule="auto"/>
        <w:rPr>
          <w:rFonts w:ascii="Times New Roman" w:hAnsi="Times New Roman" w:cs="Times New Roman"/>
          <w:b/>
          <w:bCs/>
          <w:color w:val="auto"/>
          <w:sz w:val="24"/>
          <w:szCs w:val="24"/>
          <w:lang w:val="en-GB"/>
        </w:rPr>
      </w:pPr>
      <w:bookmarkStart w:id="10" w:name="_Toc117847180"/>
      <w:r>
        <w:rPr>
          <w:rFonts w:ascii="Times New Roman" w:hAnsi="Times New Roman" w:cs="Times New Roman"/>
          <w:b/>
          <w:bCs/>
          <w:color w:val="auto"/>
          <w:sz w:val="24"/>
          <w:szCs w:val="24"/>
        </w:rPr>
        <w:t xml:space="preserve">2.5 </w:t>
      </w:r>
      <w:r>
        <w:rPr>
          <w:rFonts w:ascii="Times New Roman" w:hAnsi="Times New Roman" w:cs="Times New Roman"/>
          <w:b/>
          <w:bCs/>
          <w:color w:val="auto"/>
          <w:sz w:val="24"/>
          <w:szCs w:val="24"/>
          <w:lang w:val="en-GB"/>
        </w:rPr>
        <w:t>The Human Relations Theory of Management</w:t>
      </w:r>
      <w:bookmarkEnd w:id="10"/>
      <w:r>
        <w:rPr>
          <w:rFonts w:ascii="Times New Roman" w:hAnsi="Times New Roman" w:cs="Times New Roman"/>
          <w:b/>
          <w:bCs/>
          <w:color w:val="auto"/>
          <w:sz w:val="24"/>
          <w:szCs w:val="24"/>
          <w:lang w:val="en-GB"/>
        </w:rPr>
        <w:t xml:space="preserve"> </w:t>
      </w:r>
    </w:p>
    <w:p>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Human Relations Theory emphasizes the needs of employees and the resultant outcomes. To effectively manage people, an interpersonal strategy is required. It implies that both official and informal components make up the organization.</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 xml:space="preserve">Redmond (2006) </w:t>
      </w:r>
      <w:r>
        <w:rPr>
          <w:rFonts w:ascii="Times New Roman" w:hAnsi="Times New Roman" w:cs="Times New Roman"/>
          <w:sz w:val="24"/>
          <w:szCs w:val="24"/>
          <w:lang w:val="en-GB"/>
        </w:rPr>
        <w:t>observes that Human relations theory emphasizes workplace informality, employee productivity, and worker satisfaction. Notably, as opposed to scientism, Human relations theory does not hold that employees are basically interchangeable parts of the organization.</w:t>
      </w:r>
    </w:p>
    <w:p>
      <w:pPr>
        <w:spacing w:line="48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3.0 Conclusion </w:t>
      </w:r>
    </w:p>
    <w:p>
      <w:pPr>
        <w:spacing w:line="480" w:lineRule="auto"/>
        <w:ind w:firstLine="720"/>
        <w:rPr>
          <w:rFonts w:ascii="Times New Roman" w:hAnsi="Times New Roman" w:cs="Times New Roman"/>
          <w:sz w:val="24"/>
          <w:szCs w:val="24"/>
        </w:rPr>
      </w:pPr>
      <w:bookmarkStart w:id="11" w:name="_Toc117847181"/>
      <w:r>
        <w:rPr>
          <w:rFonts w:ascii="Times New Roman" w:hAnsi="Times New Roman" w:cs="Times New Roman"/>
          <w:sz w:val="24"/>
          <w:szCs w:val="24"/>
        </w:rPr>
        <w:t>However, it is crucial to ensure that the training program is designed to steer the organization toward becoming innovative to position it for effective digital transformation. For instance, M&amp;S should embark on training and developing its employees on machine learning and data science to help it build data-literate leadership and employee teams as a strategic way of enhancing its digital investment and innovativeness. In this case, the company will be able to turn its employees into specialists which is far better than being run by generalists. Training employees and turning them into first-class specialists is a crucial step toward creating a competent workforce to whom work can be delegated with confidence. delegating work provides employees with opportunities to fully realize their potential and skills, which in turn inspires their innovativeness, confidence, and loyalty.</w:t>
      </w:r>
    </w:p>
    <w:p>
      <w:pPr>
        <w:spacing w:line="480" w:lineRule="auto"/>
        <w:ind w:firstLine="720"/>
        <w:rPr>
          <w:rFonts w:ascii="Times New Roman" w:hAnsi="Times New Roman" w:cs="Times New Roman"/>
          <w:sz w:val="24"/>
          <w:szCs w:val="24"/>
        </w:rPr>
      </w:pPr>
    </w:p>
    <w:p>
      <w:pPr>
        <w:pStyle w:val="2"/>
        <w:spacing w:line="480" w:lineRule="auto"/>
        <w:jc w:val="center"/>
        <w:rPr>
          <w:rFonts w:ascii="Times New Roman" w:hAnsi="Times New Roman" w:cs="Times New Roman"/>
          <w:b/>
          <w:bCs/>
          <w:color w:val="auto"/>
          <w:sz w:val="24"/>
          <w:szCs w:val="24"/>
        </w:rPr>
      </w:pPr>
      <w:r>
        <w:rPr>
          <w:rFonts w:ascii="Times New Roman" w:hAnsi="Times New Roman" w:cs="Times New Roman"/>
          <w:b/>
          <w:bCs/>
          <w:color w:val="auto"/>
          <w:sz w:val="24"/>
          <w:szCs w:val="24"/>
        </w:rPr>
        <w:t>4.0 Recommendations</w:t>
      </w:r>
      <w:bookmarkEnd w:id="11"/>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M&amp;S must incorporate emerging technology and trends affecting the retail sector to remain competitive and relevant to both the current and future generations. Notably, the company has not invested sufficiently in its brand image and must do so to sustain its iconic image and survive the fierce competition within the sector. The company’s iconic brand image does not make it immune to the challenges affecting the sector. Therefore, it must redesign its business model, such as by aggressively adopting innovative digital trends to bolster its digital presence.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Investing in employee training and development will also help the company to achieve significant strides toward becoming one of the most highly innovative companies in the sector. In this case, it is crucial to underscore the significance of employee motivation and work delegation in ensuring the company achieves optimal employee performance and fosters a conducive working environment that supports innovation. Employee training and development is one of the strategic ways to enhance job satisfaction and loyalty to the company. according to Herzberg's motivation-hygiene theory also known as dual-factor theory, a certain set of workplace factors can cause job satisfaction while other sets of independent factors result in dissatisfaction. </w:t>
      </w:r>
    </w:p>
    <w:p>
      <w:pPr>
        <w:spacing w:line="480" w:lineRule="auto"/>
        <w:ind w:firstLine="720"/>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Alrawahi et </w:t>
      </w:r>
      <w:r>
        <w:rPr>
          <w:rFonts w:ascii="Times New Roman" w:hAnsi="Times New Roman" w:cs="Times New Roman"/>
          <w:sz w:val="24"/>
          <w:szCs w:val="24"/>
        </w:rPr>
        <w:t>al (2020)</w:t>
      </w:r>
      <w:r>
        <w:rPr>
          <w:rFonts w:ascii="Times New Roman" w:hAnsi="Times New Roman" w:cs="Times New Roman"/>
          <w:color w:val="222222"/>
          <w:sz w:val="24"/>
          <w:szCs w:val="24"/>
          <w:shd w:val="clear" w:color="auto" w:fill="FFFFFF"/>
        </w:rPr>
        <w:t xml:space="preserve"> </w:t>
      </w:r>
      <w:r>
        <w:rPr>
          <w:rFonts w:ascii="Times New Roman" w:hAnsi="Times New Roman" w:cs="Times New Roman"/>
          <w:sz w:val="24"/>
          <w:szCs w:val="24"/>
        </w:rPr>
        <w:t xml:space="preserve">observe that based on Herzberg's theory of motivation, employees are not satisfied with the fulfillment of lower-order requirements at work, such as those linked with minimum wage levels or safe and pleasant working circumstances. Instead, the theory states that employees seek fulfillment of higher-level psychological demands related to success, responsibility, recognition, advancement, and the nature of the work itself. In this case, the presence of a motivating set of incentives or job characteristics leads to worker satisfaction at work, while the presence of another and distinct set of job characteristics, such as employee incompetency, leads to worker dissatisfaction at work. To enhance job attitudes and productivity, managers must notice and address both sets of traits that may result in both work satisfaction and dissatisfaction. </w:t>
      </w: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References</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al Habibi, B. (2019). </w:t>
      </w:r>
      <w:r>
        <w:rPr>
          <w:rFonts w:ascii="Times New Roman" w:hAnsi="Times New Roman" w:cs="Times New Roman"/>
          <w:i/>
          <w:iCs/>
          <w:color w:val="222222"/>
          <w:sz w:val="24"/>
          <w:szCs w:val="24"/>
          <w:shd w:val="clear" w:color="auto" w:fill="FFFFFF"/>
        </w:rPr>
        <w:t>HR practices of Marks &amp; Spencer, Selfridges, Primark, and Sainsbury’s</w:t>
      </w:r>
      <w:r>
        <w:rPr>
          <w:rFonts w:ascii="Times New Roman" w:hAnsi="Times New Roman" w:cs="Times New Roman"/>
          <w:color w:val="222222"/>
          <w:sz w:val="24"/>
          <w:szCs w:val="24"/>
          <w:shd w:val="clear" w:color="auto" w:fill="FFFFFF"/>
        </w:rPr>
        <w:t xml:space="preserve"> (Doctoral dissertation, University of Science &amp; Technology). </w:t>
      </w:r>
    </w:p>
    <w:p>
      <w:pPr>
        <w:spacing w:line="480" w:lineRule="auto"/>
        <w:ind w:left="720" w:hanging="720"/>
        <w:rPr>
          <w:rFonts w:ascii="Times New Roman" w:hAnsi="Times New Roman" w:eastAsia="Times New Roman" w:cs="Times New Roman"/>
          <w:color w:val="201F1E"/>
          <w:sz w:val="24"/>
          <w:szCs w:val="24"/>
          <w:lang w:eastAsia="en-GB"/>
        </w:rPr>
      </w:pPr>
      <w:r>
        <w:rPr>
          <w:rFonts w:ascii="Times New Roman" w:hAnsi="Times New Roman" w:cs="Times New Roman"/>
          <w:color w:val="222222"/>
          <w:sz w:val="24"/>
          <w:szCs w:val="24"/>
          <w:shd w:val="clear" w:color="auto" w:fill="FFFFFF"/>
        </w:rPr>
        <w:t>Alrawahi, S., Sellgren, S. F., Altouby, S., Alwahaibi, N., &amp; Brommels, M. (2020). The application of Herzberg's two-factor theory of motivation to job satisfaction in clinical laboratories in Omani hospitals. </w:t>
      </w:r>
      <w:r>
        <w:rPr>
          <w:rFonts w:ascii="Times New Roman" w:hAnsi="Times New Roman" w:cs="Times New Roman"/>
          <w:i/>
          <w:iCs/>
          <w:color w:val="222222"/>
          <w:sz w:val="24"/>
          <w:szCs w:val="24"/>
          <w:shd w:val="clear" w:color="auto" w:fill="FFFFFF"/>
        </w:rPr>
        <w:t>Heliyon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6</w:t>
      </w:r>
      <w:r>
        <w:rPr>
          <w:rFonts w:ascii="Times New Roman" w:hAnsi="Times New Roman" w:cs="Times New Roman"/>
          <w:color w:val="222222"/>
          <w:sz w:val="24"/>
          <w:szCs w:val="24"/>
          <w:shd w:val="clear" w:color="auto" w:fill="FFFFFF"/>
        </w:rPr>
        <w:t>(9), e04829.</w:t>
      </w:r>
    </w:p>
    <w:p>
      <w:pPr>
        <w:spacing w:line="480" w:lineRule="auto"/>
        <w:ind w:left="720" w:hanging="720"/>
        <w:rPr>
          <w:rFonts w:ascii="Times New Roman" w:hAnsi="Times New Roman" w:eastAsia="Times New Roman" w:cs="Times New Roman"/>
          <w:color w:val="201F1E"/>
          <w:sz w:val="24"/>
          <w:szCs w:val="24"/>
          <w:lang w:eastAsia="en-GB"/>
        </w:rPr>
      </w:pPr>
      <w:r>
        <w:rPr>
          <w:rFonts w:ascii="Times New Roman" w:hAnsi="Times New Roman" w:eastAsia="Times New Roman" w:cs="Times New Roman"/>
          <w:color w:val="201F1E"/>
          <w:sz w:val="24"/>
          <w:szCs w:val="24"/>
          <w:lang w:eastAsia="en-GB"/>
        </w:rPr>
        <w:t>Alvesson, M.  Bridgman, T. Wilmott, H. (2011). The Oxford handbook of critical management studies.  Oxford OUP.</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Blase, J., &amp; Blase, R. R. (2001). </w:t>
      </w:r>
      <w:r>
        <w:rPr>
          <w:rFonts w:ascii="Times New Roman" w:hAnsi="Times New Roman" w:cs="Times New Roman"/>
          <w:i/>
          <w:iCs/>
          <w:color w:val="222222"/>
          <w:sz w:val="24"/>
          <w:szCs w:val="24"/>
          <w:shd w:val="clear" w:color="auto" w:fill="FFFFFF"/>
        </w:rPr>
        <w:t>Empowering teachers: What successful principals do</w:t>
      </w:r>
      <w:r>
        <w:rPr>
          <w:rFonts w:ascii="Times New Roman" w:hAnsi="Times New Roman" w:cs="Times New Roman"/>
          <w:color w:val="222222"/>
          <w:sz w:val="24"/>
          <w:szCs w:val="24"/>
          <w:shd w:val="clear" w:color="auto" w:fill="FFFFFF"/>
        </w:rPr>
        <w:t>. Corwin Press.</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Blau, P. M. (1963). Critical remarks on Weber's theory of authority. </w:t>
      </w:r>
      <w:r>
        <w:rPr>
          <w:rFonts w:ascii="Times New Roman" w:hAnsi="Times New Roman" w:cs="Times New Roman"/>
          <w:i/>
          <w:iCs/>
          <w:color w:val="222222"/>
          <w:sz w:val="24"/>
          <w:szCs w:val="24"/>
          <w:shd w:val="clear" w:color="auto" w:fill="FFFFFF"/>
        </w:rPr>
        <w:t>American Political Science Review</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57</w:t>
      </w:r>
      <w:r>
        <w:rPr>
          <w:rFonts w:ascii="Times New Roman" w:hAnsi="Times New Roman" w:cs="Times New Roman"/>
          <w:color w:val="222222"/>
          <w:sz w:val="24"/>
          <w:szCs w:val="24"/>
          <w:shd w:val="clear" w:color="auto" w:fill="FFFFFF"/>
        </w:rPr>
        <w:t>(2), 305-316.</w:t>
      </w:r>
    </w:p>
    <w:p>
      <w:pPr>
        <w:spacing w:line="480" w:lineRule="auto"/>
        <w:ind w:left="720" w:hanging="720"/>
        <w:rPr>
          <w:rFonts w:ascii="Times New Roman" w:hAnsi="Times New Roman" w:eastAsia="Times New Roman" w:cs="Times New Roman"/>
          <w:color w:val="201F1E"/>
          <w:sz w:val="24"/>
          <w:szCs w:val="24"/>
          <w:lang w:eastAsia="en-GB"/>
        </w:rPr>
      </w:pPr>
      <w:r>
        <w:rPr>
          <w:rFonts w:ascii="Times New Roman" w:hAnsi="Times New Roman" w:cs="Times New Roman"/>
          <w:color w:val="222222"/>
          <w:sz w:val="24"/>
          <w:szCs w:val="24"/>
          <w:shd w:val="clear" w:color="auto" w:fill="FFFFFF"/>
        </w:rPr>
        <w:t>Bolino, M. C., &amp; Turnley, W. H. (2003). Going the extra mile: Cultivating and managing employee citizenship behavior. </w:t>
      </w:r>
      <w:r>
        <w:rPr>
          <w:rFonts w:ascii="Times New Roman" w:hAnsi="Times New Roman" w:cs="Times New Roman"/>
          <w:i/>
          <w:iCs/>
          <w:color w:val="222222"/>
          <w:sz w:val="24"/>
          <w:szCs w:val="24"/>
          <w:shd w:val="clear" w:color="auto" w:fill="FFFFFF"/>
        </w:rPr>
        <w:t>Academy of Management Perspectives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17</w:t>
      </w:r>
      <w:r>
        <w:rPr>
          <w:rFonts w:ascii="Times New Roman" w:hAnsi="Times New Roman" w:cs="Times New Roman"/>
          <w:color w:val="222222"/>
          <w:sz w:val="24"/>
          <w:szCs w:val="24"/>
          <w:shd w:val="clear" w:color="auto" w:fill="FFFFFF"/>
        </w:rPr>
        <w:t>(3), 60-71.</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Bronner, S. E. (2011). Critical Theory: A Very Short Introduction, New York (Oxford University Press) 2011, 144 pp.</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Brook Intelligence Centre (2013). Marks and Spencer plc: company profile.</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Brummer, A. (2020). </w:t>
      </w:r>
      <w:r>
        <w:rPr>
          <w:rFonts w:ascii="Times New Roman" w:hAnsi="Times New Roman" w:cs="Times New Roman"/>
          <w:i/>
          <w:iCs/>
          <w:color w:val="222222"/>
          <w:sz w:val="24"/>
          <w:szCs w:val="24"/>
          <w:shd w:val="clear" w:color="auto" w:fill="FFFFFF"/>
        </w:rPr>
        <w:t>The Great British Reboot: Creative Geniuses, White-Hot Technology and Emerging Markets</w:t>
      </w:r>
      <w:r>
        <w:rPr>
          <w:rFonts w:ascii="Times New Roman" w:hAnsi="Times New Roman" w:cs="Times New Roman"/>
          <w:color w:val="222222"/>
          <w:sz w:val="24"/>
          <w:szCs w:val="24"/>
          <w:shd w:val="clear" w:color="auto" w:fill="FFFFFF"/>
        </w:rPr>
        <w:t>. Yale University Press.</w:t>
      </w:r>
    </w:p>
    <w:p>
      <w:pPr>
        <w:spacing w:line="480" w:lineRule="auto"/>
        <w:ind w:left="720" w:hanging="720"/>
        <w:rPr>
          <w:rFonts w:ascii="Times New Roman" w:hAnsi="Times New Roman" w:eastAsia="Times New Roman" w:cs="Times New Roman"/>
          <w:color w:val="201F1E"/>
          <w:sz w:val="24"/>
          <w:szCs w:val="24"/>
          <w:lang w:eastAsia="en-GB"/>
        </w:rPr>
      </w:pPr>
      <w:r>
        <w:rPr>
          <w:rFonts w:ascii="Times New Roman" w:hAnsi="Times New Roman" w:eastAsia="Times New Roman" w:cs="Times New Roman"/>
          <w:color w:val="201F1E"/>
          <w:sz w:val="24"/>
          <w:szCs w:val="24"/>
          <w:lang w:eastAsia="en-GB"/>
        </w:rPr>
        <w:t>Crane, A. and Matten, D. (2010). Business Ethics: Managing Corporate Citizenship and Sustainability in the age of globalisation, Oxford OUP.</w:t>
      </w:r>
    </w:p>
    <w:p>
      <w:pPr>
        <w:spacing w:line="480" w:lineRule="auto"/>
        <w:ind w:left="720" w:hanging="720"/>
        <w:rPr>
          <w:rFonts w:ascii="Times New Roman" w:hAnsi="Times New Roman" w:eastAsia="Times New Roman" w:cs="Times New Roman"/>
          <w:color w:val="201F1E"/>
          <w:sz w:val="24"/>
          <w:szCs w:val="24"/>
          <w:lang w:eastAsia="en-GB"/>
        </w:rPr>
      </w:pPr>
      <w:r>
        <w:rPr>
          <w:rFonts w:ascii="Times New Roman" w:hAnsi="Times New Roman" w:cs="Times New Roman"/>
          <w:color w:val="222222"/>
          <w:sz w:val="24"/>
          <w:szCs w:val="24"/>
          <w:shd w:val="clear" w:color="auto" w:fill="FFFFFF"/>
        </w:rPr>
        <w:t>Ferraro, J. (2007). </w:t>
      </w:r>
      <w:r>
        <w:rPr>
          <w:rFonts w:ascii="Times New Roman" w:hAnsi="Times New Roman" w:cs="Times New Roman"/>
          <w:i/>
          <w:iCs/>
          <w:color w:val="222222"/>
          <w:sz w:val="24"/>
          <w:szCs w:val="24"/>
          <w:shd w:val="clear" w:color="auto" w:fill="FFFFFF"/>
        </w:rPr>
        <w:t>The strategic project leader: Mastering service-based project leadership</w:t>
      </w:r>
      <w:r>
        <w:rPr>
          <w:rFonts w:ascii="Times New Roman" w:hAnsi="Times New Roman" w:cs="Times New Roman"/>
          <w:color w:val="222222"/>
          <w:sz w:val="24"/>
          <w:szCs w:val="24"/>
          <w:shd w:val="clear" w:color="auto" w:fill="FFFFFF"/>
        </w:rPr>
        <w:t>. Auerbach Publications.</w:t>
      </w:r>
    </w:p>
    <w:p>
      <w:pPr>
        <w:spacing w:line="480" w:lineRule="auto"/>
        <w:ind w:left="720" w:hanging="720"/>
        <w:rPr>
          <w:rFonts w:ascii="Times New Roman" w:hAnsi="Times New Roman" w:eastAsia="Times New Roman" w:cs="Times New Roman"/>
          <w:color w:val="201F1E"/>
          <w:sz w:val="24"/>
          <w:szCs w:val="24"/>
          <w:lang w:eastAsia="en-GB"/>
        </w:rPr>
      </w:pPr>
      <w:r>
        <w:rPr>
          <w:rFonts w:ascii="Times New Roman" w:hAnsi="Times New Roman" w:eastAsia="Times New Roman" w:cs="Times New Roman"/>
          <w:color w:val="201F1E"/>
          <w:sz w:val="24"/>
          <w:szCs w:val="24"/>
          <w:lang w:eastAsia="en-GB"/>
        </w:rPr>
        <w:t>Grey, C. (2013). A very short, fairly interesting and reasonably cheap book about studying organizations. London, Sage.</w:t>
      </w:r>
    </w:p>
    <w:p>
      <w:pPr>
        <w:spacing w:line="480" w:lineRule="auto"/>
        <w:ind w:left="720" w:hanging="720"/>
        <w:rPr>
          <w:rFonts w:ascii="Times New Roman" w:hAnsi="Times New Roman" w:eastAsia="Times New Roman" w:cs="Times New Roman"/>
          <w:color w:val="201F1E"/>
          <w:sz w:val="24"/>
          <w:szCs w:val="24"/>
          <w:lang w:eastAsia="en-GB"/>
        </w:rPr>
      </w:pPr>
      <w:r>
        <w:rPr>
          <w:rFonts w:ascii="Times New Roman" w:hAnsi="Times New Roman" w:cs="Times New Roman"/>
          <w:color w:val="222222"/>
          <w:sz w:val="24"/>
          <w:szCs w:val="24"/>
          <w:shd w:val="clear" w:color="auto" w:fill="FFFFFF"/>
        </w:rPr>
        <w:t>Harris, A., &amp; Chapman, C. (2004). Democratic leadership for school improvement in challenging contexts. </w:t>
      </w:r>
      <w:r>
        <w:rPr>
          <w:rFonts w:ascii="Times New Roman" w:hAnsi="Times New Roman" w:cs="Times New Roman"/>
          <w:i/>
          <w:iCs/>
          <w:color w:val="222222"/>
          <w:sz w:val="24"/>
          <w:szCs w:val="24"/>
          <w:shd w:val="clear" w:color="auto" w:fill="FFFFFF"/>
        </w:rPr>
        <w:t>Democratic Learning: The challenge to school effectiveness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6</w:t>
      </w:r>
      <w:r>
        <w:rPr>
          <w:rFonts w:ascii="Times New Roman" w:hAnsi="Times New Roman" w:cs="Times New Roman"/>
          <w:color w:val="222222"/>
          <w:sz w:val="24"/>
          <w:szCs w:val="24"/>
          <w:shd w:val="clear" w:color="auto" w:fill="FFFFFF"/>
        </w:rPr>
        <w:t>(9), 164-178.</w:t>
      </w:r>
    </w:p>
    <w:p>
      <w:pPr>
        <w:spacing w:line="480" w:lineRule="auto"/>
        <w:ind w:left="720" w:hanging="720"/>
        <w:rPr>
          <w:rFonts w:ascii="Times New Roman" w:hAnsi="Times New Roman" w:eastAsia="Times New Roman" w:cs="Times New Roman"/>
          <w:color w:val="201F1E"/>
          <w:sz w:val="24"/>
          <w:szCs w:val="24"/>
          <w:lang w:eastAsia="en-GB"/>
        </w:rPr>
      </w:pPr>
      <w:r>
        <w:rPr>
          <w:rFonts w:ascii="Arial" w:hAnsi="Arial" w:cs="Arial"/>
          <w:color w:val="222222"/>
          <w:sz w:val="20"/>
          <w:szCs w:val="20"/>
          <w:shd w:val="clear" w:color="auto" w:fill="FFFFFF"/>
        </w:rPr>
        <w:t>Hermundsdottir, F., &amp; Aspelund, A. (2021). Sustainability innovations and firm competitiveness: A review. </w:t>
      </w:r>
      <w:r>
        <w:rPr>
          <w:rFonts w:ascii="Arial" w:hAnsi="Arial" w:cs="Arial"/>
          <w:i/>
          <w:iCs/>
          <w:color w:val="222222"/>
          <w:sz w:val="20"/>
          <w:szCs w:val="20"/>
          <w:shd w:val="clear" w:color="auto" w:fill="FFFFFF"/>
        </w:rPr>
        <w:t>Journal of Cleaner Production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280</w:t>
      </w:r>
      <w:r>
        <w:rPr>
          <w:rFonts w:ascii="Arial" w:hAnsi="Arial" w:cs="Arial"/>
          <w:color w:val="222222"/>
          <w:sz w:val="20"/>
          <w:szCs w:val="20"/>
          <w:shd w:val="clear" w:color="auto" w:fill="FFFFFF"/>
        </w:rPr>
        <w:t>, 124715.</w:t>
      </w:r>
    </w:p>
    <w:p>
      <w:pPr>
        <w:spacing w:line="480" w:lineRule="auto"/>
        <w:ind w:left="720" w:hanging="720"/>
        <w:rPr>
          <w:rFonts w:ascii="Times New Roman" w:hAnsi="Times New Roman" w:eastAsia="Times New Roman" w:cs="Times New Roman"/>
          <w:color w:val="201F1E"/>
          <w:sz w:val="24"/>
          <w:szCs w:val="24"/>
          <w:lang w:eastAsia="en-GB"/>
        </w:rPr>
      </w:pPr>
      <w:r>
        <w:rPr>
          <w:rFonts w:ascii="Times New Roman" w:hAnsi="Times New Roman" w:cs="Times New Roman"/>
          <w:color w:val="222222"/>
          <w:sz w:val="24"/>
          <w:szCs w:val="24"/>
          <w:shd w:val="clear" w:color="auto" w:fill="FFFFFF"/>
        </w:rPr>
        <w:t>Hollender, J., &amp; Breen, B. (2010). </w:t>
      </w:r>
      <w:r>
        <w:rPr>
          <w:rFonts w:ascii="Times New Roman" w:hAnsi="Times New Roman" w:cs="Times New Roman"/>
          <w:i/>
          <w:iCs/>
          <w:color w:val="222222"/>
          <w:sz w:val="24"/>
          <w:szCs w:val="24"/>
          <w:shd w:val="clear" w:color="auto" w:fill="FFFFFF"/>
        </w:rPr>
        <w:t>The responsibility revolution: How the next generation of businesses will win</w:t>
      </w:r>
      <w:r>
        <w:rPr>
          <w:rFonts w:ascii="Times New Roman" w:hAnsi="Times New Roman" w:cs="Times New Roman"/>
          <w:color w:val="222222"/>
          <w:sz w:val="24"/>
          <w:szCs w:val="24"/>
          <w:shd w:val="clear" w:color="auto" w:fill="FFFFFF"/>
        </w:rPr>
        <w:t>. John Wiley &amp; Sons.</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Karanja, E., &amp; Rosso, M. A. (2017). The Chief Risk Officer: a study of roles and responsibilities. </w:t>
      </w:r>
      <w:r>
        <w:rPr>
          <w:rFonts w:ascii="Times New Roman" w:hAnsi="Times New Roman" w:cs="Times New Roman"/>
          <w:i/>
          <w:iCs/>
          <w:color w:val="222222"/>
          <w:sz w:val="24"/>
          <w:szCs w:val="24"/>
          <w:shd w:val="clear" w:color="auto" w:fill="FFFFFF"/>
        </w:rPr>
        <w:t>Risk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19</w:t>
      </w:r>
      <w:r>
        <w:rPr>
          <w:rFonts w:ascii="Times New Roman" w:hAnsi="Times New Roman" w:cs="Times New Roman"/>
          <w:color w:val="222222"/>
          <w:sz w:val="24"/>
          <w:szCs w:val="24"/>
          <w:shd w:val="clear" w:color="auto" w:fill="FFFFFF"/>
        </w:rPr>
        <w:t>(2), 103-130.</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Kitana, A. (2016). Overview of the managerial thoughts and theories from the history: Classical management theory to modern management theory. </w:t>
      </w:r>
      <w:r>
        <w:rPr>
          <w:rFonts w:ascii="Times New Roman" w:hAnsi="Times New Roman" w:cs="Times New Roman"/>
          <w:i/>
          <w:iCs/>
          <w:color w:val="222222"/>
          <w:sz w:val="24"/>
          <w:szCs w:val="24"/>
          <w:shd w:val="clear" w:color="auto" w:fill="FFFFFF"/>
        </w:rPr>
        <w:t>Indian Journal of Management Science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6</w:t>
      </w:r>
      <w:r>
        <w:rPr>
          <w:rFonts w:ascii="Times New Roman" w:hAnsi="Times New Roman" w:cs="Times New Roman"/>
          <w:color w:val="222222"/>
          <w:sz w:val="24"/>
          <w:szCs w:val="24"/>
          <w:shd w:val="clear" w:color="auto" w:fill="FFFFFF"/>
        </w:rPr>
        <w:t>(1), 16.</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Langer, J. (2022). Bureaucracy and the Imaginal Realm: Max Weber, Rationality and the Substantive Basis of Public Administration. </w:t>
      </w:r>
      <w:r>
        <w:rPr>
          <w:rFonts w:ascii="Times New Roman" w:hAnsi="Times New Roman" w:cs="Times New Roman"/>
          <w:i/>
          <w:iCs/>
          <w:color w:val="222222"/>
          <w:sz w:val="24"/>
          <w:szCs w:val="24"/>
          <w:shd w:val="clear" w:color="auto" w:fill="FFFFFF"/>
        </w:rPr>
        <w:t>Perspectives on Public Management and Governance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5</w:t>
      </w:r>
      <w:r>
        <w:rPr>
          <w:rFonts w:ascii="Times New Roman" w:hAnsi="Times New Roman" w:cs="Times New Roman"/>
          <w:color w:val="222222"/>
          <w:sz w:val="24"/>
          <w:szCs w:val="24"/>
          <w:shd w:val="clear" w:color="auto" w:fill="FFFFFF"/>
        </w:rPr>
        <w:t>(2), 122-134.</w:t>
      </w:r>
    </w:p>
    <w:p>
      <w:pPr>
        <w:spacing w:line="48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Liggett, R. (2020). Toward A Conceptualization of Democratic Leadership in a Professional Context. </w:t>
      </w:r>
      <w:r>
        <w:rPr>
          <w:rFonts w:ascii="Arial" w:hAnsi="Arial" w:cs="Arial"/>
          <w:i/>
          <w:iCs/>
          <w:color w:val="222222"/>
          <w:sz w:val="20"/>
          <w:szCs w:val="20"/>
          <w:shd w:val="clear" w:color="auto" w:fill="FFFFFF"/>
        </w:rPr>
        <w:t>Canadian Journal of Educational Administration and Policy</w:t>
      </w:r>
      <w:r>
        <w:rPr>
          <w:rFonts w:ascii="Arial" w:hAnsi="Arial" w:cs="Arial"/>
          <w:color w:val="222222"/>
          <w:sz w:val="20"/>
          <w:szCs w:val="20"/>
          <w:shd w:val="clear" w:color="auto" w:fill="FFFFFF"/>
        </w:rPr>
        <w:t>, (193).</w:t>
      </w:r>
    </w:p>
    <w:p>
      <w:pPr>
        <w:spacing w:line="480" w:lineRule="auto"/>
        <w:ind w:left="720" w:hanging="720"/>
        <w:rPr>
          <w:rFonts w:ascii="Times New Roman" w:hAnsi="Times New Roman" w:cs="Times New Roman"/>
          <w:color w:val="222222"/>
          <w:sz w:val="24"/>
          <w:szCs w:val="24"/>
          <w:shd w:val="clear" w:color="auto" w:fill="FFFFFF"/>
        </w:rPr>
      </w:pPr>
      <w:r>
        <w:rPr>
          <w:rFonts w:ascii="Calibri" w:hAnsi="Calibri" w:cs="Calibri"/>
          <w:color w:val="000000"/>
          <w:shd w:val="clear" w:color="auto" w:fill="FFFFFF"/>
        </w:rPr>
        <w:t>Marks &amp; Spencer. (2020, August 18). </w:t>
      </w:r>
      <w:r>
        <w:rPr>
          <w:rStyle w:val="16"/>
          <w:rFonts w:ascii="Calibri" w:hAnsi="Calibri" w:cs="Calibri"/>
          <w:color w:val="000000"/>
          <w:shd w:val="clear" w:color="auto" w:fill="FFFFFF"/>
        </w:rPr>
        <w:t>Five reasons marks &amp; Spencer is struggling against its competitors</w:t>
      </w:r>
      <w:r>
        <w:rPr>
          <w:rFonts w:ascii="Calibri" w:hAnsi="Calibri" w:cs="Calibri"/>
          <w:color w:val="000000"/>
          <w:shd w:val="clear" w:color="auto" w:fill="FFFFFF"/>
        </w:rPr>
        <w:t>. the Guardian. </w:t>
      </w:r>
      <w:r>
        <w:fldChar w:fldCharType="begin"/>
      </w:r>
      <w:r>
        <w:instrText xml:space="preserve"> HYPERLINK "https://www.theguardian.com/business/2020/aug/18/five-reasons-marks-spencer-is-struggling-against-its-competitors" </w:instrText>
      </w:r>
      <w:r>
        <w:fldChar w:fldCharType="separate"/>
      </w:r>
      <w:r>
        <w:rPr>
          <w:rStyle w:val="17"/>
          <w:rFonts w:ascii="Calibri" w:hAnsi="Calibri" w:cs="Calibri"/>
          <w:color w:val="000000"/>
          <w:shd w:val="clear" w:color="auto" w:fill="FFFFFF"/>
        </w:rPr>
        <w:t>https://www.theguardian.com/business/2020/aug/18/five-reasons-marks-spencer-is-struggling-against-its-competitors</w:t>
      </w:r>
      <w:r>
        <w:rPr>
          <w:rStyle w:val="17"/>
          <w:rFonts w:ascii="Calibri" w:hAnsi="Calibri" w:cs="Calibri"/>
          <w:color w:val="000000"/>
          <w:shd w:val="clear" w:color="auto" w:fill="FFFFFF"/>
        </w:rPr>
        <w:fldChar w:fldCharType="end"/>
      </w:r>
    </w:p>
    <w:p>
      <w:pPr>
        <w:spacing w:line="48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Merchant, K. A. (1982). The control function of management. </w:t>
      </w:r>
      <w:r>
        <w:rPr>
          <w:rFonts w:ascii="Arial" w:hAnsi="Arial" w:cs="Arial"/>
          <w:i/>
          <w:iCs/>
          <w:color w:val="222222"/>
          <w:sz w:val="20"/>
          <w:szCs w:val="20"/>
          <w:shd w:val="clear" w:color="auto" w:fill="FFFFFF"/>
        </w:rPr>
        <w:t>Sloan Management Review (Pre-1986)</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(4), 43.</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sz w:val="24"/>
          <w:szCs w:val="24"/>
        </w:rPr>
        <w:t>M&amp;S today 2016. Web.</w:t>
      </w:r>
    </w:p>
    <w:p>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Redmond, J. W. (2006). Issues in human relations management. In </w:t>
      </w:r>
      <w:r>
        <w:rPr>
          <w:rFonts w:ascii="Times New Roman" w:hAnsi="Times New Roman" w:cs="Times New Roman"/>
          <w:i/>
          <w:iCs/>
          <w:color w:val="222222"/>
          <w:sz w:val="24"/>
          <w:szCs w:val="24"/>
          <w:shd w:val="clear" w:color="auto" w:fill="FFFFFF"/>
        </w:rPr>
        <w:t>Handbook of media management and economics</w:t>
      </w:r>
      <w:r>
        <w:rPr>
          <w:rFonts w:ascii="Times New Roman" w:hAnsi="Times New Roman" w:cs="Times New Roman"/>
          <w:color w:val="222222"/>
          <w:sz w:val="24"/>
          <w:szCs w:val="24"/>
          <w:shd w:val="clear" w:color="auto" w:fill="FFFFFF"/>
        </w:rPr>
        <w:t> (pp. 125-154). Routledge.</w:t>
      </w:r>
    </w:p>
    <w:p>
      <w:pPr>
        <w:ind w:left="720" w:hanging="720"/>
        <w:rPr>
          <w:rFonts w:ascii="Times New Roman" w:hAnsi="Times New Roman" w:cs="Times New Roman"/>
          <w:sz w:val="24"/>
          <w:szCs w:val="24"/>
        </w:rPr>
      </w:pPr>
      <w:r>
        <w:rPr>
          <w:rFonts w:ascii="Arial" w:hAnsi="Arial" w:cs="Arial"/>
          <w:color w:val="222222"/>
          <w:sz w:val="20"/>
          <w:szCs w:val="20"/>
          <w:shd w:val="clear" w:color="auto" w:fill="FFFFFF"/>
        </w:rPr>
        <w:t>Schmitz, A. (2012). A primer on communication studies. </w:t>
      </w:r>
      <w:r>
        <w:rPr>
          <w:rFonts w:ascii="Arial" w:hAnsi="Arial" w:cs="Arial"/>
          <w:i/>
          <w:iCs/>
          <w:color w:val="222222"/>
          <w:sz w:val="20"/>
          <w:szCs w:val="20"/>
          <w:shd w:val="clear" w:color="auto" w:fill="FFFFFF"/>
        </w:rPr>
        <w:t>Retrieved September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(2).</w:t>
      </w:r>
    </w:p>
    <w:p>
      <w:pPr>
        <w:ind w:left="720" w:hanging="720"/>
        <w:rPr>
          <w:rFonts w:ascii="Times New Roman" w:hAnsi="Times New Roman" w:cs="Times New Roman"/>
          <w:color w:val="222222"/>
          <w:sz w:val="24"/>
          <w:szCs w:val="24"/>
          <w:shd w:val="clear" w:color="auto" w:fill="FFFFFF"/>
        </w:rPr>
      </w:pPr>
      <w:r>
        <w:rPr>
          <w:rFonts w:ascii="Arial" w:hAnsi="Arial" w:cs="Arial"/>
          <w:color w:val="222222"/>
          <w:sz w:val="20"/>
          <w:szCs w:val="20"/>
          <w:shd w:val="clear" w:color="auto" w:fill="FFFFFF"/>
        </w:rPr>
        <w:t>Schraeder, M., Self, D. R., Jordan, M. H., &amp; Portis, R. (2014). The functions of management as mechanisms for fostering interpersonal trust. </w:t>
      </w:r>
      <w:r>
        <w:rPr>
          <w:rFonts w:ascii="Arial" w:hAnsi="Arial" w:cs="Arial"/>
          <w:i/>
          <w:iCs/>
          <w:color w:val="222222"/>
          <w:sz w:val="20"/>
          <w:szCs w:val="20"/>
          <w:shd w:val="clear" w:color="auto" w:fill="FFFFFF"/>
        </w:rPr>
        <w:t>Advances in business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(1), 50-62.</w:t>
      </w:r>
    </w:p>
    <w:p>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Sevier, L. A. (2003). </w:t>
      </w:r>
      <w:r>
        <w:rPr>
          <w:rFonts w:ascii="Times New Roman" w:hAnsi="Times New Roman" w:cs="Times New Roman"/>
          <w:i/>
          <w:iCs/>
          <w:color w:val="222222"/>
          <w:sz w:val="24"/>
          <w:szCs w:val="24"/>
          <w:shd w:val="clear" w:color="auto" w:fill="FFFFFF"/>
        </w:rPr>
        <w:t>The contemporary manager: Exploring female and male leadership styles</w:t>
      </w:r>
      <w:r>
        <w:rPr>
          <w:rFonts w:ascii="Times New Roman" w:hAnsi="Times New Roman" w:cs="Times New Roman"/>
          <w:color w:val="222222"/>
          <w:sz w:val="24"/>
          <w:szCs w:val="24"/>
          <w:shd w:val="clear" w:color="auto" w:fill="FFFFFF"/>
        </w:rPr>
        <w:t>. East Tennessee State University.</w:t>
      </w:r>
    </w:p>
    <w:p>
      <w:pPr>
        <w:ind w:left="720" w:hanging="720"/>
        <w:rPr>
          <w:rFonts w:ascii="Times New Roman" w:hAnsi="Times New Roman" w:cs="Times New Roman"/>
          <w:color w:val="222222"/>
          <w:sz w:val="24"/>
          <w:szCs w:val="24"/>
          <w:shd w:val="clear" w:color="auto" w:fill="FFFFFF"/>
        </w:rPr>
      </w:pPr>
      <w:r>
        <w:rPr>
          <w:rFonts w:ascii="Arial" w:hAnsi="Arial" w:cs="Arial"/>
          <w:color w:val="222222"/>
          <w:sz w:val="20"/>
          <w:szCs w:val="20"/>
          <w:shd w:val="clear" w:color="auto" w:fill="FFFFFF"/>
        </w:rPr>
        <w:t>Stone, A. G., Russell, R. F., &amp; Patterson, K. (2004). Transformational versus servant leadership: A difference in leader focus. </w:t>
      </w:r>
      <w:r>
        <w:rPr>
          <w:rFonts w:ascii="Arial" w:hAnsi="Arial" w:cs="Arial"/>
          <w:i/>
          <w:iCs/>
          <w:color w:val="222222"/>
          <w:sz w:val="20"/>
          <w:szCs w:val="20"/>
          <w:shd w:val="clear" w:color="auto" w:fill="FFFFFF"/>
        </w:rPr>
        <w:t>Leadership &amp; organization development journal</w:t>
      </w:r>
      <w:r>
        <w:rPr>
          <w:rFonts w:ascii="Arial" w:hAnsi="Arial" w:cs="Arial"/>
          <w:color w:val="222222"/>
          <w:sz w:val="20"/>
          <w:szCs w:val="20"/>
          <w:shd w:val="clear" w:color="auto" w:fill="FFFFFF"/>
        </w:rPr>
        <w:t>.</w:t>
      </w:r>
    </w:p>
    <w:p>
      <w:pPr>
        <w:ind w:left="720" w:hanging="720"/>
        <w:rPr>
          <w:rFonts w:ascii="Times New Roman" w:hAnsi="Times New Roman" w:cs="Times New Roman"/>
          <w:sz w:val="24"/>
          <w:szCs w:val="24"/>
        </w:rPr>
      </w:pPr>
      <w:r>
        <w:rPr>
          <w:rFonts w:ascii="Times New Roman" w:hAnsi="Times New Roman" w:cs="Times New Roman"/>
          <w:color w:val="222222"/>
          <w:sz w:val="24"/>
          <w:szCs w:val="24"/>
          <w:shd w:val="clear" w:color="auto" w:fill="FFFFFF"/>
        </w:rPr>
        <w:t>Taylor, F. W. (2004). </w:t>
      </w:r>
      <w:r>
        <w:rPr>
          <w:rFonts w:ascii="Times New Roman" w:hAnsi="Times New Roman" w:cs="Times New Roman"/>
          <w:i/>
          <w:iCs/>
          <w:color w:val="222222"/>
          <w:sz w:val="24"/>
          <w:szCs w:val="24"/>
          <w:shd w:val="clear" w:color="auto" w:fill="FFFFFF"/>
        </w:rPr>
        <w:t>Scientific management</w:t>
      </w:r>
      <w:r>
        <w:rPr>
          <w:rFonts w:ascii="Times New Roman" w:hAnsi="Times New Roman" w:cs="Times New Roman"/>
          <w:color w:val="222222"/>
          <w:sz w:val="24"/>
          <w:szCs w:val="24"/>
          <w:shd w:val="clear" w:color="auto" w:fill="FFFFFF"/>
        </w:rPr>
        <w:t>. Routledge.</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Toms, S., &amp; Zhang, Q. (2016). Marks &amp; Spencer and the decline of the British textile Industry, 1950–2000. </w:t>
      </w:r>
      <w:r>
        <w:rPr>
          <w:rFonts w:ascii="Times New Roman" w:hAnsi="Times New Roman" w:cs="Times New Roman"/>
          <w:i/>
          <w:iCs/>
          <w:color w:val="222222"/>
          <w:sz w:val="24"/>
          <w:szCs w:val="24"/>
          <w:shd w:val="clear" w:color="auto" w:fill="FFFFFF"/>
        </w:rPr>
        <w:t>Business history review</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90</w:t>
      </w:r>
      <w:r>
        <w:rPr>
          <w:rFonts w:ascii="Times New Roman" w:hAnsi="Times New Roman" w:cs="Times New Roman"/>
          <w:color w:val="222222"/>
          <w:sz w:val="24"/>
          <w:szCs w:val="24"/>
          <w:shd w:val="clear" w:color="auto" w:fill="FFFFFF"/>
        </w:rPr>
        <w:t>(1), 3-30.</w:t>
      </w:r>
    </w:p>
    <w:p>
      <w:pPr>
        <w:spacing w:line="480" w:lineRule="auto"/>
        <w:ind w:left="720" w:hanging="720"/>
        <w:rPr>
          <w:rFonts w:ascii="Times New Roman" w:hAnsi="Times New Roman" w:cs="Times New Roman"/>
          <w:sz w:val="24"/>
          <w:szCs w:val="24"/>
        </w:rPr>
      </w:pPr>
      <w:r>
        <w:rPr>
          <w:rFonts w:ascii="Times New Roman" w:hAnsi="Times New Roman" w:cs="Times New Roman"/>
          <w:color w:val="222222"/>
          <w:sz w:val="24"/>
          <w:szCs w:val="24"/>
          <w:shd w:val="clear" w:color="auto" w:fill="FFFFFF"/>
        </w:rPr>
        <w:t>Wolk, J. L., Sullivan, W. P., &amp; Hartmann, D. J. (1994). The managerial nature of case management. </w:t>
      </w:r>
      <w:r>
        <w:rPr>
          <w:rFonts w:ascii="Times New Roman" w:hAnsi="Times New Roman" w:cs="Times New Roman"/>
          <w:i/>
          <w:iCs/>
          <w:color w:val="222222"/>
          <w:sz w:val="24"/>
          <w:szCs w:val="24"/>
          <w:shd w:val="clear" w:color="auto" w:fill="FFFFFF"/>
        </w:rPr>
        <w:t>Social Work</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39</w:t>
      </w:r>
      <w:r>
        <w:rPr>
          <w:rFonts w:ascii="Times New Roman" w:hAnsi="Times New Roman" w:cs="Times New Roman"/>
          <w:color w:val="222222"/>
          <w:sz w:val="24"/>
          <w:szCs w:val="24"/>
          <w:shd w:val="clear" w:color="auto" w:fill="FFFFFF"/>
        </w:rPr>
        <w:t>(2), 152-159.</w:t>
      </w: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sectPr>
      <w:head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 w:name="等线">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Segoe UI">
    <w:panose1 w:val="020B0502040204020203"/>
    <w:charset w:val="00"/>
    <w:family w:val="swiss"/>
    <w:pitch w:val="default"/>
    <w:sig w:usb0="E4002EFF" w:usb1="C000E47F" w:usb2="00000009" w:usb3="00000000" w:csb0="200001FF" w:csb1="00000000"/>
  </w:font>
  <w:font w:name="Calibri">
    <w:panose1 w:val="020F0502020204030204"/>
    <w:charset w:val="86"/>
    <w:family w:val="swiss"/>
    <w:pitch w:val="default"/>
    <w:sig w:usb0="E4002E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454178626"/>
      <w:docPartObj>
        <w:docPartGallery w:val="autotext"/>
      </w:docPartObj>
    </w:sdtPr>
    <w:sdtEndPr>
      <w:rPr>
        <w:rFonts w:ascii="Times New Roman" w:hAnsi="Times New Roman" w:cs="Times New Roman"/>
        <w:sz w:val="24"/>
        <w:szCs w:val="24"/>
      </w:rPr>
    </w:sdtEndPr>
    <w:sdtContent>
      <w:p>
        <w:pPr>
          <w:pStyle w:val="10"/>
          <w:jc w:val="right"/>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p>
    </w:sdtContent>
  </w:sdt>
  <w:p>
    <w:pPr>
      <w:pStyle w:val="1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0"/>
  <w:doNotDisplayPageBoundaries w:val="1"/>
  <w:bordersDoNotSurroundHeader w:val="1"/>
  <w:bordersDoNotSurroundFooter w:val="1"/>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mZkN2E3NjBlMTQxMTRiOWRhZTVhNjQ3YTM0MWNiNzcifQ=="/>
  </w:docVars>
  <w:rsids>
    <w:rsidRoot w:val="004516BA"/>
    <w:rsid w:val="000006E8"/>
    <w:rsid w:val="000056EA"/>
    <w:rsid w:val="00012016"/>
    <w:rsid w:val="00012826"/>
    <w:rsid w:val="00023285"/>
    <w:rsid w:val="00050937"/>
    <w:rsid w:val="00057B92"/>
    <w:rsid w:val="000605C4"/>
    <w:rsid w:val="000D0C12"/>
    <w:rsid w:val="000F5474"/>
    <w:rsid w:val="000F7999"/>
    <w:rsid w:val="00112CFD"/>
    <w:rsid w:val="0012267A"/>
    <w:rsid w:val="00140686"/>
    <w:rsid w:val="00153C99"/>
    <w:rsid w:val="001A3C47"/>
    <w:rsid w:val="001F03E4"/>
    <w:rsid w:val="001F45E4"/>
    <w:rsid w:val="002103D0"/>
    <w:rsid w:val="00230319"/>
    <w:rsid w:val="00276D65"/>
    <w:rsid w:val="00282A4A"/>
    <w:rsid w:val="002925F5"/>
    <w:rsid w:val="002973B2"/>
    <w:rsid w:val="002A126D"/>
    <w:rsid w:val="002A191C"/>
    <w:rsid w:val="002A6D88"/>
    <w:rsid w:val="002D09B6"/>
    <w:rsid w:val="002E33C2"/>
    <w:rsid w:val="002F118C"/>
    <w:rsid w:val="00387CC0"/>
    <w:rsid w:val="003A12C5"/>
    <w:rsid w:val="003A5C63"/>
    <w:rsid w:val="003B4EFB"/>
    <w:rsid w:val="003D3C87"/>
    <w:rsid w:val="004000AC"/>
    <w:rsid w:val="004516BA"/>
    <w:rsid w:val="004524DC"/>
    <w:rsid w:val="0045451B"/>
    <w:rsid w:val="00474FAB"/>
    <w:rsid w:val="0047742F"/>
    <w:rsid w:val="004A6CDA"/>
    <w:rsid w:val="004C20E1"/>
    <w:rsid w:val="004C39D0"/>
    <w:rsid w:val="004D179D"/>
    <w:rsid w:val="004D4AED"/>
    <w:rsid w:val="00516F75"/>
    <w:rsid w:val="005254AD"/>
    <w:rsid w:val="00533597"/>
    <w:rsid w:val="005573F2"/>
    <w:rsid w:val="005745FA"/>
    <w:rsid w:val="005978D8"/>
    <w:rsid w:val="005B503C"/>
    <w:rsid w:val="005D0E40"/>
    <w:rsid w:val="005F3B05"/>
    <w:rsid w:val="0060071C"/>
    <w:rsid w:val="00602233"/>
    <w:rsid w:val="006041AA"/>
    <w:rsid w:val="00606F94"/>
    <w:rsid w:val="00643740"/>
    <w:rsid w:val="00644ED7"/>
    <w:rsid w:val="00680579"/>
    <w:rsid w:val="00684E57"/>
    <w:rsid w:val="0068685B"/>
    <w:rsid w:val="006A157D"/>
    <w:rsid w:val="006C3CC1"/>
    <w:rsid w:val="0072441B"/>
    <w:rsid w:val="00764152"/>
    <w:rsid w:val="00784029"/>
    <w:rsid w:val="007A21A7"/>
    <w:rsid w:val="007A3281"/>
    <w:rsid w:val="007C0641"/>
    <w:rsid w:val="007C2573"/>
    <w:rsid w:val="007C32D6"/>
    <w:rsid w:val="007C350B"/>
    <w:rsid w:val="007E0546"/>
    <w:rsid w:val="008048C8"/>
    <w:rsid w:val="00816B7B"/>
    <w:rsid w:val="008C4F92"/>
    <w:rsid w:val="008C7FC9"/>
    <w:rsid w:val="008D40E1"/>
    <w:rsid w:val="008D55B2"/>
    <w:rsid w:val="008E53E3"/>
    <w:rsid w:val="008E69E9"/>
    <w:rsid w:val="00921462"/>
    <w:rsid w:val="00921891"/>
    <w:rsid w:val="00923DE0"/>
    <w:rsid w:val="00923F92"/>
    <w:rsid w:val="0094401F"/>
    <w:rsid w:val="00951D12"/>
    <w:rsid w:val="009543DE"/>
    <w:rsid w:val="0096542D"/>
    <w:rsid w:val="0098648A"/>
    <w:rsid w:val="0099104E"/>
    <w:rsid w:val="009928AF"/>
    <w:rsid w:val="009C1E19"/>
    <w:rsid w:val="009E0916"/>
    <w:rsid w:val="009E3DA2"/>
    <w:rsid w:val="009E4F2E"/>
    <w:rsid w:val="00A4267D"/>
    <w:rsid w:val="00A5091E"/>
    <w:rsid w:val="00A57BD2"/>
    <w:rsid w:val="00A61844"/>
    <w:rsid w:val="00A625FB"/>
    <w:rsid w:val="00A776A6"/>
    <w:rsid w:val="00AB4461"/>
    <w:rsid w:val="00AC728F"/>
    <w:rsid w:val="00AF06A6"/>
    <w:rsid w:val="00AF6843"/>
    <w:rsid w:val="00B074EE"/>
    <w:rsid w:val="00B21466"/>
    <w:rsid w:val="00B27EEF"/>
    <w:rsid w:val="00B342E6"/>
    <w:rsid w:val="00B445FD"/>
    <w:rsid w:val="00B51D09"/>
    <w:rsid w:val="00B71147"/>
    <w:rsid w:val="00B87042"/>
    <w:rsid w:val="00B92F4F"/>
    <w:rsid w:val="00B9515B"/>
    <w:rsid w:val="00B95584"/>
    <w:rsid w:val="00BB47E8"/>
    <w:rsid w:val="00BC0C20"/>
    <w:rsid w:val="00BC1716"/>
    <w:rsid w:val="00BE610D"/>
    <w:rsid w:val="00C061F7"/>
    <w:rsid w:val="00C35573"/>
    <w:rsid w:val="00C42263"/>
    <w:rsid w:val="00C855D5"/>
    <w:rsid w:val="00C90FD7"/>
    <w:rsid w:val="00C97B09"/>
    <w:rsid w:val="00CA197E"/>
    <w:rsid w:val="00CA4B30"/>
    <w:rsid w:val="00CD7040"/>
    <w:rsid w:val="00D10EF8"/>
    <w:rsid w:val="00D1409F"/>
    <w:rsid w:val="00D31195"/>
    <w:rsid w:val="00D57126"/>
    <w:rsid w:val="00D609F0"/>
    <w:rsid w:val="00D710C8"/>
    <w:rsid w:val="00D763C0"/>
    <w:rsid w:val="00D93D4E"/>
    <w:rsid w:val="00DA3469"/>
    <w:rsid w:val="00DC50D3"/>
    <w:rsid w:val="00DE54A0"/>
    <w:rsid w:val="00DE78C3"/>
    <w:rsid w:val="00DF3192"/>
    <w:rsid w:val="00E01589"/>
    <w:rsid w:val="00E04A3C"/>
    <w:rsid w:val="00E07BA6"/>
    <w:rsid w:val="00E32F43"/>
    <w:rsid w:val="00E339C6"/>
    <w:rsid w:val="00E349C2"/>
    <w:rsid w:val="00E43749"/>
    <w:rsid w:val="00E509D7"/>
    <w:rsid w:val="00E57460"/>
    <w:rsid w:val="00E663AB"/>
    <w:rsid w:val="00E865FF"/>
    <w:rsid w:val="00EA563D"/>
    <w:rsid w:val="00EC4913"/>
    <w:rsid w:val="00F03ACE"/>
    <w:rsid w:val="00F062CC"/>
    <w:rsid w:val="00F32714"/>
    <w:rsid w:val="00F8566A"/>
    <w:rsid w:val="00F87F26"/>
    <w:rsid w:val="00FA64EE"/>
    <w:rsid w:val="00FB3629"/>
    <w:rsid w:val="00FE323B"/>
    <w:rsid w:val="00FE76BB"/>
    <w:rsid w:val="00FF0A6B"/>
    <w:rsid w:val="00FF147F"/>
    <w:rsid w:val="05310C2E"/>
    <w:rsid w:val="6DE16D3C"/>
    <w:rsid w:val="7C7A699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nhideWhenUsed="0"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iPriority="39"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US" w:eastAsia="en-US" w:bidi="ar-SA"/>
    </w:rPr>
  </w:style>
  <w:style w:type="paragraph" w:styleId="2">
    <w:name w:val="heading 1"/>
    <w:basedOn w:val="1"/>
    <w:next w:val="1"/>
    <w:link w:val="23"/>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24"/>
    <w:unhideWhenUsed/>
    <w:qFormat/>
    <w:uiPriority w:val="9"/>
    <w:pPr>
      <w:keepNext/>
      <w:keepLines/>
      <w:spacing w:before="40" w:after="0"/>
      <w:outlineLvl w:val="1"/>
    </w:pPr>
    <w:rPr>
      <w:rFonts w:asciiTheme="majorHAnsi" w:hAnsiTheme="majorHAnsi" w:eastAsiaTheme="majorEastAsia" w:cstheme="majorBidi"/>
      <w:color w:val="2F5597" w:themeColor="accent1" w:themeShade="BF"/>
      <w:sz w:val="26"/>
      <w:szCs w:val="26"/>
    </w:rPr>
  </w:style>
  <w:style w:type="paragraph" w:styleId="4">
    <w:name w:val="heading 3"/>
    <w:basedOn w:val="1"/>
    <w:next w:val="1"/>
    <w:link w:val="22"/>
    <w:qFormat/>
    <w:uiPriority w:val="9"/>
    <w:pPr>
      <w:spacing w:before="100" w:beforeAutospacing="1" w:after="100" w:afterAutospacing="1" w:line="240" w:lineRule="auto"/>
      <w:outlineLvl w:val="2"/>
    </w:pPr>
    <w:rPr>
      <w:rFonts w:ascii="Times New Roman" w:hAnsi="Times New Roman" w:eastAsia="Times New Roman" w:cs="Times New Roman"/>
      <w:b/>
      <w:bCs/>
      <w:sz w:val="27"/>
      <w:szCs w:val="27"/>
    </w:rPr>
  </w:style>
  <w:style w:type="paragraph" w:styleId="5">
    <w:name w:val="heading 4"/>
    <w:basedOn w:val="1"/>
    <w:next w:val="1"/>
    <w:link w:val="25"/>
    <w:unhideWhenUsed/>
    <w:qFormat/>
    <w:uiPriority w:val="9"/>
    <w:pPr>
      <w:keepNext/>
      <w:keepLines/>
      <w:spacing w:before="40" w:after="0"/>
      <w:outlineLvl w:val="3"/>
    </w:pPr>
    <w:rPr>
      <w:rFonts w:asciiTheme="majorHAnsi" w:hAnsiTheme="majorHAnsi" w:eastAsiaTheme="majorEastAsia" w:cstheme="majorBidi"/>
      <w:i/>
      <w:iCs/>
      <w:color w:val="2F5597" w:themeColor="accent1" w:themeShade="BF"/>
    </w:rPr>
  </w:style>
  <w:style w:type="character" w:default="1" w:styleId="15">
    <w:name w:val="Default Paragraph Font"/>
    <w:semiHidden/>
    <w:unhideWhenUsed/>
    <w:uiPriority w:val="1"/>
  </w:style>
  <w:style w:type="table" w:default="1" w:styleId="14">
    <w:name w:val="Normal Table"/>
    <w:semiHidden/>
    <w:unhideWhenUsed/>
    <w:uiPriority w:val="99"/>
    <w:tblPr>
      <w:tblCellMar>
        <w:top w:w="0" w:type="dxa"/>
        <w:left w:w="108" w:type="dxa"/>
        <w:bottom w:w="0" w:type="dxa"/>
        <w:right w:w="108" w:type="dxa"/>
      </w:tblCellMar>
    </w:tblPr>
  </w:style>
  <w:style w:type="paragraph" w:styleId="6">
    <w:name w:val="annotation text"/>
    <w:basedOn w:val="1"/>
    <w:link w:val="27"/>
    <w:semiHidden/>
    <w:unhideWhenUsed/>
    <w:uiPriority w:val="99"/>
    <w:pPr>
      <w:spacing w:line="240" w:lineRule="auto"/>
    </w:pPr>
    <w:rPr>
      <w:sz w:val="20"/>
      <w:szCs w:val="20"/>
    </w:rPr>
  </w:style>
  <w:style w:type="paragraph" w:styleId="7">
    <w:name w:val="toc 3"/>
    <w:basedOn w:val="1"/>
    <w:next w:val="1"/>
    <w:unhideWhenUsed/>
    <w:qFormat/>
    <w:uiPriority w:val="39"/>
    <w:pPr>
      <w:spacing w:after="100"/>
      <w:ind w:left="440"/>
    </w:pPr>
  </w:style>
  <w:style w:type="paragraph" w:styleId="8">
    <w:name w:val="Balloon Text"/>
    <w:basedOn w:val="1"/>
    <w:link w:val="29"/>
    <w:semiHidden/>
    <w:unhideWhenUsed/>
    <w:uiPriority w:val="99"/>
    <w:pPr>
      <w:spacing w:after="0" w:line="240" w:lineRule="auto"/>
    </w:pPr>
    <w:rPr>
      <w:rFonts w:ascii="Segoe UI" w:hAnsi="Segoe UI" w:cs="Segoe UI"/>
      <w:sz w:val="18"/>
      <w:szCs w:val="18"/>
    </w:rPr>
  </w:style>
  <w:style w:type="paragraph" w:styleId="9">
    <w:name w:val="footer"/>
    <w:basedOn w:val="1"/>
    <w:link w:val="21"/>
    <w:unhideWhenUsed/>
    <w:qFormat/>
    <w:uiPriority w:val="99"/>
    <w:pPr>
      <w:tabs>
        <w:tab w:val="center" w:pos="4680"/>
        <w:tab w:val="right" w:pos="9360"/>
      </w:tabs>
      <w:spacing w:after="0" w:line="240" w:lineRule="auto"/>
    </w:pPr>
  </w:style>
  <w:style w:type="paragraph" w:styleId="10">
    <w:name w:val="header"/>
    <w:basedOn w:val="1"/>
    <w:link w:val="20"/>
    <w:unhideWhenUsed/>
    <w:uiPriority w:val="99"/>
    <w:pPr>
      <w:tabs>
        <w:tab w:val="center" w:pos="4680"/>
        <w:tab w:val="right" w:pos="9360"/>
      </w:tabs>
      <w:spacing w:after="0" w:line="240" w:lineRule="auto"/>
    </w:pPr>
  </w:style>
  <w:style w:type="paragraph" w:styleId="11">
    <w:name w:val="toc 1"/>
    <w:basedOn w:val="1"/>
    <w:next w:val="1"/>
    <w:unhideWhenUsed/>
    <w:uiPriority w:val="39"/>
    <w:pPr>
      <w:spacing w:after="100"/>
    </w:pPr>
  </w:style>
  <w:style w:type="paragraph" w:styleId="12">
    <w:name w:val="toc 2"/>
    <w:basedOn w:val="1"/>
    <w:next w:val="1"/>
    <w:unhideWhenUsed/>
    <w:uiPriority w:val="39"/>
    <w:pPr>
      <w:spacing w:after="100"/>
      <w:ind w:left="220"/>
    </w:pPr>
  </w:style>
  <w:style w:type="paragraph" w:styleId="13">
    <w:name w:val="annotation subject"/>
    <w:basedOn w:val="6"/>
    <w:next w:val="6"/>
    <w:link w:val="28"/>
    <w:semiHidden/>
    <w:unhideWhenUsed/>
    <w:uiPriority w:val="99"/>
    <w:rPr>
      <w:b/>
      <w:bCs/>
    </w:rPr>
  </w:style>
  <w:style w:type="character" w:styleId="16">
    <w:name w:val="Emphasis"/>
    <w:basedOn w:val="15"/>
    <w:qFormat/>
    <w:uiPriority w:val="20"/>
    <w:rPr>
      <w:i/>
      <w:iCs/>
    </w:rPr>
  </w:style>
  <w:style w:type="character" w:styleId="17">
    <w:name w:val="Hyperlink"/>
    <w:basedOn w:val="15"/>
    <w:unhideWhenUsed/>
    <w:qFormat/>
    <w:uiPriority w:val="99"/>
    <w:rPr>
      <w:color w:val="0563C1" w:themeColor="hyperlink"/>
      <w:u w:val="single"/>
      <w14:textFill>
        <w14:solidFill>
          <w14:schemeClr w14:val="hlink"/>
        </w14:solidFill>
      </w14:textFill>
    </w:rPr>
  </w:style>
  <w:style w:type="character" w:styleId="18">
    <w:name w:val="annotation reference"/>
    <w:basedOn w:val="15"/>
    <w:semiHidden/>
    <w:unhideWhenUsed/>
    <w:uiPriority w:val="99"/>
    <w:rPr>
      <w:sz w:val="16"/>
      <w:szCs w:val="16"/>
    </w:rPr>
  </w:style>
  <w:style w:type="paragraph" w:styleId="19">
    <w:name w:val="List Paragraph"/>
    <w:basedOn w:val="1"/>
    <w:qFormat/>
    <w:uiPriority w:val="34"/>
    <w:pPr>
      <w:ind w:left="720"/>
      <w:contextualSpacing/>
    </w:pPr>
  </w:style>
  <w:style w:type="character" w:customStyle="1" w:styleId="20">
    <w:name w:val="Header Char"/>
    <w:basedOn w:val="15"/>
    <w:link w:val="10"/>
    <w:uiPriority w:val="99"/>
  </w:style>
  <w:style w:type="character" w:customStyle="1" w:styleId="21">
    <w:name w:val="Footer Char"/>
    <w:basedOn w:val="15"/>
    <w:link w:val="9"/>
    <w:qFormat/>
    <w:uiPriority w:val="99"/>
  </w:style>
  <w:style w:type="character" w:customStyle="1" w:styleId="22">
    <w:name w:val="Heading 3 Char"/>
    <w:basedOn w:val="15"/>
    <w:link w:val="4"/>
    <w:uiPriority w:val="9"/>
    <w:rPr>
      <w:rFonts w:ascii="Times New Roman" w:hAnsi="Times New Roman" w:eastAsia="Times New Roman" w:cs="Times New Roman"/>
      <w:b/>
      <w:bCs/>
      <w:sz w:val="27"/>
      <w:szCs w:val="27"/>
    </w:rPr>
  </w:style>
  <w:style w:type="character" w:customStyle="1" w:styleId="23">
    <w:name w:val="Heading 1 Char"/>
    <w:basedOn w:val="15"/>
    <w:link w:val="2"/>
    <w:qFormat/>
    <w:uiPriority w:val="9"/>
    <w:rPr>
      <w:rFonts w:asciiTheme="majorHAnsi" w:hAnsiTheme="majorHAnsi" w:eastAsiaTheme="majorEastAsia" w:cstheme="majorBidi"/>
      <w:color w:val="2F5597" w:themeColor="accent1" w:themeShade="BF"/>
      <w:sz w:val="32"/>
      <w:szCs w:val="32"/>
    </w:rPr>
  </w:style>
  <w:style w:type="character" w:customStyle="1" w:styleId="24">
    <w:name w:val="Heading 2 Char"/>
    <w:basedOn w:val="15"/>
    <w:link w:val="3"/>
    <w:qFormat/>
    <w:uiPriority w:val="9"/>
    <w:rPr>
      <w:rFonts w:asciiTheme="majorHAnsi" w:hAnsiTheme="majorHAnsi" w:eastAsiaTheme="majorEastAsia" w:cstheme="majorBidi"/>
      <w:color w:val="2F5597" w:themeColor="accent1" w:themeShade="BF"/>
      <w:sz w:val="26"/>
      <w:szCs w:val="26"/>
    </w:rPr>
  </w:style>
  <w:style w:type="character" w:customStyle="1" w:styleId="25">
    <w:name w:val="Heading 4 Char"/>
    <w:basedOn w:val="15"/>
    <w:link w:val="5"/>
    <w:uiPriority w:val="9"/>
    <w:rPr>
      <w:rFonts w:asciiTheme="majorHAnsi" w:hAnsiTheme="majorHAnsi" w:eastAsiaTheme="majorEastAsia" w:cstheme="majorBidi"/>
      <w:i/>
      <w:iCs/>
      <w:color w:val="2F5597" w:themeColor="accent1" w:themeShade="BF"/>
    </w:rPr>
  </w:style>
  <w:style w:type="paragraph" w:customStyle="1" w:styleId="26">
    <w:name w:val="TOC Heading1"/>
    <w:basedOn w:val="2"/>
    <w:next w:val="1"/>
    <w:unhideWhenUsed/>
    <w:qFormat/>
    <w:uiPriority w:val="39"/>
    <w:pPr>
      <w:outlineLvl w:val="9"/>
    </w:pPr>
  </w:style>
  <w:style w:type="character" w:customStyle="1" w:styleId="27">
    <w:name w:val="Comment Text Char"/>
    <w:basedOn w:val="15"/>
    <w:link w:val="6"/>
    <w:semiHidden/>
    <w:uiPriority w:val="99"/>
    <w:rPr>
      <w:lang w:val="en-US" w:eastAsia="en-US"/>
    </w:rPr>
  </w:style>
  <w:style w:type="character" w:customStyle="1" w:styleId="28">
    <w:name w:val="Comment Subject Char"/>
    <w:basedOn w:val="27"/>
    <w:link w:val="13"/>
    <w:semiHidden/>
    <w:uiPriority w:val="99"/>
    <w:rPr>
      <w:b/>
      <w:bCs/>
      <w:lang w:val="en-US" w:eastAsia="en-US"/>
    </w:rPr>
  </w:style>
  <w:style w:type="character" w:customStyle="1" w:styleId="29">
    <w:name w:val="Balloon Text Char"/>
    <w:basedOn w:val="15"/>
    <w:link w:val="8"/>
    <w:semiHidden/>
    <w:uiPriority w:val="99"/>
    <w:rPr>
      <w:rFonts w:ascii="Segoe UI" w:hAnsi="Segoe UI" w:cs="Segoe UI"/>
      <w:sz w:val="18"/>
      <w:szCs w:val="18"/>
      <w:lang w:val="en-US" w:eastAsia="en-US"/>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AB7509-6A04-43BA-A131-D4AFBA12A73A}">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19</Pages>
  <Words>3925</Words>
  <Characters>23072</Characters>
  <Lines>198</Lines>
  <Paragraphs>55</Paragraphs>
  <TotalTime>5</TotalTime>
  <ScaleCrop>false</ScaleCrop>
  <LinksUpToDate>false</LinksUpToDate>
  <CharactersWithSpaces>27003</CharactersWithSpaces>
  <Application>WPS Office_11.1.0.12763_F1E327BC-269C-435d-A152-05C5408002CA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2022-11-09T13:49:00Z</dcterms:created>
  <dc:creator>comments</dc:creator>
  <cp:lastModifiedBy>Jimmy</cp:lastModifiedBy>
  <dcterms:modified xsi:type="dcterms:W3CDTF">2022-11-10T04:04:47Z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d6d7da60-00de-4159-a403-b27abc87ffcd</vt:lpwstr>
  </property>
  <property fmtid="{D5CDD505-2E9C-101B-9397-08002B2CF9AE}" pid="3" name="KSOProductBuildVer">
    <vt:lpwstr>2052-11.1.0.12763</vt:lpwstr>
  </property>
  <property fmtid="{D5CDD505-2E9C-101B-9397-08002B2CF9AE}" pid="4" name="ICV">
    <vt:lpwstr>8AD43C362B3E42D288EF90B7C65C05CB</vt:lpwstr>
  </property>
</Properties>
</file>