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E00849F" w:rsidR="00986B43" w:rsidRPr="00C91ADB" w:rsidRDefault="00986B43" w:rsidP="005D3F07">
            <w:pPr>
              <w:overflowPunct/>
              <w:autoSpaceDE/>
              <w:autoSpaceDN/>
              <w:adjustRightInd/>
              <w:ind w:right="-957"/>
              <w:textAlignment w:val="auto"/>
              <w:rPr>
                <w:rFonts w:ascii="Times New Roman" w:hAnsi="Times New Roman" w:cs="Times New Roman"/>
                <w:b/>
                <w:color w:val="auto"/>
                <w:sz w:val="40"/>
                <w:szCs w:val="40"/>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91ADB">
              <w:rPr>
                <w:rFonts w:ascii="Times New Roman" w:hAnsi="Times New Roman" w:cs="Times New Roman"/>
                <w:b/>
                <w:color w:val="auto"/>
                <w:sz w:val="40"/>
                <w:szCs w:val="40"/>
              </w:rPr>
              <w:t>Michelle Workman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A3A6E25" w:rsidR="009C337F" w:rsidRPr="00C91ADB" w:rsidRDefault="009C337F" w:rsidP="005D3F07">
            <w:pPr>
              <w:overflowPunct/>
              <w:autoSpaceDE/>
              <w:autoSpaceDN/>
              <w:adjustRightInd/>
              <w:ind w:right="-957"/>
              <w:textAlignment w:val="auto"/>
              <w:rPr>
                <w:rFonts w:ascii="Times New Roman" w:hAnsi="Times New Roman" w:cs="Times New Roman"/>
                <w:b/>
                <w:color w:val="auto"/>
                <w:sz w:val="40"/>
                <w:szCs w:val="40"/>
              </w:rPr>
            </w:pPr>
            <w:r>
              <w:rPr>
                <w:rFonts w:ascii="Times New Roman" w:hAnsi="Times New Roman" w:cs="Times New Roman"/>
                <w:b/>
                <w:color w:val="auto"/>
                <w:sz w:val="48"/>
              </w:rPr>
              <w:t>Email address:</w:t>
            </w:r>
            <w:r w:rsidR="00C91ADB">
              <w:rPr>
                <w:rFonts w:ascii="Times New Roman" w:hAnsi="Times New Roman" w:cs="Times New Roman"/>
                <w:b/>
                <w:color w:val="auto"/>
                <w:sz w:val="48"/>
              </w:rPr>
              <w:t xml:space="preserve"> </w:t>
            </w:r>
            <w:r w:rsidR="00C91ADB">
              <w:rPr>
                <w:rFonts w:ascii="Times New Roman" w:hAnsi="Times New Roman" w:cs="Times New Roman"/>
                <w:b/>
                <w:color w:val="auto"/>
                <w:sz w:val="40"/>
                <w:szCs w:val="40"/>
              </w:rPr>
              <w:t>workman132@gmail.com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96A645D" w14:textId="7415CE98" w:rsidR="00C91ADB" w:rsidRPr="005D3F07" w:rsidRDefault="00C91ADB"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1451804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35D8559F" w14:textId="77777777" w:rsidR="00C91ADB" w:rsidRDefault="00C91ADB" w:rsidP="00FF7EBB">
            <w:pPr>
              <w:jc w:val="both"/>
              <w:rPr>
                <w:sz w:val="24"/>
                <w:szCs w:val="24"/>
              </w:rPr>
            </w:pPr>
          </w:p>
          <w:p w14:paraId="62C4FB53" w14:textId="77777777" w:rsidR="00C91ADB" w:rsidRPr="00C91ADB" w:rsidRDefault="00C91ADB" w:rsidP="00C91ADB">
            <w:pPr>
              <w:spacing w:line="360" w:lineRule="auto"/>
              <w:rPr>
                <w:sz w:val="24"/>
                <w:szCs w:val="24"/>
              </w:rPr>
            </w:pPr>
            <w:r w:rsidRPr="00C91ADB">
              <w:rPr>
                <w:sz w:val="24"/>
                <w:szCs w:val="24"/>
              </w:rPr>
              <w:t xml:space="preserve">As a social worker in adult safeguarding, I will be focusing on developing my understanding of child safeguarding in Wales. It has highlighted both similarities and differences in the two areas of practice. Children’s safeguarding and its legislative framework promote children’s rights, protects them from harm and places duties on agencies to work together to safeguard their welfare. </w:t>
            </w:r>
          </w:p>
          <w:p w14:paraId="39EA8368" w14:textId="235B4235" w:rsidR="00C91ADB" w:rsidRPr="00C91ADB" w:rsidRDefault="00BA1D57" w:rsidP="00C91ADB">
            <w:pPr>
              <w:spacing w:line="360" w:lineRule="auto"/>
              <w:rPr>
                <w:sz w:val="24"/>
                <w:szCs w:val="24"/>
              </w:rPr>
            </w:pPr>
            <w:r>
              <w:rPr>
                <w:sz w:val="24"/>
                <w:szCs w:val="24"/>
              </w:rPr>
              <w:t>Council of Europe (1950)</w:t>
            </w:r>
            <w:r w:rsidR="00AA7210">
              <w:rPr>
                <w:sz w:val="24"/>
                <w:szCs w:val="24"/>
              </w:rPr>
              <w:t xml:space="preserve"> European Convention on Human Rights. Strasbourg; Council of Europe</w:t>
            </w:r>
            <w:r w:rsidR="00C91ADB" w:rsidRPr="00C91ADB">
              <w:rPr>
                <w:sz w:val="24"/>
                <w:szCs w:val="24"/>
              </w:rPr>
              <w:t>, establishes fundamental rights including the right to life, protection from inhuman or degrading treatment, respect for private and family life and the right to a fair hearing. These became enforceable in UK law through the Human Rights Act 1998, to act in a way that is compatible with convention rights. This legislation is relevant to safeguarding practice and ensures that decisions made about children balance protection, welfare an individual rights. (Equality and Human Rights Commission, 2023).</w:t>
            </w:r>
          </w:p>
          <w:p w14:paraId="74C007F7" w14:textId="77777777" w:rsidR="00C91ADB" w:rsidRPr="00C91ADB" w:rsidRDefault="00C91ADB" w:rsidP="00C91ADB">
            <w:pPr>
              <w:spacing w:line="360" w:lineRule="auto"/>
              <w:rPr>
                <w:sz w:val="24"/>
                <w:szCs w:val="24"/>
              </w:rPr>
            </w:pPr>
            <w:r w:rsidRPr="00C91ADB">
              <w:rPr>
                <w:sz w:val="24"/>
                <w:szCs w:val="24"/>
              </w:rPr>
              <w:t>United Nations Convention on Rights of the Child (UNCRC) 1989, protects the child’s rights to protection, participation and provision. In Wales these principles were strengthened through Rights of Children and Young Persons (Wales) Measure 2011, Which places a duty on Welsh Ministers to have due regard to the UNCRC when developing policy and making decisions (Welsh Government, 2024).</w:t>
            </w:r>
          </w:p>
          <w:p w14:paraId="05FE911C" w14:textId="3EFB908C" w:rsidR="00C91ADB" w:rsidRPr="00C91ADB" w:rsidRDefault="00C91ADB" w:rsidP="00C91ADB">
            <w:pPr>
              <w:spacing w:line="360" w:lineRule="auto"/>
              <w:rPr>
                <w:sz w:val="24"/>
                <w:szCs w:val="24"/>
              </w:rPr>
            </w:pPr>
            <w:r w:rsidRPr="00C91ADB">
              <w:rPr>
                <w:sz w:val="24"/>
                <w:szCs w:val="24"/>
              </w:rPr>
              <w:lastRenderedPageBreak/>
              <w:t>However, what I have learnt is the cornerstone of child protection legislation sits with the Children’s Act 1989 (CA1989). The principle that the child’s welfare is paramount and introduced safeguarding duties. For example, Section 31 (CA1989), introduces the concept of “Significant Harm” which is the threshold for child protection intervention, while Section 47 (CA1989) places duty on local authorities to make enquiries where they have reasonable cause to suspect that a child is suffering, or is likely to suffer, significant harm</w:t>
            </w:r>
            <w:r w:rsidR="00E04102">
              <w:rPr>
                <w:sz w:val="24"/>
                <w:szCs w:val="24"/>
              </w:rPr>
              <w:t xml:space="preserve">. </w:t>
            </w:r>
            <w:r w:rsidRPr="00C91ADB">
              <w:rPr>
                <w:sz w:val="24"/>
                <w:szCs w:val="24"/>
              </w:rPr>
              <w:t xml:space="preserve">The Children’s Act 2004 strengthened multi-agency working </w:t>
            </w:r>
            <w:proofErr w:type="gramStart"/>
            <w:r w:rsidRPr="00C91ADB">
              <w:rPr>
                <w:sz w:val="24"/>
                <w:szCs w:val="24"/>
              </w:rPr>
              <w:t>as a result of</w:t>
            </w:r>
            <w:proofErr w:type="gramEnd"/>
            <w:r w:rsidRPr="00C91ADB">
              <w:rPr>
                <w:sz w:val="24"/>
                <w:szCs w:val="24"/>
              </w:rPr>
              <w:t xml:space="preserve"> lessons learned from serios child abuse cases. In Wales, Section 25 places a duty on agencies to cooperate to improve children’s wellbeing, while Sections 31-34 relate to the establishment and functions of local safeguarding children’s boards. </w:t>
            </w:r>
          </w:p>
          <w:p w14:paraId="121194C0" w14:textId="77777777" w:rsidR="00C91ADB" w:rsidRPr="00C91ADB" w:rsidRDefault="00C91ADB" w:rsidP="00C91ADB">
            <w:pPr>
              <w:spacing w:line="360" w:lineRule="auto"/>
              <w:rPr>
                <w:sz w:val="24"/>
                <w:szCs w:val="24"/>
              </w:rPr>
            </w:pPr>
          </w:p>
          <w:p w14:paraId="4784385B" w14:textId="3B8FBB1E" w:rsidR="00C91ADB" w:rsidRDefault="00C91ADB" w:rsidP="00C91ADB">
            <w:pPr>
              <w:spacing w:line="360" w:lineRule="auto"/>
              <w:rPr>
                <w:sz w:val="24"/>
                <w:szCs w:val="24"/>
              </w:rPr>
            </w:pPr>
            <w:r w:rsidRPr="00C91ADB">
              <w:rPr>
                <w:sz w:val="24"/>
                <w:szCs w:val="24"/>
              </w:rPr>
              <w:t>The Social Services and Wellbeing (Wales) Act 2014 (SSWBA14) is the main legislation underpinning the safeguarding practice in Wales, promoting wellbeing, prevention and partnership working. Section 130 (SSWBA14) places a duty on relevant partners to report children at risk it also defines a child at risk as “A child who has care and support needs and is experiencing, or is at risk of, abuse, neglect or other forms of harm</w:t>
            </w:r>
            <w:r w:rsidR="007A3262">
              <w:rPr>
                <w:sz w:val="24"/>
                <w:szCs w:val="24"/>
              </w:rPr>
              <w:t>.</w:t>
            </w:r>
          </w:p>
          <w:p w14:paraId="6B071CF7" w14:textId="77777777" w:rsidR="007A3262" w:rsidRPr="00C91ADB" w:rsidRDefault="007A3262" w:rsidP="00C91ADB">
            <w:pPr>
              <w:spacing w:line="360" w:lineRule="auto"/>
              <w:rPr>
                <w:sz w:val="24"/>
                <w:szCs w:val="24"/>
              </w:rPr>
            </w:pPr>
          </w:p>
          <w:p w14:paraId="3672D426" w14:textId="77777777" w:rsidR="00C91ADB" w:rsidRPr="00C91ADB" w:rsidRDefault="00C91ADB" w:rsidP="00C91ADB">
            <w:pPr>
              <w:spacing w:line="360" w:lineRule="auto"/>
              <w:rPr>
                <w:sz w:val="24"/>
                <w:szCs w:val="24"/>
              </w:rPr>
            </w:pPr>
            <w:r w:rsidRPr="00C91ADB">
              <w:rPr>
                <w:sz w:val="24"/>
                <w:szCs w:val="24"/>
              </w:rPr>
              <w:t xml:space="preserve">Safeguarding practice is supported by Wales Safeguarding Procedures (2019) providing clear guidance to practitioners on responding to safeguarding concerns, making referrals and working together to protect children. It is clear safeguarding is everyone’s responsibility, as documented in adults safeguarding procedures, and relies on effective communication between agencies. </w:t>
            </w:r>
          </w:p>
          <w:p w14:paraId="6E418E84" w14:textId="77777777" w:rsidR="00C91ADB" w:rsidRPr="00C91ADB" w:rsidRDefault="00C91ADB" w:rsidP="00C91ADB">
            <w:pPr>
              <w:spacing w:line="360" w:lineRule="auto"/>
              <w:rPr>
                <w:sz w:val="24"/>
                <w:szCs w:val="24"/>
              </w:rPr>
            </w:pPr>
            <w:r w:rsidRPr="00C91ADB">
              <w:rPr>
                <w:sz w:val="24"/>
                <w:szCs w:val="24"/>
              </w:rPr>
              <w:t xml:space="preserve">The Social Care Wales Code of Professional Practice provides guidance on professional behaviour and accountability (Social Care Wales, 2017). And as in </w:t>
            </w:r>
            <w:proofErr w:type="gramStart"/>
            <w:r w:rsidRPr="00C91ADB">
              <w:rPr>
                <w:sz w:val="24"/>
                <w:szCs w:val="24"/>
              </w:rPr>
              <w:t>Adults</w:t>
            </w:r>
            <w:proofErr w:type="gramEnd"/>
            <w:r w:rsidRPr="00C91ADB">
              <w:rPr>
                <w:sz w:val="24"/>
                <w:szCs w:val="24"/>
              </w:rPr>
              <w:t xml:space="preserve"> safeguarding ins coordinated at a local level through Mid and West Wales Safeguarding Board which oversees multi-agency safeguarding activity. </w:t>
            </w:r>
          </w:p>
          <w:p w14:paraId="6405608D" w14:textId="77777777" w:rsidR="00C91ADB" w:rsidRPr="00C91ADB" w:rsidRDefault="00C91ADB" w:rsidP="00C91ADB">
            <w:pPr>
              <w:spacing w:line="360" w:lineRule="auto"/>
              <w:rPr>
                <w:sz w:val="24"/>
                <w:szCs w:val="24"/>
              </w:rPr>
            </w:pPr>
            <w:r w:rsidRPr="00C91ADB">
              <w:rPr>
                <w:sz w:val="24"/>
                <w:szCs w:val="24"/>
              </w:rPr>
              <w:t>Children’s safeguarding is not my main area of work, but understanding the legislation, policies, procedures, the similarities has helped my feel more confident in recognising concerns and taking appropriate action. It has reinforced the importance of partnership working, listening to the children’s views and ensuring that safeguarding remains everyone’s responsibility.</w:t>
            </w:r>
          </w:p>
          <w:p w14:paraId="50D1E65A" w14:textId="6806A140" w:rsidR="00C91ADB" w:rsidRDefault="00C91ADB" w:rsidP="00FF7EBB">
            <w:pPr>
              <w:jc w:val="both"/>
              <w:rPr>
                <w:sz w:val="24"/>
                <w:szCs w:val="24"/>
              </w:rPr>
            </w:pPr>
            <w:r>
              <w:rPr>
                <w:sz w:val="24"/>
                <w:szCs w:val="24"/>
              </w:rPr>
              <w:lastRenderedPageBreak/>
              <w:t>Word Count 54</w:t>
            </w:r>
            <w:r w:rsidR="00E26B95">
              <w:rPr>
                <w:sz w:val="24"/>
                <w:szCs w:val="24"/>
              </w:rPr>
              <w:t>2</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639A9390" w14:textId="77777777" w:rsidR="00C91ADB" w:rsidRDefault="00C91ADB" w:rsidP="00FC0334">
            <w:pPr>
              <w:jc w:val="both"/>
              <w:rPr>
                <w:i/>
                <w:sz w:val="24"/>
                <w:szCs w:val="24"/>
              </w:rPr>
            </w:pPr>
          </w:p>
          <w:p w14:paraId="4530B1E5" w14:textId="77777777" w:rsidR="00C91ADB" w:rsidRPr="00C91ADB" w:rsidRDefault="00C91ADB" w:rsidP="00C91ADB">
            <w:pPr>
              <w:spacing w:line="360" w:lineRule="auto"/>
              <w:rPr>
                <w:sz w:val="24"/>
                <w:szCs w:val="24"/>
              </w:rPr>
            </w:pPr>
            <w:r w:rsidRPr="00C91ADB">
              <w:rPr>
                <w:sz w:val="24"/>
                <w:szCs w:val="24"/>
              </w:rPr>
              <w:t xml:space="preserve">This question really made me think about how adult and children’s safeguarding is approached with age and legal status. Both areas protect people from abuse, neglect and harm, the principles that guide practice can be different. </w:t>
            </w:r>
          </w:p>
          <w:p w14:paraId="7825776E" w14:textId="77777777" w:rsidR="00C91ADB" w:rsidRPr="00C91ADB" w:rsidRDefault="00C91ADB" w:rsidP="00C91ADB">
            <w:pPr>
              <w:spacing w:line="360" w:lineRule="auto"/>
              <w:rPr>
                <w:sz w:val="24"/>
                <w:szCs w:val="24"/>
              </w:rPr>
            </w:pPr>
            <w:r w:rsidRPr="00C91ADB">
              <w:rPr>
                <w:sz w:val="24"/>
                <w:szCs w:val="24"/>
              </w:rPr>
              <w:t xml:space="preserve">Choice, autonomy and decision-making are viewed as one of the biggest differences between children’s and adult safeguarding. In Adult’s there is a strong focus on respecting the person’s wishes and right to make their own decisions. This is closely linked to the Mental Capacity Act 2005 (MCA), which applies to people aged 16 and over where individuals must be assumed to have capacity unless there is reason to doubt. A child is defined as a person under the age of 18 Children’s Act 1989. </w:t>
            </w:r>
            <w:proofErr w:type="gramStart"/>
            <w:r w:rsidRPr="00C91ADB">
              <w:rPr>
                <w:sz w:val="24"/>
                <w:szCs w:val="24"/>
              </w:rPr>
              <w:t>So</w:t>
            </w:r>
            <w:proofErr w:type="gramEnd"/>
            <w:r w:rsidRPr="00C91ADB">
              <w:rPr>
                <w:sz w:val="24"/>
                <w:szCs w:val="24"/>
              </w:rPr>
              <w:t xml:space="preserve"> differences </w:t>
            </w:r>
            <w:proofErr w:type="gramStart"/>
            <w:r w:rsidRPr="00C91ADB">
              <w:rPr>
                <w:sz w:val="24"/>
                <w:szCs w:val="24"/>
              </w:rPr>
              <w:t>has</w:t>
            </w:r>
            <w:proofErr w:type="gramEnd"/>
            <w:r w:rsidRPr="00C91ADB">
              <w:rPr>
                <w:sz w:val="24"/>
                <w:szCs w:val="24"/>
              </w:rPr>
              <w:t xml:space="preserve"> to be defined through practice on balancing risk and choice, protection and promoting welfare. </w:t>
            </w:r>
          </w:p>
          <w:p w14:paraId="50639D9D" w14:textId="77777777" w:rsidR="00C91ADB" w:rsidRPr="00C91ADB" w:rsidRDefault="00C91ADB" w:rsidP="00C91ADB">
            <w:pPr>
              <w:spacing w:line="360" w:lineRule="auto"/>
              <w:rPr>
                <w:sz w:val="24"/>
                <w:szCs w:val="24"/>
              </w:rPr>
            </w:pPr>
            <w:r w:rsidRPr="00C91ADB">
              <w:rPr>
                <w:sz w:val="24"/>
                <w:szCs w:val="24"/>
              </w:rPr>
              <w:t xml:space="preserve">Children’s safeguarding is influenced by the United Nations Convention on Rights of the Child (UNCRC) 1989, and in Wales reinforced through Rights of Children and Young Persons (Wales) Measure 2011. While Adults have rights under the Human Rights Act 1998 safeguarding children places a greater emphasis on balancing those rights with protection and developmental needs. Children’s safeguarding can place greater emphasis on ensuring that the child’s voice is heard while recognising that professionals may need to intervene to keep them safe. Research by Munro (2011) highlighted the importance of understanding children’s lived experiences and avoiding overly process-driven responses, reinforcing the need for child-centred practice, however research on adolescent brain development also suggests that children’s decision-making skills and ability to assess risk continue to develop in adulthood (Steinberg, 2014). Children’s safeguarding cannot just mirror adult safeguarding practice. </w:t>
            </w:r>
          </w:p>
          <w:p w14:paraId="18A2642F" w14:textId="77777777" w:rsidR="00C91ADB" w:rsidRPr="00C91ADB" w:rsidRDefault="00C91ADB" w:rsidP="00C91ADB">
            <w:pPr>
              <w:spacing w:line="360" w:lineRule="auto"/>
              <w:rPr>
                <w:sz w:val="24"/>
                <w:szCs w:val="24"/>
              </w:rPr>
            </w:pPr>
            <w:r w:rsidRPr="00C91ADB">
              <w:rPr>
                <w:sz w:val="24"/>
                <w:szCs w:val="24"/>
              </w:rPr>
              <w:lastRenderedPageBreak/>
              <w:t xml:space="preserve">Children’s safeguarding often focuses on the wider family system, parenting capacity and whether the home environment is safe. However, Adult safeguarding tends to focus primarily on the individual and their desired outcomes, unless there are wider risks to others. </w:t>
            </w:r>
          </w:p>
          <w:p w14:paraId="28EA11E1" w14:textId="77777777" w:rsidR="00C91ADB" w:rsidRPr="00C91ADB" w:rsidRDefault="00C91ADB" w:rsidP="00C91ADB">
            <w:pPr>
              <w:spacing w:line="360" w:lineRule="auto"/>
              <w:rPr>
                <w:sz w:val="24"/>
                <w:szCs w:val="24"/>
              </w:rPr>
            </w:pPr>
            <w:r w:rsidRPr="00C91ADB">
              <w:rPr>
                <w:sz w:val="24"/>
                <w:szCs w:val="24"/>
              </w:rPr>
              <w:t xml:space="preserve">Professional curiosity, Partnership working, effective information sharing and recognising signs of abuse and neglect are all similarities in Adult and Children’s safeguarding. As a practitioner in this field we must all carefully listen to the individuals’ experiences and work collaboratively with others to reduce risk and improve wellbeing. </w:t>
            </w:r>
          </w:p>
          <w:p w14:paraId="36BC9E0F" w14:textId="77777777" w:rsidR="00C91ADB" w:rsidRPr="00C91ADB" w:rsidRDefault="00C91ADB" w:rsidP="00C91ADB">
            <w:pPr>
              <w:spacing w:line="360" w:lineRule="auto"/>
              <w:rPr>
                <w:sz w:val="24"/>
                <w:szCs w:val="24"/>
              </w:rPr>
            </w:pPr>
            <w:r w:rsidRPr="00C91ADB">
              <w:rPr>
                <w:sz w:val="24"/>
                <w:szCs w:val="24"/>
              </w:rPr>
              <w:t xml:space="preserve">In reflection I have understood that adult safeguarding is often centred on balancing protection with autonomy and children’s safeguarding places greater emphasis on protection and welfare. Approaches can differ but ultimately share the same goal of keeping people safe and promoting rights and responsibilities </w:t>
            </w:r>
          </w:p>
          <w:p w14:paraId="1511B0B8" w14:textId="45FB93D0" w:rsidR="00C91ADB" w:rsidRPr="00C91ADB" w:rsidRDefault="00C91ADB" w:rsidP="00FC0334">
            <w:pPr>
              <w:jc w:val="both"/>
              <w:rPr>
                <w:iCs/>
                <w:sz w:val="24"/>
                <w:szCs w:val="24"/>
              </w:rPr>
            </w:pPr>
            <w:r>
              <w:rPr>
                <w:iCs/>
                <w:sz w:val="24"/>
                <w:szCs w:val="24"/>
              </w:rPr>
              <w:t>Word Count 404</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21F39D" w14:textId="77777777" w:rsidR="007D4372" w:rsidRDefault="007D4372">
      <w:r>
        <w:separator/>
      </w:r>
    </w:p>
  </w:endnote>
  <w:endnote w:type="continuationSeparator" w:id="0">
    <w:p w14:paraId="153347CC" w14:textId="77777777" w:rsidR="007D4372" w:rsidRDefault="007D43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7653AE" w14:textId="77777777" w:rsidR="007D4372" w:rsidRDefault="007D4372">
      <w:r>
        <w:separator/>
      </w:r>
    </w:p>
  </w:footnote>
  <w:footnote w:type="continuationSeparator" w:id="0">
    <w:p w14:paraId="0135C0E6" w14:textId="77777777" w:rsidR="007D4372" w:rsidRDefault="007D43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1AB4"/>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B5975"/>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3262"/>
    <w:rsid w:val="007A628F"/>
    <w:rsid w:val="007B0DE3"/>
    <w:rsid w:val="007B1BFD"/>
    <w:rsid w:val="007B7191"/>
    <w:rsid w:val="007C1D94"/>
    <w:rsid w:val="007C556F"/>
    <w:rsid w:val="007C5ABE"/>
    <w:rsid w:val="007C6A87"/>
    <w:rsid w:val="007D0A07"/>
    <w:rsid w:val="007D0F11"/>
    <w:rsid w:val="007D133D"/>
    <w:rsid w:val="007D1E5C"/>
    <w:rsid w:val="007D3EB4"/>
    <w:rsid w:val="007D3F16"/>
    <w:rsid w:val="007D4372"/>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210"/>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2FE9"/>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1D57"/>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1ADB"/>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4102"/>
    <w:rsid w:val="00E0524C"/>
    <w:rsid w:val="00E15751"/>
    <w:rsid w:val="00E17160"/>
    <w:rsid w:val="00E17D41"/>
    <w:rsid w:val="00E231D1"/>
    <w:rsid w:val="00E26B95"/>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248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5</Pages>
  <Words>1166</Words>
  <Characters>6647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Workman, Michelle</cp:lastModifiedBy>
  <cp:revision>7</cp:revision>
  <cp:lastPrinted>2020-02-11T19:20:00Z</cp:lastPrinted>
  <dcterms:created xsi:type="dcterms:W3CDTF">2026-10-05T11:11:00Z</dcterms:created>
  <dcterms:modified xsi:type="dcterms:W3CDTF">2026-10-07T06:20:00Z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