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3" w14:textId="79917F8E" w:rsidR="00932E16" w:rsidRDefault="007147FC">
      <w:pPr>
        <w:spacing w:line="480" w:lineRule="auto"/>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 xml:space="preserve">                              </w:t>
      </w:r>
      <w:r w:rsidRPr="00A72D0A">
        <w:rPr>
          <w:noProof/>
        </w:rPr>
        <w:drawing>
          <wp:inline distT="0" distB="0" distL="0" distR="0" wp14:anchorId="2887D48C" wp14:editId="7DF1B63A">
            <wp:extent cx="3256280" cy="1081809"/>
            <wp:effectExtent l="0" t="0" r="0" b="0"/>
            <wp:docPr id="8" name="Picture 8"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00000004" w14:textId="77777777" w:rsidR="00932E16" w:rsidRDefault="00000000">
      <w:pPr>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Community Engagement</w:t>
      </w:r>
    </w:p>
    <w:p w14:paraId="00000005" w14:textId="77777777" w:rsidR="00932E16" w:rsidRDefault="00000000">
      <w:pPr>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63405F83" w14:textId="77777777" w:rsidR="007147FC" w:rsidRDefault="007147FC" w:rsidP="007147FC">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Student </w:t>
      </w:r>
      <w:proofErr w:type="spellStart"/>
      <w:proofErr w:type="gramStart"/>
      <w:r w:rsidRPr="00C967CD">
        <w:rPr>
          <w:rFonts w:ascii="Times New Roman" w:eastAsia="Times New Roman" w:hAnsi="Times New Roman" w:cs="Times New Roman"/>
          <w:sz w:val="36"/>
          <w:szCs w:val="36"/>
        </w:rPr>
        <w:t>Name:Vasilena</w:t>
      </w:r>
      <w:proofErr w:type="spellEnd"/>
      <w:proofErr w:type="gramEnd"/>
      <w:r w:rsidRPr="00C967CD">
        <w:rPr>
          <w:rFonts w:ascii="Times New Roman" w:eastAsia="Times New Roman" w:hAnsi="Times New Roman" w:cs="Times New Roman"/>
          <w:sz w:val="36"/>
          <w:szCs w:val="36"/>
        </w:rPr>
        <w:t xml:space="preserve"> </w:t>
      </w:r>
      <w:proofErr w:type="spellStart"/>
      <w:r w:rsidRPr="00C967CD">
        <w:rPr>
          <w:rFonts w:ascii="Times New Roman" w:eastAsia="Times New Roman" w:hAnsi="Times New Roman" w:cs="Times New Roman"/>
          <w:sz w:val="36"/>
          <w:szCs w:val="36"/>
        </w:rPr>
        <w:t>Mersinkova</w:t>
      </w:r>
      <w:proofErr w:type="spellEnd"/>
      <w:r w:rsidRPr="00C967CD">
        <w:rPr>
          <w:rFonts w:ascii="Times New Roman" w:eastAsia="Times New Roman" w:hAnsi="Times New Roman" w:cs="Times New Roman"/>
          <w:sz w:val="36"/>
          <w:szCs w:val="36"/>
        </w:rPr>
        <w:t xml:space="preserve"> </w:t>
      </w:r>
    </w:p>
    <w:p w14:paraId="379D1FB3" w14:textId="77777777" w:rsidR="007147FC" w:rsidRPr="00C967CD" w:rsidRDefault="007147FC" w:rsidP="007147FC">
      <w:pPr>
        <w:spacing w:line="480" w:lineRule="auto"/>
        <w:jc w:val="center"/>
        <w:rPr>
          <w:rFonts w:ascii="Times New Roman" w:eastAsia="Times New Roman" w:hAnsi="Times New Roman" w:cs="Times New Roman"/>
          <w:sz w:val="36"/>
          <w:szCs w:val="36"/>
        </w:rPr>
      </w:pPr>
    </w:p>
    <w:p w14:paraId="21D5DA37" w14:textId="77777777" w:rsidR="007147FC" w:rsidRPr="00C967CD" w:rsidRDefault="007147FC" w:rsidP="007147FC">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Student ID: 2014054</w:t>
      </w:r>
    </w:p>
    <w:p w14:paraId="24212EB3" w14:textId="77777777" w:rsidR="007147FC" w:rsidRPr="00C967CD" w:rsidRDefault="007147FC" w:rsidP="007147FC">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University of W</w:t>
      </w:r>
      <w:r>
        <w:rPr>
          <w:rFonts w:ascii="Times New Roman" w:eastAsia="Times New Roman" w:hAnsi="Times New Roman" w:cs="Times New Roman"/>
          <w:sz w:val="36"/>
          <w:szCs w:val="36"/>
        </w:rPr>
        <w:t>ale</w:t>
      </w:r>
      <w:r w:rsidRPr="00C967CD">
        <w:rPr>
          <w:rFonts w:ascii="Times New Roman" w:eastAsia="Times New Roman" w:hAnsi="Times New Roman" w:cs="Times New Roman"/>
          <w:sz w:val="36"/>
          <w:szCs w:val="36"/>
        </w:rPr>
        <w:t xml:space="preserve">s Trinity Saint David </w:t>
      </w:r>
    </w:p>
    <w:p w14:paraId="28093DC7" w14:textId="565BE22A" w:rsidR="007147FC" w:rsidRDefault="007147FC" w:rsidP="007147FC">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 xml:space="preserve">Community Engagement </w:t>
      </w:r>
    </w:p>
    <w:p w14:paraId="0593D057" w14:textId="03581E0D" w:rsidR="007147FC" w:rsidRPr="00C967CD" w:rsidRDefault="007147FC" w:rsidP="007147FC">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Module </w:t>
      </w:r>
      <w:proofErr w:type="gramStart"/>
      <w:r>
        <w:rPr>
          <w:rFonts w:ascii="Times New Roman" w:eastAsia="Times New Roman" w:hAnsi="Times New Roman" w:cs="Times New Roman"/>
          <w:sz w:val="36"/>
          <w:szCs w:val="36"/>
        </w:rPr>
        <w:t>code:LCBB</w:t>
      </w:r>
      <w:proofErr w:type="gramEnd"/>
      <w:r>
        <w:rPr>
          <w:rFonts w:ascii="Times New Roman" w:eastAsia="Times New Roman" w:hAnsi="Times New Roman" w:cs="Times New Roman"/>
          <w:sz w:val="36"/>
          <w:szCs w:val="36"/>
        </w:rPr>
        <w:t>400</w:t>
      </w:r>
      <w:r>
        <w:rPr>
          <w:rFonts w:ascii="Times New Roman" w:eastAsia="Times New Roman" w:hAnsi="Times New Roman" w:cs="Times New Roman"/>
          <w:sz w:val="36"/>
          <w:szCs w:val="36"/>
        </w:rPr>
        <w:t>2</w:t>
      </w:r>
    </w:p>
    <w:p w14:paraId="12AC534E" w14:textId="5350EEDC" w:rsidR="007147FC" w:rsidRDefault="007147FC" w:rsidP="007147FC">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proofErr w:type="spellStart"/>
      <w:r>
        <w:rPr>
          <w:rFonts w:ascii="Times New Roman" w:eastAsia="Times New Roman" w:hAnsi="Times New Roman" w:cs="Times New Roman"/>
          <w:sz w:val="36"/>
          <w:szCs w:val="36"/>
        </w:rPr>
        <w:t>Akinseye</w:t>
      </w:r>
      <w:proofErr w:type="spellEnd"/>
      <w:r>
        <w:rPr>
          <w:rFonts w:ascii="Times New Roman" w:eastAsia="Times New Roman" w:hAnsi="Times New Roman" w:cs="Times New Roman"/>
          <w:sz w:val="36"/>
          <w:szCs w:val="36"/>
        </w:rPr>
        <w:t xml:space="preserve"> Aluko</w:t>
      </w:r>
    </w:p>
    <w:p w14:paraId="78048590" w14:textId="77777777" w:rsidR="007147FC" w:rsidRDefault="007147FC" w:rsidP="007147FC">
      <w:pPr>
        <w:spacing w:line="480" w:lineRule="auto"/>
        <w:jc w:val="center"/>
        <w:rPr>
          <w:rFonts w:ascii="Times New Roman" w:eastAsia="Times New Roman" w:hAnsi="Times New Roman" w:cs="Times New Roman"/>
          <w:sz w:val="36"/>
          <w:szCs w:val="36"/>
        </w:rPr>
      </w:pPr>
    </w:p>
    <w:p w14:paraId="6084E849" w14:textId="77777777" w:rsidR="007147FC" w:rsidRPr="00C967CD" w:rsidRDefault="007147FC" w:rsidP="007147FC">
      <w:pPr>
        <w:spacing w:line="480" w:lineRule="auto"/>
        <w:jc w:val="center"/>
        <w:rPr>
          <w:rFonts w:ascii="Times New Roman" w:eastAsia="Times New Roman" w:hAnsi="Times New Roman" w:cs="Times New Roman"/>
          <w:sz w:val="36"/>
          <w:szCs w:val="36"/>
        </w:rPr>
      </w:pPr>
    </w:p>
    <w:p w14:paraId="65D025D7" w14:textId="78212F40" w:rsidR="007147FC" w:rsidRPr="00C53D6E" w:rsidRDefault="007147FC" w:rsidP="007147FC">
      <w:pPr>
        <w:pStyle w:val="ListParagraph"/>
        <w:spacing w:line="480" w:lineRule="auto"/>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 xml:space="preserve">                           </w:t>
      </w:r>
      <w:proofErr w:type="spellStart"/>
      <w:r w:rsidRPr="00C53D6E">
        <w:rPr>
          <w:rFonts w:ascii="Times New Roman" w:eastAsia="Times New Roman" w:hAnsi="Times New Roman" w:cs="Times New Roman"/>
          <w:sz w:val="36"/>
          <w:szCs w:val="36"/>
        </w:rPr>
        <w:t>Date</w:t>
      </w:r>
      <w:proofErr w:type="spellEnd"/>
      <w:r w:rsidRPr="00C53D6E">
        <w:rPr>
          <w:rFonts w:ascii="Times New Roman" w:eastAsia="Times New Roman" w:hAnsi="Times New Roman" w:cs="Times New Roman"/>
          <w:sz w:val="36"/>
          <w:szCs w:val="36"/>
          <w:lang w:val="en-GB"/>
        </w:rPr>
        <w:t xml:space="preserve">: </w:t>
      </w:r>
      <w:r>
        <w:rPr>
          <w:rFonts w:ascii="Times New Roman" w:eastAsia="Times New Roman" w:hAnsi="Times New Roman" w:cs="Times New Roman"/>
          <w:sz w:val="36"/>
          <w:szCs w:val="36"/>
          <w:lang w:val="en-GB"/>
        </w:rPr>
        <w:t>02</w:t>
      </w:r>
      <w:r>
        <w:rPr>
          <w:rFonts w:ascii="Times New Roman" w:eastAsia="Times New Roman" w:hAnsi="Times New Roman" w:cs="Times New Roman"/>
          <w:sz w:val="36"/>
          <w:szCs w:val="36"/>
          <w:lang w:val="en-GB"/>
        </w:rPr>
        <w:t>.</w:t>
      </w:r>
      <w:r>
        <w:rPr>
          <w:rFonts w:ascii="Times New Roman" w:eastAsia="Times New Roman" w:hAnsi="Times New Roman" w:cs="Times New Roman"/>
          <w:sz w:val="36"/>
          <w:szCs w:val="36"/>
          <w:lang w:val="en-GB"/>
        </w:rPr>
        <w:t>12</w:t>
      </w:r>
      <w:r>
        <w:rPr>
          <w:rFonts w:ascii="Times New Roman" w:eastAsia="Times New Roman" w:hAnsi="Times New Roman" w:cs="Times New Roman"/>
          <w:sz w:val="36"/>
          <w:szCs w:val="36"/>
          <w:lang w:val="en-GB"/>
        </w:rPr>
        <w:t>.2022</w:t>
      </w:r>
    </w:p>
    <w:p w14:paraId="00000014" w14:textId="77777777" w:rsidR="00932E16" w:rsidRDefault="00932E16">
      <w:pPr>
        <w:spacing w:line="480" w:lineRule="auto"/>
        <w:rPr>
          <w:rFonts w:ascii="Times New Roman" w:eastAsia="Times New Roman" w:hAnsi="Times New Roman" w:cs="Times New Roman"/>
          <w:sz w:val="24"/>
          <w:szCs w:val="24"/>
        </w:rPr>
      </w:pPr>
    </w:p>
    <w:p w14:paraId="00000015" w14:textId="77777777" w:rsidR="00932E16" w:rsidRDefault="00000000">
      <w:pPr>
        <w:keepNext/>
        <w:keepLines/>
        <w:pBdr>
          <w:top w:val="nil"/>
          <w:left w:val="nil"/>
          <w:bottom w:val="nil"/>
          <w:right w:val="nil"/>
          <w:between w:val="nil"/>
        </w:pBdr>
        <w:spacing w:before="240" w:after="0" w:line="480" w:lineRule="auto"/>
        <w:rPr>
          <w:rFonts w:ascii="Times New Roman" w:eastAsia="Times New Roman" w:hAnsi="Times New Roman" w:cs="Times New Roman"/>
          <w:b/>
          <w:color w:val="2E75B5"/>
          <w:sz w:val="32"/>
          <w:szCs w:val="32"/>
        </w:rPr>
      </w:pPr>
      <w:r>
        <w:rPr>
          <w:rFonts w:ascii="Times New Roman" w:eastAsia="Times New Roman" w:hAnsi="Times New Roman" w:cs="Times New Roman"/>
          <w:b/>
          <w:color w:val="2E75B5"/>
          <w:sz w:val="32"/>
          <w:szCs w:val="32"/>
        </w:rPr>
        <w:t>Table of Contents</w:t>
      </w:r>
    </w:p>
    <w:sdt>
      <w:sdtPr>
        <w:id w:val="1606624235"/>
        <w:docPartObj>
          <w:docPartGallery w:val="Table of Contents"/>
          <w:docPartUnique/>
        </w:docPartObj>
      </w:sdtPr>
      <w:sdtContent>
        <w:p w14:paraId="00000016" w14:textId="77777777" w:rsidR="00932E16" w:rsidRDefault="00000000">
          <w:pPr>
            <w:tabs>
              <w:tab w:val="right" w:pos="9025"/>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30j0zll">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_30j0zll \h </w:instrText>
          </w:r>
          <w:r>
            <w:fldChar w:fldCharType="separate"/>
          </w:r>
          <w:r>
            <w:rPr>
              <w:rFonts w:ascii="Times New Roman" w:eastAsia="Times New Roman" w:hAnsi="Times New Roman" w:cs="Times New Roman"/>
              <w:color w:val="000000"/>
              <w:sz w:val="24"/>
              <w:szCs w:val="24"/>
            </w:rPr>
            <w:t>3</w:t>
          </w:r>
          <w:r>
            <w:fldChar w:fldCharType="end"/>
          </w:r>
        </w:p>
        <w:p w14:paraId="00000017" w14:textId="77777777" w:rsidR="00932E16" w:rsidRDefault="00000000">
          <w:pPr>
            <w:tabs>
              <w:tab w:val="right" w:pos="9025"/>
            </w:tabs>
            <w:spacing w:before="200" w:line="240" w:lineRule="auto"/>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Commonwealth Games in Birmingham</w:t>
            </w:r>
          </w:hyperlink>
          <w:r>
            <w:rPr>
              <w:rFonts w:ascii="Times New Roman" w:eastAsia="Times New Roman" w:hAnsi="Times New Roman" w:cs="Times New Roman"/>
              <w:color w:val="000000"/>
              <w:sz w:val="24"/>
              <w:szCs w:val="24"/>
            </w:rPr>
            <w:tab/>
          </w:r>
          <w:r>
            <w:fldChar w:fldCharType="begin"/>
          </w:r>
          <w:r>
            <w:instrText xml:space="preserve"> PAGEREF _1fob9te \h </w:instrText>
          </w:r>
          <w:r>
            <w:fldChar w:fldCharType="separate"/>
          </w:r>
          <w:r>
            <w:rPr>
              <w:rFonts w:ascii="Times New Roman" w:eastAsia="Times New Roman" w:hAnsi="Times New Roman" w:cs="Times New Roman"/>
              <w:color w:val="000000"/>
              <w:sz w:val="24"/>
              <w:szCs w:val="24"/>
            </w:rPr>
            <w:t>4</w:t>
          </w:r>
          <w:r>
            <w:fldChar w:fldCharType="end"/>
          </w:r>
        </w:p>
        <w:p w14:paraId="00000018" w14:textId="77777777" w:rsidR="00932E16" w:rsidRDefault="00000000">
          <w:pPr>
            <w:tabs>
              <w:tab w:val="right" w:pos="9025"/>
            </w:tabs>
            <w:spacing w:before="200" w:line="240" w:lineRule="auto"/>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Community active areas and engagement approaches adopted</w:t>
            </w:r>
          </w:hyperlink>
          <w:r>
            <w:rPr>
              <w:rFonts w:ascii="Times New Roman" w:eastAsia="Times New Roman" w:hAnsi="Times New Roman" w:cs="Times New Roman"/>
              <w:color w:val="000000"/>
              <w:sz w:val="24"/>
              <w:szCs w:val="24"/>
            </w:rPr>
            <w:tab/>
          </w:r>
          <w:r>
            <w:fldChar w:fldCharType="begin"/>
          </w:r>
          <w:r>
            <w:instrText xml:space="preserve"> PAGEREF _3znysh7 \h </w:instrText>
          </w:r>
          <w:r>
            <w:fldChar w:fldCharType="separate"/>
          </w:r>
          <w:r>
            <w:rPr>
              <w:rFonts w:ascii="Times New Roman" w:eastAsia="Times New Roman" w:hAnsi="Times New Roman" w:cs="Times New Roman"/>
              <w:color w:val="000000"/>
              <w:sz w:val="24"/>
              <w:szCs w:val="24"/>
            </w:rPr>
            <w:t>5</w:t>
          </w:r>
          <w:r>
            <w:fldChar w:fldCharType="end"/>
          </w:r>
        </w:p>
        <w:p w14:paraId="00000019" w14:textId="77777777" w:rsidR="00932E16" w:rsidRDefault="00000000">
          <w:pPr>
            <w:tabs>
              <w:tab w:val="right" w:pos="9025"/>
            </w:tabs>
            <w:spacing w:before="200" w:line="240" w:lineRule="auto"/>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Options utilised for community engagement</w:t>
            </w:r>
          </w:hyperlink>
          <w:r>
            <w:rPr>
              <w:rFonts w:ascii="Times New Roman" w:eastAsia="Times New Roman" w:hAnsi="Times New Roman" w:cs="Times New Roman"/>
              <w:color w:val="000000"/>
              <w:sz w:val="24"/>
              <w:szCs w:val="24"/>
            </w:rPr>
            <w:tab/>
          </w:r>
          <w:r>
            <w:fldChar w:fldCharType="begin"/>
          </w:r>
          <w:r>
            <w:instrText xml:space="preserve"> PAGEREF _2et92p0 \h </w:instrText>
          </w:r>
          <w:r>
            <w:fldChar w:fldCharType="separate"/>
          </w:r>
          <w:r>
            <w:rPr>
              <w:rFonts w:ascii="Times New Roman" w:eastAsia="Times New Roman" w:hAnsi="Times New Roman" w:cs="Times New Roman"/>
              <w:color w:val="000000"/>
              <w:sz w:val="24"/>
              <w:szCs w:val="24"/>
            </w:rPr>
            <w:t>6</w:t>
          </w:r>
          <w:r>
            <w:fldChar w:fldCharType="end"/>
          </w:r>
        </w:p>
        <w:p w14:paraId="0000001A" w14:textId="77777777" w:rsidR="00932E16" w:rsidRDefault="00000000">
          <w:pPr>
            <w:tabs>
              <w:tab w:val="right" w:pos="9025"/>
            </w:tabs>
            <w:spacing w:before="200" w:line="240" w:lineRule="auto"/>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Rationale for adopting forward looking approach</w:t>
            </w:r>
          </w:hyperlink>
          <w:r>
            <w:rPr>
              <w:rFonts w:ascii="Times New Roman" w:eastAsia="Times New Roman" w:hAnsi="Times New Roman" w:cs="Times New Roman"/>
              <w:color w:val="000000"/>
              <w:sz w:val="24"/>
              <w:szCs w:val="24"/>
            </w:rPr>
            <w:tab/>
          </w:r>
          <w:r>
            <w:fldChar w:fldCharType="begin"/>
          </w:r>
          <w:r>
            <w:instrText xml:space="preserve"> PAGEREF _tyjcwt \h </w:instrText>
          </w:r>
          <w:r>
            <w:fldChar w:fldCharType="separate"/>
          </w:r>
          <w:r>
            <w:rPr>
              <w:rFonts w:ascii="Times New Roman" w:eastAsia="Times New Roman" w:hAnsi="Times New Roman" w:cs="Times New Roman"/>
              <w:color w:val="000000"/>
              <w:sz w:val="24"/>
              <w:szCs w:val="24"/>
            </w:rPr>
            <w:t>9</w:t>
          </w:r>
          <w:r>
            <w:fldChar w:fldCharType="end"/>
          </w:r>
        </w:p>
        <w:p w14:paraId="0000001B" w14:textId="77777777" w:rsidR="00932E16" w:rsidRDefault="00000000">
          <w:pPr>
            <w:tabs>
              <w:tab w:val="right" w:pos="9025"/>
            </w:tabs>
            <w:spacing w:before="200" w:line="240" w:lineRule="auto"/>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Conclusion</w:t>
            </w:r>
          </w:hyperlink>
          <w:r>
            <w:rPr>
              <w:rFonts w:ascii="Times New Roman" w:eastAsia="Times New Roman" w:hAnsi="Times New Roman" w:cs="Times New Roman"/>
              <w:color w:val="000000"/>
              <w:sz w:val="24"/>
              <w:szCs w:val="24"/>
            </w:rPr>
            <w:tab/>
          </w:r>
          <w:r>
            <w:fldChar w:fldCharType="begin"/>
          </w:r>
          <w:r>
            <w:instrText xml:space="preserve"> PAGEREF _3dy6vkm \h </w:instrText>
          </w:r>
          <w:r>
            <w:fldChar w:fldCharType="separate"/>
          </w:r>
          <w:r>
            <w:rPr>
              <w:rFonts w:ascii="Times New Roman" w:eastAsia="Times New Roman" w:hAnsi="Times New Roman" w:cs="Times New Roman"/>
              <w:color w:val="000000"/>
              <w:sz w:val="24"/>
              <w:szCs w:val="24"/>
            </w:rPr>
            <w:t>9</w:t>
          </w:r>
          <w:r>
            <w:fldChar w:fldCharType="end"/>
          </w:r>
        </w:p>
        <w:p w14:paraId="0000001C" w14:textId="77777777" w:rsidR="00932E16" w:rsidRDefault="00000000">
          <w:pPr>
            <w:tabs>
              <w:tab w:val="right" w:pos="9025"/>
            </w:tabs>
            <w:spacing w:before="200" w:after="80" w:line="240" w:lineRule="auto"/>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References</w:t>
            </w:r>
          </w:hyperlink>
          <w:r>
            <w:rPr>
              <w:rFonts w:ascii="Times New Roman" w:eastAsia="Times New Roman" w:hAnsi="Times New Roman" w:cs="Times New Roman"/>
              <w:color w:val="000000"/>
              <w:sz w:val="24"/>
              <w:szCs w:val="24"/>
            </w:rPr>
            <w:tab/>
          </w:r>
          <w:r>
            <w:fldChar w:fldCharType="begin"/>
          </w:r>
          <w:r>
            <w:instrText xml:space="preserve"> PAGEREF _1t3h5sf \h </w:instrText>
          </w:r>
          <w:r>
            <w:fldChar w:fldCharType="separate"/>
          </w:r>
          <w:r>
            <w:rPr>
              <w:rFonts w:ascii="Times New Roman" w:eastAsia="Times New Roman" w:hAnsi="Times New Roman" w:cs="Times New Roman"/>
              <w:color w:val="000000"/>
              <w:sz w:val="24"/>
              <w:szCs w:val="24"/>
            </w:rPr>
            <w:t>11</w:t>
          </w:r>
          <w:r>
            <w:fldChar w:fldCharType="end"/>
          </w:r>
          <w:r>
            <w:fldChar w:fldCharType="end"/>
          </w:r>
        </w:p>
      </w:sdtContent>
    </w:sdt>
    <w:p w14:paraId="0000001D" w14:textId="77777777" w:rsidR="00932E16" w:rsidRDefault="00932E16">
      <w:pPr>
        <w:spacing w:line="480" w:lineRule="auto"/>
        <w:rPr>
          <w:rFonts w:ascii="Times New Roman" w:eastAsia="Times New Roman" w:hAnsi="Times New Roman" w:cs="Times New Roman"/>
          <w:sz w:val="24"/>
          <w:szCs w:val="24"/>
        </w:rPr>
      </w:pPr>
    </w:p>
    <w:p w14:paraId="0000001E" w14:textId="77777777" w:rsidR="00932E16" w:rsidRDefault="00932E16">
      <w:pPr>
        <w:spacing w:line="480" w:lineRule="auto"/>
        <w:rPr>
          <w:rFonts w:ascii="Times New Roman" w:eastAsia="Times New Roman" w:hAnsi="Times New Roman" w:cs="Times New Roman"/>
          <w:sz w:val="24"/>
          <w:szCs w:val="24"/>
        </w:rPr>
      </w:pPr>
    </w:p>
    <w:p w14:paraId="0000001F" w14:textId="77777777" w:rsidR="00932E16" w:rsidRDefault="00932E16">
      <w:pPr>
        <w:spacing w:line="480" w:lineRule="auto"/>
        <w:rPr>
          <w:rFonts w:ascii="Times New Roman" w:eastAsia="Times New Roman" w:hAnsi="Times New Roman" w:cs="Times New Roman"/>
          <w:sz w:val="24"/>
          <w:szCs w:val="24"/>
        </w:rPr>
      </w:pPr>
    </w:p>
    <w:p w14:paraId="00000020" w14:textId="77777777" w:rsidR="00932E16" w:rsidRDefault="00932E16">
      <w:pPr>
        <w:spacing w:line="480" w:lineRule="auto"/>
        <w:rPr>
          <w:rFonts w:ascii="Times New Roman" w:eastAsia="Times New Roman" w:hAnsi="Times New Roman" w:cs="Times New Roman"/>
          <w:sz w:val="24"/>
          <w:szCs w:val="24"/>
        </w:rPr>
      </w:pPr>
    </w:p>
    <w:p w14:paraId="00000021" w14:textId="77777777" w:rsidR="00932E16" w:rsidRDefault="00932E16">
      <w:pPr>
        <w:spacing w:line="480" w:lineRule="auto"/>
        <w:rPr>
          <w:rFonts w:ascii="Times New Roman" w:eastAsia="Times New Roman" w:hAnsi="Times New Roman" w:cs="Times New Roman"/>
          <w:sz w:val="24"/>
          <w:szCs w:val="24"/>
        </w:rPr>
      </w:pPr>
    </w:p>
    <w:p w14:paraId="00000022" w14:textId="77777777" w:rsidR="00932E16" w:rsidRDefault="00932E16">
      <w:pPr>
        <w:spacing w:line="480" w:lineRule="auto"/>
        <w:rPr>
          <w:rFonts w:ascii="Times New Roman" w:eastAsia="Times New Roman" w:hAnsi="Times New Roman" w:cs="Times New Roman"/>
          <w:sz w:val="24"/>
          <w:szCs w:val="24"/>
        </w:rPr>
      </w:pPr>
    </w:p>
    <w:p w14:paraId="00000023" w14:textId="77777777" w:rsidR="00932E16" w:rsidRDefault="00932E16">
      <w:pPr>
        <w:spacing w:line="480" w:lineRule="auto"/>
        <w:rPr>
          <w:rFonts w:ascii="Times New Roman" w:eastAsia="Times New Roman" w:hAnsi="Times New Roman" w:cs="Times New Roman"/>
          <w:sz w:val="24"/>
          <w:szCs w:val="24"/>
        </w:rPr>
      </w:pPr>
    </w:p>
    <w:p w14:paraId="00000024" w14:textId="77777777" w:rsidR="00932E16" w:rsidRDefault="00932E16">
      <w:pPr>
        <w:spacing w:line="480" w:lineRule="auto"/>
        <w:rPr>
          <w:rFonts w:ascii="Times New Roman" w:eastAsia="Times New Roman" w:hAnsi="Times New Roman" w:cs="Times New Roman"/>
          <w:sz w:val="24"/>
          <w:szCs w:val="24"/>
        </w:rPr>
      </w:pPr>
    </w:p>
    <w:p w14:paraId="00000025" w14:textId="77777777" w:rsidR="00932E16" w:rsidRDefault="00932E16">
      <w:pPr>
        <w:spacing w:line="480" w:lineRule="auto"/>
        <w:rPr>
          <w:rFonts w:ascii="Times New Roman" w:eastAsia="Times New Roman" w:hAnsi="Times New Roman" w:cs="Times New Roman"/>
          <w:sz w:val="24"/>
          <w:szCs w:val="24"/>
        </w:rPr>
      </w:pPr>
    </w:p>
    <w:p w14:paraId="00000026" w14:textId="77777777" w:rsidR="00932E16" w:rsidRDefault="00932E16">
      <w:pPr>
        <w:spacing w:line="480" w:lineRule="auto"/>
        <w:rPr>
          <w:rFonts w:ascii="Times New Roman" w:eastAsia="Times New Roman" w:hAnsi="Times New Roman" w:cs="Times New Roman"/>
          <w:sz w:val="24"/>
          <w:szCs w:val="24"/>
        </w:rPr>
      </w:pPr>
    </w:p>
    <w:p w14:paraId="00000027" w14:textId="77777777" w:rsidR="00932E16" w:rsidRDefault="00932E16">
      <w:pPr>
        <w:spacing w:line="480" w:lineRule="auto"/>
        <w:rPr>
          <w:rFonts w:ascii="Times New Roman" w:eastAsia="Times New Roman" w:hAnsi="Times New Roman" w:cs="Times New Roman"/>
          <w:sz w:val="24"/>
          <w:szCs w:val="24"/>
        </w:rPr>
      </w:pPr>
    </w:p>
    <w:p w14:paraId="00000028" w14:textId="77777777" w:rsidR="00932E16" w:rsidRDefault="00932E16">
      <w:pPr>
        <w:spacing w:line="480" w:lineRule="auto"/>
        <w:rPr>
          <w:rFonts w:ascii="Times New Roman" w:eastAsia="Times New Roman" w:hAnsi="Times New Roman" w:cs="Times New Roman"/>
          <w:sz w:val="24"/>
          <w:szCs w:val="24"/>
        </w:rPr>
      </w:pPr>
    </w:p>
    <w:p w14:paraId="00000029" w14:textId="77777777" w:rsidR="00932E16" w:rsidRDefault="00932E16">
      <w:pPr>
        <w:spacing w:line="480" w:lineRule="auto"/>
        <w:rPr>
          <w:rFonts w:ascii="Times New Roman" w:eastAsia="Times New Roman" w:hAnsi="Times New Roman" w:cs="Times New Roman"/>
          <w:sz w:val="24"/>
          <w:szCs w:val="24"/>
        </w:rPr>
      </w:pPr>
    </w:p>
    <w:p w14:paraId="0000002A" w14:textId="77777777" w:rsidR="00932E16" w:rsidRDefault="00932E16">
      <w:pPr>
        <w:spacing w:line="480" w:lineRule="auto"/>
        <w:rPr>
          <w:rFonts w:ascii="Times New Roman" w:eastAsia="Times New Roman" w:hAnsi="Times New Roman" w:cs="Times New Roman"/>
          <w:sz w:val="24"/>
          <w:szCs w:val="24"/>
        </w:rPr>
      </w:pPr>
    </w:p>
    <w:p w14:paraId="0000002B" w14:textId="77777777" w:rsidR="00932E16" w:rsidRDefault="00000000">
      <w:pPr>
        <w:pStyle w:val="Heading1"/>
        <w:spacing w:line="480" w:lineRule="auto"/>
        <w:rPr>
          <w:rFonts w:ascii="Times New Roman" w:eastAsia="Times New Roman" w:hAnsi="Times New Roman" w:cs="Times New Roman"/>
          <w:b/>
        </w:rPr>
      </w:pPr>
      <w:bookmarkStart w:id="1" w:name="_30j0zll" w:colFirst="0" w:colLast="0"/>
      <w:bookmarkEnd w:id="1"/>
      <w:r>
        <w:rPr>
          <w:rFonts w:ascii="Times New Roman" w:eastAsia="Times New Roman" w:hAnsi="Times New Roman" w:cs="Times New Roman"/>
          <w:b/>
        </w:rPr>
        <w:t>Introduction</w:t>
      </w:r>
    </w:p>
    <w:p w14:paraId="0000002C"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such as the Commonwealth Games, brings people together as it is centred on inclusive participation in all aspects of society. The Commonwealth Games are a quadrennial international multi-sport event for athletes from Commonwealth nations. The Games contribute to sports and physical activity, improving well-being, socio-economic development, and healthy lifestyle. Participation of marginalised groups in the Games allows people from different countries to exchange ideas. Shared skills can be implemented in real-life situations to make work easier. Stereotype behaviour can be challenged, enabling a more vibrant and positive society where individuals can exercise their economic, civil, political, and social-cultural rights. The Commonwealth Games allow the communities to exhibit cohesion, civic pride, and inclusion through the creation of job opportunities. Volunteer opportunities created include first responders, drivers to transport athletes and game officials, kit carriers, and courtside assistants. There is promotion of a sustainable environment by raising awareness, implementing change, collaborating with various partners, and implementing programs that address local environmental and economic issues. As a community practitioner, understanding approaches adopted by the local community for engagement help to deliver excellent community engagement initiative. This report examines the Commonwealth Games in Birmingham, including the city's role in community engagement and different approaches adopted during the Games.</w:t>
      </w:r>
    </w:p>
    <w:p w14:paraId="0000002D" w14:textId="77777777" w:rsidR="00932E16" w:rsidRDefault="00932E16">
      <w:pPr>
        <w:spacing w:line="480" w:lineRule="auto"/>
        <w:ind w:firstLine="720"/>
        <w:rPr>
          <w:rFonts w:ascii="Times New Roman" w:eastAsia="Times New Roman" w:hAnsi="Times New Roman" w:cs="Times New Roman"/>
          <w:sz w:val="24"/>
          <w:szCs w:val="24"/>
        </w:rPr>
      </w:pPr>
    </w:p>
    <w:p w14:paraId="0000002E" w14:textId="77777777" w:rsidR="00932E16" w:rsidRDefault="00000000">
      <w:pPr>
        <w:pStyle w:val="Heading1"/>
        <w:spacing w:line="480" w:lineRule="auto"/>
        <w:rPr>
          <w:rFonts w:ascii="Times New Roman" w:eastAsia="Times New Roman" w:hAnsi="Times New Roman" w:cs="Times New Roman"/>
          <w:b/>
        </w:rPr>
      </w:pPr>
      <w:bookmarkStart w:id="2" w:name="_1fob9te" w:colFirst="0" w:colLast="0"/>
      <w:bookmarkEnd w:id="2"/>
      <w:r>
        <w:rPr>
          <w:rFonts w:ascii="Times New Roman" w:eastAsia="Times New Roman" w:hAnsi="Times New Roman" w:cs="Times New Roman"/>
          <w:b/>
        </w:rPr>
        <w:lastRenderedPageBreak/>
        <w:t>Commonwealth Games in Birmingham</w:t>
      </w:r>
    </w:p>
    <w:p w14:paraId="0000002F"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Commonwealth Games is a massive multi-sport event hosted in England on July 28th to August 8th, 2022. The Olympics were held in Alexander Stadium in Birmingham, packed with thousands of world-class athletes and over 1.5 million spectators from 180 countries. This event enabled the region to gain more than five hundred million pounds from broadcast of the games. The Commonwealth Games provided an opportunity for Birmingham and the West Midlands to showcase the talents of people worldwide. The games included 280 events, 5054 athletes, and 20 sports from 72 Commonwealth nations. Eight hundred seventy-seven medals were awarded, 96 gold records were won by the host nation. Australia took home 178, including 67 gold, Canada and England had 26 and 57 gold medals, respectively. There were more 'para-sport' and medals events for women than men, as the Games featured basketball 3x3, women's T20, and wheelchair basketball 3x3. The England team sent the most inclusive and diverse English sporting team to compete in Birmingham 2022; they were rewarded with a record 176 medals, including 57 golds, the most ever won by England at the Commonwealth Games (</w:t>
      </w:r>
      <w:proofErr w:type="spellStart"/>
      <w:r>
        <w:rPr>
          <w:rFonts w:ascii="Times New Roman" w:eastAsia="Times New Roman" w:hAnsi="Times New Roman" w:cs="Times New Roman"/>
          <w:color w:val="222222"/>
          <w:sz w:val="24"/>
          <w:szCs w:val="24"/>
          <w:highlight w:val="white"/>
        </w:rPr>
        <w:t>Mosselson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Athletes from the United Kingdom's Home Nations and Crown Dependencies played a critical role in delivering excellent and inclusive games, allowing the entire country to celebrate the achievement. Guernsey, for example, won its first athletic medal at the Commonwealth Games. Athletes from the Isle of Man and Jersey performed admirably for their respective islands. The Commonwealth Games in Birmingham were designated for everyone; the community could participate in the events, and enjoy the opportunities, and benefits provided. Birmingham and the West Midlands welcomed the Games with open arms, allowing fans and athletes to enjoy what the vibrant city offered.</w:t>
      </w:r>
    </w:p>
    <w:p w14:paraId="00000030" w14:textId="77777777" w:rsidR="00932E16" w:rsidRDefault="00932E16">
      <w:pPr>
        <w:spacing w:line="480" w:lineRule="auto"/>
        <w:ind w:firstLine="720"/>
        <w:rPr>
          <w:rFonts w:ascii="Times New Roman" w:eastAsia="Times New Roman" w:hAnsi="Times New Roman" w:cs="Times New Roman"/>
          <w:sz w:val="24"/>
          <w:szCs w:val="24"/>
        </w:rPr>
      </w:pPr>
    </w:p>
    <w:p w14:paraId="00000031" w14:textId="77777777" w:rsidR="00932E16" w:rsidRDefault="00000000">
      <w:pPr>
        <w:pStyle w:val="Heading1"/>
        <w:spacing w:line="480" w:lineRule="auto"/>
        <w:rPr>
          <w:rFonts w:ascii="Times New Roman" w:eastAsia="Times New Roman" w:hAnsi="Times New Roman" w:cs="Times New Roman"/>
          <w:b/>
        </w:rPr>
      </w:pPr>
      <w:bookmarkStart w:id="3" w:name="_3znysh7" w:colFirst="0" w:colLast="0"/>
      <w:bookmarkEnd w:id="3"/>
      <w:r>
        <w:rPr>
          <w:rFonts w:ascii="Times New Roman" w:eastAsia="Times New Roman" w:hAnsi="Times New Roman" w:cs="Times New Roman"/>
          <w:b/>
        </w:rPr>
        <w:lastRenderedPageBreak/>
        <w:t>Community active areas and engagement approaches adopted</w:t>
      </w:r>
    </w:p>
    <w:p w14:paraId="00000032"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Volunteering and fundraising were the most active areas for community engagement in Birmingham. The Commonwealth Games' success depended on diversifying practices that adhered to community engagement principles, standards, and stakeholder participation (</w:t>
      </w:r>
      <w:r>
        <w:rPr>
          <w:rFonts w:ascii="Times New Roman" w:eastAsia="Times New Roman" w:hAnsi="Times New Roman" w:cs="Times New Roman"/>
          <w:color w:val="222222"/>
          <w:sz w:val="24"/>
          <w:szCs w:val="24"/>
          <w:highlight w:val="white"/>
        </w:rPr>
        <w:t>KILIMO, 2022</w:t>
      </w:r>
      <w:r>
        <w:rPr>
          <w:rFonts w:ascii="Times New Roman" w:eastAsia="Times New Roman" w:hAnsi="Times New Roman" w:cs="Times New Roman"/>
          <w:sz w:val="24"/>
          <w:szCs w:val="24"/>
        </w:rPr>
        <w:t xml:space="preserve">). Despite working remotely, the Birmingham team demonstrated remarkable resilience; teams worked hard, stayed connected, and ensured greater collaboration with key partners and internal stakeholders. Every week, approximately 400 new volunteers were welcomed (hired). The recruitment practices ensured that the event reached more communities in the region where it was operated and advertised. The engagement team ensured a strong start through virtual connections with Birmingham's locals and community organisations. This enabled them to raise awareness of the available work opportunities in the event. The teams went on roadshows, creating connections with other locals through direct interaction. The organisers recruited approximately 13,000 volunteers to </w:t>
      </w:r>
      <w:proofErr w:type="gramStart"/>
      <w:r>
        <w:rPr>
          <w:rFonts w:ascii="Times New Roman" w:eastAsia="Times New Roman" w:hAnsi="Times New Roman" w:cs="Times New Roman"/>
          <w:sz w:val="24"/>
          <w:szCs w:val="24"/>
        </w:rPr>
        <w:t>offer assistance</w:t>
      </w:r>
      <w:proofErr w:type="gramEnd"/>
      <w:r>
        <w:rPr>
          <w:rFonts w:ascii="Times New Roman" w:eastAsia="Times New Roman" w:hAnsi="Times New Roman" w:cs="Times New Roman"/>
          <w:sz w:val="24"/>
          <w:szCs w:val="24"/>
        </w:rPr>
        <w:t xml:space="preserve"> in different sections. Jobs were advertised and made available to people with disabilities and the LGBT community. Faith leaders were allowed to be part of the work, they facilitated a collaborative and diverse workforce. The concerted effort and investment resulted in changes that allowed organisers to have a workforce that reflected the region. The board also hired and on boarded Midlands apprentices who contributed significantly to the organisation. </w:t>
      </w:r>
    </w:p>
    <w:p w14:paraId="00000033"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games' opening and closing ceremonies promoted community inclusion by allowing </w:t>
      </w:r>
      <w:proofErr w:type="spellStart"/>
      <w:r>
        <w:rPr>
          <w:rFonts w:ascii="Times New Roman" w:eastAsia="Times New Roman" w:hAnsi="Times New Roman" w:cs="Times New Roman"/>
          <w:sz w:val="24"/>
          <w:szCs w:val="24"/>
        </w:rPr>
        <w:t>Midlanders</w:t>
      </w:r>
      <w:proofErr w:type="spellEnd"/>
      <w:r>
        <w:rPr>
          <w:rFonts w:ascii="Times New Roman" w:eastAsia="Times New Roman" w:hAnsi="Times New Roman" w:cs="Times New Roman"/>
          <w:sz w:val="24"/>
          <w:szCs w:val="24"/>
        </w:rPr>
        <w:t xml:space="preserve"> to showcase their arts, heritage, and culture. </w:t>
      </w:r>
      <w:proofErr w:type="spellStart"/>
      <w:r>
        <w:rPr>
          <w:rFonts w:ascii="Times New Roman" w:eastAsia="Times New Roman" w:hAnsi="Times New Roman" w:cs="Times New Roman"/>
          <w:color w:val="222222"/>
          <w:sz w:val="24"/>
          <w:szCs w:val="24"/>
          <w:highlight w:val="white"/>
        </w:rPr>
        <w:t>Cuny</w:t>
      </w:r>
      <w:proofErr w:type="spellEnd"/>
      <w:r>
        <w:rPr>
          <w:rFonts w:ascii="Times New Roman" w:eastAsia="Times New Roman" w:hAnsi="Times New Roman" w:cs="Times New Roman"/>
          <w:sz w:val="24"/>
          <w:szCs w:val="24"/>
        </w:rPr>
        <w:t xml:space="preserve"> et al. (2022) note through the cultural program, the National Lottery Heritage Fund and Arts Council England awarded £6 million to the communities involved in the showcase. Relatedly, community members and engineers were hired to redevelop the University and Perry Barr stations as part of an effort to improve transportation. The Commonwealth Games created job opportunities, </w:t>
      </w:r>
      <w:r>
        <w:rPr>
          <w:rFonts w:ascii="Times New Roman" w:eastAsia="Times New Roman" w:hAnsi="Times New Roman" w:cs="Times New Roman"/>
          <w:sz w:val="24"/>
          <w:szCs w:val="24"/>
        </w:rPr>
        <w:lastRenderedPageBreak/>
        <w:t>allowing community members to participate in the change. The strategic plan provided the community with 35,000 job and skill opportunities, engaging young people and promoting residents' financial well-being. Concerning stakeholders, the Birmingham board established three strategic priorities for the Games: inclusivity, sustainability, and creativity (</w:t>
      </w:r>
      <w:proofErr w:type="spellStart"/>
      <w:r>
        <w:rPr>
          <w:rFonts w:ascii="Times New Roman" w:eastAsia="Times New Roman" w:hAnsi="Times New Roman" w:cs="Times New Roman"/>
          <w:color w:val="222222"/>
          <w:sz w:val="24"/>
          <w:szCs w:val="24"/>
          <w:highlight w:val="white"/>
        </w:rPr>
        <w:t>Borin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Games' partners were critical in ensuring smooth operation, challenging how most previous events were held. </w:t>
      </w:r>
    </w:p>
    <w:p w14:paraId="00000034"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March 2021 sustainability pledge outlined several pillars, including human rights, carbon, accessibility, ethical procurement, ambitious environmental commitments, and Birmingham's first carbon-neutral Commonwealth Games (</w:t>
      </w:r>
      <w:proofErr w:type="spellStart"/>
      <w:r>
        <w:rPr>
          <w:rFonts w:ascii="Times New Roman" w:eastAsia="Times New Roman" w:hAnsi="Times New Roman" w:cs="Times New Roman"/>
          <w:sz w:val="24"/>
          <w:szCs w:val="24"/>
        </w:rPr>
        <w:t>Bruun</w:t>
      </w:r>
      <w:proofErr w:type="spellEnd"/>
      <w:r>
        <w:rPr>
          <w:rFonts w:ascii="Times New Roman" w:eastAsia="Times New Roman" w:hAnsi="Times New Roman" w:cs="Times New Roman"/>
          <w:sz w:val="24"/>
          <w:szCs w:val="24"/>
        </w:rPr>
        <w:t xml:space="preserve">, 2022). The latter was accomplished through collaboration with Seven Trent, a critical Nature and Carbon Neutral supporter of the Commonwealth Games. </w:t>
      </w:r>
      <w:proofErr w:type="spellStart"/>
      <w:r>
        <w:rPr>
          <w:rFonts w:ascii="Times New Roman" w:eastAsia="Times New Roman" w:hAnsi="Times New Roman" w:cs="Times New Roman"/>
          <w:sz w:val="24"/>
          <w:szCs w:val="24"/>
        </w:rPr>
        <w:t>Akhatova</w:t>
      </w:r>
      <w:proofErr w:type="spellEnd"/>
      <w:r>
        <w:rPr>
          <w:rFonts w:ascii="Times New Roman" w:eastAsia="Times New Roman" w:hAnsi="Times New Roman" w:cs="Times New Roman"/>
          <w:sz w:val="24"/>
          <w:szCs w:val="24"/>
        </w:rPr>
        <w:t xml:space="preserve"> et al. (2022) note that Seven Trent also established several initiatives to help offset the carbon emissions generated by the Games, allowing for a carbon-neutral legacy. The Games' management board worked with stakeholders such as Birmingham City Council and the Department for Digital, Culture, Media, and Sport to help fund the Games. This was accomplished through cultural funding, ticket sales, sponsorship, broadcasting revenue, commercial activities, and merchandising. The Group collaborated with GCF partnerships limited, an organisation that assisted with broadcast and sponsorship, resulting in the successful delivery of the event.</w:t>
      </w:r>
    </w:p>
    <w:p w14:paraId="00000035" w14:textId="77777777" w:rsidR="00932E16" w:rsidRDefault="00932E16">
      <w:pPr>
        <w:spacing w:line="480" w:lineRule="auto"/>
        <w:ind w:firstLine="720"/>
        <w:rPr>
          <w:rFonts w:ascii="Times New Roman" w:eastAsia="Times New Roman" w:hAnsi="Times New Roman" w:cs="Times New Roman"/>
          <w:sz w:val="24"/>
          <w:szCs w:val="24"/>
        </w:rPr>
      </w:pPr>
    </w:p>
    <w:p w14:paraId="00000036" w14:textId="77777777" w:rsidR="00932E16" w:rsidRDefault="00000000">
      <w:pPr>
        <w:pStyle w:val="Heading1"/>
        <w:spacing w:line="480" w:lineRule="auto"/>
        <w:rPr>
          <w:rFonts w:ascii="Times New Roman" w:eastAsia="Times New Roman" w:hAnsi="Times New Roman" w:cs="Times New Roman"/>
          <w:b/>
        </w:rPr>
      </w:pPr>
      <w:bookmarkStart w:id="4" w:name="_2et92p0" w:colFirst="0" w:colLast="0"/>
      <w:bookmarkEnd w:id="4"/>
      <w:r>
        <w:rPr>
          <w:rFonts w:ascii="Times New Roman" w:eastAsia="Times New Roman" w:hAnsi="Times New Roman" w:cs="Times New Roman"/>
          <w:b/>
        </w:rPr>
        <w:t>Options utilised for community engagement</w:t>
      </w:r>
    </w:p>
    <w:p w14:paraId="00000037"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 of the Commonwealth Games depended on a collaborative effort involving stakeholders at various critical stages of the event. The use of social media platforms such as YouTube, Facebook, Twitter, and Instagram enabled community engagement and quick updates about the Games. Athletes and fans used Instagram to post </w:t>
      </w:r>
      <w:r>
        <w:rPr>
          <w:rFonts w:ascii="Times New Roman" w:eastAsia="Times New Roman" w:hAnsi="Times New Roman" w:cs="Times New Roman"/>
          <w:sz w:val="24"/>
          <w:szCs w:val="24"/>
        </w:rPr>
        <w:lastRenderedPageBreak/>
        <w:t xml:space="preserve">about the event, their experiences, and their expectations, driving traffic to the Games. Athletes could tweet and share photos throughout their stay in Birmingham, providing people worldwide with a unique insight into the city's culture (Watkins, 2018). This served as an indirect promotion for the Games, allowing more people around the world to watch them. Using social media, Commonwealth Federal sent information to various locations worldwide, attracting new people (fans). Individuals attending the Games purchased tickets and merchandise, enabling access to sufficient funds for management of the unexpected issues. Platforms like YouTube allowed live streaming of the games by people across the globe (Sullivan, 2022). It enabled advertising from various companies, resulting in more income and the ability to sponsor the Games. Relatedly, the Games' board used Facebook to inform people about essential stadium schedules. Publication of relevant content on social platforms allowed quick relaying of information to stakeholders, fans, and athletes. This increased awareness of the event, encouraging people worldwide to watch and buy game merchandise. The Games' board collaborated closely with Birmingham City Council, providing staff support and advice, ensuring effective communication strategy for each stakeholder group, and diversifying influential leadership roles.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face-to-face contact with each key staff member was the typical approach to engaging key stakeholders. Physical meetings enabled the establishment of requirements, allowing each department member to be held accountable.</w:t>
      </w:r>
    </w:p>
    <w:p w14:paraId="00000038"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Commonwealth Federal diversified different plans to ensure Games' carbon footprints were balanced because of the large population of athletes and fans. Two thousand and twenty-two acres of new Commonwealth Forest were planted as part of the adopted strategy, including the addition of reliable carbon credits from various voluntary carbon markets in the Midlands. Study shows approximately 240,000 tonnes of carbon dioxide will be stored in the forest over the next 35 years (</w:t>
      </w:r>
      <w:r>
        <w:rPr>
          <w:rFonts w:ascii="Times New Roman" w:eastAsia="Times New Roman" w:hAnsi="Times New Roman" w:cs="Times New Roman"/>
          <w:color w:val="222222"/>
          <w:sz w:val="24"/>
          <w:szCs w:val="24"/>
          <w:highlight w:val="white"/>
        </w:rPr>
        <w:t>Raihan, 2022</w:t>
      </w:r>
      <w:r>
        <w:rPr>
          <w:rFonts w:ascii="Times New Roman" w:eastAsia="Times New Roman" w:hAnsi="Times New Roman" w:cs="Times New Roman"/>
          <w:sz w:val="24"/>
          <w:szCs w:val="24"/>
        </w:rPr>
        <w:t xml:space="preserve">). Together with Seven Trent, a Nature Carbon Neutral Partner, Birmingham was able to offset the carbon prints. The </w:t>
      </w:r>
      <w:r>
        <w:rPr>
          <w:rFonts w:ascii="Times New Roman" w:eastAsia="Times New Roman" w:hAnsi="Times New Roman" w:cs="Times New Roman"/>
          <w:sz w:val="24"/>
          <w:szCs w:val="24"/>
        </w:rPr>
        <w:lastRenderedPageBreak/>
        <w:t>collaboration with Seven Trent's and the Games allowed positive effects on the local communities and environment. A thorough review and assessment process was conducted on the forest's shown offsetting improvement. The Seven Trent Forestry team worked with the Forestry Commission to undertake an Environmental impact assessment to ensure woodland development is suitable within these locations. Different stakeholders also ensured that the right tree was planted in the right area within the required period. Woodland Carbon Code stakeholders ascertained that the required standards, such as quality, were met. The Woodland Carbon Code stakeholder supplied essential information by generating independently verified carbon units. The forest ensured rebalancing the emissions of the Commonwealth Games over time as the trees grew (Yeomans, 2022). The forest also offered more biodiversity, minimising flood risk and supporting mental and physical well-being by raising the number of green spaces for everyone to enjoy.</w:t>
      </w:r>
    </w:p>
    <w:p w14:paraId="00000039"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economic development that occurred during the Games included the creation of job opportunities for individuals in communities. Improvements to the city's infrastructure allow efficient transportation and movement of tourists. The increased influx of tourists enabled an increase in local sales. The varied meals sold to tourists increased the financial income of locals. There was also an increased demand for culturally appropriate clothing and souvenirs. </w:t>
      </w:r>
      <w:proofErr w:type="spellStart"/>
      <w:r>
        <w:rPr>
          <w:rFonts w:ascii="Times New Roman" w:eastAsia="Times New Roman" w:hAnsi="Times New Roman" w:cs="Times New Roman"/>
          <w:color w:val="222222"/>
          <w:sz w:val="24"/>
          <w:szCs w:val="24"/>
          <w:highlight w:val="white"/>
        </w:rPr>
        <w:t>Harriott</w:t>
      </w:r>
      <w:proofErr w:type="spellEnd"/>
      <w:r>
        <w:rPr>
          <w:rFonts w:ascii="Times New Roman" w:eastAsia="Times New Roman" w:hAnsi="Times New Roman" w:cs="Times New Roman"/>
          <w:sz w:val="24"/>
          <w:szCs w:val="24"/>
        </w:rPr>
        <w:t xml:space="preserve"> et al. (2022) note that the Games spurred a cultural revival in Birmingham. During weekends over 2 million individuals visited the Birmingham Museum and Art Gallery. Different brands in the city developed new products like merchandise distributed and sold to different individuals across the nation. Social development entailed increase in population resulting from the relocation of tourists (</w:t>
      </w:r>
      <w:proofErr w:type="spellStart"/>
      <w:r>
        <w:rPr>
          <w:rFonts w:ascii="Times New Roman" w:eastAsia="Times New Roman" w:hAnsi="Times New Roman" w:cs="Times New Roman"/>
          <w:sz w:val="24"/>
          <w:szCs w:val="24"/>
        </w:rPr>
        <w:t>Ellorieta</w:t>
      </w:r>
      <w:proofErr w:type="spellEnd"/>
      <w:r>
        <w:rPr>
          <w:rFonts w:ascii="Times New Roman" w:eastAsia="Times New Roman" w:hAnsi="Times New Roman" w:cs="Times New Roman"/>
          <w:sz w:val="24"/>
          <w:szCs w:val="24"/>
        </w:rPr>
        <w:t>, 2022). This was necessitated by the diverse cultural environment displayed by Birmingham communities during the events. Also, improvement in infrastructure across the city and excellent security provided during the event made individuals relocate into the city.</w:t>
      </w:r>
    </w:p>
    <w:p w14:paraId="0000003A" w14:textId="77777777" w:rsidR="00932E16" w:rsidRDefault="00932E16">
      <w:pPr>
        <w:spacing w:line="480" w:lineRule="auto"/>
        <w:ind w:firstLine="720"/>
        <w:rPr>
          <w:rFonts w:ascii="Times New Roman" w:eastAsia="Times New Roman" w:hAnsi="Times New Roman" w:cs="Times New Roman"/>
          <w:sz w:val="24"/>
          <w:szCs w:val="24"/>
        </w:rPr>
      </w:pPr>
    </w:p>
    <w:p w14:paraId="0000003B" w14:textId="77777777" w:rsidR="00932E16" w:rsidRDefault="00000000">
      <w:pPr>
        <w:pStyle w:val="Heading1"/>
        <w:spacing w:line="480" w:lineRule="auto"/>
        <w:rPr>
          <w:rFonts w:ascii="Times New Roman" w:eastAsia="Times New Roman" w:hAnsi="Times New Roman" w:cs="Times New Roman"/>
          <w:b/>
        </w:rPr>
      </w:pPr>
      <w:bookmarkStart w:id="5" w:name="_tyjcwt" w:colFirst="0" w:colLast="0"/>
      <w:bookmarkEnd w:id="5"/>
      <w:r>
        <w:rPr>
          <w:rFonts w:ascii="Times New Roman" w:eastAsia="Times New Roman" w:hAnsi="Times New Roman" w:cs="Times New Roman"/>
          <w:b/>
        </w:rPr>
        <w:t>Rationale for adopting forward looking approach</w:t>
      </w:r>
    </w:p>
    <w:p w14:paraId="0000003C"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 a community practitioner adopting a forward-thinking approach to community engagement is critical as it helps adapt to change and easier management of problems (</w:t>
      </w:r>
      <w:r>
        <w:rPr>
          <w:rFonts w:ascii="Times New Roman" w:eastAsia="Times New Roman" w:hAnsi="Times New Roman" w:cs="Times New Roman"/>
          <w:color w:val="222222"/>
          <w:sz w:val="24"/>
          <w:szCs w:val="24"/>
          <w:highlight w:val="white"/>
        </w:rPr>
        <w:t>Ferrara, 2022</w:t>
      </w:r>
      <w:r>
        <w:rPr>
          <w:rFonts w:ascii="Times New Roman" w:eastAsia="Times New Roman" w:hAnsi="Times New Roman" w:cs="Times New Roman"/>
          <w:sz w:val="24"/>
          <w:szCs w:val="24"/>
        </w:rPr>
        <w:t xml:space="preserve">). The approach allows stakeholders and participants to identify, highlight, and address emerging social issues that may impact community development. As a result, it helps ensure that communities are equipped with new ideas, practices, and technology, allowing social cohesion. </w:t>
      </w:r>
      <w:r>
        <w:rPr>
          <w:rFonts w:ascii="Times New Roman" w:eastAsia="Times New Roman" w:hAnsi="Times New Roman" w:cs="Times New Roman"/>
          <w:color w:val="222222"/>
          <w:sz w:val="24"/>
          <w:szCs w:val="24"/>
          <w:highlight w:val="white"/>
        </w:rPr>
        <w:t>Buchholz</w:t>
      </w:r>
      <w:r>
        <w:rPr>
          <w:rFonts w:ascii="Times New Roman" w:eastAsia="Times New Roman" w:hAnsi="Times New Roman" w:cs="Times New Roman"/>
          <w:sz w:val="24"/>
          <w:szCs w:val="24"/>
        </w:rPr>
        <w:t xml:space="preserve"> et al. (2020) note that forward-thinking activity is also essential for ensuring that the government and other stakeholders have a shared vision for the community. This can be accomplished through strategic planning, policy design, and practical community engagement ideas. Effective strategic planning in community engagement allows policymakers to identify and diversify potential solutions to problems (Du, 2022).</w:t>
      </w:r>
    </w:p>
    <w:p w14:paraId="0000003D" w14:textId="77777777" w:rsidR="00932E16" w:rsidRDefault="00932E16">
      <w:pPr>
        <w:spacing w:line="480" w:lineRule="auto"/>
        <w:ind w:firstLine="720"/>
        <w:rPr>
          <w:rFonts w:ascii="Times New Roman" w:eastAsia="Times New Roman" w:hAnsi="Times New Roman" w:cs="Times New Roman"/>
          <w:sz w:val="24"/>
          <w:szCs w:val="24"/>
        </w:rPr>
      </w:pPr>
    </w:p>
    <w:p w14:paraId="0000003E" w14:textId="77777777" w:rsidR="00932E16" w:rsidRDefault="00000000">
      <w:pPr>
        <w:pStyle w:val="Heading1"/>
        <w:spacing w:line="480" w:lineRule="auto"/>
        <w:rPr>
          <w:rFonts w:ascii="Times New Roman" w:eastAsia="Times New Roman" w:hAnsi="Times New Roman" w:cs="Times New Roman"/>
          <w:b/>
        </w:rPr>
      </w:pPr>
      <w:bookmarkStart w:id="6" w:name="_3dy6vkm" w:colFirst="0" w:colLast="0"/>
      <w:bookmarkEnd w:id="6"/>
      <w:r>
        <w:rPr>
          <w:rFonts w:ascii="Times New Roman" w:eastAsia="Times New Roman" w:hAnsi="Times New Roman" w:cs="Times New Roman"/>
          <w:b/>
        </w:rPr>
        <w:t>Conclusion</w:t>
      </w:r>
    </w:p>
    <w:p w14:paraId="0000003F" w14:textId="77777777" w:rsidR="00932E16"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engagement, such as Commonwealth Games, can be deployed as an effective tool to bring people together. The Engagement is focused on inclusive participation across all aspects, such as sports (athletics). The success of the community engagement plan depends on the effective diversification of different practices adhering to standard principles and stakeholders' participation. Teams working remotely to coordinate the community engagement team displayed resilience to stay connected and ensure more collaboration with key partners and internal stakeholders. Stakeholders need to adopt different strategic priorities; inclusivity, sustainability, and creativity, allowing the proper organisation of the Engagement. The management board should collaborate with different stakeholders to get </w:t>
      </w:r>
      <w:r>
        <w:rPr>
          <w:rFonts w:ascii="Times New Roman" w:eastAsia="Times New Roman" w:hAnsi="Times New Roman" w:cs="Times New Roman"/>
          <w:sz w:val="24"/>
          <w:szCs w:val="24"/>
        </w:rPr>
        <w:lastRenderedPageBreak/>
        <w:t>financial and non-financial help for the growing success of the Engagement. Effective communication can improve community engagement; simple and accessible platforms should be deployed to rely on the information.</w:t>
      </w:r>
    </w:p>
    <w:p w14:paraId="00000040" w14:textId="77777777" w:rsidR="00932E16" w:rsidRDefault="00932E16">
      <w:pPr>
        <w:spacing w:line="480" w:lineRule="auto"/>
        <w:rPr>
          <w:rFonts w:ascii="Times New Roman" w:eastAsia="Times New Roman" w:hAnsi="Times New Roman" w:cs="Times New Roman"/>
          <w:sz w:val="24"/>
          <w:szCs w:val="24"/>
        </w:rPr>
      </w:pPr>
    </w:p>
    <w:p w14:paraId="00000041" w14:textId="77777777" w:rsidR="00932E16" w:rsidRDefault="00932E16">
      <w:pPr>
        <w:spacing w:line="480" w:lineRule="auto"/>
        <w:rPr>
          <w:rFonts w:ascii="Times New Roman" w:eastAsia="Times New Roman" w:hAnsi="Times New Roman" w:cs="Times New Roman"/>
          <w:sz w:val="24"/>
          <w:szCs w:val="24"/>
        </w:rPr>
      </w:pPr>
    </w:p>
    <w:p w14:paraId="00000042" w14:textId="77777777" w:rsidR="00932E16" w:rsidRDefault="00932E16">
      <w:pPr>
        <w:spacing w:line="480" w:lineRule="auto"/>
        <w:rPr>
          <w:rFonts w:ascii="Times New Roman" w:eastAsia="Times New Roman" w:hAnsi="Times New Roman" w:cs="Times New Roman"/>
          <w:sz w:val="24"/>
          <w:szCs w:val="24"/>
        </w:rPr>
      </w:pPr>
    </w:p>
    <w:p w14:paraId="00000043" w14:textId="77777777" w:rsidR="00932E16" w:rsidRDefault="00932E16">
      <w:pPr>
        <w:spacing w:line="480" w:lineRule="auto"/>
        <w:rPr>
          <w:rFonts w:ascii="Times New Roman" w:eastAsia="Times New Roman" w:hAnsi="Times New Roman" w:cs="Times New Roman"/>
          <w:sz w:val="24"/>
          <w:szCs w:val="24"/>
        </w:rPr>
      </w:pPr>
    </w:p>
    <w:p w14:paraId="00000044" w14:textId="77777777" w:rsidR="00932E16" w:rsidRDefault="00932E16">
      <w:pPr>
        <w:spacing w:line="480" w:lineRule="auto"/>
        <w:rPr>
          <w:rFonts w:ascii="Times New Roman" w:eastAsia="Times New Roman" w:hAnsi="Times New Roman" w:cs="Times New Roman"/>
          <w:sz w:val="24"/>
          <w:szCs w:val="24"/>
        </w:rPr>
      </w:pPr>
    </w:p>
    <w:p w14:paraId="00000045" w14:textId="77777777" w:rsidR="00932E16" w:rsidRDefault="00932E16">
      <w:pPr>
        <w:spacing w:line="480" w:lineRule="auto"/>
        <w:rPr>
          <w:rFonts w:ascii="Times New Roman" w:eastAsia="Times New Roman" w:hAnsi="Times New Roman" w:cs="Times New Roman"/>
          <w:sz w:val="24"/>
          <w:szCs w:val="24"/>
        </w:rPr>
      </w:pPr>
    </w:p>
    <w:p w14:paraId="00000046" w14:textId="77777777" w:rsidR="00932E16" w:rsidRDefault="00932E16">
      <w:pPr>
        <w:spacing w:line="480" w:lineRule="auto"/>
        <w:rPr>
          <w:rFonts w:ascii="Times New Roman" w:eastAsia="Times New Roman" w:hAnsi="Times New Roman" w:cs="Times New Roman"/>
          <w:sz w:val="24"/>
          <w:szCs w:val="24"/>
        </w:rPr>
      </w:pPr>
    </w:p>
    <w:p w14:paraId="00000047" w14:textId="77777777" w:rsidR="00932E16" w:rsidRDefault="00932E16">
      <w:pPr>
        <w:spacing w:line="480" w:lineRule="auto"/>
        <w:rPr>
          <w:rFonts w:ascii="Times New Roman" w:eastAsia="Times New Roman" w:hAnsi="Times New Roman" w:cs="Times New Roman"/>
          <w:sz w:val="24"/>
          <w:szCs w:val="24"/>
        </w:rPr>
      </w:pPr>
    </w:p>
    <w:p w14:paraId="00000048" w14:textId="77777777" w:rsidR="00932E16" w:rsidRDefault="00932E16">
      <w:pPr>
        <w:spacing w:line="480" w:lineRule="auto"/>
        <w:rPr>
          <w:rFonts w:ascii="Times New Roman" w:eastAsia="Times New Roman" w:hAnsi="Times New Roman" w:cs="Times New Roman"/>
          <w:sz w:val="24"/>
          <w:szCs w:val="24"/>
        </w:rPr>
      </w:pPr>
    </w:p>
    <w:p w14:paraId="00000049" w14:textId="77777777" w:rsidR="00932E16" w:rsidRDefault="00932E16">
      <w:pPr>
        <w:spacing w:line="480" w:lineRule="auto"/>
        <w:rPr>
          <w:rFonts w:ascii="Times New Roman" w:eastAsia="Times New Roman" w:hAnsi="Times New Roman" w:cs="Times New Roman"/>
          <w:sz w:val="24"/>
          <w:szCs w:val="24"/>
        </w:rPr>
      </w:pPr>
    </w:p>
    <w:p w14:paraId="0000004A" w14:textId="77777777" w:rsidR="00932E16" w:rsidRDefault="00932E16">
      <w:pPr>
        <w:spacing w:line="480" w:lineRule="auto"/>
        <w:rPr>
          <w:rFonts w:ascii="Times New Roman" w:eastAsia="Times New Roman" w:hAnsi="Times New Roman" w:cs="Times New Roman"/>
          <w:sz w:val="24"/>
          <w:szCs w:val="24"/>
        </w:rPr>
      </w:pPr>
    </w:p>
    <w:p w14:paraId="0000004B" w14:textId="77777777" w:rsidR="00932E16" w:rsidRDefault="00932E16">
      <w:pPr>
        <w:spacing w:line="480" w:lineRule="auto"/>
        <w:rPr>
          <w:rFonts w:ascii="Times New Roman" w:eastAsia="Times New Roman" w:hAnsi="Times New Roman" w:cs="Times New Roman"/>
          <w:sz w:val="24"/>
          <w:szCs w:val="24"/>
        </w:rPr>
      </w:pPr>
    </w:p>
    <w:p w14:paraId="0000004C" w14:textId="77777777" w:rsidR="00932E16" w:rsidRDefault="00932E16">
      <w:pPr>
        <w:spacing w:line="480" w:lineRule="auto"/>
        <w:rPr>
          <w:rFonts w:ascii="Times New Roman" w:eastAsia="Times New Roman" w:hAnsi="Times New Roman" w:cs="Times New Roman"/>
          <w:sz w:val="24"/>
          <w:szCs w:val="24"/>
        </w:rPr>
      </w:pPr>
    </w:p>
    <w:p w14:paraId="0000004D" w14:textId="77777777" w:rsidR="00932E16" w:rsidRDefault="00932E16">
      <w:pPr>
        <w:spacing w:line="480" w:lineRule="auto"/>
        <w:rPr>
          <w:rFonts w:ascii="Times New Roman" w:eastAsia="Times New Roman" w:hAnsi="Times New Roman" w:cs="Times New Roman"/>
          <w:sz w:val="24"/>
          <w:szCs w:val="24"/>
        </w:rPr>
      </w:pPr>
    </w:p>
    <w:p w14:paraId="0000004E" w14:textId="77777777" w:rsidR="00932E16" w:rsidRDefault="00932E16">
      <w:pPr>
        <w:spacing w:line="480" w:lineRule="auto"/>
        <w:rPr>
          <w:rFonts w:ascii="Times New Roman" w:eastAsia="Times New Roman" w:hAnsi="Times New Roman" w:cs="Times New Roman"/>
          <w:sz w:val="24"/>
          <w:szCs w:val="24"/>
        </w:rPr>
      </w:pPr>
    </w:p>
    <w:p w14:paraId="0000004F" w14:textId="77777777" w:rsidR="00932E16" w:rsidRDefault="00932E16">
      <w:pPr>
        <w:spacing w:line="480" w:lineRule="auto"/>
        <w:rPr>
          <w:rFonts w:ascii="Times New Roman" w:eastAsia="Times New Roman" w:hAnsi="Times New Roman" w:cs="Times New Roman"/>
          <w:sz w:val="24"/>
          <w:szCs w:val="24"/>
        </w:rPr>
      </w:pPr>
    </w:p>
    <w:p w14:paraId="00000050" w14:textId="77777777" w:rsidR="00932E16" w:rsidRDefault="00932E16">
      <w:pPr>
        <w:spacing w:line="480" w:lineRule="auto"/>
        <w:rPr>
          <w:rFonts w:ascii="Times New Roman" w:eastAsia="Times New Roman" w:hAnsi="Times New Roman" w:cs="Times New Roman"/>
          <w:sz w:val="24"/>
          <w:szCs w:val="24"/>
        </w:rPr>
      </w:pPr>
    </w:p>
    <w:p w14:paraId="00000051" w14:textId="77777777" w:rsidR="00932E16" w:rsidRDefault="00932E16">
      <w:pPr>
        <w:spacing w:line="480" w:lineRule="auto"/>
        <w:rPr>
          <w:rFonts w:ascii="Times New Roman" w:eastAsia="Times New Roman" w:hAnsi="Times New Roman" w:cs="Times New Roman"/>
          <w:sz w:val="24"/>
          <w:szCs w:val="24"/>
        </w:rPr>
      </w:pPr>
    </w:p>
    <w:p w14:paraId="00000052" w14:textId="77777777" w:rsidR="00932E16" w:rsidRDefault="00000000">
      <w:pPr>
        <w:pStyle w:val="Heading1"/>
        <w:spacing w:line="480" w:lineRule="auto"/>
        <w:rPr>
          <w:rFonts w:ascii="Times New Roman" w:eastAsia="Times New Roman" w:hAnsi="Times New Roman" w:cs="Times New Roman"/>
          <w:b/>
        </w:rPr>
      </w:pPr>
      <w:bookmarkStart w:id="7" w:name="_1t3h5sf" w:colFirst="0" w:colLast="0"/>
      <w:bookmarkEnd w:id="7"/>
      <w:r>
        <w:rPr>
          <w:rFonts w:ascii="Times New Roman" w:eastAsia="Times New Roman" w:hAnsi="Times New Roman" w:cs="Times New Roman"/>
          <w:b/>
        </w:rPr>
        <w:t>References</w:t>
      </w:r>
    </w:p>
    <w:p w14:paraId="00000053"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Akhatova</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Arslangulova</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Bottecchia</w:t>
      </w:r>
      <w:proofErr w:type="spellEnd"/>
      <w:r>
        <w:rPr>
          <w:rFonts w:ascii="Times New Roman" w:eastAsia="Times New Roman" w:hAnsi="Times New Roman" w:cs="Times New Roman"/>
          <w:color w:val="222222"/>
          <w:sz w:val="24"/>
          <w:szCs w:val="24"/>
          <w:highlight w:val="white"/>
        </w:rPr>
        <w:t xml:space="preserve">, L., Bruck, A., Caballero, N., </w:t>
      </w:r>
      <w:proofErr w:type="spellStart"/>
      <w:r>
        <w:rPr>
          <w:rFonts w:ascii="Times New Roman" w:eastAsia="Times New Roman" w:hAnsi="Times New Roman" w:cs="Times New Roman"/>
          <w:color w:val="222222"/>
          <w:sz w:val="24"/>
          <w:szCs w:val="24"/>
          <w:highlight w:val="white"/>
        </w:rPr>
        <w:t>Casamassima</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Darja</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Derkenbaeva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Galanakis</w:t>
      </w:r>
      <w:proofErr w:type="spellEnd"/>
      <w:r>
        <w:rPr>
          <w:rFonts w:ascii="Times New Roman" w:eastAsia="Times New Roman" w:hAnsi="Times New Roman" w:cs="Times New Roman"/>
          <w:color w:val="222222"/>
          <w:sz w:val="24"/>
          <w:szCs w:val="24"/>
          <w:highlight w:val="white"/>
        </w:rPr>
        <w:t>, K., Hearn, A. and Heinz, H., 2022. Business models and consumers' value proposition for PEDs value generation systems for PEDs: archetypes for a networked Europe, 2040: foresight report.</w:t>
      </w:r>
    </w:p>
    <w:p w14:paraId="00000054"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Borin</w:t>
      </w:r>
      <w:proofErr w:type="spellEnd"/>
      <w:r>
        <w:rPr>
          <w:rFonts w:ascii="Times New Roman" w:eastAsia="Times New Roman" w:hAnsi="Times New Roman" w:cs="Times New Roman"/>
          <w:color w:val="222222"/>
          <w:sz w:val="24"/>
          <w:szCs w:val="24"/>
          <w:highlight w:val="white"/>
        </w:rPr>
        <w:t>, E. and Donato, F., 2022. Cultural Ecosystem Approaches as Key for New Development Paths: A Reflection on Management and Governance Implications. In </w:t>
      </w:r>
      <w:r>
        <w:rPr>
          <w:rFonts w:ascii="Times New Roman" w:eastAsia="Times New Roman" w:hAnsi="Times New Roman" w:cs="Times New Roman"/>
          <w:i/>
          <w:color w:val="222222"/>
          <w:sz w:val="24"/>
          <w:szCs w:val="24"/>
          <w:highlight w:val="white"/>
        </w:rPr>
        <w:t>Cultural Leadership in Transition Tourism</w:t>
      </w:r>
      <w:r>
        <w:rPr>
          <w:rFonts w:ascii="Times New Roman" w:eastAsia="Times New Roman" w:hAnsi="Times New Roman" w:cs="Times New Roman"/>
          <w:color w:val="222222"/>
          <w:sz w:val="24"/>
          <w:szCs w:val="24"/>
          <w:highlight w:val="white"/>
        </w:rPr>
        <w:t> (pp. 13-32). Springer, Cham.</w:t>
      </w:r>
    </w:p>
    <w:p w14:paraId="00000055"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Bruun</w:t>
      </w:r>
      <w:proofErr w:type="spellEnd"/>
      <w:r>
        <w:rPr>
          <w:rFonts w:ascii="Times New Roman" w:eastAsia="Times New Roman" w:hAnsi="Times New Roman" w:cs="Times New Roman"/>
          <w:color w:val="222222"/>
          <w:sz w:val="24"/>
          <w:szCs w:val="24"/>
          <w:highlight w:val="white"/>
        </w:rPr>
        <w:t>, E.C., 2022. </w:t>
      </w:r>
      <w:r>
        <w:rPr>
          <w:rFonts w:ascii="Times New Roman" w:eastAsia="Times New Roman" w:hAnsi="Times New Roman" w:cs="Times New Roman"/>
          <w:i/>
          <w:color w:val="222222"/>
          <w:sz w:val="24"/>
          <w:szCs w:val="24"/>
          <w:highlight w:val="white"/>
        </w:rPr>
        <w:t>Sustainable Infrastructure Investment: Toward a More Equitable Future</w:t>
      </w:r>
      <w:r>
        <w:rPr>
          <w:rFonts w:ascii="Times New Roman" w:eastAsia="Times New Roman" w:hAnsi="Times New Roman" w:cs="Times New Roman"/>
          <w:color w:val="222222"/>
          <w:sz w:val="24"/>
          <w:szCs w:val="24"/>
          <w:highlight w:val="white"/>
        </w:rPr>
        <w:t>. Taylor &amp; Francis.</w:t>
      </w:r>
    </w:p>
    <w:p w14:paraId="00000056"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Buchholz, H., Eberle, T., </w:t>
      </w:r>
      <w:proofErr w:type="spellStart"/>
      <w:r>
        <w:rPr>
          <w:rFonts w:ascii="Times New Roman" w:eastAsia="Times New Roman" w:hAnsi="Times New Roman" w:cs="Times New Roman"/>
          <w:color w:val="222222"/>
          <w:sz w:val="24"/>
          <w:szCs w:val="24"/>
          <w:highlight w:val="white"/>
        </w:rPr>
        <w:t>Klevesath</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Jürgens</w:t>
      </w:r>
      <w:proofErr w:type="spellEnd"/>
      <w:r>
        <w:rPr>
          <w:rFonts w:ascii="Times New Roman" w:eastAsia="Times New Roman" w:hAnsi="Times New Roman" w:cs="Times New Roman"/>
          <w:color w:val="222222"/>
          <w:sz w:val="24"/>
          <w:szCs w:val="24"/>
          <w:highlight w:val="white"/>
        </w:rPr>
        <w:t xml:space="preserve">, A., Beal, D., </w:t>
      </w:r>
      <w:proofErr w:type="spellStart"/>
      <w:r>
        <w:rPr>
          <w:rFonts w:ascii="Times New Roman" w:eastAsia="Times New Roman" w:hAnsi="Times New Roman" w:cs="Times New Roman"/>
          <w:color w:val="222222"/>
          <w:sz w:val="24"/>
          <w:szCs w:val="24"/>
          <w:highlight w:val="white"/>
        </w:rPr>
        <w:t>Baic</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Radeke</w:t>
      </w:r>
      <w:proofErr w:type="spellEnd"/>
      <w:r>
        <w:rPr>
          <w:rFonts w:ascii="Times New Roman" w:eastAsia="Times New Roman" w:hAnsi="Times New Roman" w:cs="Times New Roman"/>
          <w:color w:val="222222"/>
          <w:sz w:val="24"/>
          <w:szCs w:val="24"/>
          <w:highlight w:val="white"/>
        </w:rPr>
        <w:t>, J., 2020. Forward thinking for sustainable business value: A new method for impact valuation.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(20), p.8420.</w:t>
      </w:r>
    </w:p>
    <w:p w14:paraId="00000057"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Cuny</w:t>
      </w:r>
      <w:proofErr w:type="spellEnd"/>
      <w:r>
        <w:rPr>
          <w:rFonts w:ascii="Times New Roman" w:eastAsia="Times New Roman" w:hAnsi="Times New Roman" w:cs="Times New Roman"/>
          <w:color w:val="222222"/>
          <w:sz w:val="24"/>
          <w:szCs w:val="24"/>
          <w:highlight w:val="white"/>
        </w:rPr>
        <w:t>, L., 2022. ACNI: A Contested Development Agency. In </w:t>
      </w:r>
      <w:r>
        <w:rPr>
          <w:rFonts w:ascii="Times New Roman" w:eastAsia="Times New Roman" w:hAnsi="Times New Roman" w:cs="Times New Roman"/>
          <w:i/>
          <w:color w:val="222222"/>
          <w:sz w:val="24"/>
          <w:szCs w:val="24"/>
          <w:highlight w:val="white"/>
        </w:rPr>
        <w:t>The History of the Arts Council of Northern Ireland, 1943–2016</w:t>
      </w:r>
      <w:r>
        <w:rPr>
          <w:rFonts w:ascii="Times New Roman" w:eastAsia="Times New Roman" w:hAnsi="Times New Roman" w:cs="Times New Roman"/>
          <w:color w:val="222222"/>
          <w:sz w:val="24"/>
          <w:szCs w:val="24"/>
          <w:highlight w:val="white"/>
        </w:rPr>
        <w:t> (pp. 269-294). Palgrave Macmillan, Cham.</w:t>
      </w:r>
    </w:p>
    <w:p w14:paraId="00000058"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Du, M., Zhang, X. and Mora, L., 2022. Strategic planning for smart city development: assessing spatial inequalities in the basic service provision of metropolitan cities. In </w:t>
      </w:r>
      <w:r>
        <w:rPr>
          <w:rFonts w:ascii="Times New Roman" w:eastAsia="Times New Roman" w:hAnsi="Times New Roman" w:cs="Times New Roman"/>
          <w:i/>
          <w:color w:val="222222"/>
          <w:sz w:val="24"/>
          <w:szCs w:val="24"/>
          <w:highlight w:val="white"/>
        </w:rPr>
        <w:t>Sustainable Smart City Transitions</w:t>
      </w:r>
      <w:r>
        <w:rPr>
          <w:rFonts w:ascii="Times New Roman" w:eastAsia="Times New Roman" w:hAnsi="Times New Roman" w:cs="Times New Roman"/>
          <w:color w:val="222222"/>
          <w:sz w:val="24"/>
          <w:szCs w:val="24"/>
          <w:highlight w:val="white"/>
        </w:rPr>
        <w:t> (pp. 113-132). Routledge.</w:t>
      </w:r>
    </w:p>
    <w:p w14:paraId="00000059"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Elorrieta</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Schwitzguébel</w:t>
      </w:r>
      <w:proofErr w:type="spellEnd"/>
      <w:r>
        <w:rPr>
          <w:rFonts w:ascii="Times New Roman" w:eastAsia="Times New Roman" w:hAnsi="Times New Roman" w:cs="Times New Roman"/>
          <w:color w:val="222222"/>
          <w:sz w:val="24"/>
          <w:szCs w:val="24"/>
          <w:highlight w:val="white"/>
        </w:rPr>
        <w:t>, A.C. and Torres-Delgado, A., 2022. From success to unrest: the social impacts of tourism in Barcelona. </w:t>
      </w:r>
      <w:r>
        <w:rPr>
          <w:rFonts w:ascii="Times New Roman" w:eastAsia="Times New Roman" w:hAnsi="Times New Roman" w:cs="Times New Roman"/>
          <w:i/>
          <w:color w:val="222222"/>
          <w:sz w:val="24"/>
          <w:szCs w:val="24"/>
          <w:highlight w:val="white"/>
        </w:rPr>
        <w:t>International Journal of Tourism Cities</w:t>
      </w:r>
      <w:r>
        <w:rPr>
          <w:rFonts w:ascii="Times New Roman" w:eastAsia="Times New Roman" w:hAnsi="Times New Roman" w:cs="Times New Roman"/>
          <w:color w:val="222222"/>
          <w:sz w:val="24"/>
          <w:szCs w:val="24"/>
          <w:highlight w:val="white"/>
        </w:rPr>
        <w:t>.</w:t>
      </w:r>
    </w:p>
    <w:p w14:paraId="0000005A"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Ferrara, J., </w:t>
      </w:r>
      <w:proofErr w:type="spellStart"/>
      <w:r>
        <w:rPr>
          <w:rFonts w:ascii="Times New Roman" w:eastAsia="Times New Roman" w:hAnsi="Times New Roman" w:cs="Times New Roman"/>
          <w:color w:val="222222"/>
          <w:sz w:val="24"/>
          <w:szCs w:val="24"/>
          <w:highlight w:val="white"/>
        </w:rPr>
        <w:t>Carvin</w:t>
      </w:r>
      <w:proofErr w:type="spellEnd"/>
      <w:r>
        <w:rPr>
          <w:rFonts w:ascii="Times New Roman" w:eastAsia="Times New Roman" w:hAnsi="Times New Roman" w:cs="Times New Roman"/>
          <w:color w:val="222222"/>
          <w:sz w:val="24"/>
          <w:szCs w:val="24"/>
          <w:highlight w:val="white"/>
        </w:rPr>
        <w:t>, J. and del Pilar Zamudio Ochoa, R., 2022. Building Global Competence in Pre-school Settings: One World–A Global Citizenship Education Program in Guerrero, Mexico. In </w:t>
      </w:r>
      <w:r>
        <w:rPr>
          <w:rFonts w:ascii="Times New Roman" w:eastAsia="Times New Roman" w:hAnsi="Times New Roman" w:cs="Times New Roman"/>
          <w:i/>
          <w:color w:val="222222"/>
          <w:sz w:val="24"/>
          <w:szCs w:val="24"/>
          <w:highlight w:val="white"/>
        </w:rPr>
        <w:t>Educational Response, Inclusion and Empowerment for SDGs in Emerging Economies</w:t>
      </w:r>
      <w:r>
        <w:rPr>
          <w:rFonts w:ascii="Times New Roman" w:eastAsia="Times New Roman" w:hAnsi="Times New Roman" w:cs="Times New Roman"/>
          <w:color w:val="222222"/>
          <w:sz w:val="24"/>
          <w:szCs w:val="24"/>
          <w:highlight w:val="white"/>
        </w:rPr>
        <w:t> (pp. 159-173). Springer, Cham.</w:t>
      </w:r>
    </w:p>
    <w:p w14:paraId="0000005B"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Harriott</w:t>
      </w:r>
      <w:proofErr w:type="spellEnd"/>
      <w:r>
        <w:rPr>
          <w:rFonts w:ascii="Times New Roman" w:eastAsia="Times New Roman" w:hAnsi="Times New Roman" w:cs="Times New Roman"/>
          <w:color w:val="222222"/>
          <w:sz w:val="24"/>
          <w:szCs w:val="24"/>
          <w:highlight w:val="white"/>
        </w:rPr>
        <w:t xml:space="preserve">, R., 2022. </w:t>
      </w:r>
      <w:proofErr w:type="spellStart"/>
      <w:proofErr w:type="gramStart"/>
      <w:r>
        <w:rPr>
          <w:rFonts w:ascii="Times New Roman" w:eastAsia="Times New Roman" w:hAnsi="Times New Roman" w:cs="Times New Roman"/>
          <w:color w:val="222222"/>
          <w:sz w:val="24"/>
          <w:szCs w:val="24"/>
          <w:highlight w:val="white"/>
        </w:rPr>
        <w:t>Introduction:‘</w:t>
      </w:r>
      <w:proofErr w:type="gramEnd"/>
      <w:r>
        <w:rPr>
          <w:rFonts w:ascii="Times New Roman" w:eastAsia="Times New Roman" w:hAnsi="Times New Roman" w:cs="Times New Roman"/>
          <w:color w:val="222222"/>
          <w:sz w:val="24"/>
          <w:szCs w:val="24"/>
          <w:highlight w:val="white"/>
        </w:rPr>
        <w:t>They</w:t>
      </w:r>
      <w:proofErr w:type="spellEnd"/>
      <w:r>
        <w:rPr>
          <w:rFonts w:ascii="Times New Roman" w:eastAsia="Times New Roman" w:hAnsi="Times New Roman" w:cs="Times New Roman"/>
          <w:color w:val="222222"/>
          <w:sz w:val="24"/>
          <w:szCs w:val="24"/>
          <w:highlight w:val="white"/>
        </w:rPr>
        <w:t xml:space="preserve"> at Least Were Not Hybrids’. In </w:t>
      </w:r>
      <w:r>
        <w:rPr>
          <w:rFonts w:ascii="Times New Roman" w:eastAsia="Times New Roman" w:hAnsi="Times New Roman" w:cs="Times New Roman"/>
          <w:i/>
          <w:color w:val="222222"/>
          <w:sz w:val="24"/>
          <w:szCs w:val="24"/>
          <w:highlight w:val="white"/>
        </w:rPr>
        <w:t>The Birmingham Group</w:t>
      </w:r>
      <w:r>
        <w:rPr>
          <w:rFonts w:ascii="Times New Roman" w:eastAsia="Times New Roman" w:hAnsi="Times New Roman" w:cs="Times New Roman"/>
          <w:color w:val="222222"/>
          <w:sz w:val="24"/>
          <w:szCs w:val="24"/>
          <w:highlight w:val="white"/>
        </w:rPr>
        <w:t> (pp. 1-65). Palgrave Macmillan, Cham.</w:t>
      </w:r>
    </w:p>
    <w:p w14:paraId="0000005C"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KILIMO, H.D.L.J. and SECRETARY, C.A., 2022. DAY 1: THURSDAY, 12TH MAY 2022. </w:t>
      </w:r>
      <w:r>
        <w:rPr>
          <w:rFonts w:ascii="Times New Roman" w:eastAsia="Times New Roman" w:hAnsi="Times New Roman" w:cs="Times New Roman"/>
          <w:i/>
          <w:color w:val="222222"/>
          <w:sz w:val="24"/>
          <w:szCs w:val="24"/>
          <w:highlight w:val="white"/>
        </w:rPr>
        <w:t>ON DEAFBLINDNESS</w:t>
      </w:r>
      <w:r>
        <w:rPr>
          <w:rFonts w:ascii="Times New Roman" w:eastAsia="Times New Roman" w:hAnsi="Times New Roman" w:cs="Times New Roman"/>
          <w:color w:val="222222"/>
          <w:sz w:val="24"/>
          <w:szCs w:val="24"/>
          <w:highlight w:val="white"/>
        </w:rPr>
        <w:t>, p.11.</w:t>
      </w:r>
    </w:p>
    <w:p w14:paraId="0000005D" w14:textId="77777777" w:rsidR="00932E16" w:rsidRDefault="00000000">
      <w:pPr>
        <w:spacing w:line="480" w:lineRule="auto"/>
        <w:ind w:left="720" w:hanging="720"/>
        <w:rPr>
          <w:rFonts w:ascii="Times New Roman" w:eastAsia="Times New Roman" w:hAnsi="Times New Roman" w:cs="Times New Roman"/>
          <w:b/>
          <w:sz w:val="24"/>
          <w:szCs w:val="24"/>
        </w:rPr>
      </w:pPr>
      <w:proofErr w:type="spellStart"/>
      <w:r>
        <w:rPr>
          <w:rFonts w:ascii="Times New Roman" w:eastAsia="Times New Roman" w:hAnsi="Times New Roman" w:cs="Times New Roman"/>
          <w:color w:val="222222"/>
          <w:sz w:val="24"/>
          <w:szCs w:val="24"/>
          <w:highlight w:val="white"/>
        </w:rPr>
        <w:t>Mosselson</w:t>
      </w:r>
      <w:proofErr w:type="spellEnd"/>
      <w:r>
        <w:rPr>
          <w:rFonts w:ascii="Times New Roman" w:eastAsia="Times New Roman" w:hAnsi="Times New Roman" w:cs="Times New Roman"/>
          <w:color w:val="222222"/>
          <w:sz w:val="24"/>
          <w:szCs w:val="24"/>
          <w:highlight w:val="white"/>
        </w:rPr>
        <w:t xml:space="preserve">, A., 2022. Urban infrastructures, </w:t>
      </w:r>
      <w:proofErr w:type="gramStart"/>
      <w:r>
        <w:rPr>
          <w:rFonts w:ascii="Times New Roman" w:eastAsia="Times New Roman" w:hAnsi="Times New Roman" w:cs="Times New Roman"/>
          <w:color w:val="222222"/>
          <w:sz w:val="24"/>
          <w:szCs w:val="24"/>
          <w:highlight w:val="white"/>
        </w:rPr>
        <w:t>migration</w:t>
      </w:r>
      <w:proofErr w:type="gramEnd"/>
      <w:r>
        <w:rPr>
          <w:rFonts w:ascii="Times New Roman" w:eastAsia="Times New Roman" w:hAnsi="Times New Roman" w:cs="Times New Roman"/>
          <w:color w:val="222222"/>
          <w:sz w:val="24"/>
          <w:szCs w:val="24"/>
          <w:highlight w:val="white"/>
        </w:rPr>
        <w:t xml:space="preserve"> and the reproduction of colonial forms of difference. In </w:t>
      </w:r>
      <w:r>
        <w:rPr>
          <w:rFonts w:ascii="Times New Roman" w:eastAsia="Times New Roman" w:hAnsi="Times New Roman" w:cs="Times New Roman"/>
          <w:i/>
          <w:color w:val="222222"/>
          <w:sz w:val="24"/>
          <w:szCs w:val="24"/>
          <w:highlight w:val="white"/>
        </w:rPr>
        <w:t>European cities</w:t>
      </w:r>
      <w:r>
        <w:rPr>
          <w:rFonts w:ascii="Times New Roman" w:eastAsia="Times New Roman" w:hAnsi="Times New Roman" w:cs="Times New Roman"/>
          <w:color w:val="222222"/>
          <w:sz w:val="24"/>
          <w:szCs w:val="24"/>
          <w:highlight w:val="white"/>
        </w:rPr>
        <w:t> (pp. 120-142). Manchester University Press.</w:t>
      </w:r>
    </w:p>
    <w:p w14:paraId="0000005E" w14:textId="77777777" w:rsidR="00932E16"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Raihan, A., </w:t>
      </w:r>
      <w:proofErr w:type="spellStart"/>
      <w:r>
        <w:rPr>
          <w:rFonts w:ascii="Times New Roman" w:eastAsia="Times New Roman" w:hAnsi="Times New Roman" w:cs="Times New Roman"/>
          <w:color w:val="222222"/>
          <w:sz w:val="24"/>
          <w:szCs w:val="24"/>
          <w:highlight w:val="white"/>
        </w:rPr>
        <w:t>Muhtasim</w:t>
      </w:r>
      <w:proofErr w:type="spellEnd"/>
      <w:r>
        <w:rPr>
          <w:rFonts w:ascii="Times New Roman" w:eastAsia="Times New Roman" w:hAnsi="Times New Roman" w:cs="Times New Roman"/>
          <w:color w:val="222222"/>
          <w:sz w:val="24"/>
          <w:szCs w:val="24"/>
          <w:highlight w:val="white"/>
        </w:rPr>
        <w:t>, D.A., Farhana, S., Pavel, M.I., Faruk, O., Rahman, M. and Mahmood, A., 2022. Nexus between carbon emissions, economic growth, renewable energy use, urbanization, industrialization, technological innovation, and forest area towards achieving environmental sustainability in Bangladesh. </w:t>
      </w:r>
      <w:r>
        <w:rPr>
          <w:rFonts w:ascii="Times New Roman" w:eastAsia="Times New Roman" w:hAnsi="Times New Roman" w:cs="Times New Roman"/>
          <w:i/>
          <w:color w:val="222222"/>
          <w:sz w:val="24"/>
          <w:szCs w:val="24"/>
          <w:highlight w:val="white"/>
        </w:rPr>
        <w:t>Energy and Climate Change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p.100080.</w:t>
      </w:r>
    </w:p>
    <w:p w14:paraId="0000005F" w14:textId="77777777" w:rsidR="00932E16"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Sullivan, E., 2022. </w:t>
      </w:r>
      <w:r>
        <w:rPr>
          <w:rFonts w:ascii="Times New Roman" w:eastAsia="Times New Roman" w:hAnsi="Times New Roman" w:cs="Times New Roman"/>
          <w:i/>
          <w:color w:val="222222"/>
          <w:sz w:val="24"/>
          <w:szCs w:val="24"/>
          <w:highlight w:val="white"/>
        </w:rPr>
        <w:t>Shakespeare and Digital Performance in Practice</w:t>
      </w:r>
      <w:r>
        <w:rPr>
          <w:rFonts w:ascii="Times New Roman" w:eastAsia="Times New Roman" w:hAnsi="Times New Roman" w:cs="Times New Roman"/>
          <w:color w:val="222222"/>
          <w:sz w:val="24"/>
          <w:szCs w:val="24"/>
          <w:highlight w:val="white"/>
        </w:rPr>
        <w:t>. Springer Nature.</w:t>
      </w:r>
    </w:p>
    <w:p w14:paraId="00000060" w14:textId="77777777" w:rsidR="00932E16"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Watkins, B., 2018. </w:t>
      </w:r>
      <w:r>
        <w:rPr>
          <w:rFonts w:ascii="Times New Roman" w:eastAsia="Times New Roman" w:hAnsi="Times New Roman" w:cs="Times New Roman"/>
          <w:i/>
          <w:color w:val="222222"/>
          <w:sz w:val="24"/>
          <w:szCs w:val="24"/>
          <w:highlight w:val="white"/>
        </w:rPr>
        <w:t>Sport teams, fans, and twitter: The Influence of social media on relationships and branding</w:t>
      </w:r>
      <w:r>
        <w:rPr>
          <w:rFonts w:ascii="Times New Roman" w:eastAsia="Times New Roman" w:hAnsi="Times New Roman" w:cs="Times New Roman"/>
          <w:color w:val="222222"/>
          <w:sz w:val="24"/>
          <w:szCs w:val="24"/>
          <w:highlight w:val="white"/>
        </w:rPr>
        <w:t>. Rowman &amp; Littlefield.</w:t>
      </w:r>
    </w:p>
    <w:p w14:paraId="00000061" w14:textId="77777777" w:rsidR="00932E16"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Yeomans, M., 2022. </w:t>
      </w:r>
      <w:r>
        <w:rPr>
          <w:rFonts w:ascii="Times New Roman" w:eastAsia="Times New Roman" w:hAnsi="Times New Roman" w:cs="Times New Roman"/>
          <w:i/>
          <w:color w:val="222222"/>
          <w:sz w:val="24"/>
          <w:szCs w:val="24"/>
          <w:highlight w:val="white"/>
        </w:rPr>
        <w:t>Return to My Trees: Notes from the Welsh Woodlands</w:t>
      </w:r>
      <w:r>
        <w:rPr>
          <w:rFonts w:ascii="Times New Roman" w:eastAsia="Times New Roman" w:hAnsi="Times New Roman" w:cs="Times New Roman"/>
          <w:color w:val="222222"/>
          <w:sz w:val="24"/>
          <w:szCs w:val="24"/>
          <w:highlight w:val="white"/>
        </w:rPr>
        <w:t>. University of Wales Press.</w:t>
      </w:r>
    </w:p>
    <w:p w14:paraId="00000062" w14:textId="77777777" w:rsidR="00932E16" w:rsidRDefault="00932E16">
      <w:pPr>
        <w:spacing w:line="480" w:lineRule="auto"/>
        <w:ind w:left="720" w:hanging="720"/>
        <w:rPr>
          <w:rFonts w:ascii="Times New Roman" w:eastAsia="Times New Roman" w:hAnsi="Times New Roman" w:cs="Times New Roman"/>
          <w:sz w:val="24"/>
          <w:szCs w:val="24"/>
        </w:rPr>
      </w:pPr>
    </w:p>
    <w:sectPr w:rsidR="00932E16">
      <w:head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D0B36" w14:textId="77777777" w:rsidR="00735567" w:rsidRDefault="00735567">
      <w:pPr>
        <w:spacing w:after="0" w:line="240" w:lineRule="auto"/>
      </w:pPr>
      <w:r>
        <w:separator/>
      </w:r>
    </w:p>
  </w:endnote>
  <w:endnote w:type="continuationSeparator" w:id="0">
    <w:p w14:paraId="2F9F6E4D" w14:textId="77777777" w:rsidR="00735567" w:rsidRDefault="00735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2BAD6" w14:textId="77777777" w:rsidR="00735567" w:rsidRDefault="00735567">
      <w:pPr>
        <w:spacing w:after="0" w:line="240" w:lineRule="auto"/>
      </w:pPr>
      <w:r>
        <w:separator/>
      </w:r>
    </w:p>
  </w:footnote>
  <w:footnote w:type="continuationSeparator" w:id="0">
    <w:p w14:paraId="3FCA7E14" w14:textId="77777777" w:rsidR="00735567" w:rsidRDefault="007355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3" w14:textId="5A7F826B" w:rsidR="00932E16" w:rsidRDefault="00000000">
    <w:pPr>
      <w:pBdr>
        <w:top w:val="nil"/>
        <w:left w:val="nil"/>
        <w:bottom w:val="nil"/>
        <w:right w:val="nil"/>
        <w:between w:val="nil"/>
      </w:pBdr>
      <w:tabs>
        <w:tab w:val="center" w:pos="4513"/>
        <w:tab w:val="right" w:pos="9026"/>
      </w:tabs>
      <w:spacing w:after="0" w:line="480" w:lineRule="auto"/>
      <w:jc w:val="right"/>
      <w:rPr>
        <w:color w:val="000000"/>
      </w:rPr>
    </w:pPr>
    <w:r>
      <w:rPr>
        <w:rFonts w:ascii="Times New Roman" w:eastAsia="Times New Roman" w:hAnsi="Times New Roman" w:cs="Times New Roman"/>
        <w:color w:val="000000"/>
        <w:sz w:val="24"/>
        <w:szCs w:val="24"/>
      </w:rPr>
      <w:t>COMMUNITY ENGAGEMENT REPORT</w:t>
    </w:r>
    <w:r>
      <w:rPr>
        <w:color w:val="000000"/>
      </w:rPr>
      <w:fldChar w:fldCharType="begin"/>
    </w:r>
    <w:r>
      <w:rPr>
        <w:color w:val="000000"/>
      </w:rPr>
      <w:instrText>PAGE</w:instrText>
    </w:r>
    <w:r>
      <w:rPr>
        <w:color w:val="000000"/>
      </w:rPr>
      <w:fldChar w:fldCharType="separate"/>
    </w:r>
    <w:r w:rsidR="007147FC">
      <w:rPr>
        <w:noProof/>
        <w:color w:val="000000"/>
      </w:rPr>
      <w:t>1</w:t>
    </w:r>
    <w:r>
      <w:rPr>
        <w:color w:val="000000"/>
      </w:rPr>
      <w:fldChar w:fldCharType="end"/>
    </w:r>
  </w:p>
  <w:p w14:paraId="00000064" w14:textId="77777777" w:rsidR="00932E16" w:rsidRDefault="00932E16">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E16"/>
    <w:rsid w:val="00576794"/>
    <w:rsid w:val="007147FC"/>
    <w:rsid w:val="00735567"/>
    <w:rsid w:val="00932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A0F190"/>
  <w15:docId w15:val="{174567AF-EFB8-074F-913C-148800871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7147FC"/>
    <w:pPr>
      <w:ind w:left="720"/>
      <w:contextualSpacing/>
    </w:pPr>
    <w:rPr>
      <w:rFonts w:asciiTheme="minorHAnsi" w:eastAsiaTheme="minorHAnsi" w:hAnsiTheme="minorHAnsi" w:cstheme="minorBidi"/>
      <w:lang w:val="bg-B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2617</Words>
  <Characters>14919</Characters>
  <Application>Microsoft Office Word</Application>
  <DocSecurity>0</DocSecurity>
  <Lines>124</Lines>
  <Paragraphs>35</Paragraphs>
  <ScaleCrop>false</ScaleCrop>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2022-11-28T18:33:00Z</dcterms:created>
  <dcterms:modified xsi:type="dcterms:W3CDTF">2022-11-28T18:33:00Z</dcterms:modified>
</cp:coreProperties>
</file>